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DDE07" w14:textId="77777777" w:rsidR="005F0165" w:rsidRDefault="005F0165" w:rsidP="005F0165"/>
    <w:p w14:paraId="626B5DDA" w14:textId="77777777" w:rsidR="005F0165" w:rsidRDefault="005F0165" w:rsidP="005F0165">
      <w:pPr>
        <w:pStyle w:val="Default"/>
        <w:spacing w:line="288" w:lineRule="auto"/>
        <w:rPr>
          <w:rFonts w:cs="Arial"/>
          <w:b/>
          <w:color w:val="232120"/>
        </w:rPr>
      </w:pPr>
    </w:p>
    <w:p w14:paraId="4BFC4D96" w14:textId="77777777" w:rsidR="005F0165" w:rsidRDefault="005F0165" w:rsidP="005F0165">
      <w:pPr>
        <w:pStyle w:val="Default"/>
        <w:spacing w:line="288" w:lineRule="auto"/>
        <w:rPr>
          <w:rFonts w:cs="Arial"/>
          <w:b/>
          <w:color w:val="232120"/>
        </w:rPr>
      </w:pPr>
    </w:p>
    <w:p w14:paraId="293941B8" w14:textId="77777777" w:rsidR="005F0165" w:rsidRDefault="005F0165" w:rsidP="005F0165">
      <w:pPr>
        <w:pStyle w:val="Default"/>
        <w:spacing w:line="288" w:lineRule="auto"/>
        <w:rPr>
          <w:rFonts w:cs="Arial"/>
          <w:b/>
          <w:color w:val="232120"/>
        </w:rPr>
      </w:pPr>
    </w:p>
    <w:p w14:paraId="149AFB99" w14:textId="77777777" w:rsidR="007F3DC3" w:rsidRPr="007F3DC3" w:rsidRDefault="007F3DC3" w:rsidP="007F3DC3">
      <w:pPr>
        <w:spacing w:line="259" w:lineRule="auto"/>
        <w:rPr>
          <w:rFonts w:eastAsia="Times New Roman" w:cs="Verdana"/>
          <w:color w:val="000000"/>
          <w:szCs w:val="22"/>
          <w:lang w:eastAsia="en-GB"/>
        </w:rPr>
      </w:pPr>
    </w:p>
    <w:p w14:paraId="18B2E890" w14:textId="77777777" w:rsidR="007F3DC3" w:rsidRPr="007F3DC3" w:rsidRDefault="007F3DC3" w:rsidP="007F3DC3">
      <w:pPr>
        <w:spacing w:after="90" w:line="259" w:lineRule="auto"/>
        <w:ind w:left="2093"/>
        <w:rPr>
          <w:rFonts w:eastAsia="Times New Roman" w:cs="Verdana"/>
          <w:color w:val="000000"/>
          <w:szCs w:val="22"/>
          <w:lang w:eastAsia="en-GB"/>
        </w:rPr>
      </w:pPr>
      <w:r w:rsidRPr="007F3DC3">
        <w:rPr>
          <w:rFonts w:eastAsia="Times New Roman" w:cs="Verdana"/>
          <w:noProof/>
          <w:color w:val="000000"/>
          <w:szCs w:val="22"/>
          <w:lang w:eastAsia="en-GB"/>
        </w:rPr>
        <w:drawing>
          <wp:inline distT="0" distB="0" distL="0" distR="0" wp14:anchorId="1067C9C0" wp14:editId="78B3747C">
            <wp:extent cx="2905125" cy="3886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5125" cy="3886200"/>
                    </a:xfrm>
                    <a:prstGeom prst="rect">
                      <a:avLst/>
                    </a:prstGeom>
                    <a:noFill/>
                    <a:ln>
                      <a:noFill/>
                    </a:ln>
                  </pic:spPr>
                </pic:pic>
              </a:graphicData>
            </a:graphic>
          </wp:inline>
        </w:drawing>
      </w:r>
    </w:p>
    <w:p w14:paraId="1FF73DE6" w14:textId="3CA2B29B" w:rsidR="007F3DC3" w:rsidRDefault="007F3DC3" w:rsidP="00815213">
      <w:pPr>
        <w:spacing w:after="160" w:line="259" w:lineRule="auto"/>
        <w:rPr>
          <w:rFonts w:eastAsia="Times New Roman" w:cs="Verdana"/>
          <w:b/>
          <w:color w:val="77328A"/>
          <w:sz w:val="36"/>
          <w:szCs w:val="22"/>
          <w:lang w:eastAsia="en-GB"/>
        </w:rPr>
      </w:pPr>
      <w:r w:rsidRPr="007F3DC3">
        <w:rPr>
          <w:rFonts w:eastAsia="Times New Roman" w:cs="Verdana"/>
          <w:color w:val="000000"/>
          <w:szCs w:val="22"/>
          <w:lang w:eastAsia="en-GB"/>
        </w:rPr>
        <w:t xml:space="preserve">  </w:t>
      </w:r>
      <w:r w:rsidRPr="007F3DC3">
        <w:rPr>
          <w:rFonts w:eastAsia="Times New Roman" w:cs="Verdana"/>
          <w:b/>
          <w:color w:val="77328A"/>
          <w:sz w:val="36"/>
          <w:szCs w:val="22"/>
          <w:lang w:eastAsia="en-GB"/>
        </w:rPr>
        <w:t xml:space="preserve">Response to the </w:t>
      </w:r>
      <w:r w:rsidR="00515670">
        <w:rPr>
          <w:rFonts w:eastAsia="Times New Roman" w:cs="Verdana"/>
          <w:b/>
          <w:color w:val="77328A"/>
          <w:sz w:val="36"/>
          <w:szCs w:val="22"/>
          <w:lang w:eastAsia="en-GB"/>
        </w:rPr>
        <w:t xml:space="preserve">public consultation on </w:t>
      </w:r>
    </w:p>
    <w:p w14:paraId="6B0E7632" w14:textId="77777777" w:rsidR="00515670" w:rsidRDefault="00515670" w:rsidP="007F3DC3">
      <w:pPr>
        <w:spacing w:after="2" w:line="287" w:lineRule="auto"/>
        <w:jc w:val="center"/>
        <w:rPr>
          <w:rFonts w:eastAsia="Times New Roman" w:cs="Verdana"/>
          <w:b/>
          <w:color w:val="77328A"/>
          <w:sz w:val="36"/>
          <w:szCs w:val="22"/>
          <w:lang w:eastAsia="en-GB"/>
        </w:rPr>
      </w:pPr>
      <w:r w:rsidRPr="00515670">
        <w:rPr>
          <w:rFonts w:eastAsia="Times New Roman" w:cs="Verdana"/>
          <w:b/>
          <w:color w:val="77328A"/>
          <w:sz w:val="36"/>
          <w:szCs w:val="22"/>
          <w:lang w:eastAsia="en-GB"/>
        </w:rPr>
        <w:t xml:space="preserve">Improving the experiences of victims and witnesses in the criminal justice system: </w:t>
      </w:r>
    </w:p>
    <w:p w14:paraId="24D94D9C" w14:textId="77777777" w:rsidR="00515670" w:rsidRDefault="00515670" w:rsidP="007F3DC3">
      <w:pPr>
        <w:spacing w:after="2" w:line="287" w:lineRule="auto"/>
        <w:jc w:val="center"/>
        <w:rPr>
          <w:rFonts w:eastAsia="Times New Roman" w:cs="Verdana"/>
          <w:b/>
          <w:color w:val="77328A"/>
          <w:sz w:val="36"/>
          <w:szCs w:val="22"/>
          <w:lang w:eastAsia="en-GB"/>
        </w:rPr>
      </w:pPr>
      <w:r w:rsidRPr="00515670">
        <w:rPr>
          <w:rFonts w:eastAsia="Times New Roman" w:cs="Verdana"/>
          <w:b/>
          <w:color w:val="77328A"/>
          <w:sz w:val="36"/>
          <w:szCs w:val="22"/>
          <w:lang w:eastAsia="en-GB"/>
        </w:rPr>
        <w:t xml:space="preserve">• a new three-year Victim and Witness Strategy for Northern Ireland; and </w:t>
      </w:r>
    </w:p>
    <w:p w14:paraId="3F830D73" w14:textId="77777777" w:rsidR="00515670" w:rsidRPr="007F3DC3" w:rsidRDefault="00515670" w:rsidP="007F3DC3">
      <w:pPr>
        <w:spacing w:after="2" w:line="287" w:lineRule="auto"/>
        <w:jc w:val="center"/>
        <w:rPr>
          <w:rFonts w:eastAsia="Times New Roman" w:cs="Verdana"/>
          <w:b/>
          <w:color w:val="77328A"/>
          <w:sz w:val="36"/>
          <w:szCs w:val="22"/>
          <w:lang w:eastAsia="en-GB"/>
        </w:rPr>
      </w:pPr>
      <w:r w:rsidRPr="00515670">
        <w:rPr>
          <w:rFonts w:eastAsia="Times New Roman" w:cs="Verdana"/>
          <w:b/>
          <w:color w:val="77328A"/>
          <w:sz w:val="36"/>
          <w:szCs w:val="22"/>
          <w:lang w:eastAsia="en-GB"/>
        </w:rPr>
        <w:t>• the establishment of a Victims of Crime Commissioner for Northern Ireland.</w:t>
      </w:r>
    </w:p>
    <w:p w14:paraId="21A7BBF6" w14:textId="77777777" w:rsidR="007F3DC3" w:rsidRPr="007F3DC3" w:rsidRDefault="007F3DC3" w:rsidP="007F3DC3">
      <w:pPr>
        <w:spacing w:line="259" w:lineRule="auto"/>
        <w:ind w:left="118"/>
        <w:jc w:val="center"/>
        <w:rPr>
          <w:rFonts w:eastAsia="Times New Roman" w:cs="Verdana"/>
          <w:color w:val="000000"/>
          <w:szCs w:val="22"/>
          <w:lang w:eastAsia="en-GB"/>
        </w:rPr>
      </w:pPr>
      <w:r w:rsidRPr="007F3DC3">
        <w:rPr>
          <w:rFonts w:eastAsia="Times New Roman" w:cs="Verdana"/>
          <w:color w:val="232120"/>
          <w:sz w:val="36"/>
          <w:szCs w:val="22"/>
          <w:lang w:eastAsia="en-GB"/>
        </w:rPr>
        <w:t xml:space="preserve"> </w:t>
      </w:r>
    </w:p>
    <w:p w14:paraId="3AE29546" w14:textId="77777777" w:rsidR="007F3DC3" w:rsidRPr="007F3DC3" w:rsidRDefault="00515670" w:rsidP="007F3DC3">
      <w:pPr>
        <w:spacing w:after="95" w:line="259" w:lineRule="auto"/>
        <w:ind w:right="6"/>
        <w:jc w:val="center"/>
        <w:rPr>
          <w:rFonts w:eastAsia="Times New Roman" w:cs="Verdana"/>
          <w:color w:val="000000"/>
          <w:szCs w:val="22"/>
          <w:lang w:eastAsia="en-GB"/>
        </w:rPr>
      </w:pPr>
      <w:r>
        <w:rPr>
          <w:rFonts w:eastAsia="Times New Roman" w:cs="Verdana"/>
          <w:b/>
          <w:color w:val="232120"/>
          <w:sz w:val="30"/>
          <w:szCs w:val="22"/>
          <w:lang w:eastAsia="en-GB"/>
        </w:rPr>
        <w:t>July 2021</w:t>
      </w:r>
      <w:r w:rsidR="007F3DC3" w:rsidRPr="007F3DC3">
        <w:rPr>
          <w:rFonts w:eastAsia="Times New Roman" w:cs="Verdana"/>
          <w:b/>
          <w:color w:val="232120"/>
          <w:sz w:val="30"/>
          <w:szCs w:val="22"/>
          <w:lang w:eastAsia="en-GB"/>
        </w:rPr>
        <w:t xml:space="preserve"> </w:t>
      </w:r>
    </w:p>
    <w:p w14:paraId="21856E28" w14:textId="77777777" w:rsidR="005F0165" w:rsidRDefault="005F0165" w:rsidP="005F0165">
      <w:pPr>
        <w:pStyle w:val="Default"/>
        <w:spacing w:line="288" w:lineRule="auto"/>
        <w:rPr>
          <w:rFonts w:cs="Arial"/>
          <w:b/>
          <w:color w:val="232120"/>
        </w:rPr>
      </w:pPr>
    </w:p>
    <w:p w14:paraId="16DFB233" w14:textId="77777777" w:rsidR="005F0165" w:rsidRDefault="005F0165" w:rsidP="005F0165">
      <w:pPr>
        <w:pStyle w:val="Default"/>
        <w:spacing w:line="288" w:lineRule="auto"/>
        <w:rPr>
          <w:rFonts w:cs="Arial"/>
          <w:b/>
          <w:color w:val="232120"/>
        </w:rPr>
      </w:pPr>
    </w:p>
    <w:p w14:paraId="1EC414D0" w14:textId="77777777" w:rsidR="005F0165" w:rsidRDefault="005F0165" w:rsidP="005F0165">
      <w:pPr>
        <w:pStyle w:val="Default"/>
        <w:spacing w:line="288" w:lineRule="auto"/>
        <w:rPr>
          <w:rFonts w:cs="Arial"/>
          <w:b/>
          <w:color w:val="232120"/>
        </w:rPr>
      </w:pPr>
    </w:p>
    <w:p w14:paraId="635F3193" w14:textId="77777777" w:rsidR="005F0165" w:rsidRDefault="005F0165" w:rsidP="005F0165">
      <w:pPr>
        <w:pStyle w:val="Default"/>
        <w:spacing w:line="288" w:lineRule="auto"/>
        <w:rPr>
          <w:rFonts w:cs="Arial"/>
          <w:b/>
          <w:color w:val="232120"/>
        </w:rPr>
      </w:pPr>
    </w:p>
    <w:sdt>
      <w:sdtPr>
        <w:rPr>
          <w:rFonts w:ascii="Verdana" w:eastAsiaTheme="minorEastAsia" w:hAnsi="Verdana" w:cstheme="minorBidi"/>
          <w:color w:val="auto"/>
          <w:sz w:val="24"/>
          <w:szCs w:val="24"/>
          <w:lang w:val="en-GB"/>
        </w:rPr>
        <w:id w:val="24291823"/>
        <w:docPartObj>
          <w:docPartGallery w:val="Table of Contents"/>
          <w:docPartUnique/>
        </w:docPartObj>
      </w:sdtPr>
      <w:sdtEndPr/>
      <w:sdtContent>
        <w:p w14:paraId="55FDAF37" w14:textId="77777777" w:rsidR="007F3DC3" w:rsidRDefault="007F3DC3" w:rsidP="007F3DC3">
          <w:pPr>
            <w:pStyle w:val="TOCHeading"/>
            <w:rPr>
              <w:rFonts w:ascii="Verdana" w:hAnsi="Verdana"/>
              <w:b/>
              <w:color w:val="77328A"/>
              <w:sz w:val="30"/>
              <w:szCs w:val="30"/>
            </w:rPr>
          </w:pPr>
          <w:r>
            <w:rPr>
              <w:rFonts w:ascii="Verdana" w:hAnsi="Verdana"/>
              <w:b/>
              <w:color w:val="77328A"/>
              <w:sz w:val="30"/>
              <w:szCs w:val="30"/>
            </w:rPr>
            <w:t>Table of Contents</w:t>
          </w:r>
        </w:p>
        <w:p w14:paraId="0037B085" w14:textId="77777777" w:rsidR="007F3DC3" w:rsidRDefault="007F3DC3" w:rsidP="007F3DC3">
          <w:pPr>
            <w:rPr>
              <w:lang w:val="en-US"/>
            </w:rPr>
          </w:pPr>
        </w:p>
        <w:p w14:paraId="72491B14" w14:textId="4F1C280D" w:rsidR="002634A7" w:rsidRDefault="007F3DC3">
          <w:pPr>
            <w:pStyle w:val="TOC1"/>
            <w:rPr>
              <w:rFonts w:asciiTheme="minorHAnsi" w:hAnsiTheme="minorHAnsi"/>
              <w:b w:val="0"/>
              <w:sz w:val="22"/>
              <w:szCs w:val="22"/>
              <w:lang w:eastAsia="en-GB"/>
            </w:rPr>
          </w:pPr>
          <w:r>
            <w:fldChar w:fldCharType="begin"/>
          </w:r>
          <w:r>
            <w:instrText xml:space="preserve"> TOC \o "1-3" \h \z \u </w:instrText>
          </w:r>
          <w:r>
            <w:fldChar w:fldCharType="separate"/>
          </w:r>
          <w:hyperlink w:anchor="_Toc78208922" w:history="1">
            <w:r w:rsidR="002634A7" w:rsidRPr="005773F6">
              <w:rPr>
                <w:rStyle w:val="Hyperlink"/>
              </w:rPr>
              <w:t>Summary of Recommendations</w:t>
            </w:r>
            <w:r w:rsidR="002634A7">
              <w:rPr>
                <w:webHidden/>
              </w:rPr>
              <w:tab/>
            </w:r>
            <w:r w:rsidR="002634A7">
              <w:rPr>
                <w:webHidden/>
              </w:rPr>
              <w:fldChar w:fldCharType="begin"/>
            </w:r>
            <w:r w:rsidR="002634A7">
              <w:rPr>
                <w:webHidden/>
              </w:rPr>
              <w:instrText xml:space="preserve"> PAGEREF _Toc78208922 \h </w:instrText>
            </w:r>
            <w:r w:rsidR="002634A7">
              <w:rPr>
                <w:webHidden/>
              </w:rPr>
            </w:r>
            <w:r w:rsidR="002634A7">
              <w:rPr>
                <w:webHidden/>
              </w:rPr>
              <w:fldChar w:fldCharType="separate"/>
            </w:r>
            <w:r w:rsidR="005113CC">
              <w:rPr>
                <w:webHidden/>
              </w:rPr>
              <w:t>3</w:t>
            </w:r>
            <w:r w:rsidR="002634A7">
              <w:rPr>
                <w:webHidden/>
              </w:rPr>
              <w:fldChar w:fldCharType="end"/>
            </w:r>
          </w:hyperlink>
        </w:p>
        <w:p w14:paraId="79A0BEBB" w14:textId="4F4575E4" w:rsidR="002634A7" w:rsidRDefault="002634A7">
          <w:pPr>
            <w:pStyle w:val="TOC1"/>
            <w:rPr>
              <w:rFonts w:asciiTheme="minorHAnsi" w:hAnsiTheme="minorHAnsi"/>
              <w:b w:val="0"/>
              <w:sz w:val="22"/>
              <w:szCs w:val="22"/>
              <w:lang w:eastAsia="en-GB"/>
            </w:rPr>
          </w:pPr>
          <w:hyperlink w:anchor="_Toc78208923" w:history="1">
            <w:r w:rsidRPr="005773F6">
              <w:rPr>
                <w:rStyle w:val="Hyperlink"/>
              </w:rPr>
              <w:t>1.0</w:t>
            </w:r>
            <w:r>
              <w:rPr>
                <w:rFonts w:asciiTheme="minorHAnsi" w:hAnsiTheme="minorHAnsi"/>
                <w:b w:val="0"/>
                <w:sz w:val="22"/>
                <w:szCs w:val="22"/>
                <w:lang w:eastAsia="en-GB"/>
              </w:rPr>
              <w:tab/>
            </w:r>
            <w:r w:rsidRPr="005773F6">
              <w:rPr>
                <w:rStyle w:val="Hyperlink"/>
              </w:rPr>
              <w:t>Introduction</w:t>
            </w:r>
            <w:r>
              <w:rPr>
                <w:webHidden/>
              </w:rPr>
              <w:tab/>
            </w:r>
            <w:r>
              <w:rPr>
                <w:webHidden/>
              </w:rPr>
              <w:fldChar w:fldCharType="begin"/>
            </w:r>
            <w:r>
              <w:rPr>
                <w:webHidden/>
              </w:rPr>
              <w:instrText xml:space="preserve"> PAGEREF _Toc78208923 \h </w:instrText>
            </w:r>
            <w:r>
              <w:rPr>
                <w:webHidden/>
              </w:rPr>
            </w:r>
            <w:r>
              <w:rPr>
                <w:webHidden/>
              </w:rPr>
              <w:fldChar w:fldCharType="separate"/>
            </w:r>
            <w:r w:rsidR="005113CC">
              <w:rPr>
                <w:webHidden/>
              </w:rPr>
              <w:t>5</w:t>
            </w:r>
            <w:r>
              <w:rPr>
                <w:webHidden/>
              </w:rPr>
              <w:fldChar w:fldCharType="end"/>
            </w:r>
          </w:hyperlink>
        </w:p>
        <w:p w14:paraId="26C1FE80" w14:textId="43D138E8" w:rsidR="002634A7" w:rsidRDefault="002634A7">
          <w:pPr>
            <w:pStyle w:val="TOC1"/>
            <w:rPr>
              <w:rFonts w:asciiTheme="minorHAnsi" w:hAnsiTheme="minorHAnsi"/>
              <w:b w:val="0"/>
              <w:sz w:val="22"/>
              <w:szCs w:val="22"/>
              <w:lang w:eastAsia="en-GB"/>
            </w:rPr>
          </w:pPr>
          <w:hyperlink w:anchor="_Toc78208924" w:history="1">
            <w:r w:rsidRPr="005773F6">
              <w:rPr>
                <w:rStyle w:val="Hyperlink"/>
              </w:rPr>
              <w:t>2.0</w:t>
            </w:r>
            <w:r>
              <w:rPr>
                <w:rFonts w:asciiTheme="minorHAnsi" w:hAnsiTheme="minorHAnsi"/>
                <w:b w:val="0"/>
                <w:sz w:val="22"/>
                <w:szCs w:val="22"/>
                <w:lang w:eastAsia="en-GB"/>
              </w:rPr>
              <w:tab/>
            </w:r>
            <w:r w:rsidRPr="005773F6">
              <w:rPr>
                <w:rStyle w:val="Hyperlink"/>
              </w:rPr>
              <w:t>Part A: General Comments</w:t>
            </w:r>
            <w:r>
              <w:rPr>
                <w:webHidden/>
              </w:rPr>
              <w:tab/>
            </w:r>
            <w:r>
              <w:rPr>
                <w:webHidden/>
              </w:rPr>
              <w:fldChar w:fldCharType="begin"/>
            </w:r>
            <w:r>
              <w:rPr>
                <w:webHidden/>
              </w:rPr>
              <w:instrText xml:space="preserve"> PAGEREF _Toc78208924 \h </w:instrText>
            </w:r>
            <w:r>
              <w:rPr>
                <w:webHidden/>
              </w:rPr>
            </w:r>
            <w:r>
              <w:rPr>
                <w:webHidden/>
              </w:rPr>
              <w:fldChar w:fldCharType="separate"/>
            </w:r>
            <w:r w:rsidR="005113CC">
              <w:rPr>
                <w:webHidden/>
              </w:rPr>
              <w:t>8</w:t>
            </w:r>
            <w:r>
              <w:rPr>
                <w:webHidden/>
              </w:rPr>
              <w:fldChar w:fldCharType="end"/>
            </w:r>
          </w:hyperlink>
        </w:p>
        <w:p w14:paraId="7B4D43FF" w14:textId="0C7CDD45" w:rsidR="002634A7" w:rsidRDefault="002634A7">
          <w:pPr>
            <w:pStyle w:val="TOC1"/>
            <w:rPr>
              <w:rFonts w:asciiTheme="minorHAnsi" w:hAnsiTheme="minorHAnsi"/>
              <w:b w:val="0"/>
              <w:sz w:val="22"/>
              <w:szCs w:val="22"/>
              <w:lang w:eastAsia="en-GB"/>
            </w:rPr>
          </w:pPr>
          <w:hyperlink w:anchor="_Toc78208925" w:history="1">
            <w:r w:rsidRPr="005773F6">
              <w:rPr>
                <w:rStyle w:val="Hyperlink"/>
              </w:rPr>
              <w:t>3.0</w:t>
            </w:r>
            <w:r>
              <w:rPr>
                <w:rFonts w:asciiTheme="minorHAnsi" w:hAnsiTheme="minorHAnsi"/>
                <w:b w:val="0"/>
                <w:sz w:val="22"/>
                <w:szCs w:val="22"/>
                <w:lang w:eastAsia="en-GB"/>
              </w:rPr>
              <w:tab/>
            </w:r>
            <w:r w:rsidRPr="005773F6">
              <w:rPr>
                <w:rStyle w:val="Hyperlink"/>
              </w:rPr>
              <w:t>International Standards</w:t>
            </w:r>
            <w:r>
              <w:rPr>
                <w:webHidden/>
              </w:rPr>
              <w:tab/>
            </w:r>
            <w:r>
              <w:rPr>
                <w:webHidden/>
              </w:rPr>
              <w:fldChar w:fldCharType="begin"/>
            </w:r>
            <w:r>
              <w:rPr>
                <w:webHidden/>
              </w:rPr>
              <w:instrText xml:space="preserve"> PAGEREF _Toc78208925 \h </w:instrText>
            </w:r>
            <w:r>
              <w:rPr>
                <w:webHidden/>
              </w:rPr>
            </w:r>
            <w:r>
              <w:rPr>
                <w:webHidden/>
              </w:rPr>
              <w:fldChar w:fldCharType="separate"/>
            </w:r>
            <w:r w:rsidR="005113CC">
              <w:rPr>
                <w:webHidden/>
              </w:rPr>
              <w:t>10</w:t>
            </w:r>
            <w:r>
              <w:rPr>
                <w:webHidden/>
              </w:rPr>
              <w:fldChar w:fldCharType="end"/>
            </w:r>
          </w:hyperlink>
        </w:p>
        <w:p w14:paraId="5E36831F" w14:textId="40149750" w:rsidR="002634A7" w:rsidRDefault="002634A7">
          <w:pPr>
            <w:pStyle w:val="TOC1"/>
            <w:rPr>
              <w:rFonts w:asciiTheme="minorHAnsi" w:hAnsiTheme="minorHAnsi"/>
              <w:b w:val="0"/>
              <w:sz w:val="22"/>
              <w:szCs w:val="22"/>
              <w:lang w:eastAsia="en-GB"/>
            </w:rPr>
          </w:pPr>
          <w:hyperlink w:anchor="_Toc78208926" w:history="1">
            <w:r w:rsidRPr="005773F6">
              <w:rPr>
                <w:rStyle w:val="Hyperlink"/>
              </w:rPr>
              <w:t>4.0</w:t>
            </w:r>
            <w:r>
              <w:rPr>
                <w:rFonts w:asciiTheme="minorHAnsi" w:hAnsiTheme="minorHAnsi"/>
                <w:b w:val="0"/>
                <w:sz w:val="22"/>
                <w:szCs w:val="22"/>
                <w:lang w:eastAsia="en-GB"/>
              </w:rPr>
              <w:tab/>
            </w:r>
            <w:r w:rsidRPr="005773F6">
              <w:rPr>
                <w:rStyle w:val="Hyperlink"/>
              </w:rPr>
              <w:t>Responding to Trauma and Preventing Secondary Victimisation</w:t>
            </w:r>
            <w:r>
              <w:rPr>
                <w:webHidden/>
              </w:rPr>
              <w:tab/>
            </w:r>
            <w:r>
              <w:rPr>
                <w:webHidden/>
              </w:rPr>
              <w:fldChar w:fldCharType="begin"/>
            </w:r>
            <w:r>
              <w:rPr>
                <w:webHidden/>
              </w:rPr>
              <w:instrText xml:space="preserve"> PAGEREF _Toc78208926 \h </w:instrText>
            </w:r>
            <w:r>
              <w:rPr>
                <w:webHidden/>
              </w:rPr>
            </w:r>
            <w:r>
              <w:rPr>
                <w:webHidden/>
              </w:rPr>
              <w:fldChar w:fldCharType="separate"/>
            </w:r>
            <w:r w:rsidR="005113CC">
              <w:rPr>
                <w:webHidden/>
              </w:rPr>
              <w:t>12</w:t>
            </w:r>
            <w:r>
              <w:rPr>
                <w:webHidden/>
              </w:rPr>
              <w:fldChar w:fldCharType="end"/>
            </w:r>
          </w:hyperlink>
        </w:p>
        <w:p w14:paraId="6C513545" w14:textId="4EAA6795" w:rsidR="002634A7" w:rsidRDefault="002634A7">
          <w:pPr>
            <w:pStyle w:val="TOC1"/>
            <w:rPr>
              <w:rFonts w:asciiTheme="minorHAnsi" w:hAnsiTheme="minorHAnsi"/>
              <w:b w:val="0"/>
              <w:sz w:val="22"/>
              <w:szCs w:val="22"/>
              <w:lang w:eastAsia="en-GB"/>
            </w:rPr>
          </w:pPr>
          <w:hyperlink w:anchor="_Toc78208927" w:history="1">
            <w:r w:rsidRPr="005773F6">
              <w:rPr>
                <w:rStyle w:val="Hyperlink"/>
              </w:rPr>
              <w:t>5.0</w:t>
            </w:r>
            <w:r>
              <w:rPr>
                <w:rFonts w:asciiTheme="minorHAnsi" w:hAnsiTheme="minorHAnsi"/>
                <w:b w:val="0"/>
                <w:sz w:val="22"/>
                <w:szCs w:val="22"/>
                <w:lang w:eastAsia="en-GB"/>
              </w:rPr>
              <w:tab/>
            </w:r>
            <w:r w:rsidRPr="005773F6">
              <w:rPr>
                <w:rStyle w:val="Hyperlink"/>
              </w:rPr>
              <w:t>Marginalised Groups</w:t>
            </w:r>
            <w:r>
              <w:rPr>
                <w:webHidden/>
              </w:rPr>
              <w:tab/>
            </w:r>
            <w:r>
              <w:rPr>
                <w:webHidden/>
              </w:rPr>
              <w:fldChar w:fldCharType="begin"/>
            </w:r>
            <w:r>
              <w:rPr>
                <w:webHidden/>
              </w:rPr>
              <w:instrText xml:space="preserve"> PAGEREF _Toc78208927 \h </w:instrText>
            </w:r>
            <w:r>
              <w:rPr>
                <w:webHidden/>
              </w:rPr>
            </w:r>
            <w:r>
              <w:rPr>
                <w:webHidden/>
              </w:rPr>
              <w:fldChar w:fldCharType="separate"/>
            </w:r>
            <w:r w:rsidR="005113CC">
              <w:rPr>
                <w:webHidden/>
              </w:rPr>
              <w:t>16</w:t>
            </w:r>
            <w:r>
              <w:rPr>
                <w:webHidden/>
              </w:rPr>
              <w:fldChar w:fldCharType="end"/>
            </w:r>
          </w:hyperlink>
        </w:p>
        <w:p w14:paraId="02757F52" w14:textId="1B2F6BC0" w:rsidR="002634A7" w:rsidRDefault="002634A7">
          <w:pPr>
            <w:pStyle w:val="TOC1"/>
            <w:rPr>
              <w:rFonts w:asciiTheme="minorHAnsi" w:hAnsiTheme="minorHAnsi"/>
              <w:b w:val="0"/>
              <w:sz w:val="22"/>
              <w:szCs w:val="22"/>
              <w:lang w:eastAsia="en-GB"/>
            </w:rPr>
          </w:pPr>
          <w:hyperlink w:anchor="_Toc78208928" w:history="1">
            <w:r w:rsidRPr="005773F6">
              <w:rPr>
                <w:rStyle w:val="Hyperlink"/>
              </w:rPr>
              <w:t>6.0</w:t>
            </w:r>
            <w:r>
              <w:rPr>
                <w:rFonts w:asciiTheme="minorHAnsi" w:hAnsiTheme="minorHAnsi"/>
                <w:b w:val="0"/>
                <w:sz w:val="22"/>
                <w:szCs w:val="22"/>
                <w:lang w:eastAsia="en-GB"/>
              </w:rPr>
              <w:tab/>
            </w:r>
            <w:r w:rsidRPr="005773F6">
              <w:rPr>
                <w:rStyle w:val="Hyperlink"/>
              </w:rPr>
              <w:t>Part B: Victims of Crime Commissioner</w:t>
            </w:r>
            <w:r>
              <w:rPr>
                <w:webHidden/>
              </w:rPr>
              <w:tab/>
            </w:r>
            <w:r>
              <w:rPr>
                <w:webHidden/>
              </w:rPr>
              <w:fldChar w:fldCharType="begin"/>
            </w:r>
            <w:r>
              <w:rPr>
                <w:webHidden/>
              </w:rPr>
              <w:instrText xml:space="preserve"> PAGEREF _Toc78208928 \h </w:instrText>
            </w:r>
            <w:r>
              <w:rPr>
                <w:webHidden/>
              </w:rPr>
            </w:r>
            <w:r>
              <w:rPr>
                <w:webHidden/>
              </w:rPr>
              <w:fldChar w:fldCharType="separate"/>
            </w:r>
            <w:r w:rsidR="005113CC">
              <w:rPr>
                <w:webHidden/>
              </w:rPr>
              <w:t>23</w:t>
            </w:r>
            <w:r>
              <w:rPr>
                <w:webHidden/>
              </w:rPr>
              <w:fldChar w:fldCharType="end"/>
            </w:r>
          </w:hyperlink>
        </w:p>
        <w:p w14:paraId="2ADD1793" w14:textId="70A22BF3" w:rsidR="007F3DC3" w:rsidRDefault="007F3DC3" w:rsidP="007F3DC3">
          <w:r>
            <w:rPr>
              <w:b/>
              <w:bCs/>
              <w:noProof/>
            </w:rPr>
            <w:fldChar w:fldCharType="end"/>
          </w:r>
        </w:p>
      </w:sdtContent>
    </w:sdt>
    <w:p w14:paraId="7EDE3B44" w14:textId="77777777" w:rsidR="007F3DC3" w:rsidRDefault="007F3DC3">
      <w:pPr>
        <w:spacing w:after="160" w:line="259" w:lineRule="auto"/>
        <w:rPr>
          <w:rFonts w:eastAsiaTheme="majorEastAsia" w:cstheme="majorBidi"/>
          <w:b/>
          <w:color w:val="77328A"/>
          <w:sz w:val="30"/>
          <w:szCs w:val="32"/>
        </w:rPr>
      </w:pPr>
    </w:p>
    <w:p w14:paraId="2E9489E1" w14:textId="77777777" w:rsidR="00AB45DE" w:rsidRDefault="00AB45DE">
      <w:pPr>
        <w:spacing w:after="160" w:line="259" w:lineRule="auto"/>
        <w:rPr>
          <w:rFonts w:eastAsia="Times New Roman" w:cs="Verdana"/>
          <w:b/>
          <w:bCs/>
          <w:color w:val="000000"/>
          <w:szCs w:val="22"/>
          <w:lang w:eastAsia="en-GB"/>
        </w:rPr>
      </w:pPr>
      <w:r>
        <w:rPr>
          <w:rFonts w:eastAsia="Times New Roman" w:cs="Verdana"/>
          <w:bCs/>
          <w:color w:val="000000"/>
          <w:szCs w:val="22"/>
          <w:lang w:eastAsia="en-GB"/>
        </w:rPr>
        <w:br w:type="page"/>
      </w:r>
    </w:p>
    <w:p w14:paraId="137A3F0E" w14:textId="77777777" w:rsidR="005F0165" w:rsidRDefault="005F0165" w:rsidP="00703FFF">
      <w:pPr>
        <w:pStyle w:val="Heading1"/>
        <w:jc w:val="both"/>
      </w:pPr>
      <w:bookmarkStart w:id="0" w:name="_Toc78208922"/>
      <w:r>
        <w:lastRenderedPageBreak/>
        <w:t>Summary of Recommendations</w:t>
      </w:r>
      <w:bookmarkEnd w:id="0"/>
    </w:p>
    <w:p w14:paraId="53D1A60B" w14:textId="77777777" w:rsidR="00AB45DE" w:rsidRDefault="00AB45DE" w:rsidP="00AB45DE">
      <w:pPr>
        <w:jc w:val="both"/>
        <w:rPr>
          <w:b/>
        </w:rPr>
      </w:pPr>
    </w:p>
    <w:p w14:paraId="2CDBE969" w14:textId="37BDD9FD" w:rsidR="00AB45DE" w:rsidRDefault="00AB45DE" w:rsidP="00AB45DE">
      <w:pPr>
        <w:jc w:val="both"/>
        <w:rPr>
          <w:b/>
        </w:rPr>
      </w:pPr>
      <w:r>
        <w:rPr>
          <w:b/>
        </w:rPr>
        <w:t xml:space="preserve">The NI Human Rights Commission recommends: </w:t>
      </w:r>
    </w:p>
    <w:p w14:paraId="09609D2C" w14:textId="5A7A67CA" w:rsidR="00932FEE" w:rsidRDefault="00932FEE" w:rsidP="00AB45DE">
      <w:pPr>
        <w:jc w:val="both"/>
        <w:rPr>
          <w:b/>
        </w:rPr>
      </w:pPr>
    </w:p>
    <w:p w14:paraId="207CC210" w14:textId="3C08B2CF" w:rsidR="00CF4923" w:rsidRPr="000741A0" w:rsidRDefault="00CF4923" w:rsidP="000741A0">
      <w:pPr>
        <w:pStyle w:val="ListParagraph"/>
        <w:numPr>
          <w:ilvl w:val="1"/>
          <w:numId w:val="21"/>
        </w:numPr>
        <w:spacing w:line="276" w:lineRule="auto"/>
        <w:jc w:val="both"/>
      </w:pPr>
      <w:r w:rsidRPr="000741A0">
        <w:t xml:space="preserve">The Commission suggests that a commitment to joined-up working is required to effectively develop and deliver a Strategy for Victims and Witnesses, including the issue of witness protection and recommends that this work is closely aligned to specific areas of work including but not limited to the Gillen Review, CSE Law Review, Hate Crime Review, Domestic Abuse and Civil Proceedings Act, Stalking Bill,  the Human Trafficking and Exploitation (Criminal Justice and Support for Victims) Act (Northern Ireland) 2015, </w:t>
      </w:r>
      <w:r w:rsidRPr="000741A0">
        <w:rPr>
          <w:rFonts w:eastAsia="Verdana"/>
        </w:rPr>
        <w:t>and work to reduce delay in the criminal justice system, as well as relevant activity undertaken across other Executive departments and criminal justice agencies.</w:t>
      </w:r>
      <w:r w:rsidRPr="000741A0">
        <w:t xml:space="preserve"> </w:t>
      </w:r>
    </w:p>
    <w:p w14:paraId="34C07E1A" w14:textId="6393F5A3" w:rsidR="008D6E5E" w:rsidRPr="000741A0" w:rsidRDefault="008D6E5E" w:rsidP="000741A0">
      <w:pPr>
        <w:spacing w:line="276" w:lineRule="auto"/>
        <w:jc w:val="both"/>
      </w:pPr>
    </w:p>
    <w:p w14:paraId="39D368DB" w14:textId="3D11C716" w:rsidR="008D6E5E" w:rsidRPr="000741A0" w:rsidRDefault="008D6E5E" w:rsidP="000741A0">
      <w:pPr>
        <w:pStyle w:val="ListParagraph"/>
        <w:numPr>
          <w:ilvl w:val="1"/>
          <w:numId w:val="28"/>
        </w:numPr>
        <w:spacing w:line="276" w:lineRule="auto"/>
        <w:jc w:val="both"/>
      </w:pPr>
      <w:r w:rsidRPr="000741A0">
        <w:rPr>
          <w:rFonts w:eastAsia="Verdana"/>
        </w:rPr>
        <w:t xml:space="preserve">The Commission recommends that the Strategy is provided with ongoing, ring fenced resources and includes clear goals, </w:t>
      </w:r>
      <w:proofErr w:type="gramStart"/>
      <w:r w:rsidRPr="000741A0">
        <w:rPr>
          <w:rFonts w:eastAsia="Verdana"/>
        </w:rPr>
        <w:t>targets</w:t>
      </w:r>
      <w:proofErr w:type="gramEnd"/>
      <w:r w:rsidRPr="000741A0">
        <w:rPr>
          <w:rFonts w:eastAsia="Verdana"/>
        </w:rPr>
        <w:t xml:space="preserve"> and timelines to ensure a way in which to measure improvement.</w:t>
      </w:r>
    </w:p>
    <w:p w14:paraId="76030B68" w14:textId="6E5F6552" w:rsidR="004A42DD" w:rsidRPr="000741A0" w:rsidRDefault="004A42DD" w:rsidP="000741A0">
      <w:pPr>
        <w:spacing w:line="276" w:lineRule="auto"/>
        <w:jc w:val="both"/>
      </w:pPr>
    </w:p>
    <w:p w14:paraId="258775D5" w14:textId="069CF435" w:rsidR="004A42DD" w:rsidRPr="000741A0" w:rsidRDefault="004A42DD" w:rsidP="000741A0">
      <w:pPr>
        <w:pStyle w:val="ListParagraph"/>
        <w:numPr>
          <w:ilvl w:val="1"/>
          <w:numId w:val="24"/>
        </w:numPr>
        <w:spacing w:line="276" w:lineRule="auto"/>
        <w:jc w:val="both"/>
        <w:rPr>
          <w:rFonts w:eastAsia="Verdana"/>
        </w:rPr>
      </w:pPr>
      <w:r w:rsidRPr="000741A0">
        <w:rPr>
          <w:rFonts w:eastAsia="Verdana"/>
        </w:rPr>
        <w:t>The Commission recommends the Strategy takes a human rights-based approach, is guided by all relevant international human rights standards and that they are specifically referenced within the Strategy.</w:t>
      </w:r>
    </w:p>
    <w:p w14:paraId="74F1C745" w14:textId="7A76A051" w:rsidR="00FA3E2F" w:rsidRPr="000741A0" w:rsidRDefault="00FA3E2F" w:rsidP="000741A0">
      <w:pPr>
        <w:pStyle w:val="ListParagraph"/>
        <w:spacing w:line="276" w:lineRule="auto"/>
        <w:jc w:val="both"/>
      </w:pPr>
    </w:p>
    <w:p w14:paraId="47DB6638" w14:textId="065887B9" w:rsidR="000C7773" w:rsidRPr="000741A0" w:rsidRDefault="000C7773" w:rsidP="000741A0">
      <w:pPr>
        <w:pStyle w:val="ListParagraph"/>
        <w:numPr>
          <w:ilvl w:val="1"/>
          <w:numId w:val="23"/>
        </w:numPr>
        <w:spacing w:after="186" w:line="276" w:lineRule="auto"/>
        <w:ind w:right="75"/>
        <w:jc w:val="both"/>
        <w:rPr>
          <w:rFonts w:eastAsia="Times New Roman" w:cs="Verdana"/>
          <w:color w:val="000000"/>
          <w:szCs w:val="22"/>
          <w:lang w:eastAsia="en-GB"/>
        </w:rPr>
      </w:pPr>
      <w:r w:rsidRPr="000741A0">
        <w:rPr>
          <w:rFonts w:eastAsia="Times New Roman" w:cs="Verdana"/>
          <w:color w:val="000000"/>
          <w:szCs w:val="22"/>
          <w:lang w:eastAsia="en-GB"/>
        </w:rPr>
        <w:t>The Commission advises that the Department should undertake to ensure full compliance with developments in international human rights law and to keep under review national and European developments in relation to the treatment of victims, and that this should be reflected in the aims of the Strategy.</w:t>
      </w:r>
      <w:r w:rsidRPr="000741A0">
        <w:rPr>
          <w:rFonts w:ascii="Times New Roman" w:eastAsia="Times New Roman" w:hAnsi="Times New Roman" w:cs="Times New Roman"/>
          <w:color w:val="000000"/>
          <w:sz w:val="22"/>
          <w:szCs w:val="22"/>
          <w:lang w:eastAsia="en-GB"/>
        </w:rPr>
        <w:t xml:space="preserve"> </w:t>
      </w:r>
      <w:r w:rsidRPr="000741A0">
        <w:rPr>
          <w:rFonts w:eastAsia="Times New Roman" w:cs="Verdana"/>
          <w:color w:val="000000"/>
          <w:szCs w:val="22"/>
          <w:lang w:eastAsia="en-GB"/>
        </w:rPr>
        <w:t xml:space="preserve"> </w:t>
      </w:r>
    </w:p>
    <w:p w14:paraId="0D5B6FAB" w14:textId="07D7B416" w:rsidR="008F0B21" w:rsidRPr="000741A0" w:rsidRDefault="008F0B21" w:rsidP="000741A0">
      <w:pPr>
        <w:pStyle w:val="ListParagraph"/>
        <w:spacing w:after="186" w:line="276" w:lineRule="auto"/>
        <w:ind w:left="420" w:right="75"/>
        <w:jc w:val="both"/>
        <w:rPr>
          <w:rFonts w:eastAsia="Times New Roman" w:cs="Verdana"/>
          <w:color w:val="000000"/>
          <w:szCs w:val="22"/>
          <w:lang w:eastAsia="en-GB"/>
        </w:rPr>
      </w:pPr>
    </w:p>
    <w:p w14:paraId="06CEC453" w14:textId="0BBAB9D9" w:rsidR="008F0B21" w:rsidRPr="000741A0" w:rsidRDefault="008F0B21" w:rsidP="000741A0">
      <w:pPr>
        <w:pStyle w:val="ListParagraph"/>
        <w:numPr>
          <w:ilvl w:val="1"/>
          <w:numId w:val="25"/>
        </w:numPr>
        <w:spacing w:line="276" w:lineRule="auto"/>
        <w:jc w:val="both"/>
      </w:pPr>
      <w:r w:rsidRPr="000741A0">
        <w:t xml:space="preserve">The Commission recommends that trauma-informed approaches including training is </w:t>
      </w:r>
      <w:proofErr w:type="spellStart"/>
      <w:r w:rsidRPr="000741A0">
        <w:t>expeditely</w:t>
      </w:r>
      <w:proofErr w:type="spellEnd"/>
      <w:r w:rsidRPr="000741A0">
        <w:t xml:space="preserve"> developed and sufficiently resourced within the criminal justice system to prevent re-traumatisation and secondary victimisation of victims and witnesses. Embedding this approach should be informed by the views and experiences of victims and witnesses. </w:t>
      </w:r>
    </w:p>
    <w:p w14:paraId="454E6929" w14:textId="77777777" w:rsidR="008F0B21" w:rsidRPr="000741A0" w:rsidRDefault="008F0B21" w:rsidP="000741A0">
      <w:pPr>
        <w:pStyle w:val="ListParagraph"/>
        <w:spacing w:line="276" w:lineRule="auto"/>
        <w:jc w:val="both"/>
      </w:pPr>
    </w:p>
    <w:p w14:paraId="6C252EE5" w14:textId="2B802793" w:rsidR="008F0B21" w:rsidRPr="000741A0" w:rsidRDefault="008F0B21" w:rsidP="000741A0">
      <w:pPr>
        <w:pStyle w:val="ListParagraph"/>
        <w:numPr>
          <w:ilvl w:val="1"/>
          <w:numId w:val="25"/>
        </w:numPr>
        <w:spacing w:line="276" w:lineRule="auto"/>
        <w:jc w:val="both"/>
      </w:pPr>
      <w:r w:rsidRPr="000741A0">
        <w:t>The Commission continues to call on the Department to fully resource and implement the Gillen Review recommendations.</w:t>
      </w:r>
    </w:p>
    <w:p w14:paraId="792475F9" w14:textId="4AD662C7" w:rsidR="008F0B21" w:rsidRPr="000741A0" w:rsidRDefault="008F0B21" w:rsidP="000741A0">
      <w:pPr>
        <w:pStyle w:val="ListParagraph"/>
        <w:spacing w:after="186" w:line="276" w:lineRule="auto"/>
        <w:ind w:left="420" w:right="75"/>
        <w:jc w:val="both"/>
        <w:rPr>
          <w:rFonts w:eastAsia="Times New Roman" w:cs="Verdana"/>
          <w:color w:val="000000"/>
          <w:szCs w:val="22"/>
          <w:lang w:eastAsia="en-GB"/>
        </w:rPr>
      </w:pPr>
    </w:p>
    <w:p w14:paraId="77CFA09D" w14:textId="32E383E2" w:rsidR="0035101D" w:rsidRPr="000741A0" w:rsidRDefault="0035101D" w:rsidP="000741A0">
      <w:pPr>
        <w:pStyle w:val="ListParagraph"/>
        <w:numPr>
          <w:ilvl w:val="1"/>
          <w:numId w:val="30"/>
        </w:numPr>
        <w:spacing w:line="276" w:lineRule="auto"/>
        <w:jc w:val="both"/>
      </w:pPr>
      <w:r w:rsidRPr="000741A0">
        <w:lastRenderedPageBreak/>
        <w:t>The Commission recommends that in addition to engaging with victims and their representative groups, the Department engages with civic society, alongside colleagues within the Department of Justice on the Review of Hate Crime Legislation and with the Department for Communities on the development of the Social Inclusion Strategies to ensure specific needs and rights are reflected in the Strategy.</w:t>
      </w:r>
    </w:p>
    <w:p w14:paraId="1D9853B2" w14:textId="71CD483D" w:rsidR="0035101D" w:rsidRPr="000741A0" w:rsidRDefault="0035101D" w:rsidP="000741A0">
      <w:pPr>
        <w:pStyle w:val="ListParagraph"/>
        <w:spacing w:after="186" w:line="276" w:lineRule="auto"/>
        <w:ind w:left="420" w:right="75"/>
        <w:jc w:val="both"/>
        <w:rPr>
          <w:rFonts w:eastAsia="Times New Roman" w:cs="Verdana"/>
          <w:color w:val="000000"/>
          <w:szCs w:val="22"/>
          <w:lang w:eastAsia="en-GB"/>
        </w:rPr>
      </w:pPr>
    </w:p>
    <w:p w14:paraId="5B662272" w14:textId="6304C497" w:rsidR="00740C24" w:rsidRPr="000741A0" w:rsidRDefault="00740C24" w:rsidP="000741A0">
      <w:pPr>
        <w:pStyle w:val="ListParagraph"/>
        <w:numPr>
          <w:ilvl w:val="1"/>
          <w:numId w:val="32"/>
        </w:numPr>
        <w:spacing w:line="276" w:lineRule="auto"/>
        <w:jc w:val="both"/>
        <w:rPr>
          <w:rFonts w:cs="Arial"/>
        </w:rPr>
      </w:pPr>
      <w:r w:rsidRPr="000741A0">
        <w:rPr>
          <w:rFonts w:cs="Arial"/>
        </w:rPr>
        <w:t xml:space="preserve">The Commission continues to raise concerns about violence against women and girls in NI and supports calls for a strategy to address this. The Commission recommends that gender is mainstreamed through the Victim and Witness Strategy to ensure effective support and remedy for victims of gender-based violence. </w:t>
      </w:r>
    </w:p>
    <w:p w14:paraId="6B3AE78F" w14:textId="77777777" w:rsidR="00740C24" w:rsidRPr="000741A0" w:rsidRDefault="00740C24" w:rsidP="000741A0">
      <w:pPr>
        <w:spacing w:line="276" w:lineRule="auto"/>
        <w:jc w:val="both"/>
        <w:rPr>
          <w:rFonts w:cs="Arial"/>
        </w:rPr>
      </w:pPr>
    </w:p>
    <w:p w14:paraId="7030C378" w14:textId="5BEB9C79" w:rsidR="00740C24" w:rsidRPr="000741A0" w:rsidRDefault="00740C24" w:rsidP="000741A0">
      <w:pPr>
        <w:pStyle w:val="ListParagraph"/>
        <w:numPr>
          <w:ilvl w:val="1"/>
          <w:numId w:val="32"/>
        </w:numPr>
        <w:spacing w:line="276" w:lineRule="auto"/>
        <w:jc w:val="both"/>
      </w:pPr>
      <w:r w:rsidRPr="000741A0">
        <w:rPr>
          <w:rFonts w:cs="Arial"/>
        </w:rPr>
        <w:t>The Commission continues to call on the UK Government to ratify the Istanbul Convention and advises the Department to continue to work with the UK Government on achieving this goal, including ensuring that the resulting Victims and Witness Strategy is compliant with the Istanbul Convention.</w:t>
      </w:r>
    </w:p>
    <w:p w14:paraId="6B594983" w14:textId="77777777" w:rsidR="00740C24" w:rsidRPr="000741A0" w:rsidRDefault="00740C24" w:rsidP="000741A0">
      <w:pPr>
        <w:pStyle w:val="ListParagraph"/>
        <w:spacing w:after="186" w:line="276" w:lineRule="auto"/>
        <w:ind w:left="420" w:right="75"/>
        <w:jc w:val="both"/>
        <w:rPr>
          <w:rFonts w:eastAsia="Times New Roman" w:cs="Verdana"/>
          <w:color w:val="000000"/>
          <w:szCs w:val="22"/>
          <w:lang w:eastAsia="en-GB"/>
        </w:rPr>
      </w:pPr>
    </w:p>
    <w:p w14:paraId="54DE49EF" w14:textId="14F91296" w:rsidR="00740C24" w:rsidRPr="000741A0" w:rsidRDefault="00740C24" w:rsidP="000741A0">
      <w:pPr>
        <w:pStyle w:val="ListParagraph"/>
        <w:numPr>
          <w:ilvl w:val="1"/>
          <w:numId w:val="33"/>
        </w:numPr>
        <w:spacing w:after="39" w:line="276" w:lineRule="auto"/>
        <w:jc w:val="both"/>
      </w:pPr>
      <w:r w:rsidRPr="000741A0">
        <w:rPr>
          <w:rFonts w:eastAsia="Times New Roman" w:cs="Verdana"/>
          <w:color w:val="000000"/>
          <w:szCs w:val="22"/>
          <w:lang w:eastAsia="en-GB"/>
        </w:rPr>
        <w:t xml:space="preserve">The Commission recommends that a child-centred, trauma-informed approach is taken to develop specific support measures for child victims and witnesses to ensure children’s needs are met and their rights upheld. This should include development of the </w:t>
      </w:r>
      <w:proofErr w:type="spellStart"/>
      <w:r w:rsidRPr="000741A0">
        <w:rPr>
          <w:rFonts w:eastAsia="Times New Roman" w:cs="Verdana"/>
          <w:color w:val="000000"/>
          <w:szCs w:val="22"/>
          <w:lang w:eastAsia="en-GB"/>
        </w:rPr>
        <w:t>Barnahus</w:t>
      </w:r>
      <w:proofErr w:type="spellEnd"/>
      <w:r w:rsidRPr="000741A0">
        <w:rPr>
          <w:rFonts w:eastAsia="Times New Roman" w:cs="Verdana"/>
          <w:color w:val="000000"/>
          <w:szCs w:val="22"/>
          <w:lang w:eastAsia="en-GB"/>
        </w:rPr>
        <w:t xml:space="preserve"> Model. </w:t>
      </w:r>
    </w:p>
    <w:p w14:paraId="6EC74AC9" w14:textId="77777777" w:rsidR="00740C24" w:rsidRPr="000741A0" w:rsidRDefault="00740C24" w:rsidP="000741A0">
      <w:pPr>
        <w:pStyle w:val="ListParagraph"/>
        <w:jc w:val="both"/>
        <w:rPr>
          <w:rFonts w:eastAsia="Times New Roman" w:cs="Verdana"/>
          <w:color w:val="000000"/>
          <w:szCs w:val="22"/>
          <w:lang w:eastAsia="en-GB"/>
        </w:rPr>
      </w:pPr>
    </w:p>
    <w:p w14:paraId="6E8CEF9C" w14:textId="1407AE02" w:rsidR="00740C24" w:rsidRPr="000741A0" w:rsidRDefault="00740C24" w:rsidP="000741A0">
      <w:pPr>
        <w:pStyle w:val="ListParagraph"/>
        <w:numPr>
          <w:ilvl w:val="1"/>
          <w:numId w:val="33"/>
        </w:numPr>
        <w:spacing w:after="39" w:line="276" w:lineRule="auto"/>
        <w:jc w:val="both"/>
      </w:pPr>
      <w:r w:rsidRPr="000741A0">
        <w:rPr>
          <w:rFonts w:eastAsia="Times New Roman" w:cs="Verdana"/>
          <w:color w:val="000000"/>
          <w:szCs w:val="22"/>
          <w:lang w:eastAsia="en-GB"/>
        </w:rPr>
        <w:t xml:space="preserve">The Commission recommends that training for legal professionals and all criminal justice personnel and support staff in contact with child victims and witnesses includes the UN Convention on the Rights of the Child, the Lanzarote </w:t>
      </w:r>
      <w:proofErr w:type="gramStart"/>
      <w:r w:rsidRPr="000741A0">
        <w:rPr>
          <w:rFonts w:eastAsia="Times New Roman" w:cs="Verdana"/>
          <w:color w:val="000000"/>
          <w:szCs w:val="22"/>
          <w:lang w:eastAsia="en-GB"/>
        </w:rPr>
        <w:t>Convention</w:t>
      </w:r>
      <w:proofErr w:type="gramEnd"/>
      <w:r w:rsidRPr="000741A0" w:rsidDel="009A6C3A">
        <w:rPr>
          <w:rFonts w:eastAsia="Times New Roman" w:cs="Verdana"/>
          <w:color w:val="000000"/>
          <w:szCs w:val="22"/>
          <w:lang w:eastAsia="en-GB"/>
        </w:rPr>
        <w:t xml:space="preserve"> </w:t>
      </w:r>
      <w:r w:rsidRPr="000741A0">
        <w:rPr>
          <w:rFonts w:eastAsia="Times New Roman" w:cs="Verdana"/>
          <w:color w:val="000000"/>
          <w:szCs w:val="22"/>
          <w:lang w:eastAsia="en-GB"/>
        </w:rPr>
        <w:t xml:space="preserve">and an understanding of Adverse Childhood Experiences (ACEs). </w:t>
      </w:r>
    </w:p>
    <w:p w14:paraId="13E97EF6" w14:textId="77777777" w:rsidR="00FD13F1" w:rsidRPr="000741A0" w:rsidRDefault="00FD13F1" w:rsidP="000741A0">
      <w:pPr>
        <w:pStyle w:val="ListParagraph"/>
        <w:jc w:val="both"/>
      </w:pPr>
    </w:p>
    <w:p w14:paraId="5241AE78" w14:textId="3459BC8C" w:rsidR="00FD13F1" w:rsidRPr="000741A0" w:rsidRDefault="00FD13F1" w:rsidP="000741A0">
      <w:pPr>
        <w:pStyle w:val="ListParagraph"/>
        <w:numPr>
          <w:ilvl w:val="1"/>
          <w:numId w:val="35"/>
        </w:numPr>
        <w:spacing w:line="276" w:lineRule="auto"/>
        <w:jc w:val="both"/>
        <w:rPr>
          <w:rFonts w:cs="Arial"/>
          <w:color w:val="232120"/>
        </w:rPr>
      </w:pPr>
      <w:r w:rsidRPr="000741A0">
        <w:t>The Commission recommends that the Department provides clarity on how the Victims of Crime Commissioner would operate; how they would relate to other Commissioners in the short and long-term; how independence would be assured; and the extent of the Commissioner’s powers which should include initiating his or her own investigations and to intervene and initiate legal proceedings.</w:t>
      </w:r>
    </w:p>
    <w:p w14:paraId="05AB33A9" w14:textId="77777777" w:rsidR="00FD13F1" w:rsidRDefault="00FD13F1" w:rsidP="00FD13F1">
      <w:pPr>
        <w:spacing w:after="39" w:line="276" w:lineRule="auto"/>
        <w:jc w:val="both"/>
      </w:pPr>
    </w:p>
    <w:p w14:paraId="7BBF2463" w14:textId="7BB65D2F" w:rsidR="008F0B21" w:rsidRDefault="008F0B21" w:rsidP="008F0B21">
      <w:pPr>
        <w:spacing w:after="186" w:line="276" w:lineRule="auto"/>
        <w:ind w:right="75"/>
        <w:jc w:val="both"/>
        <w:rPr>
          <w:rFonts w:eastAsia="Times New Roman" w:cs="Verdana"/>
          <w:b/>
          <w:bCs/>
          <w:color w:val="000000"/>
          <w:szCs w:val="22"/>
          <w:lang w:eastAsia="en-GB"/>
        </w:rPr>
      </w:pPr>
    </w:p>
    <w:p w14:paraId="787F5A89" w14:textId="77777777" w:rsidR="00FA566B" w:rsidRDefault="00FA566B">
      <w:pPr>
        <w:spacing w:after="160" w:line="259" w:lineRule="auto"/>
        <w:rPr>
          <w:rFonts w:eastAsiaTheme="majorEastAsia" w:cstheme="majorBidi"/>
          <w:b/>
          <w:color w:val="77328A"/>
          <w:sz w:val="30"/>
          <w:szCs w:val="32"/>
        </w:rPr>
      </w:pPr>
      <w:r>
        <w:br w:type="page"/>
      </w:r>
    </w:p>
    <w:p w14:paraId="48C13BB2" w14:textId="5CFF687B" w:rsidR="005F0165" w:rsidRDefault="005F0165" w:rsidP="00A144BD">
      <w:pPr>
        <w:pStyle w:val="Heading1"/>
        <w:numPr>
          <w:ilvl w:val="0"/>
          <w:numId w:val="36"/>
        </w:numPr>
        <w:jc w:val="both"/>
      </w:pPr>
      <w:bookmarkStart w:id="1" w:name="_Toc78208923"/>
      <w:r>
        <w:lastRenderedPageBreak/>
        <w:t>Introduction</w:t>
      </w:r>
      <w:bookmarkEnd w:id="1"/>
      <w:r>
        <w:t xml:space="preserve"> </w:t>
      </w:r>
    </w:p>
    <w:p w14:paraId="381BF44E" w14:textId="77777777" w:rsidR="005F0165" w:rsidRDefault="005F0165" w:rsidP="00703FFF">
      <w:pPr>
        <w:pStyle w:val="BasicParagraph"/>
        <w:suppressAutoHyphens/>
        <w:spacing w:before="24" w:after="24"/>
        <w:jc w:val="both"/>
        <w:rPr>
          <w:rFonts w:ascii="Verdana" w:hAnsi="Verdana" w:cs="Arial"/>
          <w:b/>
          <w:color w:val="77328A"/>
          <w:sz w:val="30"/>
          <w:szCs w:val="30"/>
        </w:rPr>
      </w:pPr>
    </w:p>
    <w:p w14:paraId="2378299B" w14:textId="77777777" w:rsidR="005F0165" w:rsidRDefault="005F0165" w:rsidP="00A2361E">
      <w:pPr>
        <w:spacing w:before="24" w:after="24" w:line="276" w:lineRule="auto"/>
        <w:ind w:left="709" w:hanging="709"/>
        <w:jc w:val="both"/>
      </w:pPr>
      <w:r>
        <w:t>1.1</w:t>
      </w:r>
      <w:r>
        <w:tab/>
        <w:t>The Northern Ireland Human Rights Commission (the Commission), pursuant to Section 69(1) the Northern Ireland Act 1998, reviews the adequacy and effectiveness of law and practice relating to the protection of human rights. In accordance with these functions, the following statutory advice is submitted to the Department of Justice in response to its consultation on</w:t>
      </w:r>
      <w:r w:rsidR="00AF2F68">
        <w:t xml:space="preserve"> improving the experiences of victims and witnesses in the criminal justice system, including a new three-year Victim and Witness Strategy for Northern Ireland and the establishment of a Victims of Crime Commissioner for Northern Ireland</w:t>
      </w:r>
      <w:r>
        <w:t xml:space="preserve">. </w:t>
      </w:r>
    </w:p>
    <w:p w14:paraId="53E0EDE8" w14:textId="77777777" w:rsidR="00AF2F68" w:rsidRDefault="00AF2F68" w:rsidP="00A2361E">
      <w:pPr>
        <w:spacing w:line="276" w:lineRule="auto"/>
        <w:ind w:left="720"/>
        <w:contextualSpacing/>
        <w:jc w:val="both"/>
        <w:rPr>
          <w:rFonts w:eastAsiaTheme="minorHAnsi"/>
          <w:szCs w:val="22"/>
        </w:rPr>
      </w:pPr>
    </w:p>
    <w:p w14:paraId="7713CBDF" w14:textId="342503A8" w:rsidR="005F0165" w:rsidRDefault="005F0165" w:rsidP="00A2361E">
      <w:pPr>
        <w:numPr>
          <w:ilvl w:val="1"/>
          <w:numId w:val="3"/>
        </w:numPr>
        <w:spacing w:line="276" w:lineRule="auto"/>
        <w:contextualSpacing/>
        <w:jc w:val="both"/>
        <w:rPr>
          <w:rFonts w:eastAsiaTheme="minorHAnsi"/>
          <w:szCs w:val="22"/>
        </w:rPr>
      </w:pPr>
      <w:r>
        <w:rPr>
          <w:rFonts w:eastAsiaTheme="minorHAnsi"/>
          <w:szCs w:val="22"/>
        </w:rPr>
        <w:t>T</w:t>
      </w:r>
      <w:r>
        <w:rPr>
          <w:rFonts w:eastAsia="Calibri" w:cs="Times New Roman"/>
          <w:szCs w:val="22"/>
        </w:rPr>
        <w:t>he Commission bases its advice on the full range of internationally accepted human rights standards, including the European Convention on Human Rights as incorporated by the Human Rights Act 1998</w:t>
      </w:r>
      <w:r w:rsidR="00F5793F">
        <w:rPr>
          <w:rFonts w:eastAsia="Calibri" w:cs="Times New Roman"/>
          <w:szCs w:val="22"/>
        </w:rPr>
        <w:t>,</w:t>
      </w:r>
      <w:r>
        <w:rPr>
          <w:rFonts w:eastAsia="Calibri" w:cs="Times New Roman"/>
          <w:szCs w:val="22"/>
        </w:rPr>
        <w:t xml:space="preserve"> and the treaty obligations of the Council of Europe (</w:t>
      </w:r>
      <w:proofErr w:type="spellStart"/>
      <w:r>
        <w:rPr>
          <w:rFonts w:eastAsia="Calibri" w:cs="Times New Roman"/>
          <w:szCs w:val="22"/>
        </w:rPr>
        <w:t>CoE</w:t>
      </w:r>
      <w:proofErr w:type="spellEnd"/>
      <w:r>
        <w:rPr>
          <w:rFonts w:eastAsia="Calibri" w:cs="Times New Roman"/>
          <w:szCs w:val="22"/>
        </w:rPr>
        <w:t>), European Union (EU) and United Nations (UN) systems. The relevant international treaties in this context include:</w:t>
      </w:r>
    </w:p>
    <w:p w14:paraId="4D812E1C" w14:textId="77777777" w:rsidR="005F0165" w:rsidRDefault="005F0165" w:rsidP="00A2361E">
      <w:pPr>
        <w:autoSpaceDE w:val="0"/>
        <w:autoSpaceDN w:val="0"/>
        <w:adjustRightInd w:val="0"/>
        <w:spacing w:before="24" w:after="24" w:line="276" w:lineRule="auto"/>
        <w:jc w:val="both"/>
        <w:rPr>
          <w:rFonts w:cs="Verdana"/>
        </w:rPr>
      </w:pPr>
    </w:p>
    <w:p w14:paraId="6FD2CB00" w14:textId="4BAC1059" w:rsidR="005F0165" w:rsidRDefault="005F0165" w:rsidP="00A2361E">
      <w:pPr>
        <w:numPr>
          <w:ilvl w:val="0"/>
          <w:numId w:val="4"/>
        </w:numPr>
        <w:autoSpaceDE w:val="0"/>
        <w:autoSpaceDN w:val="0"/>
        <w:adjustRightInd w:val="0"/>
        <w:spacing w:line="276" w:lineRule="auto"/>
        <w:ind w:left="1797" w:hanging="357"/>
        <w:contextualSpacing/>
        <w:jc w:val="both"/>
        <w:rPr>
          <w:rFonts w:eastAsiaTheme="minorHAnsi"/>
          <w:szCs w:val="22"/>
        </w:rPr>
      </w:pPr>
      <w:r w:rsidRPr="005F0165">
        <w:rPr>
          <w:rFonts w:eastAsiaTheme="minorHAnsi"/>
          <w:szCs w:val="22"/>
        </w:rPr>
        <w:t>The European Convention on Human Rights, 1950 (‘ECHR’)</w:t>
      </w:r>
      <w:r w:rsidR="00995FEF">
        <w:rPr>
          <w:rStyle w:val="FootnoteReference"/>
          <w:rFonts w:eastAsiaTheme="minorHAnsi"/>
          <w:szCs w:val="22"/>
        </w:rPr>
        <w:footnoteReference w:id="1"/>
      </w:r>
      <w:r w:rsidRPr="005F0165">
        <w:rPr>
          <w:rFonts w:eastAsiaTheme="minorHAnsi"/>
          <w:szCs w:val="22"/>
        </w:rPr>
        <w:t xml:space="preserve"> </w:t>
      </w:r>
    </w:p>
    <w:p w14:paraId="04C2AF3F" w14:textId="5AD9D3FE" w:rsidR="005F0165" w:rsidRDefault="005F0165" w:rsidP="00A2361E">
      <w:pPr>
        <w:numPr>
          <w:ilvl w:val="0"/>
          <w:numId w:val="4"/>
        </w:numPr>
        <w:autoSpaceDE w:val="0"/>
        <w:autoSpaceDN w:val="0"/>
        <w:adjustRightInd w:val="0"/>
        <w:spacing w:line="276" w:lineRule="auto"/>
        <w:ind w:left="1797" w:hanging="357"/>
        <w:contextualSpacing/>
        <w:jc w:val="both"/>
        <w:rPr>
          <w:rFonts w:eastAsiaTheme="minorHAnsi"/>
          <w:szCs w:val="22"/>
        </w:rPr>
      </w:pPr>
      <w:r w:rsidRPr="005F0165">
        <w:rPr>
          <w:rFonts w:eastAsiaTheme="minorHAnsi"/>
          <w:szCs w:val="22"/>
        </w:rPr>
        <w:t>The International Covenant on Civil and Political Rights, 1966 (‘ICCPR’)</w:t>
      </w:r>
      <w:r w:rsidR="005159B9">
        <w:rPr>
          <w:rStyle w:val="FootnoteReference"/>
          <w:rFonts w:eastAsiaTheme="minorHAnsi"/>
          <w:szCs w:val="22"/>
        </w:rPr>
        <w:footnoteReference w:id="2"/>
      </w:r>
      <w:r>
        <w:rPr>
          <w:rFonts w:eastAsiaTheme="minorHAnsi"/>
          <w:szCs w:val="22"/>
        </w:rPr>
        <w:t xml:space="preserve"> </w:t>
      </w:r>
    </w:p>
    <w:p w14:paraId="3BC9BB42" w14:textId="31B4D963" w:rsidR="005F0165" w:rsidRDefault="005F0165" w:rsidP="00A2361E">
      <w:pPr>
        <w:numPr>
          <w:ilvl w:val="0"/>
          <w:numId w:val="4"/>
        </w:numPr>
        <w:autoSpaceDE w:val="0"/>
        <w:autoSpaceDN w:val="0"/>
        <w:adjustRightInd w:val="0"/>
        <w:spacing w:line="276" w:lineRule="auto"/>
        <w:ind w:left="1797" w:hanging="357"/>
        <w:contextualSpacing/>
        <w:jc w:val="both"/>
        <w:rPr>
          <w:rFonts w:eastAsiaTheme="minorHAnsi"/>
          <w:szCs w:val="22"/>
        </w:rPr>
      </w:pPr>
      <w:r w:rsidRPr="005F0165">
        <w:rPr>
          <w:rFonts w:eastAsiaTheme="minorHAnsi"/>
          <w:szCs w:val="22"/>
        </w:rPr>
        <w:t>The United Nations Convention on the Rights of the Child, 1989 (‘UNCRC’)</w:t>
      </w:r>
      <w:r w:rsidR="00837E9C" w:rsidRPr="00837E9C">
        <w:rPr>
          <w:rStyle w:val="FootnoteReference"/>
          <w:rFonts w:eastAsiaTheme="minorHAnsi"/>
          <w:szCs w:val="22"/>
        </w:rPr>
        <w:t xml:space="preserve"> </w:t>
      </w:r>
      <w:r w:rsidR="00837E9C">
        <w:rPr>
          <w:rStyle w:val="FootnoteReference"/>
          <w:rFonts w:eastAsiaTheme="minorHAnsi"/>
          <w:szCs w:val="22"/>
        </w:rPr>
        <w:footnoteReference w:id="3"/>
      </w:r>
      <w:r w:rsidR="00837E9C" w:rsidRPr="005F0165">
        <w:rPr>
          <w:rFonts w:eastAsiaTheme="minorHAnsi"/>
          <w:szCs w:val="22"/>
        </w:rPr>
        <w:t xml:space="preserve"> </w:t>
      </w:r>
      <w:r>
        <w:rPr>
          <w:rFonts w:eastAsiaTheme="minorHAnsi"/>
          <w:szCs w:val="22"/>
        </w:rPr>
        <w:t xml:space="preserve"> </w:t>
      </w:r>
    </w:p>
    <w:p w14:paraId="4521B5BB" w14:textId="6BE238ED" w:rsidR="005F0165" w:rsidRDefault="005F0165" w:rsidP="00A2361E">
      <w:pPr>
        <w:numPr>
          <w:ilvl w:val="0"/>
          <w:numId w:val="4"/>
        </w:numPr>
        <w:autoSpaceDE w:val="0"/>
        <w:autoSpaceDN w:val="0"/>
        <w:adjustRightInd w:val="0"/>
        <w:spacing w:line="276" w:lineRule="auto"/>
        <w:ind w:left="1797" w:hanging="357"/>
        <w:contextualSpacing/>
        <w:jc w:val="both"/>
        <w:rPr>
          <w:rFonts w:eastAsiaTheme="minorHAnsi"/>
          <w:szCs w:val="22"/>
        </w:rPr>
      </w:pPr>
      <w:r w:rsidRPr="005F0165">
        <w:rPr>
          <w:rFonts w:eastAsiaTheme="minorHAnsi"/>
          <w:szCs w:val="22"/>
        </w:rPr>
        <w:t>Optional Protocol to the Convention on the Rights of the Child on the sale of children, child prostitution and child pornography (‘Optional Protocol UNCRC’)</w:t>
      </w:r>
      <w:r w:rsidR="00837E9C">
        <w:rPr>
          <w:rStyle w:val="FootnoteReference"/>
          <w:rFonts w:eastAsiaTheme="minorHAnsi"/>
          <w:szCs w:val="22"/>
        </w:rPr>
        <w:footnoteReference w:id="4"/>
      </w:r>
      <w:r w:rsidRPr="005F0165">
        <w:rPr>
          <w:rFonts w:eastAsiaTheme="minorHAnsi"/>
          <w:szCs w:val="22"/>
        </w:rPr>
        <w:t xml:space="preserve"> </w:t>
      </w:r>
    </w:p>
    <w:p w14:paraId="3945B035" w14:textId="5D9E2637" w:rsidR="005F0165" w:rsidRDefault="005F0165" w:rsidP="00A2361E">
      <w:pPr>
        <w:numPr>
          <w:ilvl w:val="0"/>
          <w:numId w:val="4"/>
        </w:numPr>
        <w:autoSpaceDE w:val="0"/>
        <w:autoSpaceDN w:val="0"/>
        <w:adjustRightInd w:val="0"/>
        <w:spacing w:line="276" w:lineRule="auto"/>
        <w:ind w:left="1797" w:hanging="357"/>
        <w:contextualSpacing/>
        <w:jc w:val="both"/>
        <w:rPr>
          <w:rFonts w:eastAsiaTheme="minorHAnsi"/>
          <w:szCs w:val="22"/>
        </w:rPr>
      </w:pPr>
      <w:r w:rsidRPr="005F0165">
        <w:rPr>
          <w:rFonts w:eastAsiaTheme="minorHAnsi"/>
          <w:szCs w:val="22"/>
        </w:rPr>
        <w:t>The United Nations Convention on the Elimination of Discrimination Against Women (‘CEDAW’)</w:t>
      </w:r>
      <w:r w:rsidR="00837E9C">
        <w:rPr>
          <w:rStyle w:val="FootnoteReference"/>
          <w:rFonts w:eastAsiaTheme="minorHAnsi"/>
          <w:szCs w:val="22"/>
        </w:rPr>
        <w:footnoteReference w:id="5"/>
      </w:r>
      <w:r w:rsidRPr="005F0165">
        <w:rPr>
          <w:rFonts w:eastAsiaTheme="minorHAnsi"/>
          <w:szCs w:val="22"/>
        </w:rPr>
        <w:t xml:space="preserve"> </w:t>
      </w:r>
    </w:p>
    <w:p w14:paraId="4185C2F6" w14:textId="5AC8D744" w:rsidR="005F0165" w:rsidRDefault="005F0165" w:rsidP="00A2361E">
      <w:pPr>
        <w:numPr>
          <w:ilvl w:val="0"/>
          <w:numId w:val="4"/>
        </w:numPr>
        <w:autoSpaceDE w:val="0"/>
        <w:autoSpaceDN w:val="0"/>
        <w:adjustRightInd w:val="0"/>
        <w:spacing w:line="276" w:lineRule="auto"/>
        <w:ind w:left="1797" w:hanging="357"/>
        <w:contextualSpacing/>
        <w:jc w:val="both"/>
        <w:rPr>
          <w:rFonts w:eastAsiaTheme="minorHAnsi"/>
          <w:szCs w:val="22"/>
        </w:rPr>
      </w:pPr>
      <w:r w:rsidRPr="005F0165">
        <w:rPr>
          <w:rFonts w:eastAsiaTheme="minorHAnsi"/>
          <w:szCs w:val="22"/>
        </w:rPr>
        <w:t>The United Nations Convention Against Torture, Inhuman or Degrading Treatment or Punishment (‘CAT’)</w:t>
      </w:r>
      <w:r w:rsidR="001145C5">
        <w:rPr>
          <w:rStyle w:val="FootnoteReference"/>
          <w:rFonts w:eastAsiaTheme="minorHAnsi"/>
          <w:szCs w:val="22"/>
        </w:rPr>
        <w:footnoteReference w:id="6"/>
      </w:r>
      <w:r w:rsidRPr="005F0165">
        <w:rPr>
          <w:rFonts w:eastAsiaTheme="minorHAnsi"/>
          <w:szCs w:val="22"/>
        </w:rPr>
        <w:t xml:space="preserve"> </w:t>
      </w:r>
    </w:p>
    <w:p w14:paraId="43952BD0" w14:textId="4346908A" w:rsidR="00456828" w:rsidRDefault="005F0165" w:rsidP="00A2361E">
      <w:pPr>
        <w:numPr>
          <w:ilvl w:val="0"/>
          <w:numId w:val="4"/>
        </w:numPr>
        <w:autoSpaceDE w:val="0"/>
        <w:autoSpaceDN w:val="0"/>
        <w:adjustRightInd w:val="0"/>
        <w:spacing w:line="276" w:lineRule="auto"/>
        <w:ind w:left="1797" w:hanging="357"/>
        <w:contextualSpacing/>
        <w:jc w:val="both"/>
        <w:rPr>
          <w:rFonts w:eastAsiaTheme="minorHAnsi"/>
          <w:szCs w:val="22"/>
        </w:rPr>
      </w:pPr>
      <w:r w:rsidRPr="00456828">
        <w:rPr>
          <w:rFonts w:eastAsiaTheme="minorHAnsi"/>
          <w:szCs w:val="22"/>
        </w:rPr>
        <w:t>The European Convention on the Compensation of Victims of Violent Crimes</w:t>
      </w:r>
      <w:r w:rsidR="008228B9">
        <w:rPr>
          <w:rStyle w:val="FootnoteReference"/>
          <w:rFonts w:eastAsiaTheme="minorHAnsi"/>
          <w:szCs w:val="22"/>
        </w:rPr>
        <w:footnoteReference w:id="7"/>
      </w:r>
      <w:r w:rsidRPr="00456828">
        <w:rPr>
          <w:rFonts w:eastAsiaTheme="minorHAnsi"/>
          <w:szCs w:val="22"/>
        </w:rPr>
        <w:t xml:space="preserve"> </w:t>
      </w:r>
    </w:p>
    <w:p w14:paraId="4CBE993D" w14:textId="64B6471C" w:rsidR="005F0165" w:rsidRPr="00456828" w:rsidRDefault="005F0165" w:rsidP="00A2361E">
      <w:pPr>
        <w:numPr>
          <w:ilvl w:val="0"/>
          <w:numId w:val="4"/>
        </w:numPr>
        <w:autoSpaceDE w:val="0"/>
        <w:autoSpaceDN w:val="0"/>
        <w:adjustRightInd w:val="0"/>
        <w:spacing w:line="276" w:lineRule="auto"/>
        <w:ind w:left="1797" w:hanging="357"/>
        <w:contextualSpacing/>
        <w:jc w:val="both"/>
        <w:rPr>
          <w:rFonts w:eastAsiaTheme="minorHAnsi"/>
          <w:szCs w:val="22"/>
        </w:rPr>
      </w:pPr>
      <w:r w:rsidRPr="00456828">
        <w:rPr>
          <w:rFonts w:eastAsiaTheme="minorHAnsi"/>
          <w:szCs w:val="22"/>
        </w:rPr>
        <w:lastRenderedPageBreak/>
        <w:t>Council of Europe Convention on Action against Trafficking in Human Beings (Convention against Trafficking)</w:t>
      </w:r>
      <w:r w:rsidR="008228B9">
        <w:rPr>
          <w:rStyle w:val="FootnoteReference"/>
          <w:rFonts w:eastAsiaTheme="minorHAnsi"/>
          <w:szCs w:val="22"/>
        </w:rPr>
        <w:footnoteReference w:id="8"/>
      </w:r>
      <w:r w:rsidRPr="00456828">
        <w:rPr>
          <w:rFonts w:eastAsiaTheme="minorHAnsi"/>
          <w:szCs w:val="22"/>
        </w:rPr>
        <w:t xml:space="preserve"> </w:t>
      </w:r>
    </w:p>
    <w:p w14:paraId="4709885C" w14:textId="18108E6F" w:rsidR="005F0165" w:rsidRDefault="005F0165" w:rsidP="00A2361E">
      <w:pPr>
        <w:numPr>
          <w:ilvl w:val="0"/>
          <w:numId w:val="4"/>
        </w:numPr>
        <w:autoSpaceDE w:val="0"/>
        <w:autoSpaceDN w:val="0"/>
        <w:adjustRightInd w:val="0"/>
        <w:spacing w:line="276" w:lineRule="auto"/>
        <w:ind w:left="1797" w:hanging="357"/>
        <w:contextualSpacing/>
        <w:jc w:val="both"/>
        <w:rPr>
          <w:rFonts w:eastAsiaTheme="minorHAnsi"/>
          <w:szCs w:val="22"/>
        </w:rPr>
      </w:pPr>
      <w:r w:rsidRPr="005F0165">
        <w:rPr>
          <w:rFonts w:eastAsiaTheme="minorHAnsi"/>
          <w:szCs w:val="22"/>
        </w:rPr>
        <w:t>United Nations Convention against Transnational Organized Crime (Convention against Transnational Organized Crime)</w:t>
      </w:r>
      <w:r w:rsidR="008228B9">
        <w:rPr>
          <w:rStyle w:val="FootnoteReference"/>
          <w:rFonts w:eastAsiaTheme="minorHAnsi"/>
          <w:szCs w:val="22"/>
        </w:rPr>
        <w:footnoteReference w:id="9"/>
      </w:r>
      <w:r w:rsidRPr="005F0165">
        <w:rPr>
          <w:rFonts w:eastAsiaTheme="minorHAnsi"/>
          <w:szCs w:val="22"/>
        </w:rPr>
        <w:t xml:space="preserve"> </w:t>
      </w:r>
    </w:p>
    <w:p w14:paraId="53C10B09" w14:textId="62B0C1D4" w:rsidR="005F0165" w:rsidRDefault="005F0165" w:rsidP="00A2361E">
      <w:pPr>
        <w:numPr>
          <w:ilvl w:val="0"/>
          <w:numId w:val="4"/>
        </w:numPr>
        <w:autoSpaceDE w:val="0"/>
        <w:autoSpaceDN w:val="0"/>
        <w:adjustRightInd w:val="0"/>
        <w:spacing w:line="276" w:lineRule="auto"/>
        <w:ind w:left="1797" w:hanging="357"/>
        <w:contextualSpacing/>
        <w:jc w:val="both"/>
        <w:rPr>
          <w:rFonts w:eastAsiaTheme="minorHAnsi"/>
          <w:szCs w:val="22"/>
        </w:rPr>
      </w:pPr>
      <w:r w:rsidRPr="005F0165">
        <w:rPr>
          <w:rFonts w:eastAsiaTheme="minorHAnsi"/>
          <w:szCs w:val="22"/>
        </w:rPr>
        <w:t>Protocol to Prevent, Suppress and Punish Trafficking in Persons, especially women and children, supplementing the UN Convention Against Transnational Organised Crime (UN Trafficking Protocol)</w:t>
      </w:r>
      <w:r w:rsidR="008228B9">
        <w:rPr>
          <w:rStyle w:val="FootnoteReference"/>
          <w:rFonts w:eastAsiaTheme="minorHAnsi"/>
          <w:szCs w:val="22"/>
        </w:rPr>
        <w:footnoteReference w:id="10"/>
      </w:r>
      <w:r w:rsidRPr="005F0165">
        <w:rPr>
          <w:rFonts w:eastAsiaTheme="minorHAnsi"/>
          <w:szCs w:val="22"/>
        </w:rPr>
        <w:t xml:space="preserve"> </w:t>
      </w:r>
    </w:p>
    <w:p w14:paraId="2FD13B67" w14:textId="16043C3F" w:rsidR="005F0165" w:rsidRDefault="005F0165" w:rsidP="00A2361E">
      <w:pPr>
        <w:numPr>
          <w:ilvl w:val="0"/>
          <w:numId w:val="4"/>
        </w:numPr>
        <w:autoSpaceDE w:val="0"/>
        <w:autoSpaceDN w:val="0"/>
        <w:adjustRightInd w:val="0"/>
        <w:spacing w:line="276" w:lineRule="auto"/>
        <w:ind w:left="1797" w:hanging="357"/>
        <w:contextualSpacing/>
        <w:jc w:val="both"/>
        <w:rPr>
          <w:rFonts w:eastAsiaTheme="minorHAnsi"/>
          <w:szCs w:val="22"/>
        </w:rPr>
      </w:pPr>
      <w:r w:rsidRPr="005F0165">
        <w:rPr>
          <w:rFonts w:eastAsiaTheme="minorHAnsi"/>
          <w:szCs w:val="22"/>
        </w:rPr>
        <w:t>Convention on the Rights of Persons with Disabilities (CRPD)</w:t>
      </w:r>
      <w:r w:rsidR="008228B9">
        <w:rPr>
          <w:rStyle w:val="FootnoteReference"/>
          <w:rFonts w:eastAsiaTheme="minorHAnsi"/>
          <w:szCs w:val="22"/>
        </w:rPr>
        <w:footnoteReference w:id="11"/>
      </w:r>
      <w:r w:rsidRPr="005F0165">
        <w:rPr>
          <w:rFonts w:eastAsiaTheme="minorHAnsi"/>
          <w:szCs w:val="22"/>
        </w:rPr>
        <w:t xml:space="preserve"> </w:t>
      </w:r>
    </w:p>
    <w:p w14:paraId="08E09DD0" w14:textId="63F9ABA1" w:rsidR="00E758F0" w:rsidRPr="007F3DC3" w:rsidRDefault="00E758F0" w:rsidP="00A2361E">
      <w:pPr>
        <w:numPr>
          <w:ilvl w:val="0"/>
          <w:numId w:val="4"/>
        </w:numPr>
        <w:autoSpaceDE w:val="0"/>
        <w:autoSpaceDN w:val="0"/>
        <w:adjustRightInd w:val="0"/>
        <w:spacing w:line="276" w:lineRule="auto"/>
        <w:ind w:left="1797" w:hanging="357"/>
        <w:contextualSpacing/>
        <w:jc w:val="both"/>
        <w:rPr>
          <w:rFonts w:eastAsiaTheme="minorHAnsi"/>
          <w:szCs w:val="22"/>
        </w:rPr>
      </w:pPr>
      <w:r>
        <w:t>Council of Europe Convention on the Protection of Children against Sexual Exploitation and Sexual Abuse</w:t>
      </w:r>
      <w:r w:rsidR="007F3DC3" w:rsidRPr="007F3DC3">
        <w:rPr>
          <w:rFonts w:eastAsia="Times New Roman" w:cs="ZurichBT-LightCondensed"/>
        </w:rPr>
        <w:t xml:space="preserve"> (Lanzarote Convention)</w:t>
      </w:r>
      <w:r>
        <w:t>, 2007</w:t>
      </w:r>
      <w:r w:rsidR="008228B9">
        <w:rPr>
          <w:rStyle w:val="FootnoteReference"/>
        </w:rPr>
        <w:footnoteReference w:id="12"/>
      </w:r>
      <w:r>
        <w:t xml:space="preserve"> </w:t>
      </w:r>
    </w:p>
    <w:p w14:paraId="2C12DB4D" w14:textId="77777777" w:rsidR="007F3DC3" w:rsidRPr="007F3DC3" w:rsidRDefault="007F3DC3" w:rsidP="00A2361E">
      <w:pPr>
        <w:numPr>
          <w:ilvl w:val="0"/>
          <w:numId w:val="4"/>
        </w:numPr>
        <w:autoSpaceDE w:val="0"/>
        <w:autoSpaceDN w:val="0"/>
        <w:adjustRightInd w:val="0"/>
        <w:spacing w:line="276" w:lineRule="auto"/>
        <w:contextualSpacing/>
        <w:jc w:val="both"/>
        <w:rPr>
          <w:rFonts w:eastAsia="Times New Roman" w:cs="ZurichBT-LightCondensed"/>
        </w:rPr>
      </w:pPr>
      <w:r>
        <w:t xml:space="preserve">Council of Europe </w:t>
      </w:r>
      <w:r w:rsidRPr="007F3DC3">
        <w:rPr>
          <w:rFonts w:eastAsia="Times New Roman" w:cs="Times New Roman"/>
        </w:rPr>
        <w:t xml:space="preserve">Convention on Preventing and Combating Violence against Women and Domestic Violence </w:t>
      </w:r>
      <w:r w:rsidR="00F549F8" w:rsidRPr="007F3DC3">
        <w:rPr>
          <w:rFonts w:eastAsia="Times New Roman" w:cs="Times New Roman"/>
        </w:rPr>
        <w:t>(Istanbul Convention)</w:t>
      </w:r>
      <w:r w:rsidR="00F549F8">
        <w:rPr>
          <w:rFonts w:eastAsia="Times New Roman" w:cs="Times New Roman"/>
        </w:rPr>
        <w:t xml:space="preserve"> </w:t>
      </w:r>
      <w:r w:rsidRPr="007F3DC3">
        <w:rPr>
          <w:rFonts w:eastAsia="Times New Roman" w:cs="Times New Roman"/>
        </w:rPr>
        <w:t>2011</w:t>
      </w:r>
      <w:r>
        <w:rPr>
          <w:rFonts w:eastAsia="Times New Roman" w:cs="Times New Roman"/>
        </w:rPr>
        <w:t>.</w:t>
      </w:r>
      <w:r w:rsidRPr="007F3DC3">
        <w:rPr>
          <w:rFonts w:eastAsia="Times New Roman" w:cs="Times New Roman"/>
          <w:vertAlign w:val="superscript"/>
        </w:rPr>
        <w:footnoteReference w:id="13"/>
      </w:r>
    </w:p>
    <w:p w14:paraId="6A73EF4A" w14:textId="77777777" w:rsidR="005F0165" w:rsidRPr="005F0165" w:rsidRDefault="005F0165" w:rsidP="00A2361E">
      <w:pPr>
        <w:autoSpaceDE w:val="0"/>
        <w:autoSpaceDN w:val="0"/>
        <w:adjustRightInd w:val="0"/>
        <w:spacing w:line="276" w:lineRule="auto"/>
        <w:ind w:left="1797"/>
        <w:contextualSpacing/>
        <w:jc w:val="both"/>
        <w:rPr>
          <w:rFonts w:eastAsiaTheme="minorHAnsi"/>
          <w:szCs w:val="22"/>
        </w:rPr>
      </w:pPr>
    </w:p>
    <w:p w14:paraId="7CAFCD4F" w14:textId="772920EB" w:rsidR="005F0165" w:rsidRPr="005F0165" w:rsidRDefault="005F0165" w:rsidP="00A2361E">
      <w:pPr>
        <w:numPr>
          <w:ilvl w:val="1"/>
          <w:numId w:val="3"/>
        </w:numPr>
        <w:autoSpaceDE w:val="0"/>
        <w:autoSpaceDN w:val="0"/>
        <w:adjustRightInd w:val="0"/>
        <w:spacing w:line="276" w:lineRule="auto"/>
        <w:contextualSpacing/>
        <w:jc w:val="both"/>
        <w:rPr>
          <w:rFonts w:eastAsiaTheme="minorHAnsi" w:cs="ZurichBT-LightCondensed"/>
          <w:szCs w:val="22"/>
        </w:rPr>
      </w:pPr>
      <w:r>
        <w:t xml:space="preserve">The Northern Ireland (NI) Executive is subject to the obligations contained within these international treaties by virtue of the United Kingdom’s ratification. The Commission recalls that Section 24(1) of the Northern Ireland Act 1998 requires that all </w:t>
      </w:r>
      <w:r w:rsidR="001972C1">
        <w:t xml:space="preserve">acts </w:t>
      </w:r>
      <w:r>
        <w:t>of the Department are compatible with the ECHR. In addition, Section 26 of the Act also requires compliance with international obligations. The Commission, therefore, advises that the Department scrutinises the proposed Strategy for full compliance with international human rights standards.</w:t>
      </w:r>
      <w:r>
        <w:rPr>
          <w:rStyle w:val="FootnoteReference"/>
        </w:rPr>
        <w:footnoteReference w:id="14"/>
      </w:r>
    </w:p>
    <w:p w14:paraId="7F645152" w14:textId="77777777" w:rsidR="005F0165" w:rsidRDefault="005F0165" w:rsidP="00A2361E">
      <w:pPr>
        <w:autoSpaceDE w:val="0"/>
        <w:autoSpaceDN w:val="0"/>
        <w:adjustRightInd w:val="0"/>
        <w:spacing w:line="276" w:lineRule="auto"/>
        <w:ind w:left="720"/>
        <w:contextualSpacing/>
        <w:jc w:val="both"/>
        <w:rPr>
          <w:rFonts w:eastAsiaTheme="minorHAnsi" w:cs="ZurichBT-LightCondensed"/>
          <w:szCs w:val="22"/>
        </w:rPr>
      </w:pPr>
    </w:p>
    <w:p w14:paraId="4690C048" w14:textId="77777777" w:rsidR="005F0165" w:rsidRDefault="005F0165" w:rsidP="00A2361E">
      <w:pPr>
        <w:numPr>
          <w:ilvl w:val="1"/>
          <w:numId w:val="3"/>
        </w:numPr>
        <w:autoSpaceDE w:val="0"/>
        <w:autoSpaceDN w:val="0"/>
        <w:adjustRightInd w:val="0"/>
        <w:spacing w:line="276" w:lineRule="auto"/>
        <w:contextualSpacing/>
        <w:jc w:val="both"/>
        <w:rPr>
          <w:rFonts w:eastAsiaTheme="minorHAnsi" w:cs="ZurichBT-LightCondensed"/>
          <w:szCs w:val="22"/>
        </w:rPr>
      </w:pPr>
      <w:r>
        <w:rPr>
          <w:rFonts w:eastAsiaTheme="minorHAnsi" w:cs="ZurichBT-LightCondensed"/>
          <w:szCs w:val="22"/>
        </w:rPr>
        <w:t>In addition to these treaty standards, there exists a body of ‘soft law’ developed by the human rights bodies of the United Nations (UN) and the Council of Europe (</w:t>
      </w:r>
      <w:proofErr w:type="spellStart"/>
      <w:r>
        <w:rPr>
          <w:rFonts w:eastAsiaTheme="minorHAnsi" w:cs="ZurichBT-LightCondensed"/>
          <w:szCs w:val="22"/>
        </w:rPr>
        <w:t>CoE</w:t>
      </w:r>
      <w:proofErr w:type="spellEnd"/>
      <w:r>
        <w:rPr>
          <w:rFonts w:eastAsiaTheme="minorHAnsi" w:cs="ZurichBT-LightCondensed"/>
          <w:szCs w:val="22"/>
        </w:rPr>
        <w:t>). These declarations and principles are non-binding but provide further guidance in respect of specific areas. The relevant standards in this context include:</w:t>
      </w:r>
    </w:p>
    <w:p w14:paraId="7C2DEA9D" w14:textId="4B339F31" w:rsidR="005F0165" w:rsidRPr="00E758F0" w:rsidRDefault="005F0165" w:rsidP="00A2361E">
      <w:pPr>
        <w:numPr>
          <w:ilvl w:val="0"/>
          <w:numId w:val="5"/>
        </w:numPr>
        <w:autoSpaceDE w:val="0"/>
        <w:autoSpaceDN w:val="0"/>
        <w:adjustRightInd w:val="0"/>
        <w:spacing w:line="276" w:lineRule="auto"/>
        <w:ind w:left="2154" w:hanging="357"/>
        <w:contextualSpacing/>
        <w:jc w:val="both"/>
        <w:rPr>
          <w:rFonts w:eastAsiaTheme="minorHAnsi" w:cs="ZurichBT-LightCondensed"/>
          <w:sz w:val="28"/>
        </w:rPr>
      </w:pPr>
      <w:r>
        <w:rPr>
          <w:rFonts w:eastAsiaTheme="minorHAnsi" w:cs="ZurichBT-LightCondensed"/>
        </w:rPr>
        <w:lastRenderedPageBreak/>
        <w:t>UN Declaration of Basic Principles of Justice for Victims of Crime and Abuse of Power</w:t>
      </w:r>
      <w:r w:rsidR="00AF446E">
        <w:rPr>
          <w:rFonts w:eastAsiaTheme="minorHAnsi" w:cs="ZurichBT-LightCondensed"/>
        </w:rPr>
        <w:t>,</w:t>
      </w:r>
      <w:r>
        <w:rPr>
          <w:rFonts w:eastAsiaTheme="minorHAnsi" w:cs="ZurichBT-LightCondensed"/>
        </w:rPr>
        <w:t xml:space="preserve"> 1985;</w:t>
      </w:r>
      <w:r>
        <w:rPr>
          <w:rFonts w:eastAsiaTheme="minorHAnsi" w:cs="ZurichBT-LightCondensed"/>
          <w:vertAlign w:val="superscript"/>
        </w:rPr>
        <w:footnoteReference w:id="15"/>
      </w:r>
      <w:r>
        <w:rPr>
          <w:rFonts w:eastAsiaTheme="minorHAnsi" w:cs="ZurichBT-LightCondensed"/>
        </w:rPr>
        <w:t xml:space="preserve"> </w:t>
      </w:r>
    </w:p>
    <w:p w14:paraId="088E8199" w14:textId="77777777" w:rsidR="00E758F0" w:rsidRPr="00E758F0" w:rsidRDefault="00E758F0" w:rsidP="00A2361E">
      <w:pPr>
        <w:numPr>
          <w:ilvl w:val="0"/>
          <w:numId w:val="5"/>
        </w:numPr>
        <w:autoSpaceDE w:val="0"/>
        <w:autoSpaceDN w:val="0"/>
        <w:adjustRightInd w:val="0"/>
        <w:spacing w:line="276" w:lineRule="auto"/>
        <w:ind w:left="2154" w:hanging="357"/>
        <w:contextualSpacing/>
        <w:jc w:val="both"/>
        <w:rPr>
          <w:rFonts w:eastAsia="Times New Roman" w:cs="Verdana"/>
          <w:color w:val="000000"/>
          <w:szCs w:val="22"/>
          <w:lang w:eastAsia="en-GB"/>
        </w:rPr>
      </w:pPr>
      <w:r w:rsidRPr="00E758F0">
        <w:rPr>
          <w:rFonts w:eastAsia="Times New Roman" w:cs="Verdana"/>
          <w:color w:val="000000"/>
          <w:szCs w:val="22"/>
          <w:lang w:eastAsia="en-GB"/>
        </w:rPr>
        <w:t>UN Declaration on the Elimination of Violence against Women, 1993;</w:t>
      </w:r>
      <w:r w:rsidRPr="00E758F0">
        <w:rPr>
          <w:rFonts w:eastAsia="Times New Roman" w:cs="Verdana"/>
          <w:color w:val="000000"/>
          <w:szCs w:val="22"/>
          <w:vertAlign w:val="superscript"/>
          <w:lang w:eastAsia="en-GB"/>
        </w:rPr>
        <w:footnoteReference w:id="16"/>
      </w:r>
      <w:r w:rsidRPr="00E758F0">
        <w:rPr>
          <w:rFonts w:eastAsia="Times New Roman" w:cs="Verdana"/>
          <w:color w:val="000000"/>
          <w:szCs w:val="22"/>
          <w:lang w:eastAsia="en-GB"/>
        </w:rPr>
        <w:t xml:space="preserve"> </w:t>
      </w:r>
    </w:p>
    <w:p w14:paraId="5E0E8819" w14:textId="77777777" w:rsidR="00E758F0" w:rsidRPr="00E758F0" w:rsidRDefault="00E758F0" w:rsidP="00A2361E">
      <w:pPr>
        <w:numPr>
          <w:ilvl w:val="0"/>
          <w:numId w:val="5"/>
        </w:numPr>
        <w:autoSpaceDE w:val="0"/>
        <w:autoSpaceDN w:val="0"/>
        <w:adjustRightInd w:val="0"/>
        <w:spacing w:line="276" w:lineRule="auto"/>
        <w:ind w:left="2154" w:hanging="357"/>
        <w:contextualSpacing/>
        <w:jc w:val="both"/>
        <w:rPr>
          <w:rFonts w:eastAsia="Times New Roman" w:cs="Verdana"/>
          <w:color w:val="000000"/>
          <w:szCs w:val="22"/>
          <w:lang w:eastAsia="en-GB"/>
        </w:rPr>
      </w:pPr>
      <w:r w:rsidRPr="00E758F0">
        <w:rPr>
          <w:rFonts w:eastAsia="Times New Roman" w:cs="Verdana"/>
          <w:color w:val="000000"/>
          <w:szCs w:val="22"/>
          <w:lang w:eastAsia="en-GB"/>
        </w:rPr>
        <w:t xml:space="preserve">Council of Europe, Committee of Ministers, Recommendation No. R (97) 13 Concerning Intimidation of Witnesses and the Rights of the Defence, </w:t>
      </w:r>
      <w:proofErr w:type="gramStart"/>
      <w:r w:rsidRPr="00E758F0">
        <w:rPr>
          <w:rFonts w:eastAsia="Times New Roman" w:cs="Verdana"/>
          <w:color w:val="000000"/>
          <w:szCs w:val="22"/>
          <w:lang w:eastAsia="en-GB"/>
        </w:rPr>
        <w:t>1997;</w:t>
      </w:r>
      <w:proofErr w:type="gramEnd"/>
      <w:r w:rsidRPr="00E758F0">
        <w:rPr>
          <w:rFonts w:eastAsia="Times New Roman" w:cs="Verdana"/>
          <w:color w:val="000000"/>
          <w:szCs w:val="22"/>
          <w:lang w:eastAsia="en-GB"/>
        </w:rPr>
        <w:t xml:space="preserve"> </w:t>
      </w:r>
    </w:p>
    <w:p w14:paraId="6E8805CA" w14:textId="77777777" w:rsidR="00E758F0" w:rsidRPr="00E758F0" w:rsidRDefault="00E758F0" w:rsidP="00A2361E">
      <w:pPr>
        <w:numPr>
          <w:ilvl w:val="0"/>
          <w:numId w:val="5"/>
        </w:numPr>
        <w:autoSpaceDE w:val="0"/>
        <w:autoSpaceDN w:val="0"/>
        <w:adjustRightInd w:val="0"/>
        <w:spacing w:line="276" w:lineRule="auto"/>
        <w:ind w:left="2154" w:hanging="357"/>
        <w:contextualSpacing/>
        <w:jc w:val="both"/>
        <w:rPr>
          <w:rFonts w:eastAsia="Times New Roman" w:cs="Verdana"/>
          <w:color w:val="000000"/>
          <w:szCs w:val="22"/>
          <w:lang w:eastAsia="en-GB"/>
        </w:rPr>
      </w:pPr>
      <w:r w:rsidRPr="00E758F0">
        <w:rPr>
          <w:rFonts w:eastAsia="Times New Roman" w:cs="Verdana"/>
          <w:color w:val="000000"/>
          <w:szCs w:val="22"/>
          <w:lang w:eastAsia="en-GB"/>
        </w:rPr>
        <w:t xml:space="preserve">Council of Europe, Committee of Ministers, Recommendation No. </w:t>
      </w:r>
      <w:proofErr w:type="gramStart"/>
      <w:r w:rsidRPr="00E758F0">
        <w:rPr>
          <w:rFonts w:eastAsia="Times New Roman" w:cs="Verdana"/>
          <w:color w:val="000000"/>
          <w:szCs w:val="22"/>
          <w:lang w:eastAsia="en-GB"/>
        </w:rPr>
        <w:t>R(</w:t>
      </w:r>
      <w:proofErr w:type="gramEnd"/>
      <w:r w:rsidRPr="00E758F0">
        <w:rPr>
          <w:rFonts w:eastAsia="Times New Roman" w:cs="Verdana"/>
          <w:color w:val="000000"/>
          <w:szCs w:val="22"/>
          <w:lang w:eastAsia="en-GB"/>
        </w:rPr>
        <w:t>2002)5 on the Protection of Women against Violence;</w:t>
      </w:r>
      <w:r w:rsidRPr="00E758F0">
        <w:rPr>
          <w:rFonts w:eastAsia="Times New Roman" w:cs="Verdana"/>
          <w:color w:val="000000"/>
          <w:szCs w:val="22"/>
          <w:vertAlign w:val="superscript"/>
          <w:lang w:eastAsia="en-GB"/>
        </w:rPr>
        <w:footnoteReference w:id="17"/>
      </w:r>
      <w:r w:rsidRPr="00E758F0">
        <w:rPr>
          <w:rFonts w:eastAsia="Times New Roman" w:cs="Verdana"/>
          <w:color w:val="000000"/>
          <w:szCs w:val="22"/>
          <w:lang w:eastAsia="en-GB"/>
        </w:rPr>
        <w:t xml:space="preserve">  </w:t>
      </w:r>
    </w:p>
    <w:p w14:paraId="735306FF" w14:textId="77777777" w:rsidR="00E758F0" w:rsidRPr="00E758F0" w:rsidRDefault="00E758F0" w:rsidP="00A2361E">
      <w:pPr>
        <w:numPr>
          <w:ilvl w:val="0"/>
          <w:numId w:val="5"/>
        </w:numPr>
        <w:autoSpaceDE w:val="0"/>
        <w:autoSpaceDN w:val="0"/>
        <w:adjustRightInd w:val="0"/>
        <w:spacing w:line="276" w:lineRule="auto"/>
        <w:ind w:left="2154" w:hanging="357"/>
        <w:contextualSpacing/>
        <w:jc w:val="both"/>
        <w:rPr>
          <w:rFonts w:eastAsia="Times New Roman" w:cs="Verdana"/>
          <w:color w:val="000000"/>
          <w:szCs w:val="22"/>
          <w:lang w:eastAsia="en-GB"/>
        </w:rPr>
      </w:pPr>
      <w:r w:rsidRPr="00E758F0">
        <w:rPr>
          <w:rFonts w:ascii="Arial" w:eastAsia="Times New Roman" w:hAnsi="Arial" w:cs="Arial"/>
          <w:color w:val="000000"/>
          <w:szCs w:val="22"/>
          <w:lang w:eastAsia="en-GB"/>
        </w:rPr>
        <w:t xml:space="preserve">UN </w:t>
      </w:r>
      <w:r w:rsidRPr="00E758F0">
        <w:rPr>
          <w:rFonts w:eastAsia="Times New Roman" w:cs="Verdana"/>
          <w:color w:val="000000"/>
          <w:szCs w:val="22"/>
          <w:lang w:eastAsia="en-GB"/>
        </w:rPr>
        <w:t>Basic Principles and Guidelines on the Right to a Remedy and Reparation for Victims of Gross Violations of International Human Rights Law and Serious Violations of International Humanitarian Law, 2006;</w:t>
      </w:r>
      <w:r w:rsidRPr="00E758F0">
        <w:rPr>
          <w:rFonts w:eastAsia="Times New Roman" w:cs="Verdana"/>
          <w:color w:val="000000"/>
          <w:szCs w:val="22"/>
          <w:vertAlign w:val="superscript"/>
          <w:lang w:eastAsia="en-GB"/>
        </w:rPr>
        <w:footnoteReference w:id="18"/>
      </w:r>
      <w:r w:rsidRPr="00E758F0">
        <w:rPr>
          <w:rFonts w:eastAsia="Times New Roman" w:cs="Verdana"/>
          <w:color w:val="0563C1"/>
          <w:szCs w:val="22"/>
          <w:lang w:eastAsia="en-GB"/>
        </w:rPr>
        <w:t xml:space="preserve"> </w:t>
      </w:r>
    </w:p>
    <w:p w14:paraId="53406523" w14:textId="77777777" w:rsidR="00E758F0" w:rsidRPr="00E758F0" w:rsidRDefault="00E758F0" w:rsidP="00A2361E">
      <w:pPr>
        <w:numPr>
          <w:ilvl w:val="0"/>
          <w:numId w:val="5"/>
        </w:numPr>
        <w:autoSpaceDE w:val="0"/>
        <w:autoSpaceDN w:val="0"/>
        <w:adjustRightInd w:val="0"/>
        <w:spacing w:line="276" w:lineRule="auto"/>
        <w:ind w:left="2154" w:hanging="357"/>
        <w:contextualSpacing/>
        <w:jc w:val="both"/>
        <w:rPr>
          <w:rFonts w:eastAsia="Times New Roman" w:cs="Verdana"/>
          <w:color w:val="000000"/>
          <w:szCs w:val="22"/>
          <w:lang w:eastAsia="en-GB"/>
        </w:rPr>
      </w:pPr>
      <w:r w:rsidRPr="00E758F0">
        <w:rPr>
          <w:rFonts w:eastAsia="Times New Roman" w:cs="Verdana"/>
          <w:color w:val="000000"/>
          <w:szCs w:val="22"/>
          <w:lang w:eastAsia="en-GB"/>
        </w:rPr>
        <w:t xml:space="preserve">Recommendation </w:t>
      </w:r>
      <w:proofErr w:type="gramStart"/>
      <w:r w:rsidRPr="00E758F0">
        <w:rPr>
          <w:rFonts w:eastAsia="Times New Roman" w:cs="Verdana"/>
          <w:color w:val="000000"/>
          <w:szCs w:val="22"/>
          <w:lang w:eastAsia="en-GB"/>
        </w:rPr>
        <w:t>Rec(</w:t>
      </w:r>
      <w:proofErr w:type="gramEnd"/>
      <w:r w:rsidRPr="00E758F0">
        <w:rPr>
          <w:rFonts w:eastAsia="Times New Roman" w:cs="Verdana"/>
          <w:color w:val="000000"/>
          <w:szCs w:val="22"/>
          <w:lang w:eastAsia="en-GB"/>
        </w:rPr>
        <w:t>2005)9 of the Committee of Ministers to member states on the protection of witnesses and collaborators of justice, 2005;</w:t>
      </w:r>
      <w:r w:rsidRPr="00E758F0">
        <w:rPr>
          <w:rFonts w:eastAsia="Times New Roman" w:cs="Verdana"/>
          <w:color w:val="000000"/>
          <w:szCs w:val="22"/>
          <w:vertAlign w:val="superscript"/>
          <w:lang w:eastAsia="en-GB"/>
        </w:rPr>
        <w:footnoteReference w:id="19"/>
      </w:r>
      <w:r w:rsidRPr="00E758F0">
        <w:rPr>
          <w:rFonts w:eastAsia="Times New Roman" w:cs="Verdana"/>
          <w:color w:val="000000"/>
          <w:szCs w:val="22"/>
          <w:lang w:eastAsia="en-GB"/>
        </w:rPr>
        <w:t xml:space="preserve"> </w:t>
      </w:r>
    </w:p>
    <w:p w14:paraId="6874DD55" w14:textId="77777777" w:rsidR="00E758F0" w:rsidRPr="00E758F0" w:rsidRDefault="00E758F0" w:rsidP="00A2361E">
      <w:pPr>
        <w:numPr>
          <w:ilvl w:val="0"/>
          <w:numId w:val="5"/>
        </w:numPr>
        <w:autoSpaceDE w:val="0"/>
        <w:autoSpaceDN w:val="0"/>
        <w:adjustRightInd w:val="0"/>
        <w:spacing w:line="276" w:lineRule="auto"/>
        <w:ind w:left="2154" w:hanging="357"/>
        <w:contextualSpacing/>
        <w:jc w:val="both"/>
        <w:rPr>
          <w:rFonts w:eastAsia="Times New Roman" w:cs="Verdana"/>
          <w:color w:val="000000"/>
          <w:szCs w:val="22"/>
          <w:lang w:eastAsia="en-GB"/>
        </w:rPr>
      </w:pPr>
      <w:r w:rsidRPr="00E758F0">
        <w:rPr>
          <w:rFonts w:eastAsia="Times New Roman" w:cs="Verdana"/>
          <w:color w:val="000000"/>
          <w:szCs w:val="22"/>
          <w:lang w:eastAsia="en-GB"/>
        </w:rPr>
        <w:t xml:space="preserve">Recommendation </w:t>
      </w:r>
      <w:proofErr w:type="gramStart"/>
      <w:r w:rsidRPr="00E758F0">
        <w:rPr>
          <w:rFonts w:eastAsia="Times New Roman" w:cs="Verdana"/>
          <w:color w:val="000000"/>
          <w:szCs w:val="22"/>
          <w:lang w:eastAsia="en-GB"/>
        </w:rPr>
        <w:t>Rec(</w:t>
      </w:r>
      <w:proofErr w:type="gramEnd"/>
      <w:r w:rsidRPr="00E758F0">
        <w:rPr>
          <w:rFonts w:eastAsia="Times New Roman" w:cs="Verdana"/>
          <w:color w:val="000000"/>
          <w:szCs w:val="22"/>
          <w:lang w:eastAsia="en-GB"/>
        </w:rPr>
        <w:t>2006)8 of the Committee of Ministers of the Council of Europe to member states on assistance to crime victims, 2006;</w:t>
      </w:r>
      <w:r w:rsidRPr="00E758F0">
        <w:rPr>
          <w:rFonts w:eastAsia="Times New Roman" w:cs="Verdana"/>
          <w:color w:val="000000"/>
          <w:szCs w:val="22"/>
          <w:vertAlign w:val="superscript"/>
          <w:lang w:eastAsia="en-GB"/>
        </w:rPr>
        <w:footnoteReference w:id="20"/>
      </w:r>
      <w:r w:rsidRPr="00E758F0">
        <w:rPr>
          <w:rFonts w:eastAsia="Times New Roman" w:cs="Verdana"/>
          <w:color w:val="000000"/>
          <w:szCs w:val="22"/>
          <w:lang w:eastAsia="en-GB"/>
        </w:rPr>
        <w:t xml:space="preserve"> </w:t>
      </w:r>
    </w:p>
    <w:p w14:paraId="665BFC1D" w14:textId="77777777" w:rsidR="00E758F0" w:rsidRPr="00E758F0" w:rsidRDefault="00E758F0" w:rsidP="00A2361E">
      <w:pPr>
        <w:numPr>
          <w:ilvl w:val="0"/>
          <w:numId w:val="5"/>
        </w:numPr>
        <w:autoSpaceDE w:val="0"/>
        <w:autoSpaceDN w:val="0"/>
        <w:adjustRightInd w:val="0"/>
        <w:spacing w:line="276" w:lineRule="auto"/>
        <w:ind w:left="2154" w:hanging="357"/>
        <w:contextualSpacing/>
        <w:jc w:val="both"/>
        <w:rPr>
          <w:rFonts w:eastAsia="Times New Roman" w:cs="Verdana"/>
          <w:color w:val="000000"/>
          <w:szCs w:val="22"/>
          <w:lang w:eastAsia="en-GB"/>
        </w:rPr>
      </w:pPr>
      <w:r w:rsidRPr="00E758F0">
        <w:rPr>
          <w:rFonts w:eastAsia="Times New Roman" w:cs="Verdana"/>
          <w:color w:val="000000"/>
          <w:szCs w:val="22"/>
          <w:lang w:eastAsia="en-GB"/>
        </w:rPr>
        <w:t xml:space="preserve">UN Principles on the application of international human rights law in relation to sexual orientation and gender identity, 2007; </w:t>
      </w:r>
      <w:r w:rsidR="003A1CAC">
        <w:rPr>
          <w:rFonts w:eastAsia="Times New Roman" w:cs="Verdana"/>
          <w:color w:val="000000"/>
          <w:szCs w:val="22"/>
          <w:lang w:eastAsia="en-GB"/>
        </w:rPr>
        <w:t>and</w:t>
      </w:r>
    </w:p>
    <w:p w14:paraId="71E3D680" w14:textId="77777777" w:rsidR="00E758F0" w:rsidRDefault="00E758F0" w:rsidP="00A2361E">
      <w:pPr>
        <w:numPr>
          <w:ilvl w:val="0"/>
          <w:numId w:val="5"/>
        </w:numPr>
        <w:autoSpaceDE w:val="0"/>
        <w:autoSpaceDN w:val="0"/>
        <w:adjustRightInd w:val="0"/>
        <w:spacing w:line="276" w:lineRule="auto"/>
        <w:ind w:left="2154" w:hanging="357"/>
        <w:contextualSpacing/>
        <w:jc w:val="both"/>
        <w:rPr>
          <w:rFonts w:eastAsia="Times New Roman" w:cs="Verdana"/>
          <w:color w:val="000000"/>
          <w:szCs w:val="22"/>
          <w:lang w:eastAsia="en-GB"/>
        </w:rPr>
      </w:pPr>
      <w:r w:rsidRPr="00E758F0">
        <w:rPr>
          <w:rFonts w:eastAsia="Times New Roman" w:cs="Verdana"/>
          <w:color w:val="000000"/>
          <w:szCs w:val="22"/>
          <w:lang w:eastAsia="en-GB"/>
        </w:rPr>
        <w:t>Council of Europe, Parliamentary Assembly Resolution 1697 (2009) on Migrant women: at particular risk from domestic violence</w:t>
      </w:r>
      <w:r w:rsidR="007F3DC3">
        <w:rPr>
          <w:rFonts w:eastAsia="Times New Roman" w:cs="Verdana"/>
          <w:color w:val="000000"/>
          <w:szCs w:val="22"/>
          <w:lang w:eastAsia="en-GB"/>
        </w:rPr>
        <w:t>.</w:t>
      </w:r>
    </w:p>
    <w:p w14:paraId="4CA8D0E7" w14:textId="77777777" w:rsidR="00A949FF" w:rsidRPr="00E758F0" w:rsidRDefault="00A949FF" w:rsidP="00A2361E">
      <w:pPr>
        <w:autoSpaceDE w:val="0"/>
        <w:autoSpaceDN w:val="0"/>
        <w:adjustRightInd w:val="0"/>
        <w:spacing w:line="276" w:lineRule="auto"/>
        <w:ind w:left="2154"/>
        <w:contextualSpacing/>
        <w:jc w:val="both"/>
        <w:rPr>
          <w:rFonts w:eastAsia="Times New Roman" w:cs="Verdana"/>
          <w:color w:val="000000"/>
          <w:szCs w:val="22"/>
          <w:lang w:eastAsia="en-GB"/>
        </w:rPr>
      </w:pPr>
    </w:p>
    <w:p w14:paraId="0363170C" w14:textId="16CAF0CC" w:rsidR="00E758F0" w:rsidRPr="00515670" w:rsidRDefault="00515670" w:rsidP="00A2361E">
      <w:pPr>
        <w:numPr>
          <w:ilvl w:val="1"/>
          <w:numId w:val="3"/>
        </w:numPr>
        <w:autoSpaceDE w:val="0"/>
        <w:autoSpaceDN w:val="0"/>
        <w:adjustRightInd w:val="0"/>
        <w:spacing w:line="276" w:lineRule="auto"/>
        <w:contextualSpacing/>
        <w:jc w:val="both"/>
        <w:rPr>
          <w:rFonts w:eastAsiaTheme="minorHAnsi" w:cs="ZurichBT-LightCondensed"/>
          <w:szCs w:val="22"/>
        </w:rPr>
      </w:pPr>
      <w:r w:rsidRPr="00515670">
        <w:rPr>
          <w:rFonts w:eastAsiaTheme="minorHAnsi" w:cs="ZurichBT-LightCondensed"/>
          <w:szCs w:val="22"/>
        </w:rPr>
        <w:t>The following European Union standard</w:t>
      </w:r>
      <w:r w:rsidR="00A949FF">
        <w:rPr>
          <w:rFonts w:eastAsiaTheme="minorHAnsi" w:cs="ZurichBT-LightCondensed"/>
          <w:szCs w:val="22"/>
        </w:rPr>
        <w:t xml:space="preserve"> also </w:t>
      </w:r>
      <w:r w:rsidRPr="00515670">
        <w:rPr>
          <w:rFonts w:eastAsiaTheme="minorHAnsi" w:cs="ZurichBT-LightCondensed"/>
          <w:szCs w:val="22"/>
        </w:rPr>
        <w:t>appl</w:t>
      </w:r>
      <w:r>
        <w:rPr>
          <w:rFonts w:eastAsiaTheme="minorHAnsi" w:cs="ZurichBT-LightCondensed"/>
          <w:szCs w:val="22"/>
        </w:rPr>
        <w:t xml:space="preserve">ies: </w:t>
      </w:r>
      <w:r w:rsidRPr="00515670">
        <w:rPr>
          <w:rFonts w:eastAsiaTheme="minorHAnsi" w:cs="ZurichBT-LightCondensed"/>
          <w:szCs w:val="22"/>
        </w:rPr>
        <w:t>Directive 2012/29/EU</w:t>
      </w:r>
      <w:r w:rsidR="0035129F">
        <w:rPr>
          <w:rFonts w:eastAsiaTheme="minorHAnsi" w:cs="ZurichBT-LightCondensed"/>
          <w:szCs w:val="22"/>
        </w:rPr>
        <w:t>,</w:t>
      </w:r>
      <w:r w:rsidRPr="00515670">
        <w:rPr>
          <w:rFonts w:eastAsiaTheme="minorHAnsi" w:cs="ZurichBT-LightCondensed"/>
          <w:szCs w:val="22"/>
        </w:rPr>
        <w:t xml:space="preserve"> establishing minimum standards on the rights, </w:t>
      </w:r>
      <w:proofErr w:type="gramStart"/>
      <w:r w:rsidRPr="00515670">
        <w:rPr>
          <w:rFonts w:eastAsiaTheme="minorHAnsi" w:cs="ZurichBT-LightCondensed"/>
          <w:szCs w:val="22"/>
        </w:rPr>
        <w:t>support</w:t>
      </w:r>
      <w:proofErr w:type="gramEnd"/>
      <w:r w:rsidRPr="00515670">
        <w:rPr>
          <w:rFonts w:eastAsiaTheme="minorHAnsi" w:cs="ZurichBT-LightCondensed"/>
          <w:szCs w:val="22"/>
        </w:rPr>
        <w:t xml:space="preserve"> and protection of victims of crime</w:t>
      </w:r>
      <w:r>
        <w:rPr>
          <w:rFonts w:eastAsiaTheme="minorHAnsi" w:cs="ZurichBT-LightCondensed"/>
          <w:szCs w:val="22"/>
        </w:rPr>
        <w:t xml:space="preserve">. </w:t>
      </w:r>
    </w:p>
    <w:p w14:paraId="0B77D4C5" w14:textId="77777777" w:rsidR="005F0165" w:rsidRDefault="005F0165" w:rsidP="00A2361E">
      <w:pPr>
        <w:autoSpaceDE w:val="0"/>
        <w:autoSpaceDN w:val="0"/>
        <w:adjustRightInd w:val="0"/>
        <w:spacing w:before="24" w:line="276" w:lineRule="auto"/>
        <w:ind w:left="2160"/>
        <w:contextualSpacing/>
        <w:jc w:val="both"/>
        <w:rPr>
          <w:rFonts w:eastAsiaTheme="minorHAnsi" w:cs="ZurichBT-LightCondensed"/>
          <w:sz w:val="28"/>
        </w:rPr>
      </w:pPr>
    </w:p>
    <w:p w14:paraId="31B38416" w14:textId="77777777" w:rsidR="0035129F" w:rsidRDefault="0035129F">
      <w:pPr>
        <w:spacing w:after="160" w:line="259" w:lineRule="auto"/>
        <w:rPr>
          <w:rFonts w:eastAsiaTheme="majorEastAsia" w:cstheme="majorBidi"/>
          <w:b/>
          <w:color w:val="77328A"/>
          <w:sz w:val="30"/>
          <w:szCs w:val="30"/>
        </w:rPr>
      </w:pPr>
      <w:r>
        <w:rPr>
          <w:szCs w:val="30"/>
        </w:rPr>
        <w:br w:type="page"/>
      </w:r>
    </w:p>
    <w:p w14:paraId="0F2A3FE5" w14:textId="59679A3F" w:rsidR="005F0165" w:rsidRDefault="00474C26" w:rsidP="00FD13F1">
      <w:pPr>
        <w:pStyle w:val="Heading1"/>
        <w:numPr>
          <w:ilvl w:val="0"/>
          <w:numId w:val="34"/>
        </w:numPr>
        <w:spacing w:before="24" w:after="24" w:line="276" w:lineRule="auto"/>
        <w:jc w:val="both"/>
        <w:rPr>
          <w:szCs w:val="30"/>
        </w:rPr>
      </w:pPr>
      <w:bookmarkStart w:id="2" w:name="_Toc78208924"/>
      <w:r>
        <w:rPr>
          <w:szCs w:val="30"/>
        </w:rPr>
        <w:lastRenderedPageBreak/>
        <w:t xml:space="preserve">Part A: </w:t>
      </w:r>
      <w:r w:rsidR="005F0165">
        <w:rPr>
          <w:szCs w:val="30"/>
        </w:rPr>
        <w:t>General Comments</w:t>
      </w:r>
      <w:bookmarkEnd w:id="2"/>
      <w:r w:rsidR="005F0165">
        <w:rPr>
          <w:szCs w:val="30"/>
        </w:rPr>
        <w:t xml:space="preserve"> </w:t>
      </w:r>
    </w:p>
    <w:p w14:paraId="62E1DBC0" w14:textId="77777777" w:rsidR="005F0165" w:rsidRDefault="005F0165" w:rsidP="00A2361E">
      <w:pPr>
        <w:pStyle w:val="ListParagraph"/>
        <w:spacing w:before="24" w:after="24" w:line="276" w:lineRule="auto"/>
        <w:jc w:val="both"/>
      </w:pPr>
    </w:p>
    <w:p w14:paraId="0DB8515C" w14:textId="2554DD7D" w:rsidR="002362D8" w:rsidRDefault="00515670" w:rsidP="00FD13F1">
      <w:pPr>
        <w:pStyle w:val="ListParagraph"/>
        <w:numPr>
          <w:ilvl w:val="1"/>
          <w:numId w:val="34"/>
        </w:numPr>
        <w:spacing w:line="276" w:lineRule="auto"/>
        <w:jc w:val="both"/>
      </w:pPr>
      <w:r>
        <w:t xml:space="preserve">The Commission welcomes the opportunity to provide comment on the proposed Victims and Witness Strategy and the proposal for a Victims </w:t>
      </w:r>
      <w:r w:rsidR="00BE0408">
        <w:t xml:space="preserve">of Crime </w:t>
      </w:r>
      <w:r>
        <w:t xml:space="preserve">Commissioner. </w:t>
      </w:r>
      <w:r w:rsidR="002362D8" w:rsidRPr="002362D8">
        <w:t xml:space="preserve">Due to the practical nature of the questions outlined in the consultation document, the Commission </w:t>
      </w:r>
      <w:r w:rsidR="002362D8">
        <w:t>will</w:t>
      </w:r>
      <w:r w:rsidR="002362D8" w:rsidRPr="002362D8">
        <w:t xml:space="preserve"> </w:t>
      </w:r>
      <w:r w:rsidR="00175FE6">
        <w:t>structure its response according to</w:t>
      </w:r>
      <w:r w:rsidR="002362D8">
        <w:t xml:space="preserve"> relevant </w:t>
      </w:r>
      <w:r w:rsidR="002362D8" w:rsidRPr="002362D8">
        <w:t>thematic issues.</w:t>
      </w:r>
      <w:r w:rsidR="002362D8">
        <w:t xml:space="preserve"> This response will be divided into two parts, with the latter section focusing on the proposals for a Victims </w:t>
      </w:r>
      <w:r w:rsidR="004562A8">
        <w:t xml:space="preserve">of Crime </w:t>
      </w:r>
      <w:r w:rsidR="002362D8">
        <w:t xml:space="preserve">Commissioner. </w:t>
      </w:r>
    </w:p>
    <w:p w14:paraId="7315EC84" w14:textId="77777777" w:rsidR="002362D8" w:rsidRDefault="002362D8" w:rsidP="00A2361E">
      <w:pPr>
        <w:pStyle w:val="ListParagraph"/>
        <w:spacing w:line="276" w:lineRule="auto"/>
        <w:jc w:val="both"/>
      </w:pPr>
    </w:p>
    <w:p w14:paraId="2B1F89B4" w14:textId="77777777" w:rsidR="002362D8" w:rsidRDefault="00467330" w:rsidP="00FD13F1">
      <w:pPr>
        <w:pStyle w:val="ListParagraph"/>
        <w:numPr>
          <w:ilvl w:val="1"/>
          <w:numId w:val="34"/>
        </w:numPr>
        <w:spacing w:line="276" w:lineRule="auto"/>
        <w:jc w:val="both"/>
      </w:pPr>
      <w:r>
        <w:t xml:space="preserve">The Commission recognises that the </w:t>
      </w:r>
      <w:r w:rsidR="00C03861">
        <w:t xml:space="preserve">Strategy has the potential to raise </w:t>
      </w:r>
      <w:proofErr w:type="gramStart"/>
      <w:r w:rsidR="00C03861">
        <w:t>a number of</w:t>
      </w:r>
      <w:proofErr w:type="gramEnd"/>
      <w:r w:rsidR="00C03861">
        <w:t xml:space="preserve"> </w:t>
      </w:r>
      <w:r w:rsidR="00175FE6">
        <w:t xml:space="preserve">human </w:t>
      </w:r>
      <w:r w:rsidR="00C03861">
        <w:t>rights related issues.</w:t>
      </w:r>
      <w:r w:rsidR="005123EE">
        <w:t xml:space="preserve"> Whilst we recognise the role of defendants’ rights in the wider discussion, i</w:t>
      </w:r>
      <w:r w:rsidR="00DC234C">
        <w:t xml:space="preserve">n the interests of ensuring our response is focused and helpful to informing this Strategy for Victims and Witnesses, </w:t>
      </w:r>
      <w:r w:rsidR="005123EE">
        <w:t>this response</w:t>
      </w:r>
      <w:r w:rsidR="002362D8">
        <w:t xml:space="preserve"> will focus on</w:t>
      </w:r>
      <w:r w:rsidR="005123EE">
        <w:t xml:space="preserve"> r</w:t>
      </w:r>
      <w:r w:rsidR="002362D8">
        <w:t>ights</w:t>
      </w:r>
      <w:r w:rsidR="005123EE">
        <w:t xml:space="preserve"> specific to victims and witnesses of crime. </w:t>
      </w:r>
    </w:p>
    <w:p w14:paraId="73F27AB4" w14:textId="77777777" w:rsidR="002362D8" w:rsidRDefault="002362D8" w:rsidP="00A2361E">
      <w:pPr>
        <w:pStyle w:val="ListParagraph"/>
        <w:spacing w:line="276" w:lineRule="auto"/>
        <w:jc w:val="both"/>
      </w:pPr>
    </w:p>
    <w:p w14:paraId="0510A114" w14:textId="463D2B7F" w:rsidR="002A3FCD" w:rsidRPr="00D922C8" w:rsidRDefault="00664830" w:rsidP="00FD13F1">
      <w:pPr>
        <w:pStyle w:val="ListParagraph"/>
        <w:numPr>
          <w:ilvl w:val="1"/>
          <w:numId w:val="34"/>
        </w:numPr>
        <w:spacing w:line="276" w:lineRule="auto"/>
        <w:jc w:val="both"/>
      </w:pPr>
      <w:r>
        <w:t xml:space="preserve">The Commission welcomes that the </w:t>
      </w:r>
      <w:r w:rsidR="00881A47">
        <w:t>consultation document recognises that “</w:t>
      </w:r>
      <w:r w:rsidR="00BC01C5">
        <w:t>o</w:t>
      </w:r>
      <w:r w:rsidR="00881A47">
        <w:t>ther existing strategies and programmes of work across the criminal justice system are also relevant to the experiences of victims and witnesses”</w:t>
      </w:r>
      <w:r w:rsidR="007203B6">
        <w:rPr>
          <w:rStyle w:val="FootnoteReference"/>
        </w:rPr>
        <w:footnoteReference w:id="21"/>
      </w:r>
      <w:r w:rsidR="006E336E">
        <w:t xml:space="preserve">, </w:t>
      </w:r>
      <w:r w:rsidR="00E11B66">
        <w:t>for example</w:t>
      </w:r>
      <w:r w:rsidR="006E336E">
        <w:t xml:space="preserve"> </w:t>
      </w:r>
      <w:r w:rsidR="00E11B66">
        <w:t>work to reduce avoidable delay</w:t>
      </w:r>
      <w:r w:rsidR="006531A3">
        <w:t>, support victims of domestic abuse</w:t>
      </w:r>
      <w:r w:rsidR="007726EF">
        <w:t>,</w:t>
      </w:r>
      <w:r w:rsidR="00E11B66">
        <w:t xml:space="preserve"> and implementation of the Gillen Review recommendations.</w:t>
      </w:r>
      <w:r w:rsidR="003F400A">
        <w:t xml:space="preserve"> </w:t>
      </w:r>
      <w:r w:rsidR="0060285A" w:rsidRPr="00451072">
        <w:t>The Commission</w:t>
      </w:r>
      <w:r w:rsidR="009F5DE3">
        <w:t>,</w:t>
      </w:r>
      <w:r w:rsidR="0060285A" w:rsidRPr="00451072">
        <w:t xml:space="preserve"> alongside the Criminal Justice </w:t>
      </w:r>
      <w:r w:rsidR="009F5DE3">
        <w:t>Inspection NI,</w:t>
      </w:r>
      <w:r w:rsidR="0060285A" w:rsidRPr="00451072">
        <w:t xml:space="preserve"> continue</w:t>
      </w:r>
      <w:r w:rsidR="000853BE" w:rsidRPr="00451072">
        <w:t>s</w:t>
      </w:r>
      <w:r w:rsidR="0060285A" w:rsidRPr="00451072">
        <w:t xml:space="preserve"> to recommend the need for custodial time limits to reduce delay</w:t>
      </w:r>
      <w:r w:rsidR="000853BE" w:rsidRPr="00451072">
        <w:t>,</w:t>
      </w:r>
      <w:r w:rsidR="0060285A" w:rsidRPr="00451072">
        <w:t xml:space="preserve"> which remains a fundamental issue for both victims and witnesses of crime</w:t>
      </w:r>
      <w:r w:rsidR="00451072">
        <w:rPr>
          <w:rStyle w:val="FootnoteReference"/>
        </w:rPr>
        <w:footnoteReference w:id="22"/>
      </w:r>
      <w:r w:rsidR="0060285A" w:rsidRPr="00451072">
        <w:t>.</w:t>
      </w:r>
      <w:r w:rsidR="006531A3">
        <w:t xml:space="preserve"> The Commission suggests that this list is expanded to capture the wide range of work</w:t>
      </w:r>
      <w:r w:rsidR="007726EF">
        <w:t xml:space="preserve"> which overlap</w:t>
      </w:r>
      <w:r w:rsidR="00454873">
        <w:t>s</w:t>
      </w:r>
      <w:r w:rsidR="007726EF">
        <w:t xml:space="preserve"> with victims</w:t>
      </w:r>
      <w:r w:rsidR="00454873">
        <w:t>’</w:t>
      </w:r>
      <w:r w:rsidR="007726EF">
        <w:t xml:space="preserve"> experiences, including the review of the law on Child Sexual Exploitation</w:t>
      </w:r>
      <w:r w:rsidR="00D563FC">
        <w:t>,</w:t>
      </w:r>
      <w:r w:rsidR="00454873">
        <w:t xml:space="preserve"> hate crime,</w:t>
      </w:r>
      <w:r w:rsidR="00D563FC">
        <w:t xml:space="preserve"> human trafficking and modern slavery</w:t>
      </w:r>
      <w:r w:rsidR="00132D62">
        <w:t>, and data extraction</w:t>
      </w:r>
      <w:r w:rsidR="002E5DD6">
        <w:t xml:space="preserve"> from electronic devices</w:t>
      </w:r>
      <w:r w:rsidR="00D563FC">
        <w:t>.</w:t>
      </w:r>
      <w:r w:rsidR="002768D7">
        <w:t xml:space="preserve"> </w:t>
      </w:r>
      <w:r w:rsidR="002A3FCD" w:rsidRPr="003F400A">
        <w:rPr>
          <w:rFonts w:eastAsia="Verdana"/>
        </w:rPr>
        <w:t xml:space="preserve">The Commission has also </w:t>
      </w:r>
      <w:r w:rsidR="002A3FCD" w:rsidRPr="003F400A">
        <w:rPr>
          <w:rFonts w:eastAsia="Verdana"/>
        </w:rPr>
        <w:lastRenderedPageBreak/>
        <w:t>provided detailed responses to the relevant consultations providing specific human rights guidance and recommendations.</w:t>
      </w:r>
      <w:r w:rsidR="007820AA">
        <w:rPr>
          <w:rStyle w:val="FootnoteReference"/>
          <w:rFonts w:eastAsia="Verdana"/>
        </w:rPr>
        <w:footnoteReference w:id="23"/>
      </w:r>
    </w:p>
    <w:p w14:paraId="79601193" w14:textId="77777777" w:rsidR="00D922C8" w:rsidRDefault="00D922C8" w:rsidP="00D922C8">
      <w:pPr>
        <w:pStyle w:val="ListParagraph"/>
      </w:pPr>
    </w:p>
    <w:p w14:paraId="59A3BB94" w14:textId="7445678B" w:rsidR="00D922C8" w:rsidRDefault="00D922C8" w:rsidP="00FD13F1">
      <w:pPr>
        <w:pStyle w:val="ListParagraph"/>
        <w:numPr>
          <w:ilvl w:val="1"/>
          <w:numId w:val="34"/>
        </w:numPr>
        <w:spacing w:line="276" w:lineRule="auto"/>
        <w:jc w:val="both"/>
      </w:pPr>
      <w:r>
        <w:t xml:space="preserve">Further, </w:t>
      </w:r>
      <w:r w:rsidR="002D16C2">
        <w:t xml:space="preserve">the Commission notes </w:t>
      </w:r>
      <w:r w:rsidR="00132E50">
        <w:t xml:space="preserve">the </w:t>
      </w:r>
      <w:r w:rsidR="00652864">
        <w:t xml:space="preserve">risk of intimidation </w:t>
      </w:r>
      <w:r w:rsidR="00A0099D">
        <w:t xml:space="preserve">of witnesses, as indicated in the Witness Charter, </w:t>
      </w:r>
      <w:r w:rsidR="004B1C32">
        <w:t xml:space="preserve">and recommends that </w:t>
      </w:r>
      <w:r w:rsidR="00C57B14">
        <w:t>a joined-up approach is taken between all relevant agencies to ensure witnesses’ rights are upheld</w:t>
      </w:r>
      <w:r w:rsidR="00771B53">
        <w:t xml:space="preserve"> and </w:t>
      </w:r>
      <w:r w:rsidR="002C30F4">
        <w:t>effective witness protection strategies developed</w:t>
      </w:r>
      <w:r w:rsidR="009014C4">
        <w:t xml:space="preserve"> in line with the Strategy for Victims and Witnesses</w:t>
      </w:r>
      <w:r w:rsidR="002C30F4">
        <w:t xml:space="preserve">. </w:t>
      </w:r>
    </w:p>
    <w:p w14:paraId="7C57A946" w14:textId="77777777" w:rsidR="002032DA" w:rsidRPr="0061562D" w:rsidRDefault="002032DA" w:rsidP="005C6A6D">
      <w:pPr>
        <w:pStyle w:val="ListParagraph"/>
        <w:rPr>
          <w:b/>
          <w:bCs/>
        </w:rPr>
      </w:pPr>
    </w:p>
    <w:p w14:paraId="4A05DCDD" w14:textId="38AFC868" w:rsidR="002E2F60" w:rsidRPr="002E2F60" w:rsidRDefault="002768D7" w:rsidP="00FD13F1">
      <w:pPr>
        <w:pStyle w:val="ListParagraph"/>
        <w:numPr>
          <w:ilvl w:val="1"/>
          <w:numId w:val="34"/>
        </w:numPr>
        <w:spacing w:line="276" w:lineRule="auto"/>
        <w:jc w:val="both"/>
      </w:pPr>
      <w:r w:rsidRPr="0034697E">
        <w:rPr>
          <w:b/>
          <w:bCs/>
        </w:rPr>
        <w:t xml:space="preserve">The Commission </w:t>
      </w:r>
      <w:r w:rsidR="00094311" w:rsidRPr="0034697E">
        <w:rPr>
          <w:b/>
          <w:bCs/>
        </w:rPr>
        <w:t xml:space="preserve">suggests </w:t>
      </w:r>
      <w:r w:rsidRPr="0034697E">
        <w:rPr>
          <w:b/>
          <w:bCs/>
        </w:rPr>
        <w:t xml:space="preserve">that a commitment to joined-up working </w:t>
      </w:r>
      <w:r w:rsidR="008630F3" w:rsidRPr="0034697E">
        <w:rPr>
          <w:b/>
          <w:bCs/>
        </w:rPr>
        <w:t xml:space="preserve">is required to effectively develop and deliver a </w:t>
      </w:r>
      <w:r w:rsidR="001E6733">
        <w:rPr>
          <w:b/>
          <w:bCs/>
        </w:rPr>
        <w:t>S</w:t>
      </w:r>
      <w:r w:rsidR="008630F3" w:rsidRPr="0034697E">
        <w:rPr>
          <w:b/>
          <w:bCs/>
        </w:rPr>
        <w:t xml:space="preserve">trategy for </w:t>
      </w:r>
      <w:r w:rsidR="001E6733">
        <w:rPr>
          <w:b/>
          <w:bCs/>
        </w:rPr>
        <w:t>V</w:t>
      </w:r>
      <w:r w:rsidR="008630F3" w:rsidRPr="0034697E">
        <w:rPr>
          <w:b/>
          <w:bCs/>
        </w:rPr>
        <w:t xml:space="preserve">ictims and </w:t>
      </w:r>
      <w:r w:rsidR="001E6733">
        <w:rPr>
          <w:b/>
          <w:bCs/>
        </w:rPr>
        <w:t>W</w:t>
      </w:r>
      <w:r w:rsidR="008630F3" w:rsidRPr="0034697E">
        <w:rPr>
          <w:b/>
          <w:bCs/>
        </w:rPr>
        <w:t>itnesses</w:t>
      </w:r>
      <w:r w:rsidR="00600C71" w:rsidRPr="0034697E">
        <w:rPr>
          <w:b/>
          <w:bCs/>
        </w:rPr>
        <w:t xml:space="preserve">, </w:t>
      </w:r>
      <w:r w:rsidR="00430DFD">
        <w:rPr>
          <w:b/>
          <w:bCs/>
        </w:rPr>
        <w:t xml:space="preserve">including the issue of witness protection </w:t>
      </w:r>
      <w:r w:rsidR="00600C71" w:rsidRPr="0034697E">
        <w:rPr>
          <w:b/>
          <w:bCs/>
        </w:rPr>
        <w:t xml:space="preserve">and recommends that this work is closely aligned to specific areas of work including but not limited to the Gillen Review, CSE Law Review, </w:t>
      </w:r>
      <w:r w:rsidR="00B606AE">
        <w:rPr>
          <w:b/>
          <w:bCs/>
        </w:rPr>
        <w:t xml:space="preserve">Hate Crime Review, </w:t>
      </w:r>
      <w:r w:rsidR="00083AD1" w:rsidRPr="0034697E">
        <w:rPr>
          <w:b/>
          <w:bCs/>
        </w:rPr>
        <w:t>Domestic Abuse and Civil Proceedings Act, Stalking Bill,  the</w:t>
      </w:r>
      <w:r w:rsidR="0034697E" w:rsidRPr="0034697E">
        <w:rPr>
          <w:b/>
          <w:bCs/>
        </w:rPr>
        <w:t xml:space="preserve"> Human Trafficking and Exploitation (Criminal Justice and Support for Victims) Act (Northern Ireland) 2015</w:t>
      </w:r>
      <w:r w:rsidR="00082CE5">
        <w:rPr>
          <w:b/>
          <w:bCs/>
        </w:rPr>
        <w:t xml:space="preserve">, </w:t>
      </w:r>
      <w:r w:rsidR="00082CE5" w:rsidRPr="00082CE5">
        <w:rPr>
          <w:rFonts w:eastAsia="Verdana"/>
          <w:b/>
          <w:bCs/>
        </w:rPr>
        <w:t>and work to reduce delay in the criminal justice system</w:t>
      </w:r>
      <w:r w:rsidR="0026447D">
        <w:rPr>
          <w:rFonts w:eastAsia="Verdana"/>
          <w:b/>
          <w:bCs/>
        </w:rPr>
        <w:t xml:space="preserve">, as well as relevant activity undertaken across other </w:t>
      </w:r>
      <w:r w:rsidR="002D16C2">
        <w:rPr>
          <w:rFonts w:eastAsia="Verdana"/>
          <w:b/>
          <w:bCs/>
        </w:rPr>
        <w:t xml:space="preserve">Executive </w:t>
      </w:r>
      <w:r w:rsidR="0026447D">
        <w:rPr>
          <w:rFonts w:eastAsia="Verdana"/>
          <w:b/>
          <w:bCs/>
        </w:rPr>
        <w:t>departments</w:t>
      </w:r>
      <w:r w:rsidR="002D16C2">
        <w:rPr>
          <w:rFonts w:eastAsia="Verdana"/>
          <w:b/>
          <w:bCs/>
        </w:rPr>
        <w:t xml:space="preserve"> and criminal justice agencies</w:t>
      </w:r>
      <w:r w:rsidR="00082CE5" w:rsidRPr="00082CE5">
        <w:rPr>
          <w:rFonts w:eastAsia="Verdana"/>
          <w:b/>
          <w:bCs/>
        </w:rPr>
        <w:t>.</w:t>
      </w:r>
      <w:r w:rsidR="0034697E" w:rsidRPr="0034697E">
        <w:rPr>
          <w:b/>
          <w:bCs/>
        </w:rPr>
        <w:t xml:space="preserve"> </w:t>
      </w:r>
    </w:p>
    <w:p w14:paraId="5DF6DCA1" w14:textId="77777777" w:rsidR="002E2F60" w:rsidRPr="002E2F60" w:rsidRDefault="002E2F60" w:rsidP="00A2361E">
      <w:pPr>
        <w:pStyle w:val="ListParagraph"/>
        <w:spacing w:line="276" w:lineRule="auto"/>
        <w:jc w:val="both"/>
      </w:pPr>
    </w:p>
    <w:p w14:paraId="627AFE3A" w14:textId="50A7C75C" w:rsidR="002032DA" w:rsidRPr="00242E28" w:rsidRDefault="00CD6EEE" w:rsidP="00FD13F1">
      <w:pPr>
        <w:pStyle w:val="ListParagraph"/>
        <w:numPr>
          <w:ilvl w:val="1"/>
          <w:numId w:val="34"/>
        </w:numPr>
        <w:spacing w:line="276" w:lineRule="auto"/>
        <w:jc w:val="both"/>
      </w:pPr>
      <w:r w:rsidRPr="002E2F60">
        <w:rPr>
          <w:rFonts w:eastAsia="Verdana"/>
        </w:rPr>
        <w:t xml:space="preserve">The Commission </w:t>
      </w:r>
      <w:r w:rsidR="009129EB">
        <w:rPr>
          <w:rFonts w:eastAsia="Verdana"/>
        </w:rPr>
        <w:t>advises</w:t>
      </w:r>
      <w:r w:rsidRPr="002E2F60">
        <w:rPr>
          <w:rFonts w:eastAsia="Verdana"/>
        </w:rPr>
        <w:t xml:space="preserve"> </w:t>
      </w:r>
      <w:r w:rsidR="009129EB">
        <w:rPr>
          <w:rFonts w:eastAsia="Verdana"/>
        </w:rPr>
        <w:t xml:space="preserve">that </w:t>
      </w:r>
      <w:r w:rsidRPr="002E2F60">
        <w:rPr>
          <w:rFonts w:eastAsia="Verdana"/>
        </w:rPr>
        <w:t xml:space="preserve">clarification </w:t>
      </w:r>
      <w:r w:rsidR="009129EB">
        <w:rPr>
          <w:rFonts w:eastAsia="Verdana"/>
        </w:rPr>
        <w:t xml:space="preserve">is provided </w:t>
      </w:r>
      <w:r w:rsidRPr="002E2F60">
        <w:rPr>
          <w:rFonts w:eastAsia="Verdana"/>
        </w:rPr>
        <w:t xml:space="preserve">on the funding of the proposed </w:t>
      </w:r>
      <w:r w:rsidR="005F284C" w:rsidRPr="002E2F60">
        <w:rPr>
          <w:rFonts w:eastAsia="Verdana"/>
        </w:rPr>
        <w:t>S</w:t>
      </w:r>
      <w:r w:rsidRPr="002E2F60">
        <w:rPr>
          <w:rFonts w:eastAsia="Verdana"/>
        </w:rPr>
        <w:t xml:space="preserve">trategy, as this is not contained within the consultation document. It is not clear whether the </w:t>
      </w:r>
      <w:r w:rsidR="005F284C" w:rsidRPr="002E2F60">
        <w:rPr>
          <w:rFonts w:eastAsia="Verdana"/>
        </w:rPr>
        <w:t>S</w:t>
      </w:r>
      <w:r w:rsidRPr="002E2F60">
        <w:rPr>
          <w:rFonts w:eastAsia="Verdana"/>
        </w:rPr>
        <w:t xml:space="preserve">trategy will be provided with specific allocated funding or whether </w:t>
      </w:r>
      <w:r w:rsidR="009129EB">
        <w:rPr>
          <w:rFonts w:eastAsia="Verdana"/>
        </w:rPr>
        <w:t>it</w:t>
      </w:r>
      <w:r w:rsidRPr="002E2F60">
        <w:rPr>
          <w:rFonts w:eastAsia="Verdana"/>
        </w:rPr>
        <w:t xml:space="preserve"> will be resourced through the Department’s existing resources. The Commission would suggest that for the </w:t>
      </w:r>
      <w:r w:rsidR="00354AB4" w:rsidRPr="002E2F60">
        <w:rPr>
          <w:rFonts w:eastAsia="Verdana"/>
        </w:rPr>
        <w:t>S</w:t>
      </w:r>
      <w:r w:rsidRPr="002E2F60">
        <w:rPr>
          <w:rFonts w:eastAsia="Verdana"/>
        </w:rPr>
        <w:t>trategy to be successful</w:t>
      </w:r>
      <w:r w:rsidR="009129EB">
        <w:rPr>
          <w:rFonts w:eastAsia="Verdana"/>
        </w:rPr>
        <w:t xml:space="preserve">, </w:t>
      </w:r>
      <w:r w:rsidR="00354AB4" w:rsidRPr="002E2F60">
        <w:rPr>
          <w:rFonts w:eastAsia="Verdana"/>
        </w:rPr>
        <w:t>it</w:t>
      </w:r>
      <w:r w:rsidRPr="002E2F60">
        <w:rPr>
          <w:rFonts w:eastAsia="Verdana"/>
        </w:rPr>
        <w:t xml:space="preserve"> is allocated with sufficient</w:t>
      </w:r>
      <w:r w:rsidR="0060285A">
        <w:rPr>
          <w:rFonts w:eastAsia="Verdana"/>
        </w:rPr>
        <w:t xml:space="preserve"> and ongoing</w:t>
      </w:r>
      <w:r w:rsidRPr="002E2F60">
        <w:rPr>
          <w:rFonts w:eastAsia="Verdana"/>
        </w:rPr>
        <w:t xml:space="preserve"> dedicated resources.</w:t>
      </w:r>
      <w:r w:rsidR="00354AB4" w:rsidRPr="002E2F60">
        <w:rPr>
          <w:rFonts w:eastAsia="Verdana"/>
        </w:rPr>
        <w:t xml:space="preserve"> </w:t>
      </w:r>
    </w:p>
    <w:p w14:paraId="2377ECEF" w14:textId="77777777" w:rsidR="002032DA" w:rsidRPr="00242E28" w:rsidRDefault="002032DA" w:rsidP="00242E28">
      <w:pPr>
        <w:pStyle w:val="ListParagraph"/>
        <w:rPr>
          <w:rFonts w:eastAsia="Verdana"/>
          <w:b/>
        </w:rPr>
      </w:pPr>
    </w:p>
    <w:p w14:paraId="4AC95BF3" w14:textId="6096E329" w:rsidR="002E2F60" w:rsidRPr="002E2F60" w:rsidRDefault="002E2F60" w:rsidP="00FD13F1">
      <w:pPr>
        <w:pStyle w:val="ListParagraph"/>
        <w:numPr>
          <w:ilvl w:val="1"/>
          <w:numId w:val="34"/>
        </w:numPr>
        <w:spacing w:line="276" w:lineRule="auto"/>
        <w:jc w:val="both"/>
      </w:pPr>
      <w:r w:rsidRPr="002E2F60">
        <w:rPr>
          <w:rFonts w:eastAsia="Verdana"/>
          <w:b/>
        </w:rPr>
        <w:t>The Commission recommend</w:t>
      </w:r>
      <w:r w:rsidR="001F2235">
        <w:rPr>
          <w:rFonts w:eastAsia="Verdana"/>
          <w:b/>
        </w:rPr>
        <w:t>s</w:t>
      </w:r>
      <w:r w:rsidRPr="002E2F60">
        <w:rPr>
          <w:rFonts w:eastAsia="Verdana"/>
          <w:b/>
        </w:rPr>
        <w:t xml:space="preserve"> that the </w:t>
      </w:r>
      <w:r w:rsidR="001F2235">
        <w:rPr>
          <w:rFonts w:eastAsia="Verdana"/>
          <w:b/>
        </w:rPr>
        <w:t>S</w:t>
      </w:r>
      <w:r w:rsidRPr="002E2F60">
        <w:rPr>
          <w:rFonts w:eastAsia="Verdana"/>
          <w:b/>
        </w:rPr>
        <w:t xml:space="preserve">trategy is provided with </w:t>
      </w:r>
      <w:r w:rsidR="0060285A">
        <w:rPr>
          <w:rFonts w:eastAsia="Verdana"/>
          <w:b/>
        </w:rPr>
        <w:t xml:space="preserve">ongoing, </w:t>
      </w:r>
      <w:r w:rsidRPr="002E2F60">
        <w:rPr>
          <w:rFonts w:eastAsia="Verdana"/>
          <w:b/>
        </w:rPr>
        <w:t xml:space="preserve">ring fenced resources and includes clear goals, </w:t>
      </w:r>
      <w:proofErr w:type="gramStart"/>
      <w:r w:rsidRPr="002E2F60">
        <w:rPr>
          <w:rFonts w:eastAsia="Verdana"/>
          <w:b/>
        </w:rPr>
        <w:t>targets</w:t>
      </w:r>
      <w:proofErr w:type="gramEnd"/>
      <w:r w:rsidRPr="002E2F60">
        <w:rPr>
          <w:rFonts w:eastAsia="Verdana"/>
          <w:b/>
        </w:rPr>
        <w:t xml:space="preserve"> and timelines to ensure a way in which to measure improvement.</w:t>
      </w:r>
    </w:p>
    <w:p w14:paraId="29D94BED" w14:textId="77777777" w:rsidR="00CD6EEE" w:rsidRPr="00CD6EEE" w:rsidRDefault="00CD6EEE" w:rsidP="00A2361E">
      <w:pPr>
        <w:pStyle w:val="ListParagraph"/>
        <w:spacing w:line="276" w:lineRule="auto"/>
        <w:jc w:val="both"/>
        <w:rPr>
          <w:rFonts w:eastAsia="Verdana"/>
        </w:rPr>
      </w:pPr>
    </w:p>
    <w:p w14:paraId="104283FD" w14:textId="69AFFAAC" w:rsidR="003B57BA" w:rsidRDefault="00E2695B" w:rsidP="00FD13F1">
      <w:pPr>
        <w:pStyle w:val="ListParagraph"/>
        <w:numPr>
          <w:ilvl w:val="1"/>
          <w:numId w:val="34"/>
        </w:numPr>
        <w:spacing w:line="276" w:lineRule="auto"/>
        <w:jc w:val="both"/>
      </w:pPr>
      <w:r>
        <w:lastRenderedPageBreak/>
        <w:t xml:space="preserve">The Commission broadly welcomes the </w:t>
      </w:r>
      <w:r w:rsidR="00D37E7A">
        <w:t>Strategy</w:t>
      </w:r>
      <w:r w:rsidR="008E49E9">
        <w:t xml:space="preserve"> and its</w:t>
      </w:r>
      <w:r w:rsidR="00D37E7A">
        <w:t xml:space="preserve"> intent, </w:t>
      </w:r>
      <w:proofErr w:type="gramStart"/>
      <w:r w:rsidR="00D37E7A">
        <w:t>objectives</w:t>
      </w:r>
      <w:proofErr w:type="gramEnd"/>
      <w:r w:rsidR="00D37E7A">
        <w:t xml:space="preserve"> and priorities. The following sections provide comment on </w:t>
      </w:r>
      <w:r w:rsidR="00FA47DB">
        <w:t>relevant</w:t>
      </w:r>
      <w:r w:rsidR="00D37E7A">
        <w:t xml:space="preserve"> themes. </w:t>
      </w:r>
    </w:p>
    <w:p w14:paraId="1D7737B9" w14:textId="77777777" w:rsidR="00BD3DDF" w:rsidRDefault="00BD3DDF" w:rsidP="00FD13F1">
      <w:pPr>
        <w:pStyle w:val="Heading1"/>
        <w:numPr>
          <w:ilvl w:val="0"/>
          <w:numId w:val="34"/>
        </w:numPr>
        <w:spacing w:line="276" w:lineRule="auto"/>
        <w:jc w:val="both"/>
      </w:pPr>
      <w:bookmarkStart w:id="4" w:name="_Toc78208925"/>
      <w:r>
        <w:t>International Standards</w:t>
      </w:r>
      <w:bookmarkEnd w:id="4"/>
      <w:r>
        <w:t xml:space="preserve"> </w:t>
      </w:r>
    </w:p>
    <w:p w14:paraId="01A178C5" w14:textId="77777777" w:rsidR="00BD3DDF" w:rsidRDefault="00BD3DDF" w:rsidP="00A2361E">
      <w:pPr>
        <w:spacing w:line="276" w:lineRule="auto"/>
      </w:pPr>
    </w:p>
    <w:p w14:paraId="17A30B2D" w14:textId="201FCFAA" w:rsidR="007143BB" w:rsidRPr="00FC3A73" w:rsidRDefault="00BD3DDF" w:rsidP="00FD13F1">
      <w:pPr>
        <w:pStyle w:val="ListParagraph"/>
        <w:numPr>
          <w:ilvl w:val="1"/>
          <w:numId w:val="34"/>
        </w:numPr>
        <w:spacing w:line="276" w:lineRule="auto"/>
        <w:jc w:val="both"/>
        <w:rPr>
          <w:rFonts w:eastAsia="Verdana"/>
        </w:rPr>
      </w:pPr>
      <w:r w:rsidRPr="00A62744">
        <w:rPr>
          <w:rFonts w:eastAsia="Verdana"/>
        </w:rPr>
        <w:t xml:space="preserve">The Commission welcomes that the consultation document </w:t>
      </w:r>
      <w:proofErr w:type="gramStart"/>
      <w:r w:rsidRPr="00A62744">
        <w:rPr>
          <w:rFonts w:eastAsia="Verdana"/>
        </w:rPr>
        <w:t>makes reference</w:t>
      </w:r>
      <w:proofErr w:type="gramEnd"/>
      <w:r w:rsidRPr="00A62744">
        <w:rPr>
          <w:rFonts w:eastAsia="Verdana"/>
        </w:rPr>
        <w:t xml:space="preserve"> to the rights of victims and witnesses, particularly in relation to those rights and entitlements under the Victim and Witness Charters. However, it is important that this Strategy reflects the full range of relevant</w:t>
      </w:r>
      <w:r w:rsidR="001972C1" w:rsidRPr="00A62744">
        <w:rPr>
          <w:rFonts w:eastAsia="Verdana"/>
        </w:rPr>
        <w:t xml:space="preserve"> human</w:t>
      </w:r>
      <w:r w:rsidR="00C0001E" w:rsidRPr="00A62744">
        <w:rPr>
          <w:rFonts w:eastAsia="Verdana"/>
        </w:rPr>
        <w:t xml:space="preserve"> </w:t>
      </w:r>
      <w:r w:rsidRPr="00A62744">
        <w:rPr>
          <w:rFonts w:eastAsia="Verdana"/>
        </w:rPr>
        <w:t xml:space="preserve">rights standards, beyond those contained within the </w:t>
      </w:r>
      <w:r w:rsidR="00BB5D6A" w:rsidRPr="00A62744">
        <w:rPr>
          <w:rFonts w:eastAsia="Verdana"/>
        </w:rPr>
        <w:t>C</w:t>
      </w:r>
      <w:r w:rsidRPr="00A62744">
        <w:rPr>
          <w:rFonts w:eastAsia="Verdana"/>
        </w:rPr>
        <w:t>harters. To ensure this, we recommend that a human rights-based approach is taken to develop the Strategy, and that human rights language is used to embed human rights throughout</w:t>
      </w:r>
      <w:r>
        <w:t xml:space="preserve"> the </w:t>
      </w:r>
      <w:r w:rsidR="001C009D">
        <w:t>S</w:t>
      </w:r>
      <w:r>
        <w:t xml:space="preserve">trategy. </w:t>
      </w:r>
      <w:r w:rsidR="007143BB" w:rsidRPr="00A62744">
        <w:rPr>
          <w:rFonts w:eastAsia="Verdana"/>
        </w:rPr>
        <w:t xml:space="preserve">This would provide a framework for addressing key issues, ensure rights are central to both policy development and its implementation, and enable rights holders to participate in a meaningful way. </w:t>
      </w:r>
      <w:r w:rsidR="007143BB">
        <w:t>In practice, this means applying the ‘PANEL’ Principles to policy development: Participation; Accountability; Non-discrimination; Empowerment</w:t>
      </w:r>
      <w:r w:rsidR="00D30DEB">
        <w:t>;</w:t>
      </w:r>
      <w:r w:rsidR="007143BB">
        <w:t xml:space="preserve"> and Legality.</w:t>
      </w:r>
      <w:r w:rsidR="00A62744">
        <w:t xml:space="preserve"> </w:t>
      </w:r>
    </w:p>
    <w:p w14:paraId="00B7B0DE" w14:textId="77777777" w:rsidR="00FC3A73" w:rsidRPr="00A62744" w:rsidRDefault="00FC3A73" w:rsidP="00FC3A73">
      <w:pPr>
        <w:pStyle w:val="ListParagraph"/>
        <w:spacing w:line="276" w:lineRule="auto"/>
        <w:jc w:val="both"/>
        <w:rPr>
          <w:rFonts w:eastAsia="Verdana"/>
        </w:rPr>
      </w:pPr>
    </w:p>
    <w:p w14:paraId="2AA2D8C3" w14:textId="152C2A1D" w:rsidR="00BD3DDF" w:rsidRPr="0051360A" w:rsidRDefault="00BD3DDF" w:rsidP="00FD13F1">
      <w:pPr>
        <w:pStyle w:val="ListParagraph"/>
        <w:numPr>
          <w:ilvl w:val="1"/>
          <w:numId w:val="34"/>
        </w:numPr>
        <w:spacing w:line="276" w:lineRule="auto"/>
        <w:jc w:val="both"/>
        <w:rPr>
          <w:rFonts w:eastAsia="Verdana"/>
        </w:rPr>
      </w:pPr>
      <w:r w:rsidRPr="002702AA">
        <w:rPr>
          <w:rFonts w:eastAsia="Verdana"/>
          <w:b/>
          <w:bCs/>
        </w:rPr>
        <w:t xml:space="preserve">The Commission recommends the Strategy </w:t>
      </w:r>
      <w:r w:rsidR="00FC3A73">
        <w:rPr>
          <w:rFonts w:eastAsia="Verdana"/>
          <w:b/>
          <w:bCs/>
        </w:rPr>
        <w:t xml:space="preserve">takes a human rights-based approach, </w:t>
      </w:r>
      <w:r w:rsidRPr="002702AA">
        <w:rPr>
          <w:rFonts w:eastAsia="Verdana"/>
          <w:b/>
          <w:bCs/>
        </w:rPr>
        <w:t xml:space="preserve">is guided by all relevant international human rights standards and that they are specifically </w:t>
      </w:r>
      <w:r>
        <w:rPr>
          <w:rFonts w:eastAsia="Verdana"/>
          <w:b/>
          <w:bCs/>
        </w:rPr>
        <w:t>referenced</w:t>
      </w:r>
      <w:r w:rsidRPr="002702AA">
        <w:rPr>
          <w:rFonts w:eastAsia="Verdana"/>
          <w:b/>
          <w:bCs/>
        </w:rPr>
        <w:t xml:space="preserve"> within the </w:t>
      </w:r>
      <w:r w:rsidR="001D2D5C">
        <w:rPr>
          <w:rFonts w:eastAsia="Verdana"/>
          <w:b/>
          <w:bCs/>
        </w:rPr>
        <w:t>S</w:t>
      </w:r>
      <w:r w:rsidRPr="002702AA">
        <w:rPr>
          <w:rFonts w:eastAsia="Verdana"/>
          <w:b/>
          <w:bCs/>
        </w:rPr>
        <w:t>trategy.</w:t>
      </w:r>
    </w:p>
    <w:p w14:paraId="44627759" w14:textId="77777777" w:rsidR="0051360A" w:rsidRPr="00BD3DDF" w:rsidRDefault="0051360A" w:rsidP="00A2361E">
      <w:pPr>
        <w:pStyle w:val="ListParagraph"/>
        <w:spacing w:line="276" w:lineRule="auto"/>
        <w:jc w:val="both"/>
        <w:rPr>
          <w:rFonts w:eastAsia="Verdana"/>
        </w:rPr>
      </w:pPr>
    </w:p>
    <w:p w14:paraId="108973C1" w14:textId="77777777" w:rsidR="0051360A" w:rsidRDefault="0051360A" w:rsidP="00FD13F1">
      <w:pPr>
        <w:pStyle w:val="ListParagraph"/>
        <w:numPr>
          <w:ilvl w:val="1"/>
          <w:numId w:val="34"/>
        </w:numPr>
        <w:spacing w:after="249" w:line="276" w:lineRule="auto"/>
        <w:ind w:right="75"/>
        <w:jc w:val="both"/>
        <w:rPr>
          <w:rFonts w:eastAsia="Times New Roman" w:cs="Verdana"/>
          <w:color w:val="000000"/>
          <w:szCs w:val="22"/>
          <w:lang w:eastAsia="en-GB"/>
        </w:rPr>
      </w:pPr>
      <w:r w:rsidRPr="0051360A">
        <w:rPr>
          <w:rFonts w:eastAsia="Times New Roman" w:cs="Verdana"/>
          <w:color w:val="000000"/>
          <w:szCs w:val="22"/>
          <w:lang w:eastAsia="en-GB"/>
        </w:rPr>
        <w:t xml:space="preserve">International human rights law places </w:t>
      </w:r>
      <w:proofErr w:type="gramStart"/>
      <w:r w:rsidRPr="0051360A">
        <w:rPr>
          <w:rFonts w:eastAsia="Times New Roman" w:cs="Verdana"/>
          <w:color w:val="000000"/>
          <w:szCs w:val="22"/>
          <w:lang w:eastAsia="en-GB"/>
        </w:rPr>
        <w:t>a number of</w:t>
      </w:r>
      <w:proofErr w:type="gramEnd"/>
      <w:r w:rsidRPr="0051360A">
        <w:rPr>
          <w:rFonts w:eastAsia="Times New Roman" w:cs="Verdana"/>
          <w:color w:val="000000"/>
          <w:szCs w:val="22"/>
          <w:lang w:eastAsia="en-GB"/>
        </w:rPr>
        <w:t xml:space="preserve"> specific obligations on the NI Executive to safeguard the rights of victims of crime and witnesses in judicial proceedings. International standards pre-date the EU Directive and are separate from it. </w:t>
      </w:r>
    </w:p>
    <w:p w14:paraId="042A69D1" w14:textId="77777777" w:rsidR="0051360A" w:rsidRDefault="0051360A" w:rsidP="00A2361E">
      <w:pPr>
        <w:pStyle w:val="ListParagraph"/>
        <w:spacing w:after="249" w:line="276" w:lineRule="auto"/>
        <w:ind w:right="75"/>
        <w:jc w:val="both"/>
        <w:rPr>
          <w:rFonts w:eastAsia="Times New Roman" w:cs="Verdana"/>
          <w:color w:val="000000"/>
          <w:szCs w:val="22"/>
          <w:lang w:eastAsia="en-GB"/>
        </w:rPr>
      </w:pPr>
    </w:p>
    <w:p w14:paraId="6A2A1AF7" w14:textId="2025C638" w:rsidR="0051360A" w:rsidRPr="0051360A" w:rsidRDefault="0051360A" w:rsidP="00FD13F1">
      <w:pPr>
        <w:pStyle w:val="ListParagraph"/>
        <w:numPr>
          <w:ilvl w:val="1"/>
          <w:numId w:val="34"/>
        </w:numPr>
        <w:spacing w:after="259" w:line="276" w:lineRule="auto"/>
        <w:ind w:right="75"/>
        <w:jc w:val="both"/>
        <w:rPr>
          <w:rFonts w:eastAsia="Times New Roman" w:cs="Verdana"/>
          <w:color w:val="000000"/>
          <w:szCs w:val="22"/>
          <w:lang w:eastAsia="en-GB"/>
        </w:rPr>
      </w:pPr>
      <w:r w:rsidRPr="0051360A">
        <w:rPr>
          <w:rFonts w:eastAsia="Times New Roman" w:cs="Verdana"/>
          <w:color w:val="000000"/>
          <w:szCs w:val="22"/>
          <w:lang w:eastAsia="en-GB"/>
        </w:rPr>
        <w:t>Pursuant to international human rights law</w:t>
      </w:r>
      <w:r w:rsidR="00806A71">
        <w:rPr>
          <w:rFonts w:eastAsia="Times New Roman" w:cs="Verdana"/>
          <w:color w:val="000000"/>
          <w:szCs w:val="22"/>
          <w:lang w:eastAsia="en-GB"/>
        </w:rPr>
        <w:t>,</w:t>
      </w:r>
      <w:r w:rsidRPr="0051360A">
        <w:rPr>
          <w:rFonts w:eastAsia="Times New Roman" w:cs="Verdana"/>
          <w:color w:val="000000"/>
          <w:szCs w:val="22"/>
          <w:lang w:eastAsia="en-GB"/>
        </w:rPr>
        <w:t xml:space="preserve"> the </w:t>
      </w:r>
      <w:r w:rsidR="003B049B">
        <w:rPr>
          <w:rFonts w:eastAsia="Times New Roman" w:cs="Verdana"/>
          <w:color w:val="000000"/>
          <w:szCs w:val="22"/>
          <w:lang w:eastAsia="en-GB"/>
        </w:rPr>
        <w:t>State is under an obligation to</w:t>
      </w:r>
      <w:r w:rsidRPr="0051360A">
        <w:rPr>
          <w:rFonts w:eastAsia="Times New Roman" w:cs="Verdana"/>
          <w:color w:val="000000"/>
          <w:szCs w:val="22"/>
          <w:lang w:eastAsia="en-GB"/>
        </w:rPr>
        <w:t xml:space="preserve"> prevent, investigate, </w:t>
      </w:r>
      <w:proofErr w:type="gramStart"/>
      <w:r w:rsidRPr="0051360A">
        <w:rPr>
          <w:rFonts w:eastAsia="Times New Roman" w:cs="Verdana"/>
          <w:color w:val="000000"/>
          <w:szCs w:val="22"/>
          <w:lang w:eastAsia="en-GB"/>
        </w:rPr>
        <w:t>prosecute</w:t>
      </w:r>
      <w:proofErr w:type="gramEnd"/>
      <w:r w:rsidRPr="0051360A">
        <w:rPr>
          <w:rFonts w:eastAsia="Times New Roman" w:cs="Verdana"/>
          <w:color w:val="000000"/>
          <w:szCs w:val="22"/>
          <w:lang w:eastAsia="en-GB"/>
        </w:rPr>
        <w:t xml:space="preserve"> and punish human rights violations.</w:t>
      </w:r>
      <w:r w:rsidRPr="0051360A">
        <w:rPr>
          <w:rFonts w:eastAsia="Times New Roman"/>
          <w:vertAlign w:val="superscript"/>
          <w:lang w:eastAsia="en-GB"/>
        </w:rPr>
        <w:footnoteReference w:id="24"/>
      </w:r>
      <w:r w:rsidRPr="0051360A">
        <w:rPr>
          <w:rFonts w:eastAsia="Times New Roman" w:cs="Verdana"/>
          <w:color w:val="000000"/>
          <w:szCs w:val="22"/>
          <w:lang w:eastAsia="en-GB"/>
        </w:rPr>
        <w:t xml:space="preserve"> </w:t>
      </w:r>
      <w:r w:rsidR="004810C7">
        <w:rPr>
          <w:rFonts w:eastAsia="Times New Roman" w:cs="Verdana"/>
          <w:color w:val="000000"/>
          <w:szCs w:val="22"/>
          <w:lang w:eastAsia="en-GB"/>
        </w:rPr>
        <w:t>I</w:t>
      </w:r>
      <w:r w:rsidR="0024479B">
        <w:rPr>
          <w:rFonts w:eastAsia="Times New Roman" w:cs="Verdana"/>
          <w:color w:val="000000"/>
          <w:szCs w:val="22"/>
          <w:lang w:eastAsia="en-GB"/>
        </w:rPr>
        <w:t xml:space="preserve">n </w:t>
      </w:r>
      <w:r w:rsidR="004810C7">
        <w:rPr>
          <w:rFonts w:eastAsia="Times New Roman" w:cs="Verdana"/>
          <w:color w:val="000000"/>
          <w:szCs w:val="22"/>
          <w:lang w:eastAsia="en-GB"/>
        </w:rPr>
        <w:t>our</w:t>
      </w:r>
      <w:r w:rsidR="0024479B">
        <w:rPr>
          <w:rFonts w:eastAsia="Times New Roman" w:cs="Verdana"/>
          <w:color w:val="000000"/>
          <w:szCs w:val="22"/>
          <w:lang w:eastAsia="en-GB"/>
        </w:rPr>
        <w:t xml:space="preserve"> 2013 </w:t>
      </w:r>
      <w:r w:rsidR="00E2466C">
        <w:rPr>
          <w:rFonts w:eastAsia="Times New Roman" w:cs="Verdana"/>
          <w:color w:val="000000"/>
          <w:szCs w:val="22"/>
          <w:lang w:eastAsia="en-GB"/>
        </w:rPr>
        <w:t>report on racist hate crime, the Commission</w:t>
      </w:r>
      <w:r w:rsidR="0024479B">
        <w:rPr>
          <w:rFonts w:eastAsia="Times New Roman" w:cs="Verdana"/>
          <w:color w:val="000000"/>
          <w:szCs w:val="22"/>
          <w:lang w:eastAsia="en-GB"/>
        </w:rPr>
        <w:t xml:space="preserve"> </w:t>
      </w:r>
      <w:r w:rsidR="00995198" w:rsidRPr="00995198">
        <w:rPr>
          <w:rFonts w:eastAsia="Times New Roman" w:cs="Verdana"/>
          <w:color w:val="000000"/>
          <w:szCs w:val="22"/>
          <w:lang w:eastAsia="en-GB"/>
        </w:rPr>
        <w:t>identified the four principles of State obligations: to prevent; prohibit; prosecute; and protect</w:t>
      </w:r>
      <w:r w:rsidR="00DF5826">
        <w:rPr>
          <w:rStyle w:val="FootnoteReference"/>
          <w:rFonts w:eastAsia="Times New Roman" w:cs="Verdana"/>
          <w:color w:val="000000"/>
          <w:szCs w:val="22"/>
          <w:lang w:eastAsia="en-GB"/>
        </w:rPr>
        <w:footnoteReference w:id="25"/>
      </w:r>
      <w:r w:rsidR="00995198" w:rsidRPr="00995198">
        <w:rPr>
          <w:rFonts w:eastAsia="Times New Roman" w:cs="Verdana"/>
          <w:color w:val="000000"/>
          <w:szCs w:val="22"/>
          <w:lang w:eastAsia="en-GB"/>
        </w:rPr>
        <w:t>. Taken together, these principles provide a comprehensive framework for ensuring best practice in international human rights law</w:t>
      </w:r>
      <w:r w:rsidR="00995198">
        <w:rPr>
          <w:rFonts w:eastAsia="Times New Roman" w:cs="Verdana"/>
          <w:color w:val="000000"/>
          <w:szCs w:val="22"/>
          <w:lang w:eastAsia="en-GB"/>
        </w:rPr>
        <w:t xml:space="preserve">. </w:t>
      </w:r>
      <w:r w:rsidRPr="0051360A">
        <w:rPr>
          <w:rFonts w:eastAsia="Times New Roman" w:cs="Verdana"/>
          <w:color w:val="000000"/>
          <w:szCs w:val="22"/>
          <w:lang w:eastAsia="en-GB"/>
        </w:rPr>
        <w:t xml:space="preserve">The </w:t>
      </w:r>
      <w:r w:rsidR="003B049B">
        <w:rPr>
          <w:rFonts w:eastAsia="Times New Roman" w:cs="Verdana"/>
          <w:color w:val="000000"/>
          <w:szCs w:val="22"/>
          <w:lang w:eastAsia="en-GB"/>
        </w:rPr>
        <w:t xml:space="preserve">UN </w:t>
      </w:r>
      <w:r w:rsidRPr="0051360A">
        <w:rPr>
          <w:rFonts w:eastAsia="Times New Roman" w:cs="Verdana"/>
          <w:color w:val="000000"/>
          <w:szCs w:val="22"/>
          <w:lang w:eastAsia="en-GB"/>
        </w:rPr>
        <w:t xml:space="preserve">Human Rights </w:t>
      </w:r>
      <w:r w:rsidRPr="0051360A">
        <w:rPr>
          <w:rFonts w:eastAsia="Times New Roman" w:cs="Verdana"/>
          <w:color w:val="000000"/>
          <w:szCs w:val="22"/>
          <w:lang w:eastAsia="en-GB"/>
        </w:rPr>
        <w:lastRenderedPageBreak/>
        <w:t>Committee</w:t>
      </w:r>
      <w:r w:rsidR="005703AC">
        <w:rPr>
          <w:rFonts w:eastAsia="Times New Roman" w:cs="Verdana"/>
          <w:color w:val="000000"/>
          <w:szCs w:val="22"/>
          <w:lang w:eastAsia="en-GB"/>
        </w:rPr>
        <w:t xml:space="preserve">, </w:t>
      </w:r>
      <w:r w:rsidR="00C97A12">
        <w:rPr>
          <w:rFonts w:eastAsia="Times New Roman" w:cs="Verdana"/>
          <w:color w:val="000000"/>
          <w:szCs w:val="22"/>
          <w:lang w:eastAsia="en-GB"/>
        </w:rPr>
        <w:t xml:space="preserve">which is </w:t>
      </w:r>
      <w:r w:rsidR="005703AC" w:rsidRPr="00C97A12">
        <w:rPr>
          <w:rFonts w:eastAsia="Times New Roman" w:cs="Verdana"/>
          <w:color w:val="000000"/>
          <w:szCs w:val="22"/>
          <w:lang w:eastAsia="en-GB"/>
        </w:rPr>
        <w:t>the body of independent experts that monitors implementation of the International Covenant on Civil and Political Rights</w:t>
      </w:r>
      <w:r w:rsidR="00C97A12" w:rsidRPr="00C97A12">
        <w:rPr>
          <w:rFonts w:eastAsia="Times New Roman" w:cs="Verdana"/>
          <w:color w:val="000000"/>
          <w:szCs w:val="22"/>
          <w:lang w:eastAsia="en-GB"/>
        </w:rPr>
        <w:t xml:space="preserve"> (ICCPR)</w:t>
      </w:r>
      <w:r w:rsidR="005703AC" w:rsidRPr="00C97A12">
        <w:rPr>
          <w:rFonts w:eastAsia="Times New Roman" w:cs="Verdana"/>
          <w:color w:val="000000"/>
          <w:szCs w:val="22"/>
          <w:lang w:eastAsia="en-GB"/>
        </w:rPr>
        <w:t> by State parties</w:t>
      </w:r>
      <w:r w:rsidR="00C97A12" w:rsidRPr="00C97A12">
        <w:rPr>
          <w:rFonts w:eastAsia="Times New Roman" w:cs="Verdana"/>
          <w:color w:val="000000"/>
          <w:szCs w:val="22"/>
          <w:lang w:eastAsia="en-GB"/>
        </w:rPr>
        <w:t xml:space="preserve">, </w:t>
      </w:r>
      <w:r w:rsidRPr="0051360A">
        <w:rPr>
          <w:rFonts w:eastAsia="Times New Roman" w:cs="Verdana"/>
          <w:color w:val="000000"/>
          <w:szCs w:val="22"/>
          <w:lang w:eastAsia="en-GB"/>
        </w:rPr>
        <w:t>has stated that “the obligation under the ICCPR is not confined to the respect of human rights, but that States parties have also undertaken to ensure the enjoyment of these rights to all individuals in their jurisdiction. This aspect calls for specific activities by the State parties to enable individuals to enjoy their rights.”</w:t>
      </w:r>
      <w:r w:rsidRPr="0051360A">
        <w:rPr>
          <w:rFonts w:eastAsia="Times New Roman"/>
          <w:vertAlign w:val="superscript"/>
          <w:lang w:eastAsia="en-GB"/>
        </w:rPr>
        <w:footnoteReference w:id="26"/>
      </w:r>
      <w:r w:rsidRPr="0051360A">
        <w:rPr>
          <w:rFonts w:eastAsia="Times New Roman" w:cs="Verdana"/>
          <w:color w:val="000000"/>
          <w:szCs w:val="22"/>
          <w:lang w:eastAsia="en-GB"/>
        </w:rPr>
        <w:t xml:space="preserve"> </w:t>
      </w:r>
    </w:p>
    <w:p w14:paraId="6C595DBB" w14:textId="77777777" w:rsidR="00055709" w:rsidRDefault="00055709" w:rsidP="00A2361E">
      <w:pPr>
        <w:pStyle w:val="ListParagraph"/>
        <w:spacing w:after="219" w:line="276" w:lineRule="auto"/>
        <w:ind w:right="75"/>
        <w:jc w:val="both"/>
        <w:rPr>
          <w:rFonts w:eastAsia="Times New Roman" w:cs="Verdana"/>
          <w:color w:val="000000"/>
          <w:szCs w:val="22"/>
          <w:lang w:eastAsia="en-GB"/>
        </w:rPr>
      </w:pPr>
    </w:p>
    <w:p w14:paraId="3B6DAD45" w14:textId="4385F8D3" w:rsidR="0051360A" w:rsidRPr="00055709" w:rsidRDefault="0051360A" w:rsidP="00FD13F1">
      <w:pPr>
        <w:pStyle w:val="ListParagraph"/>
        <w:numPr>
          <w:ilvl w:val="1"/>
          <w:numId w:val="34"/>
        </w:numPr>
        <w:spacing w:after="219" w:line="276" w:lineRule="auto"/>
        <w:ind w:right="75"/>
        <w:jc w:val="both"/>
        <w:rPr>
          <w:rFonts w:eastAsia="Times New Roman" w:cs="Verdana"/>
          <w:color w:val="000000"/>
          <w:szCs w:val="22"/>
          <w:lang w:eastAsia="en-GB"/>
        </w:rPr>
      </w:pPr>
      <w:r w:rsidRPr="00055709">
        <w:rPr>
          <w:rFonts w:eastAsia="Times New Roman" w:cs="Verdana"/>
          <w:color w:val="000000"/>
          <w:szCs w:val="22"/>
          <w:lang w:eastAsia="en-GB"/>
        </w:rPr>
        <w:t xml:space="preserve">The jurisprudence of the </w:t>
      </w:r>
      <w:r w:rsidR="00E35335">
        <w:rPr>
          <w:rFonts w:eastAsia="Times New Roman" w:cs="Verdana"/>
          <w:color w:val="000000"/>
          <w:szCs w:val="22"/>
          <w:lang w:eastAsia="en-GB"/>
        </w:rPr>
        <w:t>European Court of Human Rights (</w:t>
      </w:r>
      <w:r w:rsidRPr="00055709">
        <w:rPr>
          <w:rFonts w:eastAsia="Times New Roman" w:cs="Verdana"/>
          <w:color w:val="000000"/>
          <w:szCs w:val="22"/>
          <w:lang w:eastAsia="en-GB"/>
        </w:rPr>
        <w:t>ECtHR</w:t>
      </w:r>
      <w:r w:rsidR="00E35335">
        <w:rPr>
          <w:rFonts w:eastAsia="Times New Roman" w:cs="Verdana"/>
          <w:color w:val="000000"/>
          <w:szCs w:val="22"/>
          <w:lang w:eastAsia="en-GB"/>
        </w:rPr>
        <w:t>)</w:t>
      </w:r>
      <w:r w:rsidRPr="00055709">
        <w:rPr>
          <w:rFonts w:eastAsia="Times New Roman" w:cs="Verdana"/>
          <w:color w:val="000000"/>
          <w:szCs w:val="22"/>
          <w:lang w:eastAsia="en-GB"/>
        </w:rPr>
        <w:t xml:space="preserve"> has set out </w:t>
      </w:r>
      <w:proofErr w:type="gramStart"/>
      <w:r w:rsidRPr="00055709">
        <w:rPr>
          <w:rFonts w:eastAsia="Times New Roman" w:cs="Verdana"/>
          <w:color w:val="000000"/>
          <w:szCs w:val="22"/>
          <w:lang w:eastAsia="en-GB"/>
        </w:rPr>
        <w:t>a number of</w:t>
      </w:r>
      <w:proofErr w:type="gramEnd"/>
      <w:r w:rsidRPr="00055709">
        <w:rPr>
          <w:rFonts w:eastAsia="Times New Roman" w:cs="Verdana"/>
          <w:color w:val="000000"/>
          <w:szCs w:val="22"/>
          <w:lang w:eastAsia="en-GB"/>
        </w:rPr>
        <w:t xml:space="preserve"> requirements for an investigation into the death or torture, inhuman or degrading treatment of an individual to be considered effective. </w:t>
      </w:r>
      <w:r w:rsidR="0060285A">
        <w:rPr>
          <w:rFonts w:eastAsia="Times New Roman" w:cs="Verdana"/>
          <w:color w:val="000000"/>
          <w:szCs w:val="22"/>
          <w:lang w:eastAsia="en-GB"/>
        </w:rPr>
        <w:t>Where the Article 2 and 3 Convention threshold is met, t</w:t>
      </w:r>
      <w:r w:rsidRPr="00055709">
        <w:rPr>
          <w:rFonts w:eastAsia="Times New Roman" w:cs="Verdana"/>
          <w:color w:val="000000"/>
          <w:szCs w:val="22"/>
          <w:lang w:eastAsia="en-GB"/>
        </w:rPr>
        <w:t>he ‘Jordan Principles’ identify the essential requirements for effective investigations which must: be prompt; be impartial; have hierarchical independence from those implicated; provide sufficient involvement of next of kin; and have the ability to hold those responsible to account.</w:t>
      </w:r>
      <w:r w:rsidRPr="0051360A">
        <w:rPr>
          <w:rFonts w:eastAsia="Times New Roman"/>
          <w:vertAlign w:val="superscript"/>
          <w:lang w:eastAsia="en-GB"/>
        </w:rPr>
        <w:footnoteReference w:id="27"/>
      </w:r>
      <w:r w:rsidRPr="00055709">
        <w:rPr>
          <w:rFonts w:eastAsia="Times New Roman" w:cs="Verdana"/>
          <w:color w:val="000000"/>
          <w:szCs w:val="22"/>
          <w:lang w:eastAsia="en-GB"/>
        </w:rPr>
        <w:t xml:space="preserve"> </w:t>
      </w:r>
      <w:r w:rsidR="00343E01">
        <w:rPr>
          <w:rFonts w:eastAsia="Times New Roman" w:cs="Verdana"/>
          <w:color w:val="000000"/>
          <w:szCs w:val="22"/>
          <w:lang w:eastAsia="en-GB"/>
        </w:rPr>
        <w:t>Further, other</w:t>
      </w:r>
      <w:r w:rsidR="007E3D00">
        <w:rPr>
          <w:rFonts w:eastAsia="Times New Roman" w:cs="Verdana"/>
          <w:color w:val="000000"/>
          <w:szCs w:val="22"/>
          <w:lang w:eastAsia="en-GB"/>
        </w:rPr>
        <w:t xml:space="preserve"> cases have explored the relevance of the ECHR in the context of victims</w:t>
      </w:r>
      <w:r w:rsidR="00D35714">
        <w:rPr>
          <w:rFonts w:eastAsia="Times New Roman" w:cs="Verdana"/>
          <w:color w:val="000000"/>
          <w:szCs w:val="22"/>
          <w:lang w:eastAsia="en-GB"/>
        </w:rPr>
        <w:t xml:space="preserve"> and</w:t>
      </w:r>
      <w:r w:rsidR="007E3D00">
        <w:rPr>
          <w:rFonts w:eastAsia="Times New Roman" w:cs="Verdana"/>
          <w:color w:val="000000"/>
          <w:szCs w:val="22"/>
          <w:lang w:eastAsia="en-GB"/>
        </w:rPr>
        <w:t xml:space="preserve"> witnesses</w:t>
      </w:r>
      <w:r w:rsidR="00D35714">
        <w:rPr>
          <w:rFonts w:eastAsia="Times New Roman" w:cs="Verdana"/>
          <w:color w:val="000000"/>
          <w:szCs w:val="22"/>
          <w:lang w:eastAsia="en-GB"/>
        </w:rPr>
        <w:t>, particularly in relation to Article 6</w:t>
      </w:r>
      <w:r w:rsidR="002F30D0">
        <w:rPr>
          <w:rFonts w:eastAsia="Times New Roman" w:cs="Verdana"/>
          <w:color w:val="000000"/>
          <w:szCs w:val="22"/>
          <w:lang w:eastAsia="en-GB"/>
        </w:rPr>
        <w:t>,</w:t>
      </w:r>
      <w:r w:rsidR="007E3D00">
        <w:rPr>
          <w:rFonts w:eastAsia="Times New Roman" w:cs="Verdana"/>
          <w:color w:val="000000"/>
          <w:szCs w:val="22"/>
          <w:lang w:eastAsia="en-GB"/>
        </w:rPr>
        <w:t xml:space="preserve"> the right to a fair trial</w:t>
      </w:r>
      <w:r w:rsidR="002F30D0">
        <w:rPr>
          <w:rStyle w:val="FootnoteReference"/>
          <w:rFonts w:eastAsia="Times New Roman" w:cs="Verdana"/>
          <w:color w:val="000000"/>
          <w:szCs w:val="22"/>
          <w:lang w:eastAsia="en-GB"/>
        </w:rPr>
        <w:footnoteReference w:id="28"/>
      </w:r>
      <w:r w:rsidR="000F68E7">
        <w:rPr>
          <w:rFonts w:eastAsia="Times New Roman" w:cs="Verdana"/>
          <w:color w:val="000000"/>
          <w:szCs w:val="22"/>
          <w:lang w:eastAsia="en-GB"/>
        </w:rPr>
        <w:t xml:space="preserve"> and Article 8</w:t>
      </w:r>
      <w:r w:rsidR="002F30D0">
        <w:rPr>
          <w:rFonts w:eastAsia="Times New Roman" w:cs="Verdana"/>
          <w:color w:val="000000"/>
          <w:szCs w:val="22"/>
          <w:lang w:eastAsia="en-GB"/>
        </w:rPr>
        <w:t>,</w:t>
      </w:r>
      <w:r w:rsidR="000F68E7">
        <w:rPr>
          <w:rFonts w:eastAsia="Times New Roman" w:cs="Verdana"/>
          <w:color w:val="000000"/>
          <w:szCs w:val="22"/>
          <w:lang w:eastAsia="en-GB"/>
        </w:rPr>
        <w:t xml:space="preserve"> the right to </w:t>
      </w:r>
      <w:r w:rsidR="002F30D0">
        <w:rPr>
          <w:rFonts w:eastAsia="Times New Roman" w:cs="Verdana"/>
          <w:color w:val="000000"/>
          <w:szCs w:val="22"/>
          <w:lang w:eastAsia="en-GB"/>
        </w:rPr>
        <w:t xml:space="preserve">respect for </w:t>
      </w:r>
      <w:r w:rsidR="000F68E7">
        <w:rPr>
          <w:rFonts w:eastAsia="Times New Roman" w:cs="Verdana"/>
          <w:color w:val="000000"/>
          <w:szCs w:val="22"/>
          <w:lang w:eastAsia="en-GB"/>
        </w:rPr>
        <w:t>a pri</w:t>
      </w:r>
      <w:r w:rsidR="002F30D0">
        <w:rPr>
          <w:rFonts w:eastAsia="Times New Roman" w:cs="Verdana"/>
          <w:color w:val="000000"/>
          <w:szCs w:val="22"/>
          <w:lang w:eastAsia="en-GB"/>
        </w:rPr>
        <w:t>vate and family life</w:t>
      </w:r>
      <w:r w:rsidR="001A06F5">
        <w:rPr>
          <w:rStyle w:val="FootnoteReference"/>
          <w:rFonts w:eastAsia="Times New Roman" w:cs="Verdana"/>
          <w:color w:val="000000"/>
          <w:szCs w:val="22"/>
          <w:lang w:eastAsia="en-GB"/>
        </w:rPr>
        <w:footnoteReference w:id="29"/>
      </w:r>
      <w:r w:rsidR="002F30D0">
        <w:rPr>
          <w:rFonts w:eastAsia="Times New Roman" w:cs="Verdana"/>
          <w:color w:val="000000"/>
          <w:szCs w:val="22"/>
          <w:lang w:eastAsia="en-GB"/>
        </w:rPr>
        <w:t xml:space="preserve">. </w:t>
      </w:r>
    </w:p>
    <w:p w14:paraId="799CFDEA" w14:textId="77777777" w:rsidR="00055709" w:rsidRDefault="00055709" w:rsidP="00A2361E">
      <w:pPr>
        <w:pStyle w:val="ListParagraph"/>
        <w:spacing w:after="219" w:line="276" w:lineRule="auto"/>
        <w:ind w:right="75"/>
        <w:jc w:val="both"/>
        <w:rPr>
          <w:rFonts w:eastAsia="Times New Roman" w:cs="Verdana"/>
          <w:color w:val="000000"/>
          <w:szCs w:val="22"/>
          <w:lang w:eastAsia="en-GB"/>
        </w:rPr>
      </w:pPr>
    </w:p>
    <w:p w14:paraId="20BCC834" w14:textId="6F4DBE6F" w:rsidR="00D406B3" w:rsidRDefault="0051360A" w:rsidP="00FD13F1">
      <w:pPr>
        <w:pStyle w:val="ListParagraph"/>
        <w:numPr>
          <w:ilvl w:val="1"/>
          <w:numId w:val="34"/>
        </w:numPr>
        <w:spacing w:after="219" w:line="276" w:lineRule="auto"/>
        <w:ind w:right="75"/>
        <w:jc w:val="both"/>
        <w:rPr>
          <w:rFonts w:eastAsia="Times New Roman" w:cs="Verdana"/>
          <w:color w:val="000000"/>
          <w:szCs w:val="22"/>
          <w:lang w:eastAsia="en-GB"/>
        </w:rPr>
      </w:pPr>
      <w:r w:rsidRPr="00055709">
        <w:rPr>
          <w:rFonts w:eastAsia="Times New Roman" w:cs="Verdana"/>
          <w:color w:val="000000"/>
          <w:szCs w:val="22"/>
          <w:lang w:eastAsia="en-GB"/>
        </w:rPr>
        <w:t>The Basic Principles</w:t>
      </w:r>
      <w:r w:rsidR="00A10A07">
        <w:rPr>
          <w:rStyle w:val="FootnoteReference"/>
          <w:rFonts w:eastAsia="Times New Roman" w:cs="Verdana"/>
          <w:color w:val="000000"/>
          <w:szCs w:val="22"/>
          <w:lang w:eastAsia="en-GB"/>
        </w:rPr>
        <w:footnoteReference w:id="30"/>
      </w:r>
      <w:r w:rsidRPr="00055709">
        <w:rPr>
          <w:rFonts w:eastAsia="Times New Roman" w:cs="Verdana"/>
          <w:color w:val="000000"/>
          <w:szCs w:val="22"/>
          <w:lang w:eastAsia="en-GB"/>
        </w:rPr>
        <w:t xml:space="preserve"> set out a range of actions which the NI Executive is required to undertake to ensure protection for the rights of victims of crime. </w:t>
      </w:r>
      <w:r w:rsidR="00102C8F">
        <w:rPr>
          <w:rFonts w:eastAsia="Times New Roman" w:cs="Verdana"/>
          <w:color w:val="000000"/>
          <w:szCs w:val="22"/>
          <w:lang w:eastAsia="en-GB"/>
        </w:rPr>
        <w:t xml:space="preserve">This </w:t>
      </w:r>
      <w:proofErr w:type="gramStart"/>
      <w:r w:rsidR="00102C8F">
        <w:rPr>
          <w:rFonts w:eastAsia="Times New Roman" w:cs="Verdana"/>
          <w:color w:val="000000"/>
          <w:szCs w:val="22"/>
          <w:lang w:eastAsia="en-GB"/>
        </w:rPr>
        <w:t>includes:</w:t>
      </w:r>
      <w:proofErr w:type="gramEnd"/>
      <w:r w:rsidR="00102C8F">
        <w:rPr>
          <w:rFonts w:eastAsia="Times New Roman" w:cs="Verdana"/>
          <w:color w:val="000000"/>
          <w:szCs w:val="22"/>
          <w:lang w:eastAsia="en-GB"/>
        </w:rPr>
        <w:t xml:space="preserve"> </w:t>
      </w:r>
      <w:r w:rsidR="00632108">
        <w:rPr>
          <w:rFonts w:eastAsia="Times New Roman" w:cs="Verdana"/>
          <w:color w:val="000000"/>
          <w:szCs w:val="22"/>
          <w:lang w:eastAsia="en-GB"/>
        </w:rPr>
        <w:t xml:space="preserve">access to justice; fair, respectful and compassionate treatment; </w:t>
      </w:r>
      <w:r w:rsidR="00B40187">
        <w:rPr>
          <w:rFonts w:eastAsia="Times New Roman" w:cs="Verdana"/>
          <w:color w:val="000000"/>
          <w:szCs w:val="22"/>
          <w:lang w:eastAsia="en-GB"/>
        </w:rPr>
        <w:t xml:space="preserve">and </w:t>
      </w:r>
      <w:r w:rsidR="00950425">
        <w:rPr>
          <w:rFonts w:eastAsia="Times New Roman" w:cs="Verdana"/>
          <w:color w:val="000000"/>
          <w:szCs w:val="22"/>
          <w:lang w:eastAsia="en-GB"/>
        </w:rPr>
        <w:t>prompt redress</w:t>
      </w:r>
      <w:r w:rsidR="00B40187">
        <w:rPr>
          <w:rFonts w:eastAsia="Times New Roman" w:cs="Verdana"/>
          <w:color w:val="000000"/>
          <w:szCs w:val="22"/>
          <w:lang w:eastAsia="en-GB"/>
        </w:rPr>
        <w:t>. It also states that victims should be kept informed of their rights and should receive the necessary assistance.</w:t>
      </w:r>
      <w:r w:rsidR="002D2CA6">
        <w:rPr>
          <w:rFonts w:eastAsia="Times New Roman" w:cs="Verdana"/>
          <w:color w:val="000000"/>
          <w:szCs w:val="22"/>
          <w:lang w:eastAsia="en-GB"/>
        </w:rPr>
        <w:t xml:space="preserve"> </w:t>
      </w:r>
    </w:p>
    <w:p w14:paraId="055945FD" w14:textId="77777777" w:rsidR="00D406B3" w:rsidRPr="00D406B3" w:rsidRDefault="00D406B3" w:rsidP="00D406B3">
      <w:pPr>
        <w:pStyle w:val="ListParagraph"/>
        <w:rPr>
          <w:rFonts w:eastAsia="Times New Roman" w:cs="Verdana"/>
          <w:color w:val="000000"/>
          <w:szCs w:val="22"/>
          <w:lang w:eastAsia="en-GB"/>
        </w:rPr>
      </w:pPr>
    </w:p>
    <w:p w14:paraId="5961C3EC" w14:textId="4D7AB7D5" w:rsidR="004529B0" w:rsidRPr="00316603" w:rsidRDefault="00193F42" w:rsidP="00FD13F1">
      <w:pPr>
        <w:pStyle w:val="ListParagraph"/>
        <w:numPr>
          <w:ilvl w:val="1"/>
          <w:numId w:val="34"/>
        </w:numPr>
        <w:autoSpaceDE w:val="0"/>
        <w:autoSpaceDN w:val="0"/>
        <w:adjustRightInd w:val="0"/>
        <w:spacing w:after="219" w:line="276" w:lineRule="auto"/>
        <w:ind w:right="75"/>
        <w:jc w:val="both"/>
        <w:rPr>
          <w:rFonts w:eastAsia="Times New Roman" w:cs="Verdana"/>
          <w:color w:val="000000"/>
          <w:szCs w:val="22"/>
          <w:lang w:eastAsia="en-GB"/>
        </w:rPr>
      </w:pPr>
      <w:r w:rsidRPr="00316603">
        <w:rPr>
          <w:rFonts w:eastAsia="Times New Roman" w:cs="Verdana"/>
          <w:color w:val="000000"/>
          <w:szCs w:val="22"/>
          <w:lang w:eastAsia="en-GB"/>
        </w:rPr>
        <w:t xml:space="preserve">The </w:t>
      </w:r>
      <w:r w:rsidR="00D406B3" w:rsidRPr="00316603">
        <w:rPr>
          <w:rFonts w:eastAsia="Times New Roman" w:cs="Verdana"/>
          <w:color w:val="000000"/>
          <w:szCs w:val="22"/>
          <w:lang w:eastAsia="en-GB"/>
        </w:rPr>
        <w:t>Committee of Ministers’ Recommendation on Intimidation of Witnesses</w:t>
      </w:r>
      <w:r w:rsidR="00A515B7">
        <w:rPr>
          <w:rStyle w:val="FootnoteReference"/>
          <w:rFonts w:eastAsia="Times New Roman" w:cs="Verdana"/>
          <w:color w:val="000000"/>
          <w:szCs w:val="22"/>
          <w:lang w:eastAsia="en-GB"/>
        </w:rPr>
        <w:footnoteReference w:id="31"/>
      </w:r>
      <w:r w:rsidR="00897777" w:rsidRPr="00316603">
        <w:rPr>
          <w:rFonts w:eastAsia="Times New Roman" w:cs="Verdana"/>
          <w:color w:val="000000"/>
          <w:szCs w:val="22"/>
          <w:lang w:eastAsia="en-GB"/>
        </w:rPr>
        <w:t xml:space="preserve"> provides principles to guide governments in the formulation</w:t>
      </w:r>
      <w:r w:rsidR="00E932E5" w:rsidRPr="00316603">
        <w:rPr>
          <w:rFonts w:eastAsia="Times New Roman" w:cs="Verdana"/>
          <w:color w:val="000000"/>
          <w:szCs w:val="22"/>
          <w:lang w:eastAsia="en-GB"/>
        </w:rPr>
        <w:t xml:space="preserve"> of</w:t>
      </w:r>
      <w:r w:rsidR="00897777" w:rsidRPr="00316603">
        <w:rPr>
          <w:rFonts w:eastAsia="Times New Roman" w:cs="Verdana"/>
          <w:color w:val="000000"/>
          <w:szCs w:val="22"/>
          <w:lang w:eastAsia="en-GB"/>
        </w:rPr>
        <w:t xml:space="preserve"> </w:t>
      </w:r>
      <w:r w:rsidR="00103D23">
        <w:t>criminal policy and practice</w:t>
      </w:r>
      <w:r w:rsidR="00897777">
        <w:t xml:space="preserve">. </w:t>
      </w:r>
      <w:r w:rsidR="00E932E5">
        <w:t xml:space="preserve">It </w:t>
      </w:r>
      <w:r w:rsidR="00D406B3" w:rsidRPr="00316603">
        <w:rPr>
          <w:rFonts w:eastAsia="Times New Roman" w:cs="Verdana"/>
          <w:color w:val="000000"/>
          <w:szCs w:val="22"/>
          <w:lang w:eastAsia="en-GB"/>
        </w:rPr>
        <w:t>highlights the particularly difficult situation faced by “witnesses giving evidence against family members in criminal cases” and “</w:t>
      </w:r>
      <w:r w:rsidR="00A62CB2">
        <w:t>w</w:t>
      </w:r>
      <w:r w:rsidR="0088736D">
        <w:t xml:space="preserve">omen who suffer domestic violence and </w:t>
      </w:r>
      <w:r w:rsidR="00D406B3" w:rsidRPr="00316603">
        <w:rPr>
          <w:rFonts w:eastAsia="Times New Roman" w:cs="Verdana"/>
          <w:color w:val="000000"/>
          <w:szCs w:val="22"/>
          <w:lang w:eastAsia="en-GB"/>
        </w:rPr>
        <w:t xml:space="preserve">elderly persons subjected to ill-treatment by </w:t>
      </w:r>
      <w:r w:rsidR="00D406B3" w:rsidRPr="00316603">
        <w:rPr>
          <w:rFonts w:eastAsia="Times New Roman" w:cs="Verdana"/>
          <w:color w:val="000000"/>
          <w:szCs w:val="22"/>
          <w:lang w:eastAsia="en-GB"/>
        </w:rPr>
        <w:lastRenderedPageBreak/>
        <w:t>their family”</w:t>
      </w:r>
      <w:r w:rsidR="00AC054C" w:rsidRPr="00316603">
        <w:rPr>
          <w:rFonts w:eastAsia="Times New Roman" w:cs="Verdana"/>
          <w:color w:val="000000"/>
          <w:szCs w:val="22"/>
          <w:lang w:eastAsia="en-GB"/>
        </w:rPr>
        <w:t>, amongst others.</w:t>
      </w:r>
      <w:r w:rsidR="00D406B3" w:rsidRPr="00D406B3">
        <w:rPr>
          <w:rFonts w:eastAsia="Times New Roman"/>
          <w:vertAlign w:val="superscript"/>
          <w:lang w:eastAsia="en-GB"/>
        </w:rPr>
        <w:footnoteReference w:id="32"/>
      </w:r>
      <w:r w:rsidR="00D406B3" w:rsidRPr="00316603">
        <w:rPr>
          <w:rFonts w:eastAsia="Times New Roman" w:cs="Verdana"/>
          <w:color w:val="000000"/>
          <w:szCs w:val="22"/>
          <w:lang w:eastAsia="en-GB"/>
        </w:rPr>
        <w:t xml:space="preserve"> The Committee noted that “when a vulnerable witness first reports allegations to the police, there should be immediate access to professional help” and that “the examination of the witness should be conducted by suitably trained staff.”</w:t>
      </w:r>
      <w:r w:rsidR="0002206E">
        <w:rPr>
          <w:rStyle w:val="FootnoteReference"/>
          <w:rFonts w:eastAsia="Times New Roman" w:cs="Verdana"/>
          <w:color w:val="000000"/>
          <w:szCs w:val="22"/>
          <w:lang w:eastAsia="en-GB"/>
        </w:rPr>
        <w:footnoteReference w:id="33"/>
      </w:r>
      <w:r w:rsidR="00B84794" w:rsidRPr="00316603">
        <w:rPr>
          <w:rFonts w:eastAsia="Times New Roman" w:cs="Verdana"/>
          <w:color w:val="000000"/>
          <w:szCs w:val="22"/>
          <w:lang w:eastAsia="en-GB"/>
        </w:rPr>
        <w:t xml:space="preserve"> </w:t>
      </w:r>
      <w:r w:rsidR="004529B0" w:rsidRPr="00316603">
        <w:rPr>
          <w:rFonts w:eastAsia="Times New Roman" w:cs="Verdana"/>
          <w:color w:val="000000"/>
          <w:szCs w:val="22"/>
          <w:lang w:eastAsia="en-GB"/>
        </w:rPr>
        <w:t>The risk of intimidation is also discussed in the Committee of Ministers’ recommendation on the protection of witnesses and collaborators of justice</w:t>
      </w:r>
      <w:r w:rsidR="00CC302D" w:rsidRPr="00316603">
        <w:rPr>
          <w:rFonts w:eastAsia="Times New Roman" w:cs="Verdana"/>
          <w:color w:val="000000"/>
          <w:szCs w:val="22"/>
          <w:lang w:eastAsia="en-GB"/>
        </w:rPr>
        <w:t>,</w:t>
      </w:r>
      <w:r w:rsidR="004529B0" w:rsidRPr="00E758F0">
        <w:rPr>
          <w:rFonts w:eastAsia="Times New Roman"/>
          <w:vertAlign w:val="superscript"/>
          <w:lang w:eastAsia="en-GB"/>
        </w:rPr>
        <w:footnoteReference w:id="34"/>
      </w:r>
      <w:r w:rsidR="004529B0" w:rsidRPr="00316603">
        <w:rPr>
          <w:rFonts w:eastAsia="Times New Roman" w:cs="Verdana"/>
          <w:color w:val="000000"/>
          <w:szCs w:val="22"/>
          <w:lang w:eastAsia="en-GB"/>
        </w:rPr>
        <w:t xml:space="preserve"> </w:t>
      </w:r>
      <w:r w:rsidR="00CC302D" w:rsidRPr="00316603">
        <w:rPr>
          <w:rFonts w:eastAsia="Times New Roman" w:cs="Verdana"/>
          <w:color w:val="000000"/>
          <w:szCs w:val="22"/>
          <w:lang w:eastAsia="en-GB"/>
        </w:rPr>
        <w:t xml:space="preserve">and the recommendation </w:t>
      </w:r>
      <w:r w:rsidR="004529B0" w:rsidRPr="00316603">
        <w:rPr>
          <w:rFonts w:eastAsia="Times New Roman" w:cs="Verdana"/>
          <w:color w:val="000000"/>
          <w:szCs w:val="22"/>
          <w:lang w:eastAsia="en-GB"/>
        </w:rPr>
        <w:t>on assistance to crime victims</w:t>
      </w:r>
      <w:r w:rsidR="00CC302D" w:rsidRPr="00316603">
        <w:rPr>
          <w:rFonts w:eastAsia="Times New Roman" w:cs="Verdana"/>
          <w:color w:val="000000"/>
          <w:szCs w:val="22"/>
          <w:lang w:eastAsia="en-GB"/>
        </w:rPr>
        <w:t>.</w:t>
      </w:r>
      <w:r w:rsidR="004529B0" w:rsidRPr="00E758F0">
        <w:rPr>
          <w:rFonts w:eastAsia="Times New Roman"/>
          <w:vertAlign w:val="superscript"/>
          <w:lang w:eastAsia="en-GB"/>
        </w:rPr>
        <w:footnoteReference w:id="35"/>
      </w:r>
      <w:r w:rsidR="004529B0" w:rsidRPr="00316603">
        <w:rPr>
          <w:rFonts w:eastAsia="Times New Roman" w:cs="Verdana"/>
          <w:color w:val="000000"/>
          <w:szCs w:val="22"/>
          <w:lang w:eastAsia="en-GB"/>
        </w:rPr>
        <w:t xml:space="preserve"> </w:t>
      </w:r>
    </w:p>
    <w:p w14:paraId="42876DAD" w14:textId="77777777" w:rsidR="00055709" w:rsidRDefault="00055709" w:rsidP="00A2361E">
      <w:pPr>
        <w:pStyle w:val="ListParagraph"/>
        <w:spacing w:after="186" w:line="276" w:lineRule="auto"/>
        <w:ind w:right="75"/>
        <w:jc w:val="both"/>
        <w:rPr>
          <w:rFonts w:eastAsia="Times New Roman" w:cs="Verdana"/>
          <w:color w:val="000000"/>
          <w:szCs w:val="22"/>
          <w:lang w:eastAsia="en-GB"/>
        </w:rPr>
      </w:pPr>
    </w:p>
    <w:p w14:paraId="60874C6E" w14:textId="5A678834" w:rsidR="0051360A" w:rsidRDefault="0051360A" w:rsidP="00FD13F1">
      <w:pPr>
        <w:pStyle w:val="ListParagraph"/>
        <w:numPr>
          <w:ilvl w:val="1"/>
          <w:numId w:val="34"/>
        </w:numPr>
        <w:spacing w:after="186" w:line="276" w:lineRule="auto"/>
        <w:ind w:right="75"/>
        <w:jc w:val="both"/>
        <w:rPr>
          <w:rFonts w:eastAsia="Times New Roman" w:cs="Verdana"/>
          <w:b/>
          <w:bCs/>
          <w:color w:val="000000"/>
          <w:szCs w:val="22"/>
          <w:lang w:eastAsia="en-GB"/>
        </w:rPr>
      </w:pPr>
      <w:r w:rsidRPr="00A47913">
        <w:rPr>
          <w:rFonts w:eastAsia="Times New Roman" w:cs="Verdana"/>
          <w:b/>
          <w:bCs/>
          <w:color w:val="000000"/>
          <w:szCs w:val="22"/>
          <w:lang w:eastAsia="en-GB"/>
        </w:rPr>
        <w:t xml:space="preserve">The Commission </w:t>
      </w:r>
      <w:r w:rsidR="00D63A85" w:rsidRPr="00A47913">
        <w:rPr>
          <w:rFonts w:eastAsia="Times New Roman" w:cs="Verdana"/>
          <w:b/>
          <w:bCs/>
          <w:color w:val="000000"/>
          <w:szCs w:val="22"/>
          <w:lang w:eastAsia="en-GB"/>
        </w:rPr>
        <w:t xml:space="preserve">advises that the Department should undertake to ensure full compliance with developments in international human rights law </w:t>
      </w:r>
      <w:r w:rsidR="00A47913" w:rsidRPr="00A47913">
        <w:rPr>
          <w:rFonts w:eastAsia="Times New Roman" w:cs="Verdana"/>
          <w:b/>
          <w:bCs/>
          <w:color w:val="000000"/>
          <w:szCs w:val="22"/>
          <w:lang w:eastAsia="en-GB"/>
        </w:rPr>
        <w:t>and</w:t>
      </w:r>
      <w:r w:rsidRPr="00A47913">
        <w:rPr>
          <w:rFonts w:eastAsia="Times New Roman" w:cs="Verdana"/>
          <w:b/>
          <w:bCs/>
          <w:color w:val="000000"/>
          <w:szCs w:val="22"/>
          <w:lang w:eastAsia="en-GB"/>
        </w:rPr>
        <w:t xml:space="preserve"> to keep under review national and European developments in relation to the treatment of victims</w:t>
      </w:r>
      <w:r w:rsidR="00A47913" w:rsidRPr="00A47913">
        <w:rPr>
          <w:rFonts w:eastAsia="Times New Roman" w:cs="Verdana"/>
          <w:b/>
          <w:bCs/>
          <w:color w:val="000000"/>
          <w:szCs w:val="22"/>
          <w:lang w:eastAsia="en-GB"/>
        </w:rPr>
        <w:t xml:space="preserve">, and that this </w:t>
      </w:r>
      <w:r w:rsidRPr="00A47913">
        <w:rPr>
          <w:rFonts w:eastAsia="Times New Roman" w:cs="Verdana"/>
          <w:b/>
          <w:bCs/>
          <w:color w:val="000000"/>
          <w:szCs w:val="22"/>
          <w:lang w:eastAsia="en-GB"/>
        </w:rPr>
        <w:t>should be reflected in the aims of the Strategy.</w:t>
      </w:r>
      <w:r w:rsidRPr="00A47913">
        <w:rPr>
          <w:rFonts w:ascii="Times New Roman" w:eastAsia="Times New Roman" w:hAnsi="Times New Roman" w:cs="Times New Roman"/>
          <w:b/>
          <w:bCs/>
          <w:color w:val="000000"/>
          <w:sz w:val="22"/>
          <w:szCs w:val="22"/>
          <w:lang w:eastAsia="en-GB"/>
        </w:rPr>
        <w:t xml:space="preserve"> </w:t>
      </w:r>
      <w:r w:rsidRPr="00A47913">
        <w:rPr>
          <w:rFonts w:eastAsia="Times New Roman" w:cs="Verdana"/>
          <w:b/>
          <w:bCs/>
          <w:color w:val="000000"/>
          <w:szCs w:val="22"/>
          <w:lang w:eastAsia="en-GB"/>
        </w:rPr>
        <w:t xml:space="preserve"> </w:t>
      </w:r>
    </w:p>
    <w:p w14:paraId="3163502A" w14:textId="23A89243" w:rsidR="00DF2243" w:rsidRDefault="006527E3" w:rsidP="00FD13F1">
      <w:pPr>
        <w:pStyle w:val="Heading1"/>
        <w:numPr>
          <w:ilvl w:val="0"/>
          <w:numId w:val="34"/>
        </w:numPr>
        <w:spacing w:line="276" w:lineRule="auto"/>
        <w:jc w:val="both"/>
      </w:pPr>
      <w:bookmarkStart w:id="5" w:name="_Toc78208926"/>
      <w:r>
        <w:t xml:space="preserve">Responding to Trauma </w:t>
      </w:r>
      <w:r w:rsidR="00D219C2">
        <w:t xml:space="preserve">and </w:t>
      </w:r>
      <w:r w:rsidR="00EC6E8C">
        <w:t>Preventing Secondary Victimisation</w:t>
      </w:r>
      <w:bookmarkEnd w:id="5"/>
    </w:p>
    <w:p w14:paraId="4A0715ED" w14:textId="77777777" w:rsidR="007B510E" w:rsidRDefault="007B510E" w:rsidP="00A2361E">
      <w:pPr>
        <w:spacing w:line="276" w:lineRule="auto"/>
      </w:pPr>
    </w:p>
    <w:p w14:paraId="766E43B6" w14:textId="7FD1AE70" w:rsidR="00DF459F" w:rsidRDefault="00DF459F" w:rsidP="00FD13F1">
      <w:pPr>
        <w:pStyle w:val="ListParagraph"/>
        <w:numPr>
          <w:ilvl w:val="1"/>
          <w:numId w:val="34"/>
        </w:numPr>
        <w:spacing w:after="219" w:line="276" w:lineRule="auto"/>
        <w:ind w:right="75"/>
        <w:jc w:val="both"/>
      </w:pPr>
      <w:r>
        <w:t xml:space="preserve">The </w:t>
      </w:r>
      <w:r w:rsidRPr="00E72F6D">
        <w:rPr>
          <w:rFonts w:eastAsia="Times New Roman" w:cs="Verdana"/>
          <w:color w:val="000000"/>
          <w:szCs w:val="22"/>
          <w:lang w:eastAsia="en-GB"/>
        </w:rPr>
        <w:t>Recommendation of the Committee of Ministers of the Council of Europe to member states on assistance to crime victims</w:t>
      </w:r>
      <w:r w:rsidRPr="00E758F0">
        <w:rPr>
          <w:rFonts w:eastAsia="Times New Roman"/>
          <w:vertAlign w:val="superscript"/>
          <w:lang w:eastAsia="en-GB"/>
        </w:rPr>
        <w:footnoteReference w:id="36"/>
      </w:r>
      <w:r w:rsidRPr="00E72F6D">
        <w:rPr>
          <w:rFonts w:eastAsia="Times New Roman" w:cs="Verdana"/>
          <w:color w:val="000000"/>
          <w:szCs w:val="22"/>
          <w:lang w:eastAsia="en-GB"/>
        </w:rPr>
        <w:t xml:space="preserve"> </w:t>
      </w:r>
      <w:r w:rsidR="00606E58" w:rsidRPr="00606E58">
        <w:t xml:space="preserve">defines secondary victimisation as “the victimisation that occurs not as a direct result of the criminal act but through the response of institutions and individuals to the victim.” </w:t>
      </w:r>
      <w:r w:rsidR="009B0FF4">
        <w:t>I</w:t>
      </w:r>
      <w:r w:rsidRPr="00E2398C">
        <w:t>t says</w:t>
      </w:r>
      <w:r w:rsidR="00D03A80">
        <w:t>:</w:t>
      </w:r>
      <w:r w:rsidRPr="00E2398C">
        <w:t xml:space="preserve"> “Victims should be protected as far as possible from secondary victimisation”</w:t>
      </w:r>
      <w:r w:rsidR="004D6C98">
        <w:t>,</w:t>
      </w:r>
      <w:r w:rsidRPr="00E2398C">
        <w:t xml:space="preserve"> including through the training of personnel to manage and respond to the risk of secondary victimisation and public awareness to avoid it. </w:t>
      </w:r>
    </w:p>
    <w:p w14:paraId="54842065" w14:textId="77777777" w:rsidR="00DF459F" w:rsidRDefault="00DF459F" w:rsidP="00DF459F">
      <w:pPr>
        <w:pStyle w:val="ListParagraph"/>
        <w:spacing w:after="219" w:line="276" w:lineRule="auto"/>
        <w:ind w:right="75"/>
        <w:jc w:val="both"/>
      </w:pPr>
    </w:p>
    <w:p w14:paraId="0CE1078F" w14:textId="536BE0B1" w:rsidR="007B510E" w:rsidRDefault="00566A6F" w:rsidP="00FD13F1">
      <w:pPr>
        <w:pStyle w:val="ListParagraph"/>
        <w:numPr>
          <w:ilvl w:val="1"/>
          <w:numId w:val="34"/>
        </w:numPr>
        <w:spacing w:after="219" w:line="276" w:lineRule="auto"/>
        <w:ind w:right="75"/>
        <w:jc w:val="both"/>
      </w:pPr>
      <w:r>
        <w:t>The Commission welcomes that the consultation paper recognises the impact of trauma</w:t>
      </w:r>
      <w:r w:rsidR="00A817F7">
        <w:t xml:space="preserve"> on victims, both </w:t>
      </w:r>
      <w:r w:rsidR="005B555E">
        <w:t>from</w:t>
      </w:r>
      <w:r w:rsidR="00A817F7">
        <w:t xml:space="preserve"> the crime itself and also the potential for </w:t>
      </w:r>
      <w:r w:rsidR="0093739A">
        <w:t>re-</w:t>
      </w:r>
      <w:r w:rsidR="00A817F7">
        <w:t>trauma</w:t>
      </w:r>
      <w:r w:rsidR="0093739A">
        <w:t>tisation</w:t>
      </w:r>
      <w:r w:rsidR="00EC6E8C">
        <w:t xml:space="preserve"> or secondary victimisation</w:t>
      </w:r>
      <w:r w:rsidR="00A817F7">
        <w:t xml:space="preserve"> through the experience of engaging with</w:t>
      </w:r>
      <w:r w:rsidR="0060285A">
        <w:t xml:space="preserve"> the</w:t>
      </w:r>
      <w:r w:rsidR="00A817F7">
        <w:t xml:space="preserve"> criminal justice</w:t>
      </w:r>
      <w:r w:rsidR="00B36C53">
        <w:t xml:space="preserve"> system</w:t>
      </w:r>
      <w:r w:rsidR="00C4252A">
        <w:t>, and “that is why it is important that we have a criminal justice system that is responsive to the needs of victims and witnesses, treats them with respect, keeps them informed and supported and upholds their rights and entitlements”</w:t>
      </w:r>
      <w:r w:rsidR="00C4252A">
        <w:rPr>
          <w:rStyle w:val="FootnoteReference"/>
        </w:rPr>
        <w:footnoteReference w:id="37"/>
      </w:r>
      <w:r w:rsidR="00C4252A">
        <w:t>.</w:t>
      </w:r>
      <w:r w:rsidR="00E72F6D">
        <w:t xml:space="preserve"> </w:t>
      </w:r>
      <w:r w:rsidR="00DF459F">
        <w:t xml:space="preserve">The Commission welcomes </w:t>
      </w:r>
      <w:r w:rsidR="00DF459F">
        <w:lastRenderedPageBreak/>
        <w:t xml:space="preserve">this approach and advises that these rights and entitlements should reflect the full range of international human rights standards. </w:t>
      </w:r>
    </w:p>
    <w:p w14:paraId="2FEB9FFD" w14:textId="77777777" w:rsidR="00F2564C" w:rsidRDefault="00F2564C" w:rsidP="00A2361E">
      <w:pPr>
        <w:pStyle w:val="ListParagraph"/>
        <w:spacing w:after="219" w:line="276" w:lineRule="auto"/>
        <w:ind w:right="75"/>
        <w:jc w:val="both"/>
      </w:pPr>
    </w:p>
    <w:p w14:paraId="7D6578BC" w14:textId="77777777" w:rsidR="00F2564C" w:rsidRDefault="006C4BB1" w:rsidP="00FD13F1">
      <w:pPr>
        <w:pStyle w:val="ListParagraph"/>
        <w:numPr>
          <w:ilvl w:val="1"/>
          <w:numId w:val="34"/>
        </w:numPr>
        <w:spacing w:after="219" w:line="276" w:lineRule="auto"/>
        <w:ind w:right="75"/>
        <w:jc w:val="both"/>
      </w:pPr>
      <w:proofErr w:type="gramStart"/>
      <w:r>
        <w:t>In particular, we</w:t>
      </w:r>
      <w:proofErr w:type="gramEnd"/>
      <w:r>
        <w:t xml:space="preserve"> welcome that Strategic Priority 2 </w:t>
      </w:r>
      <w:r w:rsidR="007A282B">
        <w:t xml:space="preserve">commits to ensuring that victims and witnesses receive the emotional and practical support they need. </w:t>
      </w:r>
      <w:r w:rsidR="00FC3BE1">
        <w:t xml:space="preserve">The </w:t>
      </w:r>
      <w:r w:rsidR="001972C1">
        <w:t xml:space="preserve">UN </w:t>
      </w:r>
      <w:r w:rsidR="00FC3BE1">
        <w:t>Basic Principles state “</w:t>
      </w:r>
      <w:r w:rsidR="00FC3BE1" w:rsidRPr="00FC3BE1">
        <w:t>Victims should receive the necessary material, medical, psychological and social assistance through governmental, voluntary, community-based and indigenous means”</w:t>
      </w:r>
      <w:r w:rsidR="00522F4C">
        <w:rPr>
          <w:rStyle w:val="FootnoteReference"/>
        </w:rPr>
        <w:footnoteReference w:id="38"/>
      </w:r>
      <w:r w:rsidR="00522F4C">
        <w:t xml:space="preserve">. </w:t>
      </w:r>
    </w:p>
    <w:p w14:paraId="38D5BD9B" w14:textId="77777777" w:rsidR="00A415B3" w:rsidRDefault="00A415B3" w:rsidP="00A2361E">
      <w:pPr>
        <w:pStyle w:val="ListParagraph"/>
        <w:spacing w:line="276" w:lineRule="auto"/>
      </w:pPr>
    </w:p>
    <w:p w14:paraId="7AD7C024" w14:textId="77777777" w:rsidR="00A415B3" w:rsidRDefault="00D32433" w:rsidP="00FD13F1">
      <w:pPr>
        <w:pStyle w:val="ListParagraph"/>
        <w:numPr>
          <w:ilvl w:val="1"/>
          <w:numId w:val="34"/>
        </w:numPr>
        <w:spacing w:after="219" w:line="276" w:lineRule="auto"/>
        <w:ind w:right="75"/>
        <w:jc w:val="both"/>
      </w:pPr>
      <w:r>
        <w:t>Strategic Priority 2</w:t>
      </w:r>
      <w:r w:rsidR="00B23E3F">
        <w:t xml:space="preserve"> also notes the risk of re-traumatisation, and that success would </w:t>
      </w:r>
      <w:r w:rsidR="0017594C">
        <w:t>mean</w:t>
      </w:r>
      <w:r w:rsidR="00B23E3F">
        <w:t xml:space="preserve"> </w:t>
      </w:r>
      <w:r w:rsidR="0017594C">
        <w:t>“v</w:t>
      </w:r>
      <w:r w:rsidR="00B23E3F">
        <w:t>ictims and witnesses immediate and longer</w:t>
      </w:r>
      <w:r w:rsidR="00487F4F">
        <w:t>-</w:t>
      </w:r>
      <w:r w:rsidR="00B23E3F">
        <w:t xml:space="preserve">term support needs </w:t>
      </w:r>
      <w:r w:rsidR="00DE5F4A">
        <w:t xml:space="preserve">[are] </w:t>
      </w:r>
      <w:r w:rsidR="00B23E3F">
        <w:t>met to reduce the impact of trauma and re-traumatisation</w:t>
      </w:r>
      <w:r w:rsidR="0017594C">
        <w:t>”</w:t>
      </w:r>
      <w:r w:rsidR="0017594C">
        <w:rPr>
          <w:rStyle w:val="FootnoteReference"/>
        </w:rPr>
        <w:footnoteReference w:id="39"/>
      </w:r>
      <w:r w:rsidR="0017594C">
        <w:t>.</w:t>
      </w:r>
      <w:r w:rsidR="006214BD">
        <w:t xml:space="preserve"> </w:t>
      </w:r>
      <w:r w:rsidR="00036397">
        <w:t xml:space="preserve">Whilst the Commission </w:t>
      </w:r>
      <w:r w:rsidR="006C49F6">
        <w:t xml:space="preserve">welcomes the commitment to meeting the needs of victims and witnesses through the provision of emotional and practical support, it is important that the </w:t>
      </w:r>
      <w:r w:rsidR="00FA5F21">
        <w:t xml:space="preserve">system and processes adapt to proactively prevent re-traumatisation. </w:t>
      </w:r>
    </w:p>
    <w:p w14:paraId="41F3274E" w14:textId="77777777" w:rsidR="00FA5F21" w:rsidRDefault="00FA5F21" w:rsidP="00A2361E">
      <w:pPr>
        <w:pStyle w:val="ListParagraph"/>
        <w:spacing w:line="276" w:lineRule="auto"/>
      </w:pPr>
    </w:p>
    <w:p w14:paraId="2837A97D" w14:textId="32135F58" w:rsidR="00FA5F21" w:rsidRDefault="002014E0" w:rsidP="00FD13F1">
      <w:pPr>
        <w:pStyle w:val="ListParagraph"/>
        <w:numPr>
          <w:ilvl w:val="1"/>
          <w:numId w:val="34"/>
        </w:numPr>
        <w:spacing w:after="219" w:line="276" w:lineRule="auto"/>
        <w:ind w:right="75"/>
        <w:jc w:val="both"/>
      </w:pPr>
      <w:r>
        <w:t>In t</w:t>
      </w:r>
      <w:r w:rsidR="000C3C84">
        <w:t>he recent case of J.L. v Italy</w:t>
      </w:r>
      <w:r w:rsidR="00EA7CBE">
        <w:rPr>
          <w:rStyle w:val="FootnoteReference"/>
        </w:rPr>
        <w:footnoteReference w:id="40"/>
      </w:r>
      <w:r w:rsidR="00EA7CBE">
        <w:t xml:space="preserve">, </w:t>
      </w:r>
      <w:r w:rsidR="00E40FBE">
        <w:t>the ECtHR held there had been a violation of Article 8 of the ECHR in that the applicant</w:t>
      </w:r>
      <w:r w:rsidR="009951BA">
        <w:t xml:space="preserve"> (a victim of crime) did not experience adequate protection of her </w:t>
      </w:r>
      <w:r w:rsidR="00E40FBE">
        <w:t>rights</w:t>
      </w:r>
      <w:r>
        <w:t xml:space="preserve"> and interests.</w:t>
      </w:r>
      <w:r w:rsidR="00CE56F2">
        <w:t xml:space="preserve"> </w:t>
      </w:r>
      <w:r w:rsidR="00A859DF">
        <w:t>The case concerned criminal proceedings against seven men who had been charged with the gang rape of the applicant and had been acquitted by the Italian courts.</w:t>
      </w:r>
      <w:r>
        <w:t xml:space="preserve"> In particular, </w:t>
      </w:r>
      <w:r w:rsidR="00EF7C68">
        <w:t xml:space="preserve">the Court found that the national authorities had not </w:t>
      </w:r>
      <w:r w:rsidR="00A36DBB">
        <w:t xml:space="preserve">protected the applicant from secondary victimisation throughout the entire </w:t>
      </w:r>
      <w:r w:rsidR="007D08D9">
        <w:t xml:space="preserve">criminal </w:t>
      </w:r>
      <w:r w:rsidR="00A36DBB">
        <w:t>proceedings</w:t>
      </w:r>
      <w:r w:rsidR="007D08D9">
        <w:t xml:space="preserve">: </w:t>
      </w:r>
    </w:p>
    <w:p w14:paraId="7A6DE531" w14:textId="77777777" w:rsidR="007D08D9" w:rsidRDefault="007D08D9" w:rsidP="00A2361E">
      <w:pPr>
        <w:pStyle w:val="ListParagraph"/>
        <w:spacing w:line="276" w:lineRule="auto"/>
      </w:pPr>
    </w:p>
    <w:p w14:paraId="64FE7F43" w14:textId="77777777" w:rsidR="007D08D9" w:rsidRPr="00961E04" w:rsidRDefault="00894465" w:rsidP="00A2361E">
      <w:pPr>
        <w:pStyle w:val="ListParagraph"/>
        <w:spacing w:after="219" w:line="276" w:lineRule="auto"/>
        <w:ind w:left="1440" w:right="75"/>
        <w:jc w:val="both"/>
        <w:rPr>
          <w:i/>
          <w:iCs/>
        </w:rPr>
      </w:pPr>
      <w:r w:rsidRPr="00961E04">
        <w:rPr>
          <w:i/>
          <w:iCs/>
        </w:rPr>
        <w:t xml:space="preserve">The Court found that the language and arguments used by the court of appeal conveyed prejudices existing in Italian society regarding the role of women and were likely to be an obstacle to providing effective protection for the rights of victims of gender-based violence, </w:t>
      </w:r>
      <w:proofErr w:type="gramStart"/>
      <w:r w:rsidRPr="00961E04">
        <w:rPr>
          <w:i/>
          <w:iCs/>
        </w:rPr>
        <w:t>in spite of</w:t>
      </w:r>
      <w:proofErr w:type="gramEnd"/>
      <w:r w:rsidRPr="00961E04">
        <w:rPr>
          <w:i/>
          <w:iCs/>
        </w:rPr>
        <w:t xml:space="preserve"> a satisfactory legislative framework.</w:t>
      </w:r>
    </w:p>
    <w:p w14:paraId="12650DED" w14:textId="77777777" w:rsidR="00961E04" w:rsidRPr="00961E04" w:rsidRDefault="00961E04" w:rsidP="00A2361E">
      <w:pPr>
        <w:pStyle w:val="ListParagraph"/>
        <w:spacing w:after="219" w:line="276" w:lineRule="auto"/>
        <w:ind w:left="1440" w:right="75"/>
        <w:jc w:val="both"/>
        <w:rPr>
          <w:i/>
          <w:iCs/>
        </w:rPr>
      </w:pPr>
    </w:p>
    <w:p w14:paraId="49D3F5BE" w14:textId="77777777" w:rsidR="00961E04" w:rsidRDefault="00961E04" w:rsidP="00A2361E">
      <w:pPr>
        <w:pStyle w:val="ListParagraph"/>
        <w:spacing w:after="219" w:line="276" w:lineRule="auto"/>
        <w:ind w:left="1440" w:right="75"/>
        <w:jc w:val="both"/>
        <w:rPr>
          <w:i/>
          <w:iCs/>
        </w:rPr>
      </w:pPr>
      <w:r w:rsidRPr="00961E04">
        <w:rPr>
          <w:i/>
          <w:iCs/>
        </w:rPr>
        <w:t xml:space="preserve">The Court was convinced that criminal proceedings and sanctions played a crucial role in the institutional response to </w:t>
      </w:r>
      <w:r w:rsidRPr="00961E04">
        <w:rPr>
          <w:i/>
          <w:iCs/>
        </w:rPr>
        <w:lastRenderedPageBreak/>
        <w:t>gender-based violence and in combatting gender inequality. It was therefore essential that the judicial authorities avoided reproducing sexist stereotypes in court decisions, playing down gender-based violence and exposing women to secondary victimisation by making guilt-inducing and judgmental comments that were capable of discouraging victims’ trust in the justice system.</w:t>
      </w:r>
    </w:p>
    <w:p w14:paraId="63876026" w14:textId="77777777" w:rsidR="002C5507" w:rsidRDefault="002C5507" w:rsidP="00A2361E">
      <w:pPr>
        <w:pStyle w:val="ListParagraph"/>
        <w:spacing w:after="219" w:line="276" w:lineRule="auto"/>
        <w:ind w:left="1440" w:right="75"/>
        <w:jc w:val="both"/>
        <w:rPr>
          <w:i/>
          <w:iCs/>
        </w:rPr>
      </w:pPr>
    </w:p>
    <w:p w14:paraId="5B8081BF" w14:textId="77777777" w:rsidR="002C5507" w:rsidRPr="002C5507" w:rsidRDefault="002C5507" w:rsidP="00A2361E">
      <w:pPr>
        <w:pStyle w:val="ListParagraph"/>
        <w:spacing w:after="219" w:line="276" w:lineRule="auto"/>
        <w:ind w:left="1440" w:right="75"/>
        <w:jc w:val="both"/>
        <w:rPr>
          <w:i/>
          <w:iCs/>
        </w:rPr>
      </w:pPr>
      <w:r w:rsidRPr="002C5507">
        <w:rPr>
          <w:i/>
          <w:iCs/>
        </w:rPr>
        <w:t>In consequence, while acknowledging that the national authorities had sought to ensure in the present case that the investigation and trial proceedings had been conducted in a manner compatible with their positive obligations under Article 8 of the Convention, the Court considered that the applicant’s rights and interests under Article 8 had not been adequately protected, given the wording of the judgment delivered by the Florence Court of Appeal. It followed that the national authorities had not protected the applicant from secondary victimisation throughout the entire proceedings, in which the wording of the judgment played a very important role, especially given its public character.</w:t>
      </w:r>
    </w:p>
    <w:p w14:paraId="6BFE6476" w14:textId="77777777" w:rsidR="00A415B3" w:rsidRDefault="00A415B3" w:rsidP="00A2361E">
      <w:pPr>
        <w:pStyle w:val="ListParagraph"/>
        <w:spacing w:line="276" w:lineRule="auto"/>
      </w:pPr>
    </w:p>
    <w:p w14:paraId="1960E82C" w14:textId="1A0C9416" w:rsidR="00EC3351" w:rsidRDefault="00EC3351" w:rsidP="00FD13F1">
      <w:pPr>
        <w:pStyle w:val="ListParagraph"/>
        <w:numPr>
          <w:ilvl w:val="1"/>
          <w:numId w:val="34"/>
        </w:numPr>
        <w:spacing w:after="219" w:line="276" w:lineRule="auto"/>
        <w:ind w:right="75"/>
        <w:jc w:val="both"/>
      </w:pPr>
      <w:r>
        <w:t xml:space="preserve">This case highlights the importance of </w:t>
      </w:r>
      <w:r w:rsidR="00F42C6A">
        <w:t xml:space="preserve">language and trauma-informed approaches to prevent the re-victimisation and/or re-traumatisation of victims. </w:t>
      </w:r>
      <w:r w:rsidR="003F618F">
        <w:t xml:space="preserve">It demonstrates that in addition to the provision of support, the criminal justice system must be </w:t>
      </w:r>
      <w:r w:rsidR="00F66296">
        <w:t>trauma-</w:t>
      </w:r>
      <w:r w:rsidR="003B39FB">
        <w:t>informed</w:t>
      </w:r>
      <w:r w:rsidR="00F66296">
        <w:t xml:space="preserve"> and cognisant of the</w:t>
      </w:r>
      <w:r w:rsidR="002D27F2">
        <w:t xml:space="preserve"> damaging</w:t>
      </w:r>
      <w:r w:rsidR="00F66296">
        <w:t xml:space="preserve"> impact of language and wider societ</w:t>
      </w:r>
      <w:r w:rsidR="00881F2C">
        <w:t>al views</w:t>
      </w:r>
      <w:r w:rsidR="00F66296">
        <w:t xml:space="preserve">. </w:t>
      </w:r>
      <w:r w:rsidR="00F66296" w:rsidRPr="001972C1">
        <w:t xml:space="preserve">We </w:t>
      </w:r>
      <w:r w:rsidR="009B5AB9">
        <w:t>rec</w:t>
      </w:r>
      <w:r w:rsidR="00C27ACF">
        <w:t>ommend</w:t>
      </w:r>
      <w:r w:rsidR="00F66296" w:rsidRPr="001972C1">
        <w:t xml:space="preserve"> that</w:t>
      </w:r>
      <w:r w:rsidR="00E4143D" w:rsidRPr="001972C1">
        <w:t xml:space="preserve"> the</w:t>
      </w:r>
      <w:r w:rsidR="00F66296" w:rsidRPr="001972C1">
        <w:t xml:space="preserve"> learnings from</w:t>
      </w:r>
      <w:r w:rsidR="00E4143D" w:rsidRPr="001972C1">
        <w:t>, and recommendations of,</w:t>
      </w:r>
      <w:r w:rsidR="00F66296" w:rsidRPr="001972C1">
        <w:t xml:space="preserve"> the Gillen Review </w:t>
      </w:r>
      <w:r w:rsidR="00E4143D" w:rsidRPr="001972C1">
        <w:t xml:space="preserve">into the law and procedures in serious sexual offences in Northern Ireland are </w:t>
      </w:r>
      <w:r w:rsidR="00233D1A" w:rsidRPr="001972C1">
        <w:t xml:space="preserve">embedded within the </w:t>
      </w:r>
      <w:r w:rsidR="00BC625B" w:rsidRPr="001972C1">
        <w:t>S</w:t>
      </w:r>
      <w:r w:rsidR="00233D1A" w:rsidRPr="001972C1">
        <w:t>trategy to reflect this.</w:t>
      </w:r>
      <w:r w:rsidR="00233D1A">
        <w:t xml:space="preserve"> </w:t>
      </w:r>
    </w:p>
    <w:p w14:paraId="35B7A9A4" w14:textId="77777777" w:rsidR="00233D1A" w:rsidRDefault="00233D1A" w:rsidP="00A2361E">
      <w:pPr>
        <w:pStyle w:val="ListParagraph"/>
        <w:spacing w:after="219" w:line="276" w:lineRule="auto"/>
        <w:ind w:right="75"/>
        <w:jc w:val="both"/>
      </w:pPr>
    </w:p>
    <w:p w14:paraId="61F3C142" w14:textId="16B8B940" w:rsidR="00EC5BCF" w:rsidRDefault="00BC7C6E" w:rsidP="00FD13F1">
      <w:pPr>
        <w:pStyle w:val="ListParagraph"/>
        <w:numPr>
          <w:ilvl w:val="1"/>
          <w:numId w:val="34"/>
        </w:numPr>
        <w:spacing w:after="219" w:line="276" w:lineRule="auto"/>
        <w:ind w:right="75"/>
        <w:jc w:val="both"/>
      </w:pPr>
      <w:r>
        <w:t xml:space="preserve">The Commission notes that </w:t>
      </w:r>
      <w:r w:rsidR="009A3EE7">
        <w:t>the draft Strategy</w:t>
      </w:r>
      <w:r w:rsidR="00F06E78">
        <w:t xml:space="preserve"> refers to</w:t>
      </w:r>
      <w:r w:rsidR="00B3453B">
        <w:t xml:space="preserve"> </w:t>
      </w:r>
      <w:r w:rsidR="006746AF">
        <w:t>“training initiatives across the wider CJS</w:t>
      </w:r>
      <w:r w:rsidR="004D60C1">
        <w:t xml:space="preserve"> [criminal justice system]</w:t>
      </w:r>
      <w:r w:rsidR="006746AF">
        <w:t xml:space="preserve"> to mainstream a trauma-informed approach when engaging with victims” in year 2, and to “further develop and deliver ‘trauma aware’ training initiatives across the wider CJS” in year 3</w:t>
      </w:r>
      <w:r w:rsidR="005D627F">
        <w:rPr>
          <w:rStyle w:val="FootnoteReference"/>
        </w:rPr>
        <w:footnoteReference w:id="41"/>
      </w:r>
      <w:r w:rsidR="00C6607E">
        <w:t>. This is</w:t>
      </w:r>
      <w:r w:rsidR="004B3EB8">
        <w:t xml:space="preserve"> </w:t>
      </w:r>
      <w:r w:rsidR="00F8539C">
        <w:t>welcome;</w:t>
      </w:r>
      <w:r w:rsidR="00C6607E">
        <w:t xml:space="preserve"> however</w:t>
      </w:r>
      <w:r w:rsidR="00F8539C">
        <w:t>,</w:t>
      </w:r>
      <w:r w:rsidR="00C6607E">
        <w:t xml:space="preserve"> it</w:t>
      </w:r>
      <w:r w:rsidR="00EC5BCF">
        <w:t xml:space="preserve"> is</w:t>
      </w:r>
      <w:r w:rsidR="00C6607E">
        <w:t xml:space="preserve"> essential that this training programme is expedited, </w:t>
      </w:r>
      <w:r w:rsidR="005D627F">
        <w:t xml:space="preserve">sufficiently resourced, and not dependent on the appointment of a Victims of Crime Commissioner. </w:t>
      </w:r>
    </w:p>
    <w:p w14:paraId="5F49E228" w14:textId="77777777" w:rsidR="00EC5BCF" w:rsidRDefault="00EC5BCF" w:rsidP="00A2361E">
      <w:pPr>
        <w:pStyle w:val="ListParagraph"/>
        <w:spacing w:line="276" w:lineRule="auto"/>
      </w:pPr>
    </w:p>
    <w:p w14:paraId="307608ED" w14:textId="26534E48" w:rsidR="003333F2" w:rsidRDefault="00EC5BCF" w:rsidP="00FD13F1">
      <w:pPr>
        <w:pStyle w:val="ListParagraph"/>
        <w:numPr>
          <w:ilvl w:val="1"/>
          <w:numId w:val="34"/>
        </w:numPr>
        <w:spacing w:after="219" w:line="276" w:lineRule="auto"/>
        <w:ind w:right="75"/>
        <w:jc w:val="both"/>
      </w:pPr>
      <w:r>
        <w:lastRenderedPageBreak/>
        <w:t xml:space="preserve">We also advise that training on trauma-informed approaches </w:t>
      </w:r>
      <w:r w:rsidR="0078373D">
        <w:t xml:space="preserve">is developed in partnership with </w:t>
      </w:r>
      <w:r w:rsidR="00DA2C87">
        <w:t xml:space="preserve">organisations representing groups of society who may be more vulnerable to crime or to re-traumatisation, including but not limited to women, children, </w:t>
      </w:r>
      <w:r w:rsidR="00CB21BD">
        <w:t>people with disabilities, people from ethnic minority communities</w:t>
      </w:r>
      <w:r w:rsidR="005C6539">
        <w:t xml:space="preserve">, and victims of domestic and/or sexual violence. </w:t>
      </w:r>
    </w:p>
    <w:p w14:paraId="3EB4806A" w14:textId="77777777" w:rsidR="00E72EBE" w:rsidRDefault="00E72EBE" w:rsidP="00E72EBE">
      <w:pPr>
        <w:pStyle w:val="ListParagraph"/>
      </w:pPr>
    </w:p>
    <w:p w14:paraId="64EEF832" w14:textId="57A546B1" w:rsidR="00E72EBE" w:rsidRDefault="00E72EBE" w:rsidP="00FD13F1">
      <w:pPr>
        <w:pStyle w:val="ListParagraph"/>
        <w:numPr>
          <w:ilvl w:val="1"/>
          <w:numId w:val="34"/>
        </w:numPr>
        <w:spacing w:after="219" w:line="276" w:lineRule="auto"/>
        <w:ind w:right="75"/>
        <w:jc w:val="both"/>
      </w:pPr>
      <w:r>
        <w:t xml:space="preserve">The Commission also </w:t>
      </w:r>
      <w:r w:rsidR="00AD6D3D">
        <w:t>notes the potential for re-traumatisation due to data extraction from victims</w:t>
      </w:r>
      <w:r w:rsidR="005F1DC0">
        <w:t>’ electronic devices. In our advice to the Department of Justice on data extraction in relation to</w:t>
      </w:r>
      <w:r w:rsidR="008052C3">
        <w:t xml:space="preserve"> a</w:t>
      </w:r>
      <w:r w:rsidR="005F1DC0">
        <w:t xml:space="preserve"> </w:t>
      </w:r>
      <w:r w:rsidR="008052C3" w:rsidRPr="11C2A680">
        <w:t>Legislative Consent Motion to bring provisions from the Policing, Crime, Sentencing and Courts Bill</w:t>
      </w:r>
      <w:r w:rsidR="00E1106B">
        <w:t xml:space="preserve"> into effect in NI</w:t>
      </w:r>
      <w:r w:rsidR="00010889">
        <w:rPr>
          <w:rStyle w:val="FootnoteReference"/>
        </w:rPr>
        <w:footnoteReference w:id="42"/>
      </w:r>
      <w:r w:rsidR="00E1106B">
        <w:t xml:space="preserve">, the Commission highlighted how </w:t>
      </w:r>
      <w:r w:rsidR="00A761D2">
        <w:rPr>
          <w:lang w:eastAsia="en-GB"/>
        </w:rPr>
        <w:t>the practice of obtaining data from victims' phones is most often used in cases concerning sexual assault</w:t>
      </w:r>
      <w:r w:rsidR="00474264">
        <w:rPr>
          <w:lang w:eastAsia="en-GB"/>
        </w:rPr>
        <w:t xml:space="preserve">. </w:t>
      </w:r>
      <w:r w:rsidR="00474264" w:rsidRPr="00474264">
        <w:rPr>
          <w:rFonts w:cs="Times New Roman"/>
          <w:lang w:eastAsia="en-GB"/>
        </w:rPr>
        <w:t xml:space="preserve">As a result of data extraction practices, many victims of sexual assault have identified that they felt they had to choose between disclosing </w:t>
      </w:r>
      <w:proofErr w:type="gramStart"/>
      <w:r w:rsidR="00474264" w:rsidRPr="00474264">
        <w:rPr>
          <w:rFonts w:cs="Times New Roman"/>
          <w:lang w:eastAsia="en-GB"/>
        </w:rPr>
        <w:t>all of</w:t>
      </w:r>
      <w:proofErr w:type="gramEnd"/>
      <w:r w:rsidR="00474264" w:rsidRPr="00474264">
        <w:rPr>
          <w:rFonts w:cs="Times New Roman"/>
          <w:lang w:eastAsia="en-GB"/>
        </w:rPr>
        <w:t xml:space="preserve"> the personal information contained on their digital devices or accessing justice.</w:t>
      </w:r>
      <w:r w:rsidR="00474264" w:rsidRPr="00474264">
        <w:rPr>
          <w:rFonts w:cs="Times New Roman"/>
          <w:vertAlign w:val="superscript"/>
          <w:lang w:eastAsia="en-GB"/>
        </w:rPr>
        <w:footnoteReference w:id="43"/>
      </w:r>
      <w:r w:rsidR="00474264" w:rsidRPr="00474264">
        <w:rPr>
          <w:rFonts w:cs="Times New Roman"/>
          <w:lang w:eastAsia="en-GB"/>
        </w:rPr>
        <w:t xml:space="preserve"> This was retraumatising for many victims, who felt that the police were “more interested in investigating them over investigating the defendant”</w:t>
      </w:r>
      <w:r w:rsidR="00B8070C">
        <w:rPr>
          <w:rStyle w:val="FootnoteReference"/>
          <w:rFonts w:cs="Times New Roman"/>
          <w:lang w:eastAsia="en-GB"/>
        </w:rPr>
        <w:footnoteReference w:id="44"/>
      </w:r>
      <w:r w:rsidR="00474264" w:rsidRPr="00474264">
        <w:rPr>
          <w:rFonts w:cs="Times New Roman"/>
          <w:lang w:eastAsia="en-GB"/>
        </w:rPr>
        <w:t>.</w:t>
      </w:r>
      <w:r w:rsidR="00852556">
        <w:rPr>
          <w:rFonts w:cs="Times New Roman"/>
          <w:lang w:eastAsia="en-GB"/>
        </w:rPr>
        <w:t xml:space="preserve"> </w:t>
      </w:r>
      <w:r w:rsidR="00A76039">
        <w:rPr>
          <w:rFonts w:cs="Times New Roman"/>
          <w:lang w:eastAsia="en-GB"/>
        </w:rPr>
        <w:t xml:space="preserve">Data extraction practices </w:t>
      </w:r>
      <w:r w:rsidR="009E4ADD">
        <w:rPr>
          <w:rFonts w:cs="Times New Roman"/>
          <w:lang w:eastAsia="en-GB"/>
        </w:rPr>
        <w:t>must therefore be considered within a trauma-informed approach to prevent secondary victimisation</w:t>
      </w:r>
      <w:r w:rsidR="00A65412">
        <w:rPr>
          <w:rFonts w:cs="Times New Roman"/>
          <w:lang w:eastAsia="en-GB"/>
        </w:rPr>
        <w:t xml:space="preserve"> and to protect victims</w:t>
      </w:r>
      <w:r w:rsidR="00B96543">
        <w:rPr>
          <w:rFonts w:cs="Times New Roman"/>
          <w:lang w:eastAsia="en-GB"/>
        </w:rPr>
        <w:t>’</w:t>
      </w:r>
      <w:r w:rsidR="00A65412">
        <w:rPr>
          <w:rFonts w:cs="Times New Roman"/>
          <w:lang w:eastAsia="en-GB"/>
        </w:rPr>
        <w:t xml:space="preserve"> </w:t>
      </w:r>
      <w:r w:rsidR="00B96543" w:rsidRPr="00F23DC1">
        <w:t>right to privacy under article 8 of the ECHR</w:t>
      </w:r>
      <w:r w:rsidR="009E4ADD">
        <w:rPr>
          <w:rFonts w:cs="Times New Roman"/>
          <w:lang w:eastAsia="en-GB"/>
        </w:rPr>
        <w:t xml:space="preserve">. </w:t>
      </w:r>
    </w:p>
    <w:p w14:paraId="3B413142" w14:textId="77777777" w:rsidR="003333F2" w:rsidRDefault="003333F2" w:rsidP="00A2361E">
      <w:pPr>
        <w:pStyle w:val="ListParagraph"/>
        <w:spacing w:line="276" w:lineRule="auto"/>
      </w:pPr>
    </w:p>
    <w:p w14:paraId="4F0B7D8D" w14:textId="6141C2BD" w:rsidR="008901B1" w:rsidRPr="008901B1" w:rsidRDefault="00BA10B9" w:rsidP="00FD13F1">
      <w:pPr>
        <w:pStyle w:val="ListParagraph"/>
        <w:numPr>
          <w:ilvl w:val="1"/>
          <w:numId w:val="34"/>
        </w:numPr>
        <w:spacing w:line="276" w:lineRule="auto"/>
        <w:rPr>
          <w:b/>
        </w:rPr>
      </w:pPr>
      <w:r w:rsidRPr="00D171CE">
        <w:rPr>
          <w:b/>
          <w:bCs/>
        </w:rPr>
        <w:t xml:space="preserve">The Commission recommends that trauma-informed </w:t>
      </w:r>
      <w:r w:rsidR="0060285A">
        <w:rPr>
          <w:b/>
          <w:bCs/>
        </w:rPr>
        <w:t>approaches including training</w:t>
      </w:r>
      <w:r w:rsidR="0060285A" w:rsidRPr="00D171CE">
        <w:rPr>
          <w:b/>
          <w:bCs/>
        </w:rPr>
        <w:t xml:space="preserve"> </w:t>
      </w:r>
      <w:r w:rsidR="0060285A">
        <w:rPr>
          <w:b/>
          <w:bCs/>
        </w:rPr>
        <w:t>is expeditely</w:t>
      </w:r>
      <w:r w:rsidR="0060285A" w:rsidRPr="00D171CE">
        <w:rPr>
          <w:b/>
          <w:bCs/>
        </w:rPr>
        <w:t xml:space="preserve"> </w:t>
      </w:r>
      <w:r w:rsidR="001904F1" w:rsidRPr="00D171CE">
        <w:rPr>
          <w:b/>
          <w:bCs/>
        </w:rPr>
        <w:t>developed</w:t>
      </w:r>
      <w:r w:rsidRPr="00D171CE">
        <w:rPr>
          <w:b/>
          <w:bCs/>
        </w:rPr>
        <w:t xml:space="preserve"> and </w:t>
      </w:r>
      <w:r w:rsidR="0060285A">
        <w:rPr>
          <w:b/>
          <w:bCs/>
        </w:rPr>
        <w:t xml:space="preserve">sufficiently resourced </w:t>
      </w:r>
      <w:r w:rsidRPr="00D171CE">
        <w:rPr>
          <w:b/>
          <w:bCs/>
        </w:rPr>
        <w:t xml:space="preserve">within the criminal justice system to prevent re-traumatisation </w:t>
      </w:r>
      <w:r w:rsidR="00840EF7">
        <w:rPr>
          <w:b/>
          <w:bCs/>
        </w:rPr>
        <w:t xml:space="preserve">and secondary victimisation </w:t>
      </w:r>
      <w:r w:rsidRPr="00D171CE">
        <w:rPr>
          <w:b/>
          <w:bCs/>
        </w:rPr>
        <w:t>of victims and witnesses</w:t>
      </w:r>
      <w:r w:rsidR="0060285A">
        <w:rPr>
          <w:b/>
          <w:bCs/>
        </w:rPr>
        <w:t>. Embedding this approach should be</w:t>
      </w:r>
      <w:r w:rsidRPr="00D171CE">
        <w:rPr>
          <w:b/>
          <w:bCs/>
        </w:rPr>
        <w:t xml:space="preserve"> </w:t>
      </w:r>
      <w:r w:rsidR="00644523" w:rsidRPr="00D171CE">
        <w:rPr>
          <w:b/>
          <w:bCs/>
        </w:rPr>
        <w:t>informed by the views and experiences of victims and witnesses</w:t>
      </w:r>
      <w:r w:rsidR="0098197A" w:rsidRPr="00D171CE">
        <w:rPr>
          <w:b/>
          <w:bCs/>
        </w:rPr>
        <w:t>.</w:t>
      </w:r>
      <w:r w:rsidR="006F0EF3">
        <w:rPr>
          <w:b/>
          <w:bCs/>
        </w:rPr>
        <w:t xml:space="preserve"> </w:t>
      </w:r>
    </w:p>
    <w:p w14:paraId="06DC7C7E" w14:textId="77777777" w:rsidR="008901B1" w:rsidRPr="008901B1" w:rsidRDefault="008901B1" w:rsidP="00A2361E">
      <w:pPr>
        <w:pStyle w:val="ListParagraph"/>
        <w:spacing w:line="276" w:lineRule="auto"/>
        <w:rPr>
          <w:b/>
        </w:rPr>
      </w:pPr>
    </w:p>
    <w:p w14:paraId="53A0A153" w14:textId="1DF43F96" w:rsidR="006F0EF3" w:rsidRDefault="006F0EF3" w:rsidP="00FD13F1">
      <w:pPr>
        <w:pStyle w:val="ListParagraph"/>
        <w:numPr>
          <w:ilvl w:val="1"/>
          <w:numId w:val="34"/>
        </w:numPr>
        <w:spacing w:line="276" w:lineRule="auto"/>
        <w:rPr>
          <w:b/>
        </w:rPr>
      </w:pPr>
      <w:r w:rsidRPr="00561E62">
        <w:rPr>
          <w:b/>
        </w:rPr>
        <w:t xml:space="preserve">The </w:t>
      </w:r>
      <w:r w:rsidR="000D4C9F" w:rsidRPr="00561E62">
        <w:rPr>
          <w:b/>
        </w:rPr>
        <w:t>Commission</w:t>
      </w:r>
      <w:r w:rsidRPr="00561E62">
        <w:rPr>
          <w:b/>
        </w:rPr>
        <w:t xml:space="preserve"> continues to call on the Department to fully</w:t>
      </w:r>
      <w:r w:rsidR="009C3E5A" w:rsidRPr="00561E62">
        <w:rPr>
          <w:b/>
        </w:rPr>
        <w:t xml:space="preserve"> resource and</w:t>
      </w:r>
      <w:r w:rsidRPr="00561E62">
        <w:rPr>
          <w:b/>
        </w:rPr>
        <w:t xml:space="preserve"> implement the Gillen </w:t>
      </w:r>
      <w:r w:rsidR="00A108D1" w:rsidRPr="00561E62">
        <w:rPr>
          <w:b/>
        </w:rPr>
        <w:t>Review r</w:t>
      </w:r>
      <w:r w:rsidRPr="00561E62">
        <w:rPr>
          <w:b/>
        </w:rPr>
        <w:t>ecommendations.</w:t>
      </w:r>
    </w:p>
    <w:p w14:paraId="099378E3" w14:textId="77777777" w:rsidR="0028170E" w:rsidRPr="0028170E" w:rsidRDefault="0028170E" w:rsidP="0028170E">
      <w:pPr>
        <w:pStyle w:val="ListParagraph"/>
        <w:rPr>
          <w:b/>
        </w:rPr>
      </w:pPr>
    </w:p>
    <w:p w14:paraId="3E381BE8" w14:textId="77777777" w:rsidR="0028170E" w:rsidRPr="00561E62" w:rsidRDefault="0028170E" w:rsidP="0028170E">
      <w:pPr>
        <w:pStyle w:val="ListParagraph"/>
        <w:spacing w:line="276" w:lineRule="auto"/>
        <w:rPr>
          <w:b/>
        </w:rPr>
      </w:pPr>
    </w:p>
    <w:p w14:paraId="1305D204" w14:textId="0A789FC6" w:rsidR="006527E3" w:rsidRDefault="006C6F49" w:rsidP="00FD13F1">
      <w:pPr>
        <w:pStyle w:val="Heading1"/>
        <w:numPr>
          <w:ilvl w:val="0"/>
          <w:numId w:val="34"/>
        </w:numPr>
        <w:spacing w:line="276" w:lineRule="auto"/>
        <w:jc w:val="both"/>
      </w:pPr>
      <w:bookmarkStart w:id="6" w:name="_Toc78208927"/>
      <w:r>
        <w:lastRenderedPageBreak/>
        <w:t>Marginalised</w:t>
      </w:r>
      <w:r w:rsidR="006527E3">
        <w:t xml:space="preserve"> Groups</w:t>
      </w:r>
      <w:bookmarkEnd w:id="6"/>
    </w:p>
    <w:p w14:paraId="6156B20D" w14:textId="77777777" w:rsidR="00352878" w:rsidRDefault="00352878" w:rsidP="00A2361E">
      <w:pPr>
        <w:spacing w:line="276" w:lineRule="auto"/>
      </w:pPr>
    </w:p>
    <w:p w14:paraId="55F98B51" w14:textId="02D5E5B0" w:rsidR="007F5B28" w:rsidRDefault="001E5E0A" w:rsidP="00FD13F1">
      <w:pPr>
        <w:pStyle w:val="ListParagraph"/>
        <w:numPr>
          <w:ilvl w:val="1"/>
          <w:numId w:val="34"/>
        </w:numPr>
        <w:spacing w:line="276" w:lineRule="auto"/>
        <w:jc w:val="both"/>
      </w:pPr>
      <w:r>
        <w:t>The Commission</w:t>
      </w:r>
      <w:r w:rsidR="0089547B">
        <w:t xml:space="preserve"> recognises</w:t>
      </w:r>
      <w:r>
        <w:t xml:space="preserve"> that the draft Strategy</w:t>
      </w:r>
      <w:r w:rsidR="0089547B">
        <w:t xml:space="preserve"> </w:t>
      </w:r>
      <w:r w:rsidR="00AD64C1">
        <w:t xml:space="preserve">is for all victims and witnesses. However, </w:t>
      </w:r>
      <w:r w:rsidR="000F5158">
        <w:t>as victims</w:t>
      </w:r>
      <w:r w:rsidR="00907C29">
        <w:t xml:space="preserve"> and witnesses</w:t>
      </w:r>
      <w:r w:rsidR="000F5158">
        <w:t xml:space="preserve"> are not a homogeneous group, it is important that the Strategy is broad</w:t>
      </w:r>
      <w:r w:rsidR="002C6262">
        <w:t xml:space="preserve"> in scope to capture the</w:t>
      </w:r>
      <w:r w:rsidR="0000157B">
        <w:t xml:space="preserve"> specific</w:t>
      </w:r>
      <w:r w:rsidR="002C6262">
        <w:t xml:space="preserve"> needs and vulnerabilities of </w:t>
      </w:r>
      <w:r w:rsidR="006F4F15">
        <w:t>various</w:t>
      </w:r>
      <w:r w:rsidR="002C6262">
        <w:t xml:space="preserve"> victims and witnesses and upholds the rights of particular groups</w:t>
      </w:r>
      <w:r w:rsidR="008E7C3A">
        <w:t xml:space="preserve"> who may be more vulnerable to </w:t>
      </w:r>
      <w:proofErr w:type="gramStart"/>
      <w:r w:rsidR="008E7C3A">
        <w:t>crime, or</w:t>
      </w:r>
      <w:proofErr w:type="gramEnd"/>
      <w:r w:rsidR="008E7C3A">
        <w:t xml:space="preserve"> </w:t>
      </w:r>
      <w:r w:rsidR="000001AD">
        <w:t>have specific needs in navigating the criminal justice system</w:t>
      </w:r>
      <w:r w:rsidR="002C6262">
        <w:t xml:space="preserve">. </w:t>
      </w:r>
      <w:r w:rsidR="00607ABA">
        <w:t xml:space="preserve">This should include specific training and adaptation </w:t>
      </w:r>
      <w:r w:rsidR="00173585">
        <w:t>to meet the needs of Section 75 groups or those with protected characteristics</w:t>
      </w:r>
      <w:r w:rsidR="001B3A3E">
        <w:t>, and recognition of relevant international standards including</w:t>
      </w:r>
      <w:r w:rsidR="009A4B3F">
        <w:t xml:space="preserve"> but not limited to</w:t>
      </w:r>
      <w:r w:rsidR="00EA18B1">
        <w:t xml:space="preserve"> </w:t>
      </w:r>
      <w:r w:rsidR="00310CD7">
        <w:t xml:space="preserve">the UN Convention on the Rights of </w:t>
      </w:r>
      <w:r w:rsidR="00A141B8">
        <w:t>Persons</w:t>
      </w:r>
      <w:r w:rsidR="00310CD7">
        <w:t xml:space="preserve"> with Disabilities, </w:t>
      </w:r>
      <w:r w:rsidR="00EA18B1">
        <w:t xml:space="preserve">the UN Convention on the Rights of the Child, and </w:t>
      </w:r>
      <w:r w:rsidR="00F15671">
        <w:t xml:space="preserve">the UN Convention on the </w:t>
      </w:r>
      <w:r w:rsidR="00796B9B">
        <w:t>Elimination of All Forms of Discrimination against Women</w:t>
      </w:r>
      <w:r w:rsidR="003167CA">
        <w:t xml:space="preserve">: these are discussed in more detail below. </w:t>
      </w:r>
    </w:p>
    <w:p w14:paraId="22AB76BA" w14:textId="77777777" w:rsidR="003167CA" w:rsidRDefault="003167CA" w:rsidP="009A4B3F">
      <w:pPr>
        <w:pStyle w:val="ListParagraph"/>
        <w:spacing w:line="276" w:lineRule="auto"/>
        <w:jc w:val="both"/>
      </w:pPr>
    </w:p>
    <w:p w14:paraId="3F72421D" w14:textId="724DA79D" w:rsidR="0033685F" w:rsidRDefault="00E153C6" w:rsidP="00FD13F1">
      <w:pPr>
        <w:pStyle w:val="ListParagraph"/>
        <w:numPr>
          <w:ilvl w:val="1"/>
          <w:numId w:val="34"/>
        </w:numPr>
        <w:spacing w:line="276" w:lineRule="auto"/>
        <w:jc w:val="both"/>
      </w:pPr>
      <w:r>
        <w:t xml:space="preserve">The </w:t>
      </w:r>
      <w:r w:rsidR="003F7BE4">
        <w:t>Department</w:t>
      </w:r>
      <w:r>
        <w:t xml:space="preserve"> should also work closely </w:t>
      </w:r>
      <w:r w:rsidR="00252AC1">
        <w:t xml:space="preserve">with Departmental </w:t>
      </w:r>
      <w:r w:rsidR="008B2C8C">
        <w:t>colleagues</w:t>
      </w:r>
      <w:r w:rsidR="00252AC1">
        <w:t xml:space="preserve"> progressing the Hate Crime Review, </w:t>
      </w:r>
      <w:r w:rsidR="0060285A">
        <w:t xml:space="preserve">recognising </w:t>
      </w:r>
      <w:r w:rsidR="00252AC1">
        <w:t>obligations under</w:t>
      </w:r>
      <w:r>
        <w:t xml:space="preserve"> </w:t>
      </w:r>
      <w:r w:rsidR="00247007">
        <w:t>the UN Convention on the Elimination of All Forms of Racial Discrimination</w:t>
      </w:r>
      <w:r w:rsidR="003258AF">
        <w:t xml:space="preserve"> to understand and support victims of rac</w:t>
      </w:r>
      <w:r w:rsidR="00050E09">
        <w:t xml:space="preserve">ism-related </w:t>
      </w:r>
      <w:r w:rsidR="0060285A">
        <w:t xml:space="preserve">and </w:t>
      </w:r>
      <w:r w:rsidR="003F7BE4">
        <w:t>other hate crimes</w:t>
      </w:r>
      <w:r w:rsidR="00B010AA">
        <w:t xml:space="preserve">. Similarly, the Department of Justice should work collaboratively with the Department for Communities </w:t>
      </w:r>
      <w:r w:rsidR="006635DA">
        <w:t xml:space="preserve">colleagues currently </w:t>
      </w:r>
      <w:r w:rsidR="00B010AA">
        <w:t xml:space="preserve">developing </w:t>
      </w:r>
      <w:r w:rsidR="0033685F">
        <w:t xml:space="preserve">Social Inclusion Strategies across gender, </w:t>
      </w:r>
      <w:r w:rsidR="00EB107E">
        <w:t xml:space="preserve">sexual </w:t>
      </w:r>
      <w:proofErr w:type="gramStart"/>
      <w:r w:rsidR="00EB107E">
        <w:t>orientation</w:t>
      </w:r>
      <w:proofErr w:type="gramEnd"/>
      <w:r w:rsidR="00EB107E">
        <w:t xml:space="preserve"> and disability</w:t>
      </w:r>
      <w:r w:rsidR="00F77C2F">
        <w:t>,</w:t>
      </w:r>
      <w:r w:rsidR="00EB107E">
        <w:t xml:space="preserve"> to understand the needs of different </w:t>
      </w:r>
      <w:r w:rsidR="00F77C2F">
        <w:t xml:space="preserve">marginalised </w:t>
      </w:r>
      <w:r w:rsidR="00EB107E">
        <w:t>groups</w:t>
      </w:r>
      <w:r w:rsidR="00F77C2F">
        <w:t xml:space="preserve"> who may be more vulnerable to crime</w:t>
      </w:r>
      <w:r w:rsidR="00EB107E">
        <w:t xml:space="preserve">. </w:t>
      </w:r>
    </w:p>
    <w:p w14:paraId="3D4E7607" w14:textId="77777777" w:rsidR="00956007" w:rsidRDefault="00956007" w:rsidP="00956007">
      <w:pPr>
        <w:pStyle w:val="ListParagraph"/>
      </w:pPr>
    </w:p>
    <w:p w14:paraId="67961004" w14:textId="66A9C9D6" w:rsidR="00956007" w:rsidRPr="002D60F3" w:rsidRDefault="00956007" w:rsidP="00FD13F1">
      <w:pPr>
        <w:pStyle w:val="ListParagraph"/>
        <w:numPr>
          <w:ilvl w:val="1"/>
          <w:numId w:val="34"/>
        </w:numPr>
        <w:spacing w:after="32" w:line="276" w:lineRule="auto"/>
        <w:jc w:val="both"/>
        <w:rPr>
          <w:rFonts w:eastAsia="Times New Roman" w:cs="Verdana"/>
          <w:color w:val="000000"/>
          <w:szCs w:val="22"/>
          <w:lang w:eastAsia="en-GB"/>
        </w:rPr>
      </w:pPr>
      <w:r w:rsidRPr="00BF2496">
        <w:rPr>
          <w:rFonts w:eastAsia="Times New Roman" w:cs="Verdana"/>
          <w:color w:val="000000"/>
          <w:szCs w:val="22"/>
          <w:lang w:eastAsia="en-GB"/>
        </w:rPr>
        <w:t>The World Health Organisation (WHO) has recognised “people with disabilities are at greater risk of violence than those without disabilities… The prevalence of sexual abuse against people with disabilities has been shown to be higher, especially for institutionalised men and women with intellectual disabilities, intimate partners, and adolescents.”</w:t>
      </w:r>
      <w:r w:rsidRPr="00BF2496">
        <w:rPr>
          <w:rFonts w:eastAsia="Times New Roman" w:cs="Verdana"/>
          <w:color w:val="000000"/>
          <w:szCs w:val="22"/>
          <w:vertAlign w:val="superscript"/>
          <w:lang w:eastAsia="en-GB"/>
        </w:rPr>
        <w:footnoteReference w:id="45"/>
      </w:r>
      <w:r w:rsidRPr="00BF2496">
        <w:rPr>
          <w:rFonts w:eastAsia="Times New Roman" w:cs="Verdana"/>
          <w:color w:val="000000"/>
          <w:szCs w:val="22"/>
          <w:lang w:eastAsia="en-GB"/>
        </w:rPr>
        <w:t xml:space="preserve">  </w:t>
      </w:r>
      <w:r w:rsidRPr="002D60F3">
        <w:rPr>
          <w:rFonts w:eastAsia="Times New Roman" w:cs="Verdana"/>
          <w:color w:val="000000"/>
          <w:szCs w:val="22"/>
          <w:lang w:eastAsia="en-GB"/>
        </w:rPr>
        <w:t xml:space="preserve">The </w:t>
      </w:r>
      <w:r w:rsidR="00B37041">
        <w:rPr>
          <w:rFonts w:eastAsia="Times New Roman" w:cs="Verdana"/>
          <w:color w:val="000000"/>
          <w:szCs w:val="22"/>
          <w:lang w:eastAsia="en-GB"/>
        </w:rPr>
        <w:t xml:space="preserve">UN </w:t>
      </w:r>
      <w:r w:rsidR="00B37041" w:rsidRPr="005F0165">
        <w:rPr>
          <w:rFonts w:eastAsiaTheme="minorHAnsi"/>
          <w:szCs w:val="22"/>
        </w:rPr>
        <w:t>Convention on the Rights of Persons with Disabilities</w:t>
      </w:r>
      <w:r w:rsidR="00B37041" w:rsidRPr="002D60F3">
        <w:rPr>
          <w:rFonts w:eastAsia="Times New Roman" w:cs="Verdana"/>
          <w:color w:val="000000"/>
          <w:szCs w:val="22"/>
          <w:lang w:eastAsia="en-GB"/>
        </w:rPr>
        <w:t xml:space="preserve"> </w:t>
      </w:r>
      <w:r w:rsidR="00B37041">
        <w:rPr>
          <w:rFonts w:eastAsia="Times New Roman" w:cs="Verdana"/>
          <w:color w:val="000000"/>
          <w:szCs w:val="22"/>
          <w:lang w:eastAsia="en-GB"/>
        </w:rPr>
        <w:t>(</w:t>
      </w:r>
      <w:r w:rsidRPr="002D60F3">
        <w:rPr>
          <w:rFonts w:eastAsia="Times New Roman" w:cs="Verdana"/>
          <w:color w:val="000000"/>
          <w:szCs w:val="22"/>
          <w:lang w:eastAsia="en-GB"/>
        </w:rPr>
        <w:t>UNCRPD</w:t>
      </w:r>
      <w:r w:rsidR="00B37041">
        <w:rPr>
          <w:rFonts w:eastAsia="Times New Roman" w:cs="Verdana"/>
          <w:color w:val="000000"/>
          <w:szCs w:val="22"/>
          <w:lang w:eastAsia="en-GB"/>
        </w:rPr>
        <w:t>)</w:t>
      </w:r>
      <w:r w:rsidRPr="002D60F3">
        <w:rPr>
          <w:rFonts w:eastAsia="Times New Roman" w:cs="Verdana"/>
          <w:color w:val="000000"/>
          <w:szCs w:val="22"/>
          <w:lang w:eastAsia="en-GB"/>
        </w:rPr>
        <w:t xml:space="preserve"> requires State Parties to “take all appropriate measures to prevent all forms of exploitation, violence and abuse by ensuring, inter alia, appropriate forms of gender- and age sensitive assistance and support for persons with disabilities and their families and caregivers ... States Parties shall ensure that protection services are age-, gender- and disability-</w:t>
      </w:r>
      <w:r w:rsidRPr="002D60F3">
        <w:rPr>
          <w:rFonts w:eastAsia="Times New Roman" w:cs="Verdana"/>
          <w:color w:val="000000"/>
          <w:szCs w:val="22"/>
          <w:lang w:eastAsia="en-GB"/>
        </w:rPr>
        <w:lastRenderedPageBreak/>
        <w:t>sensitive”.</w:t>
      </w:r>
      <w:r w:rsidRPr="00BF2496">
        <w:rPr>
          <w:rFonts w:eastAsia="Times New Roman"/>
          <w:vertAlign w:val="superscript"/>
          <w:lang w:eastAsia="en-GB"/>
        </w:rPr>
        <w:footnoteReference w:id="46"/>
      </w:r>
      <w:r w:rsidRPr="002D60F3">
        <w:rPr>
          <w:rFonts w:eastAsia="Times New Roman" w:cs="Verdana"/>
          <w:color w:val="000000"/>
          <w:szCs w:val="22"/>
          <w:lang w:eastAsia="en-GB"/>
        </w:rPr>
        <w:t xml:space="preserve"> In accordance with the UNCRPD</w:t>
      </w:r>
      <w:r>
        <w:rPr>
          <w:rFonts w:eastAsia="Times New Roman" w:cs="Verdana"/>
          <w:color w:val="000000"/>
          <w:szCs w:val="22"/>
          <w:lang w:eastAsia="en-GB"/>
        </w:rPr>
        <w:t>,</w:t>
      </w:r>
      <w:r w:rsidRPr="002D60F3">
        <w:rPr>
          <w:rFonts w:eastAsia="Times New Roman" w:cs="Verdana"/>
          <w:color w:val="000000"/>
          <w:szCs w:val="22"/>
          <w:lang w:eastAsia="en-GB"/>
        </w:rPr>
        <w:t xml:space="preserve"> the State is obligated to “ensure effective access to justice for persons with disabilities on an equal basis with others, including through the provision of procedural and age-appropriate accommodations, in order to facilitate their effective role as direct and indirect participants, including as witnesses, in all legal proceedings, including at investigative and other preliminary stages.”</w:t>
      </w:r>
      <w:r w:rsidRPr="00621663">
        <w:rPr>
          <w:rFonts w:eastAsia="Times New Roman" w:cs="Verdana"/>
          <w:color w:val="000000"/>
          <w:szCs w:val="22"/>
          <w:vertAlign w:val="superscript"/>
          <w:lang w:eastAsia="en-GB"/>
        </w:rPr>
        <w:footnoteReference w:id="47"/>
      </w:r>
    </w:p>
    <w:p w14:paraId="0D4C25B0" w14:textId="77777777" w:rsidR="00956007" w:rsidRDefault="00956007" w:rsidP="00EE6399">
      <w:pPr>
        <w:pStyle w:val="ListParagraph"/>
        <w:spacing w:line="276" w:lineRule="auto"/>
        <w:jc w:val="both"/>
      </w:pPr>
    </w:p>
    <w:p w14:paraId="1ADB87A7" w14:textId="0B2A3842" w:rsidR="00607ABA" w:rsidRDefault="0069797B" w:rsidP="00FD13F1">
      <w:pPr>
        <w:pStyle w:val="ListParagraph"/>
        <w:numPr>
          <w:ilvl w:val="1"/>
          <w:numId w:val="34"/>
        </w:numPr>
        <w:spacing w:line="276" w:lineRule="auto"/>
        <w:jc w:val="both"/>
      </w:pPr>
      <w:r w:rsidRPr="003C6828">
        <w:rPr>
          <w:b/>
          <w:bCs/>
        </w:rPr>
        <w:t xml:space="preserve">The Commission recommends that in addition to engaging with victims and their representative groups, </w:t>
      </w:r>
      <w:r w:rsidR="00865FD6" w:rsidRPr="003C6828">
        <w:rPr>
          <w:b/>
          <w:bCs/>
        </w:rPr>
        <w:t xml:space="preserve">the Department engages with </w:t>
      </w:r>
      <w:r w:rsidR="00236F3D" w:rsidRPr="003C6828">
        <w:rPr>
          <w:b/>
          <w:bCs/>
        </w:rPr>
        <w:t>civic society</w:t>
      </w:r>
      <w:r w:rsidR="00E30E06">
        <w:rPr>
          <w:b/>
          <w:bCs/>
        </w:rPr>
        <w:t>,</w:t>
      </w:r>
      <w:r w:rsidR="00A01115">
        <w:rPr>
          <w:b/>
          <w:bCs/>
        </w:rPr>
        <w:t xml:space="preserve"> alongside</w:t>
      </w:r>
      <w:r w:rsidR="00236F3D" w:rsidRPr="003C6828">
        <w:rPr>
          <w:b/>
          <w:bCs/>
        </w:rPr>
        <w:t xml:space="preserve"> </w:t>
      </w:r>
      <w:r w:rsidR="00A42880">
        <w:rPr>
          <w:b/>
          <w:bCs/>
        </w:rPr>
        <w:t>colleagues</w:t>
      </w:r>
      <w:r w:rsidR="002F70BC">
        <w:rPr>
          <w:b/>
          <w:bCs/>
        </w:rPr>
        <w:t xml:space="preserve"> within the Department of Justice on </w:t>
      </w:r>
      <w:r w:rsidR="00236F3D" w:rsidRPr="003C6828">
        <w:rPr>
          <w:b/>
          <w:bCs/>
        </w:rPr>
        <w:t xml:space="preserve">the Review of Hate Crime Legislation and with the </w:t>
      </w:r>
      <w:r w:rsidR="002F70BC">
        <w:rPr>
          <w:b/>
          <w:bCs/>
        </w:rPr>
        <w:t xml:space="preserve">Department for Communities on the </w:t>
      </w:r>
      <w:r w:rsidR="00236F3D" w:rsidRPr="003C6828">
        <w:rPr>
          <w:b/>
          <w:bCs/>
        </w:rPr>
        <w:t>development of the Social Inclusion Strategies</w:t>
      </w:r>
      <w:r w:rsidR="00E30E06">
        <w:rPr>
          <w:b/>
          <w:bCs/>
        </w:rPr>
        <w:t xml:space="preserve"> </w:t>
      </w:r>
      <w:r w:rsidR="00A01115" w:rsidRPr="003C6828">
        <w:rPr>
          <w:b/>
          <w:bCs/>
        </w:rPr>
        <w:t xml:space="preserve">to ensure specific needs </w:t>
      </w:r>
      <w:r w:rsidR="00A01115">
        <w:rPr>
          <w:b/>
          <w:bCs/>
        </w:rPr>
        <w:t xml:space="preserve">and rights </w:t>
      </w:r>
      <w:r w:rsidR="00A01115" w:rsidRPr="003C6828">
        <w:rPr>
          <w:b/>
          <w:bCs/>
        </w:rPr>
        <w:t>are reflected in the Strategy</w:t>
      </w:r>
      <w:r w:rsidR="007421DC">
        <w:rPr>
          <w:b/>
          <w:bCs/>
        </w:rPr>
        <w:t>.</w:t>
      </w:r>
    </w:p>
    <w:p w14:paraId="72EFD493" w14:textId="77777777" w:rsidR="00326AF1" w:rsidRDefault="00326AF1" w:rsidP="00A2361E">
      <w:pPr>
        <w:pStyle w:val="ListParagraph"/>
        <w:spacing w:line="276" w:lineRule="auto"/>
        <w:jc w:val="both"/>
      </w:pPr>
    </w:p>
    <w:p w14:paraId="75BB1378" w14:textId="1E298296" w:rsidR="004B0843" w:rsidRDefault="002C6262" w:rsidP="00FD13F1">
      <w:pPr>
        <w:pStyle w:val="ListParagraph"/>
        <w:numPr>
          <w:ilvl w:val="1"/>
          <w:numId w:val="34"/>
        </w:numPr>
        <w:spacing w:line="276" w:lineRule="auto"/>
        <w:jc w:val="both"/>
      </w:pPr>
      <w:r>
        <w:t>The Commission welcomes the commitment</w:t>
      </w:r>
      <w:r w:rsidR="00E048C4">
        <w:t xml:space="preserve"> in </w:t>
      </w:r>
      <w:r w:rsidR="00D8306B">
        <w:t>Strategic Priority 1</w:t>
      </w:r>
      <w:r>
        <w:t xml:space="preserve"> to </w:t>
      </w:r>
      <w:r w:rsidR="00D8306B">
        <w:t>understanding the needs, views and interests of victims and witnesses</w:t>
      </w:r>
      <w:r w:rsidR="00324C99">
        <w:t xml:space="preserve">; this work should engage a wide range </w:t>
      </w:r>
      <w:r w:rsidR="009E273D">
        <w:t xml:space="preserve">of groups </w:t>
      </w:r>
      <w:proofErr w:type="gramStart"/>
      <w:r w:rsidR="009E273D">
        <w:t>and also</w:t>
      </w:r>
      <w:proofErr w:type="gramEnd"/>
      <w:r w:rsidR="009E273D">
        <w:t xml:space="preserve"> seek to benchmark </w:t>
      </w:r>
      <w:r w:rsidR="00A40EE1">
        <w:t xml:space="preserve">current awareness of the Victim’s Charter in order to </w:t>
      </w:r>
      <w:r w:rsidR="004B0843">
        <w:t xml:space="preserve">measure success of the Strategy. </w:t>
      </w:r>
      <w:r w:rsidR="00A12B8A">
        <w:t>Ongoing research should also track experiences and identify areas for improvement</w:t>
      </w:r>
      <w:r w:rsidR="008E0A78">
        <w:t>, with robust disaggregated data collection to ensure victims experiences are understood.</w:t>
      </w:r>
    </w:p>
    <w:p w14:paraId="24E6DD67" w14:textId="77777777" w:rsidR="00E27576" w:rsidRDefault="00E27576" w:rsidP="00A2361E">
      <w:pPr>
        <w:pStyle w:val="ListParagraph"/>
        <w:spacing w:line="276" w:lineRule="auto"/>
      </w:pPr>
    </w:p>
    <w:p w14:paraId="47C8872B" w14:textId="15B754DC" w:rsidR="00352878" w:rsidRDefault="00EC5844" w:rsidP="00A2361E">
      <w:pPr>
        <w:spacing w:line="276" w:lineRule="auto"/>
        <w:jc w:val="both"/>
      </w:pPr>
      <w:r>
        <w:t xml:space="preserve">In addition to the general points above regarding the </w:t>
      </w:r>
      <w:r w:rsidR="00875037">
        <w:t>importance of</w:t>
      </w:r>
      <w:r>
        <w:t xml:space="preserve"> consider</w:t>
      </w:r>
      <w:r w:rsidR="00875037">
        <w:t>ing</w:t>
      </w:r>
      <w:r>
        <w:t xml:space="preserve"> the needs of different groups, t</w:t>
      </w:r>
      <w:r w:rsidR="0068645B">
        <w:t xml:space="preserve">he Commission wishes to highlight the following </w:t>
      </w:r>
      <w:r w:rsidR="008E496C">
        <w:t xml:space="preserve">two </w:t>
      </w:r>
      <w:r w:rsidR="0068645B">
        <w:t xml:space="preserve">groups for specific consideration within the Strategy: </w:t>
      </w:r>
    </w:p>
    <w:p w14:paraId="72F652C9" w14:textId="77777777" w:rsidR="00E27576" w:rsidRDefault="00E27576" w:rsidP="00A2361E">
      <w:pPr>
        <w:pStyle w:val="ListParagraph"/>
        <w:spacing w:line="276" w:lineRule="auto"/>
        <w:jc w:val="both"/>
      </w:pPr>
    </w:p>
    <w:p w14:paraId="6ED2E4E0" w14:textId="77777777" w:rsidR="001D19F7" w:rsidRPr="005433DC" w:rsidRDefault="005F6BEB" w:rsidP="00BF2496">
      <w:pPr>
        <w:spacing w:line="276" w:lineRule="auto"/>
        <w:jc w:val="both"/>
        <w:rPr>
          <w:u w:val="single"/>
        </w:rPr>
      </w:pPr>
      <w:r w:rsidRPr="005433DC">
        <w:rPr>
          <w:b/>
          <w:bCs/>
          <w:u w:val="single"/>
        </w:rPr>
        <w:t>Women and Girls</w:t>
      </w:r>
    </w:p>
    <w:p w14:paraId="2BA348F5" w14:textId="77777777" w:rsidR="001D19F7" w:rsidRDefault="001D19F7" w:rsidP="00A2361E">
      <w:pPr>
        <w:pStyle w:val="ListParagraph"/>
        <w:spacing w:line="276" w:lineRule="auto"/>
        <w:jc w:val="both"/>
      </w:pPr>
    </w:p>
    <w:p w14:paraId="3232A1EB" w14:textId="6485B339" w:rsidR="002E0775" w:rsidRPr="00DD45E8" w:rsidRDefault="002E0775" w:rsidP="00FD13F1">
      <w:pPr>
        <w:pStyle w:val="ListParagraph"/>
        <w:numPr>
          <w:ilvl w:val="1"/>
          <w:numId w:val="34"/>
        </w:numPr>
        <w:spacing w:line="276" w:lineRule="auto"/>
        <w:jc w:val="both"/>
      </w:pPr>
      <w:r w:rsidRPr="00BF2496">
        <w:rPr>
          <w:rFonts w:cs="Arial"/>
        </w:rPr>
        <w:t xml:space="preserve">The UN Committee against Torture (UN CAT Committee) and UN Committee on the Elimination of Discrimination against Women (UN CEDAW Committee) have highlighted domestic abuse and violence as a persistent issue in the UK, including </w:t>
      </w:r>
      <w:r w:rsidR="009A6C3A" w:rsidRPr="00BF2496">
        <w:rPr>
          <w:rFonts w:cs="Arial"/>
        </w:rPr>
        <w:t>NI</w:t>
      </w:r>
      <w:r w:rsidRPr="00BF2496">
        <w:rPr>
          <w:rFonts w:cs="Arial"/>
        </w:rPr>
        <w:t>.</w:t>
      </w:r>
      <w:r w:rsidRPr="00C3439E">
        <w:rPr>
          <w:vertAlign w:val="superscript"/>
        </w:rPr>
        <w:footnoteReference w:id="48"/>
      </w:r>
      <w:r w:rsidRPr="00BF2496">
        <w:rPr>
          <w:rFonts w:cs="Arial"/>
        </w:rPr>
        <w:t xml:space="preserve"> Both UN Committees have </w:t>
      </w:r>
      <w:r w:rsidRPr="00BF2496">
        <w:rPr>
          <w:rFonts w:cs="Arial"/>
        </w:rPr>
        <w:lastRenderedPageBreak/>
        <w:t xml:space="preserve">also highlighted the disproportionate impact on women and the need for gender sensitive policies to provide protection, </w:t>
      </w:r>
      <w:proofErr w:type="gramStart"/>
      <w:r w:rsidRPr="00BF2496">
        <w:rPr>
          <w:rFonts w:cs="Arial"/>
        </w:rPr>
        <w:t>prosecution</w:t>
      </w:r>
      <w:proofErr w:type="gramEnd"/>
      <w:r w:rsidRPr="00BF2496">
        <w:rPr>
          <w:rFonts w:cs="Arial"/>
        </w:rPr>
        <w:t xml:space="preserve"> and redress.</w:t>
      </w:r>
      <w:r w:rsidRPr="00C3439E">
        <w:rPr>
          <w:vertAlign w:val="superscript"/>
        </w:rPr>
        <w:footnoteReference w:id="49"/>
      </w:r>
    </w:p>
    <w:p w14:paraId="5B7A6FB7" w14:textId="77777777" w:rsidR="00DD45E8" w:rsidRPr="001D19F7" w:rsidRDefault="00DD45E8" w:rsidP="00A2361E">
      <w:pPr>
        <w:pStyle w:val="ListParagraph"/>
        <w:spacing w:line="276" w:lineRule="auto"/>
        <w:ind w:left="1080"/>
        <w:jc w:val="both"/>
      </w:pPr>
    </w:p>
    <w:p w14:paraId="031C93EE" w14:textId="6BFEB97D" w:rsidR="00F771DB" w:rsidRPr="00895816" w:rsidRDefault="00F771DB" w:rsidP="00FD13F1">
      <w:pPr>
        <w:pStyle w:val="ListParagraph"/>
        <w:numPr>
          <w:ilvl w:val="1"/>
          <w:numId w:val="34"/>
        </w:numPr>
        <w:spacing w:line="276" w:lineRule="auto"/>
        <w:jc w:val="both"/>
        <w:rPr>
          <w:rFonts w:cs="Arial"/>
        </w:rPr>
      </w:pPr>
      <w:r w:rsidRPr="00895816">
        <w:rPr>
          <w:rFonts w:cs="Arial"/>
        </w:rPr>
        <w:t>The UN CAT Committee raised concerns of sexual and gender-based violence</w:t>
      </w:r>
      <w:r w:rsidR="00003E65" w:rsidRPr="00895816">
        <w:rPr>
          <w:rFonts w:cs="Arial"/>
        </w:rPr>
        <w:t xml:space="preserve"> in its 2019 Concluding Observations on the UK</w:t>
      </w:r>
      <w:r w:rsidRPr="00C3439E">
        <w:rPr>
          <w:vertAlign w:val="superscript"/>
        </w:rPr>
        <w:footnoteReference w:id="50"/>
      </w:r>
      <w:r w:rsidR="00003E65" w:rsidRPr="00895816">
        <w:rPr>
          <w:rFonts w:cs="Arial"/>
        </w:rPr>
        <w:t>.</w:t>
      </w:r>
      <w:r w:rsidRPr="00895816">
        <w:rPr>
          <w:rFonts w:cs="Arial"/>
          <w:vertAlign w:val="superscript"/>
        </w:rPr>
        <w:t xml:space="preserve"> </w:t>
      </w:r>
      <w:r w:rsidRPr="00895816">
        <w:rPr>
          <w:rFonts w:cs="Arial"/>
        </w:rPr>
        <w:t>The Committee stated it is concerned about reports that State party officials are recording increasing numbers of domestic abuse crimes and sexual offences, mainly against women, while also recording low prosecution and conviction rates in these cases.</w:t>
      </w:r>
      <w:r w:rsidRPr="00C3439E">
        <w:rPr>
          <w:vertAlign w:val="superscript"/>
        </w:rPr>
        <w:footnoteReference w:id="51"/>
      </w:r>
    </w:p>
    <w:p w14:paraId="7A63B9C5" w14:textId="77777777" w:rsidR="00F771DB" w:rsidRPr="00C3439E" w:rsidRDefault="00F771DB" w:rsidP="00A2361E">
      <w:pPr>
        <w:pStyle w:val="ListParagraph"/>
        <w:spacing w:line="276" w:lineRule="auto"/>
        <w:ind w:left="1080"/>
        <w:jc w:val="both"/>
        <w:rPr>
          <w:rFonts w:cs="Arial"/>
        </w:rPr>
      </w:pPr>
    </w:p>
    <w:p w14:paraId="5EDAB021" w14:textId="3DB9845B" w:rsidR="00F771DB" w:rsidRPr="00895816" w:rsidRDefault="00F771DB" w:rsidP="00FD13F1">
      <w:pPr>
        <w:pStyle w:val="ListParagraph"/>
        <w:numPr>
          <w:ilvl w:val="1"/>
          <w:numId w:val="34"/>
        </w:numPr>
        <w:spacing w:line="276" w:lineRule="auto"/>
        <w:jc w:val="both"/>
        <w:rPr>
          <w:rFonts w:cs="Arial"/>
        </w:rPr>
      </w:pPr>
      <w:r w:rsidRPr="00895816">
        <w:rPr>
          <w:rFonts w:cs="Arial"/>
        </w:rPr>
        <w:t>The UN CEDAW Committee</w:t>
      </w:r>
      <w:r w:rsidR="00E01B87" w:rsidRPr="00895816">
        <w:rPr>
          <w:rFonts w:cs="Arial"/>
        </w:rPr>
        <w:t>,</w:t>
      </w:r>
      <w:r w:rsidRPr="00895816">
        <w:rPr>
          <w:rFonts w:cs="Arial"/>
        </w:rPr>
        <w:t xml:space="preserve"> in its 2019 Concluding Observations on the UK, noted “with particular concern the inadequacy of laws and policies to protect women in Northern Ireland (from gender-based violence)” and recommended that the UK ratify the Istanbul Convention.</w:t>
      </w:r>
      <w:r w:rsidRPr="00C3439E">
        <w:rPr>
          <w:vertAlign w:val="superscript"/>
        </w:rPr>
        <w:footnoteReference w:id="52"/>
      </w:r>
    </w:p>
    <w:p w14:paraId="06A3D29C" w14:textId="77777777" w:rsidR="00875B24" w:rsidRPr="00875B24" w:rsidRDefault="00875B24" w:rsidP="00A2361E">
      <w:pPr>
        <w:pStyle w:val="ListParagraph"/>
        <w:spacing w:line="276" w:lineRule="auto"/>
        <w:jc w:val="both"/>
        <w:rPr>
          <w:rFonts w:cs="Arial"/>
        </w:rPr>
      </w:pPr>
    </w:p>
    <w:p w14:paraId="55D35E5F" w14:textId="0A782988" w:rsidR="0018746D" w:rsidRPr="00895816" w:rsidRDefault="000C3CD4" w:rsidP="00FD13F1">
      <w:pPr>
        <w:pStyle w:val="ListParagraph"/>
        <w:numPr>
          <w:ilvl w:val="1"/>
          <w:numId w:val="34"/>
        </w:numPr>
        <w:shd w:val="clear" w:color="auto" w:fill="FFFFFF"/>
        <w:spacing w:line="276" w:lineRule="auto"/>
        <w:jc w:val="both"/>
        <w:rPr>
          <w:rFonts w:cs="Arial"/>
        </w:rPr>
      </w:pPr>
      <w:r w:rsidRPr="00895816">
        <w:rPr>
          <w:rFonts w:cs="Arial"/>
        </w:rPr>
        <w:t xml:space="preserve">The Istanbul Convention requires </w:t>
      </w:r>
      <w:r w:rsidR="00F738C8" w:rsidRPr="00895816">
        <w:rPr>
          <w:rFonts w:cs="Arial"/>
        </w:rPr>
        <w:t xml:space="preserve">that </w:t>
      </w:r>
      <w:r w:rsidR="009A6C3A" w:rsidRPr="00895816">
        <w:rPr>
          <w:rFonts w:cs="Arial"/>
        </w:rPr>
        <w:t>States</w:t>
      </w:r>
      <w:r w:rsidR="00F738C8" w:rsidRPr="00895816">
        <w:rPr>
          <w:rFonts w:cs="Arial"/>
        </w:rPr>
        <w:t xml:space="preserve">, when </w:t>
      </w:r>
      <w:r w:rsidR="0018746D" w:rsidRPr="00895816">
        <w:rPr>
          <w:rFonts w:cs="Arial"/>
        </w:rPr>
        <w:t>introducing pursuant measures, shall ensure that measures are “based on a gendered understanding of violence against women and domestic violence and shall focus on the human rights and safety of the victim</w:t>
      </w:r>
      <w:r w:rsidR="0022626E" w:rsidRPr="00895816">
        <w:rPr>
          <w:rFonts w:cs="Arial"/>
        </w:rPr>
        <w:t>” and “</w:t>
      </w:r>
      <w:r w:rsidR="0018746D" w:rsidRPr="00895816">
        <w:rPr>
          <w:rFonts w:cs="Arial"/>
        </w:rPr>
        <w:t>aim at avoiding secondary victimisation</w:t>
      </w:r>
      <w:r w:rsidR="0022626E" w:rsidRPr="00895816">
        <w:rPr>
          <w:rFonts w:cs="Arial"/>
        </w:rPr>
        <w:t>”</w:t>
      </w:r>
      <w:r w:rsidR="0013783D" w:rsidRPr="00895816">
        <w:rPr>
          <w:rStyle w:val="FootnoteReference"/>
          <w:rFonts w:cs="Arial"/>
        </w:rPr>
        <w:t xml:space="preserve"> </w:t>
      </w:r>
      <w:r w:rsidR="0013783D">
        <w:rPr>
          <w:rStyle w:val="FootnoteReference"/>
          <w:rFonts w:cs="Arial"/>
        </w:rPr>
        <w:footnoteReference w:id="53"/>
      </w:r>
      <w:r w:rsidR="0022626E" w:rsidRPr="00895816">
        <w:rPr>
          <w:rFonts w:cs="Arial"/>
        </w:rPr>
        <w:t xml:space="preserve">. </w:t>
      </w:r>
      <w:r w:rsidR="00104E56" w:rsidRPr="00895816">
        <w:rPr>
          <w:rFonts w:cs="Arial"/>
        </w:rPr>
        <w:t xml:space="preserve">Further, that states should “take the necessary legislative or other measures to ensure that victims have access to services facilitating their recovery from violence. These measures should include, when necessary, services such as legal and psychological counselling, financial assistance, housing, education, </w:t>
      </w:r>
      <w:proofErr w:type="gramStart"/>
      <w:r w:rsidR="00104E56" w:rsidRPr="00895816">
        <w:rPr>
          <w:rFonts w:cs="Arial"/>
        </w:rPr>
        <w:t>training</w:t>
      </w:r>
      <w:proofErr w:type="gramEnd"/>
      <w:r w:rsidR="00104E56" w:rsidRPr="00895816">
        <w:rPr>
          <w:rFonts w:cs="Arial"/>
        </w:rPr>
        <w:t xml:space="preserve"> and assistance in finding employment</w:t>
      </w:r>
      <w:r w:rsidR="00800E23" w:rsidRPr="00895816">
        <w:rPr>
          <w:rFonts w:cs="Arial"/>
        </w:rPr>
        <w:t>”</w:t>
      </w:r>
      <w:r w:rsidR="00402B26">
        <w:rPr>
          <w:rStyle w:val="FootnoteReference"/>
          <w:rFonts w:cs="Arial"/>
        </w:rPr>
        <w:footnoteReference w:id="54"/>
      </w:r>
      <w:r w:rsidR="00916A3D" w:rsidRPr="00895816">
        <w:rPr>
          <w:rFonts w:cs="Arial"/>
        </w:rPr>
        <w:t>.</w:t>
      </w:r>
    </w:p>
    <w:p w14:paraId="28D84917" w14:textId="77777777" w:rsidR="000C3CD4" w:rsidRPr="000C3CD4" w:rsidRDefault="000C3CD4" w:rsidP="000C3CD4">
      <w:pPr>
        <w:pStyle w:val="ListParagraph"/>
        <w:rPr>
          <w:rFonts w:cs="Arial"/>
        </w:rPr>
      </w:pPr>
    </w:p>
    <w:p w14:paraId="0C78C463" w14:textId="54DB67DB" w:rsidR="00875B24" w:rsidRDefault="00875B24" w:rsidP="00FD13F1">
      <w:pPr>
        <w:pStyle w:val="ListParagraph"/>
        <w:numPr>
          <w:ilvl w:val="1"/>
          <w:numId w:val="34"/>
        </w:numPr>
        <w:spacing w:line="276" w:lineRule="auto"/>
        <w:jc w:val="both"/>
        <w:rPr>
          <w:rFonts w:cs="Arial"/>
        </w:rPr>
      </w:pPr>
      <w:r w:rsidRPr="00895816">
        <w:rPr>
          <w:rFonts w:cs="Arial"/>
        </w:rPr>
        <w:t>T</w:t>
      </w:r>
      <w:r w:rsidR="0020379C" w:rsidRPr="00895816">
        <w:rPr>
          <w:rFonts w:cs="Arial"/>
        </w:rPr>
        <w:t xml:space="preserve">he </w:t>
      </w:r>
      <w:r w:rsidR="009A6C3A" w:rsidRPr="00895816">
        <w:rPr>
          <w:rFonts w:cs="Arial"/>
        </w:rPr>
        <w:t xml:space="preserve">UN </w:t>
      </w:r>
      <w:r w:rsidR="0020379C" w:rsidRPr="00895816">
        <w:rPr>
          <w:rFonts w:cs="Arial"/>
        </w:rPr>
        <w:t xml:space="preserve">Human Rights Committee, in its 2015 Concluding Observations on the UK, noted </w:t>
      </w:r>
      <w:r w:rsidR="00C77835" w:rsidRPr="00895816">
        <w:rPr>
          <w:rFonts w:cs="Arial"/>
        </w:rPr>
        <w:t xml:space="preserve">its concern about continued reports of violence against women, </w:t>
      </w:r>
      <w:r w:rsidR="00940CDE" w:rsidRPr="00895816">
        <w:rPr>
          <w:rFonts w:cs="Arial"/>
        </w:rPr>
        <w:t xml:space="preserve">and advised a number of measures including: the introduction of domestic violence protection orders in </w:t>
      </w:r>
      <w:r w:rsidR="009A6C3A" w:rsidRPr="00895816">
        <w:rPr>
          <w:rFonts w:cs="Arial"/>
        </w:rPr>
        <w:t>NI</w:t>
      </w:r>
      <w:r w:rsidR="00940CDE" w:rsidRPr="00895816">
        <w:rPr>
          <w:rFonts w:cs="Arial"/>
        </w:rPr>
        <w:t>; encouraging the reporting of</w:t>
      </w:r>
      <w:r w:rsidR="00F36931" w:rsidRPr="00895816">
        <w:rPr>
          <w:rFonts w:cs="Arial"/>
        </w:rPr>
        <w:t xml:space="preserve"> domestic violence cases by informing women of their rights and existing legal avenues through which they can receive protection; ensuring that all domestic violence cases are thoroughly investi</w:t>
      </w:r>
      <w:r w:rsidR="00AE53FA" w:rsidRPr="00895816">
        <w:rPr>
          <w:rFonts w:cs="Arial"/>
        </w:rPr>
        <w:t>g</w:t>
      </w:r>
      <w:r w:rsidR="00F36931" w:rsidRPr="00895816">
        <w:rPr>
          <w:rFonts w:cs="Arial"/>
        </w:rPr>
        <w:t>ated</w:t>
      </w:r>
      <w:r w:rsidR="00AE53FA" w:rsidRPr="00895816">
        <w:rPr>
          <w:rFonts w:cs="Arial"/>
        </w:rPr>
        <w:t xml:space="preserve">, with perpetrators prosecuted and, </w:t>
      </w:r>
      <w:r w:rsidR="00AE53FA" w:rsidRPr="00895816">
        <w:rPr>
          <w:rFonts w:cs="Arial"/>
        </w:rPr>
        <w:lastRenderedPageBreak/>
        <w:t>if convicted, punished with appropriate sanctions; and</w:t>
      </w:r>
      <w:r w:rsidR="00025D10" w:rsidRPr="00895816">
        <w:rPr>
          <w:rFonts w:cs="Arial"/>
        </w:rPr>
        <w:t xml:space="preserve"> </w:t>
      </w:r>
      <w:r w:rsidR="00AE53FA" w:rsidRPr="00895816">
        <w:rPr>
          <w:rFonts w:cs="Arial"/>
        </w:rPr>
        <w:t xml:space="preserve">ensuring that victims </w:t>
      </w:r>
      <w:r w:rsidR="00025D10" w:rsidRPr="00895816">
        <w:rPr>
          <w:rFonts w:cs="Arial"/>
        </w:rPr>
        <w:t>have access to effective remedies and means of protection, including strong police protection, adequate emergency shelter, rehabilitative services, legal assistance and other support services</w:t>
      </w:r>
      <w:r w:rsidR="00FC0CF1">
        <w:rPr>
          <w:rStyle w:val="FootnoteReference"/>
          <w:rFonts w:cs="Arial"/>
        </w:rPr>
        <w:footnoteReference w:id="55"/>
      </w:r>
      <w:r w:rsidR="00025D10" w:rsidRPr="00895816">
        <w:rPr>
          <w:rFonts w:cs="Arial"/>
        </w:rPr>
        <w:t>.</w:t>
      </w:r>
    </w:p>
    <w:p w14:paraId="34FCC8E5" w14:textId="77777777" w:rsidR="00D77C9C" w:rsidRPr="00D77C9C" w:rsidRDefault="00D77C9C" w:rsidP="00D77C9C">
      <w:pPr>
        <w:pStyle w:val="ListParagraph"/>
        <w:rPr>
          <w:rFonts w:cs="Arial"/>
        </w:rPr>
      </w:pPr>
    </w:p>
    <w:p w14:paraId="5371953B" w14:textId="77777777" w:rsidR="00D77C9C" w:rsidRPr="00134CCF" w:rsidRDefault="00D77C9C" w:rsidP="00FD13F1">
      <w:pPr>
        <w:pStyle w:val="ListParagraph"/>
        <w:numPr>
          <w:ilvl w:val="1"/>
          <w:numId w:val="34"/>
        </w:numPr>
        <w:spacing w:line="276" w:lineRule="auto"/>
        <w:jc w:val="both"/>
        <w:rPr>
          <w:rFonts w:cs="Arial"/>
          <w:b/>
          <w:bCs/>
        </w:rPr>
      </w:pPr>
      <w:r w:rsidRPr="00134CCF">
        <w:rPr>
          <w:rFonts w:cs="Arial"/>
          <w:b/>
          <w:bCs/>
        </w:rPr>
        <w:t>The Commission continues to raise concerns about violence against women and girls in NI and supports calls for a strategy to address this.</w:t>
      </w:r>
      <w:r w:rsidRPr="00134CCF">
        <w:rPr>
          <w:rFonts w:cs="Arial"/>
        </w:rPr>
        <w:t xml:space="preserve"> </w:t>
      </w:r>
      <w:r w:rsidRPr="00134CCF">
        <w:rPr>
          <w:rFonts w:cs="Arial"/>
          <w:b/>
          <w:bCs/>
        </w:rPr>
        <w:t xml:space="preserve">The Commission recommends that gender is mainstreamed through the Victim and Witness Strategy to ensure effective support and remedy for victims of gender-based violence. </w:t>
      </w:r>
    </w:p>
    <w:p w14:paraId="4776E3E1" w14:textId="77777777" w:rsidR="00D77C9C" w:rsidRPr="00C3439E" w:rsidRDefault="00D77C9C" w:rsidP="00D77C9C">
      <w:pPr>
        <w:pStyle w:val="ListParagraph"/>
        <w:spacing w:line="276" w:lineRule="auto"/>
        <w:ind w:left="1080"/>
        <w:jc w:val="both"/>
        <w:rPr>
          <w:rFonts w:cs="Arial"/>
        </w:rPr>
      </w:pPr>
    </w:p>
    <w:p w14:paraId="37111AB6" w14:textId="77777777" w:rsidR="00D77C9C" w:rsidRPr="0048118B" w:rsidRDefault="00D77C9C" w:rsidP="00FD13F1">
      <w:pPr>
        <w:pStyle w:val="ListParagraph"/>
        <w:numPr>
          <w:ilvl w:val="1"/>
          <w:numId w:val="34"/>
        </w:numPr>
        <w:spacing w:line="276" w:lineRule="auto"/>
        <w:jc w:val="both"/>
        <w:rPr>
          <w:b/>
        </w:rPr>
      </w:pPr>
      <w:r w:rsidRPr="00D020A9">
        <w:rPr>
          <w:rFonts w:cs="Arial"/>
          <w:b/>
          <w:bCs/>
        </w:rPr>
        <w:t>The Commission continues to call on the UK Government to ratify the Istanbul Convention and advises the Department to continue to work with the UK Government on achieving this goal, including ensuring that the resulting Victims and Witness Strategy is compliant with the Istanbul Convention.</w:t>
      </w:r>
    </w:p>
    <w:p w14:paraId="1012B2F4" w14:textId="77777777" w:rsidR="00F771DB" w:rsidRPr="00F771DB" w:rsidRDefault="00F771DB" w:rsidP="00A2361E">
      <w:pPr>
        <w:pStyle w:val="ListParagraph"/>
        <w:spacing w:line="276" w:lineRule="auto"/>
        <w:jc w:val="both"/>
        <w:rPr>
          <w:rFonts w:cs="Arial"/>
        </w:rPr>
      </w:pPr>
    </w:p>
    <w:p w14:paraId="1FF22288" w14:textId="6F3D0BF8" w:rsidR="008A76AB" w:rsidRPr="005433DC" w:rsidRDefault="008A76AB" w:rsidP="00856037">
      <w:pPr>
        <w:spacing w:after="160" w:line="259" w:lineRule="auto"/>
        <w:rPr>
          <w:u w:val="single"/>
        </w:rPr>
      </w:pPr>
      <w:r w:rsidRPr="005433DC">
        <w:rPr>
          <w:b/>
          <w:bCs/>
          <w:u w:val="single"/>
        </w:rPr>
        <w:t>Ch</w:t>
      </w:r>
      <w:r w:rsidR="0075757E" w:rsidRPr="005433DC">
        <w:rPr>
          <w:b/>
          <w:bCs/>
          <w:u w:val="single"/>
        </w:rPr>
        <w:t xml:space="preserve">ildren </w:t>
      </w:r>
      <w:r w:rsidR="0048118B" w:rsidRPr="005433DC">
        <w:rPr>
          <w:b/>
          <w:bCs/>
          <w:u w:val="single"/>
        </w:rPr>
        <w:t>and Young People</w:t>
      </w:r>
    </w:p>
    <w:p w14:paraId="27236F55" w14:textId="77777777" w:rsidR="00B43A67" w:rsidRPr="00EC007F" w:rsidRDefault="00B43A67" w:rsidP="00A2361E">
      <w:pPr>
        <w:pStyle w:val="ListParagraph"/>
        <w:spacing w:line="276" w:lineRule="auto"/>
      </w:pPr>
    </w:p>
    <w:p w14:paraId="1572E500" w14:textId="5FBB8FB7" w:rsidR="005A27B7" w:rsidRPr="00134CCF" w:rsidRDefault="00094025" w:rsidP="00FD13F1">
      <w:pPr>
        <w:pStyle w:val="ListParagraph"/>
        <w:numPr>
          <w:ilvl w:val="1"/>
          <w:numId w:val="34"/>
        </w:numPr>
        <w:spacing w:after="39" w:line="276" w:lineRule="auto"/>
        <w:jc w:val="both"/>
        <w:rPr>
          <w:rFonts w:eastAsia="Times New Roman" w:cs="Verdana"/>
          <w:color w:val="000000"/>
          <w:szCs w:val="22"/>
          <w:lang w:eastAsia="en-GB"/>
        </w:rPr>
      </w:pPr>
      <w:r w:rsidRPr="00134CCF">
        <w:rPr>
          <w:rFonts w:eastAsia="Times New Roman" w:cs="Verdana"/>
          <w:color w:val="000000"/>
          <w:szCs w:val="22"/>
          <w:lang w:eastAsia="en-GB"/>
        </w:rPr>
        <w:t xml:space="preserve">The obligation to protect children from all forms of violence, exploitation and abuse is outlined under the </w:t>
      </w:r>
      <w:r w:rsidR="009F1D9F">
        <w:rPr>
          <w:rFonts w:eastAsia="Times New Roman" w:cs="Verdana"/>
          <w:color w:val="000000"/>
          <w:szCs w:val="22"/>
          <w:lang w:eastAsia="en-GB"/>
        </w:rPr>
        <w:t>UN Convention on the Rights of the Child (</w:t>
      </w:r>
      <w:r w:rsidRPr="00134CCF">
        <w:rPr>
          <w:rFonts w:eastAsia="Times New Roman" w:cs="Verdana"/>
          <w:color w:val="000000"/>
          <w:szCs w:val="22"/>
          <w:lang w:eastAsia="en-GB"/>
        </w:rPr>
        <w:t>UNCRC</w:t>
      </w:r>
      <w:r w:rsidR="009F1D9F">
        <w:rPr>
          <w:rFonts w:eastAsia="Times New Roman" w:cs="Verdana"/>
          <w:color w:val="000000"/>
          <w:szCs w:val="22"/>
          <w:lang w:eastAsia="en-GB"/>
        </w:rPr>
        <w:t>)</w:t>
      </w:r>
      <w:r w:rsidRPr="00134CCF">
        <w:rPr>
          <w:rFonts w:eastAsia="Times New Roman" w:cs="Verdana"/>
          <w:color w:val="000000"/>
          <w:szCs w:val="22"/>
          <w:lang w:eastAsia="en-GB"/>
        </w:rPr>
        <w:t>.</w:t>
      </w:r>
      <w:r w:rsidRPr="00094025">
        <w:rPr>
          <w:rFonts w:eastAsia="Times New Roman"/>
          <w:vertAlign w:val="superscript"/>
          <w:lang w:eastAsia="en-GB"/>
        </w:rPr>
        <w:footnoteReference w:id="56"/>
      </w:r>
      <w:r w:rsidRPr="00134CCF">
        <w:rPr>
          <w:rFonts w:eastAsia="Times New Roman" w:cs="Verdana"/>
          <w:color w:val="000000"/>
          <w:szCs w:val="22"/>
          <w:lang w:eastAsia="en-GB"/>
        </w:rPr>
        <w:t xml:space="preserve"> The Committee on the Rights of the Child (CRC) has outlined the need for “children’s rights to be heard and to have their views given due weight must be respected systematically in all decision-making processes, and their empowerment and participation should be central to child caregiving and protection strategies and programmes.”</w:t>
      </w:r>
      <w:r w:rsidRPr="00094025">
        <w:rPr>
          <w:rFonts w:eastAsia="Times New Roman"/>
          <w:vertAlign w:val="superscript"/>
          <w:lang w:eastAsia="en-GB"/>
        </w:rPr>
        <w:footnoteReference w:id="57"/>
      </w:r>
      <w:r w:rsidRPr="00134CCF">
        <w:rPr>
          <w:rFonts w:eastAsia="Times New Roman" w:cs="Verdana"/>
          <w:color w:val="000000"/>
          <w:szCs w:val="22"/>
          <w:lang w:eastAsia="en-GB"/>
        </w:rPr>
        <w:t xml:space="preserve"> Further, the CRC has noted that the “right of children to have their best interests be a primary consideration in all matters involving or affecting them must be respected, especially when they are victims of violence, as well as in all measures of prevention.”</w:t>
      </w:r>
      <w:r w:rsidRPr="00094025">
        <w:rPr>
          <w:rFonts w:eastAsia="Times New Roman"/>
          <w:vertAlign w:val="superscript"/>
          <w:lang w:eastAsia="en-GB"/>
        </w:rPr>
        <w:footnoteReference w:id="58"/>
      </w:r>
      <w:r w:rsidRPr="00134CCF">
        <w:rPr>
          <w:rFonts w:eastAsia="Times New Roman" w:cs="Verdana"/>
          <w:color w:val="000000"/>
          <w:szCs w:val="22"/>
          <w:lang w:eastAsia="en-GB"/>
        </w:rPr>
        <w:t xml:space="preserve"> </w:t>
      </w:r>
    </w:p>
    <w:p w14:paraId="73C7F1A9" w14:textId="77777777" w:rsidR="005A27B7" w:rsidRDefault="005A27B7" w:rsidP="00A2361E">
      <w:pPr>
        <w:pStyle w:val="ListParagraph"/>
        <w:spacing w:after="39" w:line="276" w:lineRule="auto"/>
        <w:ind w:left="1080"/>
        <w:jc w:val="both"/>
        <w:rPr>
          <w:rFonts w:eastAsia="Times New Roman" w:cs="Verdana"/>
          <w:color w:val="000000"/>
          <w:szCs w:val="22"/>
          <w:lang w:eastAsia="en-GB"/>
        </w:rPr>
      </w:pPr>
    </w:p>
    <w:p w14:paraId="588ED73B" w14:textId="433DF01B" w:rsidR="005A27B7" w:rsidRDefault="00AC1416" w:rsidP="00FD13F1">
      <w:pPr>
        <w:pStyle w:val="ListParagraph"/>
        <w:numPr>
          <w:ilvl w:val="1"/>
          <w:numId w:val="34"/>
        </w:numPr>
        <w:spacing w:after="39" w:line="276" w:lineRule="auto"/>
        <w:jc w:val="both"/>
        <w:rPr>
          <w:rFonts w:eastAsia="Times New Roman" w:cs="Verdana"/>
          <w:color w:val="000000"/>
          <w:szCs w:val="22"/>
          <w:lang w:eastAsia="en-GB"/>
        </w:rPr>
      </w:pPr>
      <w:r w:rsidRPr="005A27B7">
        <w:rPr>
          <w:rFonts w:eastAsia="Times New Roman" w:cs="Verdana"/>
          <w:color w:val="000000"/>
          <w:szCs w:val="22"/>
          <w:lang w:eastAsia="en-GB"/>
        </w:rPr>
        <w:t xml:space="preserve">The Istanbul Convention requires that the State take “all necessary legislative or other measures to ensure that in the provision of protection and support services to victims, due account is taken of </w:t>
      </w:r>
      <w:r w:rsidRPr="005A27B7">
        <w:rPr>
          <w:rFonts w:eastAsia="Times New Roman" w:cs="Verdana"/>
          <w:color w:val="000000"/>
          <w:szCs w:val="22"/>
          <w:lang w:eastAsia="en-GB"/>
        </w:rPr>
        <w:lastRenderedPageBreak/>
        <w:t>the rights and needs of child witnesses”.</w:t>
      </w:r>
      <w:r w:rsidRPr="00AC1416">
        <w:rPr>
          <w:rFonts w:eastAsia="Times New Roman"/>
          <w:vertAlign w:val="superscript"/>
          <w:lang w:eastAsia="en-GB"/>
        </w:rPr>
        <w:footnoteReference w:id="59"/>
      </w:r>
      <w:r w:rsidRPr="005A27B7">
        <w:rPr>
          <w:rFonts w:eastAsia="Times New Roman" w:cs="Verdana"/>
          <w:color w:val="000000"/>
          <w:szCs w:val="22"/>
          <w:lang w:eastAsia="en-GB"/>
        </w:rPr>
        <w:t xml:space="preserve"> Furthermore, that a child victim or witness of violence against women and domestic violence “be afforded, where appropriate, special protection measures </w:t>
      </w:r>
      <w:proofErr w:type="gramStart"/>
      <w:r w:rsidRPr="005A27B7">
        <w:rPr>
          <w:rFonts w:eastAsia="Times New Roman" w:cs="Verdana"/>
          <w:color w:val="000000"/>
          <w:szCs w:val="22"/>
          <w:lang w:eastAsia="en-GB"/>
        </w:rPr>
        <w:t>taking into account</w:t>
      </w:r>
      <w:proofErr w:type="gramEnd"/>
      <w:r w:rsidRPr="005A27B7">
        <w:rPr>
          <w:rFonts w:eastAsia="Times New Roman" w:cs="Verdana"/>
          <w:color w:val="000000"/>
          <w:szCs w:val="22"/>
          <w:lang w:eastAsia="en-GB"/>
        </w:rPr>
        <w:t xml:space="preserve"> the best interests of the child.”</w:t>
      </w:r>
      <w:r w:rsidRPr="00AC1416">
        <w:rPr>
          <w:rFonts w:eastAsia="Times New Roman"/>
          <w:vertAlign w:val="superscript"/>
          <w:lang w:eastAsia="en-GB"/>
        </w:rPr>
        <w:footnoteReference w:id="60"/>
      </w:r>
      <w:r w:rsidR="005A27B7" w:rsidRPr="005A27B7">
        <w:rPr>
          <w:rFonts w:eastAsia="Times New Roman" w:cs="Verdana"/>
          <w:color w:val="000000"/>
          <w:szCs w:val="22"/>
          <w:lang w:eastAsia="en-GB"/>
        </w:rPr>
        <w:t xml:space="preserve"> </w:t>
      </w:r>
    </w:p>
    <w:p w14:paraId="7AE3CF91" w14:textId="77777777" w:rsidR="005A27B7" w:rsidRPr="005A27B7" w:rsidRDefault="005A27B7" w:rsidP="00A2361E">
      <w:pPr>
        <w:pStyle w:val="ListParagraph"/>
        <w:spacing w:line="276" w:lineRule="auto"/>
        <w:rPr>
          <w:rFonts w:eastAsia="Times New Roman" w:cs="Verdana"/>
          <w:color w:val="000000"/>
          <w:szCs w:val="22"/>
          <w:lang w:eastAsia="en-GB"/>
        </w:rPr>
      </w:pPr>
    </w:p>
    <w:p w14:paraId="109EE56A" w14:textId="77777777" w:rsidR="00015573" w:rsidRPr="005B0542" w:rsidRDefault="00015573" w:rsidP="00FD13F1">
      <w:pPr>
        <w:pStyle w:val="ListParagraph"/>
        <w:numPr>
          <w:ilvl w:val="1"/>
          <w:numId w:val="34"/>
        </w:numPr>
        <w:spacing w:after="39" w:line="276" w:lineRule="auto"/>
        <w:jc w:val="both"/>
        <w:rPr>
          <w:rFonts w:eastAsia="Times New Roman" w:cs="Verdana"/>
          <w:color w:val="000000"/>
          <w:szCs w:val="22"/>
          <w:lang w:eastAsia="en-GB"/>
        </w:rPr>
      </w:pPr>
      <w:r w:rsidRPr="005B0542">
        <w:rPr>
          <w:rFonts w:eastAsia="Times New Roman" w:cs="Verdana"/>
          <w:color w:val="000000"/>
          <w:szCs w:val="22"/>
          <w:lang w:eastAsia="en-GB"/>
        </w:rPr>
        <w:t>The Lanzarote Convention requires that the State</w:t>
      </w:r>
      <w:r w:rsidR="00540EF6">
        <w:rPr>
          <w:rFonts w:eastAsia="Times New Roman" w:cs="Verdana"/>
          <w:color w:val="000000"/>
          <w:szCs w:val="22"/>
          <w:lang w:eastAsia="en-GB"/>
        </w:rPr>
        <w:t xml:space="preserve"> “</w:t>
      </w:r>
      <w:r w:rsidR="00540EF6">
        <w:t>shall take the necessary legislative or other measures to assist victims, in the short and long term, in their physical and psycho-social recovery”</w:t>
      </w:r>
      <w:r w:rsidR="00540EF6">
        <w:rPr>
          <w:rStyle w:val="FootnoteReference"/>
        </w:rPr>
        <w:footnoteReference w:id="61"/>
      </w:r>
      <w:r w:rsidR="00540EF6">
        <w:t>.</w:t>
      </w:r>
      <w:r w:rsidRPr="005B0542">
        <w:rPr>
          <w:rFonts w:eastAsia="Times New Roman" w:cs="Verdana"/>
          <w:color w:val="000000"/>
          <w:szCs w:val="22"/>
          <w:lang w:eastAsia="en-GB"/>
        </w:rPr>
        <w:t xml:space="preserve"> </w:t>
      </w:r>
      <w:r w:rsidR="007F205B">
        <w:rPr>
          <w:rFonts w:eastAsia="Times New Roman" w:cs="Verdana"/>
          <w:color w:val="000000"/>
          <w:szCs w:val="22"/>
          <w:lang w:eastAsia="en-GB"/>
        </w:rPr>
        <w:t xml:space="preserve">It also outlines a range of measures to ensure </w:t>
      </w:r>
      <w:r w:rsidR="00935412">
        <w:rPr>
          <w:rFonts w:eastAsia="Times New Roman" w:cs="Verdana"/>
          <w:color w:val="000000"/>
          <w:szCs w:val="22"/>
          <w:lang w:eastAsia="en-GB"/>
        </w:rPr>
        <w:t>safe and timely interviews with a child</w:t>
      </w:r>
      <w:r w:rsidR="007606AC">
        <w:rPr>
          <w:rStyle w:val="FootnoteReference"/>
          <w:rFonts w:eastAsia="Times New Roman" w:cs="Verdana"/>
          <w:color w:val="000000"/>
          <w:szCs w:val="22"/>
          <w:lang w:eastAsia="en-GB"/>
        </w:rPr>
        <w:footnoteReference w:id="62"/>
      </w:r>
      <w:r w:rsidR="00942923">
        <w:rPr>
          <w:rFonts w:eastAsia="Times New Roman" w:cs="Verdana"/>
          <w:color w:val="000000"/>
          <w:szCs w:val="22"/>
          <w:lang w:eastAsia="en-GB"/>
        </w:rPr>
        <w:t xml:space="preserve">, </w:t>
      </w:r>
      <w:r w:rsidR="001D064D">
        <w:rPr>
          <w:rFonts w:eastAsia="Times New Roman" w:cs="Verdana"/>
          <w:color w:val="000000"/>
          <w:szCs w:val="22"/>
          <w:lang w:eastAsia="en-GB"/>
        </w:rPr>
        <w:t>with the use of video</w:t>
      </w:r>
      <w:r w:rsidR="007606AC">
        <w:rPr>
          <w:rFonts w:eastAsia="Times New Roman" w:cs="Verdana"/>
          <w:color w:val="000000"/>
          <w:szCs w:val="22"/>
          <w:lang w:eastAsia="en-GB"/>
        </w:rPr>
        <w:t xml:space="preserve"> accepted by Courts</w:t>
      </w:r>
      <w:r w:rsidR="007606AC">
        <w:rPr>
          <w:rStyle w:val="FootnoteReference"/>
          <w:rFonts w:eastAsia="Times New Roman" w:cs="Verdana"/>
          <w:color w:val="000000"/>
          <w:szCs w:val="22"/>
          <w:lang w:eastAsia="en-GB"/>
        </w:rPr>
        <w:footnoteReference w:id="63"/>
      </w:r>
      <w:r w:rsidR="00942923">
        <w:rPr>
          <w:rFonts w:eastAsia="Times New Roman" w:cs="Verdana"/>
          <w:color w:val="000000"/>
          <w:szCs w:val="22"/>
          <w:lang w:eastAsia="en-GB"/>
        </w:rPr>
        <w:t xml:space="preserve">, and </w:t>
      </w:r>
      <w:r w:rsidR="007606AC">
        <w:rPr>
          <w:rFonts w:eastAsia="Times New Roman" w:cs="Verdana"/>
          <w:color w:val="000000"/>
          <w:szCs w:val="22"/>
          <w:lang w:eastAsia="en-GB"/>
        </w:rPr>
        <w:t xml:space="preserve">in relation to criminal proceedings </w:t>
      </w:r>
      <w:r w:rsidR="00942923">
        <w:rPr>
          <w:rFonts w:eastAsia="Times New Roman" w:cs="Verdana"/>
          <w:color w:val="000000"/>
          <w:szCs w:val="22"/>
          <w:lang w:eastAsia="en-GB"/>
        </w:rPr>
        <w:t xml:space="preserve">that the State </w:t>
      </w:r>
      <w:r w:rsidRPr="005B0542">
        <w:rPr>
          <w:rFonts w:eastAsia="Times New Roman" w:cs="Verdana"/>
          <w:color w:val="000000"/>
          <w:szCs w:val="22"/>
          <w:lang w:eastAsia="en-GB"/>
        </w:rPr>
        <w:t>“ensure that training on children’s rights and sexual exploitation and sexual abuse of children is available for the benefit of all persons involved in the proceedings, in particular judges, prosecutors and lawyers.”</w:t>
      </w:r>
      <w:r w:rsidRPr="00015573">
        <w:rPr>
          <w:rFonts w:eastAsia="Times New Roman"/>
          <w:vertAlign w:val="superscript"/>
          <w:lang w:eastAsia="en-GB"/>
        </w:rPr>
        <w:footnoteReference w:id="64"/>
      </w:r>
      <w:r w:rsidRPr="005B0542">
        <w:rPr>
          <w:rFonts w:eastAsia="Times New Roman" w:cs="Verdana"/>
          <w:color w:val="000000"/>
          <w:szCs w:val="22"/>
          <w:lang w:eastAsia="en-GB"/>
        </w:rPr>
        <w:t xml:space="preserve"> </w:t>
      </w:r>
    </w:p>
    <w:p w14:paraId="3AD3D12D" w14:textId="77777777" w:rsidR="001B6AFC" w:rsidRDefault="001B6AFC" w:rsidP="00A2361E">
      <w:pPr>
        <w:spacing w:after="39" w:line="276" w:lineRule="auto"/>
        <w:ind w:left="720"/>
        <w:jc w:val="both"/>
        <w:rPr>
          <w:rFonts w:eastAsia="Times New Roman" w:cs="Verdana"/>
          <w:color w:val="000000"/>
          <w:szCs w:val="22"/>
          <w:lang w:eastAsia="en-GB"/>
        </w:rPr>
      </w:pPr>
    </w:p>
    <w:p w14:paraId="6B0C71A1" w14:textId="769A9684" w:rsidR="008C7875" w:rsidRDefault="005B0542" w:rsidP="00FD13F1">
      <w:pPr>
        <w:pStyle w:val="ListParagraph"/>
        <w:numPr>
          <w:ilvl w:val="1"/>
          <w:numId w:val="34"/>
        </w:numPr>
        <w:spacing w:after="39" w:line="276" w:lineRule="auto"/>
        <w:jc w:val="both"/>
        <w:rPr>
          <w:rFonts w:eastAsia="Times New Roman" w:cs="Verdana"/>
          <w:color w:val="000000"/>
          <w:szCs w:val="22"/>
          <w:lang w:eastAsia="en-GB"/>
        </w:rPr>
      </w:pPr>
      <w:r w:rsidRPr="00A27C08">
        <w:rPr>
          <w:rFonts w:eastAsia="Times New Roman" w:cs="Verdana"/>
          <w:color w:val="000000"/>
          <w:szCs w:val="22"/>
          <w:lang w:eastAsia="en-GB"/>
        </w:rPr>
        <w:t>The Optional Protocol to the UNCRC</w:t>
      </w:r>
      <w:r w:rsidRPr="005B0542">
        <w:rPr>
          <w:rFonts w:eastAsia="Times New Roman"/>
          <w:vertAlign w:val="superscript"/>
          <w:lang w:eastAsia="en-GB"/>
        </w:rPr>
        <w:footnoteReference w:id="65"/>
      </w:r>
      <w:r w:rsidRPr="00A27C08">
        <w:rPr>
          <w:rFonts w:eastAsia="Times New Roman" w:cs="Verdana"/>
          <w:color w:val="000000"/>
          <w:szCs w:val="22"/>
          <w:lang w:eastAsia="en-GB"/>
        </w:rPr>
        <w:t xml:space="preserve"> and the </w:t>
      </w:r>
      <w:r w:rsidR="009A6C3A">
        <w:rPr>
          <w:rFonts w:eastAsia="Times New Roman" w:cs="Verdana"/>
          <w:color w:val="000000"/>
          <w:szCs w:val="22"/>
          <w:lang w:eastAsia="en-GB"/>
        </w:rPr>
        <w:t xml:space="preserve">UN </w:t>
      </w:r>
      <w:r w:rsidRPr="00A27C08">
        <w:rPr>
          <w:rFonts w:eastAsia="Times New Roman" w:cs="Verdana"/>
          <w:color w:val="000000"/>
          <w:szCs w:val="22"/>
          <w:lang w:eastAsia="en-GB"/>
        </w:rPr>
        <w:t xml:space="preserve">Guidelines on Justice in Matters involving Child Victims and Witnesses of Crime highlight the particular vulnerability of children at all stages of the criminal </w:t>
      </w:r>
      <w:r w:rsidR="00C54301">
        <w:rPr>
          <w:rFonts w:eastAsia="Times New Roman" w:cs="Verdana"/>
          <w:color w:val="000000"/>
          <w:szCs w:val="22"/>
          <w:lang w:eastAsia="en-GB"/>
        </w:rPr>
        <w:t>j</w:t>
      </w:r>
      <w:r w:rsidRPr="00A27C08">
        <w:rPr>
          <w:rFonts w:eastAsia="Times New Roman" w:cs="Verdana"/>
          <w:color w:val="000000"/>
          <w:szCs w:val="22"/>
          <w:lang w:eastAsia="en-GB"/>
        </w:rPr>
        <w:t>ustice process.</w:t>
      </w:r>
      <w:r w:rsidRPr="005B0542">
        <w:rPr>
          <w:rFonts w:eastAsia="Times New Roman"/>
          <w:vertAlign w:val="superscript"/>
          <w:lang w:eastAsia="en-GB"/>
        </w:rPr>
        <w:footnoteReference w:id="66"/>
      </w:r>
      <w:r w:rsidRPr="00A27C08">
        <w:rPr>
          <w:rFonts w:eastAsia="Times New Roman" w:cs="Verdana"/>
          <w:color w:val="000000"/>
          <w:szCs w:val="22"/>
          <w:lang w:eastAsia="en-GB"/>
        </w:rPr>
        <w:t xml:space="preserve">  </w:t>
      </w:r>
      <w:r w:rsidR="006A3FF6">
        <w:rPr>
          <w:rFonts w:eastAsia="Times New Roman" w:cs="Verdana"/>
          <w:color w:val="000000"/>
          <w:szCs w:val="22"/>
          <w:lang w:eastAsia="en-GB"/>
        </w:rPr>
        <w:t>Section three of the latter outline</w:t>
      </w:r>
      <w:r w:rsidR="00253834">
        <w:rPr>
          <w:rFonts w:eastAsia="Times New Roman" w:cs="Verdana"/>
          <w:color w:val="000000"/>
          <w:szCs w:val="22"/>
          <w:lang w:eastAsia="en-GB"/>
        </w:rPr>
        <w:t xml:space="preserve">s a number of cross-cutting principles </w:t>
      </w:r>
      <w:r w:rsidR="00472514">
        <w:rPr>
          <w:rFonts w:eastAsia="Times New Roman" w:cs="Verdana"/>
          <w:color w:val="000000"/>
          <w:szCs w:val="22"/>
          <w:lang w:eastAsia="en-GB"/>
        </w:rPr>
        <w:t xml:space="preserve">for those responsible for children’s wellbeing and ensuring justice for child victims and witnesses, including: dignity; </w:t>
      </w:r>
      <w:r w:rsidR="000E3BE0">
        <w:rPr>
          <w:rFonts w:eastAsia="Times New Roman" w:cs="Verdana"/>
          <w:color w:val="000000"/>
          <w:szCs w:val="22"/>
          <w:lang w:eastAsia="en-GB"/>
        </w:rPr>
        <w:t>non-discrimination; best interests of the child; protection; harmonious development</w:t>
      </w:r>
      <w:r w:rsidR="00875669">
        <w:rPr>
          <w:rFonts w:eastAsia="Times New Roman" w:cs="Verdana"/>
          <w:color w:val="000000"/>
          <w:szCs w:val="22"/>
          <w:lang w:eastAsia="en-GB"/>
        </w:rPr>
        <w:t xml:space="preserve">; and the right to participation. </w:t>
      </w:r>
      <w:r w:rsidR="0017251C">
        <w:rPr>
          <w:rFonts w:eastAsia="Times New Roman" w:cs="Verdana"/>
          <w:color w:val="000000"/>
          <w:szCs w:val="22"/>
          <w:lang w:eastAsia="en-GB"/>
        </w:rPr>
        <w:t>Paragraphs 10-39</w:t>
      </w:r>
      <w:r w:rsidR="00567F06">
        <w:rPr>
          <w:rFonts w:eastAsia="Times New Roman" w:cs="Verdana"/>
          <w:color w:val="000000"/>
          <w:szCs w:val="22"/>
          <w:lang w:eastAsia="en-GB"/>
        </w:rPr>
        <w:t xml:space="preserve"> outline rights for children in this context, including the right to</w:t>
      </w:r>
      <w:r w:rsidR="00F83115">
        <w:rPr>
          <w:rFonts w:eastAsia="Times New Roman" w:cs="Verdana"/>
          <w:color w:val="000000"/>
          <w:szCs w:val="22"/>
          <w:lang w:eastAsia="en-GB"/>
        </w:rPr>
        <w:t>:</w:t>
      </w:r>
      <w:r w:rsidR="00567F06">
        <w:rPr>
          <w:rFonts w:eastAsia="Times New Roman" w:cs="Verdana"/>
          <w:color w:val="000000"/>
          <w:szCs w:val="22"/>
          <w:lang w:eastAsia="en-GB"/>
        </w:rPr>
        <w:t xml:space="preserve"> be treated with dignity and compassion; </w:t>
      </w:r>
      <w:r w:rsidR="00F83115">
        <w:rPr>
          <w:rFonts w:eastAsia="Times New Roman" w:cs="Verdana"/>
          <w:color w:val="000000"/>
          <w:szCs w:val="22"/>
          <w:lang w:eastAsia="en-GB"/>
        </w:rPr>
        <w:t xml:space="preserve">be protected from discrimination; be informed; </w:t>
      </w:r>
      <w:r w:rsidR="005C2A04">
        <w:rPr>
          <w:rFonts w:eastAsia="Times New Roman" w:cs="Verdana"/>
          <w:color w:val="000000"/>
          <w:szCs w:val="22"/>
          <w:lang w:eastAsia="en-GB"/>
        </w:rPr>
        <w:t xml:space="preserve">be heard and to express views and concerns; effective assistance; </w:t>
      </w:r>
      <w:r w:rsidR="00087EAF">
        <w:rPr>
          <w:rFonts w:eastAsia="Times New Roman" w:cs="Verdana"/>
          <w:color w:val="000000"/>
          <w:szCs w:val="22"/>
          <w:lang w:eastAsia="en-GB"/>
        </w:rPr>
        <w:t xml:space="preserve">privacy; be protected from hardship during the justice process; safety; </w:t>
      </w:r>
      <w:r w:rsidR="00D82CB3">
        <w:rPr>
          <w:rFonts w:eastAsia="Times New Roman" w:cs="Verdana"/>
          <w:color w:val="000000"/>
          <w:szCs w:val="22"/>
          <w:lang w:eastAsia="en-GB"/>
        </w:rPr>
        <w:t xml:space="preserve">reparation; and special preventive measures. </w:t>
      </w:r>
    </w:p>
    <w:p w14:paraId="577015DD" w14:textId="77777777" w:rsidR="00C54301" w:rsidRPr="00C54301" w:rsidRDefault="00C54301" w:rsidP="00A2361E">
      <w:pPr>
        <w:pStyle w:val="ListParagraph"/>
        <w:spacing w:line="276" w:lineRule="auto"/>
        <w:rPr>
          <w:rFonts w:eastAsia="Times New Roman" w:cs="Verdana"/>
          <w:color w:val="000000"/>
          <w:szCs w:val="22"/>
          <w:lang w:eastAsia="en-GB"/>
        </w:rPr>
      </w:pPr>
    </w:p>
    <w:p w14:paraId="02039A2D" w14:textId="77777777" w:rsidR="00A27C08" w:rsidRDefault="008C7875" w:rsidP="00FD13F1">
      <w:pPr>
        <w:pStyle w:val="ListParagraph"/>
        <w:numPr>
          <w:ilvl w:val="1"/>
          <w:numId w:val="34"/>
        </w:numPr>
        <w:spacing w:after="39" w:line="276" w:lineRule="auto"/>
        <w:jc w:val="both"/>
        <w:rPr>
          <w:rFonts w:eastAsia="Times New Roman" w:cs="Verdana"/>
          <w:color w:val="000000"/>
          <w:szCs w:val="22"/>
          <w:lang w:eastAsia="en-GB"/>
        </w:rPr>
      </w:pPr>
      <w:r>
        <w:t xml:space="preserve">The </w:t>
      </w:r>
      <w:r w:rsidR="00AB4A2B">
        <w:t>CRC</w:t>
      </w:r>
      <w:r>
        <w:t xml:space="preserve"> has stressed that, “a child cannot be heard effectively where the environment is intimidating, hostile, insensitive or inappropriate for her or his age. Proceedings must be both accessible and </w:t>
      </w:r>
      <w:proofErr w:type="gramStart"/>
      <w:r>
        <w:t>child-</w:t>
      </w:r>
      <w:r>
        <w:lastRenderedPageBreak/>
        <w:t>appropriate</w:t>
      </w:r>
      <w:proofErr w:type="gramEnd"/>
      <w:r>
        <w:t xml:space="preserve">. Particular attention needs to be paid to the provision </w:t>
      </w:r>
      <w:r w:rsidR="00A27C08" w:rsidRPr="00C54301">
        <w:rPr>
          <w:rFonts w:eastAsia="Times New Roman" w:cs="Verdana"/>
          <w:color w:val="000000"/>
          <w:szCs w:val="22"/>
          <w:lang w:eastAsia="en-GB"/>
        </w:rPr>
        <w:t>and delivery of child-friendly information, adequate support for self-advocacy, appropriately trained staff, design of court rooms, clothing of judges and lawyers, sight screens, and separate waiting rooms.”</w:t>
      </w:r>
      <w:r w:rsidR="00A27C08" w:rsidRPr="00A27C08">
        <w:rPr>
          <w:rFonts w:eastAsia="Times New Roman" w:cs="Verdana"/>
          <w:color w:val="000000"/>
          <w:szCs w:val="22"/>
          <w:vertAlign w:val="superscript"/>
          <w:lang w:eastAsia="en-GB"/>
        </w:rPr>
        <w:footnoteReference w:id="67"/>
      </w:r>
      <w:r w:rsidR="00A27C08" w:rsidRPr="00C54301">
        <w:rPr>
          <w:rFonts w:eastAsia="Times New Roman" w:cs="Verdana"/>
          <w:color w:val="000000"/>
          <w:szCs w:val="22"/>
          <w:lang w:eastAsia="en-GB"/>
        </w:rPr>
        <w:t xml:space="preserve"> </w:t>
      </w:r>
    </w:p>
    <w:p w14:paraId="5F3E707C" w14:textId="77777777" w:rsidR="006D5E38" w:rsidRPr="006D5E38" w:rsidRDefault="006D5E38" w:rsidP="00A2361E">
      <w:pPr>
        <w:pStyle w:val="ListParagraph"/>
        <w:spacing w:line="276" w:lineRule="auto"/>
        <w:rPr>
          <w:rFonts w:eastAsia="Times New Roman" w:cs="Verdana"/>
          <w:color w:val="000000"/>
          <w:szCs w:val="22"/>
          <w:lang w:eastAsia="en-GB"/>
        </w:rPr>
      </w:pPr>
    </w:p>
    <w:p w14:paraId="796E3178" w14:textId="43E833CF" w:rsidR="006D5E38" w:rsidRPr="002E4A0A" w:rsidRDefault="006D5E38" w:rsidP="00FD13F1">
      <w:pPr>
        <w:pStyle w:val="ListParagraph"/>
        <w:numPr>
          <w:ilvl w:val="1"/>
          <w:numId w:val="34"/>
        </w:numPr>
        <w:spacing w:after="39" w:line="276" w:lineRule="auto"/>
        <w:jc w:val="both"/>
        <w:rPr>
          <w:rFonts w:eastAsia="Times New Roman" w:cs="Verdana"/>
          <w:color w:val="000000"/>
          <w:szCs w:val="22"/>
          <w:lang w:eastAsia="en-GB"/>
        </w:rPr>
      </w:pPr>
      <w:r>
        <w:rPr>
          <w:rFonts w:eastAsia="Times New Roman" w:cs="Verdana"/>
          <w:color w:val="000000"/>
          <w:szCs w:val="22"/>
          <w:lang w:eastAsia="en-GB"/>
        </w:rPr>
        <w:t xml:space="preserve">Both the </w:t>
      </w:r>
      <w:r w:rsidR="00046555">
        <w:rPr>
          <w:rFonts w:eastAsia="Times New Roman" w:cs="Verdana"/>
          <w:color w:val="000000"/>
          <w:szCs w:val="22"/>
          <w:lang w:eastAsia="en-GB"/>
        </w:rPr>
        <w:t xml:space="preserve">2019 </w:t>
      </w:r>
      <w:r>
        <w:rPr>
          <w:rFonts w:eastAsia="Times New Roman" w:cs="Verdana"/>
          <w:color w:val="000000"/>
          <w:szCs w:val="22"/>
          <w:lang w:eastAsia="en-GB"/>
        </w:rPr>
        <w:t>Gillen Review</w:t>
      </w:r>
      <w:r w:rsidR="005A20E7">
        <w:rPr>
          <w:rStyle w:val="FootnoteReference"/>
          <w:rFonts w:eastAsia="Times New Roman" w:cs="Verdana"/>
          <w:color w:val="000000"/>
          <w:szCs w:val="22"/>
          <w:lang w:eastAsia="en-GB"/>
        </w:rPr>
        <w:footnoteReference w:id="68"/>
      </w:r>
      <w:r>
        <w:rPr>
          <w:rFonts w:eastAsia="Times New Roman" w:cs="Verdana"/>
          <w:color w:val="000000"/>
          <w:szCs w:val="22"/>
          <w:lang w:eastAsia="en-GB"/>
        </w:rPr>
        <w:t xml:space="preserve"> </w:t>
      </w:r>
      <w:r w:rsidR="007B46F3">
        <w:rPr>
          <w:rFonts w:eastAsia="Times New Roman" w:cs="Verdana"/>
          <w:color w:val="000000"/>
          <w:szCs w:val="22"/>
          <w:lang w:eastAsia="en-GB"/>
        </w:rPr>
        <w:t>and the</w:t>
      </w:r>
      <w:r w:rsidR="00034D35">
        <w:rPr>
          <w:rFonts w:eastAsia="Times New Roman" w:cs="Verdana"/>
          <w:color w:val="000000"/>
          <w:szCs w:val="22"/>
          <w:lang w:eastAsia="en-GB"/>
        </w:rPr>
        <w:t xml:space="preserve"> </w:t>
      </w:r>
      <w:r w:rsidR="00046555">
        <w:rPr>
          <w:rFonts w:eastAsia="Times New Roman" w:cs="Verdana"/>
          <w:color w:val="000000"/>
          <w:szCs w:val="22"/>
          <w:lang w:eastAsia="en-GB"/>
        </w:rPr>
        <w:t xml:space="preserve">2020 </w:t>
      </w:r>
      <w:r w:rsidR="00034D35">
        <w:rPr>
          <w:rFonts w:eastAsia="Verdana" w:cs="Verdana"/>
          <w:color w:val="000000"/>
        </w:rPr>
        <w:t>Criminal Justice Inspection NI report on child sexual exploitation</w:t>
      </w:r>
      <w:r w:rsidR="00E3177B">
        <w:rPr>
          <w:rStyle w:val="FootnoteReference"/>
          <w:rFonts w:eastAsia="Verdana" w:cs="Verdana"/>
          <w:color w:val="000000"/>
        </w:rPr>
        <w:footnoteReference w:id="69"/>
      </w:r>
      <w:r w:rsidR="00E3177B">
        <w:rPr>
          <w:rFonts w:eastAsia="Verdana" w:cs="Verdana"/>
          <w:color w:val="000000"/>
        </w:rPr>
        <w:t xml:space="preserve"> highlight</w:t>
      </w:r>
      <w:r w:rsidR="00F83A3F">
        <w:rPr>
          <w:rFonts w:eastAsia="Verdana" w:cs="Verdana"/>
          <w:color w:val="000000"/>
        </w:rPr>
        <w:t>ed</w:t>
      </w:r>
      <w:r w:rsidR="00E3177B">
        <w:rPr>
          <w:rFonts w:eastAsia="Verdana" w:cs="Verdana"/>
          <w:color w:val="000000"/>
        </w:rPr>
        <w:t xml:space="preserve"> </w:t>
      </w:r>
      <w:proofErr w:type="gramStart"/>
      <w:r w:rsidR="00E3177B">
        <w:rPr>
          <w:rFonts w:eastAsia="Verdana" w:cs="Verdana"/>
          <w:color w:val="000000"/>
        </w:rPr>
        <w:t>a number</w:t>
      </w:r>
      <w:r w:rsidR="003B2D76">
        <w:rPr>
          <w:rFonts w:eastAsia="Verdana" w:cs="Verdana"/>
          <w:color w:val="000000"/>
        </w:rPr>
        <w:t xml:space="preserve"> </w:t>
      </w:r>
      <w:r w:rsidR="00E3177B">
        <w:rPr>
          <w:rFonts w:eastAsia="Verdana" w:cs="Verdana"/>
          <w:color w:val="000000"/>
        </w:rPr>
        <w:t>of</w:t>
      </w:r>
      <w:proofErr w:type="gramEnd"/>
      <w:r w:rsidR="00E3177B">
        <w:rPr>
          <w:rFonts w:eastAsia="Verdana" w:cs="Verdana"/>
          <w:color w:val="000000"/>
        </w:rPr>
        <w:t xml:space="preserve"> barriers for children providing evidence </w:t>
      </w:r>
      <w:r w:rsidR="00046555">
        <w:rPr>
          <w:rFonts w:eastAsia="Verdana" w:cs="Verdana"/>
          <w:color w:val="000000"/>
        </w:rPr>
        <w:t>in court</w:t>
      </w:r>
      <w:r w:rsidR="00D1699D">
        <w:rPr>
          <w:rFonts w:eastAsia="Verdana" w:cs="Verdana"/>
          <w:color w:val="000000"/>
        </w:rPr>
        <w:t xml:space="preserve">, </w:t>
      </w:r>
      <w:r w:rsidR="00046555">
        <w:rPr>
          <w:rFonts w:eastAsia="Verdana" w:cs="Verdana"/>
          <w:color w:val="000000"/>
        </w:rPr>
        <w:t>navigating the criminal justice system</w:t>
      </w:r>
      <w:r w:rsidR="002E4A0A">
        <w:rPr>
          <w:rFonts w:eastAsia="Verdana" w:cs="Verdana"/>
          <w:color w:val="000000"/>
        </w:rPr>
        <w:t xml:space="preserve"> and engaging with the processes. </w:t>
      </w:r>
    </w:p>
    <w:p w14:paraId="136CB312" w14:textId="77777777" w:rsidR="002E4A0A" w:rsidRPr="002E4A0A" w:rsidRDefault="002E4A0A" w:rsidP="00A2361E">
      <w:pPr>
        <w:pStyle w:val="ListParagraph"/>
        <w:spacing w:line="276" w:lineRule="auto"/>
        <w:rPr>
          <w:rFonts w:eastAsia="Times New Roman" w:cs="Verdana"/>
          <w:color w:val="000000"/>
          <w:szCs w:val="22"/>
          <w:lang w:eastAsia="en-GB"/>
        </w:rPr>
      </w:pPr>
    </w:p>
    <w:p w14:paraId="4C1E715C" w14:textId="74DE98E6" w:rsidR="0079133E" w:rsidRDefault="00603D7A" w:rsidP="00FD13F1">
      <w:pPr>
        <w:pStyle w:val="ListParagraph"/>
        <w:numPr>
          <w:ilvl w:val="1"/>
          <w:numId w:val="34"/>
        </w:numPr>
        <w:spacing w:after="39" w:line="276" w:lineRule="auto"/>
        <w:jc w:val="both"/>
        <w:rPr>
          <w:rFonts w:eastAsia="Times New Roman" w:cs="Verdana"/>
          <w:color w:val="000000"/>
          <w:szCs w:val="22"/>
          <w:lang w:eastAsia="en-GB"/>
        </w:rPr>
      </w:pPr>
      <w:r>
        <w:rPr>
          <w:rFonts w:eastAsia="Times New Roman" w:cs="Verdana"/>
          <w:color w:val="000000"/>
          <w:szCs w:val="22"/>
          <w:lang w:eastAsia="en-GB"/>
        </w:rPr>
        <w:t>The Commission welcomes the references to children throughout t</w:t>
      </w:r>
      <w:r w:rsidR="00041969">
        <w:rPr>
          <w:rFonts w:eastAsia="Times New Roman" w:cs="Verdana"/>
          <w:color w:val="000000"/>
          <w:szCs w:val="22"/>
          <w:lang w:eastAsia="en-GB"/>
        </w:rPr>
        <w:t>he draft Strategy</w:t>
      </w:r>
      <w:r>
        <w:rPr>
          <w:rFonts w:eastAsia="Times New Roman" w:cs="Verdana"/>
          <w:color w:val="000000"/>
          <w:szCs w:val="22"/>
          <w:lang w:eastAsia="en-GB"/>
        </w:rPr>
        <w:t>, and the commitment to continuing support for children through</w:t>
      </w:r>
      <w:r w:rsidR="006D627A">
        <w:rPr>
          <w:rFonts w:eastAsia="Times New Roman" w:cs="Verdana"/>
          <w:color w:val="000000"/>
          <w:szCs w:val="22"/>
          <w:lang w:eastAsia="en-GB"/>
        </w:rPr>
        <w:t xml:space="preserve"> the</w:t>
      </w:r>
      <w:r>
        <w:rPr>
          <w:rFonts w:eastAsia="Times New Roman" w:cs="Verdana"/>
          <w:color w:val="000000"/>
          <w:szCs w:val="22"/>
          <w:lang w:eastAsia="en-GB"/>
        </w:rPr>
        <w:t xml:space="preserve"> Registered Intermediaries</w:t>
      </w:r>
      <w:r w:rsidR="004C035A">
        <w:rPr>
          <w:rFonts w:eastAsia="Times New Roman" w:cs="Verdana"/>
          <w:color w:val="000000"/>
          <w:szCs w:val="22"/>
          <w:lang w:eastAsia="en-GB"/>
        </w:rPr>
        <w:t xml:space="preserve"> Scheme</w:t>
      </w:r>
      <w:r>
        <w:rPr>
          <w:rFonts w:eastAsia="Times New Roman" w:cs="Verdana"/>
          <w:color w:val="000000"/>
          <w:szCs w:val="22"/>
          <w:lang w:eastAsia="en-GB"/>
        </w:rPr>
        <w:t>, the NSPCC Young Witness Service</w:t>
      </w:r>
      <w:r w:rsidR="00A25CB4">
        <w:rPr>
          <w:rFonts w:eastAsia="Times New Roman" w:cs="Verdana"/>
          <w:color w:val="000000"/>
          <w:szCs w:val="22"/>
          <w:lang w:eastAsia="en-GB"/>
        </w:rPr>
        <w:t>,</w:t>
      </w:r>
      <w:r w:rsidR="006D627A">
        <w:rPr>
          <w:rFonts w:eastAsia="Times New Roman" w:cs="Verdana"/>
          <w:color w:val="000000"/>
          <w:szCs w:val="22"/>
          <w:lang w:eastAsia="en-GB"/>
        </w:rPr>
        <w:t xml:space="preserve"> </w:t>
      </w:r>
      <w:r w:rsidR="00A25CB4">
        <w:rPr>
          <w:rFonts w:eastAsia="Times New Roman" w:cs="Verdana"/>
          <w:color w:val="000000"/>
          <w:szCs w:val="22"/>
          <w:lang w:eastAsia="en-GB"/>
        </w:rPr>
        <w:t xml:space="preserve">the use of remote facilities and a wraparound approach in line with the Gillen Review. </w:t>
      </w:r>
      <w:r w:rsidR="005E488E">
        <w:rPr>
          <w:rFonts w:eastAsia="Times New Roman" w:cs="Verdana"/>
          <w:color w:val="000000"/>
          <w:szCs w:val="22"/>
          <w:lang w:eastAsia="en-GB"/>
        </w:rPr>
        <w:t>We particularly welcome the specific references to practical and emotional support for children under Strategic Priority 2</w:t>
      </w:r>
      <w:r w:rsidR="0079133E">
        <w:rPr>
          <w:rFonts w:eastAsia="Times New Roman" w:cs="Verdana"/>
          <w:color w:val="000000"/>
          <w:szCs w:val="22"/>
          <w:lang w:eastAsia="en-GB"/>
        </w:rPr>
        <w:t xml:space="preserve">, including the launch of a legal advice pilot for child complainants. </w:t>
      </w:r>
      <w:r w:rsidR="009A6C3A">
        <w:rPr>
          <w:rFonts w:eastAsia="Times New Roman" w:cs="Verdana"/>
          <w:color w:val="000000"/>
          <w:szCs w:val="22"/>
          <w:lang w:eastAsia="en-GB"/>
        </w:rPr>
        <w:t xml:space="preserve">This should be </w:t>
      </w:r>
      <w:r w:rsidR="008D3B00">
        <w:rPr>
          <w:rFonts w:eastAsia="Times New Roman" w:cs="Verdana"/>
          <w:color w:val="000000"/>
          <w:szCs w:val="22"/>
          <w:lang w:eastAsia="en-GB"/>
        </w:rPr>
        <w:t xml:space="preserve">developed in tandem with current work to progress the recommendations of the Gillen Review, including the development of a </w:t>
      </w:r>
      <w:proofErr w:type="spellStart"/>
      <w:r w:rsidR="008D3B00">
        <w:rPr>
          <w:rFonts w:eastAsia="Times New Roman" w:cs="Verdana"/>
          <w:color w:val="000000"/>
          <w:szCs w:val="22"/>
          <w:lang w:eastAsia="en-GB"/>
        </w:rPr>
        <w:t>Barnahus</w:t>
      </w:r>
      <w:proofErr w:type="spellEnd"/>
      <w:r w:rsidR="008D3B00">
        <w:rPr>
          <w:rFonts w:eastAsia="Times New Roman" w:cs="Verdana"/>
          <w:color w:val="000000"/>
          <w:szCs w:val="22"/>
          <w:lang w:eastAsia="en-GB"/>
        </w:rPr>
        <w:t xml:space="preserve"> Model for </w:t>
      </w:r>
      <w:r w:rsidR="009A6C3A">
        <w:rPr>
          <w:rFonts w:eastAsia="Times New Roman" w:cs="Verdana"/>
          <w:color w:val="000000"/>
          <w:szCs w:val="22"/>
          <w:lang w:eastAsia="en-GB"/>
        </w:rPr>
        <w:t>NI</w:t>
      </w:r>
      <w:r w:rsidR="00E03EC0">
        <w:rPr>
          <w:rFonts w:eastAsia="Times New Roman" w:cs="Verdana"/>
          <w:color w:val="000000"/>
          <w:szCs w:val="22"/>
          <w:lang w:eastAsia="en-GB"/>
        </w:rPr>
        <w:t>.</w:t>
      </w:r>
      <w:r w:rsidR="003951F2">
        <w:rPr>
          <w:rFonts w:eastAsia="Times New Roman" w:cs="Verdana"/>
          <w:color w:val="000000"/>
          <w:szCs w:val="22"/>
          <w:lang w:eastAsia="en-GB"/>
        </w:rPr>
        <w:t xml:space="preserve"> A</w:t>
      </w:r>
      <w:r w:rsidR="00BB4659">
        <w:rPr>
          <w:rFonts w:eastAsia="Times New Roman" w:cs="Verdana"/>
          <w:color w:val="000000"/>
          <w:szCs w:val="22"/>
          <w:lang w:eastAsia="en-GB"/>
        </w:rPr>
        <w:t xml:space="preserve"> child-centred approach </w:t>
      </w:r>
      <w:r w:rsidR="009A6C3A">
        <w:rPr>
          <w:rFonts w:eastAsia="Times New Roman" w:cs="Verdana"/>
          <w:color w:val="000000"/>
          <w:szCs w:val="22"/>
          <w:lang w:eastAsia="en-GB"/>
        </w:rPr>
        <w:t xml:space="preserve">should be </w:t>
      </w:r>
      <w:r w:rsidR="00BB4659">
        <w:rPr>
          <w:rFonts w:eastAsia="Times New Roman" w:cs="Verdana"/>
          <w:color w:val="000000"/>
          <w:szCs w:val="22"/>
          <w:lang w:eastAsia="en-GB"/>
        </w:rPr>
        <w:t xml:space="preserve">taken to develop specific measures for children, rather than adapting an adult-centric system </w:t>
      </w:r>
      <w:r w:rsidR="00315B73">
        <w:rPr>
          <w:rFonts w:eastAsia="Times New Roman" w:cs="Verdana"/>
          <w:color w:val="000000"/>
          <w:szCs w:val="22"/>
          <w:lang w:eastAsia="en-GB"/>
        </w:rPr>
        <w:t>to facilitate children</w:t>
      </w:r>
      <w:r w:rsidR="008D3B00">
        <w:rPr>
          <w:rFonts w:eastAsia="Times New Roman" w:cs="Verdana"/>
          <w:color w:val="000000"/>
          <w:szCs w:val="22"/>
          <w:lang w:eastAsia="en-GB"/>
        </w:rPr>
        <w:t xml:space="preserve">. </w:t>
      </w:r>
    </w:p>
    <w:p w14:paraId="5D0A0C13" w14:textId="77777777" w:rsidR="00D77C9C" w:rsidRPr="00D77C9C" w:rsidRDefault="00D77C9C" w:rsidP="00D77C9C">
      <w:pPr>
        <w:pStyle w:val="ListParagraph"/>
        <w:rPr>
          <w:rFonts w:eastAsia="Times New Roman" w:cs="Verdana"/>
          <w:color w:val="000000"/>
          <w:szCs w:val="22"/>
          <w:lang w:eastAsia="en-GB"/>
        </w:rPr>
      </w:pPr>
    </w:p>
    <w:p w14:paraId="6D2E7363" w14:textId="23B2A009" w:rsidR="00114D1B" w:rsidRPr="00114D1B" w:rsidRDefault="00D77C9C" w:rsidP="00FD13F1">
      <w:pPr>
        <w:pStyle w:val="ListParagraph"/>
        <w:numPr>
          <w:ilvl w:val="1"/>
          <w:numId w:val="34"/>
        </w:numPr>
        <w:spacing w:after="39" w:line="276" w:lineRule="auto"/>
        <w:jc w:val="both"/>
      </w:pPr>
      <w:r w:rsidRPr="00114D1B">
        <w:rPr>
          <w:rFonts w:eastAsia="Times New Roman" w:cs="Verdana"/>
          <w:b/>
          <w:bCs/>
          <w:color w:val="000000"/>
          <w:szCs w:val="22"/>
          <w:lang w:eastAsia="en-GB"/>
        </w:rPr>
        <w:t xml:space="preserve">The Commission recommends that a child-centred, trauma-informed approach is taken to develop specific support measures for child victims and witnesses to ensure children’s needs are met and their rights upheld. </w:t>
      </w:r>
      <w:r w:rsidR="006B5B98">
        <w:rPr>
          <w:rFonts w:eastAsia="Times New Roman" w:cs="Verdana"/>
          <w:b/>
          <w:bCs/>
          <w:color w:val="000000"/>
          <w:szCs w:val="22"/>
          <w:lang w:eastAsia="en-GB"/>
        </w:rPr>
        <w:t xml:space="preserve">This should include development of the </w:t>
      </w:r>
      <w:proofErr w:type="spellStart"/>
      <w:r w:rsidR="006B5B98">
        <w:rPr>
          <w:rFonts w:eastAsia="Times New Roman" w:cs="Verdana"/>
          <w:b/>
          <w:bCs/>
          <w:color w:val="000000"/>
          <w:szCs w:val="22"/>
          <w:lang w:eastAsia="en-GB"/>
        </w:rPr>
        <w:t>Barnahus</w:t>
      </w:r>
      <w:proofErr w:type="spellEnd"/>
      <w:r w:rsidR="006B5B98">
        <w:rPr>
          <w:rFonts w:eastAsia="Times New Roman" w:cs="Verdana"/>
          <w:b/>
          <w:bCs/>
          <w:color w:val="000000"/>
          <w:szCs w:val="22"/>
          <w:lang w:eastAsia="en-GB"/>
        </w:rPr>
        <w:t xml:space="preserve"> Model. </w:t>
      </w:r>
    </w:p>
    <w:p w14:paraId="2A0D81F8" w14:textId="77777777" w:rsidR="00114D1B" w:rsidRPr="00114D1B" w:rsidRDefault="00114D1B" w:rsidP="00114D1B">
      <w:pPr>
        <w:pStyle w:val="ListParagraph"/>
        <w:rPr>
          <w:rFonts w:eastAsia="Times New Roman" w:cs="Verdana"/>
          <w:b/>
          <w:bCs/>
          <w:color w:val="000000"/>
          <w:szCs w:val="22"/>
          <w:lang w:eastAsia="en-GB"/>
        </w:rPr>
      </w:pPr>
    </w:p>
    <w:p w14:paraId="1661C9ED" w14:textId="5453BF13" w:rsidR="00D77C9C" w:rsidRDefault="00D77C9C" w:rsidP="00FD13F1">
      <w:pPr>
        <w:pStyle w:val="ListParagraph"/>
        <w:numPr>
          <w:ilvl w:val="1"/>
          <w:numId w:val="34"/>
        </w:numPr>
        <w:spacing w:after="39" w:line="276" w:lineRule="auto"/>
        <w:jc w:val="both"/>
      </w:pPr>
      <w:r w:rsidRPr="00114D1B">
        <w:rPr>
          <w:rFonts w:eastAsia="Times New Roman" w:cs="Verdana"/>
          <w:b/>
          <w:bCs/>
          <w:color w:val="000000"/>
          <w:szCs w:val="22"/>
          <w:lang w:eastAsia="en-GB"/>
        </w:rPr>
        <w:t>The Commission recommends that training for legal professionals and all criminal justice personnel and support staff in contact with child victims and witness</w:t>
      </w:r>
      <w:r w:rsidR="0065342F">
        <w:rPr>
          <w:rFonts w:eastAsia="Times New Roman" w:cs="Verdana"/>
          <w:b/>
          <w:bCs/>
          <w:color w:val="000000"/>
          <w:szCs w:val="22"/>
          <w:lang w:eastAsia="en-GB"/>
        </w:rPr>
        <w:t>es</w:t>
      </w:r>
      <w:r w:rsidRPr="00114D1B">
        <w:rPr>
          <w:rFonts w:eastAsia="Times New Roman" w:cs="Verdana"/>
          <w:b/>
          <w:bCs/>
          <w:color w:val="000000"/>
          <w:szCs w:val="22"/>
          <w:lang w:eastAsia="en-GB"/>
        </w:rPr>
        <w:t xml:space="preserve"> includes the UN Convention on the Rights of the Child, the Lanzarote </w:t>
      </w:r>
      <w:proofErr w:type="gramStart"/>
      <w:r w:rsidRPr="00114D1B">
        <w:rPr>
          <w:rFonts w:eastAsia="Times New Roman" w:cs="Verdana"/>
          <w:b/>
          <w:bCs/>
          <w:color w:val="000000"/>
          <w:szCs w:val="22"/>
          <w:lang w:eastAsia="en-GB"/>
        </w:rPr>
        <w:lastRenderedPageBreak/>
        <w:t>Convention</w:t>
      </w:r>
      <w:proofErr w:type="gramEnd"/>
      <w:r w:rsidRPr="00114D1B" w:rsidDel="009A6C3A">
        <w:rPr>
          <w:rFonts w:eastAsia="Times New Roman" w:cs="Verdana"/>
          <w:b/>
          <w:bCs/>
          <w:color w:val="000000"/>
          <w:szCs w:val="22"/>
          <w:lang w:eastAsia="en-GB"/>
        </w:rPr>
        <w:t xml:space="preserve"> </w:t>
      </w:r>
      <w:r w:rsidRPr="00114D1B">
        <w:rPr>
          <w:rFonts w:eastAsia="Times New Roman" w:cs="Verdana"/>
          <w:b/>
          <w:bCs/>
          <w:color w:val="000000"/>
          <w:szCs w:val="22"/>
          <w:lang w:eastAsia="en-GB"/>
        </w:rPr>
        <w:t xml:space="preserve">and an understanding of Adverse Childhood Experiences (ACEs). </w:t>
      </w:r>
    </w:p>
    <w:p w14:paraId="784C0185" w14:textId="77777777" w:rsidR="00D77C9C" w:rsidRDefault="00D77C9C" w:rsidP="00D77C9C">
      <w:pPr>
        <w:pStyle w:val="ListParagraph"/>
        <w:spacing w:after="39" w:line="276" w:lineRule="auto"/>
        <w:jc w:val="both"/>
        <w:rPr>
          <w:rFonts w:eastAsia="Times New Roman" w:cs="Verdana"/>
          <w:color w:val="000000"/>
          <w:szCs w:val="22"/>
          <w:lang w:eastAsia="en-GB"/>
        </w:rPr>
      </w:pPr>
    </w:p>
    <w:p w14:paraId="46EFBCA0" w14:textId="3F040E6E" w:rsidR="0079133E" w:rsidRDefault="0079133E" w:rsidP="00A2361E">
      <w:pPr>
        <w:pStyle w:val="ListParagraph"/>
        <w:spacing w:line="276" w:lineRule="auto"/>
        <w:rPr>
          <w:rFonts w:eastAsia="Times New Roman" w:cs="Verdana"/>
          <w:color w:val="000000"/>
          <w:szCs w:val="22"/>
          <w:lang w:eastAsia="en-GB"/>
        </w:rPr>
      </w:pPr>
    </w:p>
    <w:p w14:paraId="03A09BF3" w14:textId="17ABBDE1" w:rsidR="00BF2496" w:rsidRDefault="00BF2496" w:rsidP="00A2361E">
      <w:pPr>
        <w:pStyle w:val="ListParagraph"/>
        <w:spacing w:line="276" w:lineRule="auto"/>
        <w:rPr>
          <w:rFonts w:eastAsia="Times New Roman" w:cs="Verdana"/>
          <w:color w:val="000000"/>
          <w:szCs w:val="22"/>
          <w:lang w:eastAsia="en-GB"/>
        </w:rPr>
      </w:pPr>
    </w:p>
    <w:p w14:paraId="32A02DD7" w14:textId="77777777" w:rsidR="002738B8" w:rsidRDefault="002738B8" w:rsidP="00A2361E">
      <w:pPr>
        <w:pStyle w:val="ListParagraph"/>
        <w:spacing w:line="276" w:lineRule="auto"/>
        <w:rPr>
          <w:rFonts w:eastAsia="Times New Roman" w:cs="Verdana"/>
          <w:color w:val="000000"/>
          <w:szCs w:val="22"/>
          <w:lang w:eastAsia="en-GB"/>
        </w:rPr>
      </w:pPr>
    </w:p>
    <w:p w14:paraId="56EEF8C0" w14:textId="209F087E" w:rsidR="00605D0A" w:rsidRDefault="00605D0A">
      <w:pPr>
        <w:spacing w:after="160" w:line="259" w:lineRule="auto"/>
        <w:rPr>
          <w:rFonts w:eastAsia="Times New Roman" w:cs="Verdana"/>
          <w:color w:val="000000"/>
          <w:szCs w:val="22"/>
          <w:lang w:eastAsia="en-GB"/>
        </w:rPr>
      </w:pPr>
      <w:r>
        <w:rPr>
          <w:rFonts w:eastAsia="Times New Roman" w:cs="Verdana"/>
          <w:color w:val="000000"/>
          <w:szCs w:val="22"/>
          <w:lang w:eastAsia="en-GB"/>
        </w:rPr>
        <w:br w:type="page"/>
      </w:r>
    </w:p>
    <w:p w14:paraId="2A3928AE" w14:textId="77777777" w:rsidR="003B57BA" w:rsidRDefault="002039C9" w:rsidP="00FD13F1">
      <w:pPr>
        <w:pStyle w:val="Heading1"/>
        <w:numPr>
          <w:ilvl w:val="0"/>
          <w:numId w:val="34"/>
        </w:numPr>
        <w:spacing w:line="276" w:lineRule="auto"/>
        <w:jc w:val="both"/>
      </w:pPr>
      <w:bookmarkStart w:id="7" w:name="_Toc78208928"/>
      <w:r>
        <w:lastRenderedPageBreak/>
        <w:t xml:space="preserve">Part B: </w:t>
      </w:r>
      <w:r w:rsidR="003B57BA">
        <w:t>Victims of Crime Commissioner</w:t>
      </w:r>
      <w:bookmarkEnd w:id="7"/>
      <w:r w:rsidR="003B57BA">
        <w:t xml:space="preserve"> </w:t>
      </w:r>
    </w:p>
    <w:p w14:paraId="6DDA72F3" w14:textId="77777777" w:rsidR="003B57BA" w:rsidRDefault="003B57BA" w:rsidP="00A2361E">
      <w:pPr>
        <w:pStyle w:val="BasicParagraph"/>
        <w:suppressAutoHyphens/>
        <w:spacing w:line="276" w:lineRule="auto"/>
        <w:jc w:val="both"/>
        <w:rPr>
          <w:rFonts w:ascii="Verdana" w:hAnsi="Verdana" w:cs="Arial"/>
          <w:color w:val="232120"/>
          <w:sz w:val="20"/>
          <w:szCs w:val="20"/>
        </w:rPr>
      </w:pPr>
    </w:p>
    <w:p w14:paraId="7078C903" w14:textId="77777777" w:rsidR="005F0165" w:rsidRDefault="005F0165" w:rsidP="00A2361E">
      <w:pPr>
        <w:pStyle w:val="BasicParagraph"/>
        <w:suppressAutoHyphens/>
        <w:spacing w:line="276" w:lineRule="auto"/>
        <w:jc w:val="both"/>
        <w:rPr>
          <w:rFonts w:ascii="Verdana" w:hAnsi="Verdana" w:cs="Arial"/>
          <w:color w:val="232120"/>
          <w:sz w:val="20"/>
          <w:szCs w:val="20"/>
        </w:rPr>
      </w:pPr>
    </w:p>
    <w:p w14:paraId="64C4784A" w14:textId="35A1E6D8" w:rsidR="00045554" w:rsidRDefault="00B5516B" w:rsidP="00FD13F1">
      <w:pPr>
        <w:pStyle w:val="ListParagraph"/>
        <w:numPr>
          <w:ilvl w:val="1"/>
          <w:numId w:val="34"/>
        </w:numPr>
        <w:spacing w:line="276" w:lineRule="auto"/>
        <w:jc w:val="both"/>
        <w:rPr>
          <w:rFonts w:cs="Arial"/>
          <w:color w:val="232120"/>
        </w:rPr>
      </w:pPr>
      <w:r>
        <w:rPr>
          <w:rFonts w:cs="Arial"/>
          <w:color w:val="232120"/>
        </w:rPr>
        <w:t>The Commission broadly welcomes the introduction of a Victims of Crime Commissioner</w:t>
      </w:r>
      <w:r w:rsidR="00351DC5">
        <w:rPr>
          <w:rFonts w:cs="Arial"/>
          <w:color w:val="232120"/>
        </w:rPr>
        <w:t xml:space="preserve"> and agrees with the rationale for this development. However, </w:t>
      </w:r>
      <w:r w:rsidR="009A6C3A">
        <w:rPr>
          <w:rFonts w:cs="Arial"/>
          <w:color w:val="232120"/>
        </w:rPr>
        <w:t>further</w:t>
      </w:r>
      <w:r w:rsidR="00045554">
        <w:rPr>
          <w:rFonts w:cs="Arial"/>
          <w:color w:val="232120"/>
        </w:rPr>
        <w:t xml:space="preserve"> information is </w:t>
      </w:r>
      <w:r w:rsidR="009A6C3A">
        <w:rPr>
          <w:rFonts w:cs="Arial"/>
          <w:color w:val="232120"/>
        </w:rPr>
        <w:t xml:space="preserve">required </w:t>
      </w:r>
      <w:r w:rsidR="00045554">
        <w:rPr>
          <w:rFonts w:cs="Arial"/>
          <w:color w:val="232120"/>
        </w:rPr>
        <w:t xml:space="preserve">at this stage </w:t>
      </w:r>
      <w:proofErr w:type="gramStart"/>
      <w:r w:rsidR="009A6C3A">
        <w:rPr>
          <w:rFonts w:cs="Arial"/>
          <w:color w:val="232120"/>
        </w:rPr>
        <w:t xml:space="preserve">in order </w:t>
      </w:r>
      <w:r w:rsidR="00045554">
        <w:rPr>
          <w:rFonts w:cs="Arial"/>
          <w:color w:val="232120"/>
        </w:rPr>
        <w:t>to</w:t>
      </w:r>
      <w:proofErr w:type="gramEnd"/>
      <w:r w:rsidR="00045554">
        <w:rPr>
          <w:rFonts w:cs="Arial"/>
          <w:color w:val="232120"/>
        </w:rPr>
        <w:t xml:space="preserve"> clarify the role of the Commissioner and how </w:t>
      </w:r>
      <w:r w:rsidR="00A01115">
        <w:rPr>
          <w:rFonts w:cs="Arial"/>
          <w:color w:val="232120"/>
        </w:rPr>
        <w:t xml:space="preserve">he or she </w:t>
      </w:r>
      <w:r w:rsidR="00045554">
        <w:rPr>
          <w:rFonts w:cs="Arial"/>
          <w:color w:val="232120"/>
        </w:rPr>
        <w:t xml:space="preserve">would operate. </w:t>
      </w:r>
    </w:p>
    <w:p w14:paraId="6047A6FE" w14:textId="77777777" w:rsidR="006401F1" w:rsidRDefault="006401F1" w:rsidP="00A2361E">
      <w:pPr>
        <w:pStyle w:val="ListParagraph"/>
        <w:spacing w:line="276" w:lineRule="auto"/>
        <w:jc w:val="both"/>
        <w:rPr>
          <w:rFonts w:cs="Arial"/>
          <w:color w:val="232120"/>
        </w:rPr>
      </w:pPr>
    </w:p>
    <w:p w14:paraId="37DE3EA2" w14:textId="77777777" w:rsidR="006401F1" w:rsidRDefault="006401F1" w:rsidP="00FD13F1">
      <w:pPr>
        <w:pStyle w:val="ListParagraph"/>
        <w:numPr>
          <w:ilvl w:val="1"/>
          <w:numId w:val="34"/>
        </w:numPr>
        <w:spacing w:line="276" w:lineRule="auto"/>
        <w:jc w:val="both"/>
        <w:rPr>
          <w:rFonts w:cs="Arial"/>
          <w:color w:val="232120"/>
        </w:rPr>
      </w:pPr>
      <w:r>
        <w:rPr>
          <w:rFonts w:cs="Arial"/>
          <w:color w:val="232120"/>
        </w:rPr>
        <w:t>The Commission w</w:t>
      </w:r>
      <w:r w:rsidRPr="001316FE">
        <w:rPr>
          <w:rFonts w:cs="Arial"/>
          <w:color w:val="232120"/>
        </w:rPr>
        <w:t>elcome</w:t>
      </w:r>
      <w:r>
        <w:rPr>
          <w:rFonts w:cs="Arial"/>
          <w:color w:val="232120"/>
        </w:rPr>
        <w:t>s the role of a</w:t>
      </w:r>
      <w:r w:rsidRPr="001316FE">
        <w:rPr>
          <w:rFonts w:cs="Arial"/>
          <w:color w:val="232120"/>
        </w:rPr>
        <w:t xml:space="preserve"> designate </w:t>
      </w:r>
      <w:r>
        <w:rPr>
          <w:rFonts w:cs="Arial"/>
          <w:color w:val="232120"/>
        </w:rPr>
        <w:t>Commissioner</w:t>
      </w:r>
      <w:r>
        <w:rPr>
          <w:rStyle w:val="FootnoteReference"/>
          <w:rFonts w:cs="Arial"/>
          <w:color w:val="232120"/>
        </w:rPr>
        <w:footnoteReference w:id="70"/>
      </w:r>
      <w:r>
        <w:rPr>
          <w:rFonts w:cs="Arial"/>
          <w:color w:val="232120"/>
        </w:rPr>
        <w:t xml:space="preserve">, </w:t>
      </w:r>
      <w:proofErr w:type="gramStart"/>
      <w:r>
        <w:rPr>
          <w:rFonts w:cs="Arial"/>
          <w:color w:val="232120"/>
        </w:rPr>
        <w:t>provided that</w:t>
      </w:r>
      <w:proofErr w:type="gramEnd"/>
      <w:r>
        <w:rPr>
          <w:rFonts w:cs="Arial"/>
          <w:color w:val="232120"/>
        </w:rPr>
        <w:t xml:space="preserve"> there is an understanding that this would be an interim post to develop the role, and the post-holder could not apply for the permanent role. </w:t>
      </w:r>
    </w:p>
    <w:p w14:paraId="641596F4" w14:textId="77777777" w:rsidR="00045554" w:rsidRDefault="00045554" w:rsidP="00A2361E">
      <w:pPr>
        <w:pStyle w:val="ListParagraph"/>
        <w:spacing w:line="276" w:lineRule="auto"/>
        <w:jc w:val="both"/>
        <w:rPr>
          <w:rFonts w:cs="Arial"/>
          <w:color w:val="232120"/>
        </w:rPr>
      </w:pPr>
    </w:p>
    <w:p w14:paraId="2B4D0122" w14:textId="71D5AF4D" w:rsidR="007B02D9" w:rsidRDefault="007B02D9" w:rsidP="00FD13F1">
      <w:pPr>
        <w:pStyle w:val="ListParagraph"/>
        <w:numPr>
          <w:ilvl w:val="1"/>
          <w:numId w:val="34"/>
        </w:numPr>
        <w:spacing w:line="276" w:lineRule="auto"/>
        <w:jc w:val="both"/>
        <w:rPr>
          <w:rFonts w:cs="Arial"/>
          <w:color w:val="232120"/>
        </w:rPr>
      </w:pPr>
      <w:r>
        <w:rPr>
          <w:rFonts w:cs="Arial"/>
          <w:color w:val="232120"/>
        </w:rPr>
        <w:t>The Commission welcomes th</w:t>
      </w:r>
      <w:r w:rsidR="00C63CD5">
        <w:rPr>
          <w:rFonts w:cs="Arial"/>
          <w:color w:val="232120"/>
        </w:rPr>
        <w:t>e commitment that there should be no hierarchy of victims and that the Commissioner would be a voice for all victims</w:t>
      </w:r>
      <w:r w:rsidR="00C63CD5">
        <w:rPr>
          <w:rStyle w:val="FootnoteReference"/>
          <w:rFonts w:cs="Arial"/>
          <w:color w:val="232120"/>
        </w:rPr>
        <w:footnoteReference w:id="71"/>
      </w:r>
      <w:r w:rsidR="00C63CD5">
        <w:rPr>
          <w:rFonts w:cs="Arial"/>
          <w:color w:val="232120"/>
        </w:rPr>
        <w:t xml:space="preserve">. </w:t>
      </w:r>
      <w:r w:rsidR="00147FEA">
        <w:rPr>
          <w:rFonts w:cs="Arial"/>
          <w:color w:val="232120"/>
        </w:rPr>
        <w:t xml:space="preserve">The Commission recognises the </w:t>
      </w:r>
      <w:r w:rsidR="0035137E">
        <w:rPr>
          <w:rFonts w:cs="Arial"/>
          <w:color w:val="232120"/>
        </w:rPr>
        <w:t>rationale</w:t>
      </w:r>
      <w:r w:rsidR="006F7E4B">
        <w:rPr>
          <w:rFonts w:cs="Arial"/>
          <w:color w:val="232120"/>
        </w:rPr>
        <w:t xml:space="preserve"> for an initial </w:t>
      </w:r>
      <w:r w:rsidR="00C92AEE">
        <w:rPr>
          <w:rFonts w:cs="Arial"/>
          <w:color w:val="232120"/>
        </w:rPr>
        <w:t xml:space="preserve">strategic </w:t>
      </w:r>
      <w:r w:rsidR="006F7E4B">
        <w:rPr>
          <w:rFonts w:cs="Arial"/>
          <w:color w:val="232120"/>
        </w:rPr>
        <w:t>focus on</w:t>
      </w:r>
      <w:r w:rsidR="00C92AEE">
        <w:rPr>
          <w:rFonts w:cs="Arial"/>
          <w:color w:val="232120"/>
        </w:rPr>
        <w:t xml:space="preserve"> victims of</w:t>
      </w:r>
      <w:r w:rsidR="006F7E4B">
        <w:rPr>
          <w:rFonts w:cs="Arial"/>
          <w:color w:val="232120"/>
        </w:rPr>
        <w:t xml:space="preserve"> domestic and sexual abuse and hate crime</w:t>
      </w:r>
      <w:r w:rsidR="0035137E">
        <w:rPr>
          <w:rStyle w:val="FootnoteReference"/>
          <w:rFonts w:cs="Arial"/>
          <w:color w:val="232120"/>
        </w:rPr>
        <w:footnoteReference w:id="72"/>
      </w:r>
      <w:r w:rsidR="0035137E">
        <w:rPr>
          <w:rFonts w:cs="Arial"/>
          <w:color w:val="232120"/>
        </w:rPr>
        <w:t xml:space="preserve"> and agrees that there are specific needs and rights to be upheld in these areas, as outlined above; however, </w:t>
      </w:r>
      <w:r w:rsidR="00C92AEE">
        <w:rPr>
          <w:rFonts w:cs="Arial"/>
          <w:color w:val="232120"/>
        </w:rPr>
        <w:t xml:space="preserve">the Commission </w:t>
      </w:r>
      <w:r w:rsidR="002603F8">
        <w:rPr>
          <w:rFonts w:cs="Arial"/>
          <w:color w:val="232120"/>
        </w:rPr>
        <w:t xml:space="preserve">recommends </w:t>
      </w:r>
      <w:r w:rsidR="00C92AEE">
        <w:rPr>
          <w:rFonts w:cs="Arial"/>
          <w:color w:val="232120"/>
        </w:rPr>
        <w:t xml:space="preserve">that the Department ensures the Victims of Crime Commissioner would maintain a broad mandate across all </w:t>
      </w:r>
      <w:r w:rsidR="002603F8">
        <w:rPr>
          <w:rFonts w:cs="Arial"/>
          <w:color w:val="232120"/>
        </w:rPr>
        <w:t xml:space="preserve">areas of </w:t>
      </w:r>
      <w:r w:rsidR="00C92AEE">
        <w:rPr>
          <w:rFonts w:cs="Arial"/>
          <w:color w:val="232120"/>
        </w:rPr>
        <w:t>victims</w:t>
      </w:r>
      <w:r w:rsidR="00885DC5">
        <w:rPr>
          <w:rFonts w:cs="Arial"/>
          <w:color w:val="232120"/>
        </w:rPr>
        <w:t>’</w:t>
      </w:r>
      <w:r w:rsidR="00C92AEE">
        <w:rPr>
          <w:rFonts w:cs="Arial"/>
          <w:color w:val="232120"/>
        </w:rPr>
        <w:t xml:space="preserve"> </w:t>
      </w:r>
      <w:r w:rsidR="002603F8">
        <w:rPr>
          <w:rFonts w:cs="Arial"/>
          <w:color w:val="232120"/>
        </w:rPr>
        <w:t>rights</w:t>
      </w:r>
      <w:r w:rsidR="00C92AEE">
        <w:rPr>
          <w:rFonts w:cs="Arial"/>
          <w:color w:val="232120"/>
        </w:rPr>
        <w:t>.</w:t>
      </w:r>
    </w:p>
    <w:p w14:paraId="44313DCF" w14:textId="77777777" w:rsidR="007B02D9" w:rsidRPr="007B02D9" w:rsidRDefault="007B02D9" w:rsidP="00A2361E">
      <w:pPr>
        <w:pStyle w:val="ListParagraph"/>
        <w:spacing w:line="276" w:lineRule="auto"/>
        <w:jc w:val="both"/>
        <w:rPr>
          <w:rFonts w:cs="Arial"/>
          <w:color w:val="232120"/>
        </w:rPr>
      </w:pPr>
    </w:p>
    <w:p w14:paraId="301CFA7A" w14:textId="77777777" w:rsidR="0078789F" w:rsidRDefault="0078789F" w:rsidP="00FD13F1">
      <w:pPr>
        <w:pStyle w:val="ListParagraph"/>
        <w:numPr>
          <w:ilvl w:val="1"/>
          <w:numId w:val="34"/>
        </w:numPr>
        <w:spacing w:line="276" w:lineRule="auto"/>
        <w:jc w:val="both"/>
        <w:rPr>
          <w:rFonts w:cs="Arial"/>
          <w:color w:val="232120"/>
        </w:rPr>
      </w:pPr>
      <w:r>
        <w:rPr>
          <w:rFonts w:cs="Arial"/>
          <w:color w:val="232120"/>
        </w:rPr>
        <w:t>The Commission welcomes that the</w:t>
      </w:r>
      <w:r w:rsidR="00C91EA2">
        <w:rPr>
          <w:rFonts w:cs="Arial"/>
          <w:color w:val="232120"/>
        </w:rPr>
        <w:t xml:space="preserve"> Victims of Crime</w:t>
      </w:r>
      <w:r>
        <w:rPr>
          <w:rFonts w:cs="Arial"/>
          <w:color w:val="232120"/>
        </w:rPr>
        <w:t xml:space="preserve"> Commissioner would be independent</w:t>
      </w:r>
      <w:r w:rsidR="002603F8">
        <w:rPr>
          <w:rFonts w:cs="Arial"/>
          <w:color w:val="232120"/>
        </w:rPr>
        <w:t xml:space="preserve"> from government</w:t>
      </w:r>
      <w:r w:rsidR="008E5B36">
        <w:rPr>
          <w:rStyle w:val="FootnoteReference"/>
          <w:rFonts w:cs="Arial"/>
          <w:color w:val="232120"/>
        </w:rPr>
        <w:footnoteReference w:id="73"/>
      </w:r>
      <w:r>
        <w:rPr>
          <w:rFonts w:cs="Arial"/>
          <w:color w:val="232120"/>
        </w:rPr>
        <w:t>, and suggests that</w:t>
      </w:r>
      <w:r w:rsidR="00175EF2">
        <w:rPr>
          <w:rFonts w:cs="Arial"/>
          <w:color w:val="232120"/>
        </w:rPr>
        <w:t xml:space="preserve"> this is made explicit in how the Commissioner relates to the Department</w:t>
      </w:r>
      <w:r w:rsidR="00C33D66">
        <w:rPr>
          <w:rFonts w:cs="Arial"/>
          <w:color w:val="232120"/>
        </w:rPr>
        <w:t xml:space="preserve">, including how it is financed and held accountable.  </w:t>
      </w:r>
    </w:p>
    <w:p w14:paraId="62C1F0B6" w14:textId="77777777" w:rsidR="00081483" w:rsidRPr="00081483" w:rsidRDefault="00081483" w:rsidP="00A2361E">
      <w:pPr>
        <w:pStyle w:val="ListParagraph"/>
        <w:spacing w:line="276" w:lineRule="auto"/>
        <w:jc w:val="both"/>
        <w:rPr>
          <w:rFonts w:cs="Arial"/>
          <w:color w:val="232120"/>
        </w:rPr>
      </w:pPr>
    </w:p>
    <w:p w14:paraId="453C6084" w14:textId="6B4C12B1" w:rsidR="00081483" w:rsidRPr="00B624EE" w:rsidRDefault="00081483" w:rsidP="00FD13F1">
      <w:pPr>
        <w:pStyle w:val="ListParagraph"/>
        <w:numPr>
          <w:ilvl w:val="1"/>
          <w:numId w:val="34"/>
        </w:numPr>
        <w:spacing w:line="276" w:lineRule="auto"/>
        <w:jc w:val="both"/>
        <w:rPr>
          <w:rFonts w:cs="Arial"/>
          <w:color w:val="232120"/>
        </w:rPr>
      </w:pPr>
      <w:r>
        <w:rPr>
          <w:rFonts w:cs="Arial"/>
          <w:color w:val="232120"/>
        </w:rPr>
        <w:t xml:space="preserve">In terms of </w:t>
      </w:r>
      <w:r w:rsidR="002603F8">
        <w:rPr>
          <w:rFonts w:cs="Arial"/>
          <w:color w:val="232120"/>
        </w:rPr>
        <w:t xml:space="preserve">statutory </w:t>
      </w:r>
      <w:r>
        <w:rPr>
          <w:rFonts w:cs="Arial"/>
          <w:color w:val="232120"/>
        </w:rPr>
        <w:t>powers,</w:t>
      </w:r>
      <w:r w:rsidR="0069410F">
        <w:rPr>
          <w:rFonts w:cs="Arial"/>
          <w:color w:val="232120"/>
        </w:rPr>
        <w:t xml:space="preserve"> we note that the Victims of Crime Commissioner would “</w:t>
      </w:r>
      <w:r w:rsidR="0069410F">
        <w:t>highlight and challenge in relation to systemic issues requiring attention”</w:t>
      </w:r>
      <w:r w:rsidR="00CA1C01">
        <w:rPr>
          <w:rStyle w:val="FootnoteReference"/>
        </w:rPr>
        <w:footnoteReference w:id="74"/>
      </w:r>
      <w:r w:rsidR="002603F8">
        <w:t xml:space="preserve"> and “undertake or commission research”</w:t>
      </w:r>
      <w:r w:rsidR="002603F8">
        <w:rPr>
          <w:rStyle w:val="FootnoteReference"/>
        </w:rPr>
        <w:footnoteReference w:id="75"/>
      </w:r>
      <w:r w:rsidR="002603F8">
        <w:t>.</w:t>
      </w:r>
      <w:r w:rsidR="00CA1C01">
        <w:t xml:space="preserve"> </w:t>
      </w:r>
      <w:r w:rsidR="002603F8">
        <w:t>It is unclear from the consultation document</w:t>
      </w:r>
      <w:r w:rsidR="00F42A0A">
        <w:t xml:space="preserve"> whether the Commissioner would have powers </w:t>
      </w:r>
      <w:r w:rsidR="006E7046">
        <w:t>to</w:t>
      </w:r>
      <w:r w:rsidR="002603F8">
        <w:t xml:space="preserve"> initiate or intervene in legal </w:t>
      </w:r>
      <w:proofErr w:type="gramStart"/>
      <w:r w:rsidR="002603F8">
        <w:t>matters,</w:t>
      </w:r>
      <w:r w:rsidR="00DF2F15">
        <w:t xml:space="preserve"> </w:t>
      </w:r>
      <w:r w:rsidR="002603F8">
        <w:t>or</w:t>
      </w:r>
      <w:proofErr w:type="gramEnd"/>
      <w:r w:rsidR="002603F8">
        <w:t xml:space="preserve"> have own motion legal or investigatory powers.</w:t>
      </w:r>
      <w:r w:rsidR="00DF2F15">
        <w:t xml:space="preserve"> </w:t>
      </w:r>
      <w:r w:rsidR="009253C9">
        <w:t>We recommend that</w:t>
      </w:r>
      <w:r w:rsidR="00A01115">
        <w:t xml:space="preserve"> these powers should be provided</w:t>
      </w:r>
      <w:r w:rsidR="009253C9">
        <w:t xml:space="preserve">. </w:t>
      </w:r>
    </w:p>
    <w:p w14:paraId="384F7F18" w14:textId="77777777" w:rsidR="00B624EE" w:rsidRPr="00B624EE" w:rsidRDefault="00B624EE" w:rsidP="00A2361E">
      <w:pPr>
        <w:pStyle w:val="ListParagraph"/>
        <w:spacing w:line="276" w:lineRule="auto"/>
        <w:jc w:val="both"/>
        <w:rPr>
          <w:rFonts w:cs="Arial"/>
          <w:color w:val="232120"/>
        </w:rPr>
      </w:pPr>
    </w:p>
    <w:p w14:paraId="5CCB9F12" w14:textId="2F248964" w:rsidR="00B624EE" w:rsidRDefault="004077CB" w:rsidP="00FD13F1">
      <w:pPr>
        <w:pStyle w:val="ListParagraph"/>
        <w:numPr>
          <w:ilvl w:val="1"/>
          <w:numId w:val="34"/>
        </w:numPr>
        <w:spacing w:line="276" w:lineRule="auto"/>
        <w:jc w:val="both"/>
        <w:rPr>
          <w:rFonts w:cs="Arial"/>
          <w:color w:val="232120"/>
        </w:rPr>
      </w:pPr>
      <w:r>
        <w:rPr>
          <w:rFonts w:cs="Arial"/>
          <w:color w:val="232120"/>
        </w:rPr>
        <w:lastRenderedPageBreak/>
        <w:t xml:space="preserve">The Commission agrees that there would be </w:t>
      </w:r>
      <w:r w:rsidR="0094271E">
        <w:rPr>
          <w:rFonts w:cs="Arial"/>
          <w:color w:val="232120"/>
        </w:rPr>
        <w:t>opportunity for the Victims of Crime Commissioner to</w:t>
      </w:r>
      <w:r w:rsidR="00155DE6">
        <w:rPr>
          <w:rFonts w:cs="Arial"/>
          <w:color w:val="232120"/>
        </w:rPr>
        <w:t xml:space="preserve"> </w:t>
      </w:r>
      <w:r w:rsidR="0094271E">
        <w:rPr>
          <w:rFonts w:cs="Arial"/>
          <w:color w:val="232120"/>
        </w:rPr>
        <w:t>work collaboratively with other Commissions on issues</w:t>
      </w:r>
      <w:r w:rsidR="002603F8">
        <w:rPr>
          <w:rFonts w:cs="Arial"/>
          <w:color w:val="232120"/>
        </w:rPr>
        <w:t xml:space="preserve"> of mutual interest</w:t>
      </w:r>
      <w:r w:rsidR="0094271E">
        <w:rPr>
          <w:rFonts w:cs="Arial"/>
          <w:color w:val="232120"/>
        </w:rPr>
        <w:t xml:space="preserve">, including the </w:t>
      </w:r>
      <w:r w:rsidR="00AA0DD7">
        <w:rPr>
          <w:rFonts w:cs="Arial"/>
          <w:color w:val="232120"/>
        </w:rPr>
        <w:t>NI Human Rights Commission as well as</w:t>
      </w:r>
      <w:r w:rsidR="002603F8">
        <w:rPr>
          <w:rFonts w:cs="Arial"/>
          <w:color w:val="232120"/>
        </w:rPr>
        <w:t xml:space="preserve"> others</w:t>
      </w:r>
      <w:r w:rsidR="00AA0DD7">
        <w:rPr>
          <w:rFonts w:cs="Arial"/>
          <w:color w:val="232120"/>
        </w:rPr>
        <w:t>, for example the Commissioner for Older People or the Commissioner for Children and Yo</w:t>
      </w:r>
      <w:r w:rsidR="00DD1D9C">
        <w:rPr>
          <w:rFonts w:cs="Arial"/>
          <w:color w:val="232120"/>
        </w:rPr>
        <w:t xml:space="preserve">ung People. </w:t>
      </w:r>
      <w:r w:rsidR="007B6A26">
        <w:rPr>
          <w:rFonts w:cs="Arial"/>
          <w:color w:val="232120"/>
        </w:rPr>
        <w:t>H</w:t>
      </w:r>
      <w:r w:rsidR="00DD1D9C">
        <w:rPr>
          <w:rFonts w:cs="Arial"/>
          <w:color w:val="232120"/>
        </w:rPr>
        <w:t xml:space="preserve">owever, </w:t>
      </w:r>
      <w:r w:rsidR="003260A2">
        <w:rPr>
          <w:rFonts w:cs="Arial"/>
          <w:color w:val="232120"/>
        </w:rPr>
        <w:t xml:space="preserve">we </w:t>
      </w:r>
      <w:r w:rsidR="00A22F0B">
        <w:rPr>
          <w:rFonts w:cs="Arial"/>
          <w:color w:val="232120"/>
        </w:rPr>
        <w:t xml:space="preserve">recommend </w:t>
      </w:r>
      <w:r w:rsidR="003260A2">
        <w:rPr>
          <w:rFonts w:cs="Arial"/>
          <w:color w:val="232120"/>
        </w:rPr>
        <w:t xml:space="preserve">clarity is provided on how the Victims of Crime Commissioner would work with the </w:t>
      </w:r>
      <w:r w:rsidR="007B6A26">
        <w:rPr>
          <w:rFonts w:cs="Arial"/>
          <w:color w:val="232120"/>
        </w:rPr>
        <w:t xml:space="preserve">Commission for </w:t>
      </w:r>
      <w:r w:rsidR="003260A2">
        <w:rPr>
          <w:rFonts w:cs="Arial"/>
          <w:color w:val="232120"/>
        </w:rPr>
        <w:t xml:space="preserve">Victims and Survivors </w:t>
      </w:r>
      <w:r w:rsidR="00354136">
        <w:rPr>
          <w:rFonts w:cs="Arial"/>
          <w:color w:val="232120"/>
        </w:rPr>
        <w:t xml:space="preserve">and </w:t>
      </w:r>
      <w:r w:rsidR="00354136" w:rsidRPr="00354136">
        <w:rPr>
          <w:rFonts w:cs="Arial"/>
          <w:color w:val="232120"/>
        </w:rPr>
        <w:t>the Commissioner for Survivors of Institutional Childhood Abuse</w:t>
      </w:r>
      <w:r w:rsidR="00466D67">
        <w:rPr>
          <w:rFonts w:cs="Arial"/>
          <w:color w:val="232120"/>
        </w:rPr>
        <w:t xml:space="preserve">, to </w:t>
      </w:r>
      <w:r w:rsidR="00A01115">
        <w:rPr>
          <w:rFonts w:cs="Arial"/>
          <w:color w:val="232120"/>
        </w:rPr>
        <w:t xml:space="preserve">ensure the most effective use of resources and </w:t>
      </w:r>
      <w:r w:rsidR="00466D67">
        <w:rPr>
          <w:rFonts w:cs="Arial"/>
          <w:color w:val="232120"/>
        </w:rPr>
        <w:t xml:space="preserve">prevent duplication of effort. </w:t>
      </w:r>
      <w:r w:rsidR="006401F1">
        <w:rPr>
          <w:rFonts w:cs="Arial"/>
          <w:color w:val="232120"/>
        </w:rPr>
        <w:t>We recommend that c</w:t>
      </w:r>
      <w:r w:rsidR="00687E26">
        <w:rPr>
          <w:rFonts w:cs="Arial"/>
          <w:color w:val="232120"/>
        </w:rPr>
        <w:t xml:space="preserve">larity </w:t>
      </w:r>
      <w:r w:rsidR="006401F1">
        <w:rPr>
          <w:rFonts w:cs="Arial"/>
          <w:color w:val="232120"/>
        </w:rPr>
        <w:t xml:space="preserve">is provided </w:t>
      </w:r>
      <w:r w:rsidR="004670B1">
        <w:rPr>
          <w:rFonts w:cs="Arial"/>
          <w:color w:val="232120"/>
        </w:rPr>
        <w:t>on</w:t>
      </w:r>
      <w:r w:rsidR="00687E26">
        <w:rPr>
          <w:rFonts w:cs="Arial"/>
          <w:color w:val="232120"/>
        </w:rPr>
        <w:t xml:space="preserve"> each role</w:t>
      </w:r>
      <w:r w:rsidR="00850F4C">
        <w:rPr>
          <w:rFonts w:cs="Arial"/>
          <w:color w:val="232120"/>
        </w:rPr>
        <w:t>, how each relates to each other, and the long</w:t>
      </w:r>
      <w:r w:rsidR="006401F1">
        <w:rPr>
          <w:rFonts w:cs="Arial"/>
          <w:color w:val="232120"/>
        </w:rPr>
        <w:t>-</w:t>
      </w:r>
      <w:r w:rsidR="00850F4C">
        <w:rPr>
          <w:rFonts w:cs="Arial"/>
          <w:color w:val="232120"/>
        </w:rPr>
        <w:t>term plan for each</w:t>
      </w:r>
      <w:r w:rsidR="004670B1">
        <w:rPr>
          <w:rFonts w:cs="Arial"/>
          <w:color w:val="232120"/>
        </w:rPr>
        <w:t xml:space="preserve"> Commission</w:t>
      </w:r>
      <w:r w:rsidR="00C767F5">
        <w:rPr>
          <w:rFonts w:cs="Arial"/>
          <w:color w:val="232120"/>
        </w:rPr>
        <w:t xml:space="preserve">. </w:t>
      </w:r>
    </w:p>
    <w:p w14:paraId="0AA27033" w14:textId="77777777" w:rsidR="004670B1" w:rsidRPr="004670B1" w:rsidRDefault="004670B1" w:rsidP="00A2361E">
      <w:pPr>
        <w:pStyle w:val="ListParagraph"/>
        <w:spacing w:line="276" w:lineRule="auto"/>
        <w:jc w:val="both"/>
        <w:rPr>
          <w:rFonts w:cs="Arial"/>
          <w:color w:val="232120"/>
        </w:rPr>
      </w:pPr>
    </w:p>
    <w:p w14:paraId="14B71545" w14:textId="4A8EE95E" w:rsidR="004670B1" w:rsidRDefault="004670B1" w:rsidP="00FD13F1">
      <w:pPr>
        <w:pStyle w:val="ListParagraph"/>
        <w:numPr>
          <w:ilvl w:val="1"/>
          <w:numId w:val="34"/>
        </w:numPr>
        <w:spacing w:line="276" w:lineRule="auto"/>
        <w:jc w:val="both"/>
        <w:rPr>
          <w:rFonts w:cs="Arial"/>
          <w:color w:val="232120"/>
        </w:rPr>
      </w:pPr>
      <w:r w:rsidRPr="000D565C">
        <w:rPr>
          <w:b/>
          <w:bCs/>
        </w:rPr>
        <w:t xml:space="preserve">The Commission recommends that </w:t>
      </w:r>
      <w:r w:rsidR="002603F8">
        <w:rPr>
          <w:b/>
          <w:bCs/>
        </w:rPr>
        <w:t xml:space="preserve">the Department provides </w:t>
      </w:r>
      <w:r w:rsidRPr="000D565C">
        <w:rPr>
          <w:b/>
          <w:bCs/>
        </w:rPr>
        <w:t xml:space="preserve">clarity on how the Victims of Crime Commissioner would </w:t>
      </w:r>
      <w:r w:rsidR="00F445F9" w:rsidRPr="000D565C">
        <w:rPr>
          <w:b/>
          <w:bCs/>
        </w:rPr>
        <w:t>operate</w:t>
      </w:r>
      <w:r w:rsidR="00B606AE">
        <w:rPr>
          <w:b/>
          <w:bCs/>
        </w:rPr>
        <w:t>;</w:t>
      </w:r>
      <w:r w:rsidR="00F445F9" w:rsidRPr="000D565C">
        <w:rPr>
          <w:b/>
          <w:bCs/>
        </w:rPr>
        <w:t xml:space="preserve"> how they would relate to other Commissioners in the short and long-term</w:t>
      </w:r>
      <w:r w:rsidR="00206B2E">
        <w:rPr>
          <w:b/>
          <w:bCs/>
        </w:rPr>
        <w:t>;</w:t>
      </w:r>
      <w:r w:rsidR="00F445F9" w:rsidRPr="000D565C">
        <w:rPr>
          <w:b/>
          <w:bCs/>
        </w:rPr>
        <w:t xml:space="preserve"> how independence would be assured</w:t>
      </w:r>
      <w:r w:rsidR="00206B2E">
        <w:rPr>
          <w:b/>
          <w:bCs/>
        </w:rPr>
        <w:t>;</w:t>
      </w:r>
      <w:r w:rsidR="00F445F9" w:rsidRPr="000D565C">
        <w:rPr>
          <w:b/>
          <w:bCs/>
        </w:rPr>
        <w:t xml:space="preserve"> and </w:t>
      </w:r>
      <w:r w:rsidR="00195207" w:rsidRPr="00195207">
        <w:rPr>
          <w:b/>
          <w:bCs/>
        </w:rPr>
        <w:t>the extent of the</w:t>
      </w:r>
      <w:r w:rsidR="00A01115">
        <w:rPr>
          <w:b/>
          <w:bCs/>
        </w:rPr>
        <w:t xml:space="preserve"> Commissioner’s</w:t>
      </w:r>
      <w:r w:rsidR="00195207" w:rsidRPr="00195207">
        <w:rPr>
          <w:b/>
          <w:bCs/>
        </w:rPr>
        <w:t xml:space="preserve"> powers</w:t>
      </w:r>
      <w:r w:rsidR="00A01115">
        <w:rPr>
          <w:b/>
          <w:bCs/>
        </w:rPr>
        <w:t xml:space="preserve"> which should include initiating his or her own investigations and to intervene and initiate legal proceedings</w:t>
      </w:r>
      <w:r w:rsidR="00195207">
        <w:t>.</w:t>
      </w:r>
    </w:p>
    <w:p w14:paraId="4EB7A925" w14:textId="77777777" w:rsidR="0078789F" w:rsidRPr="0078789F" w:rsidRDefault="0078789F" w:rsidP="00A2361E">
      <w:pPr>
        <w:pStyle w:val="ListParagraph"/>
        <w:spacing w:line="276" w:lineRule="auto"/>
        <w:jc w:val="both"/>
        <w:rPr>
          <w:rFonts w:cs="Arial"/>
          <w:color w:val="232120"/>
        </w:rPr>
      </w:pPr>
    </w:p>
    <w:p w14:paraId="76E0C94E" w14:textId="77777777" w:rsidR="00B624EE" w:rsidRPr="001316FE" w:rsidRDefault="00B624EE" w:rsidP="00A2361E">
      <w:pPr>
        <w:pStyle w:val="ListParagraph"/>
        <w:spacing w:line="276" w:lineRule="auto"/>
        <w:rPr>
          <w:rFonts w:cs="Arial"/>
          <w:color w:val="232120"/>
        </w:rPr>
      </w:pPr>
    </w:p>
    <w:p w14:paraId="28979F83" w14:textId="77777777" w:rsidR="005F0165" w:rsidRDefault="005F0165" w:rsidP="00703FFF">
      <w:pPr>
        <w:pStyle w:val="BasicParagraph"/>
        <w:suppressAutoHyphens/>
        <w:jc w:val="both"/>
        <w:rPr>
          <w:rFonts w:ascii="Verdana" w:hAnsi="Verdana" w:cs="Arial"/>
          <w:color w:val="232120"/>
          <w:sz w:val="20"/>
          <w:szCs w:val="20"/>
        </w:rPr>
      </w:pPr>
    </w:p>
    <w:p w14:paraId="5BCF26E6" w14:textId="77777777" w:rsidR="005F0165" w:rsidRDefault="005F0165" w:rsidP="00703FFF">
      <w:pPr>
        <w:pStyle w:val="BasicParagraph"/>
        <w:suppressAutoHyphens/>
        <w:jc w:val="both"/>
        <w:rPr>
          <w:rFonts w:ascii="Verdana" w:hAnsi="Verdana" w:cs="Arial"/>
          <w:color w:val="3C3C3B"/>
          <w:sz w:val="20"/>
          <w:szCs w:val="20"/>
        </w:rPr>
      </w:pPr>
    </w:p>
    <w:p w14:paraId="35143C3E" w14:textId="77777777" w:rsidR="005F0165" w:rsidRDefault="005F0165" w:rsidP="00703FFF">
      <w:pPr>
        <w:pStyle w:val="BasicParagraph"/>
        <w:suppressAutoHyphens/>
        <w:jc w:val="both"/>
        <w:rPr>
          <w:rFonts w:ascii="Verdana" w:hAnsi="Verdana" w:cs="Arial"/>
          <w:color w:val="3C3C3B"/>
          <w:sz w:val="20"/>
          <w:szCs w:val="20"/>
        </w:rPr>
      </w:pPr>
    </w:p>
    <w:p w14:paraId="6457E592" w14:textId="77777777" w:rsidR="005F0165" w:rsidRDefault="005F0165" w:rsidP="00703FFF">
      <w:pPr>
        <w:pStyle w:val="BasicParagraph"/>
        <w:suppressAutoHyphens/>
        <w:jc w:val="both"/>
        <w:rPr>
          <w:rFonts w:ascii="Verdana" w:hAnsi="Verdana" w:cs="Arial"/>
          <w:color w:val="3C3C3B"/>
          <w:sz w:val="20"/>
          <w:szCs w:val="20"/>
        </w:rPr>
      </w:pPr>
    </w:p>
    <w:p w14:paraId="1B0F0415" w14:textId="77777777" w:rsidR="00081263" w:rsidRDefault="00081263" w:rsidP="00703FFF">
      <w:pPr>
        <w:pStyle w:val="BasicParagraph"/>
        <w:suppressAutoHyphens/>
        <w:jc w:val="both"/>
        <w:rPr>
          <w:rFonts w:ascii="Verdana" w:hAnsi="Verdana" w:cs="Arial"/>
          <w:b/>
          <w:bCs/>
          <w:color w:val="77328A"/>
          <w:sz w:val="36"/>
          <w:szCs w:val="36"/>
        </w:rPr>
      </w:pPr>
    </w:p>
    <w:p w14:paraId="2A1C5EA4" w14:textId="77777777" w:rsidR="00081263" w:rsidRDefault="00081263" w:rsidP="00703FFF">
      <w:pPr>
        <w:pStyle w:val="BasicParagraph"/>
        <w:suppressAutoHyphens/>
        <w:jc w:val="both"/>
        <w:rPr>
          <w:rFonts w:ascii="Verdana" w:hAnsi="Verdana" w:cs="Arial"/>
          <w:b/>
          <w:bCs/>
          <w:color w:val="77328A"/>
          <w:sz w:val="36"/>
          <w:szCs w:val="36"/>
        </w:rPr>
      </w:pPr>
    </w:p>
    <w:p w14:paraId="1D677838" w14:textId="77777777" w:rsidR="00081263" w:rsidRDefault="00081263" w:rsidP="00703FFF">
      <w:pPr>
        <w:pStyle w:val="BasicParagraph"/>
        <w:suppressAutoHyphens/>
        <w:jc w:val="both"/>
        <w:rPr>
          <w:rFonts w:ascii="Verdana" w:hAnsi="Verdana" w:cs="Arial"/>
          <w:b/>
          <w:bCs/>
          <w:color w:val="77328A"/>
          <w:sz w:val="36"/>
          <w:szCs w:val="36"/>
        </w:rPr>
      </w:pPr>
    </w:p>
    <w:p w14:paraId="257BD07D" w14:textId="77777777" w:rsidR="00081263" w:rsidRDefault="00081263" w:rsidP="00703FFF">
      <w:pPr>
        <w:pStyle w:val="BasicParagraph"/>
        <w:suppressAutoHyphens/>
        <w:jc w:val="both"/>
        <w:rPr>
          <w:rFonts w:ascii="Verdana" w:hAnsi="Verdana" w:cs="Arial"/>
          <w:b/>
          <w:bCs/>
          <w:color w:val="77328A"/>
          <w:sz w:val="36"/>
          <w:szCs w:val="36"/>
        </w:rPr>
      </w:pPr>
    </w:p>
    <w:p w14:paraId="19FA2494" w14:textId="77777777" w:rsidR="00081263" w:rsidRDefault="00081263" w:rsidP="00703FFF">
      <w:pPr>
        <w:pStyle w:val="BasicParagraph"/>
        <w:suppressAutoHyphens/>
        <w:jc w:val="both"/>
        <w:rPr>
          <w:rFonts w:ascii="Verdana" w:hAnsi="Verdana" w:cs="Arial"/>
          <w:b/>
          <w:bCs/>
          <w:color w:val="77328A"/>
          <w:sz w:val="36"/>
          <w:szCs w:val="36"/>
        </w:rPr>
      </w:pPr>
    </w:p>
    <w:p w14:paraId="2C59FB16" w14:textId="77777777" w:rsidR="00081263" w:rsidRDefault="00081263" w:rsidP="00703FFF">
      <w:pPr>
        <w:pStyle w:val="BasicParagraph"/>
        <w:suppressAutoHyphens/>
        <w:jc w:val="both"/>
        <w:rPr>
          <w:rFonts w:ascii="Verdana" w:hAnsi="Verdana" w:cs="Arial"/>
          <w:b/>
          <w:bCs/>
          <w:color w:val="77328A"/>
          <w:sz w:val="36"/>
          <w:szCs w:val="36"/>
        </w:rPr>
      </w:pPr>
    </w:p>
    <w:p w14:paraId="1302531C" w14:textId="77777777" w:rsidR="00081263" w:rsidRDefault="00081263" w:rsidP="00703FFF">
      <w:pPr>
        <w:pStyle w:val="BasicParagraph"/>
        <w:suppressAutoHyphens/>
        <w:jc w:val="both"/>
        <w:rPr>
          <w:rFonts w:ascii="Verdana" w:hAnsi="Verdana" w:cs="Arial"/>
          <w:b/>
          <w:bCs/>
          <w:color w:val="77328A"/>
          <w:sz w:val="36"/>
          <w:szCs w:val="36"/>
        </w:rPr>
      </w:pPr>
    </w:p>
    <w:p w14:paraId="5B3B2406" w14:textId="77777777" w:rsidR="00081263" w:rsidRDefault="00081263" w:rsidP="00703FFF">
      <w:pPr>
        <w:pStyle w:val="BasicParagraph"/>
        <w:suppressAutoHyphens/>
        <w:jc w:val="both"/>
        <w:rPr>
          <w:rFonts w:ascii="Verdana" w:hAnsi="Verdana" w:cs="Arial"/>
          <w:b/>
          <w:bCs/>
          <w:color w:val="77328A"/>
          <w:sz w:val="36"/>
          <w:szCs w:val="36"/>
        </w:rPr>
      </w:pPr>
    </w:p>
    <w:p w14:paraId="06E1E5A1" w14:textId="77777777" w:rsidR="00081263" w:rsidRDefault="00081263" w:rsidP="00703FFF">
      <w:pPr>
        <w:pStyle w:val="BasicParagraph"/>
        <w:suppressAutoHyphens/>
        <w:jc w:val="both"/>
        <w:rPr>
          <w:rFonts w:ascii="Verdana" w:hAnsi="Verdana" w:cs="Arial"/>
          <w:b/>
          <w:bCs/>
          <w:color w:val="77328A"/>
          <w:sz w:val="36"/>
          <w:szCs w:val="36"/>
        </w:rPr>
      </w:pPr>
    </w:p>
    <w:p w14:paraId="4CD10BE7" w14:textId="77777777" w:rsidR="00DF2F15" w:rsidRDefault="001C602C" w:rsidP="001C602C">
      <w:pPr>
        <w:spacing w:after="160" w:line="259" w:lineRule="auto"/>
        <w:jc w:val="center"/>
        <w:rPr>
          <w:rFonts w:cs="Arial"/>
          <w:b/>
          <w:bCs/>
          <w:color w:val="77328A"/>
          <w:sz w:val="36"/>
          <w:szCs w:val="36"/>
        </w:rPr>
      </w:pPr>
      <w:r>
        <w:rPr>
          <w:rFonts w:cs="Arial"/>
          <w:b/>
          <w:bCs/>
          <w:color w:val="77328A"/>
          <w:sz w:val="36"/>
          <w:szCs w:val="36"/>
        </w:rPr>
        <w:br w:type="page"/>
      </w:r>
    </w:p>
    <w:p w14:paraId="62E80FE9" w14:textId="77777777" w:rsidR="00DF2F15" w:rsidRDefault="00DF2F15" w:rsidP="001C602C">
      <w:pPr>
        <w:spacing w:after="160" w:line="259" w:lineRule="auto"/>
        <w:jc w:val="center"/>
        <w:rPr>
          <w:rFonts w:cs="Arial"/>
          <w:b/>
          <w:bCs/>
          <w:color w:val="77328A"/>
          <w:sz w:val="36"/>
          <w:szCs w:val="36"/>
        </w:rPr>
      </w:pPr>
    </w:p>
    <w:p w14:paraId="43AF49FB" w14:textId="77777777" w:rsidR="00DF2F15" w:rsidRDefault="00DF2F15" w:rsidP="001C602C">
      <w:pPr>
        <w:spacing w:after="160" w:line="259" w:lineRule="auto"/>
        <w:jc w:val="center"/>
        <w:rPr>
          <w:rFonts w:cs="Arial"/>
          <w:b/>
          <w:bCs/>
          <w:color w:val="77328A"/>
          <w:sz w:val="36"/>
          <w:szCs w:val="36"/>
        </w:rPr>
      </w:pPr>
    </w:p>
    <w:p w14:paraId="7CCC1848" w14:textId="77777777" w:rsidR="00DF2F15" w:rsidRDefault="00DF2F15" w:rsidP="001C602C">
      <w:pPr>
        <w:spacing w:after="160" w:line="259" w:lineRule="auto"/>
        <w:jc w:val="center"/>
        <w:rPr>
          <w:rFonts w:cs="Arial"/>
          <w:b/>
          <w:bCs/>
          <w:color w:val="77328A"/>
          <w:sz w:val="36"/>
          <w:szCs w:val="36"/>
        </w:rPr>
      </w:pPr>
    </w:p>
    <w:p w14:paraId="0C7857C2" w14:textId="77777777" w:rsidR="00DF2F15" w:rsidRDefault="00DF2F15" w:rsidP="001C602C">
      <w:pPr>
        <w:spacing w:after="160" w:line="259" w:lineRule="auto"/>
        <w:jc w:val="center"/>
        <w:rPr>
          <w:rFonts w:cs="Arial"/>
          <w:b/>
          <w:bCs/>
          <w:color w:val="77328A"/>
          <w:sz w:val="36"/>
          <w:szCs w:val="36"/>
        </w:rPr>
      </w:pPr>
    </w:p>
    <w:p w14:paraId="3A27CD3C" w14:textId="77777777" w:rsidR="00DF2F15" w:rsidRDefault="00DF2F15" w:rsidP="001C602C">
      <w:pPr>
        <w:spacing w:after="160" w:line="259" w:lineRule="auto"/>
        <w:jc w:val="center"/>
        <w:rPr>
          <w:rFonts w:cs="Arial"/>
          <w:b/>
          <w:bCs/>
          <w:color w:val="77328A"/>
          <w:sz w:val="36"/>
          <w:szCs w:val="36"/>
        </w:rPr>
      </w:pPr>
    </w:p>
    <w:p w14:paraId="2B9AB14A" w14:textId="77777777" w:rsidR="00DF2F15" w:rsidRDefault="00DF2F15" w:rsidP="001C602C">
      <w:pPr>
        <w:spacing w:after="160" w:line="259" w:lineRule="auto"/>
        <w:jc w:val="center"/>
        <w:rPr>
          <w:rFonts w:cs="Arial"/>
          <w:b/>
          <w:bCs/>
          <w:color w:val="77328A"/>
          <w:sz w:val="36"/>
          <w:szCs w:val="36"/>
        </w:rPr>
      </w:pPr>
    </w:p>
    <w:p w14:paraId="7E18D0D8" w14:textId="77777777" w:rsidR="00DF2F15" w:rsidRDefault="00DF2F15" w:rsidP="001C602C">
      <w:pPr>
        <w:spacing w:after="160" w:line="259" w:lineRule="auto"/>
        <w:jc w:val="center"/>
        <w:rPr>
          <w:rFonts w:cs="Arial"/>
          <w:b/>
          <w:bCs/>
          <w:color w:val="77328A"/>
          <w:sz w:val="36"/>
          <w:szCs w:val="36"/>
        </w:rPr>
      </w:pPr>
    </w:p>
    <w:p w14:paraId="23331719" w14:textId="68902CF0" w:rsidR="005F0165" w:rsidRDefault="005F0165" w:rsidP="001C602C">
      <w:pPr>
        <w:spacing w:after="160" w:line="259" w:lineRule="auto"/>
        <w:jc w:val="center"/>
        <w:rPr>
          <w:rFonts w:cs="Arial"/>
          <w:b/>
          <w:bCs/>
          <w:color w:val="77328A"/>
          <w:sz w:val="36"/>
          <w:szCs w:val="36"/>
        </w:rPr>
      </w:pPr>
      <w:r>
        <w:rPr>
          <w:rFonts w:cs="Arial"/>
          <w:b/>
          <w:bCs/>
          <w:color w:val="77328A"/>
          <w:sz w:val="36"/>
          <w:szCs w:val="36"/>
        </w:rPr>
        <w:t>Contact us</w:t>
      </w:r>
    </w:p>
    <w:p w14:paraId="7A09EA1A" w14:textId="77777777" w:rsidR="005F0165" w:rsidRDefault="005F0165" w:rsidP="00703FFF">
      <w:pPr>
        <w:pStyle w:val="BasicParagraph"/>
        <w:suppressAutoHyphens/>
        <w:jc w:val="center"/>
        <w:rPr>
          <w:rFonts w:ascii="Verdana" w:hAnsi="Verdana" w:cs="Arial"/>
          <w:b/>
          <w:color w:val="77328A"/>
          <w:sz w:val="36"/>
          <w:szCs w:val="36"/>
        </w:rPr>
      </w:pPr>
    </w:p>
    <w:p w14:paraId="6966E759" w14:textId="77777777" w:rsidR="005F0165" w:rsidRDefault="008D6AC5" w:rsidP="00703FFF">
      <w:pPr>
        <w:spacing w:line="288" w:lineRule="auto"/>
        <w:jc w:val="center"/>
        <w:rPr>
          <w:rFonts w:cs="Arial"/>
          <w:color w:val="232120"/>
          <w:sz w:val="28"/>
          <w:szCs w:val="28"/>
        </w:rPr>
      </w:pPr>
      <w:hyperlink r:id="rId9" w:history="1">
        <w:r w:rsidR="005F0165">
          <w:rPr>
            <w:rStyle w:val="Hyperlink"/>
            <w:rFonts w:cs="Arial"/>
            <w:color w:val="232120"/>
            <w:sz w:val="28"/>
            <w:szCs w:val="28"/>
            <w:lang w:val="en-US"/>
          </w:rPr>
          <w:t>www.nihrc.org</w:t>
        </w:r>
      </w:hyperlink>
      <w:r w:rsidR="005F0165">
        <w:rPr>
          <w:rFonts w:cs="Arial"/>
          <w:color w:val="232120"/>
          <w:sz w:val="28"/>
          <w:szCs w:val="28"/>
          <w:lang w:val="en-US"/>
        </w:rPr>
        <w:t xml:space="preserve">  |  </w:t>
      </w:r>
      <w:hyperlink r:id="rId10" w:history="1">
        <w:r w:rsidR="005F0165">
          <w:rPr>
            <w:rStyle w:val="Hyperlink"/>
            <w:rFonts w:cs="Arial"/>
            <w:color w:val="232120"/>
            <w:sz w:val="28"/>
            <w:szCs w:val="28"/>
            <w:lang w:val="en-US"/>
          </w:rPr>
          <w:t>info@nihrc.org</w:t>
        </w:r>
      </w:hyperlink>
      <w:r w:rsidR="005F0165">
        <w:rPr>
          <w:rFonts w:cs="Arial"/>
          <w:color w:val="232120"/>
          <w:sz w:val="28"/>
          <w:szCs w:val="28"/>
          <w:lang w:val="en-US"/>
        </w:rPr>
        <w:t xml:space="preserve">  |  +44 (0)28 9024 3987</w:t>
      </w:r>
    </w:p>
    <w:p w14:paraId="2BC61D92" w14:textId="77777777" w:rsidR="005F0165" w:rsidRDefault="005F0165" w:rsidP="00703FFF">
      <w:pPr>
        <w:spacing w:line="288" w:lineRule="auto"/>
        <w:jc w:val="center"/>
        <w:rPr>
          <w:rFonts w:cs="Arial"/>
          <w:color w:val="232120"/>
          <w:sz w:val="28"/>
          <w:szCs w:val="28"/>
        </w:rPr>
      </w:pPr>
      <w:r>
        <w:rPr>
          <w:rFonts w:cs="Arial"/>
          <w:color w:val="232120"/>
          <w:sz w:val="28"/>
          <w:szCs w:val="28"/>
          <w:lang w:val="en-US"/>
        </w:rPr>
        <w:t>4</w:t>
      </w:r>
      <w:r>
        <w:rPr>
          <w:rFonts w:cs="Arial"/>
          <w:color w:val="232120"/>
          <w:sz w:val="28"/>
          <w:szCs w:val="28"/>
          <w:vertAlign w:val="superscript"/>
          <w:lang w:val="en-US"/>
        </w:rPr>
        <w:t>th</w:t>
      </w:r>
      <w:r>
        <w:rPr>
          <w:rFonts w:cs="Arial"/>
          <w:color w:val="232120"/>
          <w:sz w:val="28"/>
          <w:szCs w:val="28"/>
          <w:lang w:val="en-US"/>
        </w:rPr>
        <w:t xml:space="preserve"> Floor, Alfred House, 19-21 Alfred Street, Belfast, BT2 8ED</w:t>
      </w:r>
    </w:p>
    <w:p w14:paraId="6A693484" w14:textId="77777777" w:rsidR="005F0165" w:rsidRDefault="005F0165" w:rsidP="00703FFF">
      <w:pPr>
        <w:spacing w:line="288" w:lineRule="auto"/>
        <w:jc w:val="center"/>
        <w:rPr>
          <w:rFonts w:cs="Arial"/>
          <w:b/>
          <w:color w:val="232120"/>
          <w:sz w:val="28"/>
          <w:szCs w:val="28"/>
        </w:rPr>
      </w:pPr>
    </w:p>
    <w:p w14:paraId="61109AEC" w14:textId="77777777" w:rsidR="005F0165" w:rsidRDefault="005F0165" w:rsidP="00703FFF">
      <w:pPr>
        <w:spacing w:line="288" w:lineRule="auto"/>
        <w:jc w:val="center"/>
        <w:rPr>
          <w:rFonts w:cs="Arial"/>
          <w:color w:val="232120"/>
          <w:sz w:val="20"/>
          <w:szCs w:val="20"/>
        </w:rPr>
      </w:pPr>
    </w:p>
    <w:p w14:paraId="551429F2" w14:textId="77777777" w:rsidR="005F0165" w:rsidRDefault="005F0165" w:rsidP="00703FFF">
      <w:pPr>
        <w:pStyle w:val="BasicParagraph"/>
        <w:suppressAutoHyphens/>
        <w:spacing w:line="240" w:lineRule="auto"/>
        <w:jc w:val="center"/>
        <w:rPr>
          <w:rFonts w:ascii="Verdana" w:hAnsi="Verdana" w:cs="Arial"/>
          <w:color w:val="232120"/>
          <w:sz w:val="28"/>
          <w:szCs w:val="28"/>
        </w:rPr>
      </w:pPr>
      <w:r>
        <w:rPr>
          <w:rFonts w:ascii="Verdana" w:hAnsi="Verdana" w:cs="Arial"/>
          <w:noProof/>
          <w:color w:val="232120"/>
          <w:sz w:val="28"/>
          <w:szCs w:val="28"/>
          <w:lang w:eastAsia="en-GB"/>
        </w:rPr>
        <w:drawing>
          <wp:inline distT="0" distB="0" distL="0" distR="0" wp14:anchorId="1788A50F" wp14:editId="7030F0CF">
            <wp:extent cx="1514475" cy="276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4475" cy="276225"/>
                    </a:xfrm>
                    <a:prstGeom prst="rect">
                      <a:avLst/>
                    </a:prstGeom>
                    <a:noFill/>
                    <a:ln>
                      <a:noFill/>
                    </a:ln>
                  </pic:spPr>
                </pic:pic>
              </a:graphicData>
            </a:graphic>
          </wp:inline>
        </w:drawing>
      </w:r>
    </w:p>
    <w:p w14:paraId="019A1D6F" w14:textId="77777777" w:rsidR="005867E6" w:rsidRDefault="005867E6" w:rsidP="00703FFF">
      <w:pPr>
        <w:jc w:val="center"/>
      </w:pPr>
    </w:p>
    <w:sectPr w:rsidR="005867E6" w:rsidSect="00515670">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52C6E" w14:textId="77777777" w:rsidR="008D6AC5" w:rsidRDefault="008D6AC5" w:rsidP="005F0165">
      <w:r>
        <w:separator/>
      </w:r>
    </w:p>
  </w:endnote>
  <w:endnote w:type="continuationSeparator" w:id="0">
    <w:p w14:paraId="65B30DE7" w14:textId="77777777" w:rsidR="008D6AC5" w:rsidRDefault="008D6AC5" w:rsidP="005F0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ZurichBT-LightCondense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7643538"/>
      <w:docPartObj>
        <w:docPartGallery w:val="Page Numbers (Bottom of Page)"/>
        <w:docPartUnique/>
      </w:docPartObj>
    </w:sdtPr>
    <w:sdtEndPr>
      <w:rPr>
        <w:noProof/>
      </w:rPr>
    </w:sdtEndPr>
    <w:sdtContent>
      <w:p w14:paraId="09BA26AA" w14:textId="332435A0" w:rsidR="00515670" w:rsidRDefault="00515670">
        <w:pPr>
          <w:pStyle w:val="Footer"/>
          <w:jc w:val="right"/>
        </w:pPr>
        <w:r>
          <w:fldChar w:fldCharType="begin"/>
        </w:r>
        <w:r>
          <w:instrText xml:space="preserve"> PAGE   \* MERGEFORMAT </w:instrText>
        </w:r>
        <w:r>
          <w:fldChar w:fldCharType="separate"/>
        </w:r>
        <w:r w:rsidR="00A01115">
          <w:rPr>
            <w:noProof/>
          </w:rPr>
          <w:t>22</w:t>
        </w:r>
        <w:r>
          <w:rPr>
            <w:noProof/>
          </w:rPr>
          <w:fldChar w:fldCharType="end"/>
        </w:r>
      </w:p>
    </w:sdtContent>
  </w:sdt>
  <w:p w14:paraId="4569EFD8" w14:textId="77777777" w:rsidR="00515670" w:rsidRDefault="00515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82AB8" w14:textId="77777777" w:rsidR="008D6AC5" w:rsidRDefault="008D6AC5" w:rsidP="005F0165">
      <w:r>
        <w:separator/>
      </w:r>
    </w:p>
  </w:footnote>
  <w:footnote w:type="continuationSeparator" w:id="0">
    <w:p w14:paraId="3A03B76B" w14:textId="77777777" w:rsidR="008D6AC5" w:rsidRDefault="008D6AC5" w:rsidP="005F0165">
      <w:r>
        <w:continuationSeparator/>
      </w:r>
    </w:p>
  </w:footnote>
  <w:footnote w:id="1">
    <w:p w14:paraId="6CC1AB36" w14:textId="4D0CCA83" w:rsidR="00995FEF" w:rsidRDefault="00995FEF" w:rsidP="00995FEF">
      <w:pPr>
        <w:pStyle w:val="NIHRCFootnotes"/>
      </w:pPr>
      <w:r w:rsidRPr="00995FEF">
        <w:rPr>
          <w:vertAlign w:val="superscript"/>
        </w:rPr>
        <w:footnoteRef/>
      </w:r>
      <w:r w:rsidRPr="00995FEF">
        <w:rPr>
          <w:vertAlign w:val="superscript"/>
        </w:rPr>
        <w:t xml:space="preserve"> </w:t>
      </w:r>
      <w:r>
        <w:t>UK ratification 1951</w:t>
      </w:r>
    </w:p>
  </w:footnote>
  <w:footnote w:id="2">
    <w:p w14:paraId="1C2B7E41" w14:textId="0B5EE550" w:rsidR="005159B9" w:rsidRDefault="005159B9" w:rsidP="008228B9">
      <w:pPr>
        <w:pStyle w:val="NIHRCFootnotes"/>
      </w:pPr>
      <w:r>
        <w:rPr>
          <w:rStyle w:val="FootnoteReference"/>
        </w:rPr>
        <w:footnoteRef/>
      </w:r>
      <w:r>
        <w:t xml:space="preserve"> UK ratification 1976</w:t>
      </w:r>
    </w:p>
  </w:footnote>
  <w:footnote w:id="3">
    <w:p w14:paraId="08AEB726" w14:textId="033FDBB9" w:rsidR="00837E9C" w:rsidRDefault="00837E9C" w:rsidP="008228B9">
      <w:pPr>
        <w:pStyle w:val="NIHRCFootnotes"/>
      </w:pPr>
      <w:r w:rsidRPr="008228B9">
        <w:rPr>
          <w:rStyle w:val="FootnoteReference"/>
        </w:rPr>
        <w:footnoteRef/>
      </w:r>
      <w:r>
        <w:t xml:space="preserve"> </w:t>
      </w:r>
      <w:r w:rsidRPr="008228B9">
        <w:t>UK ratification 1991</w:t>
      </w:r>
    </w:p>
  </w:footnote>
  <w:footnote w:id="4">
    <w:p w14:paraId="02D7BF78" w14:textId="17AA81BD" w:rsidR="00837E9C" w:rsidRDefault="00837E9C" w:rsidP="008228B9">
      <w:pPr>
        <w:pStyle w:val="NIHRCFootnotes"/>
      </w:pPr>
      <w:r w:rsidRPr="008228B9">
        <w:rPr>
          <w:vertAlign w:val="superscript"/>
        </w:rPr>
        <w:footnoteRef/>
      </w:r>
      <w:r>
        <w:t xml:space="preserve"> </w:t>
      </w:r>
      <w:r w:rsidRPr="008228B9">
        <w:t xml:space="preserve">UK ratification 2009 </w:t>
      </w:r>
    </w:p>
  </w:footnote>
  <w:footnote w:id="5">
    <w:p w14:paraId="2E0CF5E4" w14:textId="0BBAC880" w:rsidR="00837E9C" w:rsidRDefault="00837E9C" w:rsidP="008228B9">
      <w:pPr>
        <w:pStyle w:val="NIHRCFootnotes"/>
      </w:pPr>
      <w:r w:rsidRPr="008228B9">
        <w:rPr>
          <w:vertAlign w:val="superscript"/>
        </w:rPr>
        <w:footnoteRef/>
      </w:r>
      <w:r>
        <w:t xml:space="preserve"> </w:t>
      </w:r>
      <w:r w:rsidRPr="008228B9">
        <w:t xml:space="preserve">UK ratification 1986 </w:t>
      </w:r>
    </w:p>
  </w:footnote>
  <w:footnote w:id="6">
    <w:p w14:paraId="00D2A362" w14:textId="70D08CE9" w:rsidR="001145C5" w:rsidRPr="008228B9" w:rsidRDefault="001145C5" w:rsidP="008228B9">
      <w:pPr>
        <w:pStyle w:val="NIHRCFootnotes"/>
      </w:pPr>
      <w:r w:rsidRPr="008228B9">
        <w:rPr>
          <w:vertAlign w:val="superscript"/>
        </w:rPr>
        <w:footnoteRef/>
      </w:r>
      <w:r>
        <w:t xml:space="preserve"> </w:t>
      </w:r>
      <w:r w:rsidRPr="008228B9">
        <w:t xml:space="preserve">UK ratification 1988 </w:t>
      </w:r>
    </w:p>
  </w:footnote>
  <w:footnote w:id="7">
    <w:p w14:paraId="10EB6AA2" w14:textId="110B127A" w:rsidR="008228B9" w:rsidRDefault="008228B9" w:rsidP="008228B9">
      <w:pPr>
        <w:pStyle w:val="NIHRCFootnotes"/>
      </w:pPr>
      <w:r w:rsidRPr="008228B9">
        <w:rPr>
          <w:vertAlign w:val="superscript"/>
        </w:rPr>
        <w:footnoteRef/>
      </w:r>
      <w:r w:rsidRPr="008228B9">
        <w:rPr>
          <w:vertAlign w:val="superscript"/>
        </w:rPr>
        <w:t xml:space="preserve"> </w:t>
      </w:r>
      <w:r w:rsidRPr="008228B9">
        <w:t>UK ratification 1990</w:t>
      </w:r>
    </w:p>
  </w:footnote>
  <w:footnote w:id="8">
    <w:p w14:paraId="7555F6BA" w14:textId="5E0ACB8A" w:rsidR="008228B9" w:rsidRPr="008228B9" w:rsidRDefault="008228B9" w:rsidP="008228B9">
      <w:pPr>
        <w:pStyle w:val="NIHRCFootnotes"/>
      </w:pPr>
      <w:r w:rsidRPr="00AC1A60">
        <w:rPr>
          <w:rStyle w:val="FootnoteReference"/>
        </w:rPr>
        <w:footnoteRef/>
      </w:r>
      <w:r w:rsidRPr="00AC1A60">
        <w:rPr>
          <w:rStyle w:val="FootnoteReference"/>
        </w:rPr>
        <w:t xml:space="preserve"> </w:t>
      </w:r>
      <w:r w:rsidRPr="008228B9">
        <w:t xml:space="preserve">UK ratification 2008 </w:t>
      </w:r>
    </w:p>
  </w:footnote>
  <w:footnote w:id="9">
    <w:p w14:paraId="3E869325" w14:textId="387E3D84" w:rsidR="008228B9" w:rsidRDefault="008228B9" w:rsidP="008228B9">
      <w:pPr>
        <w:pStyle w:val="NIHRCFootnotes"/>
      </w:pPr>
      <w:r w:rsidRPr="00AC1A60">
        <w:rPr>
          <w:rStyle w:val="FootnoteReference"/>
        </w:rPr>
        <w:footnoteRef/>
      </w:r>
      <w:r w:rsidRPr="00AC1A60">
        <w:rPr>
          <w:rStyle w:val="FootnoteReference"/>
        </w:rPr>
        <w:t xml:space="preserve"> </w:t>
      </w:r>
      <w:r w:rsidRPr="008228B9">
        <w:t>UK ratification 2006</w:t>
      </w:r>
    </w:p>
  </w:footnote>
  <w:footnote w:id="10">
    <w:p w14:paraId="00389B19" w14:textId="47D3EB09" w:rsidR="008228B9" w:rsidRPr="008228B9" w:rsidRDefault="008228B9" w:rsidP="008228B9">
      <w:pPr>
        <w:pStyle w:val="NIHRCFootnotes"/>
      </w:pPr>
      <w:r w:rsidRPr="00AC1A60">
        <w:rPr>
          <w:rStyle w:val="FootnoteReference"/>
        </w:rPr>
        <w:footnoteRef/>
      </w:r>
      <w:r w:rsidRPr="00AC1A60">
        <w:rPr>
          <w:rStyle w:val="FootnoteReference"/>
        </w:rPr>
        <w:t xml:space="preserve"> </w:t>
      </w:r>
      <w:r w:rsidRPr="008228B9">
        <w:t>UK ratification 2006</w:t>
      </w:r>
    </w:p>
  </w:footnote>
  <w:footnote w:id="11">
    <w:p w14:paraId="15429A48" w14:textId="3F58AC39" w:rsidR="008228B9" w:rsidRDefault="008228B9" w:rsidP="008228B9">
      <w:pPr>
        <w:pStyle w:val="NIHRCFootnotes"/>
      </w:pPr>
      <w:r w:rsidRPr="00AC1A60">
        <w:rPr>
          <w:rStyle w:val="FootnoteReference"/>
        </w:rPr>
        <w:footnoteRef/>
      </w:r>
      <w:r w:rsidRPr="00AC1A60">
        <w:rPr>
          <w:rStyle w:val="FootnoteReference"/>
        </w:rPr>
        <w:t xml:space="preserve"> </w:t>
      </w:r>
      <w:r w:rsidRPr="008228B9">
        <w:t>UK ratification 2009</w:t>
      </w:r>
    </w:p>
  </w:footnote>
  <w:footnote w:id="12">
    <w:p w14:paraId="64B8F83D" w14:textId="6FF2594C" w:rsidR="008228B9" w:rsidRDefault="008228B9" w:rsidP="008228B9">
      <w:pPr>
        <w:pStyle w:val="NIHRCFootnotes"/>
      </w:pPr>
      <w:r w:rsidRPr="00AC1A60">
        <w:rPr>
          <w:rStyle w:val="FootnoteReference"/>
        </w:rPr>
        <w:footnoteRef/>
      </w:r>
      <w:r w:rsidRPr="00AC1A60">
        <w:rPr>
          <w:rStyle w:val="FootnoteReference"/>
        </w:rPr>
        <w:t xml:space="preserve"> </w:t>
      </w:r>
      <w:r>
        <w:t>UK ratification 2018</w:t>
      </w:r>
    </w:p>
  </w:footnote>
  <w:footnote w:id="13">
    <w:p w14:paraId="6AAA64F3" w14:textId="77777777" w:rsidR="007F3DC3" w:rsidRDefault="007F3DC3" w:rsidP="007F3DC3">
      <w:pPr>
        <w:pStyle w:val="NIHRCFootnotes"/>
      </w:pPr>
      <w:r w:rsidRPr="008D5A7B">
        <w:rPr>
          <w:rStyle w:val="FootnoteReference"/>
        </w:rPr>
        <w:footnoteRef/>
      </w:r>
      <w:r w:rsidRPr="008D5A7B">
        <w:t xml:space="preserve"> Signed by the UK in 2012. The UK has not yet ratified this Convention but has committed to do so with the enactment of the Preventing and Combating Violence against Women and Domestic Violence (Ratification of Convention) Act 2017. The UK Mission at Geneva has also stated, “the UK’s approach to signing international treaties is that we only give our signature where we are fully prepared to follow-up with ratification in a short time thereafter”. See UK Mission at Geneva, ‘Universal Periodic Review Mid-term Progress Update by the United Kingdom on its Implementation of Recommendations Agreed in June 2008’ (UKMIS), at recommendation 22 (France). </w:t>
      </w:r>
    </w:p>
  </w:footnote>
  <w:footnote w:id="14">
    <w:p w14:paraId="25EFAE99" w14:textId="77777777" w:rsidR="005F0165" w:rsidRDefault="005F0165">
      <w:pPr>
        <w:pStyle w:val="FootnoteText"/>
      </w:pPr>
      <w:r w:rsidRPr="00677341">
        <w:rPr>
          <w:rFonts w:cs="Arial"/>
          <w:color w:val="77328A"/>
          <w:sz w:val="16"/>
          <w:szCs w:val="16"/>
          <w:vertAlign w:val="superscript"/>
        </w:rPr>
        <w:footnoteRef/>
      </w:r>
      <w:r w:rsidRPr="00677341">
        <w:rPr>
          <w:rFonts w:cs="Arial"/>
          <w:color w:val="77328A"/>
          <w:sz w:val="16"/>
          <w:szCs w:val="16"/>
          <w:vertAlign w:val="superscript"/>
        </w:rPr>
        <w:t xml:space="preserve"> </w:t>
      </w:r>
      <w:r w:rsidRPr="005F0165">
        <w:rPr>
          <w:rFonts w:cs="Arial"/>
          <w:color w:val="77328A"/>
          <w:sz w:val="16"/>
          <w:szCs w:val="16"/>
        </w:rPr>
        <w:t xml:space="preserve">For an overview of the significant body of international human rights law relating to the protection of victims and witnesses see Report of the United Nations High Commissioner for Human Rights on the Right to the truth, A/HRC/15/33, 28 </w:t>
      </w:r>
      <w:proofErr w:type="gramStart"/>
      <w:r w:rsidRPr="005F0165">
        <w:rPr>
          <w:rFonts w:cs="Arial"/>
          <w:color w:val="77328A"/>
          <w:sz w:val="16"/>
          <w:szCs w:val="16"/>
        </w:rPr>
        <w:t>July,</w:t>
      </w:r>
      <w:proofErr w:type="gramEnd"/>
      <w:r w:rsidRPr="005F0165">
        <w:rPr>
          <w:rFonts w:cs="Arial"/>
          <w:color w:val="77328A"/>
          <w:sz w:val="16"/>
          <w:szCs w:val="16"/>
        </w:rPr>
        <w:t xml:space="preserve"> 2010, paras. 6-12. See also, Criminal Justice Assessment Toolkit.</w:t>
      </w:r>
    </w:p>
  </w:footnote>
  <w:footnote w:id="15">
    <w:p w14:paraId="7709E1C5" w14:textId="77777777" w:rsidR="005F0165" w:rsidRDefault="005F0165" w:rsidP="005F0165">
      <w:pPr>
        <w:pStyle w:val="NIHRCFootnotes"/>
      </w:pPr>
      <w:r>
        <w:rPr>
          <w:rStyle w:val="FootnoteReference"/>
        </w:rPr>
        <w:footnoteRef/>
      </w:r>
      <w:r>
        <w:t xml:space="preserve"> A/RES/40/34, ‘UN General Assembly Principles of Justice for Victims of Crime and Abuse of Power,’ 29 November 1985 </w:t>
      </w:r>
    </w:p>
  </w:footnote>
  <w:footnote w:id="16">
    <w:p w14:paraId="512739A0" w14:textId="77777777" w:rsidR="00E758F0" w:rsidRDefault="00E758F0" w:rsidP="00E758F0">
      <w:pPr>
        <w:pStyle w:val="footnotedescription"/>
        <w:spacing w:after="1"/>
      </w:pPr>
      <w:r>
        <w:rPr>
          <w:rStyle w:val="footnotemark"/>
        </w:rPr>
        <w:footnoteRef/>
      </w:r>
      <w:r>
        <w:t xml:space="preserve"> A/Res/48/104.  </w:t>
      </w:r>
    </w:p>
  </w:footnote>
  <w:footnote w:id="17">
    <w:p w14:paraId="68DAA117" w14:textId="77777777" w:rsidR="00E758F0" w:rsidRDefault="00E758F0" w:rsidP="00E758F0">
      <w:pPr>
        <w:pStyle w:val="footnotedescription"/>
      </w:pPr>
      <w:r>
        <w:rPr>
          <w:rStyle w:val="footnotemark"/>
        </w:rPr>
        <w:footnoteRef/>
      </w:r>
      <w:r>
        <w:t xml:space="preserve"> Adopted by the Committee of Ministers on 30 April 2002.  </w:t>
      </w:r>
    </w:p>
  </w:footnote>
  <w:footnote w:id="18">
    <w:p w14:paraId="2662D3C3" w14:textId="77777777" w:rsidR="00E758F0" w:rsidRDefault="00E758F0" w:rsidP="00E758F0">
      <w:pPr>
        <w:pStyle w:val="footnotedescription"/>
        <w:spacing w:after="5"/>
      </w:pPr>
      <w:r>
        <w:rPr>
          <w:rStyle w:val="footnotemark"/>
        </w:rPr>
        <w:footnoteRef/>
      </w:r>
      <w:r>
        <w:t xml:space="preserve"> A/RES/60/147. </w:t>
      </w:r>
    </w:p>
  </w:footnote>
  <w:footnote w:id="19">
    <w:p w14:paraId="3862A29A" w14:textId="77777777" w:rsidR="00E758F0" w:rsidRDefault="00E758F0" w:rsidP="00E758F0">
      <w:pPr>
        <w:pStyle w:val="footnotedescription"/>
      </w:pPr>
      <w:r>
        <w:rPr>
          <w:rStyle w:val="footnotemark"/>
        </w:rPr>
        <w:footnoteRef/>
      </w:r>
      <w:r>
        <w:t xml:space="preserve"> Adopted by the Committee of Ministers on 20 April 2005. </w:t>
      </w:r>
    </w:p>
  </w:footnote>
  <w:footnote w:id="20">
    <w:p w14:paraId="3B04C1B7" w14:textId="77777777" w:rsidR="00E758F0" w:rsidRDefault="00E758F0" w:rsidP="00E758F0">
      <w:pPr>
        <w:pStyle w:val="footnotedescription"/>
      </w:pPr>
      <w:r>
        <w:rPr>
          <w:rStyle w:val="footnotemark"/>
        </w:rPr>
        <w:footnoteRef/>
      </w:r>
      <w:r>
        <w:t xml:space="preserve"> Adopted by the Committee of Ministers on 14 June 2006. </w:t>
      </w:r>
    </w:p>
  </w:footnote>
  <w:footnote w:id="21">
    <w:p w14:paraId="4088662B" w14:textId="77777777" w:rsidR="007203B6" w:rsidRDefault="007203B6">
      <w:pPr>
        <w:pStyle w:val="FootnoteText"/>
      </w:pPr>
      <w:r w:rsidRPr="005F2CEA">
        <w:rPr>
          <w:rStyle w:val="footnotemark"/>
          <w:rFonts w:eastAsiaTheme="minorEastAsia"/>
          <w:iCs/>
          <w:lang w:eastAsia="en-GB"/>
        </w:rPr>
        <w:footnoteRef/>
      </w:r>
      <w:r w:rsidRPr="005F2CEA">
        <w:rPr>
          <w:rStyle w:val="footnotemark"/>
          <w:rFonts w:eastAsiaTheme="minorEastAsia"/>
          <w:iCs/>
          <w:lang w:eastAsia="en-GB"/>
        </w:rPr>
        <w:t xml:space="preserve"> </w:t>
      </w:r>
      <w:r w:rsidRPr="005F2CEA">
        <w:rPr>
          <w:rFonts w:eastAsia="Times New Roman" w:cs="Verdana"/>
          <w:iCs/>
          <w:color w:val="77328A"/>
          <w:sz w:val="16"/>
          <w:szCs w:val="22"/>
          <w:lang w:eastAsia="en-GB"/>
        </w:rPr>
        <w:t>Consultation document, p</w:t>
      </w:r>
      <w:r>
        <w:rPr>
          <w:rFonts w:eastAsia="Times New Roman" w:cs="Verdana"/>
          <w:iCs/>
          <w:color w:val="77328A"/>
          <w:sz w:val="16"/>
          <w:szCs w:val="22"/>
          <w:lang w:eastAsia="en-GB"/>
        </w:rPr>
        <w:t>21</w:t>
      </w:r>
    </w:p>
  </w:footnote>
  <w:footnote w:id="22">
    <w:p w14:paraId="061233DF" w14:textId="3773B36E" w:rsidR="008348DC" w:rsidRPr="00630FC9" w:rsidRDefault="00451072" w:rsidP="00B7787F">
      <w:pPr>
        <w:spacing w:line="288" w:lineRule="auto"/>
        <w:rPr>
          <w:rFonts w:eastAsia="Times New Roman" w:cs="Verdana"/>
          <w:iCs/>
          <w:color w:val="77328A"/>
          <w:sz w:val="16"/>
          <w:szCs w:val="22"/>
          <w:lang w:eastAsia="en-GB"/>
        </w:rPr>
      </w:pPr>
      <w:r w:rsidRPr="00630FC9">
        <w:rPr>
          <w:rStyle w:val="footnotemark"/>
          <w:rFonts w:eastAsiaTheme="minorEastAsia"/>
          <w:iCs/>
          <w:lang w:eastAsia="en-GB"/>
        </w:rPr>
        <w:footnoteRef/>
      </w:r>
      <w:r w:rsidRPr="00630FC9">
        <w:rPr>
          <w:rStyle w:val="footnotemark"/>
          <w:rFonts w:eastAsiaTheme="minorEastAsia"/>
          <w:iCs/>
          <w:lang w:eastAsia="en-GB"/>
        </w:rPr>
        <w:t xml:space="preserve"> </w:t>
      </w:r>
      <w:r w:rsidR="008348DC" w:rsidRPr="00F347B4">
        <w:rPr>
          <w:rFonts w:eastAsia="Times New Roman" w:cs="Verdana"/>
          <w:iCs/>
          <w:color w:val="77328A"/>
          <w:sz w:val="16"/>
          <w:szCs w:val="22"/>
          <w:lang w:eastAsia="en-GB"/>
        </w:rPr>
        <w:t>In 2015, the UN Human Rights Committee recommended the introduction of “concrete measures to reduce avoidable delays in the criminal justice system in NI, including by introducing custodial time limits”</w:t>
      </w:r>
      <w:r w:rsidR="00BA75F4" w:rsidRPr="00F347B4">
        <w:rPr>
          <w:rFonts w:eastAsia="Times New Roman" w:cs="Verdana"/>
          <w:iCs/>
          <w:color w:val="77328A"/>
          <w:sz w:val="16"/>
          <w:szCs w:val="22"/>
          <w:lang w:eastAsia="en-GB"/>
        </w:rPr>
        <w:t xml:space="preserve"> (CCPR/C/GBR/CO/7, ‘UN Human Rights Committee Concluding Observations on the Seventh Periodic Report of the UK of Great Britain and NI’, 17 August 2015, at para 22.)</w:t>
      </w:r>
      <w:r w:rsidR="008348DC" w:rsidRPr="00F347B4">
        <w:rPr>
          <w:rFonts w:eastAsia="Times New Roman" w:cs="Verdana"/>
          <w:iCs/>
          <w:color w:val="77328A"/>
          <w:sz w:val="16"/>
          <w:szCs w:val="22"/>
          <w:lang w:eastAsia="en-GB"/>
        </w:rPr>
        <w:t xml:space="preserve"> The Criminal Justice Inspection NI has stated that failure to introduce statutory custodial time limits in NI “consigns the justice process here to continuing unacceptable delay in processing cases”</w:t>
      </w:r>
      <w:r w:rsidR="00B7787F" w:rsidRPr="00F347B4">
        <w:rPr>
          <w:rFonts w:eastAsia="Times New Roman" w:cs="Verdana"/>
          <w:iCs/>
          <w:color w:val="77328A"/>
          <w:sz w:val="16"/>
          <w:szCs w:val="22"/>
          <w:lang w:eastAsia="en-GB"/>
        </w:rPr>
        <w:t xml:space="preserve"> </w:t>
      </w:r>
      <w:r w:rsidR="00770BC1" w:rsidRPr="00F347B4">
        <w:rPr>
          <w:rFonts w:eastAsia="Times New Roman" w:cs="Verdana"/>
          <w:iCs/>
          <w:color w:val="77328A"/>
          <w:sz w:val="16"/>
          <w:szCs w:val="22"/>
          <w:lang w:eastAsia="en-GB"/>
        </w:rPr>
        <w:t>(Hansard, ‘Official Report (Hansard) Session: 2013/2014’, 25 June 2014)</w:t>
      </w:r>
      <w:r w:rsidR="008348DC" w:rsidRPr="00F347B4">
        <w:rPr>
          <w:rFonts w:eastAsia="Times New Roman" w:cs="Verdana"/>
          <w:iCs/>
          <w:color w:val="77328A"/>
          <w:sz w:val="16"/>
          <w:szCs w:val="22"/>
          <w:lang w:eastAsia="en-GB"/>
        </w:rPr>
        <w:t>.</w:t>
      </w:r>
      <w:r w:rsidR="00770BC1">
        <w:rPr>
          <w:rFonts w:cs="Times New Roman"/>
        </w:rPr>
        <w:t xml:space="preserve"> </w:t>
      </w:r>
      <w:r w:rsidR="00F347B4" w:rsidRPr="00630FC9">
        <w:rPr>
          <w:rFonts w:eastAsia="Times New Roman" w:cs="Verdana"/>
          <w:iCs/>
          <w:color w:val="77328A"/>
          <w:sz w:val="16"/>
          <w:szCs w:val="22"/>
          <w:lang w:eastAsia="en-GB"/>
        </w:rPr>
        <w:t xml:space="preserve">See the NIHRC response to </w:t>
      </w:r>
      <w:r w:rsidR="00BC366F" w:rsidRPr="00630FC9">
        <w:rPr>
          <w:rFonts w:eastAsia="Times New Roman" w:cs="Verdana"/>
          <w:iCs/>
          <w:color w:val="77328A"/>
          <w:sz w:val="16"/>
          <w:szCs w:val="22"/>
          <w:lang w:eastAsia="en-GB"/>
        </w:rPr>
        <w:t>the Department of Justice consultation on Sentencing Review</w:t>
      </w:r>
      <w:r w:rsidR="00781FC7">
        <w:rPr>
          <w:rFonts w:eastAsia="Times New Roman" w:cs="Verdana"/>
          <w:iCs/>
          <w:color w:val="77328A"/>
          <w:sz w:val="16"/>
          <w:szCs w:val="22"/>
          <w:lang w:eastAsia="en-GB"/>
        </w:rPr>
        <w:t xml:space="preserve"> (2020)</w:t>
      </w:r>
      <w:r w:rsidR="00BC366F" w:rsidRPr="00630FC9">
        <w:rPr>
          <w:rFonts w:eastAsia="Times New Roman" w:cs="Verdana"/>
          <w:iCs/>
          <w:color w:val="77328A"/>
          <w:sz w:val="16"/>
          <w:szCs w:val="22"/>
          <w:lang w:eastAsia="en-GB"/>
        </w:rPr>
        <w:t xml:space="preserve">. </w:t>
      </w:r>
    </w:p>
    <w:p w14:paraId="6B62D83D" w14:textId="035CB71A" w:rsidR="00451072" w:rsidRDefault="00451072">
      <w:pPr>
        <w:pStyle w:val="FootnoteText"/>
      </w:pPr>
    </w:p>
  </w:footnote>
  <w:footnote w:id="23">
    <w:p w14:paraId="20A5ED3C" w14:textId="5AB699A4" w:rsidR="00865D18" w:rsidRPr="00215684" w:rsidRDefault="007820AA" w:rsidP="00865D18">
      <w:pPr>
        <w:pStyle w:val="Heading2"/>
        <w:shd w:val="clear" w:color="auto" w:fill="FFFFFF"/>
        <w:spacing w:before="0"/>
        <w:rPr>
          <w:rFonts w:eastAsia="Times New Roman" w:cs="Verdana"/>
          <w:b w:val="0"/>
          <w:iCs/>
          <w:color w:val="77328A"/>
          <w:sz w:val="16"/>
          <w:szCs w:val="22"/>
          <w:lang w:eastAsia="en-GB"/>
        </w:rPr>
      </w:pPr>
      <w:r w:rsidRPr="00215684">
        <w:rPr>
          <w:rStyle w:val="footnotemark"/>
          <w:rFonts w:eastAsiaTheme="minorEastAsia" w:cstheme="minorBidi"/>
          <w:b w:val="0"/>
          <w:iCs/>
          <w:szCs w:val="24"/>
          <w:lang w:eastAsia="en-GB"/>
        </w:rPr>
        <w:footnoteRef/>
      </w:r>
      <w:r w:rsidRPr="00215684">
        <w:rPr>
          <w:rStyle w:val="footnotemark"/>
          <w:rFonts w:eastAsiaTheme="minorEastAsia" w:cstheme="minorBidi"/>
          <w:b w:val="0"/>
          <w:iCs/>
          <w:szCs w:val="24"/>
          <w:lang w:eastAsia="en-GB"/>
        </w:rPr>
        <w:t xml:space="preserve"> </w:t>
      </w:r>
      <w:r w:rsidR="003D4088" w:rsidRPr="00215684">
        <w:rPr>
          <w:rFonts w:eastAsia="Times New Roman" w:cs="Verdana"/>
          <w:b w:val="0"/>
          <w:iCs/>
          <w:color w:val="77328A"/>
          <w:sz w:val="16"/>
          <w:szCs w:val="22"/>
          <w:lang w:eastAsia="en-GB"/>
        </w:rPr>
        <w:t>For example,</w:t>
      </w:r>
      <w:r w:rsidR="00215684" w:rsidRPr="00215684">
        <w:rPr>
          <w:rFonts w:eastAsia="Times New Roman" w:cs="Verdana"/>
          <w:b w:val="0"/>
          <w:iCs/>
          <w:color w:val="77328A"/>
          <w:sz w:val="16"/>
          <w:szCs w:val="22"/>
          <w:lang w:eastAsia="en-GB"/>
        </w:rPr>
        <w:t xml:space="preserve"> see</w:t>
      </w:r>
      <w:r w:rsidR="003D4088" w:rsidRPr="00215684">
        <w:rPr>
          <w:rFonts w:eastAsia="Times New Roman" w:cs="Verdana"/>
          <w:b w:val="0"/>
          <w:iCs/>
          <w:color w:val="77328A"/>
          <w:sz w:val="16"/>
          <w:szCs w:val="22"/>
          <w:lang w:eastAsia="en-GB"/>
        </w:rPr>
        <w:t xml:space="preserve"> the NIHRC </w:t>
      </w:r>
      <w:r w:rsidR="008D46F5" w:rsidRPr="00215684">
        <w:rPr>
          <w:rFonts w:eastAsia="Times New Roman" w:cs="Verdana"/>
          <w:b w:val="0"/>
          <w:iCs/>
          <w:color w:val="77328A"/>
          <w:sz w:val="16"/>
          <w:szCs w:val="22"/>
          <w:lang w:eastAsia="en-GB"/>
        </w:rPr>
        <w:t xml:space="preserve">responses to: </w:t>
      </w:r>
      <w:r w:rsidR="006D66E3" w:rsidRPr="00215684">
        <w:rPr>
          <w:rFonts w:eastAsia="Times New Roman" w:cs="Verdana"/>
          <w:b w:val="0"/>
          <w:iCs/>
          <w:color w:val="77328A"/>
          <w:sz w:val="16"/>
          <w:szCs w:val="22"/>
          <w:lang w:eastAsia="en-GB"/>
        </w:rPr>
        <w:t xml:space="preserve">the Department of Justice review of the law on child sexual exploitation (2019); </w:t>
      </w:r>
      <w:r w:rsidR="003A0584" w:rsidRPr="00215684">
        <w:rPr>
          <w:rFonts w:eastAsia="Times New Roman" w:cs="Verdana"/>
          <w:b w:val="0"/>
          <w:iCs/>
          <w:color w:val="77328A"/>
          <w:sz w:val="16"/>
          <w:szCs w:val="22"/>
          <w:lang w:eastAsia="en-GB"/>
        </w:rPr>
        <w:t xml:space="preserve">the Gillen Review preliminary report into the law and procedures in serious sexual offences in Northern Ireland (2019); </w:t>
      </w:r>
      <w:r w:rsidR="00CC2869" w:rsidRPr="00215684">
        <w:rPr>
          <w:rFonts w:eastAsia="Times New Roman" w:cs="Verdana"/>
          <w:b w:val="0"/>
          <w:iCs/>
          <w:color w:val="77328A"/>
          <w:sz w:val="16"/>
          <w:szCs w:val="22"/>
          <w:lang w:eastAsia="en-GB"/>
        </w:rPr>
        <w:t>the Hate Crime Review (2020);</w:t>
      </w:r>
      <w:r w:rsidR="00865D18" w:rsidRPr="00215684">
        <w:rPr>
          <w:rFonts w:eastAsia="Times New Roman" w:cs="Verdana"/>
          <w:b w:val="0"/>
          <w:iCs/>
          <w:color w:val="77328A"/>
          <w:sz w:val="16"/>
          <w:szCs w:val="22"/>
          <w:lang w:eastAsia="en-GB"/>
        </w:rPr>
        <w:t xml:space="preserve"> </w:t>
      </w:r>
      <w:r w:rsidR="004B7EC1">
        <w:rPr>
          <w:rFonts w:eastAsia="Times New Roman" w:cs="Verdana"/>
          <w:b w:val="0"/>
          <w:iCs/>
          <w:color w:val="77328A"/>
          <w:sz w:val="16"/>
          <w:szCs w:val="22"/>
          <w:lang w:eastAsia="en-GB"/>
        </w:rPr>
        <w:t xml:space="preserve">the </w:t>
      </w:r>
      <w:r w:rsidR="00A75ACA" w:rsidRPr="00A75ACA">
        <w:rPr>
          <w:rFonts w:eastAsia="Times New Roman" w:cs="Verdana"/>
          <w:b w:val="0"/>
          <w:bCs/>
          <w:iCs/>
          <w:color w:val="77328A"/>
          <w:sz w:val="16"/>
          <w:szCs w:val="22"/>
          <w:lang w:eastAsia="en-GB"/>
        </w:rPr>
        <w:t>Department of Justice consultation on Sentencing Review</w:t>
      </w:r>
      <w:r w:rsidR="00A75ACA">
        <w:rPr>
          <w:rFonts w:eastAsia="Times New Roman" w:cs="Verdana"/>
          <w:b w:val="0"/>
          <w:bCs/>
          <w:iCs/>
          <w:color w:val="77328A"/>
          <w:sz w:val="16"/>
          <w:szCs w:val="22"/>
          <w:lang w:eastAsia="en-GB"/>
        </w:rPr>
        <w:t xml:space="preserve"> (2020)</w:t>
      </w:r>
      <w:r w:rsidR="00A75ACA" w:rsidRPr="00A75ACA">
        <w:rPr>
          <w:rFonts w:eastAsia="Times New Roman" w:cs="Verdana"/>
          <w:b w:val="0"/>
          <w:bCs/>
          <w:iCs/>
          <w:color w:val="77328A"/>
          <w:sz w:val="16"/>
          <w:szCs w:val="22"/>
          <w:lang w:eastAsia="en-GB"/>
        </w:rPr>
        <w:t>;</w:t>
      </w:r>
      <w:r w:rsidR="00A75ACA">
        <w:rPr>
          <w:rFonts w:eastAsia="Times New Roman" w:cs="Verdana"/>
          <w:b w:val="0"/>
          <w:iCs/>
          <w:color w:val="77328A"/>
          <w:sz w:val="16"/>
          <w:szCs w:val="22"/>
          <w:lang w:eastAsia="en-GB"/>
        </w:rPr>
        <w:t xml:space="preserve"> </w:t>
      </w:r>
      <w:r w:rsidR="005C6A6D">
        <w:rPr>
          <w:rFonts w:eastAsia="Times New Roman" w:cs="Verdana"/>
          <w:b w:val="0"/>
          <w:iCs/>
          <w:color w:val="77328A"/>
          <w:sz w:val="16"/>
          <w:szCs w:val="22"/>
          <w:lang w:eastAsia="en-GB"/>
        </w:rPr>
        <w:t xml:space="preserve">advice </w:t>
      </w:r>
      <w:r w:rsidR="000C2093" w:rsidRPr="00215684">
        <w:rPr>
          <w:rFonts w:eastAsia="Times New Roman" w:cs="Verdana"/>
          <w:b w:val="0"/>
          <w:iCs/>
          <w:color w:val="77328A"/>
          <w:sz w:val="16"/>
          <w:szCs w:val="22"/>
          <w:lang w:eastAsia="en-GB"/>
        </w:rPr>
        <w:t>to the Department of Justice on the Domestic Abuse and Family Proceedings Bill (2020)</w:t>
      </w:r>
      <w:r w:rsidR="00832291" w:rsidRPr="00215684">
        <w:rPr>
          <w:rFonts w:eastAsia="Times New Roman" w:cs="Verdana"/>
          <w:b w:val="0"/>
          <w:iCs/>
          <w:color w:val="77328A"/>
          <w:sz w:val="16"/>
          <w:szCs w:val="22"/>
          <w:lang w:eastAsia="en-GB"/>
        </w:rPr>
        <w:t>; advice to the Public Prosecution Service on a Policy for Prosecuting Cases of Modern Slavery and Human Trafficking (2021)</w:t>
      </w:r>
      <w:r w:rsidR="002E5DD6">
        <w:rPr>
          <w:rFonts w:eastAsia="Times New Roman" w:cs="Verdana"/>
          <w:b w:val="0"/>
          <w:iCs/>
          <w:color w:val="77328A"/>
          <w:sz w:val="16"/>
          <w:szCs w:val="22"/>
          <w:lang w:eastAsia="en-GB"/>
        </w:rPr>
        <w:t xml:space="preserve">; and </w:t>
      </w:r>
      <w:bookmarkStart w:id="3" w:name="_Hlk77772968"/>
      <w:r w:rsidR="002E5DD6">
        <w:rPr>
          <w:rFonts w:eastAsia="Times New Roman" w:cs="Verdana"/>
          <w:b w:val="0"/>
          <w:iCs/>
          <w:color w:val="77328A"/>
          <w:sz w:val="16"/>
          <w:szCs w:val="22"/>
          <w:lang w:eastAsia="en-GB"/>
        </w:rPr>
        <w:t>advice to the Department of Justice on Data Extraction</w:t>
      </w:r>
      <w:r w:rsidR="00B708FB">
        <w:rPr>
          <w:rFonts w:eastAsia="Times New Roman" w:cs="Verdana"/>
          <w:b w:val="0"/>
          <w:iCs/>
          <w:color w:val="77328A"/>
          <w:sz w:val="16"/>
          <w:szCs w:val="22"/>
          <w:lang w:eastAsia="en-GB"/>
        </w:rPr>
        <w:t xml:space="preserve"> from Electronic Devices (2021)</w:t>
      </w:r>
      <w:r w:rsidR="00832291" w:rsidRPr="00215684">
        <w:rPr>
          <w:rFonts w:eastAsia="Times New Roman" w:cs="Verdana"/>
          <w:b w:val="0"/>
          <w:iCs/>
          <w:color w:val="77328A"/>
          <w:sz w:val="16"/>
          <w:szCs w:val="22"/>
          <w:lang w:eastAsia="en-GB"/>
        </w:rPr>
        <w:t xml:space="preserve">. </w:t>
      </w:r>
    </w:p>
    <w:bookmarkEnd w:id="3"/>
    <w:p w14:paraId="1F57B598" w14:textId="188AD8F6" w:rsidR="007820AA" w:rsidRDefault="007820AA">
      <w:pPr>
        <w:pStyle w:val="FootnoteText"/>
      </w:pPr>
    </w:p>
  </w:footnote>
  <w:footnote w:id="24">
    <w:p w14:paraId="4BC44D8C" w14:textId="77777777" w:rsidR="0051360A" w:rsidRDefault="0051360A" w:rsidP="0051360A">
      <w:pPr>
        <w:pStyle w:val="footnotedescription"/>
        <w:spacing w:after="14" w:line="248" w:lineRule="auto"/>
      </w:pPr>
      <w:r>
        <w:rPr>
          <w:rStyle w:val="footnotemark"/>
        </w:rPr>
        <w:footnoteRef/>
      </w:r>
      <w:r>
        <w:t xml:space="preserve"> </w:t>
      </w:r>
      <w:proofErr w:type="spellStart"/>
      <w:r>
        <w:rPr>
          <w:i/>
        </w:rPr>
        <w:t>Rajapaske</w:t>
      </w:r>
      <w:proofErr w:type="spellEnd"/>
      <w:r>
        <w:rPr>
          <w:i/>
        </w:rPr>
        <w:t xml:space="preserve"> v. Sri Lanka</w:t>
      </w:r>
      <w:r>
        <w:t xml:space="preserve">, (CCPR/C/87/D/1250/2004). </w:t>
      </w:r>
      <w:r>
        <w:rPr>
          <w:i/>
        </w:rPr>
        <w:t>See also</w:t>
      </w:r>
      <w:r>
        <w:t xml:space="preserve">, CRPD Art. 16; COE Guidelines on the protection of victims of terrorist acts, Principle IV.1; </w:t>
      </w:r>
      <w:proofErr w:type="spellStart"/>
      <w:r>
        <w:t>Yogakarta</w:t>
      </w:r>
      <w:proofErr w:type="spellEnd"/>
      <w:r>
        <w:t xml:space="preserve"> Principles, Principles 5(D) and 29.  </w:t>
      </w:r>
    </w:p>
  </w:footnote>
  <w:footnote w:id="25">
    <w:p w14:paraId="742BB92F" w14:textId="77777777" w:rsidR="0093006E" w:rsidRDefault="00DF5826" w:rsidP="0093006E">
      <w:pPr>
        <w:tabs>
          <w:tab w:val="left" w:pos="180"/>
        </w:tabs>
        <w:spacing w:line="189" w:lineRule="auto"/>
        <w:rPr>
          <w:rFonts w:eastAsia="Verdana"/>
          <w:color w:val="77328A"/>
          <w:sz w:val="20"/>
          <w:szCs w:val="20"/>
          <w:vertAlign w:val="superscript"/>
        </w:rPr>
      </w:pPr>
      <w:r w:rsidRPr="0093006E">
        <w:rPr>
          <w:rStyle w:val="footnotemark"/>
          <w:rFonts w:eastAsiaTheme="minorEastAsia" w:cs="Verdana"/>
          <w:szCs w:val="22"/>
          <w:lang w:eastAsia="en-GB"/>
        </w:rPr>
        <w:footnoteRef/>
      </w:r>
      <w:r w:rsidRPr="0093006E">
        <w:rPr>
          <w:rStyle w:val="footnotemark"/>
          <w:rFonts w:eastAsiaTheme="minorEastAsia" w:cs="Verdana"/>
          <w:szCs w:val="22"/>
          <w:lang w:eastAsia="en-GB"/>
        </w:rPr>
        <w:t xml:space="preserve"> </w:t>
      </w:r>
      <w:r w:rsidR="0093006E">
        <w:rPr>
          <w:rFonts w:eastAsia="Verdana"/>
          <w:color w:val="77328A"/>
          <w:sz w:val="16"/>
        </w:rPr>
        <w:t>NI Human Rights Commission, ‘Racist Hate Crime: Human Rights and the Criminal Justice System in Northern Ireland’</w:t>
      </w:r>
    </w:p>
    <w:p w14:paraId="7BBDF20C" w14:textId="00AC160C" w:rsidR="00DF5826" w:rsidRPr="0093006E" w:rsidRDefault="0093006E" w:rsidP="0093006E">
      <w:pPr>
        <w:spacing w:line="0" w:lineRule="atLeast"/>
        <w:rPr>
          <w:rFonts w:eastAsia="Verdana"/>
          <w:color w:val="77328A"/>
          <w:sz w:val="16"/>
        </w:rPr>
      </w:pPr>
      <w:r>
        <w:rPr>
          <w:rFonts w:eastAsia="Verdana"/>
          <w:color w:val="77328A"/>
          <w:sz w:val="16"/>
        </w:rPr>
        <w:t>(NIHRC, 2013).</w:t>
      </w:r>
    </w:p>
  </w:footnote>
  <w:footnote w:id="26">
    <w:p w14:paraId="44DFCA1A" w14:textId="77777777" w:rsidR="0051360A" w:rsidRDefault="0051360A" w:rsidP="0051360A">
      <w:pPr>
        <w:pStyle w:val="footnotedescription"/>
        <w:spacing w:line="257" w:lineRule="auto"/>
      </w:pPr>
      <w:r>
        <w:rPr>
          <w:rStyle w:val="footnotemark"/>
        </w:rPr>
        <w:footnoteRef/>
      </w:r>
      <w:r>
        <w:t xml:space="preserve"> UN Human Rights Committee, General Comment No. 3 (Article 2 – Implementation at the national level), para. 1. </w:t>
      </w:r>
    </w:p>
  </w:footnote>
  <w:footnote w:id="27">
    <w:p w14:paraId="585923E8" w14:textId="77777777" w:rsidR="0051360A" w:rsidRDefault="0051360A" w:rsidP="0051360A">
      <w:pPr>
        <w:pStyle w:val="footnotedescription"/>
      </w:pPr>
      <w:r>
        <w:rPr>
          <w:rStyle w:val="footnotemark"/>
        </w:rPr>
        <w:footnoteRef/>
      </w:r>
      <w:r>
        <w:t xml:space="preserve"> </w:t>
      </w:r>
      <w:r>
        <w:rPr>
          <w:i/>
        </w:rPr>
        <w:t>Jordan v. United Kingdom</w:t>
      </w:r>
      <w:r>
        <w:t xml:space="preserve">, 24746/94 [2001], ECHR 327, 4 May 2001 </w:t>
      </w:r>
    </w:p>
  </w:footnote>
  <w:footnote w:id="28">
    <w:p w14:paraId="098702C4" w14:textId="08B62FD0" w:rsidR="002F30D0" w:rsidRPr="002F30D0" w:rsidRDefault="002F30D0">
      <w:pPr>
        <w:pStyle w:val="FootnoteText"/>
        <w:rPr>
          <w:i/>
          <w:iCs/>
        </w:rPr>
      </w:pPr>
      <w:r w:rsidRPr="00EF588A">
        <w:rPr>
          <w:rStyle w:val="footnotemark"/>
          <w:rFonts w:eastAsiaTheme="minorEastAsia"/>
          <w:lang w:eastAsia="en-GB"/>
        </w:rPr>
        <w:footnoteRef/>
      </w:r>
      <w:r w:rsidRPr="00EF588A">
        <w:rPr>
          <w:rStyle w:val="footnotemark"/>
          <w:rFonts w:eastAsiaTheme="minorEastAsia"/>
          <w:lang w:eastAsia="en-GB"/>
        </w:rPr>
        <w:t xml:space="preserve"> </w:t>
      </w:r>
      <w:r w:rsidR="00B3310C" w:rsidRPr="00B3310C">
        <w:rPr>
          <w:rFonts w:eastAsia="Times New Roman" w:cs="Verdana"/>
          <w:iCs/>
          <w:color w:val="77328A"/>
          <w:sz w:val="16"/>
          <w:szCs w:val="22"/>
          <w:lang w:eastAsia="en-GB"/>
        </w:rPr>
        <w:t>See</w:t>
      </w:r>
      <w:r w:rsidR="00B3310C">
        <w:rPr>
          <w:rFonts w:eastAsia="Times New Roman" w:cs="Verdana"/>
          <w:i/>
          <w:color w:val="77328A"/>
          <w:sz w:val="16"/>
          <w:szCs w:val="22"/>
          <w:lang w:eastAsia="en-GB"/>
        </w:rPr>
        <w:t xml:space="preserve"> </w:t>
      </w:r>
      <w:proofErr w:type="spellStart"/>
      <w:r w:rsidR="00B3310C">
        <w:rPr>
          <w:rFonts w:eastAsia="Times New Roman" w:cs="Verdana"/>
          <w:i/>
          <w:color w:val="77328A"/>
          <w:sz w:val="16"/>
          <w:szCs w:val="22"/>
          <w:lang w:eastAsia="en-GB"/>
        </w:rPr>
        <w:t>D</w:t>
      </w:r>
      <w:r w:rsidRPr="00EF588A">
        <w:rPr>
          <w:rFonts w:eastAsia="Times New Roman" w:cs="Verdana"/>
          <w:i/>
          <w:color w:val="77328A"/>
          <w:sz w:val="16"/>
          <w:szCs w:val="22"/>
          <w:lang w:eastAsia="en-GB"/>
        </w:rPr>
        <w:t>oorson</w:t>
      </w:r>
      <w:proofErr w:type="spellEnd"/>
      <w:r w:rsidRPr="00EF588A">
        <w:rPr>
          <w:rFonts w:eastAsia="Times New Roman" w:cs="Verdana"/>
          <w:i/>
          <w:color w:val="77328A"/>
          <w:sz w:val="16"/>
          <w:szCs w:val="22"/>
          <w:lang w:eastAsia="en-GB"/>
        </w:rPr>
        <w:t xml:space="preserve"> v</w:t>
      </w:r>
      <w:r w:rsidR="00EF588A">
        <w:rPr>
          <w:rFonts w:eastAsia="Times New Roman" w:cs="Verdana"/>
          <w:i/>
          <w:color w:val="77328A"/>
          <w:sz w:val="16"/>
          <w:szCs w:val="22"/>
          <w:lang w:eastAsia="en-GB"/>
        </w:rPr>
        <w:t>.</w:t>
      </w:r>
      <w:r w:rsidRPr="00EF588A">
        <w:rPr>
          <w:rFonts w:eastAsia="Times New Roman" w:cs="Verdana"/>
          <w:i/>
          <w:color w:val="77328A"/>
          <w:sz w:val="16"/>
          <w:szCs w:val="22"/>
          <w:lang w:eastAsia="en-GB"/>
        </w:rPr>
        <w:t xml:space="preserve"> The Netherlands</w:t>
      </w:r>
      <w:r w:rsidRPr="00EF588A">
        <w:rPr>
          <w:rFonts w:eastAsia="Times New Roman" w:cs="Verdana"/>
          <w:iCs/>
          <w:color w:val="77328A"/>
          <w:sz w:val="16"/>
          <w:szCs w:val="22"/>
          <w:lang w:eastAsia="en-GB"/>
        </w:rPr>
        <w:t xml:space="preserve">, </w:t>
      </w:r>
      <w:r w:rsidR="00C37146" w:rsidRPr="00EF588A">
        <w:rPr>
          <w:rFonts w:eastAsia="Times New Roman" w:cs="Verdana"/>
          <w:iCs/>
          <w:color w:val="77328A"/>
          <w:sz w:val="16"/>
          <w:szCs w:val="22"/>
          <w:lang w:eastAsia="en-GB"/>
        </w:rPr>
        <w:t>20524/92 [1996], ECHR 14, 26 March 1996</w:t>
      </w:r>
    </w:p>
  </w:footnote>
  <w:footnote w:id="29">
    <w:p w14:paraId="652B0989" w14:textId="54FE56C1" w:rsidR="001A06F5" w:rsidRDefault="001A06F5">
      <w:pPr>
        <w:pStyle w:val="FootnoteText"/>
      </w:pPr>
      <w:r w:rsidRPr="001A06F5">
        <w:rPr>
          <w:rStyle w:val="footnotemark"/>
          <w:rFonts w:eastAsiaTheme="minorEastAsia"/>
          <w:lang w:eastAsia="en-GB"/>
        </w:rPr>
        <w:footnoteRef/>
      </w:r>
      <w:r>
        <w:t xml:space="preserve"> </w:t>
      </w:r>
      <w:r w:rsidR="00B3310C" w:rsidRPr="00B3310C">
        <w:rPr>
          <w:rFonts w:eastAsia="Times New Roman" w:cs="Verdana"/>
          <w:iCs/>
          <w:color w:val="77328A"/>
          <w:sz w:val="16"/>
          <w:szCs w:val="22"/>
          <w:lang w:eastAsia="en-GB"/>
        </w:rPr>
        <w:t>See</w:t>
      </w:r>
      <w:r w:rsidR="00B3310C">
        <w:rPr>
          <w:rFonts w:eastAsia="Times New Roman" w:cs="Verdana"/>
          <w:i/>
          <w:color w:val="77328A"/>
          <w:sz w:val="16"/>
          <w:szCs w:val="22"/>
          <w:lang w:eastAsia="en-GB"/>
        </w:rPr>
        <w:t xml:space="preserve"> J</w:t>
      </w:r>
      <w:r w:rsidRPr="005F2CEA">
        <w:rPr>
          <w:rFonts w:eastAsia="Times New Roman" w:cs="Verdana"/>
          <w:i/>
          <w:color w:val="77328A"/>
          <w:sz w:val="16"/>
          <w:szCs w:val="22"/>
          <w:lang w:eastAsia="en-GB"/>
        </w:rPr>
        <w:t>.L. v Italy</w:t>
      </w:r>
      <w:r w:rsidRPr="005F2CEA">
        <w:rPr>
          <w:rFonts w:eastAsia="Times New Roman" w:cs="Verdana"/>
          <w:iCs/>
          <w:color w:val="77328A"/>
          <w:sz w:val="16"/>
          <w:szCs w:val="22"/>
          <w:lang w:eastAsia="en-GB"/>
        </w:rPr>
        <w:t>, 5671/16 [2021], ECHR 169, 27 May 2021</w:t>
      </w:r>
      <w:r>
        <w:t xml:space="preserve">  </w:t>
      </w:r>
    </w:p>
  </w:footnote>
  <w:footnote w:id="30">
    <w:p w14:paraId="6EC35AAA" w14:textId="77777777" w:rsidR="00A10A07" w:rsidRPr="005F2CEA" w:rsidRDefault="00A10A07">
      <w:pPr>
        <w:pStyle w:val="FootnoteText"/>
        <w:rPr>
          <w:iCs/>
        </w:rPr>
      </w:pPr>
      <w:r w:rsidRPr="00A10A07">
        <w:rPr>
          <w:rStyle w:val="footnotemark"/>
          <w:rFonts w:eastAsiaTheme="minorEastAsia" w:cs="Verdana"/>
          <w:szCs w:val="22"/>
          <w:lang w:eastAsia="en-GB"/>
        </w:rPr>
        <w:footnoteRef/>
      </w:r>
      <w:r>
        <w:t xml:space="preserve"> </w:t>
      </w:r>
      <w:r w:rsidRPr="005F2CEA">
        <w:rPr>
          <w:rFonts w:eastAsia="Times New Roman" w:cs="Verdana"/>
          <w:iCs/>
          <w:color w:val="77328A"/>
          <w:sz w:val="16"/>
          <w:szCs w:val="22"/>
          <w:lang w:eastAsia="en-GB"/>
        </w:rPr>
        <w:t>A/RES/40/34, ‘UN General Assembly Principles of Justice for Victims of Crime and Abuse of Power,’ 29 November 1985</w:t>
      </w:r>
    </w:p>
  </w:footnote>
  <w:footnote w:id="31">
    <w:p w14:paraId="3AE32074" w14:textId="19FB10C8" w:rsidR="00A515B7" w:rsidRDefault="00A515B7" w:rsidP="00A515B7">
      <w:pPr>
        <w:pStyle w:val="footnotedescription"/>
        <w:spacing w:line="267" w:lineRule="auto"/>
        <w:ind w:right="1437"/>
      </w:pPr>
      <w:r w:rsidRPr="00A515B7">
        <w:rPr>
          <w:vertAlign w:val="superscript"/>
        </w:rPr>
        <w:footnoteRef/>
      </w:r>
      <w:r>
        <w:t xml:space="preserve"> Adopted by the Committee of Ministers 10 September 1997</w:t>
      </w:r>
    </w:p>
  </w:footnote>
  <w:footnote w:id="32">
    <w:p w14:paraId="71B75096" w14:textId="2639F500" w:rsidR="00D406B3" w:rsidRDefault="00D406B3" w:rsidP="00D406B3">
      <w:pPr>
        <w:pStyle w:val="footnotedescription"/>
        <w:spacing w:line="267" w:lineRule="auto"/>
        <w:ind w:right="1437"/>
      </w:pPr>
      <w:r>
        <w:rPr>
          <w:rStyle w:val="footnotemark"/>
        </w:rPr>
        <w:footnoteRef/>
      </w:r>
      <w:r>
        <w:t xml:space="preserve"> Committee of Ministers’ Recommendation on Intimidation of Witnesses, </w:t>
      </w:r>
      <w:r w:rsidR="003020A2">
        <w:t>para</w:t>
      </w:r>
      <w:r w:rsidR="0088736D">
        <w:t>s</w:t>
      </w:r>
      <w:r w:rsidR="003020A2">
        <w:t xml:space="preserve">17 and </w:t>
      </w:r>
      <w:r w:rsidR="0088736D">
        <w:t>21</w:t>
      </w:r>
    </w:p>
  </w:footnote>
  <w:footnote w:id="33">
    <w:p w14:paraId="4C978E0D" w14:textId="5B99F772" w:rsidR="0002206E" w:rsidRDefault="0002206E" w:rsidP="0002206E">
      <w:pPr>
        <w:pStyle w:val="footnotedescription"/>
        <w:spacing w:line="267" w:lineRule="auto"/>
        <w:ind w:right="1437"/>
      </w:pPr>
      <w:r w:rsidRPr="0002206E">
        <w:rPr>
          <w:vertAlign w:val="superscript"/>
        </w:rPr>
        <w:footnoteRef/>
      </w:r>
      <w:r w:rsidRPr="0002206E">
        <w:rPr>
          <w:vertAlign w:val="superscript"/>
        </w:rPr>
        <w:t xml:space="preserve"> </w:t>
      </w:r>
      <w:r>
        <w:t>Committee of Ministers’ Recommendation on Intimidation of Witnesses, para 24.</w:t>
      </w:r>
    </w:p>
  </w:footnote>
  <w:footnote w:id="34">
    <w:p w14:paraId="16A62B6C" w14:textId="77777777" w:rsidR="004529B0" w:rsidRDefault="004529B0" w:rsidP="004529B0">
      <w:pPr>
        <w:pStyle w:val="footnotedescription"/>
      </w:pPr>
      <w:r>
        <w:rPr>
          <w:rStyle w:val="footnotemark"/>
        </w:rPr>
        <w:footnoteRef/>
      </w:r>
      <w:r>
        <w:t xml:space="preserve"> Adopted by the Committee of Ministers on 20 April 2005. </w:t>
      </w:r>
    </w:p>
  </w:footnote>
  <w:footnote w:id="35">
    <w:p w14:paraId="7FDC9D48" w14:textId="77777777" w:rsidR="004529B0" w:rsidRDefault="004529B0" w:rsidP="004529B0">
      <w:pPr>
        <w:pStyle w:val="footnotedescription"/>
      </w:pPr>
      <w:r>
        <w:rPr>
          <w:rStyle w:val="footnotemark"/>
        </w:rPr>
        <w:footnoteRef/>
      </w:r>
      <w:r>
        <w:t xml:space="preserve"> Adopted by the Committee of Ministers on 14 June 2006. </w:t>
      </w:r>
    </w:p>
  </w:footnote>
  <w:footnote w:id="36">
    <w:p w14:paraId="08606788" w14:textId="77777777" w:rsidR="00DF459F" w:rsidRDefault="00DF459F" w:rsidP="00DF459F">
      <w:pPr>
        <w:pStyle w:val="footnotedescription"/>
      </w:pPr>
      <w:r>
        <w:rPr>
          <w:rStyle w:val="footnotemark"/>
        </w:rPr>
        <w:footnoteRef/>
      </w:r>
      <w:r>
        <w:t xml:space="preserve"> Adopted by the Committee of Ministers on 14 June 2006. </w:t>
      </w:r>
    </w:p>
  </w:footnote>
  <w:footnote w:id="37">
    <w:p w14:paraId="577A0E5D" w14:textId="77777777" w:rsidR="00C4252A" w:rsidRDefault="00C4252A">
      <w:pPr>
        <w:pStyle w:val="FootnoteText"/>
      </w:pPr>
      <w:r w:rsidRPr="005F2CEA">
        <w:rPr>
          <w:rStyle w:val="footnotemark"/>
          <w:rFonts w:eastAsiaTheme="minorEastAsia"/>
          <w:iCs/>
          <w:lang w:eastAsia="en-GB"/>
        </w:rPr>
        <w:footnoteRef/>
      </w:r>
      <w:r w:rsidRPr="005F2CEA">
        <w:rPr>
          <w:rStyle w:val="footnotemark"/>
          <w:rFonts w:eastAsiaTheme="minorEastAsia"/>
          <w:iCs/>
          <w:lang w:eastAsia="en-GB"/>
        </w:rPr>
        <w:t xml:space="preserve"> </w:t>
      </w:r>
      <w:r w:rsidR="009A0C6E" w:rsidRPr="005F2CEA">
        <w:rPr>
          <w:rFonts w:eastAsia="Times New Roman" w:cs="Verdana"/>
          <w:iCs/>
          <w:color w:val="77328A"/>
          <w:sz w:val="16"/>
          <w:szCs w:val="22"/>
          <w:lang w:eastAsia="en-GB"/>
        </w:rPr>
        <w:t>Consultation document, p19</w:t>
      </w:r>
      <w:r w:rsidR="009A0C6E">
        <w:t xml:space="preserve"> </w:t>
      </w:r>
    </w:p>
  </w:footnote>
  <w:footnote w:id="38">
    <w:p w14:paraId="0085E120" w14:textId="77777777" w:rsidR="00522F4C" w:rsidRPr="005F2CEA" w:rsidRDefault="00522F4C">
      <w:pPr>
        <w:pStyle w:val="FootnoteText"/>
      </w:pPr>
      <w:r w:rsidRPr="005F2CEA">
        <w:rPr>
          <w:rStyle w:val="footnotemark"/>
          <w:rFonts w:eastAsiaTheme="minorEastAsia"/>
          <w:lang w:eastAsia="en-GB"/>
        </w:rPr>
        <w:footnoteRef/>
      </w:r>
      <w:r w:rsidRPr="005F2CEA">
        <w:rPr>
          <w:rStyle w:val="footnotemark"/>
          <w:rFonts w:eastAsiaTheme="minorEastAsia"/>
          <w:lang w:eastAsia="en-GB"/>
        </w:rPr>
        <w:t xml:space="preserve"> </w:t>
      </w:r>
      <w:r w:rsidRPr="005F2CEA">
        <w:rPr>
          <w:rFonts w:eastAsia="Times New Roman" w:cs="Verdana"/>
          <w:color w:val="77328A"/>
          <w:sz w:val="16"/>
          <w:szCs w:val="22"/>
          <w:lang w:eastAsia="en-GB"/>
        </w:rPr>
        <w:t xml:space="preserve">A/RES/40/34, ‘UN General Assembly Principles of Justice for Victims of Crime and Abuse of Power,’ 29 November 1985, para 14 </w:t>
      </w:r>
    </w:p>
  </w:footnote>
  <w:footnote w:id="39">
    <w:p w14:paraId="2B1A4C36" w14:textId="77777777" w:rsidR="0017594C" w:rsidRPr="005F2CEA" w:rsidRDefault="0017594C">
      <w:pPr>
        <w:pStyle w:val="FootnoteText"/>
        <w:rPr>
          <w:iCs/>
        </w:rPr>
      </w:pPr>
      <w:r w:rsidRPr="009A0C6E">
        <w:rPr>
          <w:rStyle w:val="footnotemark"/>
          <w:rFonts w:eastAsiaTheme="minorEastAsia"/>
          <w:lang w:eastAsia="en-GB"/>
        </w:rPr>
        <w:footnoteRef/>
      </w:r>
      <w:r w:rsidRPr="009A0C6E">
        <w:rPr>
          <w:rStyle w:val="footnotemark"/>
          <w:rFonts w:eastAsiaTheme="minorEastAsia"/>
          <w:lang w:eastAsia="en-GB"/>
        </w:rPr>
        <w:t xml:space="preserve"> </w:t>
      </w:r>
      <w:r w:rsidRPr="005F2CEA">
        <w:rPr>
          <w:rFonts w:eastAsia="Times New Roman" w:cs="Verdana"/>
          <w:iCs/>
          <w:color w:val="77328A"/>
          <w:sz w:val="16"/>
          <w:szCs w:val="22"/>
          <w:lang w:eastAsia="en-GB"/>
        </w:rPr>
        <w:t>Consultation document, p30</w:t>
      </w:r>
    </w:p>
  </w:footnote>
  <w:footnote w:id="40">
    <w:p w14:paraId="2AEA8751" w14:textId="77777777" w:rsidR="00EA7CBE" w:rsidRDefault="00EA7CBE">
      <w:pPr>
        <w:pStyle w:val="FootnoteText"/>
      </w:pPr>
      <w:r w:rsidRPr="005F2CEA">
        <w:rPr>
          <w:rStyle w:val="footnotemark"/>
          <w:rFonts w:eastAsiaTheme="minorEastAsia"/>
          <w:lang w:eastAsia="en-GB"/>
        </w:rPr>
        <w:footnoteRef/>
      </w:r>
      <w:r w:rsidRPr="005F2CEA">
        <w:rPr>
          <w:rStyle w:val="footnotemark"/>
          <w:rFonts w:eastAsiaTheme="minorEastAsia"/>
          <w:lang w:eastAsia="en-GB"/>
        </w:rPr>
        <w:t xml:space="preserve"> </w:t>
      </w:r>
      <w:r w:rsidR="005E59CE" w:rsidRPr="005F2CEA">
        <w:rPr>
          <w:rFonts w:eastAsia="Times New Roman" w:cs="Verdana"/>
          <w:i/>
          <w:color w:val="77328A"/>
          <w:sz w:val="16"/>
          <w:szCs w:val="22"/>
          <w:lang w:eastAsia="en-GB"/>
        </w:rPr>
        <w:t>J.L. v Italy</w:t>
      </w:r>
      <w:r w:rsidR="005E59CE" w:rsidRPr="005F2CEA">
        <w:rPr>
          <w:rFonts w:eastAsia="Times New Roman" w:cs="Verdana"/>
          <w:iCs/>
          <w:color w:val="77328A"/>
          <w:sz w:val="16"/>
          <w:szCs w:val="22"/>
          <w:lang w:eastAsia="en-GB"/>
        </w:rPr>
        <w:t xml:space="preserve">, </w:t>
      </w:r>
      <w:r w:rsidR="008226B6" w:rsidRPr="005F2CEA">
        <w:rPr>
          <w:rFonts w:eastAsia="Times New Roman" w:cs="Verdana"/>
          <w:iCs/>
          <w:color w:val="77328A"/>
          <w:sz w:val="16"/>
          <w:szCs w:val="22"/>
          <w:lang w:eastAsia="en-GB"/>
        </w:rPr>
        <w:t>5671/16</w:t>
      </w:r>
      <w:r w:rsidR="0015265B" w:rsidRPr="005F2CEA">
        <w:rPr>
          <w:rFonts w:eastAsia="Times New Roman" w:cs="Verdana"/>
          <w:iCs/>
          <w:color w:val="77328A"/>
          <w:sz w:val="16"/>
          <w:szCs w:val="22"/>
          <w:lang w:eastAsia="en-GB"/>
        </w:rPr>
        <w:t xml:space="preserve"> [2021], </w:t>
      </w:r>
      <w:r w:rsidR="00E3061F" w:rsidRPr="005F2CEA">
        <w:rPr>
          <w:rFonts w:eastAsia="Times New Roman" w:cs="Verdana"/>
          <w:iCs/>
          <w:color w:val="77328A"/>
          <w:sz w:val="16"/>
          <w:szCs w:val="22"/>
          <w:lang w:eastAsia="en-GB"/>
        </w:rPr>
        <w:t>E</w:t>
      </w:r>
      <w:r w:rsidR="005F2CEA" w:rsidRPr="005F2CEA">
        <w:rPr>
          <w:rFonts w:eastAsia="Times New Roman" w:cs="Verdana"/>
          <w:iCs/>
          <w:color w:val="77328A"/>
          <w:sz w:val="16"/>
          <w:szCs w:val="22"/>
          <w:lang w:eastAsia="en-GB"/>
        </w:rPr>
        <w:t>C</w:t>
      </w:r>
      <w:r w:rsidR="00E3061F" w:rsidRPr="005F2CEA">
        <w:rPr>
          <w:rFonts w:eastAsia="Times New Roman" w:cs="Verdana"/>
          <w:iCs/>
          <w:color w:val="77328A"/>
          <w:sz w:val="16"/>
          <w:szCs w:val="22"/>
          <w:lang w:eastAsia="en-GB"/>
        </w:rPr>
        <w:t>HR</w:t>
      </w:r>
      <w:r w:rsidR="005F2CEA" w:rsidRPr="005F2CEA">
        <w:rPr>
          <w:rFonts w:eastAsia="Times New Roman" w:cs="Verdana"/>
          <w:iCs/>
          <w:color w:val="77328A"/>
          <w:sz w:val="16"/>
          <w:szCs w:val="22"/>
          <w:lang w:eastAsia="en-GB"/>
        </w:rPr>
        <w:t xml:space="preserve"> 169, 27 May 2021</w:t>
      </w:r>
      <w:r w:rsidR="005F2CEA">
        <w:t xml:space="preserve">  </w:t>
      </w:r>
    </w:p>
  </w:footnote>
  <w:footnote w:id="41">
    <w:p w14:paraId="0255E949" w14:textId="77777777" w:rsidR="005D627F" w:rsidRDefault="00E42958">
      <w:pPr>
        <w:pStyle w:val="FootnoteText"/>
      </w:pPr>
      <w:r w:rsidRPr="005F2CEA">
        <w:rPr>
          <w:rStyle w:val="footnotemark"/>
          <w:rFonts w:eastAsiaTheme="minorEastAsia"/>
          <w:iCs/>
          <w:lang w:eastAsia="en-GB"/>
        </w:rPr>
        <w:footnoteRef/>
      </w:r>
      <w:r w:rsidRPr="005F2CEA">
        <w:rPr>
          <w:rStyle w:val="footnotemark"/>
          <w:rFonts w:eastAsiaTheme="minorEastAsia"/>
          <w:iCs/>
          <w:lang w:eastAsia="en-GB"/>
        </w:rPr>
        <w:t xml:space="preserve"> </w:t>
      </w:r>
      <w:r w:rsidRPr="005F2CEA">
        <w:rPr>
          <w:rFonts w:eastAsia="Times New Roman" w:cs="Verdana"/>
          <w:iCs/>
          <w:color w:val="77328A"/>
          <w:sz w:val="16"/>
          <w:szCs w:val="22"/>
          <w:lang w:eastAsia="en-GB"/>
        </w:rPr>
        <w:t>Consultation document, p</w:t>
      </w:r>
      <w:r>
        <w:rPr>
          <w:rFonts w:eastAsia="Times New Roman" w:cs="Verdana"/>
          <w:iCs/>
          <w:color w:val="77328A"/>
          <w:sz w:val="16"/>
          <w:szCs w:val="22"/>
          <w:lang w:eastAsia="en-GB"/>
        </w:rPr>
        <w:t>91</w:t>
      </w:r>
    </w:p>
  </w:footnote>
  <w:footnote w:id="42">
    <w:p w14:paraId="65E70533" w14:textId="2E98BA2A" w:rsidR="00010889" w:rsidRPr="00455BD0" w:rsidRDefault="00010889" w:rsidP="00455BD0">
      <w:pPr>
        <w:pStyle w:val="Heading2"/>
        <w:shd w:val="clear" w:color="auto" w:fill="FFFFFF"/>
        <w:spacing w:before="0"/>
        <w:rPr>
          <w:rFonts w:eastAsia="Times New Roman" w:cs="Verdana"/>
          <w:b w:val="0"/>
          <w:iCs/>
          <w:color w:val="77328A"/>
          <w:sz w:val="16"/>
          <w:szCs w:val="22"/>
          <w:lang w:eastAsia="en-GB"/>
        </w:rPr>
      </w:pPr>
      <w:r w:rsidRPr="00455BD0">
        <w:rPr>
          <w:rFonts w:eastAsia="Times New Roman" w:cs="Verdana"/>
          <w:iCs/>
          <w:color w:val="77328A"/>
          <w:sz w:val="16"/>
          <w:szCs w:val="22"/>
          <w:vertAlign w:val="superscript"/>
          <w:lang w:eastAsia="en-GB"/>
        </w:rPr>
        <w:footnoteRef/>
      </w:r>
      <w:r w:rsidRPr="00455BD0">
        <w:rPr>
          <w:rFonts w:eastAsia="Times New Roman" w:cs="Verdana"/>
          <w:b w:val="0"/>
          <w:iCs/>
          <w:color w:val="77328A"/>
          <w:sz w:val="16"/>
          <w:szCs w:val="22"/>
          <w:lang w:eastAsia="en-GB"/>
        </w:rPr>
        <w:t xml:space="preserve"> NIHRC </w:t>
      </w:r>
      <w:r>
        <w:rPr>
          <w:rFonts w:eastAsia="Times New Roman" w:cs="Verdana"/>
          <w:b w:val="0"/>
          <w:iCs/>
          <w:color w:val="77328A"/>
          <w:sz w:val="16"/>
          <w:szCs w:val="22"/>
          <w:lang w:eastAsia="en-GB"/>
        </w:rPr>
        <w:t>advice to the Department of Justice on Data Extraction from Electronic Devices (2021)</w:t>
      </w:r>
      <w:r w:rsidRPr="00215684">
        <w:rPr>
          <w:rFonts w:eastAsia="Times New Roman" w:cs="Verdana"/>
          <w:b w:val="0"/>
          <w:iCs/>
          <w:color w:val="77328A"/>
          <w:sz w:val="16"/>
          <w:szCs w:val="22"/>
          <w:lang w:eastAsia="en-GB"/>
        </w:rPr>
        <w:t xml:space="preserve">. </w:t>
      </w:r>
    </w:p>
  </w:footnote>
  <w:footnote w:id="43">
    <w:p w14:paraId="11CA401E" w14:textId="2A310138" w:rsidR="00474264" w:rsidRDefault="00474264" w:rsidP="00474264">
      <w:pPr>
        <w:pStyle w:val="NIHRCFootnotes"/>
      </w:pPr>
      <w:r>
        <w:rPr>
          <w:rStyle w:val="FootnoteReference"/>
        </w:rPr>
        <w:footnoteRef/>
      </w:r>
      <w:r>
        <w:t xml:space="preserve"> </w:t>
      </w:r>
      <w:r w:rsidR="00401C66" w:rsidRPr="0016550A">
        <w:t>Victims Commissioner for England and Wales, ‘Police and CPS scrap digital extraction forms for rap</w:t>
      </w:r>
      <w:r w:rsidR="008A2E26">
        <w:t>e</w:t>
      </w:r>
      <w:r w:rsidR="00401C66" w:rsidRPr="0016550A">
        <w:t xml:space="preserve"> cases’, (2020</w:t>
      </w:r>
      <w:r w:rsidR="00401C66">
        <w:t>).</w:t>
      </w:r>
    </w:p>
  </w:footnote>
  <w:footnote w:id="44">
    <w:p w14:paraId="6F1EBB4B" w14:textId="68827F3F" w:rsidR="00B8070C" w:rsidRDefault="00B8070C">
      <w:pPr>
        <w:pStyle w:val="FootnoteText"/>
      </w:pPr>
      <w:r w:rsidRPr="00B8070C">
        <w:rPr>
          <w:rStyle w:val="FootnoteReference"/>
          <w:rFonts w:cs="Arial"/>
          <w:color w:val="77328A"/>
          <w:sz w:val="16"/>
          <w:szCs w:val="16"/>
        </w:rPr>
        <w:footnoteRef/>
      </w:r>
      <w:r w:rsidRPr="00B8070C">
        <w:rPr>
          <w:rStyle w:val="FootnoteReference"/>
          <w:rFonts w:cs="Arial"/>
          <w:color w:val="77328A"/>
          <w:sz w:val="16"/>
          <w:szCs w:val="16"/>
        </w:rPr>
        <w:t xml:space="preserve"> </w:t>
      </w:r>
      <w:r w:rsidRPr="00B8070C">
        <w:rPr>
          <w:rFonts w:cs="Arial"/>
          <w:color w:val="77328A"/>
          <w:sz w:val="16"/>
          <w:szCs w:val="16"/>
        </w:rPr>
        <w:t>Ibid.</w:t>
      </w:r>
    </w:p>
  </w:footnote>
  <w:footnote w:id="45">
    <w:p w14:paraId="02F16709" w14:textId="5671F67B" w:rsidR="00956007" w:rsidRDefault="00956007" w:rsidP="00956007">
      <w:pPr>
        <w:pStyle w:val="footnotedescription"/>
        <w:spacing w:after="17"/>
      </w:pPr>
      <w:r>
        <w:rPr>
          <w:rStyle w:val="footnotemark"/>
        </w:rPr>
        <w:footnoteRef/>
      </w:r>
      <w:r>
        <w:t xml:space="preserve"> World Health Organisation (WHO), World Report on Disability (2011) p59</w:t>
      </w:r>
    </w:p>
  </w:footnote>
  <w:footnote w:id="46">
    <w:p w14:paraId="020A883C" w14:textId="77777777" w:rsidR="00956007" w:rsidRDefault="00956007" w:rsidP="00956007">
      <w:pPr>
        <w:pStyle w:val="footnotedescription"/>
      </w:pPr>
      <w:r>
        <w:rPr>
          <w:rStyle w:val="footnotemark"/>
        </w:rPr>
        <w:footnoteRef/>
      </w:r>
      <w:r>
        <w:t xml:space="preserve"> Article 16.2 UNCRPD.  </w:t>
      </w:r>
    </w:p>
  </w:footnote>
  <w:footnote w:id="47">
    <w:p w14:paraId="69190F9B" w14:textId="77777777" w:rsidR="00956007" w:rsidRDefault="00956007" w:rsidP="00956007">
      <w:pPr>
        <w:pStyle w:val="footnotedescription"/>
        <w:spacing w:after="3" w:line="251" w:lineRule="auto"/>
        <w:ind w:right="9"/>
        <w:jc w:val="both"/>
      </w:pPr>
      <w:r>
        <w:rPr>
          <w:rStyle w:val="footnotemark"/>
        </w:rPr>
        <w:footnoteRef/>
      </w:r>
      <w:r>
        <w:t xml:space="preserve"> Committee on the Rights of the Child, General Comment No. 12 on the right of the child to be heard, CRC/C/GC/12 (20 July 2009) para 34. See also, Guidelines on Justice in Matters involving Child Victims and Witnesses of Crime, para. 16. </w:t>
      </w:r>
    </w:p>
  </w:footnote>
  <w:footnote w:id="48">
    <w:p w14:paraId="34E34FDA" w14:textId="77777777" w:rsidR="002E0775" w:rsidRDefault="002E0775" w:rsidP="002E0775">
      <w:pPr>
        <w:pStyle w:val="FootnoteText"/>
      </w:pPr>
      <w:r w:rsidRPr="00EA7C68">
        <w:rPr>
          <w:rStyle w:val="FootnoteReference"/>
          <w:color w:val="7030A0"/>
          <w:sz w:val="16"/>
          <w:szCs w:val="16"/>
        </w:rPr>
        <w:footnoteRef/>
      </w:r>
      <w:r w:rsidRPr="00EA7C68">
        <w:rPr>
          <w:color w:val="7030A0"/>
          <w:sz w:val="16"/>
          <w:szCs w:val="16"/>
        </w:rPr>
        <w:t xml:space="preserve"> CAT/C/GBR/CO/6, ‘UN CAT Committee Concluding Observations on the Sixth Periodic Report of the UK of Great Britain and NI’, 7 June 2019, at para 56; CEDAW/C/GBR/CO/8, ‘UN CEDAW Committee Concluding Observations on the Eighth Periodic Report of the UK of Great Britain and NI’, 14 March 2019, at para 29.</w:t>
      </w:r>
    </w:p>
  </w:footnote>
  <w:footnote w:id="49">
    <w:p w14:paraId="0F7B347B" w14:textId="77777777" w:rsidR="002E0775" w:rsidRDefault="002E0775" w:rsidP="002E0775">
      <w:pPr>
        <w:pStyle w:val="FootnoteText"/>
      </w:pPr>
      <w:r w:rsidRPr="00EA7C68">
        <w:rPr>
          <w:rStyle w:val="FootnoteReference"/>
          <w:color w:val="7030A0"/>
          <w:sz w:val="16"/>
          <w:szCs w:val="16"/>
        </w:rPr>
        <w:footnoteRef/>
      </w:r>
      <w:r w:rsidRPr="00EA7C68">
        <w:rPr>
          <w:color w:val="7030A0"/>
          <w:sz w:val="16"/>
          <w:szCs w:val="16"/>
        </w:rPr>
        <w:t xml:space="preserve">  </w:t>
      </w:r>
      <w:r>
        <w:rPr>
          <w:color w:val="7030A0"/>
          <w:sz w:val="16"/>
          <w:szCs w:val="16"/>
        </w:rPr>
        <w:t>Ibid</w:t>
      </w:r>
      <w:r w:rsidRPr="00EA7C68">
        <w:rPr>
          <w:color w:val="7030A0"/>
          <w:sz w:val="16"/>
          <w:szCs w:val="16"/>
        </w:rPr>
        <w:t>.</w:t>
      </w:r>
    </w:p>
  </w:footnote>
  <w:footnote w:id="50">
    <w:p w14:paraId="04991017" w14:textId="77777777" w:rsidR="00F771DB" w:rsidRDefault="00F771DB" w:rsidP="00F771DB">
      <w:pPr>
        <w:pStyle w:val="FootnoteText"/>
      </w:pPr>
      <w:r w:rsidRPr="00EA7C68">
        <w:rPr>
          <w:rStyle w:val="FootnoteReference"/>
          <w:color w:val="7030A0"/>
          <w:sz w:val="16"/>
          <w:szCs w:val="16"/>
        </w:rPr>
        <w:footnoteRef/>
      </w:r>
      <w:r w:rsidRPr="00EA7C68">
        <w:rPr>
          <w:color w:val="7030A0"/>
          <w:sz w:val="16"/>
          <w:szCs w:val="16"/>
        </w:rPr>
        <w:t xml:space="preserve"> </w:t>
      </w:r>
      <w:r>
        <w:rPr>
          <w:color w:val="7030A0"/>
          <w:sz w:val="16"/>
          <w:szCs w:val="16"/>
        </w:rPr>
        <w:t>Ibid</w:t>
      </w:r>
      <w:r w:rsidRPr="00EA7C68">
        <w:rPr>
          <w:color w:val="7030A0"/>
          <w:sz w:val="16"/>
          <w:szCs w:val="16"/>
        </w:rPr>
        <w:t>, at para 56.</w:t>
      </w:r>
    </w:p>
  </w:footnote>
  <w:footnote w:id="51">
    <w:p w14:paraId="7F0B036D" w14:textId="77777777" w:rsidR="00F771DB" w:rsidRDefault="00F771DB" w:rsidP="00F771DB">
      <w:pPr>
        <w:pStyle w:val="FootnoteText"/>
      </w:pPr>
      <w:r w:rsidRPr="00EA7C68">
        <w:rPr>
          <w:rStyle w:val="FootnoteReference"/>
          <w:color w:val="7030A0"/>
          <w:sz w:val="16"/>
          <w:szCs w:val="16"/>
        </w:rPr>
        <w:footnoteRef/>
      </w:r>
      <w:r w:rsidRPr="00EA7C68">
        <w:rPr>
          <w:color w:val="7030A0"/>
          <w:sz w:val="16"/>
          <w:szCs w:val="16"/>
        </w:rPr>
        <w:t xml:space="preserve"> </w:t>
      </w:r>
      <w:r>
        <w:rPr>
          <w:color w:val="7030A0"/>
          <w:sz w:val="16"/>
          <w:szCs w:val="16"/>
        </w:rPr>
        <w:t>Ibid</w:t>
      </w:r>
      <w:r w:rsidRPr="00EA7C68">
        <w:rPr>
          <w:color w:val="7030A0"/>
          <w:sz w:val="16"/>
          <w:szCs w:val="16"/>
        </w:rPr>
        <w:t xml:space="preserve">. </w:t>
      </w:r>
    </w:p>
  </w:footnote>
  <w:footnote w:id="52">
    <w:p w14:paraId="648F7694" w14:textId="77777777" w:rsidR="00F771DB" w:rsidRDefault="00F771DB" w:rsidP="00F771DB">
      <w:pPr>
        <w:pStyle w:val="FootnoteText"/>
      </w:pPr>
      <w:r w:rsidRPr="00EA7C68">
        <w:rPr>
          <w:rStyle w:val="FootnoteReference"/>
          <w:rFonts w:cs="Arial"/>
          <w:color w:val="7030A0"/>
          <w:sz w:val="16"/>
          <w:szCs w:val="16"/>
        </w:rPr>
        <w:footnoteRef/>
      </w:r>
      <w:r w:rsidRPr="00EA7C68">
        <w:rPr>
          <w:color w:val="7030A0"/>
          <w:sz w:val="16"/>
          <w:szCs w:val="16"/>
        </w:rPr>
        <w:t xml:space="preserve"> CEDAW/C/GBR/CO/8, ‘UN CEDAW Committee Concluding Observations on the Eighth Periodic Report of the UK of Great Britain and NI’, 14 March 2019, at para 29. </w:t>
      </w:r>
    </w:p>
  </w:footnote>
  <w:footnote w:id="53">
    <w:p w14:paraId="6EC4E54D" w14:textId="77777777" w:rsidR="0013783D" w:rsidRDefault="0013783D" w:rsidP="0013783D">
      <w:pPr>
        <w:pStyle w:val="footnotedescription"/>
        <w:spacing w:after="1"/>
      </w:pPr>
      <w:r>
        <w:rPr>
          <w:rStyle w:val="FootnoteReference"/>
        </w:rPr>
        <w:footnoteRef/>
      </w:r>
      <w:r>
        <w:t xml:space="preserve"> Article 18(3), Istanbul Convention.  </w:t>
      </w:r>
    </w:p>
  </w:footnote>
  <w:footnote w:id="54">
    <w:p w14:paraId="129DBD80" w14:textId="77777777" w:rsidR="00402B26" w:rsidRDefault="00402B26">
      <w:pPr>
        <w:pStyle w:val="FootnoteText"/>
      </w:pPr>
      <w:r w:rsidRPr="00402B26">
        <w:rPr>
          <w:rStyle w:val="FootnoteReference"/>
          <w:rFonts w:eastAsia="Times New Roman" w:cs="Verdana"/>
          <w:color w:val="77328A"/>
          <w:sz w:val="16"/>
          <w:szCs w:val="22"/>
          <w:lang w:eastAsia="en-GB"/>
        </w:rPr>
        <w:footnoteRef/>
      </w:r>
      <w:r>
        <w:rPr>
          <w:rStyle w:val="FootnoteReference"/>
          <w:lang w:eastAsia="en-GB"/>
        </w:rPr>
        <w:t xml:space="preserve"> </w:t>
      </w:r>
      <w:r>
        <w:rPr>
          <w:rFonts w:eastAsia="Times New Roman" w:cs="Verdana"/>
          <w:color w:val="77328A"/>
          <w:sz w:val="16"/>
          <w:szCs w:val="22"/>
          <w:lang w:eastAsia="en-GB"/>
        </w:rPr>
        <w:t>Ar</w:t>
      </w:r>
      <w:r w:rsidRPr="00402B26">
        <w:rPr>
          <w:rFonts w:eastAsia="Times New Roman" w:cs="Verdana"/>
          <w:color w:val="77328A"/>
          <w:sz w:val="16"/>
          <w:szCs w:val="22"/>
          <w:lang w:eastAsia="en-GB"/>
        </w:rPr>
        <w:t xml:space="preserve">ticle </w:t>
      </w:r>
      <w:r>
        <w:rPr>
          <w:rFonts w:eastAsia="Times New Roman" w:cs="Verdana"/>
          <w:color w:val="77328A"/>
          <w:sz w:val="16"/>
          <w:szCs w:val="22"/>
          <w:lang w:eastAsia="en-GB"/>
        </w:rPr>
        <w:t>20</w:t>
      </w:r>
      <w:r w:rsidRPr="00402B26">
        <w:rPr>
          <w:rFonts w:eastAsia="Times New Roman" w:cs="Verdana"/>
          <w:color w:val="77328A"/>
          <w:sz w:val="16"/>
          <w:szCs w:val="22"/>
          <w:lang w:eastAsia="en-GB"/>
        </w:rPr>
        <w:t>(</w:t>
      </w:r>
      <w:r>
        <w:rPr>
          <w:rFonts w:eastAsia="Times New Roman" w:cs="Verdana"/>
          <w:color w:val="77328A"/>
          <w:sz w:val="16"/>
          <w:szCs w:val="22"/>
          <w:lang w:eastAsia="en-GB"/>
        </w:rPr>
        <w:t>1</w:t>
      </w:r>
      <w:r w:rsidRPr="00402B26">
        <w:rPr>
          <w:rFonts w:eastAsia="Times New Roman" w:cs="Verdana"/>
          <w:color w:val="77328A"/>
          <w:sz w:val="16"/>
          <w:szCs w:val="22"/>
          <w:lang w:eastAsia="en-GB"/>
        </w:rPr>
        <w:t>), Istanbul Convention.</w:t>
      </w:r>
      <w:r>
        <w:t xml:space="preserve">  </w:t>
      </w:r>
    </w:p>
  </w:footnote>
  <w:footnote w:id="55">
    <w:p w14:paraId="487B9B29" w14:textId="77777777" w:rsidR="00FC0CF1" w:rsidRDefault="00FC0CF1">
      <w:pPr>
        <w:pStyle w:val="FootnoteText"/>
      </w:pPr>
      <w:r w:rsidRPr="001B76A2">
        <w:rPr>
          <w:rStyle w:val="FootnoteReference"/>
          <w:rFonts w:cs="Arial"/>
          <w:color w:val="7030A0"/>
          <w:sz w:val="16"/>
          <w:szCs w:val="16"/>
        </w:rPr>
        <w:footnoteRef/>
      </w:r>
      <w:r>
        <w:t xml:space="preserve"> </w:t>
      </w:r>
      <w:r w:rsidR="002C2906">
        <w:rPr>
          <w:color w:val="7030A0"/>
          <w:sz w:val="16"/>
          <w:szCs w:val="16"/>
        </w:rPr>
        <w:t>CCPR</w:t>
      </w:r>
      <w:r w:rsidRPr="00EA7C68">
        <w:rPr>
          <w:color w:val="7030A0"/>
          <w:sz w:val="16"/>
          <w:szCs w:val="16"/>
        </w:rPr>
        <w:t>/C/GBR/CO/</w:t>
      </w:r>
      <w:r w:rsidR="002C2906">
        <w:rPr>
          <w:color w:val="7030A0"/>
          <w:sz w:val="16"/>
          <w:szCs w:val="16"/>
        </w:rPr>
        <w:t>7</w:t>
      </w:r>
      <w:r w:rsidRPr="00EA7C68">
        <w:rPr>
          <w:color w:val="7030A0"/>
          <w:sz w:val="16"/>
          <w:szCs w:val="16"/>
        </w:rPr>
        <w:t xml:space="preserve">, ‘UN </w:t>
      </w:r>
      <w:r w:rsidR="0011281A">
        <w:rPr>
          <w:color w:val="7030A0"/>
          <w:sz w:val="16"/>
          <w:szCs w:val="16"/>
        </w:rPr>
        <w:t>Human Rights</w:t>
      </w:r>
      <w:r w:rsidRPr="00EA7C68">
        <w:rPr>
          <w:color w:val="7030A0"/>
          <w:sz w:val="16"/>
          <w:szCs w:val="16"/>
        </w:rPr>
        <w:t xml:space="preserve"> Committee Concluding Observations on the S</w:t>
      </w:r>
      <w:r w:rsidR="0011281A">
        <w:rPr>
          <w:color w:val="7030A0"/>
          <w:sz w:val="16"/>
          <w:szCs w:val="16"/>
        </w:rPr>
        <w:t>eventh</w:t>
      </w:r>
      <w:r w:rsidRPr="00EA7C68">
        <w:rPr>
          <w:color w:val="7030A0"/>
          <w:sz w:val="16"/>
          <w:szCs w:val="16"/>
        </w:rPr>
        <w:t xml:space="preserve"> Periodic Report of the UK of Great Britain and NI’, </w:t>
      </w:r>
      <w:r w:rsidR="00A57E6C">
        <w:rPr>
          <w:color w:val="7030A0"/>
          <w:sz w:val="16"/>
          <w:szCs w:val="16"/>
        </w:rPr>
        <w:t>17</w:t>
      </w:r>
      <w:r w:rsidRPr="00EA7C68">
        <w:rPr>
          <w:color w:val="7030A0"/>
          <w:sz w:val="16"/>
          <w:szCs w:val="16"/>
        </w:rPr>
        <w:t xml:space="preserve"> </w:t>
      </w:r>
      <w:r w:rsidR="00A57E6C">
        <w:rPr>
          <w:color w:val="7030A0"/>
          <w:sz w:val="16"/>
          <w:szCs w:val="16"/>
        </w:rPr>
        <w:t>August</w:t>
      </w:r>
      <w:r w:rsidRPr="00EA7C68">
        <w:rPr>
          <w:color w:val="7030A0"/>
          <w:sz w:val="16"/>
          <w:szCs w:val="16"/>
        </w:rPr>
        <w:t xml:space="preserve"> 201</w:t>
      </w:r>
      <w:r w:rsidR="00A57E6C">
        <w:rPr>
          <w:color w:val="7030A0"/>
          <w:sz w:val="16"/>
          <w:szCs w:val="16"/>
        </w:rPr>
        <w:t>5</w:t>
      </w:r>
      <w:r w:rsidRPr="00EA7C68">
        <w:rPr>
          <w:color w:val="7030A0"/>
          <w:sz w:val="16"/>
          <w:szCs w:val="16"/>
        </w:rPr>
        <w:t xml:space="preserve">, at para </w:t>
      </w:r>
      <w:r w:rsidR="00A57E6C">
        <w:rPr>
          <w:color w:val="7030A0"/>
          <w:sz w:val="16"/>
          <w:szCs w:val="16"/>
        </w:rPr>
        <w:t>13</w:t>
      </w:r>
      <w:r w:rsidR="001C1150">
        <w:rPr>
          <w:color w:val="7030A0"/>
          <w:sz w:val="16"/>
          <w:szCs w:val="16"/>
        </w:rPr>
        <w:t>.</w:t>
      </w:r>
    </w:p>
  </w:footnote>
  <w:footnote w:id="56">
    <w:p w14:paraId="48FC4E8F" w14:textId="77777777" w:rsidR="00094025" w:rsidRDefault="00094025" w:rsidP="00094025">
      <w:pPr>
        <w:pStyle w:val="footnotedescription"/>
        <w:spacing w:after="7"/>
      </w:pPr>
      <w:r>
        <w:rPr>
          <w:rStyle w:val="footnotemark"/>
        </w:rPr>
        <w:footnoteRef/>
      </w:r>
      <w:r>
        <w:t xml:space="preserve"> Article 19(1), UNCRC.  </w:t>
      </w:r>
    </w:p>
  </w:footnote>
  <w:footnote w:id="57">
    <w:p w14:paraId="125E958D" w14:textId="77777777" w:rsidR="00094025" w:rsidRDefault="00094025" w:rsidP="00094025">
      <w:pPr>
        <w:pStyle w:val="footnotedescription"/>
        <w:spacing w:line="251" w:lineRule="auto"/>
        <w:jc w:val="both"/>
      </w:pPr>
      <w:r>
        <w:rPr>
          <w:rStyle w:val="footnotemark"/>
        </w:rPr>
        <w:footnoteRef/>
      </w:r>
      <w:r>
        <w:t xml:space="preserve"> UN CRC Committee, General Comment 13 on the right of the child to be free from violence, CRC/C/GC/13 (18 April 2012) para 3(e). </w:t>
      </w:r>
    </w:p>
  </w:footnote>
  <w:footnote w:id="58">
    <w:p w14:paraId="519BEE48" w14:textId="77777777" w:rsidR="00094025" w:rsidRDefault="00094025" w:rsidP="00094025">
      <w:pPr>
        <w:pStyle w:val="footnotedescription"/>
        <w:jc w:val="both"/>
      </w:pPr>
      <w:r>
        <w:rPr>
          <w:rStyle w:val="footnotemark"/>
        </w:rPr>
        <w:footnoteRef/>
      </w:r>
      <w:r>
        <w:t xml:space="preserve"> UN CRC Committee, General Comment 13 on the right of the child to be free from violence, CRC/C/GC/13 (18 April 2012) para 3(f). </w:t>
      </w:r>
    </w:p>
  </w:footnote>
  <w:footnote w:id="59">
    <w:p w14:paraId="66111280" w14:textId="77777777" w:rsidR="00AC1416" w:rsidRDefault="00AC1416" w:rsidP="00AC1416">
      <w:pPr>
        <w:pStyle w:val="footnotedescription"/>
        <w:spacing w:after="1"/>
      </w:pPr>
      <w:r>
        <w:rPr>
          <w:rStyle w:val="footnotemark"/>
        </w:rPr>
        <w:footnoteRef/>
      </w:r>
      <w:r>
        <w:t xml:space="preserve"> Article 26(1), Istanbul Convention.  </w:t>
      </w:r>
    </w:p>
  </w:footnote>
  <w:footnote w:id="60">
    <w:p w14:paraId="37FFAA3E" w14:textId="77777777" w:rsidR="00AC1416" w:rsidRDefault="00AC1416" w:rsidP="00AC1416">
      <w:pPr>
        <w:pStyle w:val="footnotedescription"/>
      </w:pPr>
      <w:r>
        <w:rPr>
          <w:rStyle w:val="footnotemark"/>
        </w:rPr>
        <w:footnoteRef/>
      </w:r>
      <w:r>
        <w:t xml:space="preserve"> Article 56(2), Istanbul Convention.  </w:t>
      </w:r>
    </w:p>
  </w:footnote>
  <w:footnote w:id="61">
    <w:p w14:paraId="6632DC05" w14:textId="77777777" w:rsidR="00540EF6" w:rsidRDefault="00540EF6" w:rsidP="008022D9">
      <w:pPr>
        <w:pStyle w:val="footnotedescription"/>
        <w:spacing w:after="7"/>
      </w:pPr>
      <w:r w:rsidRPr="008022D9">
        <w:rPr>
          <w:rStyle w:val="footnotemark"/>
        </w:rPr>
        <w:footnoteRef/>
      </w:r>
      <w:r w:rsidRPr="008022D9">
        <w:rPr>
          <w:rStyle w:val="footnotemark"/>
        </w:rPr>
        <w:t xml:space="preserve"> </w:t>
      </w:r>
      <w:r>
        <w:t>Article 14(1), Lanzarote Convention</w:t>
      </w:r>
    </w:p>
  </w:footnote>
  <w:footnote w:id="62">
    <w:p w14:paraId="482FA14E" w14:textId="77777777" w:rsidR="007606AC" w:rsidRDefault="007606AC" w:rsidP="007606AC">
      <w:pPr>
        <w:pStyle w:val="footnotedescription"/>
        <w:spacing w:after="7"/>
      </w:pPr>
      <w:r w:rsidRPr="007606AC">
        <w:rPr>
          <w:rStyle w:val="footnotemark"/>
        </w:rPr>
        <w:footnoteRef/>
      </w:r>
      <w:r w:rsidRPr="007606AC">
        <w:rPr>
          <w:rStyle w:val="footnotemark"/>
        </w:rPr>
        <w:t xml:space="preserve"> </w:t>
      </w:r>
      <w:r>
        <w:t>Article 35(1), Lanzarote Convention</w:t>
      </w:r>
    </w:p>
  </w:footnote>
  <w:footnote w:id="63">
    <w:p w14:paraId="664BFFFB" w14:textId="77777777" w:rsidR="007606AC" w:rsidRDefault="007606AC">
      <w:pPr>
        <w:pStyle w:val="FootnoteText"/>
      </w:pPr>
      <w:r w:rsidRPr="007606AC">
        <w:rPr>
          <w:rStyle w:val="footnotemark"/>
          <w:rFonts w:eastAsiaTheme="minorEastAsia"/>
        </w:rPr>
        <w:footnoteRef/>
      </w:r>
      <w:r w:rsidRPr="007606AC">
        <w:rPr>
          <w:rStyle w:val="footnotemark"/>
          <w:rFonts w:eastAsiaTheme="minorEastAsia"/>
        </w:rPr>
        <w:t xml:space="preserve"> </w:t>
      </w:r>
      <w:r w:rsidRPr="007606AC">
        <w:rPr>
          <w:rFonts w:eastAsia="Times New Roman" w:cs="Verdana"/>
          <w:color w:val="77328A"/>
          <w:sz w:val="16"/>
          <w:szCs w:val="22"/>
          <w:lang w:eastAsia="en-GB"/>
        </w:rPr>
        <w:t>Article 3</w:t>
      </w:r>
      <w:r>
        <w:rPr>
          <w:rFonts w:eastAsia="Times New Roman" w:cs="Verdana"/>
          <w:color w:val="77328A"/>
          <w:sz w:val="16"/>
          <w:szCs w:val="22"/>
          <w:lang w:eastAsia="en-GB"/>
        </w:rPr>
        <w:t>5</w:t>
      </w:r>
      <w:r w:rsidRPr="007606AC">
        <w:rPr>
          <w:rFonts w:eastAsia="Times New Roman" w:cs="Verdana"/>
          <w:color w:val="77328A"/>
          <w:sz w:val="16"/>
          <w:szCs w:val="22"/>
          <w:lang w:eastAsia="en-GB"/>
        </w:rPr>
        <w:t>(</w:t>
      </w:r>
      <w:r>
        <w:rPr>
          <w:rFonts w:eastAsia="Times New Roman" w:cs="Verdana"/>
          <w:color w:val="77328A"/>
          <w:sz w:val="16"/>
          <w:szCs w:val="22"/>
          <w:lang w:eastAsia="en-GB"/>
        </w:rPr>
        <w:t>2</w:t>
      </w:r>
      <w:r w:rsidRPr="007606AC">
        <w:rPr>
          <w:rFonts w:eastAsia="Times New Roman" w:cs="Verdana"/>
          <w:color w:val="77328A"/>
          <w:sz w:val="16"/>
          <w:szCs w:val="22"/>
          <w:lang w:eastAsia="en-GB"/>
        </w:rPr>
        <w:t>), Lanzarote Convention</w:t>
      </w:r>
    </w:p>
  </w:footnote>
  <w:footnote w:id="64">
    <w:p w14:paraId="0CA82770" w14:textId="77777777" w:rsidR="00015573" w:rsidRDefault="00015573" w:rsidP="00015573">
      <w:pPr>
        <w:pStyle w:val="footnotedescription"/>
        <w:spacing w:after="7"/>
      </w:pPr>
      <w:r>
        <w:rPr>
          <w:rStyle w:val="footnotemark"/>
        </w:rPr>
        <w:footnoteRef/>
      </w:r>
      <w:r>
        <w:t xml:space="preserve"> Article 36(1), Lanzarote Convention.  </w:t>
      </w:r>
    </w:p>
  </w:footnote>
  <w:footnote w:id="65">
    <w:p w14:paraId="29FDB2B4" w14:textId="77777777" w:rsidR="005B0542" w:rsidRDefault="005B0542" w:rsidP="005B0542">
      <w:pPr>
        <w:pStyle w:val="footnotedescription"/>
        <w:spacing w:line="250" w:lineRule="auto"/>
        <w:jc w:val="both"/>
      </w:pPr>
      <w:r>
        <w:rPr>
          <w:rStyle w:val="footnotemark"/>
        </w:rPr>
        <w:footnoteRef/>
      </w:r>
      <w:r>
        <w:t xml:space="preserve"> Article 8(1)(a), Optional Protocol to the Convention on the Rights of the Child on the sale of children, child prostitution and child pornography. </w:t>
      </w:r>
    </w:p>
  </w:footnote>
  <w:footnote w:id="66">
    <w:p w14:paraId="04BD7404" w14:textId="77777777" w:rsidR="005B0542" w:rsidRDefault="005B0542" w:rsidP="005B0542">
      <w:pPr>
        <w:pStyle w:val="footnotedescription"/>
        <w:spacing w:line="252" w:lineRule="auto"/>
        <w:ind w:right="3"/>
        <w:jc w:val="both"/>
      </w:pPr>
      <w:r>
        <w:rPr>
          <w:rStyle w:val="footnotemark"/>
        </w:rPr>
        <w:footnoteRef/>
      </w:r>
      <w:r>
        <w:t xml:space="preserve"> The Guidelines provide a practical framework to ensure respect for the rights of child victims and witnesses of crime and to contribute to the implementation of the UNCRC. See also, Committee of Ministers’ Recommendation on Intimidation of Witnesses, paras 19 and 20. </w:t>
      </w:r>
    </w:p>
  </w:footnote>
  <w:footnote w:id="67">
    <w:p w14:paraId="73188202" w14:textId="77777777" w:rsidR="00A27C08" w:rsidRDefault="00A27C08" w:rsidP="00A27C08">
      <w:pPr>
        <w:pStyle w:val="footnotedescription"/>
        <w:spacing w:after="12" w:line="252" w:lineRule="auto"/>
        <w:ind w:right="10"/>
        <w:jc w:val="both"/>
      </w:pPr>
      <w:r>
        <w:rPr>
          <w:rStyle w:val="footnotemark"/>
        </w:rPr>
        <w:footnoteRef/>
      </w:r>
      <w:r>
        <w:t xml:space="preserve"> Committee on the Rights of the Child, General Comment No. 12 (the right of the child to be heard) CRC/C/GC/12, para. 34. See also, Guidelines on Justice in Matters involving Child Victims and Witnesses of Crime, para. 16. </w:t>
      </w:r>
    </w:p>
  </w:footnote>
  <w:footnote w:id="68">
    <w:p w14:paraId="0E408EA6" w14:textId="15D86C1F" w:rsidR="005A20E7" w:rsidRDefault="005A20E7">
      <w:pPr>
        <w:pStyle w:val="FootnoteText"/>
      </w:pPr>
      <w:r w:rsidRPr="005A20E7">
        <w:rPr>
          <w:rStyle w:val="footnotemark"/>
          <w:rFonts w:eastAsiaTheme="minorEastAsia" w:cs="Verdana"/>
          <w:szCs w:val="22"/>
          <w:lang w:eastAsia="en-GB"/>
        </w:rPr>
        <w:footnoteRef/>
      </w:r>
      <w:r w:rsidRPr="005A20E7">
        <w:rPr>
          <w:rStyle w:val="footnotemark"/>
          <w:rFonts w:eastAsiaTheme="minorEastAsia" w:cs="Verdana"/>
          <w:szCs w:val="22"/>
          <w:lang w:eastAsia="en-GB"/>
        </w:rPr>
        <w:t xml:space="preserve"> </w:t>
      </w:r>
      <w:r w:rsidRPr="005A20E7">
        <w:rPr>
          <w:rFonts w:eastAsia="Times New Roman" w:cs="Verdana"/>
          <w:color w:val="77328A"/>
          <w:sz w:val="16"/>
          <w:szCs w:val="22"/>
          <w:lang w:eastAsia="en-GB"/>
        </w:rPr>
        <w:t>Gillen Review (2019)</w:t>
      </w:r>
      <w:r w:rsidR="000B0B52">
        <w:rPr>
          <w:rFonts w:eastAsia="Times New Roman" w:cs="Verdana"/>
          <w:color w:val="77328A"/>
          <w:sz w:val="16"/>
          <w:szCs w:val="22"/>
          <w:lang w:eastAsia="en-GB"/>
        </w:rPr>
        <w:t>,</w:t>
      </w:r>
      <w:r w:rsidRPr="005A20E7">
        <w:rPr>
          <w:rFonts w:eastAsia="Times New Roman" w:cs="Verdana"/>
          <w:color w:val="77328A"/>
          <w:sz w:val="16"/>
          <w:szCs w:val="22"/>
          <w:lang w:eastAsia="en-GB"/>
        </w:rPr>
        <w:t xml:space="preserve"> </w:t>
      </w:r>
      <w:r w:rsidR="000B0B52">
        <w:rPr>
          <w:rFonts w:eastAsia="Times New Roman" w:cs="Verdana"/>
          <w:color w:val="77328A"/>
          <w:sz w:val="16"/>
          <w:szCs w:val="22"/>
          <w:lang w:eastAsia="en-GB"/>
        </w:rPr>
        <w:t>‘</w:t>
      </w:r>
      <w:r w:rsidRPr="005A20E7">
        <w:rPr>
          <w:rFonts w:eastAsia="Times New Roman" w:cs="Verdana"/>
          <w:color w:val="77328A"/>
          <w:sz w:val="16"/>
          <w:szCs w:val="22"/>
          <w:lang w:eastAsia="en-GB"/>
        </w:rPr>
        <w:t>Report into the law and procedures in serious sexual offences in Northern Ireland</w:t>
      </w:r>
      <w:r w:rsidR="000B0B52">
        <w:rPr>
          <w:rFonts w:eastAsia="Times New Roman" w:cs="Verdana"/>
          <w:color w:val="77328A"/>
          <w:sz w:val="16"/>
          <w:szCs w:val="22"/>
          <w:lang w:eastAsia="en-GB"/>
        </w:rPr>
        <w:t>’</w:t>
      </w:r>
      <w:r w:rsidR="006B78C1">
        <w:rPr>
          <w:rFonts w:eastAsia="Times New Roman" w:cs="Verdana"/>
          <w:color w:val="77328A"/>
          <w:sz w:val="16"/>
          <w:szCs w:val="22"/>
          <w:lang w:eastAsia="en-GB"/>
        </w:rPr>
        <w:t>, chapter 14</w:t>
      </w:r>
    </w:p>
  </w:footnote>
  <w:footnote w:id="69">
    <w:p w14:paraId="5DAD3CF6" w14:textId="35DCBC8B" w:rsidR="00E3177B" w:rsidRDefault="00E3177B">
      <w:pPr>
        <w:pStyle w:val="FootnoteText"/>
      </w:pPr>
      <w:r w:rsidRPr="00E3177B">
        <w:rPr>
          <w:rStyle w:val="footnotemark"/>
          <w:rFonts w:eastAsiaTheme="minorEastAsia" w:cs="Verdana"/>
          <w:szCs w:val="22"/>
          <w:lang w:eastAsia="en-GB"/>
        </w:rPr>
        <w:footnoteRef/>
      </w:r>
      <w:r w:rsidRPr="00E3177B">
        <w:rPr>
          <w:rStyle w:val="footnotemark"/>
          <w:rFonts w:eastAsiaTheme="minorEastAsia" w:cs="Verdana"/>
          <w:szCs w:val="22"/>
          <w:lang w:eastAsia="en-GB"/>
        </w:rPr>
        <w:t xml:space="preserve"> </w:t>
      </w:r>
      <w:r>
        <w:rPr>
          <w:color w:val="7030A0"/>
          <w:sz w:val="16"/>
          <w:szCs w:val="16"/>
        </w:rPr>
        <w:t>Criminal Justice Inspection NI</w:t>
      </w:r>
      <w:r w:rsidR="000B0B52">
        <w:rPr>
          <w:color w:val="7030A0"/>
          <w:sz w:val="16"/>
          <w:szCs w:val="16"/>
        </w:rPr>
        <w:t xml:space="preserve"> (2020),</w:t>
      </w:r>
      <w:r>
        <w:rPr>
          <w:color w:val="7030A0"/>
          <w:sz w:val="16"/>
          <w:szCs w:val="16"/>
        </w:rPr>
        <w:t xml:space="preserve"> ‘Child Sexual Exploitation in NI: An Inspection of the Criminal Justice System’s Response’ </w:t>
      </w:r>
    </w:p>
  </w:footnote>
  <w:footnote w:id="70">
    <w:p w14:paraId="5A088E38" w14:textId="77777777" w:rsidR="006401F1" w:rsidRDefault="006401F1" w:rsidP="006401F1">
      <w:pPr>
        <w:pStyle w:val="FootnoteText"/>
      </w:pPr>
      <w:r w:rsidRPr="00AC06A7">
        <w:rPr>
          <w:rStyle w:val="footnotemark"/>
          <w:rFonts w:eastAsiaTheme="minorEastAsia"/>
          <w:iCs/>
          <w:lang w:eastAsia="en-GB"/>
        </w:rPr>
        <w:footnoteRef/>
      </w:r>
      <w:r w:rsidRPr="00AC06A7">
        <w:rPr>
          <w:rStyle w:val="footnotemark"/>
          <w:rFonts w:eastAsiaTheme="minorEastAsia"/>
          <w:iCs/>
          <w:lang w:eastAsia="en-GB"/>
        </w:rPr>
        <w:t xml:space="preserve"> </w:t>
      </w:r>
      <w:r>
        <w:rPr>
          <w:rFonts w:eastAsia="Times New Roman" w:cs="Verdana"/>
          <w:iCs/>
          <w:color w:val="77328A"/>
          <w:sz w:val="16"/>
          <w:szCs w:val="22"/>
          <w:lang w:eastAsia="en-GB"/>
        </w:rPr>
        <w:t>Co</w:t>
      </w:r>
      <w:r w:rsidRPr="005F2CEA">
        <w:rPr>
          <w:rFonts w:eastAsia="Times New Roman" w:cs="Verdana"/>
          <w:iCs/>
          <w:color w:val="77328A"/>
          <w:sz w:val="16"/>
          <w:szCs w:val="22"/>
          <w:lang w:eastAsia="en-GB"/>
        </w:rPr>
        <w:t>nsultation document, p</w:t>
      </w:r>
      <w:r>
        <w:rPr>
          <w:rFonts w:eastAsia="Times New Roman" w:cs="Verdana"/>
          <w:iCs/>
          <w:color w:val="77328A"/>
          <w:sz w:val="16"/>
          <w:szCs w:val="22"/>
          <w:lang w:eastAsia="en-GB"/>
        </w:rPr>
        <w:t>40</w:t>
      </w:r>
    </w:p>
  </w:footnote>
  <w:footnote w:id="71">
    <w:p w14:paraId="1544E6EB" w14:textId="77777777" w:rsidR="00C63CD5" w:rsidRDefault="00C63CD5">
      <w:pPr>
        <w:pStyle w:val="FootnoteText"/>
      </w:pPr>
      <w:r w:rsidRPr="005F2CEA">
        <w:rPr>
          <w:rStyle w:val="footnotemark"/>
          <w:rFonts w:eastAsiaTheme="minorEastAsia"/>
          <w:iCs/>
          <w:lang w:eastAsia="en-GB"/>
        </w:rPr>
        <w:footnoteRef/>
      </w:r>
      <w:r w:rsidRPr="005F2CEA">
        <w:rPr>
          <w:rStyle w:val="footnotemark"/>
          <w:rFonts w:eastAsiaTheme="minorEastAsia"/>
          <w:iCs/>
          <w:lang w:eastAsia="en-GB"/>
        </w:rPr>
        <w:t xml:space="preserve"> </w:t>
      </w:r>
      <w:r w:rsidRPr="005F2CEA">
        <w:rPr>
          <w:rFonts w:eastAsia="Times New Roman" w:cs="Verdana"/>
          <w:iCs/>
          <w:color w:val="77328A"/>
          <w:sz w:val="16"/>
          <w:szCs w:val="22"/>
          <w:lang w:eastAsia="en-GB"/>
        </w:rPr>
        <w:t>Consultation document, p</w:t>
      </w:r>
      <w:r>
        <w:rPr>
          <w:rFonts w:eastAsia="Times New Roman" w:cs="Verdana"/>
          <w:iCs/>
          <w:color w:val="77328A"/>
          <w:sz w:val="16"/>
          <w:szCs w:val="22"/>
          <w:lang w:eastAsia="en-GB"/>
        </w:rPr>
        <w:t>4</w:t>
      </w:r>
      <w:r w:rsidR="00BA4A21">
        <w:rPr>
          <w:rFonts w:eastAsia="Times New Roman" w:cs="Verdana"/>
          <w:iCs/>
          <w:color w:val="77328A"/>
          <w:sz w:val="16"/>
          <w:szCs w:val="22"/>
          <w:lang w:eastAsia="en-GB"/>
        </w:rPr>
        <w:t>3</w:t>
      </w:r>
    </w:p>
  </w:footnote>
  <w:footnote w:id="72">
    <w:p w14:paraId="0F5B806B" w14:textId="77777777" w:rsidR="0035137E" w:rsidRDefault="0035137E">
      <w:pPr>
        <w:pStyle w:val="FootnoteText"/>
      </w:pPr>
      <w:r w:rsidRPr="0035137E">
        <w:rPr>
          <w:rStyle w:val="footnotemark"/>
          <w:rFonts w:eastAsiaTheme="minorEastAsia"/>
          <w:iCs/>
          <w:lang w:eastAsia="en-GB"/>
        </w:rPr>
        <w:footnoteRef/>
      </w:r>
      <w:r w:rsidRPr="0035137E">
        <w:rPr>
          <w:rStyle w:val="footnotemark"/>
          <w:rFonts w:eastAsiaTheme="minorEastAsia"/>
          <w:iCs/>
          <w:lang w:eastAsia="en-GB"/>
        </w:rPr>
        <w:t xml:space="preserve"> </w:t>
      </w:r>
      <w:r>
        <w:rPr>
          <w:rFonts w:eastAsia="Times New Roman" w:cs="Verdana"/>
          <w:iCs/>
          <w:color w:val="77328A"/>
          <w:sz w:val="16"/>
          <w:szCs w:val="22"/>
          <w:lang w:eastAsia="en-GB"/>
        </w:rPr>
        <w:t>Co</w:t>
      </w:r>
      <w:r w:rsidRPr="005F2CEA">
        <w:rPr>
          <w:rFonts w:eastAsia="Times New Roman" w:cs="Verdana"/>
          <w:iCs/>
          <w:color w:val="77328A"/>
          <w:sz w:val="16"/>
          <w:szCs w:val="22"/>
          <w:lang w:eastAsia="en-GB"/>
        </w:rPr>
        <w:t>nsultation document, p</w:t>
      </w:r>
      <w:r>
        <w:rPr>
          <w:rFonts w:eastAsia="Times New Roman" w:cs="Verdana"/>
          <w:iCs/>
          <w:color w:val="77328A"/>
          <w:sz w:val="16"/>
          <w:szCs w:val="22"/>
          <w:lang w:eastAsia="en-GB"/>
        </w:rPr>
        <w:t>45</w:t>
      </w:r>
    </w:p>
  </w:footnote>
  <w:footnote w:id="73">
    <w:p w14:paraId="445A4171" w14:textId="77777777" w:rsidR="008E5B36" w:rsidRDefault="008E5B36">
      <w:pPr>
        <w:pStyle w:val="FootnoteText"/>
      </w:pPr>
      <w:r w:rsidRPr="0035137E">
        <w:rPr>
          <w:rStyle w:val="footnotemark"/>
          <w:rFonts w:eastAsiaTheme="minorEastAsia"/>
          <w:iCs/>
          <w:lang w:eastAsia="en-GB"/>
        </w:rPr>
        <w:footnoteRef/>
      </w:r>
      <w:r w:rsidRPr="0035137E">
        <w:rPr>
          <w:rStyle w:val="footnotemark"/>
          <w:rFonts w:eastAsiaTheme="minorEastAsia"/>
          <w:iCs/>
          <w:lang w:eastAsia="en-GB"/>
        </w:rPr>
        <w:t xml:space="preserve"> </w:t>
      </w:r>
      <w:r>
        <w:rPr>
          <w:rFonts w:eastAsia="Times New Roman" w:cs="Verdana"/>
          <w:iCs/>
          <w:color w:val="77328A"/>
          <w:sz w:val="16"/>
          <w:szCs w:val="22"/>
          <w:lang w:eastAsia="en-GB"/>
        </w:rPr>
        <w:t>Co</w:t>
      </w:r>
      <w:r w:rsidRPr="005F2CEA">
        <w:rPr>
          <w:rFonts w:eastAsia="Times New Roman" w:cs="Verdana"/>
          <w:iCs/>
          <w:color w:val="77328A"/>
          <w:sz w:val="16"/>
          <w:szCs w:val="22"/>
          <w:lang w:eastAsia="en-GB"/>
        </w:rPr>
        <w:t>nsultation document, p</w:t>
      </w:r>
      <w:r>
        <w:rPr>
          <w:rFonts w:eastAsia="Times New Roman" w:cs="Verdana"/>
          <w:iCs/>
          <w:color w:val="77328A"/>
          <w:sz w:val="16"/>
          <w:szCs w:val="22"/>
          <w:lang w:eastAsia="en-GB"/>
        </w:rPr>
        <w:t>46</w:t>
      </w:r>
    </w:p>
  </w:footnote>
  <w:footnote w:id="74">
    <w:p w14:paraId="558D6B35" w14:textId="77777777" w:rsidR="00CA1C01" w:rsidRDefault="00CA1C01">
      <w:pPr>
        <w:pStyle w:val="FootnoteText"/>
      </w:pPr>
      <w:r w:rsidRPr="00CA1C01">
        <w:rPr>
          <w:rStyle w:val="footnotemark"/>
          <w:rFonts w:eastAsiaTheme="minorEastAsia"/>
          <w:iCs/>
          <w:lang w:eastAsia="en-GB"/>
        </w:rPr>
        <w:footnoteRef/>
      </w:r>
      <w:r w:rsidRPr="00CA1C01">
        <w:rPr>
          <w:rStyle w:val="footnotemark"/>
          <w:rFonts w:eastAsiaTheme="minorEastAsia"/>
          <w:iCs/>
          <w:lang w:eastAsia="en-GB"/>
        </w:rPr>
        <w:t xml:space="preserve"> </w:t>
      </w:r>
      <w:r>
        <w:rPr>
          <w:rFonts w:eastAsia="Times New Roman" w:cs="Verdana"/>
          <w:iCs/>
          <w:color w:val="77328A"/>
          <w:sz w:val="16"/>
          <w:szCs w:val="22"/>
          <w:lang w:eastAsia="en-GB"/>
        </w:rPr>
        <w:t>Co</w:t>
      </w:r>
      <w:r w:rsidRPr="005F2CEA">
        <w:rPr>
          <w:rFonts w:eastAsia="Times New Roman" w:cs="Verdana"/>
          <w:iCs/>
          <w:color w:val="77328A"/>
          <w:sz w:val="16"/>
          <w:szCs w:val="22"/>
          <w:lang w:eastAsia="en-GB"/>
        </w:rPr>
        <w:t>nsultation document, p</w:t>
      </w:r>
      <w:r>
        <w:rPr>
          <w:rFonts w:eastAsia="Times New Roman" w:cs="Verdana"/>
          <w:iCs/>
          <w:color w:val="77328A"/>
          <w:sz w:val="16"/>
          <w:szCs w:val="22"/>
          <w:lang w:eastAsia="en-GB"/>
        </w:rPr>
        <w:t>44</w:t>
      </w:r>
    </w:p>
  </w:footnote>
  <w:footnote w:id="75">
    <w:p w14:paraId="2D56C452" w14:textId="77777777" w:rsidR="002603F8" w:rsidRDefault="002603F8" w:rsidP="002603F8">
      <w:pPr>
        <w:pStyle w:val="FootnoteText"/>
      </w:pPr>
      <w:r w:rsidRPr="00CA1C01">
        <w:rPr>
          <w:rStyle w:val="footnotemark"/>
          <w:rFonts w:eastAsiaTheme="minorEastAsia"/>
          <w:iCs/>
          <w:lang w:eastAsia="en-GB"/>
        </w:rPr>
        <w:footnoteRef/>
      </w:r>
      <w:r w:rsidRPr="00CA1C01">
        <w:rPr>
          <w:rStyle w:val="footnotemark"/>
          <w:rFonts w:eastAsiaTheme="minorEastAsia"/>
          <w:iCs/>
          <w:lang w:eastAsia="en-GB"/>
        </w:rPr>
        <w:t xml:space="preserve"> </w:t>
      </w:r>
      <w:r>
        <w:rPr>
          <w:rFonts w:eastAsia="Times New Roman" w:cs="Verdana"/>
          <w:iCs/>
          <w:color w:val="77328A"/>
          <w:sz w:val="16"/>
          <w:szCs w:val="22"/>
          <w:lang w:eastAsia="en-GB"/>
        </w:rPr>
        <w:t>Co</w:t>
      </w:r>
      <w:r w:rsidRPr="005F2CEA">
        <w:rPr>
          <w:rFonts w:eastAsia="Times New Roman" w:cs="Verdana"/>
          <w:iCs/>
          <w:color w:val="77328A"/>
          <w:sz w:val="16"/>
          <w:szCs w:val="22"/>
          <w:lang w:eastAsia="en-GB"/>
        </w:rPr>
        <w:t>nsultation document, p</w:t>
      </w:r>
      <w:r>
        <w:rPr>
          <w:rFonts w:eastAsia="Times New Roman" w:cs="Verdana"/>
          <w:iCs/>
          <w:color w:val="77328A"/>
          <w:sz w:val="16"/>
          <w:szCs w:val="22"/>
          <w:lang w:eastAsia="en-GB"/>
        </w:rPr>
        <w:t>44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hybridMultilevel"/>
    <w:tmpl w:val="3DC240FA"/>
    <w:lvl w:ilvl="0" w:tplc="FFFFFFFF">
      <w:start w:val="59"/>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7BD1182"/>
    <w:multiLevelType w:val="multilevel"/>
    <w:tmpl w:val="DC1E2304"/>
    <w:lvl w:ilvl="0">
      <w:start w:val="2"/>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 w15:restartNumberingAfterBreak="0">
    <w:nsid w:val="0EBE347E"/>
    <w:multiLevelType w:val="multilevel"/>
    <w:tmpl w:val="D5780AD2"/>
    <w:lvl w:ilvl="0">
      <w:start w:val="4"/>
      <w:numFmt w:val="decimal"/>
      <w:lvlText w:val="%1"/>
      <w:lvlJc w:val="left"/>
      <w:pPr>
        <w:ind w:left="390" w:hanging="390"/>
      </w:pPr>
    </w:lvl>
    <w:lvl w:ilvl="1">
      <w:start w:val="1"/>
      <w:numFmt w:val="decimal"/>
      <w:lvlText w:val="%1.%2"/>
      <w:lvlJc w:val="left"/>
      <w:pPr>
        <w:ind w:left="720" w:hanging="720"/>
      </w:pPr>
      <w:rPr>
        <w:color w:val="auto"/>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520" w:hanging="2520"/>
      </w:pPr>
    </w:lvl>
  </w:abstractNum>
  <w:abstractNum w:abstractNumId="3" w15:restartNumberingAfterBreak="0">
    <w:nsid w:val="128359CF"/>
    <w:multiLevelType w:val="hybridMultilevel"/>
    <w:tmpl w:val="52201E04"/>
    <w:lvl w:ilvl="0" w:tplc="04F0E7BC">
      <w:start w:val="1"/>
      <w:numFmt w:val="decimal"/>
      <w:lvlText w:val="%1."/>
      <w:lvlJc w:val="left"/>
      <w:pPr>
        <w:ind w:left="566"/>
      </w:pPr>
      <w:rPr>
        <w:rFonts w:ascii="Verdana" w:eastAsia="Times New Roman" w:hAnsi="Verdana" w:cs="Verdana"/>
        <w:b w:val="0"/>
        <w:i w:val="0"/>
        <w:strike w:val="0"/>
        <w:dstrike w:val="0"/>
        <w:color w:val="000000"/>
        <w:sz w:val="24"/>
        <w:szCs w:val="24"/>
        <w:u w:val="none" w:color="000000"/>
        <w:vertAlign w:val="baseline"/>
      </w:rPr>
    </w:lvl>
    <w:lvl w:ilvl="1" w:tplc="D89C563A">
      <w:start w:val="1"/>
      <w:numFmt w:val="bullet"/>
      <w:lvlText w:val="•"/>
      <w:lvlJc w:val="left"/>
      <w:pPr>
        <w:ind w:left="852"/>
      </w:pPr>
      <w:rPr>
        <w:rFonts w:ascii="Arial" w:eastAsia="Times New Roman" w:hAnsi="Arial"/>
        <w:b w:val="0"/>
        <w:i w:val="0"/>
        <w:strike w:val="0"/>
        <w:dstrike w:val="0"/>
        <w:color w:val="000000"/>
        <w:sz w:val="24"/>
        <w:u w:val="none" w:color="000000"/>
        <w:vertAlign w:val="baseline"/>
      </w:rPr>
    </w:lvl>
    <w:lvl w:ilvl="2" w:tplc="6ED2F158">
      <w:start w:val="1"/>
      <w:numFmt w:val="bullet"/>
      <w:lvlText w:val="▪"/>
      <w:lvlJc w:val="left"/>
      <w:pPr>
        <w:ind w:left="1646"/>
      </w:pPr>
      <w:rPr>
        <w:rFonts w:ascii="Segoe UI Symbol" w:eastAsia="Times New Roman" w:hAnsi="Segoe UI Symbol"/>
        <w:b w:val="0"/>
        <w:i w:val="0"/>
        <w:strike w:val="0"/>
        <w:dstrike w:val="0"/>
        <w:color w:val="000000"/>
        <w:sz w:val="24"/>
        <w:u w:val="none" w:color="000000"/>
        <w:vertAlign w:val="baseline"/>
      </w:rPr>
    </w:lvl>
    <w:lvl w:ilvl="3" w:tplc="604CD7D2">
      <w:start w:val="1"/>
      <w:numFmt w:val="bullet"/>
      <w:lvlText w:val="•"/>
      <w:lvlJc w:val="left"/>
      <w:pPr>
        <w:ind w:left="2366"/>
      </w:pPr>
      <w:rPr>
        <w:rFonts w:ascii="Arial" w:eastAsia="Times New Roman" w:hAnsi="Arial"/>
        <w:b w:val="0"/>
        <w:i w:val="0"/>
        <w:strike w:val="0"/>
        <w:dstrike w:val="0"/>
        <w:color w:val="000000"/>
        <w:sz w:val="24"/>
        <w:u w:val="none" w:color="000000"/>
        <w:vertAlign w:val="baseline"/>
      </w:rPr>
    </w:lvl>
    <w:lvl w:ilvl="4" w:tplc="448E91C6">
      <w:start w:val="1"/>
      <w:numFmt w:val="bullet"/>
      <w:lvlText w:val="o"/>
      <w:lvlJc w:val="left"/>
      <w:pPr>
        <w:ind w:left="3086"/>
      </w:pPr>
      <w:rPr>
        <w:rFonts w:ascii="Segoe UI Symbol" w:eastAsia="Times New Roman" w:hAnsi="Segoe UI Symbol"/>
        <w:b w:val="0"/>
        <w:i w:val="0"/>
        <w:strike w:val="0"/>
        <w:dstrike w:val="0"/>
        <w:color w:val="000000"/>
        <w:sz w:val="24"/>
        <w:u w:val="none" w:color="000000"/>
        <w:vertAlign w:val="baseline"/>
      </w:rPr>
    </w:lvl>
    <w:lvl w:ilvl="5" w:tplc="02E2F3D0">
      <w:start w:val="1"/>
      <w:numFmt w:val="bullet"/>
      <w:lvlText w:val="▪"/>
      <w:lvlJc w:val="left"/>
      <w:pPr>
        <w:ind w:left="3806"/>
      </w:pPr>
      <w:rPr>
        <w:rFonts w:ascii="Segoe UI Symbol" w:eastAsia="Times New Roman" w:hAnsi="Segoe UI Symbol"/>
        <w:b w:val="0"/>
        <w:i w:val="0"/>
        <w:strike w:val="0"/>
        <w:dstrike w:val="0"/>
        <w:color w:val="000000"/>
        <w:sz w:val="24"/>
        <w:u w:val="none" w:color="000000"/>
        <w:vertAlign w:val="baseline"/>
      </w:rPr>
    </w:lvl>
    <w:lvl w:ilvl="6" w:tplc="FD9A8094">
      <w:start w:val="1"/>
      <w:numFmt w:val="bullet"/>
      <w:lvlText w:val="•"/>
      <w:lvlJc w:val="left"/>
      <w:pPr>
        <w:ind w:left="4526"/>
      </w:pPr>
      <w:rPr>
        <w:rFonts w:ascii="Arial" w:eastAsia="Times New Roman" w:hAnsi="Arial"/>
        <w:b w:val="0"/>
        <w:i w:val="0"/>
        <w:strike w:val="0"/>
        <w:dstrike w:val="0"/>
        <w:color w:val="000000"/>
        <w:sz w:val="24"/>
        <w:u w:val="none" w:color="000000"/>
        <w:vertAlign w:val="baseline"/>
      </w:rPr>
    </w:lvl>
    <w:lvl w:ilvl="7" w:tplc="1EC48F4C">
      <w:start w:val="1"/>
      <w:numFmt w:val="bullet"/>
      <w:lvlText w:val="o"/>
      <w:lvlJc w:val="left"/>
      <w:pPr>
        <w:ind w:left="5246"/>
      </w:pPr>
      <w:rPr>
        <w:rFonts w:ascii="Segoe UI Symbol" w:eastAsia="Times New Roman" w:hAnsi="Segoe UI Symbol"/>
        <w:b w:val="0"/>
        <w:i w:val="0"/>
        <w:strike w:val="0"/>
        <w:dstrike w:val="0"/>
        <w:color w:val="000000"/>
        <w:sz w:val="24"/>
        <w:u w:val="none" w:color="000000"/>
        <w:vertAlign w:val="baseline"/>
      </w:rPr>
    </w:lvl>
    <w:lvl w:ilvl="8" w:tplc="E3BA0FBA">
      <w:start w:val="1"/>
      <w:numFmt w:val="bullet"/>
      <w:lvlText w:val="▪"/>
      <w:lvlJc w:val="left"/>
      <w:pPr>
        <w:ind w:left="5966"/>
      </w:pPr>
      <w:rPr>
        <w:rFonts w:ascii="Segoe UI Symbol" w:eastAsia="Times New Roman" w:hAnsi="Segoe UI Symbol"/>
        <w:b w:val="0"/>
        <w:i w:val="0"/>
        <w:strike w:val="0"/>
        <w:dstrike w:val="0"/>
        <w:color w:val="000000"/>
        <w:sz w:val="24"/>
        <w:u w:val="none" w:color="000000"/>
        <w:vertAlign w:val="baseline"/>
      </w:rPr>
    </w:lvl>
  </w:abstractNum>
  <w:abstractNum w:abstractNumId="4" w15:restartNumberingAfterBreak="0">
    <w:nsid w:val="1578467E"/>
    <w:multiLevelType w:val="multilevel"/>
    <w:tmpl w:val="3B3CC4FC"/>
    <w:lvl w:ilvl="0">
      <w:start w:val="4"/>
      <w:numFmt w:val="decimal"/>
      <w:lvlText w:val="%1"/>
      <w:lvlJc w:val="left"/>
      <w:pPr>
        <w:ind w:left="585" w:hanging="58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15:restartNumberingAfterBreak="0">
    <w:nsid w:val="19C423E1"/>
    <w:multiLevelType w:val="hybridMultilevel"/>
    <w:tmpl w:val="6B3E86CA"/>
    <w:lvl w:ilvl="0" w:tplc="569E72AA">
      <w:start w:val="12"/>
      <w:numFmt w:val="decimal"/>
      <w:lvlText w:val="%1."/>
      <w:lvlJc w:val="left"/>
      <w:pPr>
        <w:ind w:left="919"/>
      </w:pPr>
      <w:rPr>
        <w:rFonts w:ascii="Verdana" w:eastAsia="Times New Roman" w:hAnsi="Verdana" w:cs="Verdana"/>
        <w:b w:val="0"/>
        <w:i w:val="0"/>
        <w:strike w:val="0"/>
        <w:dstrike w:val="0"/>
        <w:color w:val="000000"/>
        <w:sz w:val="24"/>
        <w:szCs w:val="24"/>
        <w:u w:val="none" w:color="000000"/>
        <w:vertAlign w:val="baseline"/>
      </w:rPr>
    </w:lvl>
    <w:lvl w:ilvl="1" w:tplc="507C0C88">
      <w:start w:val="1"/>
      <w:numFmt w:val="lowerLetter"/>
      <w:lvlText w:val="%2"/>
      <w:lvlJc w:val="left"/>
      <w:pPr>
        <w:ind w:left="1363"/>
      </w:pPr>
      <w:rPr>
        <w:rFonts w:ascii="Verdana" w:eastAsia="Times New Roman" w:hAnsi="Verdana" w:cs="Verdana"/>
        <w:b w:val="0"/>
        <w:i w:val="0"/>
        <w:strike w:val="0"/>
        <w:dstrike w:val="0"/>
        <w:color w:val="000000"/>
        <w:sz w:val="24"/>
        <w:szCs w:val="24"/>
        <w:u w:val="none" w:color="000000"/>
        <w:vertAlign w:val="baseline"/>
      </w:rPr>
    </w:lvl>
    <w:lvl w:ilvl="2" w:tplc="FA9CF3C0">
      <w:start w:val="1"/>
      <w:numFmt w:val="lowerRoman"/>
      <w:lvlText w:val="%3"/>
      <w:lvlJc w:val="left"/>
      <w:pPr>
        <w:ind w:left="2083"/>
      </w:pPr>
      <w:rPr>
        <w:rFonts w:ascii="Verdana" w:eastAsia="Times New Roman" w:hAnsi="Verdana" w:cs="Verdana"/>
        <w:b w:val="0"/>
        <w:i w:val="0"/>
        <w:strike w:val="0"/>
        <w:dstrike w:val="0"/>
        <w:color w:val="000000"/>
        <w:sz w:val="24"/>
        <w:szCs w:val="24"/>
        <w:u w:val="none" w:color="000000"/>
        <w:vertAlign w:val="baseline"/>
      </w:rPr>
    </w:lvl>
    <w:lvl w:ilvl="3" w:tplc="93EA08F4">
      <w:start w:val="1"/>
      <w:numFmt w:val="decimal"/>
      <w:lvlText w:val="%4"/>
      <w:lvlJc w:val="left"/>
      <w:pPr>
        <w:ind w:left="2803"/>
      </w:pPr>
      <w:rPr>
        <w:rFonts w:ascii="Verdana" w:eastAsia="Times New Roman" w:hAnsi="Verdana" w:cs="Verdana"/>
        <w:b w:val="0"/>
        <w:i w:val="0"/>
        <w:strike w:val="0"/>
        <w:dstrike w:val="0"/>
        <w:color w:val="000000"/>
        <w:sz w:val="24"/>
        <w:szCs w:val="24"/>
        <w:u w:val="none" w:color="000000"/>
        <w:vertAlign w:val="baseline"/>
      </w:rPr>
    </w:lvl>
    <w:lvl w:ilvl="4" w:tplc="E000ECE0">
      <w:start w:val="1"/>
      <w:numFmt w:val="lowerLetter"/>
      <w:lvlText w:val="%5"/>
      <w:lvlJc w:val="left"/>
      <w:pPr>
        <w:ind w:left="3523"/>
      </w:pPr>
      <w:rPr>
        <w:rFonts w:ascii="Verdana" w:eastAsia="Times New Roman" w:hAnsi="Verdana" w:cs="Verdana"/>
        <w:b w:val="0"/>
        <w:i w:val="0"/>
        <w:strike w:val="0"/>
        <w:dstrike w:val="0"/>
        <w:color w:val="000000"/>
        <w:sz w:val="24"/>
        <w:szCs w:val="24"/>
        <w:u w:val="none" w:color="000000"/>
        <w:vertAlign w:val="baseline"/>
      </w:rPr>
    </w:lvl>
    <w:lvl w:ilvl="5" w:tplc="EDBE557A">
      <w:start w:val="1"/>
      <w:numFmt w:val="lowerRoman"/>
      <w:lvlText w:val="%6"/>
      <w:lvlJc w:val="left"/>
      <w:pPr>
        <w:ind w:left="4243"/>
      </w:pPr>
      <w:rPr>
        <w:rFonts w:ascii="Verdana" w:eastAsia="Times New Roman" w:hAnsi="Verdana" w:cs="Verdana"/>
        <w:b w:val="0"/>
        <w:i w:val="0"/>
        <w:strike w:val="0"/>
        <w:dstrike w:val="0"/>
        <w:color w:val="000000"/>
        <w:sz w:val="24"/>
        <w:szCs w:val="24"/>
        <w:u w:val="none" w:color="000000"/>
        <w:vertAlign w:val="baseline"/>
      </w:rPr>
    </w:lvl>
    <w:lvl w:ilvl="6" w:tplc="BB1826BE">
      <w:start w:val="1"/>
      <w:numFmt w:val="decimal"/>
      <w:lvlText w:val="%7"/>
      <w:lvlJc w:val="left"/>
      <w:pPr>
        <w:ind w:left="4963"/>
      </w:pPr>
      <w:rPr>
        <w:rFonts w:ascii="Verdana" w:eastAsia="Times New Roman" w:hAnsi="Verdana" w:cs="Verdana"/>
        <w:b w:val="0"/>
        <w:i w:val="0"/>
        <w:strike w:val="0"/>
        <w:dstrike w:val="0"/>
        <w:color w:val="000000"/>
        <w:sz w:val="24"/>
        <w:szCs w:val="24"/>
        <w:u w:val="none" w:color="000000"/>
        <w:vertAlign w:val="baseline"/>
      </w:rPr>
    </w:lvl>
    <w:lvl w:ilvl="7" w:tplc="8A704C9C">
      <w:start w:val="1"/>
      <w:numFmt w:val="lowerLetter"/>
      <w:lvlText w:val="%8"/>
      <w:lvlJc w:val="left"/>
      <w:pPr>
        <w:ind w:left="5683"/>
      </w:pPr>
      <w:rPr>
        <w:rFonts w:ascii="Verdana" w:eastAsia="Times New Roman" w:hAnsi="Verdana" w:cs="Verdana"/>
        <w:b w:val="0"/>
        <w:i w:val="0"/>
        <w:strike w:val="0"/>
        <w:dstrike w:val="0"/>
        <w:color w:val="000000"/>
        <w:sz w:val="24"/>
        <w:szCs w:val="24"/>
        <w:u w:val="none" w:color="000000"/>
        <w:vertAlign w:val="baseline"/>
      </w:rPr>
    </w:lvl>
    <w:lvl w:ilvl="8" w:tplc="81DE9904">
      <w:start w:val="1"/>
      <w:numFmt w:val="lowerRoman"/>
      <w:lvlText w:val="%9"/>
      <w:lvlJc w:val="left"/>
      <w:pPr>
        <w:ind w:left="6403"/>
      </w:pPr>
      <w:rPr>
        <w:rFonts w:ascii="Verdana" w:eastAsia="Times New Roman" w:hAnsi="Verdana" w:cs="Verdana"/>
        <w:b w:val="0"/>
        <w:i w:val="0"/>
        <w:strike w:val="0"/>
        <w:dstrike w:val="0"/>
        <w:color w:val="000000"/>
        <w:sz w:val="24"/>
        <w:szCs w:val="24"/>
        <w:u w:val="none" w:color="000000"/>
        <w:vertAlign w:val="baseline"/>
      </w:rPr>
    </w:lvl>
  </w:abstractNum>
  <w:abstractNum w:abstractNumId="6" w15:restartNumberingAfterBreak="0">
    <w:nsid w:val="20650B35"/>
    <w:multiLevelType w:val="hybridMultilevel"/>
    <w:tmpl w:val="34B4361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7" w15:restartNumberingAfterBreak="0">
    <w:nsid w:val="292D4B2A"/>
    <w:multiLevelType w:val="hybridMultilevel"/>
    <w:tmpl w:val="3AEAA99A"/>
    <w:lvl w:ilvl="0" w:tplc="DD1285D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7272CD"/>
    <w:multiLevelType w:val="hybridMultilevel"/>
    <w:tmpl w:val="5D3882F4"/>
    <w:lvl w:ilvl="0" w:tplc="CFE41C12">
      <w:start w:val="2"/>
      <w:numFmt w:val="bullet"/>
      <w:lvlText w:val="-"/>
      <w:lvlJc w:val="left"/>
      <w:pPr>
        <w:ind w:left="720" w:hanging="36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8F42C7"/>
    <w:multiLevelType w:val="multilevel"/>
    <w:tmpl w:val="FBFA6118"/>
    <w:lvl w:ilvl="0">
      <w:start w:val="1"/>
      <w:numFmt w:val="decimal"/>
      <w:lvlText w:val="%1.0"/>
      <w:lvlJc w:val="left"/>
      <w:pPr>
        <w:ind w:left="1080" w:hanging="72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2880" w:hanging="1080"/>
      </w:pPr>
      <w:rPr>
        <w:rFonts w:hint="default"/>
      </w:rPr>
    </w:lvl>
    <w:lvl w:ilvl="3">
      <w:start w:val="1"/>
      <w:numFmt w:val="decimal"/>
      <w:lvlText w:val="%1.%2.%3.%4"/>
      <w:lvlJc w:val="left"/>
      <w:pPr>
        <w:ind w:left="3960" w:hanging="1440"/>
      </w:pPr>
      <w:rPr>
        <w:rFonts w:hint="default"/>
      </w:rPr>
    </w:lvl>
    <w:lvl w:ilvl="4">
      <w:start w:val="1"/>
      <w:numFmt w:val="decimal"/>
      <w:lvlText w:val="%1.%2.%3.%4.%5"/>
      <w:lvlJc w:val="left"/>
      <w:pPr>
        <w:ind w:left="5040" w:hanging="1800"/>
      </w:pPr>
      <w:rPr>
        <w:rFonts w:hint="default"/>
      </w:rPr>
    </w:lvl>
    <w:lvl w:ilvl="5">
      <w:start w:val="1"/>
      <w:numFmt w:val="decimal"/>
      <w:lvlText w:val="%1.%2.%3.%4.%5.%6"/>
      <w:lvlJc w:val="left"/>
      <w:pPr>
        <w:ind w:left="6120" w:hanging="2160"/>
      </w:pPr>
      <w:rPr>
        <w:rFonts w:hint="default"/>
      </w:rPr>
    </w:lvl>
    <w:lvl w:ilvl="6">
      <w:start w:val="1"/>
      <w:numFmt w:val="decimal"/>
      <w:lvlText w:val="%1.%2.%3.%4.%5.%6.%7"/>
      <w:lvlJc w:val="left"/>
      <w:pPr>
        <w:ind w:left="7200" w:hanging="2520"/>
      </w:pPr>
      <w:rPr>
        <w:rFonts w:hint="default"/>
      </w:rPr>
    </w:lvl>
    <w:lvl w:ilvl="7">
      <w:start w:val="1"/>
      <w:numFmt w:val="decimal"/>
      <w:lvlText w:val="%1.%2.%3.%4.%5.%6.%7.%8"/>
      <w:lvlJc w:val="left"/>
      <w:pPr>
        <w:ind w:left="8280" w:hanging="2880"/>
      </w:pPr>
      <w:rPr>
        <w:rFonts w:hint="default"/>
      </w:rPr>
    </w:lvl>
    <w:lvl w:ilvl="8">
      <w:start w:val="1"/>
      <w:numFmt w:val="decimal"/>
      <w:lvlText w:val="%1.%2.%3.%4.%5.%6.%7.%8.%9"/>
      <w:lvlJc w:val="left"/>
      <w:pPr>
        <w:ind w:left="9360" w:hanging="3240"/>
      </w:pPr>
      <w:rPr>
        <w:rFonts w:hint="default"/>
      </w:rPr>
    </w:lvl>
  </w:abstractNum>
  <w:abstractNum w:abstractNumId="10" w15:restartNumberingAfterBreak="0">
    <w:nsid w:val="3150172B"/>
    <w:multiLevelType w:val="hybridMultilevel"/>
    <w:tmpl w:val="0616D4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4A7651"/>
    <w:multiLevelType w:val="multilevel"/>
    <w:tmpl w:val="92843720"/>
    <w:lvl w:ilvl="0">
      <w:start w:val="5"/>
      <w:numFmt w:val="decimal"/>
      <w:lvlText w:val="%1"/>
      <w:lvlJc w:val="left"/>
      <w:pPr>
        <w:ind w:left="585" w:hanging="585"/>
      </w:pPr>
      <w:rPr>
        <w:rFonts w:eastAsia="Times New Roman" w:cs="Verdana" w:hint="default"/>
        <w:b/>
        <w:color w:val="000000"/>
      </w:rPr>
    </w:lvl>
    <w:lvl w:ilvl="1">
      <w:start w:val="20"/>
      <w:numFmt w:val="decimal"/>
      <w:lvlText w:val="%1.%2"/>
      <w:lvlJc w:val="left"/>
      <w:pPr>
        <w:ind w:left="720" w:hanging="720"/>
      </w:pPr>
      <w:rPr>
        <w:rFonts w:eastAsia="Times New Roman" w:cs="Verdana" w:hint="default"/>
        <w:b w:val="0"/>
        <w:bCs/>
        <w:color w:val="000000"/>
      </w:rPr>
    </w:lvl>
    <w:lvl w:ilvl="2">
      <w:start w:val="1"/>
      <w:numFmt w:val="decimal"/>
      <w:lvlText w:val="%1.%2.%3"/>
      <w:lvlJc w:val="left"/>
      <w:pPr>
        <w:ind w:left="1080" w:hanging="1080"/>
      </w:pPr>
      <w:rPr>
        <w:rFonts w:eastAsia="Times New Roman" w:cs="Verdana" w:hint="default"/>
        <w:b/>
        <w:color w:val="000000"/>
      </w:rPr>
    </w:lvl>
    <w:lvl w:ilvl="3">
      <w:start w:val="1"/>
      <w:numFmt w:val="decimal"/>
      <w:lvlText w:val="%1.%2.%3.%4"/>
      <w:lvlJc w:val="left"/>
      <w:pPr>
        <w:ind w:left="1080" w:hanging="1080"/>
      </w:pPr>
      <w:rPr>
        <w:rFonts w:eastAsia="Times New Roman" w:cs="Verdana" w:hint="default"/>
        <w:b/>
        <w:color w:val="000000"/>
      </w:rPr>
    </w:lvl>
    <w:lvl w:ilvl="4">
      <w:start w:val="1"/>
      <w:numFmt w:val="decimal"/>
      <w:lvlText w:val="%1.%2.%3.%4.%5"/>
      <w:lvlJc w:val="left"/>
      <w:pPr>
        <w:ind w:left="1440" w:hanging="1440"/>
      </w:pPr>
      <w:rPr>
        <w:rFonts w:eastAsia="Times New Roman" w:cs="Verdana" w:hint="default"/>
        <w:b/>
        <w:color w:val="000000"/>
      </w:rPr>
    </w:lvl>
    <w:lvl w:ilvl="5">
      <w:start w:val="1"/>
      <w:numFmt w:val="decimal"/>
      <w:lvlText w:val="%1.%2.%3.%4.%5.%6"/>
      <w:lvlJc w:val="left"/>
      <w:pPr>
        <w:ind w:left="1800" w:hanging="1800"/>
      </w:pPr>
      <w:rPr>
        <w:rFonts w:eastAsia="Times New Roman" w:cs="Verdana" w:hint="default"/>
        <w:b/>
        <w:color w:val="000000"/>
      </w:rPr>
    </w:lvl>
    <w:lvl w:ilvl="6">
      <w:start w:val="1"/>
      <w:numFmt w:val="decimal"/>
      <w:lvlText w:val="%1.%2.%3.%4.%5.%6.%7"/>
      <w:lvlJc w:val="left"/>
      <w:pPr>
        <w:ind w:left="2160" w:hanging="2160"/>
      </w:pPr>
      <w:rPr>
        <w:rFonts w:eastAsia="Times New Roman" w:cs="Verdana" w:hint="default"/>
        <w:b/>
        <w:color w:val="000000"/>
      </w:rPr>
    </w:lvl>
    <w:lvl w:ilvl="7">
      <w:start w:val="1"/>
      <w:numFmt w:val="decimal"/>
      <w:lvlText w:val="%1.%2.%3.%4.%5.%6.%7.%8"/>
      <w:lvlJc w:val="left"/>
      <w:pPr>
        <w:ind w:left="2520" w:hanging="2520"/>
      </w:pPr>
      <w:rPr>
        <w:rFonts w:eastAsia="Times New Roman" w:cs="Verdana" w:hint="default"/>
        <w:b/>
        <w:color w:val="000000"/>
      </w:rPr>
    </w:lvl>
    <w:lvl w:ilvl="8">
      <w:start w:val="1"/>
      <w:numFmt w:val="decimal"/>
      <w:lvlText w:val="%1.%2.%3.%4.%5.%6.%7.%8.%9"/>
      <w:lvlJc w:val="left"/>
      <w:pPr>
        <w:ind w:left="2520" w:hanging="2520"/>
      </w:pPr>
      <w:rPr>
        <w:rFonts w:eastAsia="Times New Roman" w:cs="Verdana" w:hint="default"/>
        <w:b/>
        <w:color w:val="000000"/>
      </w:rPr>
    </w:lvl>
  </w:abstractNum>
  <w:abstractNum w:abstractNumId="12" w15:restartNumberingAfterBreak="0">
    <w:nsid w:val="34414DF0"/>
    <w:multiLevelType w:val="multilevel"/>
    <w:tmpl w:val="56B83BFC"/>
    <w:lvl w:ilvl="0">
      <w:start w:val="4"/>
      <w:numFmt w:val="decimal"/>
      <w:lvlText w:val="%1"/>
      <w:lvlJc w:val="left"/>
      <w:pPr>
        <w:ind w:left="420" w:hanging="42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13" w15:restartNumberingAfterBreak="0">
    <w:nsid w:val="3D4707FC"/>
    <w:multiLevelType w:val="multilevel"/>
    <w:tmpl w:val="E68AFD54"/>
    <w:lvl w:ilvl="0">
      <w:start w:val="3"/>
      <w:numFmt w:val="decimal"/>
      <w:lvlText w:val="%1"/>
      <w:lvlJc w:val="left"/>
      <w:pPr>
        <w:ind w:left="420" w:hanging="420"/>
      </w:pPr>
      <w:rPr>
        <w:rFonts w:hint="default"/>
        <w:b/>
      </w:rPr>
    </w:lvl>
    <w:lvl w:ilvl="1">
      <w:start w:val="5"/>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14" w15:restartNumberingAfterBreak="0">
    <w:nsid w:val="484F370E"/>
    <w:multiLevelType w:val="multilevel"/>
    <w:tmpl w:val="BAB89D68"/>
    <w:lvl w:ilvl="0">
      <w:start w:val="3"/>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48F63DA6"/>
    <w:multiLevelType w:val="multilevel"/>
    <w:tmpl w:val="7436A288"/>
    <w:lvl w:ilvl="0">
      <w:start w:val="5"/>
      <w:numFmt w:val="decimal"/>
      <w:lvlText w:val="%1"/>
      <w:lvlJc w:val="left"/>
      <w:pPr>
        <w:ind w:left="585" w:hanging="58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4D5746B7"/>
    <w:multiLevelType w:val="multilevel"/>
    <w:tmpl w:val="474C9C6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7" w15:restartNumberingAfterBreak="0">
    <w:nsid w:val="4E50208D"/>
    <w:multiLevelType w:val="multilevel"/>
    <w:tmpl w:val="C436FBCE"/>
    <w:lvl w:ilvl="0">
      <w:start w:val="3"/>
      <w:numFmt w:val="decimal"/>
      <w:lvlText w:val="%1"/>
      <w:lvlJc w:val="left"/>
      <w:pPr>
        <w:ind w:left="420" w:hanging="420"/>
      </w:pPr>
      <w:rPr>
        <w:rFonts w:hint="default"/>
        <w:b/>
      </w:rPr>
    </w:lvl>
    <w:lvl w:ilvl="1">
      <w:start w:val="2"/>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18" w15:restartNumberingAfterBreak="0">
    <w:nsid w:val="52C63359"/>
    <w:multiLevelType w:val="multilevel"/>
    <w:tmpl w:val="22629164"/>
    <w:lvl w:ilvl="0">
      <w:start w:val="3"/>
      <w:numFmt w:val="decimal"/>
      <w:lvlText w:val="%1"/>
      <w:lvlJc w:val="left"/>
      <w:pPr>
        <w:ind w:left="420" w:hanging="4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15:restartNumberingAfterBreak="0">
    <w:nsid w:val="538433B5"/>
    <w:multiLevelType w:val="hybridMultilevel"/>
    <w:tmpl w:val="E8CC822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0" w15:restartNumberingAfterBreak="0">
    <w:nsid w:val="5BA87EAC"/>
    <w:multiLevelType w:val="multilevel"/>
    <w:tmpl w:val="C244586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1" w15:restartNumberingAfterBreak="0">
    <w:nsid w:val="5D461070"/>
    <w:multiLevelType w:val="multilevel"/>
    <w:tmpl w:val="4C80200E"/>
    <w:lvl w:ilvl="0">
      <w:start w:val="5"/>
      <w:numFmt w:val="decimal"/>
      <w:lvlText w:val="%1"/>
      <w:lvlJc w:val="left"/>
      <w:pPr>
        <w:ind w:left="420" w:hanging="420"/>
      </w:pPr>
      <w:rPr>
        <w:rFonts w:hint="default"/>
        <w:b/>
      </w:rPr>
    </w:lvl>
    <w:lvl w:ilvl="1">
      <w:start w:val="4"/>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22" w15:restartNumberingAfterBreak="0">
    <w:nsid w:val="5DE43630"/>
    <w:multiLevelType w:val="multilevel"/>
    <w:tmpl w:val="2438E44C"/>
    <w:lvl w:ilvl="0">
      <w:start w:val="4"/>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624C54B6"/>
    <w:multiLevelType w:val="hybridMultilevel"/>
    <w:tmpl w:val="FDB23D6A"/>
    <w:lvl w:ilvl="0" w:tplc="7A3A7570">
      <w:start w:val="87"/>
      <w:numFmt w:val="decimal"/>
      <w:lvlText w:val="%1."/>
      <w:lvlJc w:val="left"/>
      <w:pPr>
        <w:ind w:left="566"/>
      </w:pPr>
      <w:rPr>
        <w:rFonts w:ascii="Verdana" w:eastAsia="Times New Roman" w:hAnsi="Verdana" w:cs="Verdana"/>
        <w:b w:val="0"/>
        <w:i w:val="0"/>
        <w:strike w:val="0"/>
        <w:dstrike w:val="0"/>
        <w:color w:val="000000"/>
        <w:sz w:val="24"/>
        <w:szCs w:val="24"/>
        <w:u w:val="none" w:color="000000"/>
        <w:vertAlign w:val="baseline"/>
      </w:rPr>
    </w:lvl>
    <w:lvl w:ilvl="1" w:tplc="CA20C2AC">
      <w:start w:val="1"/>
      <w:numFmt w:val="lowerLetter"/>
      <w:lvlText w:val="%2"/>
      <w:lvlJc w:val="left"/>
      <w:pPr>
        <w:ind w:left="1080"/>
      </w:pPr>
      <w:rPr>
        <w:rFonts w:ascii="Verdana" w:eastAsia="Times New Roman" w:hAnsi="Verdana" w:cs="Verdana"/>
        <w:b w:val="0"/>
        <w:i w:val="0"/>
        <w:strike w:val="0"/>
        <w:dstrike w:val="0"/>
        <w:color w:val="000000"/>
        <w:sz w:val="24"/>
        <w:szCs w:val="24"/>
        <w:u w:val="none" w:color="000000"/>
        <w:vertAlign w:val="baseline"/>
      </w:rPr>
    </w:lvl>
    <w:lvl w:ilvl="2" w:tplc="E090A3D4">
      <w:start w:val="1"/>
      <w:numFmt w:val="lowerRoman"/>
      <w:lvlText w:val="%3"/>
      <w:lvlJc w:val="left"/>
      <w:pPr>
        <w:ind w:left="1800"/>
      </w:pPr>
      <w:rPr>
        <w:rFonts w:ascii="Verdana" w:eastAsia="Times New Roman" w:hAnsi="Verdana" w:cs="Verdana"/>
        <w:b w:val="0"/>
        <w:i w:val="0"/>
        <w:strike w:val="0"/>
        <w:dstrike w:val="0"/>
        <w:color w:val="000000"/>
        <w:sz w:val="24"/>
        <w:szCs w:val="24"/>
        <w:u w:val="none" w:color="000000"/>
        <w:vertAlign w:val="baseline"/>
      </w:rPr>
    </w:lvl>
    <w:lvl w:ilvl="3" w:tplc="9266CC9C">
      <w:start w:val="1"/>
      <w:numFmt w:val="decimal"/>
      <w:lvlText w:val="%4"/>
      <w:lvlJc w:val="left"/>
      <w:pPr>
        <w:ind w:left="2520"/>
      </w:pPr>
      <w:rPr>
        <w:rFonts w:ascii="Verdana" w:eastAsia="Times New Roman" w:hAnsi="Verdana" w:cs="Verdana"/>
        <w:b w:val="0"/>
        <w:i w:val="0"/>
        <w:strike w:val="0"/>
        <w:dstrike w:val="0"/>
        <w:color w:val="000000"/>
        <w:sz w:val="24"/>
        <w:szCs w:val="24"/>
        <w:u w:val="none" w:color="000000"/>
        <w:vertAlign w:val="baseline"/>
      </w:rPr>
    </w:lvl>
    <w:lvl w:ilvl="4" w:tplc="FA0C3F2A">
      <w:start w:val="1"/>
      <w:numFmt w:val="lowerLetter"/>
      <w:lvlText w:val="%5"/>
      <w:lvlJc w:val="left"/>
      <w:pPr>
        <w:ind w:left="3240"/>
      </w:pPr>
      <w:rPr>
        <w:rFonts w:ascii="Verdana" w:eastAsia="Times New Roman" w:hAnsi="Verdana" w:cs="Verdana"/>
        <w:b w:val="0"/>
        <w:i w:val="0"/>
        <w:strike w:val="0"/>
        <w:dstrike w:val="0"/>
        <w:color w:val="000000"/>
        <w:sz w:val="24"/>
        <w:szCs w:val="24"/>
        <w:u w:val="none" w:color="000000"/>
        <w:vertAlign w:val="baseline"/>
      </w:rPr>
    </w:lvl>
    <w:lvl w:ilvl="5" w:tplc="9A9CDEF2">
      <w:start w:val="1"/>
      <w:numFmt w:val="lowerRoman"/>
      <w:lvlText w:val="%6"/>
      <w:lvlJc w:val="left"/>
      <w:pPr>
        <w:ind w:left="3960"/>
      </w:pPr>
      <w:rPr>
        <w:rFonts w:ascii="Verdana" w:eastAsia="Times New Roman" w:hAnsi="Verdana" w:cs="Verdana"/>
        <w:b w:val="0"/>
        <w:i w:val="0"/>
        <w:strike w:val="0"/>
        <w:dstrike w:val="0"/>
        <w:color w:val="000000"/>
        <w:sz w:val="24"/>
        <w:szCs w:val="24"/>
        <w:u w:val="none" w:color="000000"/>
        <w:vertAlign w:val="baseline"/>
      </w:rPr>
    </w:lvl>
    <w:lvl w:ilvl="6" w:tplc="AEEC06CE">
      <w:start w:val="1"/>
      <w:numFmt w:val="decimal"/>
      <w:lvlText w:val="%7"/>
      <w:lvlJc w:val="left"/>
      <w:pPr>
        <w:ind w:left="4680"/>
      </w:pPr>
      <w:rPr>
        <w:rFonts w:ascii="Verdana" w:eastAsia="Times New Roman" w:hAnsi="Verdana" w:cs="Verdana"/>
        <w:b w:val="0"/>
        <w:i w:val="0"/>
        <w:strike w:val="0"/>
        <w:dstrike w:val="0"/>
        <w:color w:val="000000"/>
        <w:sz w:val="24"/>
        <w:szCs w:val="24"/>
        <w:u w:val="none" w:color="000000"/>
        <w:vertAlign w:val="baseline"/>
      </w:rPr>
    </w:lvl>
    <w:lvl w:ilvl="7" w:tplc="6FD6CF6A">
      <w:start w:val="1"/>
      <w:numFmt w:val="lowerLetter"/>
      <w:lvlText w:val="%8"/>
      <w:lvlJc w:val="left"/>
      <w:pPr>
        <w:ind w:left="5400"/>
      </w:pPr>
      <w:rPr>
        <w:rFonts w:ascii="Verdana" w:eastAsia="Times New Roman" w:hAnsi="Verdana" w:cs="Verdana"/>
        <w:b w:val="0"/>
        <w:i w:val="0"/>
        <w:strike w:val="0"/>
        <w:dstrike w:val="0"/>
        <w:color w:val="000000"/>
        <w:sz w:val="24"/>
        <w:szCs w:val="24"/>
        <w:u w:val="none" w:color="000000"/>
        <w:vertAlign w:val="baseline"/>
      </w:rPr>
    </w:lvl>
    <w:lvl w:ilvl="8" w:tplc="BF745DC6">
      <w:start w:val="1"/>
      <w:numFmt w:val="lowerRoman"/>
      <w:lvlText w:val="%9"/>
      <w:lvlJc w:val="left"/>
      <w:pPr>
        <w:ind w:left="6120"/>
      </w:pPr>
      <w:rPr>
        <w:rFonts w:ascii="Verdana" w:eastAsia="Times New Roman" w:hAnsi="Verdana" w:cs="Verdana"/>
        <w:b w:val="0"/>
        <w:i w:val="0"/>
        <w:strike w:val="0"/>
        <w:dstrike w:val="0"/>
        <w:color w:val="000000"/>
        <w:sz w:val="24"/>
        <w:szCs w:val="24"/>
        <w:u w:val="none" w:color="000000"/>
        <w:vertAlign w:val="baseline"/>
      </w:rPr>
    </w:lvl>
  </w:abstractNum>
  <w:abstractNum w:abstractNumId="24" w15:restartNumberingAfterBreak="0">
    <w:nsid w:val="641A10FE"/>
    <w:multiLevelType w:val="hybridMultilevel"/>
    <w:tmpl w:val="D7A8CD7C"/>
    <w:lvl w:ilvl="0" w:tplc="E5E2961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6A6CB1"/>
    <w:multiLevelType w:val="multilevel"/>
    <w:tmpl w:val="9C4EDE5A"/>
    <w:lvl w:ilvl="0">
      <w:start w:val="1"/>
      <w:numFmt w:val="decimal"/>
      <w:lvlText w:val="%1"/>
      <w:lvlJc w:val="left"/>
      <w:pPr>
        <w:ind w:left="390" w:hanging="390"/>
      </w:pPr>
    </w:lvl>
    <w:lvl w:ilvl="1">
      <w:start w:val="2"/>
      <w:numFmt w:val="decimal"/>
      <w:lvlText w:val="%1.%2"/>
      <w:lvlJc w:val="left"/>
      <w:pPr>
        <w:ind w:left="720" w:hanging="720"/>
      </w:pPr>
      <w:rPr>
        <w:b w:val="0"/>
        <w:color w:val="auto"/>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520" w:hanging="2520"/>
      </w:pPr>
    </w:lvl>
  </w:abstractNum>
  <w:abstractNum w:abstractNumId="26" w15:restartNumberingAfterBreak="0">
    <w:nsid w:val="69BC10B8"/>
    <w:multiLevelType w:val="multilevel"/>
    <w:tmpl w:val="CA06F2FA"/>
    <w:lvl w:ilvl="0">
      <w:start w:val="2"/>
      <w:numFmt w:val="decimal"/>
      <w:lvlText w:val="%1"/>
      <w:lvlJc w:val="left"/>
      <w:pPr>
        <w:ind w:left="420" w:hanging="420"/>
      </w:pPr>
      <w:rPr>
        <w:rFonts w:hint="default"/>
        <w:b/>
      </w:rPr>
    </w:lvl>
    <w:lvl w:ilvl="1">
      <w:start w:val="5"/>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27" w15:restartNumberingAfterBreak="0">
    <w:nsid w:val="6A464472"/>
    <w:multiLevelType w:val="multilevel"/>
    <w:tmpl w:val="F64697B8"/>
    <w:lvl w:ilvl="0">
      <w:start w:val="1"/>
      <w:numFmt w:val="decimal"/>
      <w:lvlText w:val="%1.0"/>
      <w:lvlJc w:val="left"/>
      <w:pPr>
        <w:ind w:left="720" w:hanging="720"/>
      </w:pPr>
      <w:rPr>
        <w:rFonts w:cs="Times New Roman" w:hint="default"/>
        <w:color w:val="77328A"/>
      </w:rPr>
    </w:lvl>
    <w:lvl w:ilvl="1">
      <w:start w:val="1"/>
      <w:numFmt w:val="decimal"/>
      <w:lvlText w:val="%1.%2"/>
      <w:lvlJc w:val="left"/>
      <w:pPr>
        <w:ind w:left="720" w:hanging="720"/>
      </w:pPr>
      <w:rPr>
        <w:rFonts w:cs="Times New Roman" w:hint="default"/>
        <w:b w:val="0"/>
        <w:color w:val="auto"/>
      </w:rPr>
    </w:lvl>
    <w:lvl w:ilvl="2">
      <w:start w:val="1"/>
      <w:numFmt w:val="decimal"/>
      <w:lvlText w:val="%1.%2.%3"/>
      <w:lvlJc w:val="left"/>
      <w:pPr>
        <w:ind w:left="2520" w:hanging="1080"/>
      </w:pPr>
      <w:rPr>
        <w:rFonts w:cs="Times New Roman" w:hint="default"/>
      </w:rPr>
    </w:lvl>
    <w:lvl w:ilvl="3">
      <w:start w:val="1"/>
      <w:numFmt w:val="decimal"/>
      <w:lvlText w:val="%1.%2.%3.%4"/>
      <w:lvlJc w:val="left"/>
      <w:pPr>
        <w:ind w:left="3600" w:hanging="1440"/>
      </w:pPr>
      <w:rPr>
        <w:rFonts w:cs="Times New Roman" w:hint="default"/>
      </w:rPr>
    </w:lvl>
    <w:lvl w:ilvl="4">
      <w:start w:val="1"/>
      <w:numFmt w:val="decimal"/>
      <w:lvlText w:val="%1.%2.%3.%4.%5"/>
      <w:lvlJc w:val="left"/>
      <w:pPr>
        <w:ind w:left="4680" w:hanging="1800"/>
      </w:pPr>
      <w:rPr>
        <w:rFonts w:cs="Times New Roman" w:hint="default"/>
      </w:rPr>
    </w:lvl>
    <w:lvl w:ilvl="5">
      <w:start w:val="1"/>
      <w:numFmt w:val="decimal"/>
      <w:lvlText w:val="%1.%2.%3.%4.%5.%6"/>
      <w:lvlJc w:val="left"/>
      <w:pPr>
        <w:ind w:left="5760" w:hanging="2160"/>
      </w:pPr>
      <w:rPr>
        <w:rFonts w:cs="Times New Roman" w:hint="default"/>
      </w:rPr>
    </w:lvl>
    <w:lvl w:ilvl="6">
      <w:start w:val="1"/>
      <w:numFmt w:val="decimal"/>
      <w:lvlText w:val="%1.%2.%3.%4.%5.%6.%7"/>
      <w:lvlJc w:val="left"/>
      <w:pPr>
        <w:ind w:left="6840" w:hanging="2520"/>
      </w:pPr>
      <w:rPr>
        <w:rFonts w:cs="Times New Roman" w:hint="default"/>
      </w:rPr>
    </w:lvl>
    <w:lvl w:ilvl="7">
      <w:start w:val="1"/>
      <w:numFmt w:val="decimal"/>
      <w:lvlText w:val="%1.%2.%3.%4.%5.%6.%7.%8"/>
      <w:lvlJc w:val="left"/>
      <w:pPr>
        <w:ind w:left="7920" w:hanging="2880"/>
      </w:pPr>
      <w:rPr>
        <w:rFonts w:cs="Times New Roman" w:hint="default"/>
      </w:rPr>
    </w:lvl>
    <w:lvl w:ilvl="8">
      <w:start w:val="1"/>
      <w:numFmt w:val="decimal"/>
      <w:lvlText w:val="%1.%2.%3.%4.%5.%6.%7.%8.%9"/>
      <w:lvlJc w:val="left"/>
      <w:pPr>
        <w:ind w:left="9000" w:hanging="3240"/>
      </w:pPr>
      <w:rPr>
        <w:rFonts w:cs="Times New Roman" w:hint="default"/>
      </w:rPr>
    </w:lvl>
  </w:abstractNum>
  <w:abstractNum w:abstractNumId="28" w15:restartNumberingAfterBreak="0">
    <w:nsid w:val="6C501791"/>
    <w:multiLevelType w:val="multilevel"/>
    <w:tmpl w:val="9AA405B2"/>
    <w:lvl w:ilvl="0">
      <w:start w:val="2"/>
      <w:numFmt w:val="decimal"/>
      <w:lvlText w:val="%1"/>
      <w:lvlJc w:val="left"/>
      <w:pPr>
        <w:ind w:left="390" w:hanging="390"/>
      </w:pPr>
    </w:lvl>
    <w:lvl w:ilvl="1">
      <w:start w:val="5"/>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520" w:hanging="2520"/>
      </w:pPr>
    </w:lvl>
  </w:abstractNum>
  <w:abstractNum w:abstractNumId="29" w15:restartNumberingAfterBreak="0">
    <w:nsid w:val="6E0E6367"/>
    <w:multiLevelType w:val="multilevel"/>
    <w:tmpl w:val="330CDA0C"/>
    <w:lvl w:ilvl="0">
      <w:start w:val="2"/>
      <w:numFmt w:val="decimal"/>
      <w:lvlText w:val="%1"/>
      <w:lvlJc w:val="left"/>
      <w:pPr>
        <w:ind w:left="420" w:hanging="420"/>
      </w:pPr>
      <w:rPr>
        <w:rFonts w:eastAsia="Verdana" w:hint="default"/>
        <w:b/>
      </w:rPr>
    </w:lvl>
    <w:lvl w:ilvl="1">
      <w:start w:val="7"/>
      <w:numFmt w:val="decimal"/>
      <w:lvlText w:val="%1.%2"/>
      <w:lvlJc w:val="left"/>
      <w:pPr>
        <w:ind w:left="720" w:hanging="720"/>
      </w:pPr>
      <w:rPr>
        <w:rFonts w:eastAsia="Verdana" w:hint="default"/>
        <w:b w:val="0"/>
        <w:bCs/>
      </w:rPr>
    </w:lvl>
    <w:lvl w:ilvl="2">
      <w:start w:val="1"/>
      <w:numFmt w:val="decimal"/>
      <w:lvlText w:val="%1.%2.%3"/>
      <w:lvlJc w:val="left"/>
      <w:pPr>
        <w:ind w:left="1080" w:hanging="1080"/>
      </w:pPr>
      <w:rPr>
        <w:rFonts w:eastAsia="Verdana" w:hint="default"/>
        <w:b/>
      </w:rPr>
    </w:lvl>
    <w:lvl w:ilvl="3">
      <w:start w:val="1"/>
      <w:numFmt w:val="decimal"/>
      <w:lvlText w:val="%1.%2.%3.%4"/>
      <w:lvlJc w:val="left"/>
      <w:pPr>
        <w:ind w:left="1080" w:hanging="1080"/>
      </w:pPr>
      <w:rPr>
        <w:rFonts w:eastAsia="Verdana" w:hint="default"/>
        <w:b/>
      </w:rPr>
    </w:lvl>
    <w:lvl w:ilvl="4">
      <w:start w:val="1"/>
      <w:numFmt w:val="decimal"/>
      <w:lvlText w:val="%1.%2.%3.%4.%5"/>
      <w:lvlJc w:val="left"/>
      <w:pPr>
        <w:ind w:left="1440" w:hanging="1440"/>
      </w:pPr>
      <w:rPr>
        <w:rFonts w:eastAsia="Verdana" w:hint="default"/>
        <w:b/>
      </w:rPr>
    </w:lvl>
    <w:lvl w:ilvl="5">
      <w:start w:val="1"/>
      <w:numFmt w:val="decimal"/>
      <w:lvlText w:val="%1.%2.%3.%4.%5.%6"/>
      <w:lvlJc w:val="left"/>
      <w:pPr>
        <w:ind w:left="1800" w:hanging="1800"/>
      </w:pPr>
      <w:rPr>
        <w:rFonts w:eastAsia="Verdana" w:hint="default"/>
        <w:b/>
      </w:rPr>
    </w:lvl>
    <w:lvl w:ilvl="6">
      <w:start w:val="1"/>
      <w:numFmt w:val="decimal"/>
      <w:lvlText w:val="%1.%2.%3.%4.%5.%6.%7"/>
      <w:lvlJc w:val="left"/>
      <w:pPr>
        <w:ind w:left="2160" w:hanging="2160"/>
      </w:pPr>
      <w:rPr>
        <w:rFonts w:eastAsia="Verdana" w:hint="default"/>
        <w:b/>
      </w:rPr>
    </w:lvl>
    <w:lvl w:ilvl="7">
      <w:start w:val="1"/>
      <w:numFmt w:val="decimal"/>
      <w:lvlText w:val="%1.%2.%3.%4.%5.%6.%7.%8"/>
      <w:lvlJc w:val="left"/>
      <w:pPr>
        <w:ind w:left="2520" w:hanging="2520"/>
      </w:pPr>
      <w:rPr>
        <w:rFonts w:eastAsia="Verdana" w:hint="default"/>
        <w:b/>
      </w:rPr>
    </w:lvl>
    <w:lvl w:ilvl="8">
      <w:start w:val="1"/>
      <w:numFmt w:val="decimal"/>
      <w:lvlText w:val="%1.%2.%3.%4.%5.%6.%7.%8.%9"/>
      <w:lvlJc w:val="left"/>
      <w:pPr>
        <w:ind w:left="2520" w:hanging="2520"/>
      </w:pPr>
      <w:rPr>
        <w:rFonts w:eastAsia="Verdana" w:hint="default"/>
        <w:b/>
      </w:rPr>
    </w:lvl>
  </w:abstractNum>
  <w:abstractNum w:abstractNumId="30" w15:restartNumberingAfterBreak="0">
    <w:nsid w:val="70193877"/>
    <w:multiLevelType w:val="multilevel"/>
    <w:tmpl w:val="DBA02090"/>
    <w:lvl w:ilvl="0">
      <w:start w:val="1"/>
      <w:numFmt w:val="decimal"/>
      <w:lvlText w:val="%1.0"/>
      <w:lvlJc w:val="left"/>
      <w:pPr>
        <w:ind w:left="720" w:hanging="72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3600" w:hanging="1440"/>
      </w:pPr>
    </w:lvl>
    <w:lvl w:ilvl="4">
      <w:start w:val="1"/>
      <w:numFmt w:val="decimal"/>
      <w:lvlText w:val="%1.%2.%3.%4.%5"/>
      <w:lvlJc w:val="left"/>
      <w:pPr>
        <w:ind w:left="4680" w:hanging="1800"/>
      </w:pPr>
    </w:lvl>
    <w:lvl w:ilvl="5">
      <w:start w:val="1"/>
      <w:numFmt w:val="decimal"/>
      <w:lvlText w:val="%1.%2.%3.%4.%5.%6"/>
      <w:lvlJc w:val="left"/>
      <w:pPr>
        <w:ind w:left="5760" w:hanging="2160"/>
      </w:pPr>
    </w:lvl>
    <w:lvl w:ilvl="6">
      <w:start w:val="1"/>
      <w:numFmt w:val="decimal"/>
      <w:lvlText w:val="%1.%2.%3.%4.%5.%6.%7"/>
      <w:lvlJc w:val="left"/>
      <w:pPr>
        <w:ind w:left="6840" w:hanging="2520"/>
      </w:pPr>
    </w:lvl>
    <w:lvl w:ilvl="7">
      <w:start w:val="1"/>
      <w:numFmt w:val="decimal"/>
      <w:lvlText w:val="%1.%2.%3.%4.%5.%6.%7.%8"/>
      <w:lvlJc w:val="left"/>
      <w:pPr>
        <w:ind w:left="7920" w:hanging="2880"/>
      </w:pPr>
    </w:lvl>
    <w:lvl w:ilvl="8">
      <w:start w:val="1"/>
      <w:numFmt w:val="decimal"/>
      <w:lvlText w:val="%1.%2.%3.%4.%5.%6.%7.%8.%9"/>
      <w:lvlJc w:val="left"/>
      <w:pPr>
        <w:ind w:left="9000" w:hanging="3240"/>
      </w:pPr>
    </w:lvl>
  </w:abstractNum>
  <w:abstractNum w:abstractNumId="31" w15:restartNumberingAfterBreak="0">
    <w:nsid w:val="71A215CB"/>
    <w:multiLevelType w:val="multilevel"/>
    <w:tmpl w:val="838CFD82"/>
    <w:lvl w:ilvl="0">
      <w:start w:val="6"/>
      <w:numFmt w:val="decimal"/>
      <w:lvlText w:val="%1"/>
      <w:lvlJc w:val="left"/>
      <w:pPr>
        <w:ind w:left="420" w:hanging="420"/>
      </w:pPr>
      <w:rPr>
        <w:rFonts w:cstheme="minorBidi" w:hint="default"/>
        <w:b/>
        <w:color w:val="auto"/>
      </w:rPr>
    </w:lvl>
    <w:lvl w:ilvl="1">
      <w:start w:val="7"/>
      <w:numFmt w:val="decimal"/>
      <w:lvlText w:val="%1.%2"/>
      <w:lvlJc w:val="left"/>
      <w:pPr>
        <w:ind w:left="720" w:hanging="720"/>
      </w:pPr>
      <w:rPr>
        <w:rFonts w:cstheme="minorBidi" w:hint="default"/>
        <w:b w:val="0"/>
        <w:bCs/>
        <w:color w:val="auto"/>
      </w:rPr>
    </w:lvl>
    <w:lvl w:ilvl="2">
      <w:start w:val="1"/>
      <w:numFmt w:val="decimal"/>
      <w:lvlText w:val="%1.%2.%3"/>
      <w:lvlJc w:val="left"/>
      <w:pPr>
        <w:ind w:left="1080" w:hanging="1080"/>
      </w:pPr>
      <w:rPr>
        <w:rFonts w:cstheme="minorBidi" w:hint="default"/>
        <w:b/>
        <w:color w:val="auto"/>
      </w:rPr>
    </w:lvl>
    <w:lvl w:ilvl="3">
      <w:start w:val="1"/>
      <w:numFmt w:val="decimal"/>
      <w:lvlText w:val="%1.%2.%3.%4"/>
      <w:lvlJc w:val="left"/>
      <w:pPr>
        <w:ind w:left="1080" w:hanging="1080"/>
      </w:pPr>
      <w:rPr>
        <w:rFonts w:cstheme="minorBidi" w:hint="default"/>
        <w:b/>
        <w:color w:val="auto"/>
      </w:rPr>
    </w:lvl>
    <w:lvl w:ilvl="4">
      <w:start w:val="1"/>
      <w:numFmt w:val="decimal"/>
      <w:lvlText w:val="%1.%2.%3.%4.%5"/>
      <w:lvlJc w:val="left"/>
      <w:pPr>
        <w:ind w:left="1440" w:hanging="1440"/>
      </w:pPr>
      <w:rPr>
        <w:rFonts w:cstheme="minorBidi" w:hint="default"/>
        <w:b/>
        <w:color w:val="auto"/>
      </w:rPr>
    </w:lvl>
    <w:lvl w:ilvl="5">
      <w:start w:val="1"/>
      <w:numFmt w:val="decimal"/>
      <w:lvlText w:val="%1.%2.%3.%4.%5.%6"/>
      <w:lvlJc w:val="left"/>
      <w:pPr>
        <w:ind w:left="1800" w:hanging="1800"/>
      </w:pPr>
      <w:rPr>
        <w:rFonts w:cstheme="minorBidi" w:hint="default"/>
        <w:b/>
        <w:color w:val="auto"/>
      </w:rPr>
    </w:lvl>
    <w:lvl w:ilvl="6">
      <w:start w:val="1"/>
      <w:numFmt w:val="decimal"/>
      <w:lvlText w:val="%1.%2.%3.%4.%5.%6.%7"/>
      <w:lvlJc w:val="left"/>
      <w:pPr>
        <w:ind w:left="2160" w:hanging="2160"/>
      </w:pPr>
      <w:rPr>
        <w:rFonts w:cstheme="minorBidi" w:hint="default"/>
        <w:b/>
        <w:color w:val="auto"/>
      </w:rPr>
    </w:lvl>
    <w:lvl w:ilvl="7">
      <w:start w:val="1"/>
      <w:numFmt w:val="decimal"/>
      <w:lvlText w:val="%1.%2.%3.%4.%5.%6.%7.%8"/>
      <w:lvlJc w:val="left"/>
      <w:pPr>
        <w:ind w:left="2520" w:hanging="2520"/>
      </w:pPr>
      <w:rPr>
        <w:rFonts w:cstheme="minorBidi" w:hint="default"/>
        <w:b/>
        <w:color w:val="auto"/>
      </w:rPr>
    </w:lvl>
    <w:lvl w:ilvl="8">
      <w:start w:val="1"/>
      <w:numFmt w:val="decimal"/>
      <w:lvlText w:val="%1.%2.%3.%4.%5.%6.%7.%8.%9"/>
      <w:lvlJc w:val="left"/>
      <w:pPr>
        <w:ind w:left="2520" w:hanging="2520"/>
      </w:pPr>
      <w:rPr>
        <w:rFonts w:cstheme="minorBidi" w:hint="default"/>
        <w:b/>
        <w:color w:val="auto"/>
      </w:rPr>
    </w:lvl>
  </w:abstractNum>
  <w:abstractNum w:abstractNumId="32" w15:restartNumberingAfterBreak="0">
    <w:nsid w:val="728A79EE"/>
    <w:multiLevelType w:val="hybridMultilevel"/>
    <w:tmpl w:val="03647C02"/>
    <w:lvl w:ilvl="0" w:tplc="D4D6CDD0">
      <w:start w:val="63"/>
      <w:numFmt w:val="decimal"/>
      <w:lvlText w:val="%1."/>
      <w:lvlJc w:val="left"/>
      <w:pPr>
        <w:ind w:left="566"/>
      </w:pPr>
      <w:rPr>
        <w:rFonts w:ascii="Verdana" w:eastAsia="Times New Roman" w:hAnsi="Verdana" w:cs="Verdana"/>
        <w:b w:val="0"/>
        <w:i w:val="0"/>
        <w:strike w:val="0"/>
        <w:dstrike w:val="0"/>
        <w:color w:val="000000"/>
        <w:sz w:val="24"/>
        <w:szCs w:val="24"/>
        <w:u w:val="none" w:color="000000"/>
        <w:vertAlign w:val="baseline"/>
      </w:rPr>
    </w:lvl>
    <w:lvl w:ilvl="1" w:tplc="4E80DEF4">
      <w:start w:val="2"/>
      <w:numFmt w:val="lowerLetter"/>
      <w:lvlText w:val="%2."/>
      <w:lvlJc w:val="left"/>
      <w:pPr>
        <w:ind w:left="720"/>
      </w:pPr>
      <w:rPr>
        <w:rFonts w:ascii="Verdana" w:eastAsia="Times New Roman" w:hAnsi="Verdana" w:cs="Verdana"/>
        <w:b w:val="0"/>
        <w:i w:val="0"/>
        <w:strike w:val="0"/>
        <w:dstrike w:val="0"/>
        <w:color w:val="000000"/>
        <w:sz w:val="24"/>
        <w:szCs w:val="24"/>
        <w:u w:val="none" w:color="000000"/>
        <w:vertAlign w:val="baseline"/>
      </w:rPr>
    </w:lvl>
    <w:lvl w:ilvl="2" w:tplc="F01C098A">
      <w:start w:val="1"/>
      <w:numFmt w:val="lowerRoman"/>
      <w:lvlText w:val="%3"/>
      <w:lvlJc w:val="left"/>
      <w:pPr>
        <w:ind w:left="1800"/>
      </w:pPr>
      <w:rPr>
        <w:rFonts w:ascii="Verdana" w:eastAsia="Times New Roman" w:hAnsi="Verdana" w:cs="Verdana"/>
        <w:b w:val="0"/>
        <w:i w:val="0"/>
        <w:strike w:val="0"/>
        <w:dstrike w:val="0"/>
        <w:color w:val="000000"/>
        <w:sz w:val="24"/>
        <w:szCs w:val="24"/>
        <w:u w:val="none" w:color="000000"/>
        <w:vertAlign w:val="baseline"/>
      </w:rPr>
    </w:lvl>
    <w:lvl w:ilvl="3" w:tplc="4C0E2C60">
      <w:start w:val="1"/>
      <w:numFmt w:val="decimal"/>
      <w:lvlText w:val="%4"/>
      <w:lvlJc w:val="left"/>
      <w:pPr>
        <w:ind w:left="2520"/>
      </w:pPr>
      <w:rPr>
        <w:rFonts w:ascii="Verdana" w:eastAsia="Times New Roman" w:hAnsi="Verdana" w:cs="Verdana"/>
        <w:b w:val="0"/>
        <w:i w:val="0"/>
        <w:strike w:val="0"/>
        <w:dstrike w:val="0"/>
        <w:color w:val="000000"/>
        <w:sz w:val="24"/>
        <w:szCs w:val="24"/>
        <w:u w:val="none" w:color="000000"/>
        <w:vertAlign w:val="baseline"/>
      </w:rPr>
    </w:lvl>
    <w:lvl w:ilvl="4" w:tplc="B2888418">
      <w:start w:val="1"/>
      <w:numFmt w:val="lowerLetter"/>
      <w:lvlText w:val="%5"/>
      <w:lvlJc w:val="left"/>
      <w:pPr>
        <w:ind w:left="3240"/>
      </w:pPr>
      <w:rPr>
        <w:rFonts w:ascii="Verdana" w:eastAsia="Times New Roman" w:hAnsi="Verdana" w:cs="Verdana"/>
        <w:b w:val="0"/>
        <w:i w:val="0"/>
        <w:strike w:val="0"/>
        <w:dstrike w:val="0"/>
        <w:color w:val="000000"/>
        <w:sz w:val="24"/>
        <w:szCs w:val="24"/>
        <w:u w:val="none" w:color="000000"/>
        <w:vertAlign w:val="baseline"/>
      </w:rPr>
    </w:lvl>
    <w:lvl w:ilvl="5" w:tplc="301C1B1C">
      <w:start w:val="1"/>
      <w:numFmt w:val="lowerRoman"/>
      <w:lvlText w:val="%6"/>
      <w:lvlJc w:val="left"/>
      <w:pPr>
        <w:ind w:left="3960"/>
      </w:pPr>
      <w:rPr>
        <w:rFonts w:ascii="Verdana" w:eastAsia="Times New Roman" w:hAnsi="Verdana" w:cs="Verdana"/>
        <w:b w:val="0"/>
        <w:i w:val="0"/>
        <w:strike w:val="0"/>
        <w:dstrike w:val="0"/>
        <w:color w:val="000000"/>
        <w:sz w:val="24"/>
        <w:szCs w:val="24"/>
        <w:u w:val="none" w:color="000000"/>
        <w:vertAlign w:val="baseline"/>
      </w:rPr>
    </w:lvl>
    <w:lvl w:ilvl="6" w:tplc="69F8BB76">
      <w:start w:val="1"/>
      <w:numFmt w:val="decimal"/>
      <w:lvlText w:val="%7"/>
      <w:lvlJc w:val="left"/>
      <w:pPr>
        <w:ind w:left="4680"/>
      </w:pPr>
      <w:rPr>
        <w:rFonts w:ascii="Verdana" w:eastAsia="Times New Roman" w:hAnsi="Verdana" w:cs="Verdana"/>
        <w:b w:val="0"/>
        <w:i w:val="0"/>
        <w:strike w:val="0"/>
        <w:dstrike w:val="0"/>
        <w:color w:val="000000"/>
        <w:sz w:val="24"/>
        <w:szCs w:val="24"/>
        <w:u w:val="none" w:color="000000"/>
        <w:vertAlign w:val="baseline"/>
      </w:rPr>
    </w:lvl>
    <w:lvl w:ilvl="7" w:tplc="53321D6C">
      <w:start w:val="1"/>
      <w:numFmt w:val="lowerLetter"/>
      <w:lvlText w:val="%8"/>
      <w:lvlJc w:val="left"/>
      <w:pPr>
        <w:ind w:left="5400"/>
      </w:pPr>
      <w:rPr>
        <w:rFonts w:ascii="Verdana" w:eastAsia="Times New Roman" w:hAnsi="Verdana" w:cs="Verdana"/>
        <w:b w:val="0"/>
        <w:i w:val="0"/>
        <w:strike w:val="0"/>
        <w:dstrike w:val="0"/>
        <w:color w:val="000000"/>
        <w:sz w:val="24"/>
        <w:szCs w:val="24"/>
        <w:u w:val="none" w:color="000000"/>
        <w:vertAlign w:val="baseline"/>
      </w:rPr>
    </w:lvl>
    <w:lvl w:ilvl="8" w:tplc="04A6D7B2">
      <w:start w:val="1"/>
      <w:numFmt w:val="lowerRoman"/>
      <w:lvlText w:val="%9"/>
      <w:lvlJc w:val="left"/>
      <w:pPr>
        <w:ind w:left="6120"/>
      </w:pPr>
      <w:rPr>
        <w:rFonts w:ascii="Verdana" w:eastAsia="Times New Roman" w:hAnsi="Verdana" w:cs="Verdana"/>
        <w:b w:val="0"/>
        <w:i w:val="0"/>
        <w:strike w:val="0"/>
        <w:dstrike w:val="0"/>
        <w:color w:val="000000"/>
        <w:sz w:val="24"/>
        <w:szCs w:val="24"/>
        <w:u w:val="none" w:color="000000"/>
        <w:vertAlign w:val="baseline"/>
      </w:rPr>
    </w:lvl>
  </w:abstractNum>
  <w:abstractNum w:abstractNumId="33" w15:restartNumberingAfterBreak="0">
    <w:nsid w:val="76945988"/>
    <w:multiLevelType w:val="multilevel"/>
    <w:tmpl w:val="0526F9A8"/>
    <w:lvl w:ilvl="0">
      <w:start w:val="2"/>
      <w:numFmt w:val="decimal"/>
      <w:lvlText w:val="%1.0"/>
      <w:lvlJc w:val="left"/>
      <w:pPr>
        <w:ind w:left="720" w:hanging="72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34" w15:restartNumberingAfterBreak="0">
    <w:nsid w:val="7D6E3AF3"/>
    <w:multiLevelType w:val="multilevel"/>
    <w:tmpl w:val="B364A886"/>
    <w:lvl w:ilvl="0">
      <w:start w:val="1"/>
      <w:numFmt w:val="decimal"/>
      <w:lvlText w:val="%1.0"/>
      <w:lvlJc w:val="left"/>
      <w:pPr>
        <w:ind w:left="720" w:hanging="720"/>
      </w:pPr>
      <w:rPr>
        <w:rFonts w:cs="Times New Roman" w:hint="default"/>
      </w:rPr>
    </w:lvl>
    <w:lvl w:ilvl="1">
      <w:start w:val="1"/>
      <w:numFmt w:val="decimal"/>
      <w:lvlText w:val="%1.%2"/>
      <w:lvlJc w:val="left"/>
      <w:pPr>
        <w:ind w:left="720" w:hanging="720"/>
      </w:pPr>
      <w:rPr>
        <w:rFonts w:cs="Times New Roman" w:hint="default"/>
        <w:b w:val="0"/>
        <w:i w:val="0"/>
      </w:rPr>
    </w:lvl>
    <w:lvl w:ilvl="2">
      <w:start w:val="1"/>
      <w:numFmt w:val="decimal"/>
      <w:lvlText w:val="%1.%2.%3"/>
      <w:lvlJc w:val="left"/>
      <w:pPr>
        <w:ind w:left="2520" w:hanging="108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400" w:hanging="1800"/>
      </w:pPr>
      <w:rPr>
        <w:rFonts w:cs="Times New Roman" w:hint="default"/>
      </w:rPr>
    </w:lvl>
    <w:lvl w:ilvl="6">
      <w:start w:val="1"/>
      <w:numFmt w:val="decimal"/>
      <w:lvlText w:val="%1.%2.%3.%4.%5.%6.%7"/>
      <w:lvlJc w:val="left"/>
      <w:pPr>
        <w:ind w:left="6480" w:hanging="2160"/>
      </w:pPr>
      <w:rPr>
        <w:rFonts w:cs="Times New Roman" w:hint="default"/>
      </w:rPr>
    </w:lvl>
    <w:lvl w:ilvl="7">
      <w:start w:val="1"/>
      <w:numFmt w:val="decimal"/>
      <w:lvlText w:val="%1.%2.%3.%4.%5.%6.%7.%8"/>
      <w:lvlJc w:val="left"/>
      <w:pPr>
        <w:ind w:left="7560" w:hanging="2520"/>
      </w:pPr>
      <w:rPr>
        <w:rFonts w:cs="Times New Roman" w:hint="default"/>
      </w:rPr>
    </w:lvl>
    <w:lvl w:ilvl="8">
      <w:start w:val="1"/>
      <w:numFmt w:val="decimal"/>
      <w:lvlText w:val="%1.%2.%3.%4.%5.%6.%7.%8.%9"/>
      <w:lvlJc w:val="left"/>
      <w:pPr>
        <w:ind w:left="8280" w:hanging="2520"/>
      </w:pPr>
      <w:rPr>
        <w:rFonts w:cs="Times New Roman" w:hint="default"/>
      </w:rPr>
    </w:lvl>
  </w:abstractNum>
  <w:num w:numId="1">
    <w:abstractNumId w:val="28"/>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6"/>
  </w:num>
  <w:num w:numId="6">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9"/>
  </w:num>
  <w:num w:numId="9">
    <w:abstractNumId w:val="8"/>
  </w:num>
  <w:num w:numId="10">
    <w:abstractNumId w:val="7"/>
  </w:num>
  <w:num w:numId="11">
    <w:abstractNumId w:val="5"/>
  </w:num>
  <w:num w:numId="12">
    <w:abstractNumId w:val="18"/>
  </w:num>
  <w:num w:numId="13">
    <w:abstractNumId w:val="22"/>
  </w:num>
  <w:num w:numId="14">
    <w:abstractNumId w:val="10"/>
  </w:num>
  <w:num w:numId="15">
    <w:abstractNumId w:val="27"/>
  </w:num>
  <w:num w:numId="16">
    <w:abstractNumId w:val="23"/>
  </w:num>
  <w:num w:numId="17">
    <w:abstractNumId w:val="0"/>
    <w:lvlOverride w:ilvl="0">
      <w:startOverride w:val="59"/>
    </w:lvlOverride>
    <w:lvlOverride w:ilvl="1"/>
    <w:lvlOverride w:ilvl="2"/>
    <w:lvlOverride w:ilvl="3"/>
    <w:lvlOverride w:ilvl="4"/>
    <w:lvlOverride w:ilvl="5"/>
    <w:lvlOverride w:ilvl="6"/>
    <w:lvlOverride w:ilvl="7"/>
    <w:lvlOverride w:ilvl="8"/>
  </w:num>
  <w:num w:numId="18">
    <w:abstractNumId w:val="32"/>
  </w:num>
  <w:num w:numId="19">
    <w:abstractNumId w:val="34"/>
  </w:num>
  <w:num w:numId="20">
    <w:abstractNumId w:val="13"/>
  </w:num>
  <w:num w:numId="21">
    <w:abstractNumId w:val="26"/>
  </w:num>
  <w:num w:numId="22">
    <w:abstractNumId w:val="12"/>
  </w:num>
  <w:num w:numId="23">
    <w:abstractNumId w:val="14"/>
  </w:num>
  <w:num w:numId="24">
    <w:abstractNumId w:val="17"/>
  </w:num>
  <w:num w:numId="25">
    <w:abstractNumId w:val="4"/>
  </w:num>
  <w:num w:numId="26">
    <w:abstractNumId w:val="24"/>
  </w:num>
  <w:num w:numId="27">
    <w:abstractNumId w:val="9"/>
  </w:num>
  <w:num w:numId="28">
    <w:abstractNumId w:val="29"/>
  </w:num>
  <w:num w:numId="29">
    <w:abstractNumId w:val="1"/>
  </w:num>
  <w:num w:numId="30">
    <w:abstractNumId w:val="21"/>
  </w:num>
  <w:num w:numId="31">
    <w:abstractNumId w:val="20"/>
  </w:num>
  <w:num w:numId="32">
    <w:abstractNumId w:val="15"/>
  </w:num>
  <w:num w:numId="33">
    <w:abstractNumId w:val="11"/>
  </w:num>
  <w:num w:numId="34">
    <w:abstractNumId w:val="33"/>
  </w:num>
  <w:num w:numId="35">
    <w:abstractNumId w:val="31"/>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165"/>
    <w:rsid w:val="000001AD"/>
    <w:rsid w:val="0000157B"/>
    <w:rsid w:val="00003E65"/>
    <w:rsid w:val="000059F0"/>
    <w:rsid w:val="00010889"/>
    <w:rsid w:val="00015573"/>
    <w:rsid w:val="0002206E"/>
    <w:rsid w:val="00025D10"/>
    <w:rsid w:val="0003096F"/>
    <w:rsid w:val="00030CCC"/>
    <w:rsid w:val="00034D35"/>
    <w:rsid w:val="00036397"/>
    <w:rsid w:val="00036E18"/>
    <w:rsid w:val="00041969"/>
    <w:rsid w:val="00045554"/>
    <w:rsid w:val="00046555"/>
    <w:rsid w:val="00050E09"/>
    <w:rsid w:val="00055709"/>
    <w:rsid w:val="0007240A"/>
    <w:rsid w:val="000741A0"/>
    <w:rsid w:val="00081263"/>
    <w:rsid w:val="00081483"/>
    <w:rsid w:val="00082CE5"/>
    <w:rsid w:val="00083AD1"/>
    <w:rsid w:val="000853BE"/>
    <w:rsid w:val="00087B52"/>
    <w:rsid w:val="00087EAF"/>
    <w:rsid w:val="00094025"/>
    <w:rsid w:val="00094311"/>
    <w:rsid w:val="000B0B52"/>
    <w:rsid w:val="000B1D0F"/>
    <w:rsid w:val="000B20CF"/>
    <w:rsid w:val="000C2093"/>
    <w:rsid w:val="000C3C84"/>
    <w:rsid w:val="000C3CD4"/>
    <w:rsid w:val="000C3E14"/>
    <w:rsid w:val="000C7773"/>
    <w:rsid w:val="000D4C9F"/>
    <w:rsid w:val="000D565C"/>
    <w:rsid w:val="000E32DF"/>
    <w:rsid w:val="000E3BE0"/>
    <w:rsid w:val="000F5158"/>
    <w:rsid w:val="000F68E7"/>
    <w:rsid w:val="00100DF9"/>
    <w:rsid w:val="00102C8F"/>
    <w:rsid w:val="00103D23"/>
    <w:rsid w:val="00104E56"/>
    <w:rsid w:val="001108CF"/>
    <w:rsid w:val="0011281A"/>
    <w:rsid w:val="00112D47"/>
    <w:rsid w:val="001145C5"/>
    <w:rsid w:val="00114D1B"/>
    <w:rsid w:val="00116735"/>
    <w:rsid w:val="001229A4"/>
    <w:rsid w:val="001316FE"/>
    <w:rsid w:val="00132D62"/>
    <w:rsid w:val="00132E50"/>
    <w:rsid w:val="00134CCF"/>
    <w:rsid w:val="0013783D"/>
    <w:rsid w:val="00145510"/>
    <w:rsid w:val="00147FEA"/>
    <w:rsid w:val="0015265B"/>
    <w:rsid w:val="00155DE6"/>
    <w:rsid w:val="0017251C"/>
    <w:rsid w:val="00173585"/>
    <w:rsid w:val="0017594C"/>
    <w:rsid w:val="00175EF2"/>
    <w:rsid w:val="00175FE6"/>
    <w:rsid w:val="0018068C"/>
    <w:rsid w:val="00183320"/>
    <w:rsid w:val="0018746D"/>
    <w:rsid w:val="001904F1"/>
    <w:rsid w:val="00193F42"/>
    <w:rsid w:val="00195207"/>
    <w:rsid w:val="001972C1"/>
    <w:rsid w:val="001A06F5"/>
    <w:rsid w:val="001B3A3E"/>
    <w:rsid w:val="001B4BBA"/>
    <w:rsid w:val="001B6AFC"/>
    <w:rsid w:val="001B72D7"/>
    <w:rsid w:val="001B76A2"/>
    <w:rsid w:val="001C009D"/>
    <w:rsid w:val="001C1150"/>
    <w:rsid w:val="001C602C"/>
    <w:rsid w:val="001D064D"/>
    <w:rsid w:val="001D19F7"/>
    <w:rsid w:val="001D2D5C"/>
    <w:rsid w:val="001E3C91"/>
    <w:rsid w:val="001E5E0A"/>
    <w:rsid w:val="001E6733"/>
    <w:rsid w:val="001F2235"/>
    <w:rsid w:val="001F309A"/>
    <w:rsid w:val="001F4577"/>
    <w:rsid w:val="002014E0"/>
    <w:rsid w:val="002032DA"/>
    <w:rsid w:val="0020379C"/>
    <w:rsid w:val="002039C9"/>
    <w:rsid w:val="00206B2E"/>
    <w:rsid w:val="00215547"/>
    <w:rsid w:val="00215684"/>
    <w:rsid w:val="00220290"/>
    <w:rsid w:val="00225C50"/>
    <w:rsid w:val="0022626E"/>
    <w:rsid w:val="002339B2"/>
    <w:rsid w:val="00233D1A"/>
    <w:rsid w:val="002362D8"/>
    <w:rsid w:val="00236F3D"/>
    <w:rsid w:val="00240FF2"/>
    <w:rsid w:val="00242E28"/>
    <w:rsid w:val="0024479B"/>
    <w:rsid w:val="00246C44"/>
    <w:rsid w:val="00247007"/>
    <w:rsid w:val="00247099"/>
    <w:rsid w:val="00252AC1"/>
    <w:rsid w:val="00253834"/>
    <w:rsid w:val="002603F8"/>
    <w:rsid w:val="00262541"/>
    <w:rsid w:val="00262680"/>
    <w:rsid w:val="002634A7"/>
    <w:rsid w:val="0026447D"/>
    <w:rsid w:val="002702AA"/>
    <w:rsid w:val="002707AA"/>
    <w:rsid w:val="002709D5"/>
    <w:rsid w:val="002738B8"/>
    <w:rsid w:val="002768D7"/>
    <w:rsid w:val="0028170E"/>
    <w:rsid w:val="00290D8A"/>
    <w:rsid w:val="00295B40"/>
    <w:rsid w:val="002A20F7"/>
    <w:rsid w:val="002A3FCD"/>
    <w:rsid w:val="002B1C8C"/>
    <w:rsid w:val="002B4E88"/>
    <w:rsid w:val="002C0BDF"/>
    <w:rsid w:val="002C2906"/>
    <w:rsid w:val="002C2C79"/>
    <w:rsid w:val="002C30F4"/>
    <w:rsid w:val="002C5507"/>
    <w:rsid w:val="002C6262"/>
    <w:rsid w:val="002C6BA6"/>
    <w:rsid w:val="002D16C2"/>
    <w:rsid w:val="002D2377"/>
    <w:rsid w:val="002D27F2"/>
    <w:rsid w:val="002D2CA6"/>
    <w:rsid w:val="002D60F3"/>
    <w:rsid w:val="002E0775"/>
    <w:rsid w:val="002E15A5"/>
    <w:rsid w:val="002E2F60"/>
    <w:rsid w:val="002E4A0A"/>
    <w:rsid w:val="002E5DD6"/>
    <w:rsid w:val="002F30D0"/>
    <w:rsid w:val="002F3700"/>
    <w:rsid w:val="002F4E72"/>
    <w:rsid w:val="002F534C"/>
    <w:rsid w:val="002F70BC"/>
    <w:rsid w:val="00300675"/>
    <w:rsid w:val="003020A2"/>
    <w:rsid w:val="0030397F"/>
    <w:rsid w:val="00310CD7"/>
    <w:rsid w:val="00315B73"/>
    <w:rsid w:val="00316603"/>
    <w:rsid w:val="003167CA"/>
    <w:rsid w:val="00324C99"/>
    <w:rsid w:val="003258AF"/>
    <w:rsid w:val="003260A2"/>
    <w:rsid w:val="00326AF1"/>
    <w:rsid w:val="003333F2"/>
    <w:rsid w:val="0033685F"/>
    <w:rsid w:val="003428F6"/>
    <w:rsid w:val="00343E01"/>
    <w:rsid w:val="00344862"/>
    <w:rsid w:val="0034697E"/>
    <w:rsid w:val="003500EA"/>
    <w:rsid w:val="0035077E"/>
    <w:rsid w:val="0035101D"/>
    <w:rsid w:val="0035129F"/>
    <w:rsid w:val="0035137E"/>
    <w:rsid w:val="00351DC5"/>
    <w:rsid w:val="00352878"/>
    <w:rsid w:val="00354136"/>
    <w:rsid w:val="00354AB4"/>
    <w:rsid w:val="00357163"/>
    <w:rsid w:val="00364D43"/>
    <w:rsid w:val="00367DD7"/>
    <w:rsid w:val="003951F2"/>
    <w:rsid w:val="003952FD"/>
    <w:rsid w:val="003A0584"/>
    <w:rsid w:val="003A1CAC"/>
    <w:rsid w:val="003B049B"/>
    <w:rsid w:val="003B2D76"/>
    <w:rsid w:val="003B39FB"/>
    <w:rsid w:val="003B57BA"/>
    <w:rsid w:val="003B6C09"/>
    <w:rsid w:val="003C1DCA"/>
    <w:rsid w:val="003C6828"/>
    <w:rsid w:val="003D4088"/>
    <w:rsid w:val="003E2BD8"/>
    <w:rsid w:val="003F400A"/>
    <w:rsid w:val="003F618F"/>
    <w:rsid w:val="003F7BE4"/>
    <w:rsid w:val="00401C66"/>
    <w:rsid w:val="00402B26"/>
    <w:rsid w:val="004077CB"/>
    <w:rsid w:val="00410CE3"/>
    <w:rsid w:val="0042081D"/>
    <w:rsid w:val="0042561F"/>
    <w:rsid w:val="00430DFD"/>
    <w:rsid w:val="004433BB"/>
    <w:rsid w:val="00450207"/>
    <w:rsid w:val="00451072"/>
    <w:rsid w:val="004529B0"/>
    <w:rsid w:val="00454873"/>
    <w:rsid w:val="00455BD0"/>
    <w:rsid w:val="004562A8"/>
    <w:rsid w:val="00456828"/>
    <w:rsid w:val="00463FFF"/>
    <w:rsid w:val="00466D67"/>
    <w:rsid w:val="004670B1"/>
    <w:rsid w:val="00467330"/>
    <w:rsid w:val="00472514"/>
    <w:rsid w:val="0047340D"/>
    <w:rsid w:val="00474264"/>
    <w:rsid w:val="00474C26"/>
    <w:rsid w:val="004763F7"/>
    <w:rsid w:val="004810C7"/>
    <w:rsid w:val="0048118B"/>
    <w:rsid w:val="00482A26"/>
    <w:rsid w:val="00487592"/>
    <w:rsid w:val="00487F4F"/>
    <w:rsid w:val="004900E7"/>
    <w:rsid w:val="00497D00"/>
    <w:rsid w:val="004A42DD"/>
    <w:rsid w:val="004B0843"/>
    <w:rsid w:val="004B1C32"/>
    <w:rsid w:val="004B3EB8"/>
    <w:rsid w:val="004B5871"/>
    <w:rsid w:val="004B7EC1"/>
    <w:rsid w:val="004C035A"/>
    <w:rsid w:val="004D26E6"/>
    <w:rsid w:val="004D60C1"/>
    <w:rsid w:val="004D6C98"/>
    <w:rsid w:val="004E0792"/>
    <w:rsid w:val="00502746"/>
    <w:rsid w:val="005059A3"/>
    <w:rsid w:val="0051083F"/>
    <w:rsid w:val="005113CC"/>
    <w:rsid w:val="005123EE"/>
    <w:rsid w:val="0051360A"/>
    <w:rsid w:val="00515670"/>
    <w:rsid w:val="005159B9"/>
    <w:rsid w:val="005166AE"/>
    <w:rsid w:val="00522F4C"/>
    <w:rsid w:val="00530147"/>
    <w:rsid w:val="00531867"/>
    <w:rsid w:val="00540EF6"/>
    <w:rsid w:val="0054209C"/>
    <w:rsid w:val="005433DC"/>
    <w:rsid w:val="005476C3"/>
    <w:rsid w:val="00552856"/>
    <w:rsid w:val="00561E62"/>
    <w:rsid w:val="00566A6F"/>
    <w:rsid w:val="0056716F"/>
    <w:rsid w:val="00567F06"/>
    <w:rsid w:val="005703AC"/>
    <w:rsid w:val="00574979"/>
    <w:rsid w:val="00576BBF"/>
    <w:rsid w:val="005867E6"/>
    <w:rsid w:val="00587986"/>
    <w:rsid w:val="00590FE2"/>
    <w:rsid w:val="005A20E7"/>
    <w:rsid w:val="005A27B7"/>
    <w:rsid w:val="005B0542"/>
    <w:rsid w:val="005B27B6"/>
    <w:rsid w:val="005B555E"/>
    <w:rsid w:val="005C2A04"/>
    <w:rsid w:val="005C6539"/>
    <w:rsid w:val="005C6A6D"/>
    <w:rsid w:val="005C6F30"/>
    <w:rsid w:val="005D3D4D"/>
    <w:rsid w:val="005D627F"/>
    <w:rsid w:val="005D73F8"/>
    <w:rsid w:val="005E488E"/>
    <w:rsid w:val="005E59CE"/>
    <w:rsid w:val="005F0165"/>
    <w:rsid w:val="005F0ED7"/>
    <w:rsid w:val="005F1DC0"/>
    <w:rsid w:val="005F284C"/>
    <w:rsid w:val="005F2CEA"/>
    <w:rsid w:val="005F3949"/>
    <w:rsid w:val="005F6BEB"/>
    <w:rsid w:val="006004AC"/>
    <w:rsid w:val="00600C71"/>
    <w:rsid w:val="0060285A"/>
    <w:rsid w:val="00603D7A"/>
    <w:rsid w:val="00605D0A"/>
    <w:rsid w:val="00606E58"/>
    <w:rsid w:val="00607ABA"/>
    <w:rsid w:val="00615389"/>
    <w:rsid w:val="0061562D"/>
    <w:rsid w:val="006214BD"/>
    <w:rsid w:val="00621663"/>
    <w:rsid w:val="00623DB6"/>
    <w:rsid w:val="00630FC9"/>
    <w:rsid w:val="00632108"/>
    <w:rsid w:val="006401F1"/>
    <w:rsid w:val="00644523"/>
    <w:rsid w:val="006527E3"/>
    <w:rsid w:val="00652864"/>
    <w:rsid w:val="006531A3"/>
    <w:rsid w:val="0065342F"/>
    <w:rsid w:val="006635DA"/>
    <w:rsid w:val="006642BD"/>
    <w:rsid w:val="00664830"/>
    <w:rsid w:val="00671AB0"/>
    <w:rsid w:val="006746AF"/>
    <w:rsid w:val="00677341"/>
    <w:rsid w:val="006812AF"/>
    <w:rsid w:val="0068645B"/>
    <w:rsid w:val="00687E26"/>
    <w:rsid w:val="0069410F"/>
    <w:rsid w:val="006965C3"/>
    <w:rsid w:val="0069797B"/>
    <w:rsid w:val="006A2562"/>
    <w:rsid w:val="006A3FF6"/>
    <w:rsid w:val="006B0F14"/>
    <w:rsid w:val="006B5B98"/>
    <w:rsid w:val="006B78C1"/>
    <w:rsid w:val="006C21B2"/>
    <w:rsid w:val="006C49F6"/>
    <w:rsid w:val="006C4BB1"/>
    <w:rsid w:val="006C6F49"/>
    <w:rsid w:val="006D5E38"/>
    <w:rsid w:val="006D627A"/>
    <w:rsid w:val="006D66E3"/>
    <w:rsid w:val="006E336E"/>
    <w:rsid w:val="006E7046"/>
    <w:rsid w:val="006F0EF3"/>
    <w:rsid w:val="006F4F15"/>
    <w:rsid w:val="006F7E4B"/>
    <w:rsid w:val="00702F3D"/>
    <w:rsid w:val="00703FFF"/>
    <w:rsid w:val="00712F89"/>
    <w:rsid w:val="007143BB"/>
    <w:rsid w:val="0071718F"/>
    <w:rsid w:val="007203B6"/>
    <w:rsid w:val="00730D0A"/>
    <w:rsid w:val="00731FDD"/>
    <w:rsid w:val="00740C24"/>
    <w:rsid w:val="007421DC"/>
    <w:rsid w:val="00745705"/>
    <w:rsid w:val="0075757E"/>
    <w:rsid w:val="007606AC"/>
    <w:rsid w:val="00767E2C"/>
    <w:rsid w:val="00770BC1"/>
    <w:rsid w:val="00771B53"/>
    <w:rsid w:val="007726EF"/>
    <w:rsid w:val="00781FC7"/>
    <w:rsid w:val="007820AA"/>
    <w:rsid w:val="00783295"/>
    <w:rsid w:val="0078373D"/>
    <w:rsid w:val="00785D5B"/>
    <w:rsid w:val="0078789F"/>
    <w:rsid w:val="0079133E"/>
    <w:rsid w:val="00796B9B"/>
    <w:rsid w:val="007A282B"/>
    <w:rsid w:val="007A3282"/>
    <w:rsid w:val="007B02D9"/>
    <w:rsid w:val="007B3D91"/>
    <w:rsid w:val="007B46F3"/>
    <w:rsid w:val="007B510E"/>
    <w:rsid w:val="007B6A26"/>
    <w:rsid w:val="007D08D9"/>
    <w:rsid w:val="007E3D00"/>
    <w:rsid w:val="007F205B"/>
    <w:rsid w:val="007F3DC3"/>
    <w:rsid w:val="007F5B28"/>
    <w:rsid w:val="00800E23"/>
    <w:rsid w:val="008018B8"/>
    <w:rsid w:val="008022D9"/>
    <w:rsid w:val="008026CD"/>
    <w:rsid w:val="008052C3"/>
    <w:rsid w:val="00806A71"/>
    <w:rsid w:val="00810B3D"/>
    <w:rsid w:val="00815213"/>
    <w:rsid w:val="008226B6"/>
    <w:rsid w:val="008228B9"/>
    <w:rsid w:val="00832291"/>
    <w:rsid w:val="008348DC"/>
    <w:rsid w:val="00837E9C"/>
    <w:rsid w:val="00840EF7"/>
    <w:rsid w:val="008456BF"/>
    <w:rsid w:val="00850F4C"/>
    <w:rsid w:val="00852556"/>
    <w:rsid w:val="0085581F"/>
    <w:rsid w:val="00856037"/>
    <w:rsid w:val="008565CE"/>
    <w:rsid w:val="008630F3"/>
    <w:rsid w:val="00865D18"/>
    <w:rsid w:val="00865FD6"/>
    <w:rsid w:val="00872DD1"/>
    <w:rsid w:val="00875037"/>
    <w:rsid w:val="00875669"/>
    <w:rsid w:val="00875B24"/>
    <w:rsid w:val="00881151"/>
    <w:rsid w:val="00881A47"/>
    <w:rsid w:val="00881F2C"/>
    <w:rsid w:val="00885DC5"/>
    <w:rsid w:val="0088736D"/>
    <w:rsid w:val="008901B1"/>
    <w:rsid w:val="00893B88"/>
    <w:rsid w:val="00894465"/>
    <w:rsid w:val="0089547B"/>
    <w:rsid w:val="00895816"/>
    <w:rsid w:val="00897777"/>
    <w:rsid w:val="008A2E26"/>
    <w:rsid w:val="008A3588"/>
    <w:rsid w:val="008A6C85"/>
    <w:rsid w:val="008A763B"/>
    <w:rsid w:val="008A76AB"/>
    <w:rsid w:val="008B2C8C"/>
    <w:rsid w:val="008B6384"/>
    <w:rsid w:val="008B6B59"/>
    <w:rsid w:val="008C7875"/>
    <w:rsid w:val="008D3B00"/>
    <w:rsid w:val="008D3B6E"/>
    <w:rsid w:val="008D46F5"/>
    <w:rsid w:val="008D59A8"/>
    <w:rsid w:val="008D6166"/>
    <w:rsid w:val="008D6AC5"/>
    <w:rsid w:val="008D6E5E"/>
    <w:rsid w:val="008E0A78"/>
    <w:rsid w:val="008E3A61"/>
    <w:rsid w:val="008E496C"/>
    <w:rsid w:val="008E49E9"/>
    <w:rsid w:val="008E59ED"/>
    <w:rsid w:val="008E5B36"/>
    <w:rsid w:val="008E6046"/>
    <w:rsid w:val="008E7C3A"/>
    <w:rsid w:val="008F0B21"/>
    <w:rsid w:val="009014C4"/>
    <w:rsid w:val="009038D0"/>
    <w:rsid w:val="00904308"/>
    <w:rsid w:val="00907C29"/>
    <w:rsid w:val="009129EB"/>
    <w:rsid w:val="00916A3D"/>
    <w:rsid w:val="00920062"/>
    <w:rsid w:val="009253C9"/>
    <w:rsid w:val="0093006E"/>
    <w:rsid w:val="00932FEE"/>
    <w:rsid w:val="00935412"/>
    <w:rsid w:val="00935E18"/>
    <w:rsid w:val="0093739A"/>
    <w:rsid w:val="00940CDE"/>
    <w:rsid w:val="0094271E"/>
    <w:rsid w:val="00942923"/>
    <w:rsid w:val="00950425"/>
    <w:rsid w:val="0095500E"/>
    <w:rsid w:val="00956007"/>
    <w:rsid w:val="00961E04"/>
    <w:rsid w:val="00963B5A"/>
    <w:rsid w:val="0098197A"/>
    <w:rsid w:val="0098620C"/>
    <w:rsid w:val="00995198"/>
    <w:rsid w:val="009951BA"/>
    <w:rsid w:val="00995FEF"/>
    <w:rsid w:val="009A0C6E"/>
    <w:rsid w:val="009A2272"/>
    <w:rsid w:val="009A3EE7"/>
    <w:rsid w:val="009A4B3F"/>
    <w:rsid w:val="009A6C3A"/>
    <w:rsid w:val="009B0FF4"/>
    <w:rsid w:val="009B25E0"/>
    <w:rsid w:val="009B2DEA"/>
    <w:rsid w:val="009B5AB9"/>
    <w:rsid w:val="009C3E5A"/>
    <w:rsid w:val="009D701E"/>
    <w:rsid w:val="009E273D"/>
    <w:rsid w:val="009E355F"/>
    <w:rsid w:val="009E4ADD"/>
    <w:rsid w:val="009F1D9F"/>
    <w:rsid w:val="009F5DE3"/>
    <w:rsid w:val="00A0099D"/>
    <w:rsid w:val="00A01115"/>
    <w:rsid w:val="00A108D1"/>
    <w:rsid w:val="00A10A07"/>
    <w:rsid w:val="00A12B8A"/>
    <w:rsid w:val="00A141B8"/>
    <w:rsid w:val="00A144BD"/>
    <w:rsid w:val="00A17526"/>
    <w:rsid w:val="00A22F0B"/>
    <w:rsid w:val="00A2361E"/>
    <w:rsid w:val="00A25CB4"/>
    <w:rsid w:val="00A26696"/>
    <w:rsid w:val="00A27C08"/>
    <w:rsid w:val="00A30405"/>
    <w:rsid w:val="00A34D57"/>
    <w:rsid w:val="00A36DBB"/>
    <w:rsid w:val="00A40EE1"/>
    <w:rsid w:val="00A415B3"/>
    <w:rsid w:val="00A42880"/>
    <w:rsid w:val="00A45AEB"/>
    <w:rsid w:val="00A47913"/>
    <w:rsid w:val="00A50CC4"/>
    <w:rsid w:val="00A515B7"/>
    <w:rsid w:val="00A57E6C"/>
    <w:rsid w:val="00A60500"/>
    <w:rsid w:val="00A62744"/>
    <w:rsid w:val="00A62840"/>
    <w:rsid w:val="00A62CB2"/>
    <w:rsid w:val="00A65412"/>
    <w:rsid w:val="00A72AC3"/>
    <w:rsid w:val="00A730FF"/>
    <w:rsid w:val="00A75ACA"/>
    <w:rsid w:val="00A76039"/>
    <w:rsid w:val="00A761D2"/>
    <w:rsid w:val="00A765C9"/>
    <w:rsid w:val="00A817F7"/>
    <w:rsid w:val="00A83B24"/>
    <w:rsid w:val="00A859DF"/>
    <w:rsid w:val="00A949FF"/>
    <w:rsid w:val="00A957F7"/>
    <w:rsid w:val="00A95C40"/>
    <w:rsid w:val="00A971CC"/>
    <w:rsid w:val="00AA0DD7"/>
    <w:rsid w:val="00AB0C7C"/>
    <w:rsid w:val="00AB45DE"/>
    <w:rsid w:val="00AB4A2B"/>
    <w:rsid w:val="00AC054C"/>
    <w:rsid w:val="00AC06A7"/>
    <w:rsid w:val="00AC1416"/>
    <w:rsid w:val="00AC1A60"/>
    <w:rsid w:val="00AD64C1"/>
    <w:rsid w:val="00AD6D3D"/>
    <w:rsid w:val="00AE53FA"/>
    <w:rsid w:val="00AF1567"/>
    <w:rsid w:val="00AF2F68"/>
    <w:rsid w:val="00AF446E"/>
    <w:rsid w:val="00AF6EAB"/>
    <w:rsid w:val="00AF7993"/>
    <w:rsid w:val="00B010AA"/>
    <w:rsid w:val="00B23E3F"/>
    <w:rsid w:val="00B2548B"/>
    <w:rsid w:val="00B3310C"/>
    <w:rsid w:val="00B3453B"/>
    <w:rsid w:val="00B36C53"/>
    <w:rsid w:val="00B37041"/>
    <w:rsid w:val="00B40187"/>
    <w:rsid w:val="00B43A67"/>
    <w:rsid w:val="00B5516B"/>
    <w:rsid w:val="00B571F3"/>
    <w:rsid w:val="00B57B28"/>
    <w:rsid w:val="00B606AE"/>
    <w:rsid w:val="00B60855"/>
    <w:rsid w:val="00B60E6C"/>
    <w:rsid w:val="00B61AB7"/>
    <w:rsid w:val="00B624EE"/>
    <w:rsid w:val="00B67D90"/>
    <w:rsid w:val="00B708FB"/>
    <w:rsid w:val="00B7787F"/>
    <w:rsid w:val="00B8070C"/>
    <w:rsid w:val="00B84794"/>
    <w:rsid w:val="00B93139"/>
    <w:rsid w:val="00B96543"/>
    <w:rsid w:val="00BA10B9"/>
    <w:rsid w:val="00BA4A21"/>
    <w:rsid w:val="00BA75F4"/>
    <w:rsid w:val="00BB1217"/>
    <w:rsid w:val="00BB2B71"/>
    <w:rsid w:val="00BB2BD8"/>
    <w:rsid w:val="00BB4659"/>
    <w:rsid w:val="00BB5D6A"/>
    <w:rsid w:val="00BC01C5"/>
    <w:rsid w:val="00BC366F"/>
    <w:rsid w:val="00BC625B"/>
    <w:rsid w:val="00BC7C6E"/>
    <w:rsid w:val="00BD3DDF"/>
    <w:rsid w:val="00BD6809"/>
    <w:rsid w:val="00BE0408"/>
    <w:rsid w:val="00BF2496"/>
    <w:rsid w:val="00BF6CA6"/>
    <w:rsid w:val="00C0001E"/>
    <w:rsid w:val="00C03861"/>
    <w:rsid w:val="00C067B9"/>
    <w:rsid w:val="00C23BEC"/>
    <w:rsid w:val="00C2713E"/>
    <w:rsid w:val="00C27ACF"/>
    <w:rsid w:val="00C30520"/>
    <w:rsid w:val="00C33D66"/>
    <w:rsid w:val="00C3439E"/>
    <w:rsid w:val="00C37146"/>
    <w:rsid w:val="00C4252A"/>
    <w:rsid w:val="00C42B9C"/>
    <w:rsid w:val="00C4626D"/>
    <w:rsid w:val="00C51232"/>
    <w:rsid w:val="00C54301"/>
    <w:rsid w:val="00C57B14"/>
    <w:rsid w:val="00C63CD5"/>
    <w:rsid w:val="00C6607E"/>
    <w:rsid w:val="00C767F5"/>
    <w:rsid w:val="00C77835"/>
    <w:rsid w:val="00C849BF"/>
    <w:rsid w:val="00C91EA2"/>
    <w:rsid w:val="00C92AEE"/>
    <w:rsid w:val="00C97A12"/>
    <w:rsid w:val="00CA046F"/>
    <w:rsid w:val="00CA1C01"/>
    <w:rsid w:val="00CA4029"/>
    <w:rsid w:val="00CA7425"/>
    <w:rsid w:val="00CB21BD"/>
    <w:rsid w:val="00CC2869"/>
    <w:rsid w:val="00CC302D"/>
    <w:rsid w:val="00CD6EEE"/>
    <w:rsid w:val="00CD7F40"/>
    <w:rsid w:val="00CE56F2"/>
    <w:rsid w:val="00CF4923"/>
    <w:rsid w:val="00CF68FC"/>
    <w:rsid w:val="00D020A9"/>
    <w:rsid w:val="00D03A80"/>
    <w:rsid w:val="00D1699D"/>
    <w:rsid w:val="00D171CE"/>
    <w:rsid w:val="00D219C2"/>
    <w:rsid w:val="00D30DEB"/>
    <w:rsid w:val="00D32433"/>
    <w:rsid w:val="00D35714"/>
    <w:rsid w:val="00D37C65"/>
    <w:rsid w:val="00D37E7A"/>
    <w:rsid w:val="00D406B3"/>
    <w:rsid w:val="00D50967"/>
    <w:rsid w:val="00D543CD"/>
    <w:rsid w:val="00D563FC"/>
    <w:rsid w:val="00D63A85"/>
    <w:rsid w:val="00D73E5F"/>
    <w:rsid w:val="00D77C9C"/>
    <w:rsid w:val="00D82CB3"/>
    <w:rsid w:val="00D8306B"/>
    <w:rsid w:val="00D91B5F"/>
    <w:rsid w:val="00D922C8"/>
    <w:rsid w:val="00DA2C87"/>
    <w:rsid w:val="00DB5A5E"/>
    <w:rsid w:val="00DC234C"/>
    <w:rsid w:val="00DD1D9C"/>
    <w:rsid w:val="00DD38DC"/>
    <w:rsid w:val="00DD45E8"/>
    <w:rsid w:val="00DE5F4A"/>
    <w:rsid w:val="00DE73B0"/>
    <w:rsid w:val="00DF2243"/>
    <w:rsid w:val="00DF2895"/>
    <w:rsid w:val="00DF2F15"/>
    <w:rsid w:val="00DF323F"/>
    <w:rsid w:val="00DF459F"/>
    <w:rsid w:val="00DF4C4E"/>
    <w:rsid w:val="00DF5826"/>
    <w:rsid w:val="00E01B87"/>
    <w:rsid w:val="00E03EC0"/>
    <w:rsid w:val="00E048C4"/>
    <w:rsid w:val="00E1106B"/>
    <w:rsid w:val="00E1196B"/>
    <w:rsid w:val="00E11B66"/>
    <w:rsid w:val="00E153C6"/>
    <w:rsid w:val="00E2398C"/>
    <w:rsid w:val="00E2466C"/>
    <w:rsid w:val="00E2695B"/>
    <w:rsid w:val="00E27576"/>
    <w:rsid w:val="00E3061F"/>
    <w:rsid w:val="00E30E06"/>
    <w:rsid w:val="00E3177B"/>
    <w:rsid w:val="00E35335"/>
    <w:rsid w:val="00E40FBE"/>
    <w:rsid w:val="00E4143D"/>
    <w:rsid w:val="00E42958"/>
    <w:rsid w:val="00E64C9E"/>
    <w:rsid w:val="00E724CA"/>
    <w:rsid w:val="00E72EBE"/>
    <w:rsid w:val="00E72F6D"/>
    <w:rsid w:val="00E758F0"/>
    <w:rsid w:val="00E848CA"/>
    <w:rsid w:val="00E932E5"/>
    <w:rsid w:val="00EA18B1"/>
    <w:rsid w:val="00EA36DA"/>
    <w:rsid w:val="00EA7CBE"/>
    <w:rsid w:val="00EB107E"/>
    <w:rsid w:val="00EC007F"/>
    <w:rsid w:val="00EC3351"/>
    <w:rsid w:val="00EC5844"/>
    <w:rsid w:val="00EC5B14"/>
    <w:rsid w:val="00EC5BCF"/>
    <w:rsid w:val="00EC6E8C"/>
    <w:rsid w:val="00ED1153"/>
    <w:rsid w:val="00ED4C12"/>
    <w:rsid w:val="00EE3FF5"/>
    <w:rsid w:val="00EE6399"/>
    <w:rsid w:val="00EF588A"/>
    <w:rsid w:val="00EF7C68"/>
    <w:rsid w:val="00F0633C"/>
    <w:rsid w:val="00F06E78"/>
    <w:rsid w:val="00F13C13"/>
    <w:rsid w:val="00F14041"/>
    <w:rsid w:val="00F15671"/>
    <w:rsid w:val="00F169B1"/>
    <w:rsid w:val="00F21394"/>
    <w:rsid w:val="00F2564C"/>
    <w:rsid w:val="00F347B4"/>
    <w:rsid w:val="00F36931"/>
    <w:rsid w:val="00F42A0A"/>
    <w:rsid w:val="00F42C6A"/>
    <w:rsid w:val="00F445F9"/>
    <w:rsid w:val="00F462AC"/>
    <w:rsid w:val="00F549F8"/>
    <w:rsid w:val="00F5793F"/>
    <w:rsid w:val="00F66296"/>
    <w:rsid w:val="00F738C8"/>
    <w:rsid w:val="00F771DB"/>
    <w:rsid w:val="00F77C2F"/>
    <w:rsid w:val="00F77C30"/>
    <w:rsid w:val="00F83115"/>
    <w:rsid w:val="00F83A3F"/>
    <w:rsid w:val="00F8539C"/>
    <w:rsid w:val="00FA3E2F"/>
    <w:rsid w:val="00FA47DB"/>
    <w:rsid w:val="00FA49A6"/>
    <w:rsid w:val="00FA566B"/>
    <w:rsid w:val="00FA5F21"/>
    <w:rsid w:val="00FB6947"/>
    <w:rsid w:val="00FC0CF1"/>
    <w:rsid w:val="00FC3A73"/>
    <w:rsid w:val="00FC3BE1"/>
    <w:rsid w:val="00FD13F1"/>
    <w:rsid w:val="00FD1718"/>
    <w:rsid w:val="00FD29E1"/>
    <w:rsid w:val="00FF6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6E2750"/>
  <w15:chartTrackingRefBased/>
  <w15:docId w15:val="{389CAE45-A501-4067-BC41-507BFFEF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165"/>
    <w:pPr>
      <w:spacing w:after="0" w:line="240" w:lineRule="auto"/>
    </w:pPr>
    <w:rPr>
      <w:rFonts w:ascii="Verdana" w:eastAsiaTheme="minorEastAsia" w:hAnsi="Verdana"/>
      <w:sz w:val="24"/>
      <w:szCs w:val="24"/>
    </w:rPr>
  </w:style>
  <w:style w:type="paragraph" w:styleId="Heading1">
    <w:name w:val="heading 1"/>
    <w:basedOn w:val="Normal"/>
    <w:next w:val="Normal"/>
    <w:link w:val="Heading1Char"/>
    <w:uiPriority w:val="9"/>
    <w:qFormat/>
    <w:rsid w:val="005F0165"/>
    <w:pPr>
      <w:keepNext/>
      <w:keepLines/>
      <w:spacing w:before="240"/>
      <w:outlineLvl w:val="0"/>
    </w:pPr>
    <w:rPr>
      <w:rFonts w:eastAsiaTheme="majorEastAsia" w:cstheme="majorBidi"/>
      <w:b/>
      <w:color w:val="77328A"/>
      <w:sz w:val="30"/>
      <w:szCs w:val="32"/>
    </w:rPr>
  </w:style>
  <w:style w:type="paragraph" w:styleId="Heading2">
    <w:name w:val="heading 2"/>
    <w:basedOn w:val="Normal"/>
    <w:next w:val="Normal"/>
    <w:link w:val="Heading2Char"/>
    <w:uiPriority w:val="9"/>
    <w:unhideWhenUsed/>
    <w:qFormat/>
    <w:rsid w:val="005F0165"/>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165"/>
    <w:rPr>
      <w:rFonts w:ascii="Verdana" w:eastAsiaTheme="majorEastAsia" w:hAnsi="Verdana" w:cstheme="majorBidi"/>
      <w:b/>
      <w:color w:val="77328A"/>
      <w:sz w:val="30"/>
      <w:szCs w:val="32"/>
    </w:rPr>
  </w:style>
  <w:style w:type="character" w:customStyle="1" w:styleId="Heading2Char">
    <w:name w:val="Heading 2 Char"/>
    <w:basedOn w:val="DefaultParagraphFont"/>
    <w:link w:val="Heading2"/>
    <w:uiPriority w:val="9"/>
    <w:rsid w:val="005F0165"/>
    <w:rPr>
      <w:rFonts w:ascii="Verdana" w:eastAsiaTheme="majorEastAsia" w:hAnsi="Verdana" w:cstheme="majorBidi"/>
      <w:b/>
      <w:sz w:val="24"/>
      <w:szCs w:val="26"/>
    </w:rPr>
  </w:style>
  <w:style w:type="character" w:styleId="Hyperlink">
    <w:name w:val="Hyperlink"/>
    <w:basedOn w:val="DefaultParagraphFont"/>
    <w:uiPriority w:val="99"/>
    <w:unhideWhenUsed/>
    <w:rsid w:val="005F0165"/>
    <w:rPr>
      <w:color w:val="0563C1" w:themeColor="hyperlink"/>
      <w:u w:val="single"/>
    </w:rPr>
  </w:style>
  <w:style w:type="paragraph" w:styleId="TOC1">
    <w:name w:val="toc 1"/>
    <w:basedOn w:val="Normal"/>
    <w:next w:val="Normal"/>
    <w:autoRedefine/>
    <w:uiPriority w:val="39"/>
    <w:unhideWhenUsed/>
    <w:rsid w:val="005F0165"/>
    <w:pPr>
      <w:tabs>
        <w:tab w:val="left" w:pos="660"/>
        <w:tab w:val="right" w:leader="dot" w:pos="9848"/>
      </w:tabs>
      <w:spacing w:after="100"/>
    </w:pPr>
    <w:rPr>
      <w:b/>
      <w:noProof/>
    </w:rPr>
  </w:style>
  <w:style w:type="paragraph" w:styleId="TOC2">
    <w:name w:val="toc 2"/>
    <w:basedOn w:val="Normal"/>
    <w:next w:val="Normal"/>
    <w:autoRedefine/>
    <w:uiPriority w:val="39"/>
    <w:semiHidden/>
    <w:unhideWhenUsed/>
    <w:rsid w:val="005F0165"/>
    <w:pPr>
      <w:spacing w:after="100"/>
      <w:ind w:left="240"/>
    </w:pPr>
  </w:style>
  <w:style w:type="paragraph" w:styleId="FootnoteText">
    <w:name w:val="footnote text"/>
    <w:basedOn w:val="Normal"/>
    <w:link w:val="FootnoteTextChar"/>
    <w:uiPriority w:val="99"/>
    <w:unhideWhenUsed/>
    <w:rsid w:val="005F0165"/>
  </w:style>
  <w:style w:type="character" w:customStyle="1" w:styleId="FootnoteTextChar">
    <w:name w:val="Footnote Text Char"/>
    <w:basedOn w:val="DefaultParagraphFont"/>
    <w:link w:val="FootnoteText"/>
    <w:uiPriority w:val="99"/>
    <w:rsid w:val="005F0165"/>
    <w:rPr>
      <w:rFonts w:ascii="Verdana" w:eastAsiaTheme="minorEastAsia" w:hAnsi="Verdana"/>
      <w:sz w:val="24"/>
      <w:szCs w:val="24"/>
    </w:rPr>
  </w:style>
  <w:style w:type="paragraph" w:styleId="Subtitle">
    <w:name w:val="Subtitle"/>
    <w:basedOn w:val="Normal"/>
    <w:next w:val="Normal"/>
    <w:link w:val="SubtitleChar"/>
    <w:uiPriority w:val="11"/>
    <w:qFormat/>
    <w:rsid w:val="005F0165"/>
    <w:pPr>
      <w:spacing w:after="160"/>
    </w:pPr>
    <w:rPr>
      <w:b/>
      <w:spacing w:val="15"/>
      <w:szCs w:val="22"/>
    </w:rPr>
  </w:style>
  <w:style w:type="character" w:customStyle="1" w:styleId="SubtitleChar">
    <w:name w:val="Subtitle Char"/>
    <w:basedOn w:val="DefaultParagraphFont"/>
    <w:link w:val="Subtitle"/>
    <w:uiPriority w:val="11"/>
    <w:rsid w:val="005F0165"/>
    <w:rPr>
      <w:rFonts w:ascii="Verdana" w:eastAsiaTheme="minorEastAsia" w:hAnsi="Verdana"/>
      <w:b/>
      <w:spacing w:val="15"/>
      <w:sz w:val="24"/>
    </w:rPr>
  </w:style>
  <w:style w:type="paragraph" w:styleId="ListParagraph">
    <w:name w:val="List Paragraph"/>
    <w:basedOn w:val="Normal"/>
    <w:uiPriority w:val="34"/>
    <w:qFormat/>
    <w:rsid w:val="005F0165"/>
    <w:pPr>
      <w:ind w:left="720"/>
      <w:contextualSpacing/>
    </w:pPr>
  </w:style>
  <w:style w:type="paragraph" w:styleId="Quote">
    <w:name w:val="Quote"/>
    <w:basedOn w:val="Normal"/>
    <w:next w:val="Normal"/>
    <w:link w:val="QuoteChar"/>
    <w:uiPriority w:val="29"/>
    <w:qFormat/>
    <w:rsid w:val="005F0165"/>
    <w:pPr>
      <w:spacing w:before="200" w:after="160"/>
      <w:ind w:left="864" w:right="864"/>
    </w:pPr>
    <w:rPr>
      <w:iCs/>
    </w:rPr>
  </w:style>
  <w:style w:type="character" w:customStyle="1" w:styleId="QuoteChar">
    <w:name w:val="Quote Char"/>
    <w:basedOn w:val="DefaultParagraphFont"/>
    <w:link w:val="Quote"/>
    <w:uiPriority w:val="29"/>
    <w:rsid w:val="005F0165"/>
    <w:rPr>
      <w:rFonts w:ascii="Verdana" w:eastAsiaTheme="minorEastAsia" w:hAnsi="Verdana"/>
      <w:iCs/>
      <w:sz w:val="24"/>
      <w:szCs w:val="24"/>
    </w:rPr>
  </w:style>
  <w:style w:type="paragraph" w:styleId="TOCHeading">
    <w:name w:val="TOC Heading"/>
    <w:basedOn w:val="Heading1"/>
    <w:next w:val="Normal"/>
    <w:uiPriority w:val="39"/>
    <w:unhideWhenUsed/>
    <w:qFormat/>
    <w:rsid w:val="005F0165"/>
    <w:pPr>
      <w:spacing w:line="256" w:lineRule="auto"/>
      <w:outlineLvl w:val="9"/>
    </w:pPr>
    <w:rPr>
      <w:rFonts w:asciiTheme="majorHAnsi" w:hAnsiTheme="majorHAnsi"/>
      <w:b w:val="0"/>
      <w:color w:val="2F5496" w:themeColor="accent1" w:themeShade="BF"/>
      <w:sz w:val="32"/>
      <w:lang w:val="en-US"/>
    </w:rPr>
  </w:style>
  <w:style w:type="paragraph" w:customStyle="1" w:styleId="BasicParagraph">
    <w:name w:val="[Basic Paragraph]"/>
    <w:basedOn w:val="Normal"/>
    <w:uiPriority w:val="99"/>
    <w:rsid w:val="005F0165"/>
    <w:pPr>
      <w:widowControl w:val="0"/>
      <w:autoSpaceDE w:val="0"/>
      <w:autoSpaceDN w:val="0"/>
      <w:adjustRightInd w:val="0"/>
      <w:spacing w:line="288" w:lineRule="auto"/>
    </w:pPr>
    <w:rPr>
      <w:rFonts w:ascii="MinionPro-Regular" w:hAnsi="MinionPro-Regular" w:cs="MinionPro-Regular"/>
      <w:color w:val="000000"/>
    </w:rPr>
  </w:style>
  <w:style w:type="paragraph" w:customStyle="1" w:styleId="Default">
    <w:name w:val="Default"/>
    <w:rsid w:val="005F0165"/>
    <w:pPr>
      <w:widowControl w:val="0"/>
      <w:autoSpaceDE w:val="0"/>
      <w:autoSpaceDN w:val="0"/>
      <w:adjustRightInd w:val="0"/>
      <w:spacing w:after="0" w:line="240" w:lineRule="auto"/>
    </w:pPr>
    <w:rPr>
      <w:rFonts w:ascii="Verdana" w:eastAsiaTheme="minorEastAsia" w:hAnsi="Verdana" w:cs="Verdana"/>
      <w:color w:val="000000"/>
      <w:sz w:val="24"/>
      <w:szCs w:val="24"/>
      <w:lang w:val="en-US"/>
    </w:rPr>
  </w:style>
  <w:style w:type="paragraph" w:customStyle="1" w:styleId="NIHRCFootnotes">
    <w:name w:val="NIHRC Footnotes"/>
    <w:basedOn w:val="Normal"/>
    <w:qFormat/>
    <w:rsid w:val="005F0165"/>
    <w:pPr>
      <w:tabs>
        <w:tab w:val="left" w:pos="284"/>
      </w:tabs>
    </w:pPr>
    <w:rPr>
      <w:rFonts w:cs="Arial"/>
      <w:color w:val="77328A"/>
      <w:sz w:val="16"/>
      <w:szCs w:val="16"/>
    </w:rPr>
  </w:style>
  <w:style w:type="character" w:styleId="FootnoteReference">
    <w:name w:val="footnote reference"/>
    <w:aliases w:val="4_G Char Char,Footnote Reference1 Char Char,Footnotes refss Char Char,ftref Char Char,BVI fnr Char Char,BVI fnr Car Car Char Char,BVI fnr Car Char Char,BVI fnr Car Car Car Car Char Char1,BVI fnr Char Car Car Car Char Char,Black,Nota"/>
    <w:basedOn w:val="DefaultParagraphFont"/>
    <w:link w:val="4GChar"/>
    <w:uiPriority w:val="99"/>
    <w:unhideWhenUsed/>
    <w:qFormat/>
    <w:rsid w:val="005F0165"/>
    <w:rPr>
      <w:vertAlign w:val="superscript"/>
    </w:rPr>
  </w:style>
  <w:style w:type="paragraph" w:customStyle="1" w:styleId="4GChar">
    <w:name w:val="4_G Char"/>
    <w:aliases w:val="Footnote Reference1 Char,Footnotes refss Char,ftref Char,BVI fnr Char,BVI fnr Car Car Char,BVI fnr Car Char,BVI fnr Car Car Car Car Char,BVI fnr Char Car Car Car Char"/>
    <w:basedOn w:val="Normal"/>
    <w:link w:val="FootnoteReference"/>
    <w:rsid w:val="005F0165"/>
    <w:pPr>
      <w:spacing w:after="160" w:line="240" w:lineRule="exact"/>
      <w:jc w:val="both"/>
    </w:pPr>
    <w:rPr>
      <w:rFonts w:asciiTheme="minorHAnsi" w:eastAsiaTheme="minorHAnsi" w:hAnsiTheme="minorHAnsi"/>
      <w:sz w:val="22"/>
      <w:szCs w:val="22"/>
      <w:vertAlign w:val="superscript"/>
    </w:rPr>
  </w:style>
  <w:style w:type="paragraph" w:customStyle="1" w:styleId="footnotedescription">
    <w:name w:val="footnote description"/>
    <w:next w:val="Normal"/>
    <w:link w:val="footnotedescriptionChar"/>
    <w:hidden/>
    <w:rsid w:val="00E758F0"/>
    <w:pPr>
      <w:spacing w:after="0"/>
    </w:pPr>
    <w:rPr>
      <w:rFonts w:ascii="Verdana" w:eastAsia="Times New Roman" w:hAnsi="Verdana" w:cs="Verdana"/>
      <w:color w:val="77328A"/>
      <w:sz w:val="16"/>
      <w:lang w:eastAsia="en-GB"/>
    </w:rPr>
  </w:style>
  <w:style w:type="character" w:customStyle="1" w:styleId="footnotedescriptionChar">
    <w:name w:val="footnote description Char"/>
    <w:link w:val="footnotedescription"/>
    <w:locked/>
    <w:rsid w:val="00E758F0"/>
    <w:rPr>
      <w:rFonts w:ascii="Verdana" w:eastAsia="Times New Roman" w:hAnsi="Verdana" w:cs="Verdana"/>
      <w:color w:val="77328A"/>
      <w:sz w:val="16"/>
      <w:lang w:eastAsia="en-GB"/>
    </w:rPr>
  </w:style>
  <w:style w:type="character" w:customStyle="1" w:styleId="footnotemark">
    <w:name w:val="footnote mark"/>
    <w:hidden/>
    <w:rsid w:val="00E758F0"/>
    <w:rPr>
      <w:rFonts w:ascii="Verdana" w:eastAsia="Times New Roman" w:hAnsi="Verdana"/>
      <w:color w:val="77328A"/>
      <w:sz w:val="16"/>
      <w:vertAlign w:val="superscript"/>
    </w:rPr>
  </w:style>
  <w:style w:type="paragraph" w:styleId="Header">
    <w:name w:val="header"/>
    <w:basedOn w:val="Normal"/>
    <w:link w:val="HeaderChar"/>
    <w:uiPriority w:val="99"/>
    <w:unhideWhenUsed/>
    <w:rsid w:val="00515670"/>
    <w:pPr>
      <w:tabs>
        <w:tab w:val="center" w:pos="4513"/>
        <w:tab w:val="right" w:pos="9026"/>
      </w:tabs>
    </w:pPr>
  </w:style>
  <w:style w:type="character" w:customStyle="1" w:styleId="HeaderChar">
    <w:name w:val="Header Char"/>
    <w:basedOn w:val="DefaultParagraphFont"/>
    <w:link w:val="Header"/>
    <w:uiPriority w:val="99"/>
    <w:rsid w:val="00515670"/>
    <w:rPr>
      <w:rFonts w:ascii="Verdana" w:eastAsiaTheme="minorEastAsia" w:hAnsi="Verdana"/>
      <w:sz w:val="24"/>
      <w:szCs w:val="24"/>
    </w:rPr>
  </w:style>
  <w:style w:type="paragraph" w:styleId="Footer">
    <w:name w:val="footer"/>
    <w:basedOn w:val="Normal"/>
    <w:link w:val="FooterChar"/>
    <w:uiPriority w:val="99"/>
    <w:unhideWhenUsed/>
    <w:rsid w:val="00515670"/>
    <w:pPr>
      <w:tabs>
        <w:tab w:val="center" w:pos="4513"/>
        <w:tab w:val="right" w:pos="9026"/>
      </w:tabs>
    </w:pPr>
  </w:style>
  <w:style w:type="character" w:customStyle="1" w:styleId="FooterChar">
    <w:name w:val="Footer Char"/>
    <w:basedOn w:val="DefaultParagraphFont"/>
    <w:link w:val="Footer"/>
    <w:uiPriority w:val="99"/>
    <w:rsid w:val="00515670"/>
    <w:rPr>
      <w:rFonts w:ascii="Verdana" w:eastAsiaTheme="minorEastAsia" w:hAnsi="Verdana"/>
      <w:sz w:val="24"/>
      <w:szCs w:val="24"/>
    </w:rPr>
  </w:style>
  <w:style w:type="paragraph" w:styleId="NormalWeb">
    <w:name w:val="Normal (Web)"/>
    <w:basedOn w:val="Normal"/>
    <w:uiPriority w:val="99"/>
    <w:semiHidden/>
    <w:unhideWhenUsed/>
    <w:rsid w:val="0018746D"/>
    <w:pPr>
      <w:spacing w:before="100" w:beforeAutospacing="1" w:after="100" w:afterAutospacing="1"/>
    </w:pPr>
    <w:rPr>
      <w:rFonts w:ascii="Times New Roman" w:eastAsia="Times New Roman" w:hAnsi="Times New Roman" w:cs="Times New Roman"/>
      <w:lang w:eastAsia="en-GB"/>
    </w:rPr>
  </w:style>
  <w:style w:type="character" w:customStyle="1" w:styleId="normal10">
    <w:name w:val="normal10"/>
    <w:basedOn w:val="DefaultParagraphFont"/>
    <w:rsid w:val="0018746D"/>
  </w:style>
  <w:style w:type="character" w:styleId="CommentReference">
    <w:name w:val="annotation reference"/>
    <w:basedOn w:val="DefaultParagraphFont"/>
    <w:uiPriority w:val="99"/>
    <w:semiHidden/>
    <w:unhideWhenUsed/>
    <w:rsid w:val="003E2BD8"/>
    <w:rPr>
      <w:sz w:val="16"/>
      <w:szCs w:val="16"/>
    </w:rPr>
  </w:style>
  <w:style w:type="paragraph" w:styleId="CommentText">
    <w:name w:val="annotation text"/>
    <w:basedOn w:val="Normal"/>
    <w:link w:val="CommentTextChar"/>
    <w:uiPriority w:val="99"/>
    <w:semiHidden/>
    <w:unhideWhenUsed/>
    <w:rsid w:val="003E2BD8"/>
    <w:rPr>
      <w:sz w:val="20"/>
      <w:szCs w:val="20"/>
    </w:rPr>
  </w:style>
  <w:style w:type="character" w:customStyle="1" w:styleId="CommentTextChar">
    <w:name w:val="Comment Text Char"/>
    <w:basedOn w:val="DefaultParagraphFont"/>
    <w:link w:val="CommentText"/>
    <w:uiPriority w:val="99"/>
    <w:semiHidden/>
    <w:rsid w:val="003E2BD8"/>
    <w:rPr>
      <w:rFonts w:ascii="Verdana" w:eastAsiaTheme="minorEastAsia" w:hAnsi="Verdana"/>
      <w:sz w:val="20"/>
      <w:szCs w:val="20"/>
    </w:rPr>
  </w:style>
  <w:style w:type="paragraph" w:styleId="CommentSubject">
    <w:name w:val="annotation subject"/>
    <w:basedOn w:val="CommentText"/>
    <w:next w:val="CommentText"/>
    <w:link w:val="CommentSubjectChar"/>
    <w:uiPriority w:val="99"/>
    <w:semiHidden/>
    <w:unhideWhenUsed/>
    <w:rsid w:val="003E2BD8"/>
    <w:rPr>
      <w:b/>
      <w:bCs/>
    </w:rPr>
  </w:style>
  <w:style w:type="character" w:customStyle="1" w:styleId="CommentSubjectChar">
    <w:name w:val="Comment Subject Char"/>
    <w:basedOn w:val="CommentTextChar"/>
    <w:link w:val="CommentSubject"/>
    <w:uiPriority w:val="99"/>
    <w:semiHidden/>
    <w:rsid w:val="003E2BD8"/>
    <w:rPr>
      <w:rFonts w:ascii="Verdana" w:eastAsiaTheme="minorEastAsia" w:hAnsi="Verdana"/>
      <w:b/>
      <w:bCs/>
      <w:sz w:val="20"/>
      <w:szCs w:val="20"/>
    </w:rPr>
  </w:style>
  <w:style w:type="paragraph" w:styleId="BalloonText">
    <w:name w:val="Balloon Text"/>
    <w:basedOn w:val="Normal"/>
    <w:link w:val="BalloonTextChar"/>
    <w:uiPriority w:val="99"/>
    <w:semiHidden/>
    <w:unhideWhenUsed/>
    <w:rsid w:val="003E2B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BD8"/>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859720">
      <w:bodyDiv w:val="1"/>
      <w:marLeft w:val="0"/>
      <w:marRight w:val="0"/>
      <w:marTop w:val="0"/>
      <w:marBottom w:val="0"/>
      <w:divBdr>
        <w:top w:val="none" w:sz="0" w:space="0" w:color="auto"/>
        <w:left w:val="none" w:sz="0" w:space="0" w:color="auto"/>
        <w:bottom w:val="none" w:sz="0" w:space="0" w:color="auto"/>
        <w:right w:val="none" w:sz="0" w:space="0" w:color="auto"/>
      </w:divBdr>
    </w:div>
    <w:div w:id="689914472">
      <w:bodyDiv w:val="1"/>
      <w:marLeft w:val="0"/>
      <w:marRight w:val="0"/>
      <w:marTop w:val="0"/>
      <w:marBottom w:val="0"/>
      <w:divBdr>
        <w:top w:val="none" w:sz="0" w:space="0" w:color="auto"/>
        <w:left w:val="none" w:sz="0" w:space="0" w:color="auto"/>
        <w:bottom w:val="none" w:sz="0" w:space="0" w:color="auto"/>
        <w:right w:val="none" w:sz="0" w:space="0" w:color="auto"/>
      </w:divBdr>
    </w:div>
    <w:div w:id="1124153638">
      <w:bodyDiv w:val="1"/>
      <w:marLeft w:val="0"/>
      <w:marRight w:val="0"/>
      <w:marTop w:val="0"/>
      <w:marBottom w:val="0"/>
      <w:divBdr>
        <w:top w:val="none" w:sz="0" w:space="0" w:color="auto"/>
        <w:left w:val="none" w:sz="0" w:space="0" w:color="auto"/>
        <w:bottom w:val="none" w:sz="0" w:space="0" w:color="auto"/>
        <w:right w:val="none" w:sz="0" w:space="0" w:color="auto"/>
      </w:divBdr>
    </w:div>
    <w:div w:id="1221593668">
      <w:bodyDiv w:val="1"/>
      <w:marLeft w:val="0"/>
      <w:marRight w:val="0"/>
      <w:marTop w:val="0"/>
      <w:marBottom w:val="0"/>
      <w:divBdr>
        <w:top w:val="none" w:sz="0" w:space="0" w:color="auto"/>
        <w:left w:val="none" w:sz="0" w:space="0" w:color="auto"/>
        <w:bottom w:val="none" w:sz="0" w:space="0" w:color="auto"/>
        <w:right w:val="none" w:sz="0" w:space="0" w:color="auto"/>
      </w:divBdr>
    </w:div>
    <w:div w:id="1321498661">
      <w:bodyDiv w:val="1"/>
      <w:marLeft w:val="0"/>
      <w:marRight w:val="0"/>
      <w:marTop w:val="0"/>
      <w:marBottom w:val="0"/>
      <w:divBdr>
        <w:top w:val="none" w:sz="0" w:space="0" w:color="auto"/>
        <w:left w:val="none" w:sz="0" w:space="0" w:color="auto"/>
        <w:bottom w:val="none" w:sz="0" w:space="0" w:color="auto"/>
        <w:right w:val="none" w:sz="0" w:space="0" w:color="auto"/>
      </w:divBdr>
    </w:div>
    <w:div w:id="1434862971">
      <w:bodyDiv w:val="1"/>
      <w:marLeft w:val="0"/>
      <w:marRight w:val="0"/>
      <w:marTop w:val="0"/>
      <w:marBottom w:val="0"/>
      <w:divBdr>
        <w:top w:val="none" w:sz="0" w:space="0" w:color="auto"/>
        <w:left w:val="none" w:sz="0" w:space="0" w:color="auto"/>
        <w:bottom w:val="none" w:sz="0" w:space="0" w:color="auto"/>
        <w:right w:val="none" w:sz="0" w:space="0" w:color="auto"/>
      </w:divBdr>
    </w:div>
    <w:div w:id="1608195337">
      <w:bodyDiv w:val="1"/>
      <w:marLeft w:val="0"/>
      <w:marRight w:val="0"/>
      <w:marTop w:val="0"/>
      <w:marBottom w:val="0"/>
      <w:divBdr>
        <w:top w:val="none" w:sz="0" w:space="0" w:color="auto"/>
        <w:left w:val="none" w:sz="0" w:space="0" w:color="auto"/>
        <w:bottom w:val="none" w:sz="0" w:space="0" w:color="auto"/>
        <w:right w:val="none" w:sz="0" w:space="0" w:color="auto"/>
      </w:divBdr>
    </w:div>
    <w:div w:id="1965647592">
      <w:bodyDiv w:val="1"/>
      <w:marLeft w:val="0"/>
      <w:marRight w:val="0"/>
      <w:marTop w:val="0"/>
      <w:marBottom w:val="0"/>
      <w:divBdr>
        <w:top w:val="none" w:sz="0" w:space="0" w:color="auto"/>
        <w:left w:val="none" w:sz="0" w:space="0" w:color="auto"/>
        <w:bottom w:val="none" w:sz="0" w:space="0" w:color="auto"/>
        <w:right w:val="none" w:sz="0" w:space="0" w:color="auto"/>
      </w:divBdr>
    </w:div>
    <w:div w:id="204539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yperlink" Target="mailto:info@nihrc.org" TargetMode="External"/><Relationship Id="rId4" Type="http://schemas.openxmlformats.org/officeDocument/2006/relationships/settings" Target="settings.xml"/><Relationship Id="rId9" Type="http://schemas.openxmlformats.org/officeDocument/2006/relationships/hyperlink" Target="http://www.nihrc.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E7C6F-9F98-4E2F-B92E-02F72BA89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5947</Words>
  <Characters>33899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Buchanan</dc:creator>
  <cp:keywords/>
  <dc:description/>
  <cp:lastModifiedBy>Julia Buchanan</cp:lastModifiedBy>
  <cp:revision>10</cp:revision>
  <cp:lastPrinted>2021-07-26T15:25:00Z</cp:lastPrinted>
  <dcterms:created xsi:type="dcterms:W3CDTF">2021-07-23T09:15:00Z</dcterms:created>
  <dcterms:modified xsi:type="dcterms:W3CDTF">2021-07-26T15:25:00Z</dcterms:modified>
</cp:coreProperties>
</file>