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ED52" w14:textId="49BF2F0D" w:rsidR="00EE3F5A" w:rsidRPr="00D2238D" w:rsidRDefault="00EE3F5A" w:rsidP="00AE7A83">
      <w:pPr>
        <w:pStyle w:val="paragraph"/>
        <w:spacing w:before="0" w:beforeAutospacing="0" w:after="0" w:afterAutospacing="0" w:line="288" w:lineRule="auto"/>
        <w:jc w:val="center"/>
        <w:textAlignment w:val="baseline"/>
        <w:rPr>
          <w:rFonts w:ascii="Verdana" w:hAnsi="Verdana" w:cs="Segoe UI"/>
          <w:b/>
          <w:bCs/>
          <w:sz w:val="32"/>
          <w:szCs w:val="32"/>
        </w:rPr>
      </w:pPr>
      <w:r w:rsidRPr="00D2238D">
        <w:rPr>
          <w:rStyle w:val="normaltextrun"/>
          <w:rFonts w:ascii="Verdana" w:hAnsi="Verdana" w:cs="Segoe UI"/>
          <w:b/>
          <w:bCs/>
          <w:color w:val="7030A0"/>
          <w:sz w:val="32"/>
          <w:szCs w:val="32"/>
        </w:rPr>
        <w:t xml:space="preserve">Illegal Migration Act </w:t>
      </w:r>
      <w:proofErr w:type="gramStart"/>
      <w:r w:rsidRPr="00D2238D">
        <w:rPr>
          <w:rStyle w:val="normaltextrun"/>
          <w:rFonts w:ascii="Verdana" w:hAnsi="Verdana" w:cs="Segoe UI"/>
          <w:b/>
          <w:bCs/>
          <w:color w:val="7030A0"/>
          <w:sz w:val="32"/>
          <w:szCs w:val="32"/>
        </w:rPr>
        <w:t>challeng</w:t>
      </w:r>
      <w:r w:rsidR="00FC6144" w:rsidRPr="00D2238D">
        <w:rPr>
          <w:rStyle w:val="normaltextrun"/>
          <w:rFonts w:ascii="Verdana" w:hAnsi="Verdana" w:cs="Segoe UI"/>
          <w:b/>
          <w:bCs/>
          <w:color w:val="7030A0"/>
          <w:sz w:val="32"/>
          <w:szCs w:val="32"/>
        </w:rPr>
        <w:t>e</w:t>
      </w:r>
      <w:proofErr w:type="gramEnd"/>
      <w:r w:rsidR="00FC6144" w:rsidRPr="00D2238D">
        <w:rPr>
          <w:rStyle w:val="normaltextrun"/>
          <w:rFonts w:ascii="Verdana" w:hAnsi="Verdana" w:cs="Segoe UI"/>
          <w:b/>
          <w:bCs/>
          <w:color w:val="7030A0"/>
          <w:sz w:val="32"/>
          <w:szCs w:val="32"/>
        </w:rPr>
        <w:t xml:space="preserve"> Factsheet</w:t>
      </w:r>
      <w:r w:rsidR="00032754" w:rsidRPr="00D2238D">
        <w:rPr>
          <w:rStyle w:val="normaltextrun"/>
          <w:rFonts w:ascii="Verdana" w:hAnsi="Verdana" w:cs="Segoe UI"/>
          <w:b/>
          <w:bCs/>
          <w:color w:val="7030A0"/>
          <w:sz w:val="32"/>
          <w:szCs w:val="32"/>
        </w:rPr>
        <w:t xml:space="preserve"> – updated </w:t>
      </w:r>
      <w:r w:rsidR="00117EF2">
        <w:rPr>
          <w:rStyle w:val="normaltextrun"/>
          <w:rFonts w:ascii="Verdana" w:hAnsi="Verdana" w:cs="Segoe UI"/>
          <w:b/>
          <w:bCs/>
          <w:color w:val="7030A0"/>
          <w:sz w:val="32"/>
          <w:szCs w:val="32"/>
        </w:rPr>
        <w:t>20 May 2024</w:t>
      </w:r>
    </w:p>
    <w:p w14:paraId="7CF35B32"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rPr>
      </w:pPr>
    </w:p>
    <w:p w14:paraId="1EFE8966" w14:textId="42AC4FA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In September 2023, the Commission issued a legal challenge against the Illegal Migration Act </w:t>
      </w:r>
      <w:r w:rsidR="0052118E" w:rsidRPr="00AE7A83">
        <w:rPr>
          <w:rStyle w:val="normaltextrun"/>
          <w:rFonts w:ascii="Verdana" w:hAnsi="Verdana" w:cs="Segoe UI"/>
        </w:rPr>
        <w:t xml:space="preserve">2023 </w:t>
      </w:r>
      <w:r w:rsidRPr="00AE7A83">
        <w:rPr>
          <w:rStyle w:val="normaltextrun"/>
          <w:rFonts w:ascii="Verdana" w:hAnsi="Verdana" w:cs="Segoe UI"/>
        </w:rPr>
        <w:t xml:space="preserve">in the form of a judicial review at the High Court in Belfast. This challenge </w:t>
      </w:r>
      <w:r w:rsidR="00033E30">
        <w:rPr>
          <w:rStyle w:val="normaltextrun"/>
          <w:rFonts w:ascii="Verdana" w:hAnsi="Verdana" w:cs="Segoe UI"/>
        </w:rPr>
        <w:t>wa</w:t>
      </w:r>
      <w:r w:rsidRPr="00AE7A83">
        <w:rPr>
          <w:rStyle w:val="normaltextrun"/>
          <w:rFonts w:ascii="Verdana" w:hAnsi="Verdana" w:cs="Segoe UI"/>
        </w:rPr>
        <w:t>s against the Secretary of State for the Home Department and Secretary of State for Northern Ireland.</w:t>
      </w:r>
      <w:r w:rsidRPr="00AE7A83">
        <w:rPr>
          <w:rStyle w:val="eop"/>
          <w:rFonts w:ascii="Verdana" w:hAnsi="Verdana" w:cs="Segoe UI"/>
        </w:rPr>
        <w:t> </w:t>
      </w:r>
    </w:p>
    <w:p w14:paraId="25E9C7D4"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b/>
          <w:bCs/>
        </w:rPr>
      </w:pPr>
    </w:p>
    <w:p w14:paraId="14A3C538" w14:textId="36219201" w:rsidR="00EE3F5A" w:rsidRPr="00D2238D" w:rsidRDefault="00EE3F5A" w:rsidP="00D2238D">
      <w:pPr>
        <w:pStyle w:val="Heading1"/>
        <w:rPr>
          <w:rStyle w:val="eop"/>
          <w:rFonts w:ascii="Verdana" w:hAnsi="Verdana"/>
          <w:b/>
          <w:bCs/>
          <w:color w:val="auto"/>
          <w:sz w:val="24"/>
          <w:szCs w:val="24"/>
        </w:rPr>
      </w:pPr>
      <w:r w:rsidRPr="00D2238D">
        <w:rPr>
          <w:rStyle w:val="eop"/>
          <w:rFonts w:ascii="Verdana" w:hAnsi="Verdana"/>
          <w:b/>
          <w:bCs/>
          <w:color w:val="auto"/>
          <w:sz w:val="24"/>
          <w:szCs w:val="24"/>
        </w:rPr>
        <w:t xml:space="preserve">Why </w:t>
      </w:r>
      <w:r w:rsidR="00B96789" w:rsidRPr="00D2238D">
        <w:rPr>
          <w:rStyle w:val="eop"/>
          <w:rFonts w:ascii="Verdana" w:hAnsi="Verdana"/>
          <w:b/>
          <w:bCs/>
          <w:color w:val="auto"/>
          <w:sz w:val="24"/>
          <w:szCs w:val="24"/>
        </w:rPr>
        <w:t>did</w:t>
      </w:r>
      <w:r w:rsidRPr="00D2238D">
        <w:rPr>
          <w:rStyle w:val="eop"/>
          <w:rFonts w:ascii="Verdana" w:hAnsi="Verdana"/>
          <w:b/>
          <w:bCs/>
          <w:color w:val="auto"/>
          <w:sz w:val="24"/>
          <w:szCs w:val="24"/>
        </w:rPr>
        <w:t xml:space="preserve"> the Commission decide to issue this case? </w:t>
      </w:r>
    </w:p>
    <w:p w14:paraId="69D1A778"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rPr>
      </w:pPr>
    </w:p>
    <w:p w14:paraId="242BB0D1" w14:textId="3684AADE" w:rsidR="003B072A" w:rsidRPr="00AE7A83" w:rsidRDefault="003B072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The Commission decided to issue the challenge due to the significant human rights implications the Illegal Migration Act </w:t>
      </w:r>
      <w:r w:rsidR="0052118E" w:rsidRPr="00AE7A83">
        <w:rPr>
          <w:rStyle w:val="normaltextrun"/>
          <w:rFonts w:ascii="Verdana" w:hAnsi="Verdana" w:cs="Segoe UI"/>
        </w:rPr>
        <w:t xml:space="preserve">(IMA) </w:t>
      </w:r>
      <w:r w:rsidRPr="00AE7A83">
        <w:rPr>
          <w:rStyle w:val="normaltextrun"/>
          <w:rFonts w:ascii="Verdana" w:hAnsi="Verdana" w:cs="Segoe UI"/>
        </w:rPr>
        <w:t>will have for asylum seekers in N</w:t>
      </w:r>
      <w:r w:rsidR="00DF6C83" w:rsidRPr="00AE7A83">
        <w:rPr>
          <w:rStyle w:val="normaltextrun"/>
          <w:rFonts w:ascii="Verdana" w:hAnsi="Verdana" w:cs="Segoe UI"/>
        </w:rPr>
        <w:t xml:space="preserve">orthern </w:t>
      </w:r>
      <w:r w:rsidRPr="00AE7A83">
        <w:rPr>
          <w:rStyle w:val="normaltextrun"/>
          <w:rFonts w:ascii="Verdana" w:hAnsi="Verdana" w:cs="Segoe UI"/>
        </w:rPr>
        <w:t>I</w:t>
      </w:r>
      <w:r w:rsidR="000102C9" w:rsidRPr="00AE7A83">
        <w:rPr>
          <w:rStyle w:val="normaltextrun"/>
          <w:rFonts w:ascii="Verdana" w:hAnsi="Verdana" w:cs="Segoe UI"/>
        </w:rPr>
        <w:t>reland</w:t>
      </w:r>
      <w:r w:rsidRPr="00AE7A83">
        <w:rPr>
          <w:rStyle w:val="normaltextrun"/>
          <w:rFonts w:ascii="Verdana" w:hAnsi="Verdana" w:cs="Segoe UI"/>
        </w:rPr>
        <w:t>, in particular the barriers created for individual legal challenges removing the ability to appeal and judicially review decisions in most circumstances. </w:t>
      </w:r>
      <w:r w:rsidRPr="00AE7A83">
        <w:rPr>
          <w:rStyle w:val="eop"/>
          <w:rFonts w:ascii="Verdana" w:hAnsi="Verdana" w:cs="Segoe UI"/>
        </w:rPr>
        <w:t> </w:t>
      </w:r>
    </w:p>
    <w:p w14:paraId="6DE5CE63" w14:textId="77777777" w:rsidR="003B072A" w:rsidRPr="00AE7A83" w:rsidRDefault="003B072A" w:rsidP="00AE7A83">
      <w:pPr>
        <w:pStyle w:val="paragraph"/>
        <w:spacing w:before="0" w:beforeAutospacing="0" w:after="0" w:afterAutospacing="0" w:line="288" w:lineRule="auto"/>
        <w:textAlignment w:val="baseline"/>
        <w:rPr>
          <w:rStyle w:val="normaltextrun"/>
          <w:rFonts w:ascii="Verdana" w:hAnsi="Verdana" w:cs="Segoe UI"/>
        </w:rPr>
      </w:pPr>
    </w:p>
    <w:p w14:paraId="2B12944A" w14:textId="3CA06D12"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The Commission had raised concerns about the compatibility of the </w:t>
      </w:r>
      <w:r w:rsidR="0052118E" w:rsidRPr="00AE7A83">
        <w:rPr>
          <w:rStyle w:val="normaltextrun"/>
          <w:rFonts w:ascii="Verdana" w:hAnsi="Verdana" w:cs="Segoe UI"/>
        </w:rPr>
        <w:t>legislation</w:t>
      </w:r>
      <w:r w:rsidRPr="00AE7A83">
        <w:rPr>
          <w:rStyle w:val="normaltextrun"/>
          <w:rFonts w:ascii="Verdana" w:hAnsi="Verdana" w:cs="Segoe UI"/>
        </w:rPr>
        <w:t xml:space="preserve"> with the UK Government’s human rights obligations during its passage through Parliament. The Commission made </w:t>
      </w:r>
      <w:hyperlink r:id="rId8" w:tgtFrame="_blank" w:history="1">
        <w:r w:rsidRPr="00AE7A83">
          <w:rPr>
            <w:rStyle w:val="normaltextrun"/>
            <w:rFonts w:ascii="Verdana" w:hAnsi="Verdana" w:cs="Segoe UI"/>
            <w:color w:val="0563C1"/>
            <w:u w:val="single"/>
          </w:rPr>
          <w:t>recommendations</w:t>
        </w:r>
      </w:hyperlink>
      <w:r w:rsidRPr="00AE7A83">
        <w:rPr>
          <w:rStyle w:val="normaltextrun"/>
          <w:rFonts w:ascii="Verdana" w:hAnsi="Verdana" w:cs="Segoe UI"/>
        </w:rPr>
        <w:t xml:space="preserve"> to the UK Home Office, </w:t>
      </w:r>
      <w:r w:rsidR="0052118E" w:rsidRPr="00AE7A83">
        <w:rPr>
          <w:rStyle w:val="normaltextrun"/>
          <w:rFonts w:ascii="Verdana" w:hAnsi="Verdana" w:cs="Segoe UI"/>
        </w:rPr>
        <w:t xml:space="preserve">which were not followed, and </w:t>
      </w:r>
      <w:r w:rsidRPr="00AE7A83">
        <w:rPr>
          <w:rStyle w:val="normaltextrun"/>
          <w:rFonts w:ascii="Verdana" w:hAnsi="Verdana" w:cs="Segoe UI"/>
        </w:rPr>
        <w:t>the Bill received Royal Assent on 20 July 2023.</w:t>
      </w:r>
      <w:r w:rsidRPr="00AE7A83">
        <w:rPr>
          <w:rStyle w:val="eop"/>
          <w:rFonts w:ascii="Verdana" w:hAnsi="Verdana" w:cs="Segoe UI"/>
        </w:rPr>
        <w:t> </w:t>
      </w:r>
    </w:p>
    <w:p w14:paraId="02CFB1BB"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rPr>
      </w:pPr>
    </w:p>
    <w:p w14:paraId="74E1F40D" w14:textId="07D4B925"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The Commission issued legal proceedings as </w:t>
      </w:r>
      <w:r w:rsidR="0052118E" w:rsidRPr="00AE7A83">
        <w:rPr>
          <w:rStyle w:val="normaltextrun"/>
          <w:rFonts w:ascii="Verdana" w:hAnsi="Verdana" w:cs="Segoe UI"/>
        </w:rPr>
        <w:t>a last resort. O</w:t>
      </w:r>
      <w:r w:rsidRPr="00AE7A83">
        <w:rPr>
          <w:rStyle w:val="normaltextrun"/>
          <w:rFonts w:ascii="Verdana" w:hAnsi="Verdana" w:cs="Segoe UI"/>
        </w:rPr>
        <w:t>nce the IMA provisions come into force, they w</w:t>
      </w:r>
      <w:r w:rsidR="00033E30">
        <w:rPr>
          <w:rStyle w:val="normaltextrun"/>
          <w:rFonts w:ascii="Verdana" w:hAnsi="Verdana" w:cs="Segoe UI"/>
        </w:rPr>
        <w:t>ould</w:t>
      </w:r>
      <w:r w:rsidRPr="00AE7A83">
        <w:rPr>
          <w:rStyle w:val="normaltextrun"/>
          <w:rFonts w:ascii="Verdana" w:hAnsi="Verdana" w:cs="Segoe UI"/>
        </w:rPr>
        <w:t xml:space="preserve"> have a very harmful effect on most asylum seekers who seek refuge in NI, removing the ability to claim asylum except in very limited circumstances. </w:t>
      </w:r>
      <w:proofErr w:type="gramStart"/>
      <w:r w:rsidR="0052118E" w:rsidRPr="00AE7A83">
        <w:rPr>
          <w:rStyle w:val="normaltextrun"/>
          <w:rFonts w:ascii="Verdana" w:hAnsi="Verdana" w:cs="Calibri"/>
        </w:rPr>
        <w:t>I</w:t>
      </w:r>
      <w:r w:rsidRPr="00AE7A83">
        <w:rPr>
          <w:rStyle w:val="normaltextrun"/>
          <w:rFonts w:ascii="Verdana" w:hAnsi="Verdana" w:cs="Calibri"/>
        </w:rPr>
        <w:t>n particular there</w:t>
      </w:r>
      <w:proofErr w:type="gramEnd"/>
      <w:r w:rsidRPr="00AE7A83">
        <w:rPr>
          <w:rStyle w:val="normaltextrun"/>
          <w:rFonts w:ascii="Verdana" w:hAnsi="Verdana" w:cs="Calibri"/>
        </w:rPr>
        <w:t xml:space="preserve"> would be a failure to protect some of the most vulnerable people including children</w:t>
      </w:r>
      <w:r w:rsidR="0052118E" w:rsidRPr="00AE7A83">
        <w:rPr>
          <w:rStyle w:val="normaltextrun"/>
          <w:rFonts w:ascii="Verdana" w:hAnsi="Verdana" w:cs="Calibri"/>
        </w:rPr>
        <w:t xml:space="preserve"> and</w:t>
      </w:r>
      <w:r w:rsidRPr="00AE7A83">
        <w:rPr>
          <w:rStyle w:val="normaltextrun"/>
          <w:rFonts w:ascii="Verdana" w:hAnsi="Verdana" w:cs="Calibri"/>
        </w:rPr>
        <w:t xml:space="preserve"> victims of human trafficking and exploitation.</w:t>
      </w:r>
    </w:p>
    <w:p w14:paraId="1B5C7B82"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rPr>
      </w:pPr>
    </w:p>
    <w:p w14:paraId="4CC1AA95" w14:textId="0D06E2DF" w:rsidR="00DC3E7B" w:rsidRPr="00AE7A83" w:rsidRDefault="00EE3F5A" w:rsidP="00AE7A83">
      <w:pPr>
        <w:pStyle w:val="paragraph"/>
        <w:spacing w:before="0" w:beforeAutospacing="0" w:after="0" w:afterAutospacing="0" w:line="288" w:lineRule="auto"/>
        <w:textAlignment w:val="baseline"/>
        <w:rPr>
          <w:rStyle w:val="eop"/>
          <w:rFonts w:ascii="Verdana" w:hAnsi="Verdana" w:cs="Segoe UI"/>
        </w:rPr>
      </w:pPr>
      <w:proofErr w:type="gramStart"/>
      <w:r w:rsidRPr="00AE7A83">
        <w:rPr>
          <w:rStyle w:val="normaltextrun"/>
          <w:rFonts w:ascii="Verdana" w:hAnsi="Verdana" w:cs="Segoe UI"/>
        </w:rPr>
        <w:t>A number of</w:t>
      </w:r>
      <w:proofErr w:type="gramEnd"/>
      <w:r w:rsidRPr="00AE7A83">
        <w:rPr>
          <w:rStyle w:val="normaltextrun"/>
          <w:rFonts w:ascii="Verdana" w:hAnsi="Verdana" w:cs="Segoe UI"/>
        </w:rPr>
        <w:t xml:space="preserve"> the Commission</w:t>
      </w:r>
      <w:r w:rsidR="00322EFF" w:rsidRPr="00AE7A83">
        <w:rPr>
          <w:rStyle w:val="normaltextrun"/>
          <w:rFonts w:ascii="Verdana" w:hAnsi="Verdana" w:cs="Segoe UI"/>
        </w:rPr>
        <w:t>’</w:t>
      </w:r>
      <w:r w:rsidRPr="00AE7A83">
        <w:rPr>
          <w:rStyle w:val="normaltextrun"/>
          <w:rFonts w:ascii="Verdana" w:hAnsi="Verdana" w:cs="Segoe UI"/>
        </w:rPr>
        <w:t xml:space="preserve">s </w:t>
      </w:r>
      <w:r w:rsidR="0052118E" w:rsidRPr="00AE7A83">
        <w:rPr>
          <w:rStyle w:val="normaltextrun"/>
          <w:rFonts w:ascii="Verdana" w:hAnsi="Verdana" w:cs="Segoe UI"/>
        </w:rPr>
        <w:t xml:space="preserve">specific </w:t>
      </w:r>
      <w:r w:rsidRPr="00AE7A83">
        <w:rPr>
          <w:rStyle w:val="normaltextrun"/>
          <w:rFonts w:ascii="Verdana" w:hAnsi="Verdana" w:cs="Segoe UI"/>
        </w:rPr>
        <w:t xml:space="preserve">concerns </w:t>
      </w:r>
      <w:r w:rsidR="00610C9B">
        <w:rPr>
          <w:rStyle w:val="normaltextrun"/>
          <w:rFonts w:ascii="Verdana" w:hAnsi="Verdana" w:cs="Segoe UI"/>
        </w:rPr>
        <w:t>include</w:t>
      </w:r>
      <w:r w:rsidRPr="00AE7A83">
        <w:rPr>
          <w:rStyle w:val="normaltextrun"/>
          <w:rFonts w:ascii="Verdana" w:hAnsi="Verdana" w:cs="Segoe UI"/>
        </w:rPr>
        <w:t>:</w:t>
      </w:r>
    </w:p>
    <w:p w14:paraId="5A608D31" w14:textId="77777777" w:rsidR="00DC3E7B" w:rsidRPr="00AE7A83" w:rsidRDefault="00DC3E7B" w:rsidP="00AE7A83">
      <w:pPr>
        <w:pStyle w:val="paragraph"/>
        <w:spacing w:before="0" w:beforeAutospacing="0" w:after="0" w:afterAutospacing="0" w:line="288" w:lineRule="auto"/>
        <w:textAlignment w:val="baseline"/>
        <w:rPr>
          <w:rStyle w:val="eop"/>
          <w:rFonts w:ascii="Verdana" w:hAnsi="Verdana" w:cs="Segoe UI"/>
        </w:rPr>
      </w:pPr>
    </w:p>
    <w:p w14:paraId="2BE82039" w14:textId="77777777" w:rsidR="00DC3E7B" w:rsidRPr="00AE7A83" w:rsidRDefault="00DC3E7B" w:rsidP="00AE7A83">
      <w:pPr>
        <w:pStyle w:val="paragraph"/>
        <w:numPr>
          <w:ilvl w:val="0"/>
          <w:numId w:val="8"/>
        </w:numPr>
        <w:spacing w:before="0" w:beforeAutospacing="0" w:after="0" w:afterAutospacing="0" w:line="288" w:lineRule="auto"/>
        <w:textAlignment w:val="baseline"/>
        <w:rPr>
          <w:rStyle w:val="normaltextrun"/>
          <w:rFonts w:ascii="Verdana" w:hAnsi="Verdana" w:cs="Segoe UI"/>
        </w:rPr>
      </w:pPr>
      <w:r w:rsidRPr="00AE7A83">
        <w:rPr>
          <w:rStyle w:val="normaltextrun"/>
          <w:rFonts w:ascii="Verdana" w:hAnsi="Verdana" w:cs="Segoe UI"/>
        </w:rPr>
        <w:t xml:space="preserve">The IMA provides for the removal of asylum seekers. Once a person is notified of removal, they can then be sent to a country with which they have no previous connection, including countries that are not signatories of the 1951 Refugee Convention. </w:t>
      </w:r>
    </w:p>
    <w:p w14:paraId="5269379A" w14:textId="77777777" w:rsidR="00DC3E7B" w:rsidRPr="00AE7A83" w:rsidRDefault="00DC3E7B" w:rsidP="00AE7A83">
      <w:pPr>
        <w:pStyle w:val="paragraph"/>
        <w:spacing w:before="0" w:beforeAutospacing="0" w:after="0" w:afterAutospacing="0" w:line="288" w:lineRule="auto"/>
        <w:ind w:left="720"/>
        <w:textAlignment w:val="baseline"/>
        <w:rPr>
          <w:rStyle w:val="normaltextrun"/>
          <w:rFonts w:ascii="Verdana" w:hAnsi="Verdana" w:cs="Segoe UI"/>
        </w:rPr>
      </w:pPr>
    </w:p>
    <w:p w14:paraId="2C6FF22D" w14:textId="0FBEF5CB" w:rsidR="00DC3E7B" w:rsidRPr="00AE7A83" w:rsidRDefault="00DC3E7B" w:rsidP="00AE7A83">
      <w:pPr>
        <w:pStyle w:val="paragraph"/>
        <w:numPr>
          <w:ilvl w:val="0"/>
          <w:numId w:val="8"/>
        </w:numPr>
        <w:spacing w:before="0" w:beforeAutospacing="0" w:after="0" w:afterAutospacing="0" w:line="288" w:lineRule="auto"/>
        <w:textAlignment w:val="baseline"/>
        <w:rPr>
          <w:rStyle w:val="eop"/>
          <w:rFonts w:ascii="Verdana" w:hAnsi="Verdana" w:cs="Segoe UI"/>
        </w:rPr>
      </w:pPr>
      <w:r w:rsidRPr="00AE7A83">
        <w:rPr>
          <w:rStyle w:val="normaltextrun"/>
          <w:rFonts w:ascii="Verdana" w:hAnsi="Verdana" w:cs="Segoe UI"/>
        </w:rPr>
        <w:t>Victims of modern slavery and trafficking and children can be removed under the IMA, with support for victims of trafficking being withdrawn.</w:t>
      </w:r>
      <w:r w:rsidRPr="00AE7A83">
        <w:rPr>
          <w:rStyle w:val="eop"/>
          <w:rFonts w:ascii="Verdana" w:hAnsi="Verdana" w:cs="Segoe UI"/>
        </w:rPr>
        <w:t> </w:t>
      </w:r>
    </w:p>
    <w:p w14:paraId="1D85B6EE" w14:textId="77777777" w:rsidR="009C1FF4" w:rsidRPr="00AE7A83" w:rsidRDefault="009C1FF4" w:rsidP="00AE7A83">
      <w:pPr>
        <w:pStyle w:val="paragraph"/>
        <w:spacing w:before="0" w:beforeAutospacing="0" w:after="0" w:afterAutospacing="0" w:line="288" w:lineRule="auto"/>
        <w:ind w:left="720"/>
        <w:textAlignment w:val="baseline"/>
        <w:rPr>
          <w:rStyle w:val="normaltextrun"/>
          <w:rFonts w:ascii="Verdana" w:hAnsi="Verdana" w:cs="Segoe UI"/>
        </w:rPr>
      </w:pPr>
    </w:p>
    <w:p w14:paraId="6014E768" w14:textId="3623FBF5" w:rsidR="00EE3F5A" w:rsidRPr="00AE7A83" w:rsidRDefault="00EE3F5A" w:rsidP="00AE7A83">
      <w:pPr>
        <w:pStyle w:val="paragraph"/>
        <w:numPr>
          <w:ilvl w:val="0"/>
          <w:numId w:val="2"/>
        </w:numPr>
        <w:spacing w:before="0" w:beforeAutospacing="0" w:after="0" w:afterAutospacing="0" w:line="288" w:lineRule="auto"/>
        <w:textAlignment w:val="baseline"/>
        <w:rPr>
          <w:rStyle w:val="eop"/>
          <w:rFonts w:ascii="Verdana" w:hAnsi="Verdana" w:cs="Segoe UI"/>
        </w:rPr>
      </w:pPr>
      <w:r w:rsidRPr="00AE7A83">
        <w:rPr>
          <w:rStyle w:val="normaltextrun"/>
          <w:rFonts w:ascii="Verdana" w:hAnsi="Verdana" w:cs="Segoe UI"/>
        </w:rPr>
        <w:t xml:space="preserve">A person who is served with a removal notice </w:t>
      </w:r>
      <w:r w:rsidR="0052118E" w:rsidRPr="00AE7A83">
        <w:rPr>
          <w:rStyle w:val="normaltextrun"/>
          <w:rFonts w:ascii="Verdana" w:hAnsi="Verdana" w:cs="Segoe UI"/>
        </w:rPr>
        <w:t xml:space="preserve">has limited time </w:t>
      </w:r>
      <w:r w:rsidRPr="00AE7A83">
        <w:rPr>
          <w:rStyle w:val="normaltextrun"/>
          <w:rFonts w:ascii="Verdana" w:hAnsi="Verdana" w:cs="Segoe UI"/>
        </w:rPr>
        <w:t xml:space="preserve">to challenge that decision </w:t>
      </w:r>
      <w:r w:rsidR="0052118E" w:rsidRPr="00AE7A83">
        <w:rPr>
          <w:rStyle w:val="normaltextrun"/>
          <w:rFonts w:ascii="Verdana" w:hAnsi="Verdana" w:cs="Segoe UI"/>
        </w:rPr>
        <w:t>and must</w:t>
      </w:r>
      <w:r w:rsidRPr="00AE7A83">
        <w:rPr>
          <w:rStyle w:val="normaltextrun"/>
          <w:rFonts w:ascii="Verdana" w:hAnsi="Verdana" w:cs="Segoe UI"/>
        </w:rPr>
        <w:t xml:space="preserve"> produce compelling evidence that they face a “real, imminent and foreseeable risk of serious and irreversible harm if removed” to the country specified in the removal notice.</w:t>
      </w:r>
      <w:r w:rsidRPr="00AE7A83">
        <w:rPr>
          <w:rStyle w:val="eop"/>
          <w:rFonts w:ascii="Verdana" w:hAnsi="Verdana" w:cs="Segoe UI"/>
        </w:rPr>
        <w:t> </w:t>
      </w:r>
    </w:p>
    <w:p w14:paraId="6BB48EFA" w14:textId="77777777" w:rsidR="00DC3E7B" w:rsidRPr="00AE7A83" w:rsidRDefault="00DC3E7B" w:rsidP="00AE7A83">
      <w:pPr>
        <w:pStyle w:val="paragraph"/>
        <w:spacing w:before="0" w:beforeAutospacing="0" w:after="0" w:afterAutospacing="0" w:line="288" w:lineRule="auto"/>
        <w:ind w:left="720"/>
        <w:textAlignment w:val="baseline"/>
        <w:rPr>
          <w:rStyle w:val="normaltextrun"/>
          <w:rFonts w:ascii="Verdana" w:hAnsi="Verdana" w:cs="Segoe UI"/>
        </w:rPr>
      </w:pPr>
    </w:p>
    <w:p w14:paraId="6A08FC54" w14:textId="0EEB34D6" w:rsidR="00EE3F5A" w:rsidRPr="00AE7A83" w:rsidRDefault="00EE3F5A" w:rsidP="00AE7A83">
      <w:pPr>
        <w:pStyle w:val="paragraph"/>
        <w:numPr>
          <w:ilvl w:val="0"/>
          <w:numId w:val="2"/>
        </w:numPr>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Once a person has been detained for removal, they cannot apply for bail </w:t>
      </w:r>
      <w:r w:rsidR="0052118E" w:rsidRPr="00AE7A83">
        <w:rPr>
          <w:rStyle w:val="normaltextrun"/>
          <w:rFonts w:ascii="Verdana" w:hAnsi="Verdana" w:cs="Segoe UI"/>
        </w:rPr>
        <w:t>with</w:t>
      </w:r>
      <w:r w:rsidRPr="00AE7A83">
        <w:rPr>
          <w:rStyle w:val="normaltextrun"/>
          <w:rFonts w:ascii="Verdana" w:hAnsi="Verdana" w:cs="Segoe UI"/>
        </w:rPr>
        <w:t>in the first 28 days of detention</w:t>
      </w:r>
      <w:r w:rsidR="0052118E" w:rsidRPr="00AE7A83">
        <w:rPr>
          <w:rStyle w:val="normaltextrun"/>
          <w:rFonts w:ascii="Verdana" w:hAnsi="Verdana" w:cs="Segoe UI"/>
        </w:rPr>
        <w:t>.</w:t>
      </w:r>
      <w:r w:rsidRPr="00AE7A83">
        <w:rPr>
          <w:rStyle w:val="normaltextrun"/>
          <w:rFonts w:ascii="Verdana" w:hAnsi="Verdana" w:cs="Segoe UI"/>
        </w:rPr>
        <w:t xml:space="preserve"> </w:t>
      </w:r>
      <w:r w:rsidR="0052118E" w:rsidRPr="00AE7A83">
        <w:rPr>
          <w:rStyle w:val="normaltextrun"/>
          <w:rFonts w:ascii="Verdana" w:hAnsi="Verdana" w:cs="Segoe UI"/>
        </w:rPr>
        <w:t>F</w:t>
      </w:r>
      <w:r w:rsidRPr="00AE7A83">
        <w:rPr>
          <w:rStyle w:val="normaltextrun"/>
          <w:rFonts w:ascii="Verdana" w:hAnsi="Verdana" w:cs="Segoe UI"/>
        </w:rPr>
        <w:t>or many of those who are not subsequently removed, they will be left indefinitely in legal limbo: unable to claim asylum, meaning they cannot work or have recourse to public funds.  </w:t>
      </w:r>
      <w:r w:rsidRPr="00AE7A83">
        <w:rPr>
          <w:rStyle w:val="eop"/>
          <w:rFonts w:ascii="Verdana" w:hAnsi="Verdana" w:cs="Segoe UI"/>
        </w:rPr>
        <w:t> </w:t>
      </w:r>
    </w:p>
    <w:p w14:paraId="072B304C"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rPr>
      </w:pPr>
    </w:p>
    <w:p w14:paraId="75C51EBE" w14:textId="22D85674"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The provisions challenge</w:t>
      </w:r>
      <w:r w:rsidR="00DA5B4F">
        <w:rPr>
          <w:rStyle w:val="normaltextrun"/>
          <w:rFonts w:ascii="Verdana" w:hAnsi="Verdana" w:cs="Segoe UI"/>
        </w:rPr>
        <w:t>d</w:t>
      </w:r>
      <w:r w:rsidRPr="00AE7A83">
        <w:rPr>
          <w:rStyle w:val="normaltextrun"/>
          <w:rFonts w:ascii="Verdana" w:hAnsi="Verdana" w:cs="Segoe UI"/>
        </w:rPr>
        <w:t xml:space="preserve"> stand to adversely affect thousands, if not tens of thousands, of individuals each year. The Commission believes that the IMA will unlawfully threaten their life, </w:t>
      </w:r>
      <w:proofErr w:type="gramStart"/>
      <w:r w:rsidRPr="00AE7A83">
        <w:rPr>
          <w:rStyle w:val="normaltextrun"/>
          <w:rFonts w:ascii="Verdana" w:hAnsi="Verdana" w:cs="Segoe UI"/>
        </w:rPr>
        <w:t>dignity</w:t>
      </w:r>
      <w:proofErr w:type="gramEnd"/>
      <w:r w:rsidRPr="00AE7A83">
        <w:rPr>
          <w:rStyle w:val="normaltextrun"/>
          <w:rFonts w:ascii="Verdana" w:hAnsi="Verdana" w:cs="Segoe UI"/>
        </w:rPr>
        <w:t xml:space="preserve"> and liberty.</w:t>
      </w:r>
      <w:r w:rsidRPr="00AE7A83">
        <w:rPr>
          <w:rStyle w:val="eop"/>
          <w:rFonts w:ascii="Verdana" w:hAnsi="Verdana" w:cs="Segoe UI"/>
        </w:rPr>
        <w:t> </w:t>
      </w:r>
    </w:p>
    <w:p w14:paraId="0E80B895"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b/>
          <w:bCs/>
          <w:color w:val="2B579A"/>
          <w:shd w:val="clear" w:color="auto" w:fill="E6E6E6"/>
        </w:rPr>
      </w:pPr>
    </w:p>
    <w:p w14:paraId="228664EE" w14:textId="5869D6CF" w:rsidR="00EE3F5A" w:rsidRPr="00D2238D" w:rsidRDefault="00EE3F5A" w:rsidP="00D2238D">
      <w:pPr>
        <w:pStyle w:val="Heading1"/>
        <w:rPr>
          <w:rStyle w:val="eop"/>
          <w:rFonts w:ascii="Verdana" w:hAnsi="Verdana"/>
          <w:b/>
          <w:bCs/>
          <w:color w:val="auto"/>
          <w:sz w:val="24"/>
          <w:szCs w:val="24"/>
        </w:rPr>
      </w:pPr>
      <w:r w:rsidRPr="00D2238D">
        <w:rPr>
          <w:rStyle w:val="eop"/>
          <w:rFonts w:ascii="Verdana" w:hAnsi="Verdana"/>
          <w:b/>
          <w:bCs/>
          <w:color w:val="auto"/>
          <w:sz w:val="24"/>
          <w:szCs w:val="24"/>
        </w:rPr>
        <w:t xml:space="preserve">What </w:t>
      </w:r>
      <w:r w:rsidR="0052118E" w:rsidRPr="00D2238D">
        <w:rPr>
          <w:rStyle w:val="eop"/>
          <w:rFonts w:ascii="Verdana" w:hAnsi="Verdana"/>
          <w:b/>
          <w:bCs/>
          <w:color w:val="auto"/>
          <w:sz w:val="24"/>
          <w:szCs w:val="24"/>
        </w:rPr>
        <w:t xml:space="preserve">human rights </w:t>
      </w:r>
      <w:r w:rsidR="00322EFF" w:rsidRPr="00D2238D">
        <w:rPr>
          <w:rStyle w:val="eop"/>
          <w:rFonts w:ascii="Verdana" w:hAnsi="Verdana"/>
          <w:b/>
          <w:bCs/>
          <w:color w:val="auto"/>
          <w:sz w:val="24"/>
          <w:szCs w:val="24"/>
        </w:rPr>
        <w:t>obligations</w:t>
      </w:r>
      <w:r w:rsidRPr="00D2238D">
        <w:rPr>
          <w:rStyle w:val="eop"/>
          <w:rFonts w:ascii="Verdana" w:hAnsi="Verdana"/>
          <w:b/>
          <w:bCs/>
          <w:color w:val="auto"/>
          <w:sz w:val="24"/>
          <w:szCs w:val="24"/>
        </w:rPr>
        <w:t xml:space="preserve"> does the IMA breach?</w:t>
      </w:r>
    </w:p>
    <w:p w14:paraId="18DAD3BB" w14:textId="77777777" w:rsidR="00EE3F5A" w:rsidRPr="00AE7A83" w:rsidRDefault="00EE3F5A" w:rsidP="00AE7A83">
      <w:pPr>
        <w:pStyle w:val="paragraph"/>
        <w:spacing w:before="0" w:beforeAutospacing="0" w:after="0" w:afterAutospacing="0" w:line="288" w:lineRule="auto"/>
        <w:textAlignment w:val="baseline"/>
        <w:rPr>
          <w:rStyle w:val="normaltextrun"/>
          <w:rFonts w:ascii="Verdana" w:hAnsi="Verdana" w:cs="Segoe UI"/>
        </w:rPr>
      </w:pPr>
    </w:p>
    <w:p w14:paraId="1DF97B89" w14:textId="40A4E891"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The Commission believes that the IMA is in breach of the UK’s domestic and international human rights obligations under Article 2</w:t>
      </w:r>
      <w:r w:rsidR="0052118E" w:rsidRPr="00AE7A83">
        <w:rPr>
          <w:rStyle w:val="normaltextrun"/>
          <w:rFonts w:ascii="Verdana" w:hAnsi="Verdana" w:cs="Segoe UI"/>
        </w:rPr>
        <w:t>(1)</w:t>
      </w:r>
      <w:r w:rsidRPr="00AE7A83">
        <w:rPr>
          <w:rStyle w:val="normaltextrun"/>
          <w:rFonts w:ascii="Verdana" w:hAnsi="Verdana" w:cs="Segoe UI"/>
        </w:rPr>
        <w:t xml:space="preserve"> of the Windsor Framework, 1951 Refugee Convention and the European Convention on Human Rights</w:t>
      </w:r>
      <w:r w:rsidR="00231B56" w:rsidRPr="00AE7A83">
        <w:rPr>
          <w:rStyle w:val="normaltextrun"/>
          <w:rFonts w:ascii="Verdana" w:hAnsi="Verdana" w:cs="Segoe UI"/>
        </w:rPr>
        <w:t xml:space="preserve"> (ECHR)</w:t>
      </w:r>
      <w:r w:rsidRPr="00AE7A83">
        <w:rPr>
          <w:rStyle w:val="normaltextrun"/>
          <w:rFonts w:ascii="Verdana" w:hAnsi="Verdana" w:cs="Segoe UI"/>
        </w:rPr>
        <w:t>. </w:t>
      </w:r>
      <w:r w:rsidRPr="00AE7A83">
        <w:rPr>
          <w:rStyle w:val="eop"/>
          <w:rFonts w:ascii="Verdana" w:hAnsi="Verdana" w:cs="Segoe UI"/>
        </w:rPr>
        <w:t> </w:t>
      </w:r>
    </w:p>
    <w:p w14:paraId="4B54EE6E" w14:textId="77777777" w:rsidR="00DC3E7B" w:rsidRPr="00AE7A83" w:rsidRDefault="00DC3E7B" w:rsidP="00AE7A83">
      <w:pPr>
        <w:spacing w:line="288" w:lineRule="auto"/>
        <w:rPr>
          <w:rStyle w:val="normaltextrun"/>
          <w:rFonts w:ascii="Verdana" w:hAnsi="Verdana" w:cs="Segoe UI"/>
          <w:i/>
          <w:iCs/>
          <w:sz w:val="24"/>
          <w:szCs w:val="24"/>
        </w:rPr>
      </w:pPr>
    </w:p>
    <w:p w14:paraId="0F0F62AE" w14:textId="31FCD3C5" w:rsidR="00EE3F5A" w:rsidRPr="00AE7A83" w:rsidRDefault="00EE3F5A" w:rsidP="00AE7A83">
      <w:pPr>
        <w:spacing w:line="288" w:lineRule="auto"/>
        <w:rPr>
          <w:rFonts w:ascii="Verdana" w:hAnsi="Verdana" w:cs="Segoe UI"/>
          <w:sz w:val="24"/>
          <w:szCs w:val="24"/>
        </w:rPr>
      </w:pPr>
      <w:r w:rsidRPr="00AE7A83">
        <w:rPr>
          <w:rStyle w:val="normaltextrun"/>
          <w:rFonts w:ascii="Verdana" w:hAnsi="Verdana" w:cs="Segoe UI"/>
          <w:i/>
          <w:iCs/>
          <w:sz w:val="24"/>
          <w:szCs w:val="24"/>
        </w:rPr>
        <w:t>Article 2(1) of the Windsor Framework</w:t>
      </w:r>
      <w:r w:rsidRPr="00AE7A83">
        <w:rPr>
          <w:rStyle w:val="eop"/>
          <w:rFonts w:ascii="Verdana" w:hAnsi="Verdana" w:cs="Segoe UI"/>
          <w:sz w:val="24"/>
          <w:szCs w:val="24"/>
        </w:rPr>
        <w:t> </w:t>
      </w:r>
    </w:p>
    <w:p w14:paraId="5323C638" w14:textId="77777777" w:rsidR="00FC6144" w:rsidRPr="00AE7A83" w:rsidRDefault="00FC6144" w:rsidP="00AE7A83">
      <w:pPr>
        <w:pStyle w:val="paragraph"/>
        <w:spacing w:before="0" w:beforeAutospacing="0" w:after="0" w:afterAutospacing="0" w:line="288" w:lineRule="auto"/>
        <w:textAlignment w:val="baseline"/>
        <w:rPr>
          <w:rStyle w:val="normaltextrun"/>
          <w:rFonts w:ascii="Verdana" w:hAnsi="Verdana" w:cs="Segoe UI"/>
        </w:rPr>
      </w:pPr>
    </w:p>
    <w:p w14:paraId="5C496345" w14:textId="0AAB17DE"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lastRenderedPageBreak/>
        <w:t>Article 2</w:t>
      </w:r>
      <w:r w:rsidR="0052118E" w:rsidRPr="00AE7A83">
        <w:rPr>
          <w:rStyle w:val="normaltextrun"/>
          <w:rFonts w:ascii="Verdana" w:hAnsi="Verdana" w:cs="Segoe UI"/>
        </w:rPr>
        <w:t>(1) of the Windsor Framework</w:t>
      </w:r>
      <w:r w:rsidRPr="00AE7A83">
        <w:rPr>
          <w:rStyle w:val="normaltextrun"/>
          <w:rFonts w:ascii="Verdana" w:hAnsi="Verdana" w:cs="Segoe UI"/>
        </w:rPr>
        <w:t xml:space="preserve"> is a UK Government commitment to ensure </w:t>
      </w:r>
      <w:r w:rsidR="006B1D98" w:rsidRPr="00AE7A83">
        <w:rPr>
          <w:rStyle w:val="normaltextrun"/>
          <w:rFonts w:ascii="Verdana" w:hAnsi="Verdana" w:cs="Segoe UI"/>
        </w:rPr>
        <w:t>that</w:t>
      </w:r>
      <w:r w:rsidRPr="00AE7A83">
        <w:rPr>
          <w:rStyle w:val="normaltextrun"/>
          <w:rFonts w:ascii="Verdana" w:hAnsi="Verdana" w:cs="Segoe UI"/>
        </w:rPr>
        <w:t xml:space="preserve"> no diminution of rights, </w:t>
      </w:r>
      <w:proofErr w:type="gramStart"/>
      <w:r w:rsidRPr="00AE7A83">
        <w:rPr>
          <w:rStyle w:val="normaltextrun"/>
          <w:rFonts w:ascii="Verdana" w:hAnsi="Verdana" w:cs="Segoe UI"/>
        </w:rPr>
        <w:t>safeguards</w:t>
      </w:r>
      <w:proofErr w:type="gramEnd"/>
      <w:r w:rsidRPr="00AE7A83">
        <w:rPr>
          <w:rStyle w:val="normaltextrun"/>
          <w:rFonts w:ascii="Verdana" w:hAnsi="Verdana" w:cs="Segoe UI"/>
        </w:rPr>
        <w:t xml:space="preserve"> or equality of opportunity, as set out in the relevant part of the 1998 Belfast (Good Friday) Agreement</w:t>
      </w:r>
      <w:r w:rsidR="006B1D98" w:rsidRPr="00AE7A83">
        <w:rPr>
          <w:rStyle w:val="normaltextrun"/>
          <w:rFonts w:ascii="Verdana" w:hAnsi="Verdana" w:cs="Segoe UI"/>
        </w:rPr>
        <w:t>,</w:t>
      </w:r>
      <w:r w:rsidRPr="00AE7A83">
        <w:rPr>
          <w:rStyle w:val="normaltextrun"/>
          <w:rFonts w:ascii="Verdana" w:hAnsi="Verdana" w:cs="Segoe UI"/>
        </w:rPr>
        <w:t xml:space="preserve"> results from the UK’s withdrawal from the European Union. The relevant chapter is broadly drawn and opens with a commitment to protect ‘the civil rights and religious liberties of everyone in the community’.</w:t>
      </w:r>
      <w:r w:rsidRPr="00AE7A83">
        <w:rPr>
          <w:rStyle w:val="eop"/>
          <w:rFonts w:ascii="Verdana" w:hAnsi="Verdana" w:cs="Segoe UI"/>
        </w:rPr>
        <w:t> </w:t>
      </w:r>
      <w:r w:rsidR="00BE2B2E">
        <w:rPr>
          <w:rStyle w:val="normaltextrun"/>
          <w:rFonts w:ascii="Verdana" w:hAnsi="Verdana" w:cs="Segoe UI"/>
        </w:rPr>
        <w:t xml:space="preserve">Article 2 means that </w:t>
      </w:r>
      <w:r w:rsidR="000B3662">
        <w:rPr>
          <w:rStyle w:val="normaltextrun"/>
          <w:rFonts w:ascii="Verdana" w:hAnsi="Verdana" w:cs="Segoe UI"/>
        </w:rPr>
        <w:t>in relation to the</w:t>
      </w:r>
      <w:r w:rsidR="00011BEF">
        <w:rPr>
          <w:rStyle w:val="normaltextrun"/>
          <w:rFonts w:ascii="Verdana" w:hAnsi="Verdana" w:cs="Segoe UI"/>
        </w:rPr>
        <w:t xml:space="preserve">se </w:t>
      </w:r>
      <w:r w:rsidR="000B3662">
        <w:rPr>
          <w:rStyle w:val="normaltextrun"/>
          <w:rFonts w:ascii="Verdana" w:hAnsi="Verdana" w:cs="Segoe UI"/>
        </w:rPr>
        <w:t xml:space="preserve">rights, </w:t>
      </w:r>
      <w:r w:rsidR="00BE2B2E">
        <w:rPr>
          <w:rStyle w:val="normaltextrun"/>
          <w:rFonts w:ascii="Verdana" w:hAnsi="Verdana" w:cs="Segoe UI"/>
        </w:rPr>
        <w:t xml:space="preserve">EU measures to which the UK had signed up </w:t>
      </w:r>
      <w:r w:rsidR="008D6BBF">
        <w:rPr>
          <w:rStyle w:val="normaltextrun"/>
          <w:rFonts w:ascii="Verdana" w:hAnsi="Verdana" w:cs="Segoe UI"/>
        </w:rPr>
        <w:t xml:space="preserve">to </w:t>
      </w:r>
      <w:r w:rsidR="00BE2B2E">
        <w:rPr>
          <w:rStyle w:val="normaltextrun"/>
          <w:rFonts w:ascii="Verdana" w:hAnsi="Verdana" w:cs="Segoe UI"/>
        </w:rPr>
        <w:t>before Brexit, continue to set minimum standards in NI law.</w:t>
      </w:r>
    </w:p>
    <w:p w14:paraId="06723D27"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67A0AC53" w14:textId="3D0D6DBF" w:rsidR="00EE3F5A" w:rsidRPr="00AE7A83" w:rsidRDefault="00B07E77" w:rsidP="00AE7A83">
      <w:pPr>
        <w:pStyle w:val="paragraph"/>
        <w:spacing w:before="0" w:beforeAutospacing="0" w:after="0" w:afterAutospacing="0" w:line="288" w:lineRule="auto"/>
        <w:textAlignment w:val="baseline"/>
        <w:rPr>
          <w:rFonts w:ascii="Verdana" w:hAnsi="Verdana" w:cs="Segoe UI"/>
        </w:rPr>
      </w:pPr>
      <w:r>
        <w:rPr>
          <w:rStyle w:val="normaltextrun"/>
          <w:rFonts w:ascii="Verdana" w:hAnsi="Verdana" w:cs="Segoe UI"/>
        </w:rPr>
        <w:t>As regards the I</w:t>
      </w:r>
      <w:r w:rsidR="00D2238D">
        <w:rPr>
          <w:rStyle w:val="normaltextrun"/>
          <w:rFonts w:ascii="Verdana" w:hAnsi="Verdana" w:cs="Segoe UI"/>
        </w:rPr>
        <w:t>MA</w:t>
      </w:r>
      <w:r>
        <w:rPr>
          <w:rStyle w:val="normaltextrun"/>
          <w:rFonts w:ascii="Verdana" w:hAnsi="Verdana" w:cs="Segoe UI"/>
        </w:rPr>
        <w:t>, t</w:t>
      </w:r>
      <w:r w:rsidR="00EE3F5A" w:rsidRPr="00AE7A83">
        <w:rPr>
          <w:rStyle w:val="normaltextrun"/>
          <w:rFonts w:ascii="Verdana" w:hAnsi="Verdana" w:cs="Segoe UI"/>
        </w:rPr>
        <w:t>he Commission considers the relevant EU law</w:t>
      </w:r>
      <w:r w:rsidR="00ED1D34">
        <w:rPr>
          <w:rStyle w:val="FootnoteReference"/>
          <w:rFonts w:ascii="Verdana" w:hAnsi="Verdana" w:cs="Segoe UI"/>
        </w:rPr>
        <w:footnoteReference w:id="1"/>
      </w:r>
      <w:r w:rsidR="00EE3F5A" w:rsidRPr="00AE7A83">
        <w:rPr>
          <w:rStyle w:val="normaltextrun"/>
          <w:rFonts w:ascii="Verdana" w:hAnsi="Verdana" w:cs="Segoe UI"/>
        </w:rPr>
        <w:t xml:space="preserve"> to be:</w:t>
      </w:r>
      <w:r w:rsidR="00EE3F5A" w:rsidRPr="00AE7A83">
        <w:rPr>
          <w:rStyle w:val="eop"/>
          <w:rFonts w:ascii="Verdana" w:hAnsi="Verdana" w:cs="Segoe UI"/>
        </w:rPr>
        <w:t> </w:t>
      </w:r>
    </w:p>
    <w:p w14:paraId="19FFDDF9" w14:textId="77777777" w:rsidR="00EE3F5A" w:rsidRPr="00AE7A83" w:rsidRDefault="00160C12" w:rsidP="00AE7A83">
      <w:pPr>
        <w:pStyle w:val="paragraph"/>
        <w:numPr>
          <w:ilvl w:val="0"/>
          <w:numId w:val="1"/>
        </w:numPr>
        <w:spacing w:before="0" w:beforeAutospacing="0" w:after="0" w:afterAutospacing="0" w:line="288" w:lineRule="auto"/>
        <w:ind w:left="1080" w:firstLine="0"/>
        <w:textAlignment w:val="baseline"/>
        <w:rPr>
          <w:rFonts w:ascii="Verdana" w:hAnsi="Verdana" w:cs="Segoe UI"/>
        </w:rPr>
      </w:pPr>
      <w:hyperlink r:id="rId9" w:tgtFrame="_blank" w:history="1">
        <w:r w:rsidR="00EE3F5A" w:rsidRPr="00AE7A83">
          <w:rPr>
            <w:rStyle w:val="normaltextrun"/>
            <w:rFonts w:ascii="Verdana" w:hAnsi="Verdana" w:cs="Segoe UI"/>
            <w:color w:val="0563C1"/>
            <w:u w:val="single"/>
          </w:rPr>
          <w:t>The 2005 Procedures Directive</w:t>
        </w:r>
      </w:hyperlink>
      <w:r w:rsidR="00EE3F5A" w:rsidRPr="00AE7A83">
        <w:rPr>
          <w:rStyle w:val="normaltextrun"/>
          <w:rFonts w:ascii="Verdana" w:hAnsi="Verdana" w:cs="Segoe UI"/>
        </w:rPr>
        <w:t xml:space="preserve"> which provides for minimum standards for granting and withdrawing refugee </w:t>
      </w:r>
      <w:proofErr w:type="gramStart"/>
      <w:r w:rsidR="00EE3F5A" w:rsidRPr="00AE7A83">
        <w:rPr>
          <w:rStyle w:val="normaltextrun"/>
          <w:rFonts w:ascii="Verdana" w:hAnsi="Verdana" w:cs="Segoe UI"/>
        </w:rPr>
        <w:t>status;</w:t>
      </w:r>
      <w:proofErr w:type="gramEnd"/>
      <w:r w:rsidR="00EE3F5A" w:rsidRPr="00AE7A83">
        <w:rPr>
          <w:rStyle w:val="eop"/>
          <w:rFonts w:ascii="Verdana" w:hAnsi="Verdana" w:cs="Segoe UI"/>
        </w:rPr>
        <w:t> </w:t>
      </w:r>
    </w:p>
    <w:p w14:paraId="07F34991" w14:textId="77777777" w:rsidR="00EE3F5A" w:rsidRPr="00AE7A83" w:rsidRDefault="00160C12" w:rsidP="00AE7A83">
      <w:pPr>
        <w:pStyle w:val="paragraph"/>
        <w:numPr>
          <w:ilvl w:val="0"/>
          <w:numId w:val="1"/>
        </w:numPr>
        <w:spacing w:before="0" w:beforeAutospacing="0" w:after="0" w:afterAutospacing="0" w:line="288" w:lineRule="auto"/>
        <w:ind w:left="1080" w:firstLine="0"/>
        <w:textAlignment w:val="baseline"/>
        <w:rPr>
          <w:rFonts w:ascii="Verdana" w:hAnsi="Verdana" w:cs="Segoe UI"/>
        </w:rPr>
      </w:pPr>
      <w:hyperlink r:id="rId10" w:tgtFrame="_blank" w:history="1">
        <w:r w:rsidR="00EE3F5A" w:rsidRPr="00AE7A83">
          <w:rPr>
            <w:rStyle w:val="normaltextrun"/>
            <w:rFonts w:ascii="Verdana" w:hAnsi="Verdana" w:cs="Segoe UI"/>
            <w:color w:val="0563C1"/>
            <w:u w:val="single"/>
          </w:rPr>
          <w:t>The 2004 Qualification Directive</w:t>
        </w:r>
      </w:hyperlink>
      <w:r w:rsidR="00EE3F5A" w:rsidRPr="00AE7A83">
        <w:rPr>
          <w:rStyle w:val="normaltextrun"/>
          <w:rFonts w:ascii="Verdana" w:hAnsi="Verdana" w:cs="Segoe UI"/>
        </w:rPr>
        <w:t xml:space="preserve"> which sets common criteria to identify genuine people in need of international protection and the content of that </w:t>
      </w:r>
      <w:proofErr w:type="gramStart"/>
      <w:r w:rsidR="00EE3F5A" w:rsidRPr="00AE7A83">
        <w:rPr>
          <w:rStyle w:val="normaltextrun"/>
          <w:rFonts w:ascii="Verdana" w:hAnsi="Verdana" w:cs="Segoe UI"/>
        </w:rPr>
        <w:t>protection;</w:t>
      </w:r>
      <w:proofErr w:type="gramEnd"/>
      <w:r w:rsidR="00EE3F5A" w:rsidRPr="00AE7A83">
        <w:rPr>
          <w:rStyle w:val="eop"/>
          <w:rFonts w:ascii="Verdana" w:hAnsi="Verdana" w:cs="Segoe UI"/>
        </w:rPr>
        <w:t> </w:t>
      </w:r>
    </w:p>
    <w:p w14:paraId="1B59E451" w14:textId="77777777" w:rsidR="00EE3F5A" w:rsidRPr="00AE7A83" w:rsidRDefault="00EE3F5A" w:rsidP="00AE7A83">
      <w:pPr>
        <w:pStyle w:val="paragraph"/>
        <w:numPr>
          <w:ilvl w:val="0"/>
          <w:numId w:val="1"/>
        </w:numPr>
        <w:spacing w:before="0" w:beforeAutospacing="0" w:after="0" w:afterAutospacing="0" w:line="288" w:lineRule="auto"/>
        <w:ind w:left="1080" w:firstLine="0"/>
        <w:textAlignment w:val="baseline"/>
        <w:rPr>
          <w:rFonts w:ascii="Verdana" w:hAnsi="Verdana" w:cs="Segoe UI"/>
        </w:rPr>
      </w:pPr>
      <w:r w:rsidRPr="00AE7A83">
        <w:rPr>
          <w:rStyle w:val="normaltextrun"/>
          <w:rFonts w:ascii="Verdana" w:hAnsi="Verdana" w:cs="Segoe UI"/>
        </w:rPr>
        <w:t xml:space="preserve">The </w:t>
      </w:r>
      <w:hyperlink r:id="rId11" w:tgtFrame="_blank" w:history="1">
        <w:r w:rsidRPr="00AE7A83">
          <w:rPr>
            <w:rStyle w:val="normaltextrun"/>
            <w:rFonts w:ascii="Verdana" w:hAnsi="Verdana" w:cs="Segoe UI"/>
            <w:color w:val="0563C1"/>
            <w:u w:val="single"/>
          </w:rPr>
          <w:t>2011 Trafficking Directive</w:t>
        </w:r>
      </w:hyperlink>
      <w:r w:rsidRPr="00AE7A83">
        <w:rPr>
          <w:rStyle w:val="normaltextrun"/>
          <w:rFonts w:ascii="Verdana" w:hAnsi="Verdana" w:cs="Segoe UI"/>
        </w:rPr>
        <w:t xml:space="preserve"> which sets out minimum standards throughout the EU in preventing and combating trafficking in human beings and protecting victims. </w:t>
      </w:r>
      <w:r w:rsidRPr="00AE7A83">
        <w:rPr>
          <w:rStyle w:val="eop"/>
          <w:rFonts w:ascii="Verdana" w:hAnsi="Verdana" w:cs="Segoe UI"/>
        </w:rPr>
        <w:t> </w:t>
      </w:r>
    </w:p>
    <w:p w14:paraId="6298CA72"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1A9B5B25"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The Commission has identified a series of provisions in the IMA that fall short of the minimum standards required by these Directives. Had the UK remained in the EU, such reductions in rights would have been unlawful. Therefore, this constitutes a diminution in rights, contrary to Windsor Framework Article 2. </w:t>
      </w:r>
      <w:r w:rsidRPr="00AE7A83">
        <w:rPr>
          <w:rStyle w:val="eop"/>
          <w:rFonts w:ascii="Verdana" w:hAnsi="Verdana" w:cs="Segoe UI"/>
        </w:rPr>
        <w:t> </w:t>
      </w:r>
    </w:p>
    <w:p w14:paraId="73964BE6" w14:textId="77777777" w:rsidR="00333BE3" w:rsidRPr="00AE7A83" w:rsidRDefault="00333BE3" w:rsidP="00AE7A83">
      <w:pPr>
        <w:pStyle w:val="paragraph"/>
        <w:spacing w:before="0" w:beforeAutospacing="0" w:after="0" w:afterAutospacing="0" w:line="288" w:lineRule="auto"/>
        <w:textAlignment w:val="baseline"/>
        <w:rPr>
          <w:rStyle w:val="eop"/>
          <w:rFonts w:ascii="Verdana" w:hAnsi="Verdana" w:cs="Segoe UI"/>
        </w:rPr>
      </w:pPr>
    </w:p>
    <w:p w14:paraId="6D53B477" w14:textId="3776E2F2" w:rsidR="00333BE3" w:rsidRPr="00AE7A83" w:rsidRDefault="00333BE3" w:rsidP="00AE7A83">
      <w:pPr>
        <w:pStyle w:val="paragraph"/>
        <w:spacing w:before="0" w:beforeAutospacing="0" w:after="0" w:afterAutospacing="0" w:line="288" w:lineRule="auto"/>
        <w:textAlignment w:val="baseline"/>
        <w:rPr>
          <w:rStyle w:val="eop"/>
          <w:rFonts w:ascii="Verdana" w:hAnsi="Verdana"/>
          <w:color w:val="000000"/>
        </w:rPr>
      </w:pPr>
      <w:r w:rsidRPr="00AE7A83">
        <w:rPr>
          <w:rStyle w:val="normaltextrun"/>
          <w:rFonts w:ascii="Verdana" w:hAnsi="Verdana"/>
          <w:color w:val="000000"/>
          <w:shd w:val="clear" w:color="auto" w:fill="FFFFFF"/>
        </w:rPr>
        <w:t xml:space="preserve">For example, S. 2(1), s. 5(1) and s.6 IMA </w:t>
      </w:r>
      <w:r w:rsidR="00995CC2">
        <w:rPr>
          <w:rStyle w:val="normaltextrun"/>
          <w:rFonts w:ascii="Verdana" w:hAnsi="Verdana"/>
          <w:color w:val="000000"/>
          <w:shd w:val="clear" w:color="auto" w:fill="FFFFFF"/>
        </w:rPr>
        <w:t xml:space="preserve">which </w:t>
      </w:r>
      <w:r w:rsidRPr="00AE7A83">
        <w:rPr>
          <w:rStyle w:val="normaltextrun"/>
          <w:rFonts w:ascii="Verdana" w:hAnsi="Verdana"/>
          <w:color w:val="000000"/>
          <w:shd w:val="clear" w:color="auto" w:fill="FFFFFF"/>
        </w:rPr>
        <w:t>require removal in specified cases even if a protection or human rights claim has been made, appear incompatible with Article 7(1) of the Procedures Directive which requires that a person may remain in the UK until an asylum claim has been properly determined. </w:t>
      </w:r>
      <w:r w:rsidRPr="00AE7A83">
        <w:rPr>
          <w:rStyle w:val="eop"/>
          <w:rFonts w:ascii="Verdana" w:hAnsi="Verdana"/>
          <w:color w:val="000000"/>
        </w:rPr>
        <w:t> </w:t>
      </w:r>
    </w:p>
    <w:p w14:paraId="55046B37" w14:textId="4CE7A28C"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707ADBFB" w14:textId="5AE92C71"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Under UK law</w:t>
      </w:r>
      <w:r w:rsidR="00FC6144" w:rsidRPr="00AE7A83">
        <w:rPr>
          <w:rStyle w:val="FootnoteReference"/>
          <w:rFonts w:ascii="Verdana" w:hAnsi="Verdana" w:cs="Segoe UI"/>
        </w:rPr>
        <w:footnoteReference w:id="2"/>
      </w:r>
      <w:r w:rsidRPr="00AE7A83">
        <w:rPr>
          <w:rStyle w:val="normaltextrun"/>
          <w:rFonts w:ascii="Verdana" w:hAnsi="Verdana" w:cs="Segoe UI"/>
        </w:rPr>
        <w:t xml:space="preserve"> flowing from Withdrawal Agreement Article 4, the provisions of the treaty, including the Windsor Framework, continue to </w:t>
      </w:r>
      <w:r w:rsidRPr="00AE7A83">
        <w:rPr>
          <w:rStyle w:val="normaltextrun"/>
          <w:rFonts w:ascii="Verdana" w:hAnsi="Verdana" w:cs="Segoe UI"/>
        </w:rPr>
        <w:lastRenderedPageBreak/>
        <w:t>have ‘supremacy’ and incompatible domestic legislation can be disapplied with respect to Northern Ireland.</w:t>
      </w:r>
      <w:r w:rsidRPr="00AE7A83">
        <w:rPr>
          <w:rStyle w:val="eop"/>
          <w:rFonts w:ascii="Verdana" w:hAnsi="Verdana" w:cs="Segoe UI"/>
        </w:rPr>
        <w:t> </w:t>
      </w:r>
    </w:p>
    <w:p w14:paraId="34561097"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5505DBA5" w14:textId="0E1C4878" w:rsidR="00FC6144" w:rsidRPr="00AE7A83" w:rsidRDefault="00FC6144" w:rsidP="00AE7A83">
      <w:pPr>
        <w:pStyle w:val="paragraph"/>
        <w:spacing w:before="0" w:beforeAutospacing="0" w:after="0" w:afterAutospacing="0" w:line="288" w:lineRule="auto"/>
        <w:textAlignment w:val="baseline"/>
        <w:rPr>
          <w:rStyle w:val="normaltextrun"/>
          <w:rFonts w:ascii="Verdana" w:hAnsi="Verdana" w:cs="Segoe UI"/>
          <w:i/>
          <w:iCs/>
        </w:rPr>
      </w:pPr>
      <w:r w:rsidRPr="00AE7A83">
        <w:rPr>
          <w:rStyle w:val="normaltextrun"/>
          <w:rFonts w:ascii="Verdana" w:hAnsi="Verdana" w:cs="Segoe UI"/>
          <w:i/>
          <w:iCs/>
        </w:rPr>
        <w:t>European Convention on Human Rights</w:t>
      </w:r>
    </w:p>
    <w:p w14:paraId="32D604D4" w14:textId="77777777" w:rsidR="00FC6144" w:rsidRPr="00AE7A83" w:rsidRDefault="00FC6144" w:rsidP="00AE7A83">
      <w:pPr>
        <w:pStyle w:val="paragraph"/>
        <w:spacing w:before="0" w:beforeAutospacing="0" w:after="0" w:afterAutospacing="0" w:line="288" w:lineRule="auto"/>
        <w:textAlignment w:val="baseline"/>
        <w:rPr>
          <w:rStyle w:val="normaltextrun"/>
          <w:rFonts w:ascii="Verdana" w:hAnsi="Verdana" w:cs="Segoe UI"/>
        </w:rPr>
      </w:pPr>
    </w:p>
    <w:p w14:paraId="4914082B" w14:textId="0D3A2EE9"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Article 3 ECHR is an absolute right which prohibits torture, inhuman and degrading treatment. The Commission argue</w:t>
      </w:r>
      <w:r w:rsidR="0052118E" w:rsidRPr="00AE7A83">
        <w:rPr>
          <w:rStyle w:val="normaltextrun"/>
          <w:rFonts w:ascii="Verdana" w:hAnsi="Verdana" w:cs="Segoe UI"/>
        </w:rPr>
        <w:t>s</w:t>
      </w:r>
      <w:r w:rsidRPr="00AE7A83">
        <w:rPr>
          <w:rStyle w:val="normaltextrun"/>
          <w:rFonts w:ascii="Verdana" w:hAnsi="Verdana" w:cs="Segoe UI"/>
        </w:rPr>
        <w:t xml:space="preserve"> that the mechanism for a suspensive claim</w:t>
      </w:r>
      <w:r w:rsidR="00336F23" w:rsidRPr="00AE7A83">
        <w:rPr>
          <w:rStyle w:val="normaltextrun"/>
          <w:rFonts w:ascii="Verdana" w:hAnsi="Verdana" w:cs="Segoe UI"/>
        </w:rPr>
        <w:t xml:space="preserve"> under the IMA</w:t>
      </w:r>
      <w:r w:rsidRPr="00AE7A83">
        <w:rPr>
          <w:rStyle w:val="normaltextrun"/>
          <w:rFonts w:ascii="Verdana" w:hAnsi="Verdana" w:cs="Segoe UI"/>
        </w:rPr>
        <w:t xml:space="preserve"> does not satisfy the Article 3 duty to conduct </w:t>
      </w:r>
      <w:r w:rsidR="00336F23" w:rsidRPr="00AE7A83">
        <w:rPr>
          <w:rStyle w:val="normaltextrun"/>
          <w:rFonts w:ascii="Verdana" w:hAnsi="Verdana" w:cs="Segoe UI"/>
        </w:rPr>
        <w:t>an</w:t>
      </w:r>
      <w:r w:rsidRPr="00AE7A83">
        <w:rPr>
          <w:rStyle w:val="normaltextrun"/>
          <w:rFonts w:ascii="Verdana" w:hAnsi="Verdana" w:cs="Segoe UI"/>
        </w:rPr>
        <w:t xml:space="preserve"> individual assessment</w:t>
      </w:r>
      <w:r w:rsidR="00336F23" w:rsidRPr="00AE7A83">
        <w:rPr>
          <w:rStyle w:val="normaltextrun"/>
          <w:rFonts w:ascii="Verdana" w:hAnsi="Verdana" w:cs="Segoe UI"/>
        </w:rPr>
        <w:t xml:space="preserve"> prior to</w:t>
      </w:r>
      <w:r w:rsidRPr="00AE7A83">
        <w:rPr>
          <w:rStyle w:val="normaltextrun"/>
          <w:rFonts w:ascii="Verdana" w:hAnsi="Verdana" w:cs="Segoe UI"/>
        </w:rPr>
        <w:t xml:space="preserve"> removal. Where a suspensive claim is unsuccessful, the person in question would face a real risk of a breach of Article 3 (or of Article 2, the right to life, in certain cases) in the country they are removed to. </w:t>
      </w:r>
      <w:r w:rsidRPr="00AE7A83">
        <w:rPr>
          <w:rStyle w:val="eop"/>
          <w:rFonts w:ascii="Verdana" w:hAnsi="Verdana" w:cs="Segoe UI"/>
        </w:rPr>
        <w:t> </w:t>
      </w:r>
    </w:p>
    <w:p w14:paraId="208A364F"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7152429F" w14:textId="543500E0"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Article 4 </w:t>
      </w:r>
      <w:r w:rsidR="00336F23" w:rsidRPr="00AE7A83">
        <w:rPr>
          <w:rStyle w:val="normaltextrun"/>
          <w:rFonts w:ascii="Verdana" w:hAnsi="Verdana" w:cs="Segoe UI"/>
        </w:rPr>
        <w:t xml:space="preserve">ECHR </w:t>
      </w:r>
      <w:r w:rsidRPr="00AE7A83">
        <w:rPr>
          <w:rStyle w:val="normaltextrun"/>
          <w:rFonts w:ascii="Verdana" w:hAnsi="Verdana" w:cs="Segoe UI"/>
        </w:rPr>
        <w:t>is an absolute right which prohibits slavery and forced labour. The Commission argue</w:t>
      </w:r>
      <w:r w:rsidR="00336F23" w:rsidRPr="00AE7A83">
        <w:rPr>
          <w:rStyle w:val="normaltextrun"/>
          <w:rFonts w:ascii="Verdana" w:hAnsi="Verdana" w:cs="Segoe UI"/>
        </w:rPr>
        <w:t>s</w:t>
      </w:r>
      <w:r w:rsidRPr="00AE7A83">
        <w:rPr>
          <w:rStyle w:val="normaltextrun"/>
          <w:rFonts w:ascii="Verdana" w:hAnsi="Verdana" w:cs="Segoe UI"/>
        </w:rPr>
        <w:t xml:space="preserve"> that, where there is a credible suspicion of trafficking, </w:t>
      </w:r>
      <w:r w:rsidR="00336F23" w:rsidRPr="00AE7A83">
        <w:rPr>
          <w:rStyle w:val="normaltextrun"/>
          <w:rFonts w:ascii="Verdana" w:hAnsi="Verdana" w:cs="Segoe UI"/>
        </w:rPr>
        <w:t xml:space="preserve">removing that individual before </w:t>
      </w:r>
      <w:r w:rsidRPr="00AE7A83">
        <w:rPr>
          <w:rStyle w:val="normaltextrun"/>
          <w:rFonts w:ascii="Verdana" w:hAnsi="Verdana" w:cs="Segoe UI"/>
        </w:rPr>
        <w:t xml:space="preserve">a conclusive </w:t>
      </w:r>
      <w:proofErr w:type="gramStart"/>
      <w:r w:rsidRPr="00AE7A83">
        <w:rPr>
          <w:rStyle w:val="normaltextrun"/>
          <w:rFonts w:ascii="Verdana" w:hAnsi="Verdana" w:cs="Segoe UI"/>
        </w:rPr>
        <w:t>grounds</w:t>
      </w:r>
      <w:proofErr w:type="gramEnd"/>
      <w:r w:rsidRPr="00AE7A83">
        <w:rPr>
          <w:rStyle w:val="normaltextrun"/>
          <w:rFonts w:ascii="Verdana" w:hAnsi="Verdana" w:cs="Segoe UI"/>
        </w:rPr>
        <w:t xml:space="preserve"> decision or </w:t>
      </w:r>
      <w:r w:rsidR="00336F23" w:rsidRPr="00AE7A83">
        <w:rPr>
          <w:rStyle w:val="normaltextrun"/>
          <w:rFonts w:ascii="Verdana" w:hAnsi="Verdana" w:cs="Segoe UI"/>
        </w:rPr>
        <w:t>a</w:t>
      </w:r>
      <w:r w:rsidRPr="00AE7A83">
        <w:rPr>
          <w:rStyle w:val="normaltextrun"/>
          <w:rFonts w:ascii="Verdana" w:hAnsi="Verdana" w:cs="Segoe UI"/>
        </w:rPr>
        <w:t xml:space="preserve"> determination of any asylum/protection claim based on the person’s fear of being re-trafficked is a breach of Article 4</w:t>
      </w:r>
      <w:r w:rsidR="00336F23" w:rsidRPr="00AE7A83">
        <w:rPr>
          <w:rStyle w:val="normaltextrun"/>
          <w:rFonts w:ascii="Verdana" w:hAnsi="Verdana" w:cs="Segoe UI"/>
        </w:rPr>
        <w:t>.</w:t>
      </w:r>
    </w:p>
    <w:p w14:paraId="7BD2CA5D"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60AA54AF" w14:textId="3AFF15EA"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Article 5 </w:t>
      </w:r>
      <w:r w:rsidR="00336F23" w:rsidRPr="00AE7A83">
        <w:rPr>
          <w:rStyle w:val="normaltextrun"/>
          <w:rFonts w:ascii="Verdana" w:hAnsi="Verdana" w:cs="Segoe UI"/>
        </w:rPr>
        <w:t xml:space="preserve">ECHR </w:t>
      </w:r>
      <w:r w:rsidRPr="00AE7A83">
        <w:rPr>
          <w:rStyle w:val="normaltextrun"/>
          <w:rFonts w:ascii="Verdana" w:hAnsi="Verdana" w:cs="Segoe UI"/>
        </w:rPr>
        <w:t xml:space="preserve">is a limited right which protects the right to liberty and security. The Commission </w:t>
      </w:r>
      <w:r w:rsidR="00782C9C" w:rsidRPr="00AE7A83">
        <w:rPr>
          <w:rStyle w:val="normaltextrun"/>
          <w:rFonts w:ascii="Verdana" w:hAnsi="Verdana" w:cs="Segoe UI"/>
        </w:rPr>
        <w:t>believes</w:t>
      </w:r>
      <w:r w:rsidRPr="00AE7A83">
        <w:rPr>
          <w:rStyle w:val="normaltextrun"/>
          <w:rFonts w:ascii="Verdana" w:hAnsi="Verdana" w:cs="Segoe UI"/>
        </w:rPr>
        <w:t xml:space="preserve"> that the prohibition on a Court from determining</w:t>
      </w:r>
      <w:r w:rsidR="00336F23" w:rsidRPr="00AE7A83">
        <w:rPr>
          <w:rStyle w:val="normaltextrun"/>
          <w:rFonts w:ascii="Verdana" w:hAnsi="Verdana" w:cs="Segoe UI"/>
        </w:rPr>
        <w:t xml:space="preserve"> the lawfulness of detention</w:t>
      </w:r>
      <w:r w:rsidRPr="00AE7A83">
        <w:rPr>
          <w:rStyle w:val="normaltextrun"/>
          <w:rFonts w:ascii="Verdana" w:hAnsi="Verdana" w:cs="Segoe UI"/>
        </w:rPr>
        <w:t xml:space="preserve"> in the first 28 days of detention is in breach of Article 5.</w:t>
      </w:r>
      <w:r w:rsidRPr="00AE7A83">
        <w:rPr>
          <w:rStyle w:val="eop"/>
          <w:rFonts w:ascii="Verdana" w:hAnsi="Verdana" w:cs="Segoe UI"/>
        </w:rPr>
        <w:t> </w:t>
      </w:r>
    </w:p>
    <w:p w14:paraId="017FA401"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18C37975" w14:textId="2E9ED650"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normaltextrun"/>
          <w:rFonts w:ascii="Verdana" w:hAnsi="Verdana" w:cs="Segoe UI"/>
        </w:rPr>
        <w:t xml:space="preserve">Article 8 </w:t>
      </w:r>
      <w:r w:rsidR="00336F23" w:rsidRPr="00AE7A83">
        <w:rPr>
          <w:rStyle w:val="normaltextrun"/>
          <w:rFonts w:ascii="Verdana" w:hAnsi="Verdana" w:cs="Segoe UI"/>
        </w:rPr>
        <w:t xml:space="preserve">ECHR </w:t>
      </w:r>
      <w:r w:rsidRPr="00AE7A83">
        <w:rPr>
          <w:rStyle w:val="normaltextrun"/>
          <w:rFonts w:ascii="Verdana" w:hAnsi="Verdana" w:cs="Segoe UI"/>
        </w:rPr>
        <w:t>is a qualified right which protects the right to private and family life. The Commission will argue that removal of a child will, in defined cases engage, the child’s rights under Article 8, for example, when the child has close family in the UK. In such cases, the authorities must treat the child’s best interests as a primary consideration in all actions concerning the child, in accordance with Article 3</w:t>
      </w:r>
      <w:r w:rsidR="00336F23" w:rsidRPr="00AE7A83">
        <w:rPr>
          <w:rStyle w:val="normaltextrun"/>
          <w:rFonts w:ascii="Verdana" w:hAnsi="Verdana" w:cs="Segoe UI"/>
        </w:rPr>
        <w:t>(</w:t>
      </w:r>
      <w:r w:rsidRPr="00AE7A83">
        <w:rPr>
          <w:rStyle w:val="normaltextrun"/>
          <w:rFonts w:ascii="Verdana" w:hAnsi="Verdana" w:cs="Segoe UI"/>
        </w:rPr>
        <w:t>1</w:t>
      </w:r>
      <w:r w:rsidR="00336F23" w:rsidRPr="00AE7A83">
        <w:rPr>
          <w:rStyle w:val="normaltextrun"/>
          <w:rFonts w:ascii="Verdana" w:hAnsi="Verdana" w:cs="Segoe UI"/>
        </w:rPr>
        <w:t>)</w:t>
      </w:r>
      <w:r w:rsidRPr="00AE7A83">
        <w:rPr>
          <w:rStyle w:val="normaltextrun"/>
          <w:rFonts w:ascii="Verdana" w:hAnsi="Verdana" w:cs="Segoe UI"/>
        </w:rPr>
        <w:t xml:space="preserve"> of the UN Convention on the Rights of the Child.</w:t>
      </w:r>
      <w:r w:rsidRPr="00AE7A83">
        <w:rPr>
          <w:rStyle w:val="eop"/>
          <w:rFonts w:ascii="Verdana" w:hAnsi="Verdana" w:cs="Segoe UI"/>
        </w:rPr>
        <w:t> </w:t>
      </w:r>
    </w:p>
    <w:p w14:paraId="1E172EBC"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1DAC6955" w14:textId="55CAF8F5" w:rsidR="0052118E" w:rsidRPr="00D2238D" w:rsidRDefault="0052118E" w:rsidP="00D2238D">
      <w:pPr>
        <w:pStyle w:val="Heading1"/>
        <w:rPr>
          <w:rStyle w:val="eop"/>
          <w:color w:val="auto"/>
        </w:rPr>
      </w:pPr>
      <w:r w:rsidRPr="00D2238D">
        <w:rPr>
          <w:rStyle w:val="eop"/>
          <w:rFonts w:ascii="Verdana" w:hAnsi="Verdana"/>
          <w:b/>
          <w:bCs/>
          <w:color w:val="auto"/>
          <w:sz w:val="24"/>
          <w:szCs w:val="24"/>
        </w:rPr>
        <w:t>What powers does the NIHRC have?</w:t>
      </w:r>
    </w:p>
    <w:p w14:paraId="7A51B113" w14:textId="77777777" w:rsidR="0052118E" w:rsidRPr="00AE7A83" w:rsidRDefault="0052118E" w:rsidP="00AE7A83">
      <w:pPr>
        <w:pStyle w:val="paragraph"/>
        <w:spacing w:before="0" w:beforeAutospacing="0" w:after="0" w:afterAutospacing="0" w:line="288" w:lineRule="auto"/>
        <w:textAlignment w:val="baseline"/>
        <w:rPr>
          <w:rStyle w:val="normaltextrun"/>
          <w:rFonts w:ascii="Verdana" w:hAnsi="Verdana" w:cs="Segoe UI"/>
          <w:b/>
          <w:bCs/>
          <w:color w:val="2B579A"/>
          <w:shd w:val="clear" w:color="auto" w:fill="E6E6E6"/>
        </w:rPr>
      </w:pPr>
    </w:p>
    <w:p w14:paraId="2B0325E2" w14:textId="77777777" w:rsidR="0052118E" w:rsidRPr="00AE7A83" w:rsidRDefault="0052118E" w:rsidP="00AE7A83">
      <w:pPr>
        <w:spacing w:line="288" w:lineRule="auto"/>
        <w:rPr>
          <w:rFonts w:ascii="Verdana" w:hAnsi="Verdana"/>
          <w:sz w:val="24"/>
          <w:szCs w:val="24"/>
        </w:rPr>
      </w:pPr>
      <w:r w:rsidRPr="00AE7A83">
        <w:rPr>
          <w:rFonts w:ascii="Verdana" w:hAnsi="Verdana"/>
          <w:sz w:val="24"/>
          <w:szCs w:val="24"/>
        </w:rPr>
        <w:t xml:space="preserve">The statutory functions of the Commission are available on our </w:t>
      </w:r>
      <w:hyperlink r:id="rId12" w:history="1">
        <w:r w:rsidRPr="00AE7A83">
          <w:rPr>
            <w:rStyle w:val="Hyperlink"/>
            <w:rFonts w:ascii="Verdana" w:hAnsi="Verdana"/>
            <w:sz w:val="24"/>
            <w:szCs w:val="24"/>
          </w:rPr>
          <w:t>website</w:t>
        </w:r>
      </w:hyperlink>
      <w:r w:rsidRPr="00AE7A83">
        <w:rPr>
          <w:rStyle w:val="Hyperlink"/>
          <w:rFonts w:ascii="Verdana" w:hAnsi="Verdana"/>
          <w:sz w:val="24"/>
          <w:szCs w:val="24"/>
        </w:rPr>
        <w:t xml:space="preserve"> here</w:t>
      </w:r>
      <w:r w:rsidRPr="00AE7A83">
        <w:rPr>
          <w:rFonts w:ascii="Verdana" w:hAnsi="Verdana"/>
          <w:sz w:val="24"/>
          <w:szCs w:val="24"/>
        </w:rPr>
        <w:t xml:space="preserve"> which include to keep under review the adequacy and effectiveness of law and practice relating to the protection of human rights in Northern Ireland.  </w:t>
      </w:r>
    </w:p>
    <w:p w14:paraId="32D10BDF" w14:textId="68C53011" w:rsidR="0052118E" w:rsidRPr="00AE7A83" w:rsidRDefault="0052118E" w:rsidP="00AE7A83">
      <w:pPr>
        <w:spacing w:line="288" w:lineRule="auto"/>
        <w:rPr>
          <w:rFonts w:ascii="Verdana" w:hAnsi="Verdana"/>
          <w:sz w:val="24"/>
          <w:szCs w:val="24"/>
        </w:rPr>
      </w:pPr>
      <w:r w:rsidRPr="00AE7A83">
        <w:rPr>
          <w:rFonts w:ascii="Verdana" w:hAnsi="Verdana"/>
          <w:sz w:val="24"/>
          <w:szCs w:val="24"/>
        </w:rPr>
        <w:lastRenderedPageBreak/>
        <w:t xml:space="preserve">Since 1 January 2021, the Northern Ireland Human Rights Commission </w:t>
      </w:r>
      <w:r w:rsidR="0047118F">
        <w:rPr>
          <w:rFonts w:ascii="Verdana" w:hAnsi="Verdana"/>
          <w:sz w:val="24"/>
          <w:szCs w:val="24"/>
        </w:rPr>
        <w:t xml:space="preserve">has </w:t>
      </w:r>
      <w:r w:rsidRPr="00AE7A83">
        <w:rPr>
          <w:rFonts w:ascii="Verdana" w:hAnsi="Verdana"/>
          <w:sz w:val="24"/>
          <w:szCs w:val="24"/>
        </w:rPr>
        <w:t>had duties and powers to monitor, supervise, advise, enforce, and report on the UK Government’s commitment in Article 2 of the Windsor Framework.</w:t>
      </w:r>
    </w:p>
    <w:p w14:paraId="18C12967" w14:textId="53A4950E" w:rsidR="0052118E" w:rsidRPr="00AE7A83" w:rsidRDefault="0052118E" w:rsidP="00AE7A83">
      <w:pPr>
        <w:spacing w:line="288" w:lineRule="auto"/>
        <w:rPr>
          <w:rFonts w:ascii="Verdana" w:hAnsi="Verdana"/>
          <w:sz w:val="24"/>
          <w:szCs w:val="24"/>
        </w:rPr>
      </w:pPr>
      <w:r w:rsidRPr="00AE7A83">
        <w:rPr>
          <w:rFonts w:ascii="Verdana" w:hAnsi="Verdana"/>
          <w:sz w:val="24"/>
          <w:szCs w:val="24"/>
        </w:rPr>
        <w:t xml:space="preserve">The Commission issued this challenge under its own motion powers, provided for under s.71(2B) and s.78C of the Northern Ireland Act 1998, which enable a legal challenge without reference to an individual victim. </w:t>
      </w:r>
    </w:p>
    <w:p w14:paraId="6DEE9C11" w14:textId="77777777" w:rsidR="00610C9B" w:rsidRDefault="00610C9B" w:rsidP="00AE7A83">
      <w:pPr>
        <w:pStyle w:val="paragraph"/>
        <w:spacing w:before="0" w:beforeAutospacing="0" w:after="0" w:afterAutospacing="0" w:line="288" w:lineRule="auto"/>
        <w:textAlignment w:val="baseline"/>
        <w:rPr>
          <w:rStyle w:val="normaltextrun"/>
          <w:rFonts w:ascii="Verdana" w:hAnsi="Verdana" w:cs="Segoe UI"/>
          <w:b/>
          <w:bCs/>
        </w:rPr>
      </w:pPr>
    </w:p>
    <w:p w14:paraId="7F203B2B" w14:textId="53D35848" w:rsidR="00EE3F5A" w:rsidRPr="00D2238D" w:rsidRDefault="00B819EE" w:rsidP="00D2238D">
      <w:pPr>
        <w:pStyle w:val="Heading1"/>
        <w:rPr>
          <w:rStyle w:val="eop"/>
          <w:rFonts w:ascii="Verdana" w:hAnsi="Verdana"/>
          <w:b/>
          <w:bCs/>
          <w:color w:val="auto"/>
          <w:sz w:val="24"/>
          <w:szCs w:val="24"/>
        </w:rPr>
      </w:pPr>
      <w:r w:rsidRPr="00D2238D">
        <w:rPr>
          <w:rStyle w:val="eop"/>
          <w:rFonts w:ascii="Verdana" w:hAnsi="Verdana"/>
          <w:b/>
          <w:bCs/>
          <w:color w:val="auto"/>
          <w:sz w:val="24"/>
          <w:szCs w:val="24"/>
        </w:rPr>
        <w:t xml:space="preserve">What was the outcome </w:t>
      </w:r>
      <w:r w:rsidR="00193583" w:rsidRPr="00D2238D">
        <w:rPr>
          <w:rStyle w:val="eop"/>
          <w:rFonts w:ascii="Verdana" w:hAnsi="Verdana"/>
          <w:b/>
          <w:bCs/>
          <w:color w:val="auto"/>
          <w:sz w:val="24"/>
          <w:szCs w:val="24"/>
        </w:rPr>
        <w:t>of the case at Belfast High Court?</w:t>
      </w:r>
      <w:r w:rsidR="00EE3F5A" w:rsidRPr="00D2238D">
        <w:rPr>
          <w:rStyle w:val="eop"/>
          <w:rFonts w:ascii="Verdana" w:hAnsi="Verdana"/>
          <w:b/>
          <w:bCs/>
          <w:color w:val="auto"/>
          <w:sz w:val="24"/>
          <w:szCs w:val="24"/>
        </w:rPr>
        <w:t>  </w:t>
      </w:r>
    </w:p>
    <w:p w14:paraId="128AD2F7" w14:textId="77777777" w:rsidR="00EE3F5A" w:rsidRPr="00AE7A83" w:rsidRDefault="00EE3F5A" w:rsidP="00AE7A83">
      <w:pPr>
        <w:pStyle w:val="paragraph"/>
        <w:spacing w:before="0" w:beforeAutospacing="0" w:after="0" w:afterAutospacing="0" w:line="288" w:lineRule="auto"/>
        <w:textAlignment w:val="baseline"/>
        <w:rPr>
          <w:rFonts w:ascii="Verdana" w:hAnsi="Verdana" w:cs="Segoe UI"/>
        </w:rPr>
      </w:pPr>
      <w:r w:rsidRPr="00AE7A83">
        <w:rPr>
          <w:rStyle w:val="eop"/>
          <w:rFonts w:ascii="Verdana" w:hAnsi="Verdana" w:cs="Segoe UI"/>
        </w:rPr>
        <w:t> </w:t>
      </w:r>
    </w:p>
    <w:p w14:paraId="75639BAE" w14:textId="78A8E22E" w:rsidR="001D0173" w:rsidRPr="00250715" w:rsidRDefault="00610C9B" w:rsidP="00AE7A83">
      <w:pPr>
        <w:pStyle w:val="paragraph"/>
        <w:spacing w:before="0" w:beforeAutospacing="0" w:after="0" w:afterAutospacing="0" w:line="288" w:lineRule="auto"/>
        <w:textAlignment w:val="baseline"/>
        <w:rPr>
          <w:rStyle w:val="eop"/>
          <w:rFonts w:ascii="Verdana" w:hAnsi="Verdana" w:cs="Segoe UI"/>
        </w:rPr>
      </w:pPr>
      <w:r>
        <w:rPr>
          <w:rStyle w:val="eop"/>
          <w:rFonts w:ascii="Verdana" w:hAnsi="Verdana" w:cs="Segoe UI"/>
        </w:rPr>
        <w:t xml:space="preserve">On 13 May 2024, the </w:t>
      </w:r>
      <w:hyperlink r:id="rId13" w:history="1">
        <w:r w:rsidRPr="000A55D4">
          <w:rPr>
            <w:rStyle w:val="Hyperlink"/>
            <w:rFonts w:ascii="Verdana" w:hAnsi="Verdana" w:cs="Segoe UI"/>
          </w:rPr>
          <w:t>High Court ruled</w:t>
        </w:r>
      </w:hyperlink>
      <w:r>
        <w:rPr>
          <w:rStyle w:val="eop"/>
          <w:rFonts w:ascii="Verdana" w:hAnsi="Verdana" w:cs="Segoe UI"/>
        </w:rPr>
        <w:t xml:space="preserve"> that a number of provisions in the IMA did </w:t>
      </w:r>
      <w:r w:rsidR="00523622" w:rsidRPr="00250715">
        <w:rPr>
          <w:rStyle w:val="eop"/>
          <w:rFonts w:ascii="Verdana" w:hAnsi="Verdana" w:cs="Segoe UI"/>
        </w:rPr>
        <w:t xml:space="preserve">breach </w:t>
      </w:r>
      <w:r w:rsidR="00A568AB" w:rsidRPr="00250715">
        <w:rPr>
          <w:rStyle w:val="eop"/>
          <w:rFonts w:ascii="Verdana" w:hAnsi="Verdana" w:cs="Segoe UI"/>
        </w:rPr>
        <w:t xml:space="preserve">Article 2(1) of the Windsor Framework leading to a diminution of the rights </w:t>
      </w:r>
      <w:r w:rsidR="00400D51">
        <w:rPr>
          <w:rStyle w:val="eop"/>
          <w:rFonts w:ascii="Verdana" w:hAnsi="Verdana" w:cs="Segoe UI"/>
        </w:rPr>
        <w:t>of</w:t>
      </w:r>
      <w:r w:rsidR="00F86A55" w:rsidRPr="00250715">
        <w:rPr>
          <w:rStyle w:val="eop"/>
          <w:rFonts w:ascii="Verdana" w:hAnsi="Verdana" w:cs="Segoe UI"/>
        </w:rPr>
        <w:t xml:space="preserve"> asylum seekers in</w:t>
      </w:r>
      <w:r>
        <w:rPr>
          <w:rStyle w:val="eop"/>
          <w:rFonts w:ascii="Verdana" w:hAnsi="Verdana" w:cs="Segoe UI"/>
        </w:rPr>
        <w:t xml:space="preserve"> N</w:t>
      </w:r>
      <w:r w:rsidR="00400D51">
        <w:rPr>
          <w:rStyle w:val="eop"/>
          <w:rFonts w:ascii="Verdana" w:hAnsi="Verdana" w:cs="Segoe UI"/>
        </w:rPr>
        <w:t>orthern Ireland</w:t>
      </w:r>
      <w:r w:rsidR="005204C6" w:rsidRPr="00250715">
        <w:rPr>
          <w:rStyle w:val="eop"/>
          <w:rFonts w:ascii="Verdana" w:hAnsi="Verdana" w:cs="Segoe UI"/>
        </w:rPr>
        <w:t xml:space="preserve">. The Court </w:t>
      </w:r>
      <w:r w:rsidR="00CE7961" w:rsidRPr="00250715">
        <w:rPr>
          <w:rStyle w:val="eop"/>
          <w:rFonts w:ascii="Verdana" w:hAnsi="Verdana" w:cs="Segoe UI"/>
        </w:rPr>
        <w:t xml:space="preserve">held that with respect to these provisions, where a breach of Article </w:t>
      </w:r>
      <w:r w:rsidR="00306A87" w:rsidRPr="00250715">
        <w:rPr>
          <w:rStyle w:val="eop"/>
          <w:rFonts w:ascii="Verdana" w:hAnsi="Verdana" w:cs="Segoe UI"/>
        </w:rPr>
        <w:t>2(1) of the Windsor Framework</w:t>
      </w:r>
      <w:r w:rsidR="00063AD5" w:rsidRPr="00250715">
        <w:rPr>
          <w:rStyle w:val="eop"/>
          <w:rFonts w:ascii="Verdana" w:hAnsi="Verdana" w:cs="Segoe UI"/>
        </w:rPr>
        <w:t xml:space="preserve"> has been identified, these provisions should be disapplied in Northern Ireland. </w:t>
      </w:r>
      <w:r w:rsidR="00306A87" w:rsidRPr="00250715">
        <w:rPr>
          <w:rStyle w:val="eop"/>
          <w:rFonts w:ascii="Verdana" w:hAnsi="Verdana" w:cs="Segoe UI"/>
        </w:rPr>
        <w:t xml:space="preserve"> </w:t>
      </w:r>
      <w:r w:rsidR="008A41B5" w:rsidRPr="00250715">
        <w:rPr>
          <w:rStyle w:val="eop"/>
          <w:rFonts w:ascii="Verdana" w:hAnsi="Verdana" w:cs="Segoe UI"/>
        </w:rPr>
        <w:t>Further</w:t>
      </w:r>
      <w:r w:rsidR="00063AD5" w:rsidRPr="00250715">
        <w:rPr>
          <w:rStyle w:val="eop"/>
          <w:rFonts w:ascii="Verdana" w:hAnsi="Verdana" w:cs="Segoe UI"/>
        </w:rPr>
        <w:t>,</w:t>
      </w:r>
      <w:r w:rsidR="008A41B5" w:rsidRPr="00250715">
        <w:rPr>
          <w:rStyle w:val="eop"/>
          <w:rFonts w:ascii="Verdana" w:hAnsi="Verdana" w:cs="Segoe UI"/>
        </w:rPr>
        <w:t xml:space="preserve"> the </w:t>
      </w:r>
      <w:r w:rsidR="00400D51">
        <w:rPr>
          <w:rStyle w:val="eop"/>
          <w:rFonts w:ascii="Verdana" w:hAnsi="Verdana" w:cs="Segoe UI"/>
        </w:rPr>
        <w:t>Commission</w:t>
      </w:r>
      <w:r w:rsidR="008A41B5" w:rsidRPr="00250715">
        <w:rPr>
          <w:rStyle w:val="eop"/>
          <w:rFonts w:ascii="Verdana" w:hAnsi="Verdana" w:cs="Segoe UI"/>
        </w:rPr>
        <w:t xml:space="preserve"> was granted a declaration of incompatibility </w:t>
      </w:r>
      <w:r w:rsidR="00670D2C" w:rsidRPr="00250715">
        <w:rPr>
          <w:rStyle w:val="eop"/>
          <w:rFonts w:ascii="Verdana" w:hAnsi="Verdana" w:cs="Segoe UI"/>
        </w:rPr>
        <w:t xml:space="preserve">with the ECHR </w:t>
      </w:r>
      <w:r w:rsidR="007843E1" w:rsidRPr="00250715">
        <w:rPr>
          <w:rStyle w:val="eop"/>
          <w:rFonts w:ascii="Verdana" w:hAnsi="Verdana" w:cs="Segoe UI"/>
        </w:rPr>
        <w:t xml:space="preserve">as certain provisions were also incompatible </w:t>
      </w:r>
      <w:r w:rsidR="00670D2C" w:rsidRPr="00250715">
        <w:rPr>
          <w:rStyle w:val="eop"/>
          <w:rFonts w:ascii="Verdana" w:hAnsi="Verdana" w:cs="Segoe UI"/>
        </w:rPr>
        <w:t xml:space="preserve">with </w:t>
      </w:r>
      <w:proofErr w:type="gramStart"/>
      <w:r w:rsidR="00670D2C" w:rsidRPr="00250715">
        <w:rPr>
          <w:rStyle w:val="eop"/>
          <w:rFonts w:ascii="Verdana" w:hAnsi="Verdana" w:cs="Segoe UI"/>
        </w:rPr>
        <w:t>a number of</w:t>
      </w:r>
      <w:proofErr w:type="gramEnd"/>
      <w:r w:rsidR="00670D2C" w:rsidRPr="00250715">
        <w:rPr>
          <w:rStyle w:val="eop"/>
          <w:rFonts w:ascii="Verdana" w:hAnsi="Verdana" w:cs="Segoe UI"/>
        </w:rPr>
        <w:t xml:space="preserve"> convention rights.</w:t>
      </w:r>
    </w:p>
    <w:p w14:paraId="7D1E3D04" w14:textId="67F62482" w:rsidR="007F63DB" w:rsidRPr="00250715" w:rsidRDefault="007F63DB" w:rsidP="00AE7A83">
      <w:pPr>
        <w:pStyle w:val="paragraph"/>
        <w:spacing w:before="0" w:beforeAutospacing="0" w:after="0" w:afterAutospacing="0" w:line="288" w:lineRule="auto"/>
        <w:textAlignment w:val="baseline"/>
        <w:rPr>
          <w:rStyle w:val="eop"/>
          <w:rFonts w:ascii="Verdana" w:hAnsi="Verdana" w:cs="Segoe UI"/>
        </w:rPr>
      </w:pPr>
    </w:p>
    <w:p w14:paraId="117C32C0" w14:textId="2F3F05D8" w:rsidR="007F63DB" w:rsidRPr="00962B76" w:rsidRDefault="007F63DB" w:rsidP="00D2238D">
      <w:pPr>
        <w:pStyle w:val="Heading2"/>
        <w:rPr>
          <w:rStyle w:val="eop"/>
          <w:rFonts w:ascii="Verdana" w:hAnsi="Verdana" w:cs="Segoe UI"/>
          <w:b/>
          <w:bCs/>
        </w:rPr>
      </w:pPr>
      <w:r w:rsidRPr="00D2238D">
        <w:rPr>
          <w:rStyle w:val="eop"/>
          <w:rFonts w:ascii="Verdana" w:hAnsi="Verdana" w:cs="Segoe UI"/>
          <w:b/>
          <w:bCs/>
          <w:color w:val="auto"/>
          <w:sz w:val="24"/>
          <w:szCs w:val="24"/>
        </w:rPr>
        <w:t>With respect to Article 2(1) of the Windsor Framework, the High Court found a diminution in the following categories:</w:t>
      </w:r>
    </w:p>
    <w:p w14:paraId="279C2B7C" w14:textId="77777777" w:rsidR="00E41536" w:rsidRPr="00250715" w:rsidRDefault="00E41536" w:rsidP="00AE7A83">
      <w:pPr>
        <w:pStyle w:val="paragraph"/>
        <w:spacing w:before="0" w:beforeAutospacing="0" w:after="0" w:afterAutospacing="0" w:line="288" w:lineRule="auto"/>
        <w:textAlignment w:val="baseline"/>
        <w:rPr>
          <w:rStyle w:val="eop"/>
          <w:rFonts w:ascii="Verdana" w:hAnsi="Verdana" w:cs="Segoe UI"/>
        </w:rPr>
      </w:pPr>
    </w:p>
    <w:p w14:paraId="13454B42" w14:textId="664C8C48" w:rsidR="00CA466A" w:rsidRPr="00400D51" w:rsidRDefault="00CA466A" w:rsidP="00AE7A83">
      <w:pPr>
        <w:pStyle w:val="paragraph"/>
        <w:spacing w:before="0" w:beforeAutospacing="0" w:after="0" w:afterAutospacing="0" w:line="288" w:lineRule="auto"/>
        <w:textAlignment w:val="baseline"/>
        <w:rPr>
          <w:rStyle w:val="eop"/>
          <w:rFonts w:ascii="Verdana" w:hAnsi="Verdana" w:cs="Arial"/>
          <w:u w:val="single"/>
        </w:rPr>
      </w:pPr>
      <w:r w:rsidRPr="00400D51">
        <w:rPr>
          <w:rStyle w:val="eop"/>
          <w:rFonts w:ascii="Verdana" w:hAnsi="Verdana" w:cs="Arial"/>
          <w:u w:val="single"/>
        </w:rPr>
        <w:t>Removal</w:t>
      </w:r>
    </w:p>
    <w:p w14:paraId="25CBA2CB" w14:textId="77777777" w:rsidR="00400D51" w:rsidRDefault="00400D51" w:rsidP="00AE7A83">
      <w:pPr>
        <w:pStyle w:val="paragraph"/>
        <w:spacing w:before="0" w:beforeAutospacing="0" w:after="0" w:afterAutospacing="0" w:line="288" w:lineRule="auto"/>
        <w:textAlignment w:val="baseline"/>
        <w:rPr>
          <w:rFonts w:ascii="Verdana" w:hAnsi="Verdana" w:cs="Arial"/>
        </w:rPr>
      </w:pPr>
    </w:p>
    <w:p w14:paraId="23B173D4" w14:textId="051C5F66" w:rsidR="00AD669B" w:rsidRDefault="00AD669B"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The </w:t>
      </w:r>
      <w:r w:rsidR="001D5E4B">
        <w:rPr>
          <w:rFonts w:ascii="Verdana" w:hAnsi="Verdana" w:cs="Arial"/>
        </w:rPr>
        <w:t>C</w:t>
      </w:r>
      <w:r w:rsidRPr="00250715">
        <w:rPr>
          <w:rFonts w:ascii="Verdana" w:hAnsi="Verdana" w:cs="Arial"/>
        </w:rPr>
        <w:t xml:space="preserve">ourt held that sections 2, 5 and 6 </w:t>
      </w:r>
      <w:r w:rsidR="00400D51">
        <w:rPr>
          <w:rFonts w:ascii="Verdana" w:hAnsi="Verdana" w:cs="Arial"/>
        </w:rPr>
        <w:t xml:space="preserve">of the </w:t>
      </w:r>
      <w:r w:rsidRPr="00250715">
        <w:rPr>
          <w:rFonts w:ascii="Verdana" w:hAnsi="Verdana" w:cs="Arial"/>
        </w:rPr>
        <w:t xml:space="preserve">IMA lead to a diminution of the right in article 7(1) of the Procedures Directive for the following reasons: </w:t>
      </w:r>
    </w:p>
    <w:p w14:paraId="17D1D1A0" w14:textId="77777777" w:rsidR="00400D51" w:rsidRPr="00250715" w:rsidRDefault="00400D51" w:rsidP="00AE7A83">
      <w:pPr>
        <w:pStyle w:val="paragraph"/>
        <w:spacing w:before="0" w:beforeAutospacing="0" w:after="0" w:afterAutospacing="0" w:line="288" w:lineRule="auto"/>
        <w:textAlignment w:val="baseline"/>
        <w:rPr>
          <w:rFonts w:ascii="Verdana" w:hAnsi="Verdana" w:cs="Arial"/>
        </w:rPr>
      </w:pPr>
    </w:p>
    <w:p w14:paraId="31173067" w14:textId="77777777" w:rsidR="00AD669B" w:rsidRPr="00250715" w:rsidRDefault="00AD669B"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Many people will be removed without their asylum claims being individually determined. </w:t>
      </w:r>
    </w:p>
    <w:p w14:paraId="318128C3" w14:textId="7CB0C0E0" w:rsidR="00AD669B" w:rsidRPr="00250715" w:rsidRDefault="00AD669B"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The availability of a serious harm suspensive claim does not cure that problem since it does not lead to a grant</w:t>
      </w:r>
      <w:r w:rsidR="00400D51">
        <w:rPr>
          <w:rFonts w:ascii="Verdana" w:hAnsi="Verdana" w:cs="Arial"/>
        </w:rPr>
        <w:t>ing</w:t>
      </w:r>
      <w:r w:rsidRPr="00250715">
        <w:rPr>
          <w:rFonts w:ascii="Verdana" w:hAnsi="Verdana" w:cs="Arial"/>
        </w:rPr>
        <w:t xml:space="preserve"> of refugee status, or the range of rights that a</w:t>
      </w:r>
      <w:r w:rsidR="00400D51">
        <w:rPr>
          <w:rFonts w:ascii="Verdana" w:hAnsi="Verdana" w:cs="Arial"/>
        </w:rPr>
        <w:t>re</w:t>
      </w:r>
      <w:r w:rsidRPr="00250715">
        <w:rPr>
          <w:rFonts w:ascii="Verdana" w:hAnsi="Verdana" w:cs="Arial"/>
        </w:rPr>
        <w:t xml:space="preserve"> contingent on that status. </w:t>
      </w:r>
    </w:p>
    <w:p w14:paraId="1750461F" w14:textId="4B4BAEE3" w:rsidR="00E41536" w:rsidRPr="00250715" w:rsidRDefault="00AD669B" w:rsidP="00AE7A83">
      <w:pPr>
        <w:pStyle w:val="paragraph"/>
        <w:spacing w:before="0" w:beforeAutospacing="0" w:after="0" w:afterAutospacing="0" w:line="288" w:lineRule="auto"/>
        <w:textAlignment w:val="baseline"/>
        <w:rPr>
          <w:rStyle w:val="eop"/>
          <w:rFonts w:ascii="Verdana" w:hAnsi="Verdana" w:cs="Arial"/>
        </w:rPr>
      </w:pPr>
      <w:r w:rsidRPr="00250715">
        <w:rPr>
          <w:rFonts w:ascii="Verdana" w:hAnsi="Verdana" w:cs="Arial"/>
        </w:rPr>
        <w:t>• The duty to remove is inconsistent with the exceptions in articles 25-27 of the Procedures Directive.</w:t>
      </w:r>
    </w:p>
    <w:p w14:paraId="65A48611" w14:textId="77777777" w:rsidR="00CA466A" w:rsidRPr="00250715" w:rsidRDefault="00CA466A" w:rsidP="00AE7A83">
      <w:pPr>
        <w:pStyle w:val="paragraph"/>
        <w:spacing w:before="0" w:beforeAutospacing="0" w:after="0" w:afterAutospacing="0" w:line="288" w:lineRule="auto"/>
        <w:ind w:left="720"/>
        <w:textAlignment w:val="baseline"/>
        <w:rPr>
          <w:rStyle w:val="eop"/>
          <w:rFonts w:ascii="Verdana" w:hAnsi="Verdana" w:cs="Arial"/>
        </w:rPr>
      </w:pPr>
    </w:p>
    <w:p w14:paraId="4723601B" w14:textId="577D5737" w:rsidR="007F63DB" w:rsidRPr="00400D51" w:rsidRDefault="001F3EDB" w:rsidP="00AE7A83">
      <w:pPr>
        <w:pStyle w:val="paragraph"/>
        <w:spacing w:before="0" w:beforeAutospacing="0" w:after="0" w:afterAutospacing="0" w:line="288" w:lineRule="auto"/>
        <w:textAlignment w:val="baseline"/>
        <w:rPr>
          <w:rStyle w:val="eop"/>
          <w:rFonts w:ascii="Verdana" w:hAnsi="Verdana" w:cs="Arial"/>
          <w:u w:val="single"/>
        </w:rPr>
      </w:pPr>
      <w:r w:rsidRPr="00400D51">
        <w:rPr>
          <w:rStyle w:val="eop"/>
          <w:rFonts w:ascii="Verdana" w:hAnsi="Verdana" w:cs="Arial"/>
          <w:u w:val="single"/>
        </w:rPr>
        <w:t>Effective examination and grant of asylum claims</w:t>
      </w:r>
    </w:p>
    <w:p w14:paraId="07F819A7" w14:textId="77777777" w:rsidR="00400D51" w:rsidRDefault="00400D51" w:rsidP="00AE7A83">
      <w:pPr>
        <w:pStyle w:val="paragraph"/>
        <w:spacing w:before="0" w:beforeAutospacing="0" w:after="0" w:afterAutospacing="0" w:line="288" w:lineRule="auto"/>
        <w:textAlignment w:val="baseline"/>
        <w:rPr>
          <w:rFonts w:ascii="Verdana" w:hAnsi="Verdana" w:cs="Arial"/>
        </w:rPr>
      </w:pPr>
    </w:p>
    <w:p w14:paraId="03A5C846" w14:textId="1F8738F7" w:rsidR="00F65431" w:rsidRDefault="00A1602E"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lastRenderedPageBreak/>
        <w:t xml:space="preserve">The </w:t>
      </w:r>
      <w:r w:rsidR="009B306E">
        <w:rPr>
          <w:rFonts w:ascii="Verdana" w:hAnsi="Verdana" w:cs="Arial"/>
        </w:rPr>
        <w:t>C</w:t>
      </w:r>
      <w:r w:rsidRPr="00250715">
        <w:rPr>
          <w:rFonts w:ascii="Verdana" w:hAnsi="Verdana" w:cs="Arial"/>
        </w:rPr>
        <w:t xml:space="preserve">ourt </w:t>
      </w:r>
      <w:r w:rsidR="00400D51">
        <w:rPr>
          <w:rFonts w:ascii="Verdana" w:hAnsi="Verdana" w:cs="Arial"/>
        </w:rPr>
        <w:t>said</w:t>
      </w:r>
      <w:r w:rsidRPr="00250715">
        <w:rPr>
          <w:rFonts w:ascii="Verdana" w:hAnsi="Verdana" w:cs="Arial"/>
        </w:rPr>
        <w:t xml:space="preserve"> that section 5(2) IMA leads to a diminution of rights under the EU Directives for </w:t>
      </w:r>
      <w:proofErr w:type="gramStart"/>
      <w:r w:rsidRPr="00250715">
        <w:rPr>
          <w:rFonts w:ascii="Verdana" w:hAnsi="Verdana" w:cs="Arial"/>
        </w:rPr>
        <w:t>a number of</w:t>
      </w:r>
      <w:proofErr w:type="gramEnd"/>
      <w:r w:rsidRPr="00250715">
        <w:rPr>
          <w:rFonts w:ascii="Verdana" w:hAnsi="Verdana" w:cs="Arial"/>
        </w:rPr>
        <w:t xml:space="preserve"> reasons including:</w:t>
      </w:r>
    </w:p>
    <w:p w14:paraId="47257435" w14:textId="77777777" w:rsidR="00400D51" w:rsidRPr="00250715" w:rsidRDefault="00400D51" w:rsidP="00AE7A83">
      <w:pPr>
        <w:pStyle w:val="paragraph"/>
        <w:spacing w:before="0" w:beforeAutospacing="0" w:after="0" w:afterAutospacing="0" w:line="288" w:lineRule="auto"/>
        <w:textAlignment w:val="baseline"/>
        <w:rPr>
          <w:rFonts w:ascii="Verdana" w:hAnsi="Verdana" w:cs="Arial"/>
        </w:rPr>
      </w:pPr>
    </w:p>
    <w:p w14:paraId="11A1EAAE" w14:textId="77777777" w:rsidR="00C9542E" w:rsidRPr="00250715" w:rsidRDefault="00C9542E"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A person will not have the right to make an application for asylum. </w:t>
      </w:r>
    </w:p>
    <w:p w14:paraId="0BACE3B4" w14:textId="77777777" w:rsidR="00C9542E" w:rsidRPr="00250715" w:rsidRDefault="00C9542E"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There will not be the “appropriate examination” of the substance of the application for asylum. </w:t>
      </w:r>
    </w:p>
    <w:p w14:paraId="6F9655E3" w14:textId="63032B9C" w:rsidR="00A1602E" w:rsidRPr="00250715" w:rsidRDefault="00C9542E"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The UK will not grant refugee status or subsidiary protection to a person who qualifies for it.</w:t>
      </w:r>
    </w:p>
    <w:p w14:paraId="182D8ABF" w14:textId="77777777" w:rsidR="003B478B" w:rsidRPr="00250715" w:rsidRDefault="003B478B"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A successful suspensive claim is insufficient as it only serves to disapply the duty to remove and does not lead to a grant of international protection status or the rights contingent on it. </w:t>
      </w:r>
    </w:p>
    <w:p w14:paraId="149DEB2E" w14:textId="77777777" w:rsidR="003B478B" w:rsidRPr="00250715" w:rsidRDefault="003B478B"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A serious harm suspensive claim applies only to third country removals and will not be granted on the sole basis that the person is at risk of harm in their own country. </w:t>
      </w:r>
    </w:p>
    <w:p w14:paraId="28017FCC" w14:textId="024B0F7D" w:rsidR="003B478B" w:rsidRPr="00250715" w:rsidRDefault="003B478B" w:rsidP="00AE7A83">
      <w:pPr>
        <w:pStyle w:val="paragraph"/>
        <w:spacing w:before="0" w:beforeAutospacing="0" w:after="0" w:afterAutospacing="0" w:line="288" w:lineRule="auto"/>
        <w:textAlignment w:val="baseline"/>
        <w:rPr>
          <w:rStyle w:val="eop"/>
          <w:rFonts w:ascii="Verdana" w:hAnsi="Verdana" w:cs="Arial"/>
        </w:rPr>
      </w:pPr>
      <w:r w:rsidRPr="00250715">
        <w:rPr>
          <w:rFonts w:ascii="Verdana" w:hAnsi="Verdana" w:cs="Arial"/>
        </w:rPr>
        <w:t>• The threshold for a serious harm suspensive claim is higher and more difficult to prove than the test for refugee status or subsidiary protection.</w:t>
      </w:r>
    </w:p>
    <w:p w14:paraId="7B513704" w14:textId="77777777" w:rsidR="00F65431" w:rsidRPr="00250715" w:rsidRDefault="00F65431" w:rsidP="00AE7A83">
      <w:pPr>
        <w:pStyle w:val="paragraph"/>
        <w:spacing w:before="0" w:beforeAutospacing="0" w:after="0" w:afterAutospacing="0" w:line="288" w:lineRule="auto"/>
        <w:textAlignment w:val="baseline"/>
        <w:rPr>
          <w:rStyle w:val="eop"/>
          <w:rFonts w:ascii="Verdana" w:hAnsi="Verdana" w:cs="Arial"/>
        </w:rPr>
      </w:pPr>
    </w:p>
    <w:p w14:paraId="280F5E32" w14:textId="6CF1E073" w:rsidR="003B478B" w:rsidRDefault="009F5AF9" w:rsidP="00AE7A83">
      <w:pPr>
        <w:pStyle w:val="paragraph"/>
        <w:spacing w:before="0" w:beforeAutospacing="0" w:after="0" w:afterAutospacing="0" w:line="288" w:lineRule="auto"/>
        <w:textAlignment w:val="baseline"/>
        <w:rPr>
          <w:rStyle w:val="eop"/>
          <w:rFonts w:ascii="Verdana" w:hAnsi="Verdana" w:cs="Arial"/>
          <w:u w:val="single"/>
        </w:rPr>
      </w:pPr>
      <w:r w:rsidRPr="00400D51">
        <w:rPr>
          <w:rStyle w:val="eop"/>
          <w:rFonts w:ascii="Verdana" w:hAnsi="Verdana" w:cs="Arial"/>
          <w:u w:val="single"/>
        </w:rPr>
        <w:t>Lack of Effective Remedy</w:t>
      </w:r>
    </w:p>
    <w:p w14:paraId="79F09EAC" w14:textId="77777777" w:rsidR="00400D51" w:rsidRPr="00400D51" w:rsidRDefault="00400D51" w:rsidP="00AE7A83">
      <w:pPr>
        <w:pStyle w:val="paragraph"/>
        <w:spacing w:before="0" w:beforeAutospacing="0" w:after="0" w:afterAutospacing="0" w:line="288" w:lineRule="auto"/>
        <w:textAlignment w:val="baseline"/>
        <w:rPr>
          <w:rStyle w:val="eop"/>
          <w:rFonts w:ascii="Verdana" w:hAnsi="Verdana" w:cs="Arial"/>
          <w:u w:val="single"/>
        </w:rPr>
      </w:pPr>
    </w:p>
    <w:p w14:paraId="7D715824" w14:textId="27AEB1EA" w:rsidR="0018168F" w:rsidRPr="00250715" w:rsidRDefault="00D35592"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The </w:t>
      </w:r>
      <w:r w:rsidR="005A7DD8" w:rsidRPr="00250715">
        <w:rPr>
          <w:rFonts w:ascii="Verdana" w:hAnsi="Verdana" w:cs="Arial"/>
        </w:rPr>
        <w:t>IMA provides that a</w:t>
      </w:r>
      <w:r w:rsidRPr="00250715">
        <w:rPr>
          <w:rFonts w:ascii="Verdana" w:hAnsi="Verdana" w:cs="Arial"/>
        </w:rPr>
        <w:t>s a</w:t>
      </w:r>
      <w:r w:rsidR="005A7DD8" w:rsidRPr="00250715">
        <w:rPr>
          <w:rFonts w:ascii="Verdana" w:hAnsi="Verdana" w:cs="Arial"/>
        </w:rPr>
        <w:t xml:space="preserve"> declaration of inadmissibilit</w:t>
      </w:r>
      <w:r w:rsidRPr="00250715">
        <w:rPr>
          <w:rFonts w:ascii="Verdana" w:hAnsi="Verdana" w:cs="Arial"/>
        </w:rPr>
        <w:t xml:space="preserve">y </w:t>
      </w:r>
      <w:r w:rsidR="005A7DD8" w:rsidRPr="00250715">
        <w:rPr>
          <w:rFonts w:ascii="Verdana" w:hAnsi="Verdana" w:cs="Arial"/>
        </w:rPr>
        <w:t>is not a decision to refuse the claim</w:t>
      </w:r>
      <w:r w:rsidRPr="00250715">
        <w:rPr>
          <w:rFonts w:ascii="Verdana" w:hAnsi="Verdana" w:cs="Arial"/>
        </w:rPr>
        <w:t xml:space="preserve">, </w:t>
      </w:r>
      <w:r w:rsidR="005A7DD8" w:rsidRPr="00250715">
        <w:rPr>
          <w:rFonts w:ascii="Verdana" w:hAnsi="Verdana" w:cs="Arial"/>
        </w:rPr>
        <w:t xml:space="preserve">no appeal </w:t>
      </w:r>
      <w:r w:rsidR="00B16359" w:rsidRPr="00250715">
        <w:rPr>
          <w:rFonts w:ascii="Verdana" w:hAnsi="Verdana" w:cs="Arial"/>
        </w:rPr>
        <w:t xml:space="preserve">of this decision </w:t>
      </w:r>
      <w:r w:rsidR="005A7DD8" w:rsidRPr="00250715">
        <w:rPr>
          <w:rFonts w:ascii="Verdana" w:hAnsi="Verdana" w:cs="Arial"/>
        </w:rPr>
        <w:t>lies under section 82(1) of the Nationality</w:t>
      </w:r>
      <w:r w:rsidR="00BF7C0E">
        <w:rPr>
          <w:rFonts w:ascii="Verdana" w:hAnsi="Verdana" w:cs="Arial"/>
        </w:rPr>
        <w:t>,</w:t>
      </w:r>
      <w:r w:rsidR="005A7DD8" w:rsidRPr="00250715">
        <w:rPr>
          <w:rFonts w:ascii="Verdana" w:hAnsi="Verdana" w:cs="Arial"/>
        </w:rPr>
        <w:t xml:space="preserve"> Immigration</w:t>
      </w:r>
      <w:r w:rsidR="00BF7C0E">
        <w:rPr>
          <w:rFonts w:ascii="Verdana" w:hAnsi="Verdana" w:cs="Arial"/>
        </w:rPr>
        <w:t xml:space="preserve"> and Asylum</w:t>
      </w:r>
      <w:r w:rsidR="005A7DD8" w:rsidRPr="00250715">
        <w:rPr>
          <w:rFonts w:ascii="Verdana" w:hAnsi="Verdana" w:cs="Arial"/>
        </w:rPr>
        <w:t xml:space="preserve"> Act 2002. </w:t>
      </w:r>
      <w:r w:rsidR="00B16359" w:rsidRPr="00250715">
        <w:rPr>
          <w:rFonts w:ascii="Verdana" w:hAnsi="Verdana" w:cs="Arial"/>
        </w:rPr>
        <w:t>Further</w:t>
      </w:r>
      <w:r w:rsidR="00A874B3">
        <w:rPr>
          <w:rFonts w:ascii="Verdana" w:hAnsi="Verdana" w:cs="Arial"/>
        </w:rPr>
        <w:t>,</w:t>
      </w:r>
      <w:r w:rsidR="00B16359" w:rsidRPr="00250715">
        <w:rPr>
          <w:rFonts w:ascii="Verdana" w:hAnsi="Verdana" w:cs="Arial"/>
        </w:rPr>
        <w:t xml:space="preserve"> </w:t>
      </w:r>
      <w:r w:rsidR="00221FD0" w:rsidRPr="00250715">
        <w:rPr>
          <w:rFonts w:ascii="Verdana" w:hAnsi="Verdana" w:cs="Arial"/>
        </w:rPr>
        <w:t>s</w:t>
      </w:r>
      <w:r w:rsidR="005A7DD8" w:rsidRPr="00250715">
        <w:rPr>
          <w:rFonts w:ascii="Verdana" w:hAnsi="Verdana" w:cs="Arial"/>
        </w:rPr>
        <w:t xml:space="preserve">ection 54 IMA forbids any </w:t>
      </w:r>
      <w:r w:rsidR="009B306E">
        <w:rPr>
          <w:rFonts w:ascii="Verdana" w:hAnsi="Verdana" w:cs="Arial"/>
        </w:rPr>
        <w:t>C</w:t>
      </w:r>
      <w:r w:rsidR="005A7DD8" w:rsidRPr="00250715">
        <w:rPr>
          <w:rFonts w:ascii="Verdana" w:hAnsi="Verdana" w:cs="Arial"/>
        </w:rPr>
        <w:t xml:space="preserve">ourt or tribunal from granting an interim remedy which prevents or delays the removal of a person from the UK pursuant to a decision to remove for any reason. The </w:t>
      </w:r>
      <w:r w:rsidR="009B306E">
        <w:rPr>
          <w:rFonts w:ascii="Verdana" w:hAnsi="Verdana" w:cs="Arial"/>
        </w:rPr>
        <w:t>C</w:t>
      </w:r>
      <w:r w:rsidR="005A7DD8" w:rsidRPr="00250715">
        <w:rPr>
          <w:rFonts w:ascii="Verdana" w:hAnsi="Verdana" w:cs="Arial"/>
        </w:rPr>
        <w:t>ourt held these provisions lead to a diminution of article 39 of the Procedures Directive and article 47 C</w:t>
      </w:r>
      <w:r w:rsidR="00A82727" w:rsidRPr="00250715">
        <w:rPr>
          <w:rFonts w:ascii="Verdana" w:hAnsi="Verdana" w:cs="Arial"/>
        </w:rPr>
        <w:t xml:space="preserve">harter of Fundamental </w:t>
      </w:r>
      <w:r w:rsidR="005A7DD8" w:rsidRPr="00250715">
        <w:rPr>
          <w:rFonts w:ascii="Verdana" w:hAnsi="Verdana" w:cs="Arial"/>
        </w:rPr>
        <w:t>R</w:t>
      </w:r>
      <w:r w:rsidR="00A82727" w:rsidRPr="00250715">
        <w:rPr>
          <w:rFonts w:ascii="Verdana" w:hAnsi="Verdana" w:cs="Arial"/>
        </w:rPr>
        <w:t>ights</w:t>
      </w:r>
      <w:r w:rsidR="005A7DD8" w:rsidRPr="00250715">
        <w:rPr>
          <w:rFonts w:ascii="Verdana" w:hAnsi="Verdana" w:cs="Arial"/>
        </w:rPr>
        <w:t xml:space="preserve"> for </w:t>
      </w:r>
      <w:r w:rsidR="00221FD0" w:rsidRPr="00250715">
        <w:rPr>
          <w:rFonts w:ascii="Verdana" w:hAnsi="Verdana" w:cs="Arial"/>
        </w:rPr>
        <w:t xml:space="preserve">a serious </w:t>
      </w:r>
      <w:r w:rsidR="005A7DD8" w:rsidRPr="00250715">
        <w:rPr>
          <w:rFonts w:ascii="Verdana" w:hAnsi="Verdana" w:cs="Arial"/>
        </w:rPr>
        <w:t xml:space="preserve">harm suspensive claim for </w:t>
      </w:r>
      <w:proofErr w:type="gramStart"/>
      <w:r w:rsidR="00855FF3" w:rsidRPr="00250715">
        <w:rPr>
          <w:rFonts w:ascii="Verdana" w:hAnsi="Verdana" w:cs="Arial"/>
        </w:rPr>
        <w:t>a number of</w:t>
      </w:r>
      <w:proofErr w:type="gramEnd"/>
      <w:r w:rsidR="00855FF3" w:rsidRPr="00250715">
        <w:rPr>
          <w:rFonts w:ascii="Verdana" w:hAnsi="Verdana" w:cs="Arial"/>
        </w:rPr>
        <w:t xml:space="preserve"> reasons including</w:t>
      </w:r>
      <w:r w:rsidR="005A7DD8" w:rsidRPr="00250715">
        <w:rPr>
          <w:rFonts w:ascii="Verdana" w:hAnsi="Verdana" w:cs="Arial"/>
        </w:rPr>
        <w:t xml:space="preserve">: </w:t>
      </w:r>
    </w:p>
    <w:p w14:paraId="623D85BC" w14:textId="77777777" w:rsidR="0018168F" w:rsidRPr="00250715" w:rsidRDefault="0018168F" w:rsidP="00AE7A83">
      <w:pPr>
        <w:pStyle w:val="paragraph"/>
        <w:spacing w:before="0" w:beforeAutospacing="0" w:after="0" w:afterAutospacing="0" w:line="288" w:lineRule="auto"/>
        <w:textAlignment w:val="baseline"/>
        <w:rPr>
          <w:rFonts w:ascii="Verdana" w:hAnsi="Verdana" w:cs="Arial"/>
        </w:rPr>
      </w:pPr>
    </w:p>
    <w:p w14:paraId="6D9AE09F" w14:textId="45DE243F" w:rsidR="0018168F" w:rsidRPr="00250715" w:rsidRDefault="005A7DD8"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No appeal or judicial review is available in respect of a decision taken on their application for asylum. </w:t>
      </w:r>
    </w:p>
    <w:p w14:paraId="1553959F" w14:textId="77777777" w:rsidR="00855FF3" w:rsidRPr="00250715" w:rsidRDefault="005A7DD8"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 No appeal lies in respect of a decision to consider an application inadmissible. Whilst judicial review is available for a declaration that a claim is inadmissible under section 5(2) IMA, the conditions for that declaration are very different and far broader than the criteria for inadmissibility in the Procedures Directive. </w:t>
      </w:r>
    </w:p>
    <w:p w14:paraId="7A817FBD" w14:textId="77777777" w:rsidR="00365975" w:rsidRPr="00C332DC" w:rsidRDefault="00365975" w:rsidP="00AE7A83">
      <w:pPr>
        <w:pStyle w:val="paragraph"/>
        <w:spacing w:before="0" w:beforeAutospacing="0" w:after="0" w:afterAutospacing="0" w:line="288" w:lineRule="auto"/>
        <w:textAlignment w:val="baseline"/>
        <w:rPr>
          <w:rFonts w:ascii="Verdana" w:hAnsi="Verdana" w:cs="Arial"/>
          <w:u w:val="single"/>
        </w:rPr>
      </w:pPr>
    </w:p>
    <w:p w14:paraId="59DE1008" w14:textId="77777777" w:rsidR="00F02396" w:rsidRPr="00C332DC" w:rsidRDefault="00365975"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 xml:space="preserve">Non-refoulement </w:t>
      </w:r>
    </w:p>
    <w:p w14:paraId="35C843B7" w14:textId="77777777" w:rsidR="00C332DC" w:rsidRDefault="00C332DC" w:rsidP="00AE7A83">
      <w:pPr>
        <w:pStyle w:val="paragraph"/>
        <w:spacing w:before="0" w:beforeAutospacing="0" w:after="0" w:afterAutospacing="0" w:line="288" w:lineRule="auto"/>
        <w:textAlignment w:val="baseline"/>
        <w:rPr>
          <w:rFonts w:ascii="Verdana" w:hAnsi="Verdana" w:cs="Arial"/>
        </w:rPr>
      </w:pPr>
    </w:p>
    <w:p w14:paraId="6E9A9016" w14:textId="69DA5795" w:rsidR="00365975" w:rsidRPr="00250715" w:rsidRDefault="00A44721" w:rsidP="00AE7A83">
      <w:pPr>
        <w:pStyle w:val="paragraph"/>
        <w:spacing w:before="0" w:beforeAutospacing="0" w:after="0" w:afterAutospacing="0" w:line="288" w:lineRule="auto"/>
        <w:textAlignment w:val="baseline"/>
        <w:rPr>
          <w:rFonts w:ascii="Verdana" w:hAnsi="Verdana" w:cs="Arial"/>
        </w:rPr>
      </w:pPr>
      <w:r w:rsidRPr="00A44721">
        <w:rPr>
          <w:rFonts w:ascii="Verdana" w:hAnsi="Verdana" w:cs="Arial"/>
        </w:rPr>
        <w:lastRenderedPageBreak/>
        <w:t>Article 21 of the Qualification Directive r</w:t>
      </w:r>
      <w:r w:rsidR="002E02F4">
        <w:rPr>
          <w:rFonts w:ascii="Verdana" w:hAnsi="Verdana" w:cs="Arial"/>
        </w:rPr>
        <w:t xml:space="preserve">equires </w:t>
      </w:r>
      <w:r w:rsidR="00365975" w:rsidRPr="00250715">
        <w:rPr>
          <w:rFonts w:ascii="Verdana" w:hAnsi="Verdana" w:cs="Arial"/>
        </w:rPr>
        <w:t xml:space="preserve">Member States to respect the principle of non-refoulement which is defined in article 33 of the Refugee Convention. </w:t>
      </w:r>
      <w:r w:rsidR="00FC7494" w:rsidRPr="00250715">
        <w:rPr>
          <w:rFonts w:ascii="Verdana" w:hAnsi="Verdana" w:cs="Arial"/>
        </w:rPr>
        <w:t xml:space="preserve">This states that a refugee cannot be expelled or returned </w:t>
      </w:r>
      <w:r w:rsidR="00FC7494" w:rsidRPr="00250715">
        <w:rPr>
          <w:rFonts w:ascii="Verdana" w:hAnsi="Verdana" w:cs="Arial"/>
          <w:spacing w:val="4"/>
        </w:rPr>
        <w:t xml:space="preserve">to the frontiers of territories where his life or freedom would be threatened on account of his race, religion, nationality, membership of a particular social group or political opinion. </w:t>
      </w:r>
      <w:r w:rsidR="00365975" w:rsidRPr="00250715">
        <w:rPr>
          <w:rFonts w:ascii="Verdana" w:hAnsi="Verdana" w:cs="Arial"/>
        </w:rPr>
        <w:t xml:space="preserve">This extends not only to direct return to the country where persecution is feared but also indirect return via a third country. The </w:t>
      </w:r>
      <w:r w:rsidR="009B306E">
        <w:rPr>
          <w:rFonts w:ascii="Verdana" w:hAnsi="Verdana" w:cs="Arial"/>
        </w:rPr>
        <w:t>C</w:t>
      </w:r>
      <w:r w:rsidR="00365975" w:rsidRPr="00250715">
        <w:rPr>
          <w:rFonts w:ascii="Verdana" w:hAnsi="Verdana" w:cs="Arial"/>
        </w:rPr>
        <w:t>ourt held that there is a diminution of the right of non-refoulement by sections 2(1), 5(1) and 6, notwithstanding the limitations in section 6 IMA.</w:t>
      </w:r>
    </w:p>
    <w:p w14:paraId="4D38BE3C" w14:textId="77777777" w:rsidR="00F02396" w:rsidRPr="00250715" w:rsidRDefault="00F02396" w:rsidP="00AE7A83">
      <w:pPr>
        <w:pStyle w:val="paragraph"/>
        <w:spacing w:before="0" w:beforeAutospacing="0" w:after="0" w:afterAutospacing="0" w:line="288" w:lineRule="auto"/>
        <w:textAlignment w:val="baseline"/>
        <w:rPr>
          <w:rFonts w:ascii="Verdana" w:hAnsi="Verdana" w:cs="Arial"/>
        </w:rPr>
      </w:pPr>
    </w:p>
    <w:p w14:paraId="17BA0B2D" w14:textId="77777777" w:rsidR="00F02396" w:rsidRDefault="00F02396"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 xml:space="preserve">Detention </w:t>
      </w:r>
    </w:p>
    <w:p w14:paraId="013182BA" w14:textId="77777777" w:rsidR="00C332DC" w:rsidRPr="00C332DC" w:rsidRDefault="00C332DC" w:rsidP="00AE7A83">
      <w:pPr>
        <w:pStyle w:val="paragraph"/>
        <w:spacing w:before="0" w:beforeAutospacing="0" w:after="0" w:afterAutospacing="0" w:line="288" w:lineRule="auto"/>
        <w:textAlignment w:val="baseline"/>
        <w:rPr>
          <w:rFonts w:ascii="Verdana" w:hAnsi="Verdana" w:cs="Arial"/>
          <w:u w:val="single"/>
        </w:rPr>
      </w:pPr>
    </w:p>
    <w:p w14:paraId="0461ABC0" w14:textId="61131522" w:rsidR="00F02396" w:rsidRPr="00250715" w:rsidRDefault="00A867C5"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T</w:t>
      </w:r>
      <w:r w:rsidR="00C86060">
        <w:rPr>
          <w:rFonts w:ascii="Verdana" w:hAnsi="Verdana" w:cs="Arial"/>
        </w:rPr>
        <w:t>he</w:t>
      </w:r>
      <w:r w:rsidRPr="00250715">
        <w:rPr>
          <w:rFonts w:ascii="Verdana" w:hAnsi="Verdana" w:cs="Arial"/>
        </w:rPr>
        <w:t xml:space="preserve"> detention provisions</w:t>
      </w:r>
      <w:r w:rsidR="00C86060">
        <w:rPr>
          <w:rFonts w:ascii="Verdana" w:hAnsi="Verdana" w:cs="Arial"/>
        </w:rPr>
        <w:t xml:space="preserve"> </w:t>
      </w:r>
      <w:r w:rsidR="002D0257" w:rsidRPr="00250715">
        <w:rPr>
          <w:rFonts w:ascii="Verdana" w:hAnsi="Verdana" w:cs="Arial"/>
        </w:rPr>
        <w:t>prevent a person detained under th</w:t>
      </w:r>
      <w:r w:rsidR="007545B7">
        <w:rPr>
          <w:rFonts w:ascii="Verdana" w:hAnsi="Verdana" w:cs="Arial"/>
        </w:rPr>
        <w:t>e</w:t>
      </w:r>
      <w:r w:rsidR="002D0257" w:rsidRPr="00250715">
        <w:rPr>
          <w:rFonts w:ascii="Verdana" w:hAnsi="Verdana" w:cs="Arial"/>
        </w:rPr>
        <w:t xml:space="preserve"> IMA </w:t>
      </w:r>
      <w:r w:rsidR="00CE5EAD" w:rsidRPr="00250715">
        <w:rPr>
          <w:rFonts w:ascii="Verdana" w:hAnsi="Verdana" w:cs="Arial"/>
        </w:rPr>
        <w:t xml:space="preserve">to be granted immigration bail within the first 28 days </w:t>
      </w:r>
      <w:r w:rsidR="00E42269" w:rsidRPr="00250715">
        <w:rPr>
          <w:rFonts w:ascii="Verdana" w:hAnsi="Verdana" w:cs="Arial"/>
        </w:rPr>
        <w:t>of detention</w:t>
      </w:r>
      <w:r w:rsidR="00C86060">
        <w:rPr>
          <w:rFonts w:ascii="Verdana" w:hAnsi="Verdana" w:cs="Arial"/>
        </w:rPr>
        <w:t xml:space="preserve">. </w:t>
      </w:r>
      <w:r w:rsidR="00F02396" w:rsidRPr="00250715">
        <w:rPr>
          <w:rFonts w:ascii="Verdana" w:hAnsi="Verdana" w:cs="Arial"/>
        </w:rPr>
        <w:t xml:space="preserve">The </w:t>
      </w:r>
      <w:r w:rsidR="009B306E">
        <w:rPr>
          <w:rFonts w:ascii="Verdana" w:hAnsi="Verdana" w:cs="Arial"/>
        </w:rPr>
        <w:t>C</w:t>
      </w:r>
      <w:r w:rsidR="00F02396" w:rsidRPr="00250715">
        <w:rPr>
          <w:rFonts w:ascii="Verdana" w:hAnsi="Verdana" w:cs="Arial"/>
        </w:rPr>
        <w:t>ourt held that where an individual who wishes to claim asylum, and otherwise has good grounds to apply under the EU Directives, loses that right by virtue of the IMA and is therefore detained without remedy for 28 days, this must give rise to a diminution in</w:t>
      </w:r>
      <w:r w:rsidR="001F2C38">
        <w:rPr>
          <w:rFonts w:ascii="Verdana" w:hAnsi="Verdana" w:cs="Arial"/>
        </w:rPr>
        <w:t xml:space="preserve"> that</w:t>
      </w:r>
      <w:r w:rsidR="00F02396" w:rsidRPr="00250715">
        <w:rPr>
          <w:rFonts w:ascii="Verdana" w:hAnsi="Verdana" w:cs="Arial"/>
        </w:rPr>
        <w:t xml:space="preserve"> right. It </w:t>
      </w:r>
      <w:r w:rsidR="00E532D4">
        <w:rPr>
          <w:rFonts w:ascii="Verdana" w:hAnsi="Verdana" w:cs="Arial"/>
        </w:rPr>
        <w:t>confirmed</w:t>
      </w:r>
      <w:r w:rsidR="00F02396" w:rsidRPr="00250715">
        <w:rPr>
          <w:rFonts w:ascii="Verdana" w:hAnsi="Verdana" w:cs="Arial"/>
        </w:rPr>
        <w:t xml:space="preserve"> </w:t>
      </w:r>
      <w:r w:rsidR="00E532D4">
        <w:rPr>
          <w:rFonts w:ascii="Verdana" w:hAnsi="Verdana" w:cs="Arial"/>
        </w:rPr>
        <w:t xml:space="preserve">that </w:t>
      </w:r>
      <w:r w:rsidR="00F02396" w:rsidRPr="00250715">
        <w:rPr>
          <w:rFonts w:ascii="Verdana" w:hAnsi="Verdana" w:cs="Arial"/>
        </w:rPr>
        <w:t xml:space="preserve">the IMA deprives an individual of access to a </w:t>
      </w:r>
      <w:r w:rsidR="00F6163D">
        <w:rPr>
          <w:rFonts w:ascii="Verdana" w:hAnsi="Verdana" w:cs="Arial"/>
        </w:rPr>
        <w:t>C</w:t>
      </w:r>
      <w:r w:rsidR="00F02396" w:rsidRPr="00250715">
        <w:rPr>
          <w:rFonts w:ascii="Verdana" w:hAnsi="Verdana" w:cs="Arial"/>
        </w:rPr>
        <w:t xml:space="preserve">ourt and to an effective remedy during that period. </w:t>
      </w:r>
    </w:p>
    <w:p w14:paraId="4D0195E0" w14:textId="77777777" w:rsidR="00F02396" w:rsidRPr="00250715" w:rsidRDefault="00F02396" w:rsidP="00AE7A83">
      <w:pPr>
        <w:pStyle w:val="paragraph"/>
        <w:spacing w:before="0" w:beforeAutospacing="0" w:after="0" w:afterAutospacing="0" w:line="288" w:lineRule="auto"/>
        <w:textAlignment w:val="baseline"/>
        <w:rPr>
          <w:rFonts w:ascii="Verdana" w:hAnsi="Verdana" w:cs="Arial"/>
        </w:rPr>
      </w:pPr>
    </w:p>
    <w:p w14:paraId="77E7783C" w14:textId="77777777" w:rsidR="00EA57B4" w:rsidRPr="00C332DC" w:rsidRDefault="00F02396"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 xml:space="preserve">Trafficking </w:t>
      </w:r>
    </w:p>
    <w:p w14:paraId="0EA9D2B8" w14:textId="77777777" w:rsidR="00EA57B4" w:rsidRPr="00250715" w:rsidRDefault="00EA57B4" w:rsidP="00AE7A83">
      <w:pPr>
        <w:pStyle w:val="paragraph"/>
        <w:spacing w:before="0" w:beforeAutospacing="0" w:after="0" w:afterAutospacing="0" w:line="288" w:lineRule="auto"/>
        <w:textAlignment w:val="baseline"/>
        <w:rPr>
          <w:rFonts w:ascii="Verdana" w:hAnsi="Verdana" w:cs="Arial"/>
        </w:rPr>
      </w:pPr>
    </w:p>
    <w:p w14:paraId="1C2EFB48" w14:textId="5F0630CC" w:rsidR="00633788" w:rsidRPr="00250715" w:rsidRDefault="00B06931" w:rsidP="00AE7A83">
      <w:pPr>
        <w:pStyle w:val="paragraph"/>
        <w:spacing w:before="0" w:beforeAutospacing="0" w:after="0" w:afterAutospacing="0" w:line="288" w:lineRule="auto"/>
        <w:textAlignment w:val="baseline"/>
        <w:rPr>
          <w:rFonts w:ascii="Verdana" w:hAnsi="Verdana" w:cs="Arial"/>
        </w:rPr>
      </w:pPr>
      <w:r>
        <w:rPr>
          <w:rFonts w:ascii="Verdana" w:hAnsi="Verdana" w:cs="Arial"/>
        </w:rPr>
        <w:t>Eve</w:t>
      </w:r>
      <w:r w:rsidR="00D82AEA">
        <w:rPr>
          <w:rFonts w:ascii="Verdana" w:hAnsi="Verdana" w:cs="Arial"/>
        </w:rPr>
        <w:t>n</w:t>
      </w:r>
      <w:r>
        <w:rPr>
          <w:rFonts w:ascii="Verdana" w:hAnsi="Verdana" w:cs="Arial"/>
        </w:rPr>
        <w:t xml:space="preserve"> w</w:t>
      </w:r>
      <w:r w:rsidR="00633788" w:rsidRPr="00250715">
        <w:rPr>
          <w:rFonts w:ascii="Verdana" w:hAnsi="Verdana" w:cs="Arial"/>
        </w:rPr>
        <w:t xml:space="preserve">here there </w:t>
      </w:r>
      <w:r w:rsidR="00A87C2F" w:rsidRPr="00250715">
        <w:rPr>
          <w:rFonts w:ascii="Verdana" w:hAnsi="Verdana" w:cs="Arial"/>
        </w:rPr>
        <w:t>are</w:t>
      </w:r>
      <w:r w:rsidR="00633788" w:rsidRPr="00250715">
        <w:rPr>
          <w:rFonts w:ascii="Verdana" w:hAnsi="Verdana" w:cs="Arial"/>
        </w:rPr>
        <w:t xml:space="preserve"> reasonable grounds to believe that a person is a victim of slavery or trafficking, </w:t>
      </w:r>
      <w:r w:rsidR="00EC3FD9" w:rsidRPr="00250715">
        <w:rPr>
          <w:rFonts w:ascii="Verdana" w:hAnsi="Verdana" w:cs="Arial"/>
        </w:rPr>
        <w:t xml:space="preserve">the trafficking provisions </w:t>
      </w:r>
      <w:r w:rsidR="00314C5B">
        <w:rPr>
          <w:rFonts w:ascii="Verdana" w:hAnsi="Verdana" w:cs="Arial"/>
        </w:rPr>
        <w:t xml:space="preserve">of the IMA </w:t>
      </w:r>
      <w:r w:rsidR="00EC3FD9" w:rsidRPr="00250715">
        <w:rPr>
          <w:rFonts w:ascii="Verdana" w:hAnsi="Verdana" w:cs="Arial"/>
        </w:rPr>
        <w:t xml:space="preserve">remove the </w:t>
      </w:r>
      <w:r w:rsidR="00881318" w:rsidRPr="00250715">
        <w:rPr>
          <w:rFonts w:ascii="Verdana" w:hAnsi="Verdana" w:cs="Arial"/>
        </w:rPr>
        <w:t xml:space="preserve">right for that person to have a recovery period and the </w:t>
      </w:r>
      <w:r w:rsidR="00B84E69">
        <w:rPr>
          <w:rFonts w:ascii="Verdana" w:hAnsi="Verdana" w:cs="Arial"/>
        </w:rPr>
        <w:t>right to be gran</w:t>
      </w:r>
      <w:r w:rsidR="00A87C2F" w:rsidRPr="00250715">
        <w:rPr>
          <w:rFonts w:ascii="Verdana" w:hAnsi="Verdana" w:cs="Arial"/>
        </w:rPr>
        <w:t>t</w:t>
      </w:r>
      <w:r w:rsidR="00B84E69">
        <w:rPr>
          <w:rFonts w:ascii="Verdana" w:hAnsi="Verdana" w:cs="Arial"/>
        </w:rPr>
        <w:t>ed</w:t>
      </w:r>
      <w:r w:rsidR="00A87C2F" w:rsidRPr="00250715">
        <w:rPr>
          <w:rFonts w:ascii="Verdana" w:hAnsi="Verdana" w:cs="Arial"/>
        </w:rPr>
        <w:t xml:space="preserve"> limited leave to remain.</w:t>
      </w:r>
      <w:r w:rsidR="00272BCC" w:rsidRPr="00250715">
        <w:rPr>
          <w:rFonts w:ascii="Verdana" w:hAnsi="Verdana" w:cs="Arial"/>
        </w:rPr>
        <w:t xml:space="preserve"> Further</w:t>
      </w:r>
      <w:r w:rsidR="00B84E69">
        <w:rPr>
          <w:rFonts w:ascii="Verdana" w:hAnsi="Verdana" w:cs="Arial"/>
        </w:rPr>
        <w:t>,</w:t>
      </w:r>
      <w:r w:rsidR="00272BCC" w:rsidRPr="00250715">
        <w:rPr>
          <w:rFonts w:ascii="Verdana" w:hAnsi="Verdana" w:cs="Arial"/>
        </w:rPr>
        <w:t xml:space="preserve"> the right </w:t>
      </w:r>
      <w:r w:rsidR="009B4662" w:rsidRPr="00250715">
        <w:rPr>
          <w:rFonts w:ascii="Verdana" w:hAnsi="Verdana" w:cs="Arial"/>
        </w:rPr>
        <w:t xml:space="preserve">to have assistance and support under the Human Trafficking and Exploitation (Criminal Justice and Support for Victims) Act (Northern Ireland) 2015 is disapplied where </w:t>
      </w:r>
      <w:r w:rsidR="00184EC1" w:rsidRPr="00250715">
        <w:rPr>
          <w:rFonts w:ascii="Verdana" w:hAnsi="Verdana" w:cs="Arial"/>
        </w:rPr>
        <w:t xml:space="preserve">the removal duty applies. </w:t>
      </w:r>
      <w:r w:rsidR="00075EF1" w:rsidRPr="00250715">
        <w:rPr>
          <w:rFonts w:ascii="Verdana" w:hAnsi="Verdana" w:cs="Arial"/>
        </w:rPr>
        <w:t xml:space="preserve">The </w:t>
      </w:r>
      <w:r w:rsidR="009B306E">
        <w:rPr>
          <w:rFonts w:ascii="Verdana" w:hAnsi="Verdana" w:cs="Arial"/>
        </w:rPr>
        <w:t>C</w:t>
      </w:r>
      <w:r w:rsidR="00075EF1" w:rsidRPr="00250715">
        <w:rPr>
          <w:rFonts w:ascii="Verdana" w:hAnsi="Verdana" w:cs="Arial"/>
        </w:rPr>
        <w:t>ourt was satisfied that these provisions would cause a diminution in right</w:t>
      </w:r>
      <w:r w:rsidR="001F2C38">
        <w:rPr>
          <w:rFonts w:ascii="Verdana" w:hAnsi="Verdana" w:cs="Arial"/>
        </w:rPr>
        <w:t>s</w:t>
      </w:r>
      <w:r w:rsidR="00075EF1" w:rsidRPr="00250715">
        <w:rPr>
          <w:rFonts w:ascii="Verdana" w:hAnsi="Verdana" w:cs="Arial"/>
        </w:rPr>
        <w:t xml:space="preserve"> enjoyed by victims of slavery or trafficking.</w:t>
      </w:r>
    </w:p>
    <w:p w14:paraId="72B1C3F6" w14:textId="77777777" w:rsidR="00A87C2F" w:rsidRPr="00250715" w:rsidRDefault="00A87C2F" w:rsidP="00AE7A83">
      <w:pPr>
        <w:pStyle w:val="paragraph"/>
        <w:spacing w:before="0" w:beforeAutospacing="0" w:after="0" w:afterAutospacing="0" w:line="288" w:lineRule="auto"/>
        <w:textAlignment w:val="baseline"/>
        <w:rPr>
          <w:rFonts w:ascii="Verdana" w:hAnsi="Verdana" w:cs="Arial"/>
        </w:rPr>
      </w:pPr>
    </w:p>
    <w:p w14:paraId="17141625" w14:textId="788F3C4F" w:rsidR="00075EF1" w:rsidRPr="00C332DC" w:rsidRDefault="00075EF1"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 xml:space="preserve">Children </w:t>
      </w:r>
    </w:p>
    <w:p w14:paraId="027782EF" w14:textId="77777777" w:rsidR="00AE7A83" w:rsidRPr="00250715" w:rsidRDefault="00AE7A83" w:rsidP="00AE7A83">
      <w:pPr>
        <w:pStyle w:val="paragraph"/>
        <w:spacing w:before="0" w:beforeAutospacing="0" w:after="0" w:afterAutospacing="0" w:line="288" w:lineRule="auto"/>
        <w:textAlignment w:val="baseline"/>
        <w:rPr>
          <w:rFonts w:ascii="Verdana" w:hAnsi="Verdana" w:cs="Arial"/>
        </w:rPr>
      </w:pPr>
    </w:p>
    <w:p w14:paraId="29809258" w14:textId="75DA7523" w:rsidR="009E5EFA" w:rsidRPr="00250715" w:rsidRDefault="005C02F4"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Articles 20(3) and (5) of the Qualification Directive require Member States to </w:t>
      </w:r>
      <w:proofErr w:type="gramStart"/>
      <w:r w:rsidRPr="00250715">
        <w:rPr>
          <w:rFonts w:ascii="Verdana" w:hAnsi="Verdana" w:cs="Arial"/>
        </w:rPr>
        <w:t>take into account</w:t>
      </w:r>
      <w:proofErr w:type="gramEnd"/>
      <w:r w:rsidRPr="00250715">
        <w:rPr>
          <w:rFonts w:ascii="Verdana" w:hAnsi="Verdana" w:cs="Arial"/>
        </w:rPr>
        <w:t xml:space="preserve"> the best interests of children as a primary consideration when implementing the Directive. The provisions of the Qualification and Procedures Directives must </w:t>
      </w:r>
      <w:r w:rsidR="00DA3AEE">
        <w:rPr>
          <w:rFonts w:ascii="Verdana" w:hAnsi="Verdana" w:cs="Arial"/>
        </w:rPr>
        <w:t xml:space="preserve">also </w:t>
      </w:r>
      <w:r w:rsidRPr="00250715">
        <w:rPr>
          <w:rFonts w:ascii="Verdana" w:hAnsi="Verdana" w:cs="Arial"/>
        </w:rPr>
        <w:t xml:space="preserve">be interpreted and </w:t>
      </w:r>
      <w:r w:rsidRPr="00250715">
        <w:rPr>
          <w:rFonts w:ascii="Verdana" w:hAnsi="Verdana" w:cs="Arial"/>
        </w:rPr>
        <w:lastRenderedPageBreak/>
        <w:t xml:space="preserve">applied in accordance with article 24 </w:t>
      </w:r>
      <w:r w:rsidR="004240B7">
        <w:rPr>
          <w:rFonts w:ascii="Verdana" w:hAnsi="Verdana" w:cs="Arial"/>
        </w:rPr>
        <w:t xml:space="preserve">of the </w:t>
      </w:r>
      <w:r w:rsidRPr="00250715">
        <w:rPr>
          <w:rFonts w:ascii="Verdana" w:hAnsi="Verdana" w:cs="Arial"/>
        </w:rPr>
        <w:t>C</w:t>
      </w:r>
      <w:r w:rsidR="004240B7">
        <w:rPr>
          <w:rFonts w:ascii="Verdana" w:hAnsi="Verdana" w:cs="Arial"/>
        </w:rPr>
        <w:t xml:space="preserve">harter of </w:t>
      </w:r>
      <w:r w:rsidRPr="00250715">
        <w:rPr>
          <w:rFonts w:ascii="Verdana" w:hAnsi="Verdana" w:cs="Arial"/>
        </w:rPr>
        <w:t>F</w:t>
      </w:r>
      <w:r w:rsidR="004240B7">
        <w:rPr>
          <w:rFonts w:ascii="Verdana" w:hAnsi="Verdana" w:cs="Arial"/>
        </w:rPr>
        <w:t xml:space="preserve">undamental </w:t>
      </w:r>
      <w:r w:rsidRPr="00250715">
        <w:rPr>
          <w:rFonts w:ascii="Verdana" w:hAnsi="Verdana" w:cs="Arial"/>
        </w:rPr>
        <w:t>R</w:t>
      </w:r>
      <w:r w:rsidR="004240B7">
        <w:rPr>
          <w:rFonts w:ascii="Verdana" w:hAnsi="Verdana" w:cs="Arial"/>
        </w:rPr>
        <w:t>ights</w:t>
      </w:r>
      <w:r w:rsidRPr="00250715">
        <w:rPr>
          <w:rFonts w:ascii="Verdana" w:hAnsi="Verdana" w:cs="Arial"/>
        </w:rPr>
        <w:t xml:space="preserve"> which states that, “In all actions relating to children … the child’s best interests must be a primary consideration.” </w:t>
      </w:r>
    </w:p>
    <w:p w14:paraId="73E4FF64" w14:textId="77777777" w:rsidR="009E5EFA" w:rsidRPr="00250715" w:rsidRDefault="009E5EFA" w:rsidP="00AE7A83">
      <w:pPr>
        <w:pStyle w:val="paragraph"/>
        <w:spacing w:before="0" w:beforeAutospacing="0" w:after="0" w:afterAutospacing="0" w:line="288" w:lineRule="auto"/>
        <w:textAlignment w:val="baseline"/>
        <w:rPr>
          <w:rFonts w:ascii="Verdana" w:hAnsi="Verdana" w:cs="Arial"/>
        </w:rPr>
      </w:pPr>
    </w:p>
    <w:p w14:paraId="5641EB68" w14:textId="33CDAD6C" w:rsidR="007378E3" w:rsidRDefault="007E2F21"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rPr>
        <w:t>The Court confirmed that in</w:t>
      </w:r>
      <w:r w:rsidR="009E5EFA" w:rsidRPr="00250715">
        <w:rPr>
          <w:rFonts w:ascii="Verdana" w:hAnsi="Verdana"/>
        </w:rPr>
        <w:t xml:space="preserve"> performing that assessment and determining claims for international protection prior to removal, the child’s best interests must be a primary consideration.</w:t>
      </w:r>
      <w:r w:rsidR="00275EA1">
        <w:rPr>
          <w:rFonts w:ascii="Verdana" w:hAnsi="Verdana" w:cs="Arial"/>
        </w:rPr>
        <w:t xml:space="preserve"> </w:t>
      </w:r>
      <w:r w:rsidR="005C02F4" w:rsidRPr="00250715">
        <w:rPr>
          <w:rFonts w:ascii="Verdana" w:hAnsi="Verdana" w:cs="Arial"/>
        </w:rPr>
        <w:t xml:space="preserve">The </w:t>
      </w:r>
      <w:r w:rsidR="00275EA1">
        <w:rPr>
          <w:rFonts w:ascii="Verdana" w:hAnsi="Verdana" w:cs="Arial"/>
        </w:rPr>
        <w:t>C</w:t>
      </w:r>
      <w:r w:rsidR="005C02F4" w:rsidRPr="00250715">
        <w:rPr>
          <w:rFonts w:ascii="Verdana" w:hAnsi="Verdana" w:cs="Arial"/>
        </w:rPr>
        <w:t xml:space="preserve">ourt </w:t>
      </w:r>
      <w:r w:rsidR="00275EA1">
        <w:rPr>
          <w:rFonts w:ascii="Verdana" w:hAnsi="Verdana" w:cs="Arial"/>
        </w:rPr>
        <w:t>held</w:t>
      </w:r>
      <w:r w:rsidR="005C02F4" w:rsidRPr="00250715">
        <w:rPr>
          <w:rFonts w:ascii="Verdana" w:hAnsi="Verdana" w:cs="Arial"/>
        </w:rPr>
        <w:t xml:space="preserve"> these rights are diminished as the duty </w:t>
      </w:r>
      <w:r w:rsidR="00EC4BB5">
        <w:rPr>
          <w:rFonts w:ascii="Verdana" w:hAnsi="Verdana" w:cs="Arial"/>
        </w:rPr>
        <w:t xml:space="preserve">under the IMA </w:t>
      </w:r>
      <w:r w:rsidR="005C02F4" w:rsidRPr="00250715">
        <w:rPr>
          <w:rFonts w:ascii="Verdana" w:hAnsi="Verdana" w:cs="Arial"/>
        </w:rPr>
        <w:t xml:space="preserve">to declare protection and human rights claims inadmissible applies to children on a blanket basis. </w:t>
      </w:r>
      <w:r w:rsidR="00410B9B" w:rsidRPr="00250715">
        <w:rPr>
          <w:rFonts w:ascii="Verdana" w:hAnsi="Verdana" w:cs="Arial"/>
        </w:rPr>
        <w:t xml:space="preserve">The removal provisions </w:t>
      </w:r>
      <w:r w:rsidR="005C02F4" w:rsidRPr="00250715">
        <w:rPr>
          <w:rFonts w:ascii="Verdana" w:hAnsi="Verdana" w:cs="Arial"/>
        </w:rPr>
        <w:t>mean</w:t>
      </w:r>
      <w:r w:rsidR="00410B9B" w:rsidRPr="00250715">
        <w:rPr>
          <w:rFonts w:ascii="Verdana" w:hAnsi="Verdana" w:cs="Arial"/>
        </w:rPr>
        <w:t xml:space="preserve"> that</w:t>
      </w:r>
      <w:r w:rsidR="005C02F4" w:rsidRPr="00250715">
        <w:rPr>
          <w:rFonts w:ascii="Verdana" w:hAnsi="Verdana" w:cs="Arial"/>
        </w:rPr>
        <w:t xml:space="preserve"> the best interests will not be a relevant consideration before removal of an accompanied child</w:t>
      </w:r>
      <w:r w:rsidR="000058E6" w:rsidRPr="00250715">
        <w:rPr>
          <w:rFonts w:ascii="Verdana" w:hAnsi="Verdana" w:cs="Arial"/>
        </w:rPr>
        <w:t xml:space="preserve"> and therefore this would be a diminution</w:t>
      </w:r>
      <w:r w:rsidR="007B59F1">
        <w:rPr>
          <w:rFonts w:ascii="Verdana" w:hAnsi="Verdana" w:cs="Arial"/>
        </w:rPr>
        <w:t xml:space="preserve"> of rights</w:t>
      </w:r>
      <w:r w:rsidR="00363710" w:rsidRPr="00250715">
        <w:rPr>
          <w:rFonts w:ascii="Verdana" w:hAnsi="Verdana" w:cs="Arial"/>
        </w:rPr>
        <w:t xml:space="preserve">. </w:t>
      </w:r>
    </w:p>
    <w:p w14:paraId="26A116A6" w14:textId="77777777" w:rsidR="003344D3" w:rsidRDefault="003344D3" w:rsidP="00AE7A83">
      <w:pPr>
        <w:pStyle w:val="paragraph"/>
        <w:spacing w:before="0" w:beforeAutospacing="0" w:after="0" w:afterAutospacing="0" w:line="288" w:lineRule="auto"/>
        <w:textAlignment w:val="baseline"/>
        <w:rPr>
          <w:rFonts w:ascii="Verdana" w:hAnsi="Verdana" w:cs="Arial"/>
        </w:rPr>
      </w:pPr>
    </w:p>
    <w:p w14:paraId="6693D4E2" w14:textId="77777777" w:rsidR="00A11541" w:rsidRPr="00971C74" w:rsidRDefault="00A11541" w:rsidP="00A11541">
      <w:pPr>
        <w:spacing w:line="288" w:lineRule="auto"/>
        <w:rPr>
          <w:rFonts w:ascii="Verdana" w:hAnsi="Verdana"/>
          <w:sz w:val="24"/>
          <w:szCs w:val="24"/>
          <w:u w:val="single"/>
        </w:rPr>
      </w:pPr>
      <w:r w:rsidRPr="00971C74">
        <w:rPr>
          <w:rFonts w:ascii="Verdana" w:hAnsi="Verdana"/>
          <w:sz w:val="24"/>
          <w:szCs w:val="24"/>
          <w:u w:val="single"/>
        </w:rPr>
        <w:t>Disapplication of conflicting provisions</w:t>
      </w:r>
    </w:p>
    <w:p w14:paraId="7455C61D" w14:textId="29012D8C" w:rsidR="00F20DB9" w:rsidRDefault="00A11541" w:rsidP="00A11541">
      <w:pPr>
        <w:spacing w:line="288" w:lineRule="auto"/>
        <w:rPr>
          <w:rFonts w:ascii="Verdana" w:hAnsi="Verdana"/>
          <w:sz w:val="24"/>
          <w:szCs w:val="24"/>
        </w:rPr>
      </w:pPr>
      <w:r w:rsidRPr="00971C74">
        <w:rPr>
          <w:rFonts w:ascii="Verdana" w:hAnsi="Verdana"/>
          <w:sz w:val="24"/>
          <w:szCs w:val="24"/>
        </w:rPr>
        <w:t xml:space="preserve">The </w:t>
      </w:r>
      <w:r w:rsidR="00D2238D">
        <w:rPr>
          <w:rFonts w:ascii="Verdana" w:hAnsi="Verdana"/>
          <w:sz w:val="24"/>
          <w:szCs w:val="24"/>
        </w:rPr>
        <w:t>C</w:t>
      </w:r>
      <w:r w:rsidRPr="00971C74">
        <w:rPr>
          <w:rFonts w:ascii="Verdana" w:hAnsi="Verdana"/>
          <w:sz w:val="24"/>
          <w:szCs w:val="24"/>
        </w:rPr>
        <w:t xml:space="preserve">ourt stated </w:t>
      </w:r>
      <w:r w:rsidR="00FF02B8">
        <w:rPr>
          <w:rFonts w:ascii="Verdana" w:hAnsi="Verdana"/>
          <w:sz w:val="24"/>
          <w:szCs w:val="24"/>
        </w:rPr>
        <w:t>at paragraph 38</w:t>
      </w:r>
      <w:r w:rsidR="00EA543E">
        <w:rPr>
          <w:rFonts w:ascii="Verdana" w:hAnsi="Verdana"/>
          <w:sz w:val="24"/>
          <w:szCs w:val="24"/>
        </w:rPr>
        <w:t xml:space="preserve"> of the judgment</w:t>
      </w:r>
      <w:r w:rsidR="00FF02B8">
        <w:rPr>
          <w:rFonts w:ascii="Verdana" w:hAnsi="Verdana"/>
          <w:sz w:val="24"/>
          <w:szCs w:val="24"/>
        </w:rPr>
        <w:t xml:space="preserve">, </w:t>
      </w:r>
      <w:r w:rsidRPr="00971C74">
        <w:rPr>
          <w:rFonts w:ascii="Verdana" w:hAnsi="Verdana"/>
          <w:sz w:val="24"/>
          <w:szCs w:val="24"/>
        </w:rPr>
        <w:t xml:space="preserve">“The principle of parliamentary sovereignty remains a fundamental tenet of our constitutional law. As the Supreme Court confirmed in R (Miller) v The Prime Minister [2019] UKSC 41: “laws enacted by the Crown in Parliament are the supreme form of law in our legal system, with which everyone, including the Government, must comply.” </w:t>
      </w:r>
    </w:p>
    <w:p w14:paraId="505AC65B" w14:textId="601DE285" w:rsidR="00A11541" w:rsidRPr="005F4733" w:rsidRDefault="000D2FE6" w:rsidP="00A11541">
      <w:pPr>
        <w:spacing w:line="288" w:lineRule="auto"/>
        <w:rPr>
          <w:rFonts w:ascii="Verdana" w:hAnsi="Verdana"/>
          <w:sz w:val="24"/>
          <w:szCs w:val="24"/>
        </w:rPr>
      </w:pPr>
      <w:r>
        <w:rPr>
          <w:rFonts w:ascii="Verdana" w:hAnsi="Verdana"/>
          <w:sz w:val="24"/>
          <w:szCs w:val="24"/>
        </w:rPr>
        <w:t xml:space="preserve">Under Article 4 </w:t>
      </w:r>
      <w:r w:rsidR="002528AC">
        <w:rPr>
          <w:rFonts w:ascii="Verdana" w:hAnsi="Verdana"/>
          <w:sz w:val="24"/>
          <w:szCs w:val="24"/>
        </w:rPr>
        <w:t xml:space="preserve">of the </w:t>
      </w:r>
      <w:r w:rsidR="00883EF6">
        <w:rPr>
          <w:rFonts w:ascii="Verdana" w:hAnsi="Verdana"/>
          <w:sz w:val="24"/>
          <w:szCs w:val="24"/>
        </w:rPr>
        <w:t xml:space="preserve">Withdrawal Agreement, </w:t>
      </w:r>
      <w:r w:rsidR="00F20DB9">
        <w:rPr>
          <w:rFonts w:ascii="Verdana" w:hAnsi="Verdana"/>
          <w:sz w:val="24"/>
          <w:szCs w:val="24"/>
        </w:rPr>
        <w:t xml:space="preserve">where </w:t>
      </w:r>
      <w:r w:rsidR="007C296C">
        <w:rPr>
          <w:rFonts w:ascii="Verdana" w:hAnsi="Verdana"/>
          <w:sz w:val="24"/>
          <w:szCs w:val="24"/>
        </w:rPr>
        <w:t>domestic law</w:t>
      </w:r>
      <w:r w:rsidR="00E33C1E">
        <w:rPr>
          <w:rFonts w:ascii="Verdana" w:hAnsi="Verdana"/>
          <w:sz w:val="24"/>
          <w:szCs w:val="24"/>
        </w:rPr>
        <w:t xml:space="preserve"> </w:t>
      </w:r>
      <w:r w:rsidR="007C296C">
        <w:rPr>
          <w:rFonts w:ascii="Verdana" w:hAnsi="Verdana"/>
          <w:sz w:val="24"/>
          <w:szCs w:val="24"/>
        </w:rPr>
        <w:t>is inconsistent with the provisions of the UK-EU Withdrawal Agreement</w:t>
      </w:r>
      <w:r w:rsidR="009F0206">
        <w:rPr>
          <w:rFonts w:ascii="Verdana" w:hAnsi="Verdana"/>
          <w:sz w:val="24"/>
          <w:szCs w:val="24"/>
        </w:rPr>
        <w:t xml:space="preserve"> or laws made applicable by the </w:t>
      </w:r>
      <w:r w:rsidR="00FA5485">
        <w:rPr>
          <w:rFonts w:ascii="Verdana" w:hAnsi="Verdana"/>
          <w:sz w:val="24"/>
          <w:szCs w:val="24"/>
        </w:rPr>
        <w:t xml:space="preserve">Withdrawal Agreement, </w:t>
      </w:r>
      <w:r w:rsidR="00586BC8">
        <w:rPr>
          <w:rFonts w:ascii="Verdana" w:hAnsi="Verdana"/>
          <w:sz w:val="24"/>
          <w:szCs w:val="24"/>
        </w:rPr>
        <w:t>the latter takes precedence and domestic</w:t>
      </w:r>
      <w:r w:rsidR="00EA543E">
        <w:rPr>
          <w:rFonts w:ascii="Verdana" w:hAnsi="Verdana"/>
          <w:sz w:val="24"/>
          <w:szCs w:val="24"/>
        </w:rPr>
        <w:t xml:space="preserve"> </w:t>
      </w:r>
      <w:r w:rsidR="00586BC8">
        <w:rPr>
          <w:rFonts w:ascii="Verdana" w:hAnsi="Verdana"/>
          <w:sz w:val="24"/>
          <w:szCs w:val="24"/>
        </w:rPr>
        <w:t xml:space="preserve">law is disapplied. The Court confirmed </w:t>
      </w:r>
      <w:r w:rsidR="00EA543E">
        <w:rPr>
          <w:rFonts w:ascii="Verdana" w:hAnsi="Verdana"/>
          <w:sz w:val="24"/>
          <w:szCs w:val="24"/>
        </w:rPr>
        <w:t xml:space="preserve">at </w:t>
      </w:r>
      <w:r w:rsidR="005572EF">
        <w:rPr>
          <w:rFonts w:ascii="Verdana" w:hAnsi="Verdana"/>
          <w:sz w:val="24"/>
          <w:szCs w:val="24"/>
        </w:rPr>
        <w:t xml:space="preserve">paragraph 175 of the judgment that this was the </w:t>
      </w:r>
      <w:r w:rsidR="00800297">
        <w:rPr>
          <w:rFonts w:ascii="Verdana" w:hAnsi="Verdana"/>
          <w:sz w:val="24"/>
          <w:szCs w:val="24"/>
        </w:rPr>
        <w:t>‘</w:t>
      </w:r>
      <w:r w:rsidR="005572EF">
        <w:rPr>
          <w:rFonts w:ascii="Verdana" w:hAnsi="Verdana"/>
          <w:sz w:val="24"/>
          <w:szCs w:val="24"/>
        </w:rPr>
        <w:t>will of Parliament as articulated in the Withdrawal Act</w:t>
      </w:r>
      <w:r w:rsidR="00F51A70">
        <w:rPr>
          <w:rFonts w:ascii="Verdana" w:hAnsi="Verdana"/>
          <w:sz w:val="24"/>
          <w:szCs w:val="24"/>
        </w:rPr>
        <w:t xml:space="preserve"> [</w:t>
      </w:r>
      <w:r w:rsidR="00F51A70">
        <w:rPr>
          <w:rFonts w:ascii="Verdana" w:hAnsi="Verdana"/>
          <w:i/>
          <w:iCs/>
          <w:sz w:val="24"/>
          <w:szCs w:val="24"/>
        </w:rPr>
        <w:t>European Union (Withdrawal) Act 2018]</w:t>
      </w:r>
      <w:r w:rsidR="005F4733">
        <w:rPr>
          <w:rFonts w:ascii="Verdana" w:hAnsi="Verdana"/>
          <w:i/>
          <w:iCs/>
          <w:sz w:val="24"/>
          <w:szCs w:val="24"/>
        </w:rPr>
        <w:t>.</w:t>
      </w:r>
      <w:r w:rsidR="005F4733">
        <w:rPr>
          <w:rFonts w:ascii="Verdana" w:hAnsi="Verdana"/>
          <w:sz w:val="24"/>
          <w:szCs w:val="24"/>
        </w:rPr>
        <w:t>’</w:t>
      </w:r>
    </w:p>
    <w:p w14:paraId="32CAA861" w14:textId="21B5CEBB" w:rsidR="00A11541" w:rsidRDefault="00A11541" w:rsidP="00A11541">
      <w:pPr>
        <w:spacing w:line="288" w:lineRule="auto"/>
        <w:rPr>
          <w:rFonts w:ascii="Verdana" w:hAnsi="Verdana"/>
          <w:sz w:val="24"/>
          <w:szCs w:val="24"/>
        </w:rPr>
      </w:pPr>
      <w:r w:rsidRPr="00971C74">
        <w:rPr>
          <w:rFonts w:ascii="Verdana" w:hAnsi="Verdana"/>
          <w:sz w:val="24"/>
          <w:szCs w:val="24"/>
        </w:rPr>
        <w:t xml:space="preserve">The </w:t>
      </w:r>
      <w:r w:rsidR="00D2238D">
        <w:rPr>
          <w:rFonts w:ascii="Verdana" w:hAnsi="Verdana"/>
          <w:sz w:val="24"/>
          <w:szCs w:val="24"/>
        </w:rPr>
        <w:t>C</w:t>
      </w:r>
      <w:r w:rsidRPr="00971C74">
        <w:rPr>
          <w:rFonts w:ascii="Verdana" w:hAnsi="Verdana"/>
          <w:sz w:val="24"/>
          <w:szCs w:val="24"/>
        </w:rPr>
        <w:t xml:space="preserve">ourt </w:t>
      </w:r>
      <w:r w:rsidR="006065C2">
        <w:rPr>
          <w:rFonts w:ascii="Verdana" w:hAnsi="Verdana"/>
          <w:sz w:val="24"/>
          <w:szCs w:val="24"/>
        </w:rPr>
        <w:t>concluded that section 7A</w:t>
      </w:r>
      <w:r w:rsidR="00AD5413">
        <w:rPr>
          <w:rFonts w:ascii="Verdana" w:hAnsi="Verdana"/>
          <w:sz w:val="24"/>
          <w:szCs w:val="24"/>
        </w:rPr>
        <w:t xml:space="preserve"> </w:t>
      </w:r>
      <w:r w:rsidR="005E09DA">
        <w:rPr>
          <w:rFonts w:ascii="Verdana" w:hAnsi="Verdana"/>
          <w:sz w:val="24"/>
          <w:szCs w:val="24"/>
        </w:rPr>
        <w:t xml:space="preserve">of the European Union (Withdrawal) Act 2018 mandated disapplication of offending provisions and </w:t>
      </w:r>
      <w:r w:rsidRPr="00971C74">
        <w:rPr>
          <w:rFonts w:ascii="Verdana" w:hAnsi="Verdana"/>
          <w:sz w:val="24"/>
          <w:szCs w:val="24"/>
        </w:rPr>
        <w:t>therefore disapplied the following</w:t>
      </w:r>
      <w:r>
        <w:rPr>
          <w:rFonts w:ascii="Verdana" w:hAnsi="Verdana"/>
          <w:sz w:val="24"/>
          <w:szCs w:val="24"/>
        </w:rPr>
        <w:t xml:space="preserve"> provisions of the IMA</w:t>
      </w:r>
      <w:r w:rsidRPr="00971C74">
        <w:rPr>
          <w:rFonts w:ascii="Verdana" w:hAnsi="Verdana"/>
          <w:sz w:val="24"/>
          <w:szCs w:val="24"/>
        </w:rPr>
        <w:t xml:space="preserve"> in Northern Ireland: Section 2(1)</w:t>
      </w:r>
      <w:r w:rsidR="00471478">
        <w:rPr>
          <w:rFonts w:ascii="Verdana" w:hAnsi="Verdana"/>
          <w:sz w:val="24"/>
          <w:szCs w:val="24"/>
        </w:rPr>
        <w:t>,</w:t>
      </w:r>
      <w:r w:rsidRPr="00971C74">
        <w:rPr>
          <w:rFonts w:ascii="Verdana" w:hAnsi="Verdana"/>
          <w:sz w:val="24"/>
          <w:szCs w:val="24"/>
        </w:rPr>
        <w:t xml:space="preserve"> Section 5(1)</w:t>
      </w:r>
      <w:r w:rsidR="00471478">
        <w:rPr>
          <w:rFonts w:ascii="Verdana" w:hAnsi="Verdana"/>
          <w:sz w:val="24"/>
          <w:szCs w:val="24"/>
        </w:rPr>
        <w:t>,</w:t>
      </w:r>
      <w:r w:rsidR="00126093">
        <w:rPr>
          <w:rFonts w:ascii="Verdana" w:hAnsi="Verdana"/>
          <w:sz w:val="24"/>
          <w:szCs w:val="24"/>
        </w:rPr>
        <w:t xml:space="preserve"> </w:t>
      </w:r>
      <w:r w:rsidRPr="00971C74">
        <w:rPr>
          <w:rFonts w:ascii="Verdana" w:hAnsi="Verdana"/>
          <w:sz w:val="24"/>
          <w:szCs w:val="24"/>
        </w:rPr>
        <w:t>Section 5(2)</w:t>
      </w:r>
      <w:r w:rsidR="00471478">
        <w:rPr>
          <w:rFonts w:ascii="Verdana" w:hAnsi="Verdana"/>
          <w:sz w:val="24"/>
          <w:szCs w:val="24"/>
        </w:rPr>
        <w:t>,</w:t>
      </w:r>
      <w:r w:rsidRPr="00971C74">
        <w:rPr>
          <w:rFonts w:ascii="Verdana" w:hAnsi="Verdana"/>
          <w:sz w:val="24"/>
          <w:szCs w:val="24"/>
        </w:rPr>
        <w:t xml:space="preserve"> Section 6</w:t>
      </w:r>
      <w:r w:rsidR="00126093">
        <w:rPr>
          <w:rFonts w:ascii="Verdana" w:hAnsi="Verdana"/>
          <w:sz w:val="24"/>
          <w:szCs w:val="24"/>
        </w:rPr>
        <w:t xml:space="preserve"> </w:t>
      </w:r>
      <w:r w:rsidRPr="00971C74">
        <w:rPr>
          <w:rFonts w:ascii="Verdana" w:hAnsi="Verdana"/>
          <w:sz w:val="24"/>
          <w:szCs w:val="24"/>
        </w:rPr>
        <w:t>Section 13(4)</w:t>
      </w:r>
      <w:r w:rsidR="00471478">
        <w:rPr>
          <w:rFonts w:ascii="Verdana" w:hAnsi="Verdana"/>
          <w:sz w:val="24"/>
          <w:szCs w:val="24"/>
        </w:rPr>
        <w:t>,</w:t>
      </w:r>
      <w:r w:rsidR="00126093">
        <w:rPr>
          <w:rFonts w:ascii="Verdana" w:hAnsi="Verdana"/>
          <w:sz w:val="24"/>
          <w:szCs w:val="24"/>
        </w:rPr>
        <w:t xml:space="preserve"> </w:t>
      </w:r>
      <w:r w:rsidRPr="00971C74">
        <w:rPr>
          <w:rFonts w:ascii="Verdana" w:hAnsi="Verdana"/>
          <w:sz w:val="24"/>
          <w:szCs w:val="24"/>
        </w:rPr>
        <w:t>Section 22(2)</w:t>
      </w:r>
      <w:r w:rsidR="00471478">
        <w:rPr>
          <w:rFonts w:ascii="Verdana" w:hAnsi="Verdana"/>
          <w:sz w:val="24"/>
          <w:szCs w:val="24"/>
        </w:rPr>
        <w:t>,</w:t>
      </w:r>
      <w:r w:rsidR="00126093">
        <w:rPr>
          <w:rFonts w:ascii="Verdana" w:hAnsi="Verdana"/>
          <w:sz w:val="24"/>
          <w:szCs w:val="24"/>
        </w:rPr>
        <w:t xml:space="preserve"> </w:t>
      </w:r>
      <w:r w:rsidRPr="00971C74">
        <w:rPr>
          <w:rFonts w:ascii="Verdana" w:hAnsi="Verdana"/>
          <w:sz w:val="24"/>
          <w:szCs w:val="24"/>
        </w:rPr>
        <w:t>Section 22(3)</w:t>
      </w:r>
      <w:r w:rsidR="00471478">
        <w:rPr>
          <w:rFonts w:ascii="Verdana" w:hAnsi="Verdana"/>
          <w:sz w:val="24"/>
          <w:szCs w:val="24"/>
        </w:rPr>
        <w:t>,</w:t>
      </w:r>
      <w:r w:rsidR="00126093">
        <w:rPr>
          <w:rFonts w:ascii="Verdana" w:hAnsi="Verdana"/>
          <w:sz w:val="24"/>
          <w:szCs w:val="24"/>
        </w:rPr>
        <w:t xml:space="preserve"> </w:t>
      </w:r>
      <w:r w:rsidRPr="00971C74">
        <w:rPr>
          <w:rFonts w:ascii="Verdana" w:hAnsi="Verdana"/>
          <w:sz w:val="24"/>
          <w:szCs w:val="24"/>
        </w:rPr>
        <w:t>Section 25</w:t>
      </w:r>
      <w:r w:rsidR="00471478">
        <w:rPr>
          <w:rFonts w:ascii="Verdana" w:hAnsi="Verdana"/>
          <w:sz w:val="24"/>
          <w:szCs w:val="24"/>
        </w:rPr>
        <w:t>,</w:t>
      </w:r>
      <w:r w:rsidR="00126093">
        <w:rPr>
          <w:rFonts w:ascii="Verdana" w:hAnsi="Verdana"/>
          <w:sz w:val="24"/>
          <w:szCs w:val="24"/>
        </w:rPr>
        <w:t xml:space="preserve"> </w:t>
      </w:r>
      <w:r w:rsidRPr="00971C74">
        <w:rPr>
          <w:rFonts w:ascii="Verdana" w:hAnsi="Verdana"/>
          <w:sz w:val="24"/>
          <w:szCs w:val="24"/>
        </w:rPr>
        <w:t xml:space="preserve">Section </w:t>
      </w:r>
      <w:proofErr w:type="gramStart"/>
      <w:r w:rsidRPr="00971C74">
        <w:rPr>
          <w:rFonts w:ascii="Verdana" w:hAnsi="Verdana"/>
          <w:sz w:val="24"/>
          <w:szCs w:val="24"/>
        </w:rPr>
        <w:t>54</w:t>
      </w:r>
      <w:proofErr w:type="gramEnd"/>
      <w:r w:rsidR="00471478">
        <w:rPr>
          <w:rFonts w:ascii="Verdana" w:hAnsi="Verdana"/>
          <w:sz w:val="24"/>
          <w:szCs w:val="24"/>
        </w:rPr>
        <w:t xml:space="preserve"> and</w:t>
      </w:r>
      <w:r w:rsidRPr="00971C74">
        <w:rPr>
          <w:rFonts w:ascii="Verdana" w:hAnsi="Verdana"/>
          <w:sz w:val="24"/>
          <w:szCs w:val="24"/>
        </w:rPr>
        <w:t xml:space="preserve"> Section 57</w:t>
      </w:r>
      <w:r w:rsidR="00471478">
        <w:rPr>
          <w:rFonts w:ascii="Verdana" w:hAnsi="Verdana"/>
          <w:sz w:val="24"/>
          <w:szCs w:val="24"/>
        </w:rPr>
        <w:t>.</w:t>
      </w:r>
    </w:p>
    <w:p w14:paraId="2E0456B3" w14:textId="77777777" w:rsidR="00D2238D" w:rsidRDefault="00D2238D" w:rsidP="00D2238D">
      <w:pPr>
        <w:pStyle w:val="Heading2"/>
        <w:rPr>
          <w:rStyle w:val="eop"/>
          <w:rFonts w:ascii="Verdana" w:hAnsi="Verdana" w:cs="Segoe UI"/>
          <w:b/>
          <w:bCs/>
          <w:color w:val="auto"/>
          <w:sz w:val="24"/>
          <w:szCs w:val="24"/>
        </w:rPr>
      </w:pPr>
    </w:p>
    <w:p w14:paraId="5D1E335D" w14:textId="18DB3EC9" w:rsidR="005C02F4" w:rsidRPr="00D2238D" w:rsidRDefault="00AE7A83" w:rsidP="00D2238D">
      <w:pPr>
        <w:pStyle w:val="Heading2"/>
        <w:rPr>
          <w:rStyle w:val="eop"/>
          <w:rFonts w:ascii="Verdana" w:hAnsi="Verdana" w:cs="Segoe UI"/>
          <w:b/>
          <w:bCs/>
          <w:color w:val="auto"/>
          <w:sz w:val="24"/>
          <w:szCs w:val="24"/>
        </w:rPr>
      </w:pPr>
      <w:r w:rsidRPr="00D2238D">
        <w:rPr>
          <w:rStyle w:val="eop"/>
          <w:rFonts w:ascii="Verdana" w:hAnsi="Verdana" w:cs="Segoe UI"/>
          <w:b/>
          <w:bCs/>
          <w:color w:val="auto"/>
          <w:sz w:val="24"/>
          <w:szCs w:val="24"/>
        </w:rPr>
        <w:t xml:space="preserve">With respect to the </w:t>
      </w:r>
      <w:r w:rsidR="005C02F4" w:rsidRPr="00D2238D">
        <w:rPr>
          <w:rStyle w:val="eop"/>
          <w:rFonts w:ascii="Verdana" w:hAnsi="Verdana" w:cs="Segoe UI"/>
          <w:b/>
          <w:bCs/>
          <w:color w:val="auto"/>
          <w:sz w:val="24"/>
          <w:szCs w:val="24"/>
        </w:rPr>
        <w:t>ECHR</w:t>
      </w:r>
      <w:r w:rsidRPr="00D2238D">
        <w:rPr>
          <w:rStyle w:val="eop"/>
          <w:rFonts w:ascii="Verdana" w:hAnsi="Verdana" w:cs="Segoe UI"/>
          <w:b/>
          <w:bCs/>
          <w:color w:val="auto"/>
          <w:sz w:val="24"/>
          <w:szCs w:val="24"/>
        </w:rPr>
        <w:t>, the High Court found the following areas were incompatible:</w:t>
      </w:r>
    </w:p>
    <w:p w14:paraId="6BC120F0" w14:textId="77777777" w:rsidR="005D6B95" w:rsidRPr="00250715" w:rsidRDefault="005D6B95" w:rsidP="00AE7A83">
      <w:pPr>
        <w:pStyle w:val="paragraph"/>
        <w:spacing w:before="0" w:beforeAutospacing="0" w:after="0" w:afterAutospacing="0" w:line="288" w:lineRule="auto"/>
        <w:textAlignment w:val="baseline"/>
        <w:rPr>
          <w:rFonts w:ascii="Verdana" w:hAnsi="Verdana" w:cs="Arial"/>
        </w:rPr>
      </w:pPr>
    </w:p>
    <w:p w14:paraId="5F0F7DCF" w14:textId="323C7952" w:rsidR="001835F4" w:rsidRPr="00C332DC" w:rsidRDefault="001835F4"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Article 3 ECHR</w:t>
      </w:r>
    </w:p>
    <w:p w14:paraId="5EE2A6CC" w14:textId="77777777" w:rsidR="00D959FB" w:rsidRPr="00250715" w:rsidRDefault="00D959FB" w:rsidP="00AE7A83">
      <w:pPr>
        <w:pStyle w:val="paragraph"/>
        <w:spacing w:before="0" w:beforeAutospacing="0" w:after="0" w:afterAutospacing="0" w:line="288" w:lineRule="auto"/>
        <w:textAlignment w:val="baseline"/>
        <w:rPr>
          <w:rFonts w:ascii="Verdana" w:hAnsi="Verdana" w:cs="Arial"/>
        </w:rPr>
      </w:pPr>
    </w:p>
    <w:p w14:paraId="28AF6D9B" w14:textId="257600F6" w:rsidR="005D6B95" w:rsidRPr="00250715" w:rsidRDefault="00363710"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lastRenderedPageBreak/>
        <w:t>T</w:t>
      </w:r>
      <w:r w:rsidR="0030708E" w:rsidRPr="00250715">
        <w:rPr>
          <w:rFonts w:ascii="Verdana" w:hAnsi="Verdana" w:cs="Arial"/>
        </w:rPr>
        <w:t>he section 2 duty will require removal of persons in circumstances where they have advanced valid protection or human rights claims</w:t>
      </w:r>
      <w:r w:rsidR="00D959FB" w:rsidRPr="00250715">
        <w:rPr>
          <w:rFonts w:ascii="Verdana" w:hAnsi="Verdana" w:cs="Arial"/>
        </w:rPr>
        <w:t xml:space="preserve"> without an assessment</w:t>
      </w:r>
      <w:r w:rsidR="0030708E" w:rsidRPr="00250715">
        <w:rPr>
          <w:rFonts w:ascii="Verdana" w:hAnsi="Verdana" w:cs="Arial"/>
        </w:rPr>
        <w:t xml:space="preserve">. </w:t>
      </w:r>
      <w:r w:rsidRPr="00250715">
        <w:rPr>
          <w:rFonts w:ascii="Verdana" w:hAnsi="Verdana" w:cs="Arial"/>
        </w:rPr>
        <w:t xml:space="preserve"> The Court held that as there would </w:t>
      </w:r>
      <w:r w:rsidR="00D959FB" w:rsidRPr="00250715">
        <w:rPr>
          <w:rFonts w:ascii="Verdana" w:hAnsi="Verdana" w:cs="Arial"/>
        </w:rPr>
        <w:t xml:space="preserve">be </w:t>
      </w:r>
      <w:r w:rsidR="0030708E" w:rsidRPr="00250715">
        <w:rPr>
          <w:rFonts w:ascii="Verdana" w:hAnsi="Verdana" w:cs="Arial"/>
        </w:rPr>
        <w:t xml:space="preserve">no examination of </w:t>
      </w:r>
      <w:proofErr w:type="gramStart"/>
      <w:r w:rsidR="0030708E" w:rsidRPr="00250715">
        <w:rPr>
          <w:rFonts w:ascii="Verdana" w:hAnsi="Verdana" w:cs="Arial"/>
        </w:rPr>
        <w:t>whether or not</w:t>
      </w:r>
      <w:proofErr w:type="gramEnd"/>
      <w:r w:rsidR="0030708E" w:rsidRPr="00250715">
        <w:rPr>
          <w:rFonts w:ascii="Verdana" w:hAnsi="Verdana" w:cs="Arial"/>
        </w:rPr>
        <w:t xml:space="preserve"> those individuals are at real risk of being subjected to treatment contrary to article 3</w:t>
      </w:r>
      <w:r w:rsidRPr="00250715">
        <w:rPr>
          <w:rFonts w:ascii="Verdana" w:hAnsi="Verdana" w:cs="Arial"/>
        </w:rPr>
        <w:t>, this</w:t>
      </w:r>
      <w:r w:rsidR="00790F97" w:rsidRPr="00250715">
        <w:rPr>
          <w:rFonts w:ascii="Verdana" w:hAnsi="Verdana" w:cs="Arial"/>
        </w:rPr>
        <w:t xml:space="preserve"> would therefor</w:t>
      </w:r>
      <w:r w:rsidR="0030708E" w:rsidRPr="00250715">
        <w:rPr>
          <w:rFonts w:ascii="Verdana" w:hAnsi="Verdana" w:cs="Arial"/>
        </w:rPr>
        <w:t xml:space="preserve">e </w:t>
      </w:r>
      <w:r w:rsidR="00790F97" w:rsidRPr="00250715">
        <w:rPr>
          <w:rFonts w:ascii="Verdana" w:hAnsi="Verdana" w:cs="Arial"/>
        </w:rPr>
        <w:t xml:space="preserve">be </w:t>
      </w:r>
      <w:r w:rsidR="0030708E" w:rsidRPr="00250715">
        <w:rPr>
          <w:rFonts w:ascii="Verdana" w:hAnsi="Verdana" w:cs="Arial"/>
        </w:rPr>
        <w:t>incompatible with article 3 ECHR</w:t>
      </w:r>
      <w:r w:rsidR="00790F97" w:rsidRPr="00250715">
        <w:rPr>
          <w:rFonts w:ascii="Verdana" w:hAnsi="Verdana" w:cs="Arial"/>
        </w:rPr>
        <w:t>.</w:t>
      </w:r>
    </w:p>
    <w:p w14:paraId="25457C3B" w14:textId="77777777" w:rsidR="005C02F4" w:rsidRPr="00250715" w:rsidRDefault="005C02F4" w:rsidP="00AE7A83">
      <w:pPr>
        <w:pStyle w:val="paragraph"/>
        <w:spacing w:before="0" w:beforeAutospacing="0" w:after="0" w:afterAutospacing="0" w:line="288" w:lineRule="auto"/>
        <w:textAlignment w:val="baseline"/>
        <w:rPr>
          <w:rFonts w:ascii="Verdana" w:hAnsi="Verdana" w:cs="Arial"/>
        </w:rPr>
      </w:pPr>
    </w:p>
    <w:p w14:paraId="2CC9B9F8" w14:textId="17D62AA4" w:rsidR="001835F4" w:rsidRPr="00C332DC" w:rsidRDefault="001835F4"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Article 4 ECHR</w:t>
      </w:r>
    </w:p>
    <w:p w14:paraId="460E581E" w14:textId="77777777" w:rsidR="001835F4" w:rsidRPr="00250715" w:rsidRDefault="001835F4" w:rsidP="00AE7A83">
      <w:pPr>
        <w:pStyle w:val="paragraph"/>
        <w:spacing w:before="0" w:beforeAutospacing="0" w:after="0" w:afterAutospacing="0" w:line="288" w:lineRule="auto"/>
        <w:textAlignment w:val="baseline"/>
        <w:rPr>
          <w:rFonts w:ascii="Verdana" w:hAnsi="Verdana" w:cs="Arial"/>
        </w:rPr>
      </w:pPr>
    </w:p>
    <w:p w14:paraId="7159C2C8" w14:textId="7DC985D6" w:rsidR="00F05EDE" w:rsidRPr="00250715" w:rsidRDefault="00790F97"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The Court held that </w:t>
      </w:r>
      <w:r w:rsidR="00EB3114" w:rsidRPr="00250715">
        <w:rPr>
          <w:rFonts w:ascii="Verdana" w:hAnsi="Verdana" w:cs="Arial"/>
        </w:rPr>
        <w:t xml:space="preserve">the trafficking provisions are incompatible with article 4 ECHR when read </w:t>
      </w:r>
      <w:r w:rsidR="00BB6FED" w:rsidRPr="00250715">
        <w:rPr>
          <w:rFonts w:ascii="Verdana" w:hAnsi="Verdana" w:cs="Arial"/>
        </w:rPr>
        <w:t xml:space="preserve">in conjunction </w:t>
      </w:r>
      <w:r w:rsidR="00EB3114" w:rsidRPr="00250715">
        <w:rPr>
          <w:rFonts w:ascii="Verdana" w:hAnsi="Verdana" w:cs="Arial"/>
        </w:rPr>
        <w:t xml:space="preserve">with </w:t>
      </w:r>
      <w:r w:rsidR="00AA18A6" w:rsidRPr="00250715">
        <w:rPr>
          <w:rFonts w:ascii="Verdana" w:hAnsi="Verdana"/>
          <w:shd w:val="clear" w:color="auto" w:fill="FFFFFF"/>
        </w:rPr>
        <w:t>the Council of Europe Convention on Action against Trafficking in Human Beings (“</w:t>
      </w:r>
      <w:r w:rsidR="00EB3114" w:rsidRPr="00250715">
        <w:rPr>
          <w:rFonts w:ascii="Verdana" w:hAnsi="Verdana" w:cs="Arial"/>
        </w:rPr>
        <w:t>ECAT</w:t>
      </w:r>
      <w:r w:rsidR="00AA18A6" w:rsidRPr="00250715">
        <w:rPr>
          <w:rFonts w:ascii="Verdana" w:hAnsi="Verdana" w:cs="Arial"/>
        </w:rPr>
        <w:t>”)</w:t>
      </w:r>
      <w:r w:rsidR="005D6B95" w:rsidRPr="00250715">
        <w:rPr>
          <w:rFonts w:ascii="Verdana" w:hAnsi="Verdana" w:cs="Arial"/>
        </w:rPr>
        <w:t>.</w:t>
      </w:r>
      <w:r w:rsidR="008C5A73" w:rsidRPr="00250715">
        <w:rPr>
          <w:rFonts w:ascii="Verdana" w:hAnsi="Verdana" w:cs="Arial"/>
        </w:rPr>
        <w:t xml:space="preserve">  ECAT </w:t>
      </w:r>
      <w:r w:rsidR="008C5A73" w:rsidRPr="00250715">
        <w:rPr>
          <w:rFonts w:ascii="Verdana" w:hAnsi="Verdana"/>
        </w:rPr>
        <w:t>provides for a scheme whereby a person is not removed following a “reasonable grounds” decision until a final decision that a person is a victim</w:t>
      </w:r>
      <w:r w:rsidR="00BB6FED" w:rsidRPr="00250715">
        <w:rPr>
          <w:rFonts w:ascii="Verdana" w:hAnsi="Verdana"/>
        </w:rPr>
        <w:t>.</w:t>
      </w:r>
      <w:r w:rsidR="00AA18A6" w:rsidRPr="00250715">
        <w:rPr>
          <w:rStyle w:val="FootnoteReference"/>
          <w:rFonts w:ascii="Verdana" w:hAnsi="Verdana"/>
        </w:rPr>
        <w:footnoteReference w:id="3"/>
      </w:r>
      <w:r w:rsidR="008C5A73" w:rsidRPr="00250715">
        <w:rPr>
          <w:rFonts w:ascii="Verdana" w:hAnsi="Verdana"/>
        </w:rPr>
        <w:t xml:space="preserve"> During this time, he or she must receive a basic level of assistance during </w:t>
      </w:r>
      <w:r w:rsidR="00107759" w:rsidRPr="00250715">
        <w:rPr>
          <w:rFonts w:ascii="Verdana" w:hAnsi="Verdana"/>
        </w:rPr>
        <w:t>a recovery and reflection period.</w:t>
      </w:r>
      <w:r w:rsidR="00BB6FED" w:rsidRPr="00250715">
        <w:rPr>
          <w:rStyle w:val="FootnoteReference"/>
          <w:rFonts w:ascii="Verdana" w:hAnsi="Verdana"/>
        </w:rPr>
        <w:footnoteReference w:id="4"/>
      </w:r>
      <w:r w:rsidR="0096494C" w:rsidRPr="00250715">
        <w:rPr>
          <w:rFonts w:ascii="Verdana" w:hAnsi="Verdana"/>
        </w:rPr>
        <w:t xml:space="preserve"> ECAT also requires leave to remain to be granted if the victim’s stay in the UK is “necessary owing to their personal situation.”</w:t>
      </w:r>
      <w:r w:rsidR="0096494C" w:rsidRPr="00250715">
        <w:rPr>
          <w:rStyle w:val="FootnoteReference"/>
          <w:rFonts w:ascii="Verdana" w:hAnsi="Verdana"/>
        </w:rPr>
        <w:footnoteReference w:id="5"/>
      </w:r>
      <w:r w:rsidR="00C5794C" w:rsidRPr="00250715">
        <w:rPr>
          <w:rFonts w:ascii="Verdana" w:hAnsi="Verdana"/>
        </w:rPr>
        <w:t xml:space="preserve"> The duty to remove under IMA would mean </w:t>
      </w:r>
      <w:r w:rsidR="00026433" w:rsidRPr="00250715">
        <w:rPr>
          <w:rFonts w:ascii="Verdana" w:hAnsi="Verdana"/>
        </w:rPr>
        <w:t>that a person in respect of whom a positive reasonable grounds decision has been made will be removed prior to any identification process being complete, or before any asylum claim based on the fear of being re-trafficked has been determined.</w:t>
      </w:r>
      <w:r w:rsidR="007A13F7" w:rsidRPr="00250715">
        <w:rPr>
          <w:rFonts w:ascii="Verdana" w:hAnsi="Verdana"/>
        </w:rPr>
        <w:t xml:space="preserve"> The Court rejected the argument that </w:t>
      </w:r>
      <w:r w:rsidR="005407F8" w:rsidRPr="00250715">
        <w:rPr>
          <w:rFonts w:ascii="Verdana" w:hAnsi="Verdana"/>
        </w:rPr>
        <w:t>public order grounds would allow the</w:t>
      </w:r>
      <w:r w:rsidR="00FF631F" w:rsidRPr="00250715">
        <w:rPr>
          <w:rFonts w:ascii="Verdana" w:hAnsi="Verdana"/>
        </w:rPr>
        <w:t xml:space="preserve"> disapplication of the protections in article 4 ECHR when read with these ECAT provisions.</w:t>
      </w:r>
    </w:p>
    <w:p w14:paraId="551AA84A" w14:textId="77777777" w:rsidR="005D6B95" w:rsidRPr="00250715" w:rsidRDefault="005D6B95" w:rsidP="00AE7A83">
      <w:pPr>
        <w:pStyle w:val="paragraph"/>
        <w:spacing w:before="0" w:beforeAutospacing="0" w:after="0" w:afterAutospacing="0" w:line="288" w:lineRule="auto"/>
        <w:textAlignment w:val="baseline"/>
        <w:rPr>
          <w:rFonts w:ascii="Verdana" w:hAnsi="Verdana" w:cs="Arial"/>
        </w:rPr>
      </w:pPr>
    </w:p>
    <w:p w14:paraId="00408F79" w14:textId="08312988" w:rsidR="001835F4" w:rsidRPr="00C332DC" w:rsidRDefault="001835F4" w:rsidP="00AE7A83">
      <w:pPr>
        <w:pStyle w:val="paragraph"/>
        <w:spacing w:before="0" w:beforeAutospacing="0" w:after="0" w:afterAutospacing="0" w:line="288" w:lineRule="auto"/>
        <w:textAlignment w:val="baseline"/>
        <w:rPr>
          <w:rFonts w:ascii="Verdana" w:hAnsi="Verdana" w:cs="Arial"/>
          <w:u w:val="single"/>
        </w:rPr>
      </w:pPr>
      <w:r w:rsidRPr="00C332DC">
        <w:rPr>
          <w:rFonts w:ascii="Verdana" w:hAnsi="Verdana" w:cs="Arial"/>
          <w:u w:val="single"/>
        </w:rPr>
        <w:t>Article 8 ECHR</w:t>
      </w:r>
    </w:p>
    <w:p w14:paraId="69ED0ACE" w14:textId="77777777" w:rsidR="001835F4" w:rsidRPr="00250715" w:rsidRDefault="001835F4" w:rsidP="00AE7A83">
      <w:pPr>
        <w:pStyle w:val="paragraph"/>
        <w:spacing w:before="0" w:beforeAutospacing="0" w:after="0" w:afterAutospacing="0" w:line="288" w:lineRule="auto"/>
        <w:textAlignment w:val="baseline"/>
        <w:rPr>
          <w:rFonts w:ascii="Verdana" w:hAnsi="Verdana" w:cs="Arial"/>
        </w:rPr>
      </w:pPr>
    </w:p>
    <w:p w14:paraId="37C01F77" w14:textId="5A76D66F" w:rsidR="005C02F4" w:rsidRPr="00250715" w:rsidRDefault="009D4674" w:rsidP="00AE7A83">
      <w:pPr>
        <w:pStyle w:val="paragraph"/>
        <w:spacing w:before="0" w:beforeAutospacing="0" w:after="0" w:afterAutospacing="0" w:line="288" w:lineRule="auto"/>
        <w:textAlignment w:val="baseline"/>
        <w:rPr>
          <w:rFonts w:ascii="Verdana" w:hAnsi="Verdana" w:cs="Arial"/>
        </w:rPr>
      </w:pPr>
      <w:r w:rsidRPr="00250715">
        <w:rPr>
          <w:rFonts w:ascii="Verdana" w:hAnsi="Verdana" w:cs="Arial"/>
        </w:rPr>
        <w:t xml:space="preserve">The Court held that </w:t>
      </w:r>
      <w:r w:rsidR="00F05EDE" w:rsidRPr="00250715">
        <w:rPr>
          <w:rFonts w:ascii="Verdana" w:hAnsi="Verdana" w:cs="Arial"/>
        </w:rPr>
        <w:t xml:space="preserve">the duty to remove in section 2 and 6 of the IMA (subject to section 4) and the duty to declare certain types of </w:t>
      </w:r>
      <w:proofErr w:type="gramStart"/>
      <w:r w:rsidR="00F05EDE" w:rsidRPr="00250715">
        <w:rPr>
          <w:rFonts w:ascii="Verdana" w:hAnsi="Verdana" w:cs="Arial"/>
        </w:rPr>
        <w:t>claim</w:t>
      </w:r>
      <w:proofErr w:type="gramEnd"/>
      <w:r w:rsidR="00F05EDE" w:rsidRPr="00250715">
        <w:rPr>
          <w:rFonts w:ascii="Verdana" w:hAnsi="Verdana" w:cs="Arial"/>
        </w:rPr>
        <w:t xml:space="preserve"> inadmissible under section 5 </w:t>
      </w:r>
      <w:r w:rsidRPr="00250715">
        <w:rPr>
          <w:rFonts w:ascii="Verdana" w:hAnsi="Verdana" w:cs="Arial"/>
        </w:rPr>
        <w:t>would</w:t>
      </w:r>
      <w:r w:rsidR="00F05EDE" w:rsidRPr="00250715">
        <w:rPr>
          <w:rFonts w:ascii="Verdana" w:hAnsi="Verdana" w:cs="Arial"/>
        </w:rPr>
        <w:t xml:space="preserve"> mean that the child’s interests will not be the primary consideratio</w:t>
      </w:r>
      <w:r w:rsidR="00965E56" w:rsidRPr="00250715">
        <w:rPr>
          <w:rFonts w:ascii="Verdana" w:hAnsi="Verdana" w:cs="Arial"/>
        </w:rPr>
        <w:t xml:space="preserve">n. This would </w:t>
      </w:r>
      <w:r w:rsidRPr="00250715">
        <w:rPr>
          <w:rFonts w:ascii="Verdana" w:hAnsi="Verdana" w:cs="Arial"/>
        </w:rPr>
        <w:t xml:space="preserve">not </w:t>
      </w:r>
      <w:r w:rsidR="00965E56" w:rsidRPr="00250715">
        <w:rPr>
          <w:rFonts w:ascii="Verdana" w:hAnsi="Verdana" w:cs="Arial"/>
        </w:rPr>
        <w:t xml:space="preserve">be </w:t>
      </w:r>
      <w:r w:rsidRPr="00250715">
        <w:rPr>
          <w:rFonts w:ascii="Verdana" w:hAnsi="Verdana" w:cs="Arial"/>
        </w:rPr>
        <w:t>in accordance with the law</w:t>
      </w:r>
      <w:r w:rsidR="00F94E86" w:rsidRPr="00250715">
        <w:rPr>
          <w:rFonts w:ascii="Verdana" w:hAnsi="Verdana" w:cs="Arial"/>
        </w:rPr>
        <w:t xml:space="preserve"> as set out in </w:t>
      </w:r>
      <w:r w:rsidR="00F94E86" w:rsidRPr="00250715">
        <w:rPr>
          <w:rFonts w:ascii="Verdana" w:hAnsi="Verdana"/>
        </w:rPr>
        <w:t>section 55 of the B</w:t>
      </w:r>
      <w:r w:rsidR="00C44246" w:rsidRPr="00250715">
        <w:rPr>
          <w:rFonts w:ascii="Verdana" w:hAnsi="Verdana"/>
        </w:rPr>
        <w:t xml:space="preserve">orders </w:t>
      </w:r>
      <w:r w:rsidR="00F94E86" w:rsidRPr="00250715">
        <w:rPr>
          <w:rFonts w:ascii="Verdana" w:hAnsi="Verdana"/>
        </w:rPr>
        <w:t>C</w:t>
      </w:r>
      <w:r w:rsidR="00C44246" w:rsidRPr="00250715">
        <w:rPr>
          <w:rFonts w:ascii="Verdana" w:hAnsi="Verdana"/>
        </w:rPr>
        <w:t>itizenship and Immigration Act</w:t>
      </w:r>
      <w:r w:rsidR="00F94E86" w:rsidRPr="00250715">
        <w:rPr>
          <w:rFonts w:ascii="Verdana" w:hAnsi="Verdana"/>
        </w:rPr>
        <w:t xml:space="preserve"> 2009 </w:t>
      </w:r>
      <w:r w:rsidR="00C44246" w:rsidRPr="00250715">
        <w:rPr>
          <w:rFonts w:ascii="Verdana" w:hAnsi="Verdana"/>
        </w:rPr>
        <w:t xml:space="preserve">which </w:t>
      </w:r>
      <w:r w:rsidR="00F94E86" w:rsidRPr="00250715">
        <w:rPr>
          <w:rFonts w:ascii="Verdana" w:hAnsi="Verdana"/>
        </w:rPr>
        <w:t xml:space="preserve">imposes a duty on the </w:t>
      </w:r>
      <w:r w:rsidR="00060697" w:rsidRPr="00060697">
        <w:rPr>
          <w:rFonts w:ascii="Verdana" w:hAnsi="Verdana"/>
        </w:rPr>
        <w:t>Secretary of State for the Home Department</w:t>
      </w:r>
      <w:r w:rsidR="00F94E86" w:rsidRPr="00250715">
        <w:rPr>
          <w:rFonts w:ascii="Verdana" w:hAnsi="Verdana"/>
        </w:rPr>
        <w:t xml:space="preserve"> to have regard to the need to safeguard and promote the welfare of children when discharging any function relating to asylum or immigration</w:t>
      </w:r>
      <w:r w:rsidR="00C44246" w:rsidRPr="00250715">
        <w:rPr>
          <w:rFonts w:ascii="Verdana" w:hAnsi="Verdana"/>
        </w:rPr>
        <w:t>.</w:t>
      </w:r>
      <w:r w:rsidR="00965E56" w:rsidRPr="00250715">
        <w:rPr>
          <w:rFonts w:ascii="Verdana" w:hAnsi="Verdana"/>
        </w:rPr>
        <w:t xml:space="preserve"> </w:t>
      </w:r>
      <w:r w:rsidR="00965E56" w:rsidRPr="00250715">
        <w:rPr>
          <w:rFonts w:ascii="Verdana" w:hAnsi="Verdana" w:cs="Arial"/>
        </w:rPr>
        <w:t>These provisions in relation to children are therefore incompatible with article 8 ECHR.</w:t>
      </w:r>
    </w:p>
    <w:p w14:paraId="27AEF64B" w14:textId="77777777" w:rsidR="00965E56" w:rsidRPr="00250715" w:rsidRDefault="00965E56" w:rsidP="00AE7A83">
      <w:pPr>
        <w:pStyle w:val="paragraph"/>
        <w:spacing w:before="0" w:beforeAutospacing="0" w:after="0" w:afterAutospacing="0" w:line="288" w:lineRule="auto"/>
        <w:textAlignment w:val="baseline"/>
        <w:rPr>
          <w:rFonts w:ascii="Verdana" w:hAnsi="Verdana" w:cs="Arial"/>
        </w:rPr>
      </w:pPr>
    </w:p>
    <w:p w14:paraId="10B4C591" w14:textId="191DF0F7" w:rsidR="00E3728F" w:rsidRPr="00D2238D" w:rsidRDefault="00E3728F" w:rsidP="00D2238D">
      <w:pPr>
        <w:pStyle w:val="Heading1"/>
        <w:rPr>
          <w:rStyle w:val="eop"/>
          <w:rFonts w:ascii="Verdana" w:hAnsi="Verdana" w:cs="Arial"/>
          <w:b/>
          <w:bCs/>
          <w:sz w:val="24"/>
          <w:szCs w:val="24"/>
        </w:rPr>
      </w:pPr>
      <w:r w:rsidRPr="00D2238D">
        <w:rPr>
          <w:rStyle w:val="eop"/>
          <w:rFonts w:ascii="Verdana" w:hAnsi="Verdana" w:cs="Arial"/>
          <w:b/>
          <w:bCs/>
          <w:color w:val="auto"/>
          <w:sz w:val="24"/>
          <w:szCs w:val="24"/>
        </w:rPr>
        <w:t>What does this mean for asylum seekers entering NI?</w:t>
      </w:r>
    </w:p>
    <w:p w14:paraId="70B9E7FD" w14:textId="77777777" w:rsidR="00E3728F" w:rsidRPr="00250715" w:rsidRDefault="00E3728F" w:rsidP="00AE7A83">
      <w:pPr>
        <w:pStyle w:val="paragraph"/>
        <w:spacing w:before="0" w:beforeAutospacing="0" w:after="0" w:afterAutospacing="0" w:line="288" w:lineRule="auto"/>
        <w:textAlignment w:val="baseline"/>
        <w:rPr>
          <w:rStyle w:val="eop"/>
          <w:rFonts w:ascii="Verdana" w:hAnsi="Verdana" w:cs="Arial"/>
        </w:rPr>
      </w:pPr>
    </w:p>
    <w:p w14:paraId="72CC0866" w14:textId="7FFD7DFA" w:rsidR="00EE3F5A" w:rsidRDefault="00F86A55" w:rsidP="00AE7A83">
      <w:pPr>
        <w:pStyle w:val="paragraph"/>
        <w:spacing w:before="0" w:beforeAutospacing="0" w:after="0" w:afterAutospacing="0" w:line="288" w:lineRule="auto"/>
        <w:textAlignment w:val="baseline"/>
        <w:rPr>
          <w:rStyle w:val="eop"/>
          <w:rFonts w:ascii="Verdana" w:hAnsi="Verdana" w:cs="Segoe UI"/>
        </w:rPr>
      </w:pPr>
      <w:r w:rsidRPr="00250715">
        <w:rPr>
          <w:rFonts w:ascii="Verdana" w:hAnsi="Verdana"/>
        </w:rPr>
        <w:t xml:space="preserve">The rights, safeguards and equality provisions of the Belfast Good Friday Agreement contain a specific commitment to the “civil rights … of everyone in the community”.  The Court held that these </w:t>
      </w:r>
      <w:r w:rsidR="00F65431" w:rsidRPr="00250715">
        <w:rPr>
          <w:rFonts w:ascii="Verdana" w:hAnsi="Verdana"/>
        </w:rPr>
        <w:t xml:space="preserve">rights </w:t>
      </w:r>
      <w:r w:rsidRPr="00250715">
        <w:rPr>
          <w:rFonts w:ascii="Verdana" w:hAnsi="Verdana"/>
        </w:rPr>
        <w:t xml:space="preserve">extend to asylum seekers as well as UK or Irish citizens. </w:t>
      </w:r>
      <w:r w:rsidR="00EE3F5A" w:rsidRPr="00AE7A83">
        <w:rPr>
          <w:rStyle w:val="eop"/>
          <w:rFonts w:ascii="Verdana" w:hAnsi="Verdana" w:cs="Segoe UI"/>
        </w:rPr>
        <w:t> </w:t>
      </w:r>
    </w:p>
    <w:p w14:paraId="5100657A" w14:textId="77777777" w:rsidR="00E47EF2" w:rsidRDefault="00E47EF2" w:rsidP="00AE7A83">
      <w:pPr>
        <w:pStyle w:val="paragraph"/>
        <w:spacing w:before="0" w:beforeAutospacing="0" w:after="0" w:afterAutospacing="0" w:line="288" w:lineRule="auto"/>
        <w:textAlignment w:val="baseline"/>
        <w:rPr>
          <w:rStyle w:val="eop"/>
          <w:rFonts w:ascii="Verdana" w:hAnsi="Verdana" w:cs="Segoe UI"/>
        </w:rPr>
      </w:pPr>
    </w:p>
    <w:p w14:paraId="34BA939A" w14:textId="6C5E01BC" w:rsidR="00D25479" w:rsidRDefault="002568E9" w:rsidP="00AE7A83">
      <w:pPr>
        <w:pStyle w:val="paragraph"/>
        <w:spacing w:before="0" w:beforeAutospacing="0" w:after="0" w:afterAutospacing="0" w:line="288" w:lineRule="auto"/>
        <w:textAlignment w:val="baseline"/>
        <w:rPr>
          <w:rStyle w:val="eop"/>
          <w:rFonts w:ascii="Verdana" w:hAnsi="Verdana"/>
        </w:rPr>
      </w:pPr>
      <w:r>
        <w:rPr>
          <w:rStyle w:val="eop"/>
          <w:rFonts w:ascii="Verdana" w:hAnsi="Verdana"/>
        </w:rPr>
        <w:t xml:space="preserve">The ruling recognises that minimum standards </w:t>
      </w:r>
      <w:r w:rsidR="007214EC">
        <w:rPr>
          <w:rStyle w:val="eop"/>
          <w:rFonts w:ascii="Verdana" w:hAnsi="Verdana"/>
        </w:rPr>
        <w:t>in relation to the rights of asylum-seekers</w:t>
      </w:r>
      <w:r w:rsidR="00072167">
        <w:rPr>
          <w:rStyle w:val="eop"/>
          <w:rFonts w:ascii="Verdana" w:hAnsi="Verdana"/>
        </w:rPr>
        <w:t xml:space="preserve"> in NI</w:t>
      </w:r>
      <w:r w:rsidR="007214EC">
        <w:rPr>
          <w:rStyle w:val="eop"/>
          <w:rFonts w:ascii="Verdana" w:hAnsi="Verdana"/>
        </w:rPr>
        <w:t xml:space="preserve">, including potential victims of human trafficking, should not be diminished below the commitments </w:t>
      </w:r>
      <w:proofErr w:type="gramStart"/>
      <w:r w:rsidR="007214EC">
        <w:rPr>
          <w:rStyle w:val="eop"/>
          <w:rFonts w:ascii="Verdana" w:hAnsi="Verdana"/>
        </w:rPr>
        <w:t>entered into</w:t>
      </w:r>
      <w:proofErr w:type="gramEnd"/>
      <w:r w:rsidR="007214EC">
        <w:rPr>
          <w:rStyle w:val="eop"/>
          <w:rFonts w:ascii="Verdana" w:hAnsi="Verdana"/>
        </w:rPr>
        <w:t xml:space="preserve"> by the UK Government when it was a member of the EU. </w:t>
      </w:r>
      <w:r w:rsidR="000F75A0">
        <w:rPr>
          <w:rStyle w:val="eop"/>
          <w:rFonts w:ascii="Verdana" w:hAnsi="Verdana"/>
        </w:rPr>
        <w:t xml:space="preserve">For example, removal to a safe third country was possible when the UK was a member of the </w:t>
      </w:r>
      <w:proofErr w:type="gramStart"/>
      <w:r w:rsidR="000F75A0">
        <w:rPr>
          <w:rStyle w:val="eop"/>
          <w:rFonts w:ascii="Verdana" w:hAnsi="Verdana"/>
        </w:rPr>
        <w:t>EU</w:t>
      </w:r>
      <w:proofErr w:type="gramEnd"/>
      <w:r w:rsidR="000F75A0">
        <w:rPr>
          <w:rStyle w:val="eop"/>
          <w:rFonts w:ascii="Verdana" w:hAnsi="Verdana"/>
        </w:rPr>
        <w:t xml:space="preserve"> but this was subject to conditions including individual consideration of applications and a connection between the individual and the safe third country in question.</w:t>
      </w:r>
      <w:r w:rsidR="00AF4A3B">
        <w:rPr>
          <w:rStyle w:val="FootnoteReference"/>
          <w:rFonts w:ascii="Verdana" w:hAnsi="Verdana"/>
        </w:rPr>
        <w:footnoteReference w:id="6"/>
      </w:r>
    </w:p>
    <w:p w14:paraId="19D033E7" w14:textId="77777777" w:rsidR="006B61A2" w:rsidRDefault="006B61A2" w:rsidP="00AE7A83">
      <w:pPr>
        <w:pStyle w:val="paragraph"/>
        <w:spacing w:before="0" w:beforeAutospacing="0" w:after="0" w:afterAutospacing="0" w:line="288" w:lineRule="auto"/>
        <w:textAlignment w:val="baseline"/>
        <w:rPr>
          <w:rStyle w:val="eop"/>
          <w:rFonts w:ascii="Verdana" w:hAnsi="Verdana"/>
        </w:rPr>
      </w:pPr>
    </w:p>
    <w:p w14:paraId="74253B83" w14:textId="23F81B45" w:rsidR="00794489" w:rsidRDefault="00794489" w:rsidP="00794489">
      <w:pPr>
        <w:pStyle w:val="paragraph"/>
        <w:spacing w:before="0" w:beforeAutospacing="0" w:after="0" w:afterAutospacing="0" w:line="288" w:lineRule="auto"/>
        <w:textAlignment w:val="baseline"/>
        <w:rPr>
          <w:rStyle w:val="eop"/>
          <w:rFonts w:ascii="Verdana" w:hAnsi="Verdana"/>
        </w:rPr>
      </w:pPr>
      <w:r>
        <w:rPr>
          <w:rStyle w:val="eop"/>
          <w:rFonts w:ascii="Verdana" w:hAnsi="Verdana"/>
        </w:rPr>
        <w:t xml:space="preserve">The </w:t>
      </w:r>
      <w:r w:rsidR="00D2238D">
        <w:rPr>
          <w:rStyle w:val="eop"/>
          <w:rFonts w:ascii="Verdana" w:hAnsi="Verdana"/>
        </w:rPr>
        <w:t>Commission’s</w:t>
      </w:r>
      <w:r>
        <w:rPr>
          <w:rStyle w:val="eop"/>
          <w:rFonts w:ascii="Verdana" w:hAnsi="Verdana"/>
        </w:rPr>
        <w:t xml:space="preserve"> case was focused on the IMA. </w:t>
      </w:r>
      <w:r w:rsidRPr="006A30D5">
        <w:rPr>
          <w:rStyle w:val="eop"/>
          <w:rFonts w:ascii="Verdana" w:hAnsi="Verdana"/>
        </w:rPr>
        <w:t>The</w:t>
      </w:r>
      <w:r>
        <w:rPr>
          <w:rStyle w:val="eop"/>
          <w:rFonts w:ascii="Verdana" w:hAnsi="Verdana"/>
        </w:rPr>
        <w:t xml:space="preserve"> judgment means the provisions of the IMA disapplied by the court, which are expected to be commenced soon, cannot be brought into force in NI. It is important to note that the case did not consider or conclude on other related legislation and policy such as the Safety of Rwanda Act 2024 or the UK </w:t>
      </w:r>
      <w:r w:rsidRPr="00D043A4">
        <w:rPr>
          <w:rStyle w:val="eop"/>
          <w:rFonts w:ascii="Verdana" w:hAnsi="Verdana"/>
        </w:rPr>
        <w:t>Migration and Economic Development Partnership</w:t>
      </w:r>
      <w:r>
        <w:rPr>
          <w:rStyle w:val="eop"/>
          <w:rFonts w:ascii="Verdana" w:hAnsi="Verdana"/>
        </w:rPr>
        <w:t xml:space="preserve"> with Rwanda. </w:t>
      </w:r>
    </w:p>
    <w:p w14:paraId="53691909" w14:textId="77777777" w:rsidR="00794489" w:rsidRDefault="00794489" w:rsidP="00794489">
      <w:pPr>
        <w:pStyle w:val="paragraph"/>
        <w:spacing w:before="0" w:beforeAutospacing="0" w:after="0" w:afterAutospacing="0" w:line="288" w:lineRule="auto"/>
        <w:textAlignment w:val="baseline"/>
        <w:rPr>
          <w:rStyle w:val="eop"/>
          <w:rFonts w:ascii="Verdana" w:hAnsi="Verdana"/>
        </w:rPr>
      </w:pPr>
    </w:p>
    <w:p w14:paraId="064DBA4A" w14:textId="2922B40F" w:rsidR="00233161" w:rsidRDefault="009C5337" w:rsidP="00233161">
      <w:pPr>
        <w:pStyle w:val="paragraph"/>
        <w:spacing w:before="0" w:beforeAutospacing="0" w:after="0" w:afterAutospacing="0" w:line="288" w:lineRule="auto"/>
        <w:textAlignment w:val="baseline"/>
        <w:rPr>
          <w:rStyle w:val="eop"/>
          <w:rFonts w:ascii="Verdana" w:hAnsi="Verdana"/>
        </w:rPr>
      </w:pPr>
      <w:r>
        <w:rPr>
          <w:rStyle w:val="eop"/>
          <w:rFonts w:ascii="Verdana" w:hAnsi="Verdana"/>
        </w:rPr>
        <w:t xml:space="preserve">Like the UK, </w:t>
      </w:r>
      <w:r w:rsidR="00233161">
        <w:rPr>
          <w:rStyle w:val="eop"/>
          <w:rFonts w:ascii="Verdana" w:hAnsi="Verdana"/>
        </w:rPr>
        <w:t>Ireland</w:t>
      </w:r>
      <w:r>
        <w:rPr>
          <w:rStyle w:val="eop"/>
          <w:rFonts w:ascii="Verdana" w:hAnsi="Verdana"/>
        </w:rPr>
        <w:t xml:space="preserve"> opted out of some later EU measures but</w:t>
      </w:r>
      <w:r w:rsidR="00233161">
        <w:rPr>
          <w:rStyle w:val="eop"/>
          <w:rFonts w:ascii="Verdana" w:hAnsi="Verdana"/>
        </w:rPr>
        <w:t xml:space="preserve"> remains bound by the minimum standards </w:t>
      </w:r>
      <w:r>
        <w:rPr>
          <w:rStyle w:val="eop"/>
          <w:rFonts w:ascii="Verdana" w:hAnsi="Verdana"/>
        </w:rPr>
        <w:t>raised in this case</w:t>
      </w:r>
      <w:r w:rsidR="00233161">
        <w:rPr>
          <w:rStyle w:val="eop"/>
          <w:rFonts w:ascii="Verdana" w:hAnsi="Verdana"/>
        </w:rPr>
        <w:t xml:space="preserve"> and has indicated that it will opt into the new EU Asylum and Migration Pact.</w:t>
      </w:r>
      <w:r w:rsidR="00233161">
        <w:rPr>
          <w:rStyle w:val="FootnoteReference"/>
          <w:rFonts w:ascii="Verdana" w:hAnsi="Verdana"/>
        </w:rPr>
        <w:footnoteReference w:id="7"/>
      </w:r>
      <w:r w:rsidR="00233161">
        <w:rPr>
          <w:rStyle w:val="eop"/>
          <w:rFonts w:ascii="Verdana" w:hAnsi="Verdana"/>
        </w:rPr>
        <w:t xml:space="preserve"> </w:t>
      </w:r>
    </w:p>
    <w:p w14:paraId="567D626E" w14:textId="77777777" w:rsidR="00C959CE" w:rsidRDefault="00C959CE" w:rsidP="0025147A">
      <w:pPr>
        <w:pStyle w:val="paragraph"/>
        <w:spacing w:before="0" w:beforeAutospacing="0" w:after="0" w:afterAutospacing="0" w:line="288" w:lineRule="auto"/>
        <w:textAlignment w:val="baseline"/>
        <w:rPr>
          <w:rStyle w:val="eop"/>
          <w:rFonts w:ascii="Verdana" w:hAnsi="Verdana"/>
        </w:rPr>
      </w:pPr>
    </w:p>
    <w:p w14:paraId="2438F5E7" w14:textId="2D9B5F2E" w:rsidR="0046147E" w:rsidRPr="00D2238D" w:rsidRDefault="0046147E" w:rsidP="00D2238D">
      <w:pPr>
        <w:pStyle w:val="Heading1"/>
        <w:rPr>
          <w:rStyle w:val="eop"/>
          <w:rFonts w:ascii="Verdana" w:hAnsi="Verdana"/>
          <w:b/>
          <w:bCs/>
          <w:sz w:val="28"/>
          <w:szCs w:val="28"/>
        </w:rPr>
      </w:pPr>
      <w:r w:rsidRPr="00D2238D">
        <w:rPr>
          <w:rStyle w:val="eop"/>
          <w:rFonts w:ascii="Verdana" w:hAnsi="Verdana"/>
          <w:b/>
          <w:bCs/>
          <w:color w:val="auto"/>
          <w:sz w:val="28"/>
          <w:szCs w:val="28"/>
        </w:rPr>
        <w:t>Further Information</w:t>
      </w:r>
    </w:p>
    <w:p w14:paraId="632AEAE9" w14:textId="77777777" w:rsidR="0046147E" w:rsidRDefault="0046147E" w:rsidP="0025147A">
      <w:pPr>
        <w:pStyle w:val="paragraph"/>
        <w:spacing w:before="0" w:beforeAutospacing="0" w:after="0" w:afterAutospacing="0" w:line="288" w:lineRule="auto"/>
        <w:textAlignment w:val="baseline"/>
        <w:rPr>
          <w:rStyle w:val="eop"/>
          <w:rFonts w:ascii="Verdana" w:hAnsi="Verdana"/>
        </w:rPr>
      </w:pPr>
    </w:p>
    <w:p w14:paraId="183E3911" w14:textId="6662462C" w:rsidR="0054727C" w:rsidRDefault="00C959CE" w:rsidP="0025147A">
      <w:pPr>
        <w:pStyle w:val="paragraph"/>
        <w:spacing w:before="0" w:beforeAutospacing="0" w:after="0" w:afterAutospacing="0" w:line="288" w:lineRule="auto"/>
        <w:textAlignment w:val="baseline"/>
        <w:rPr>
          <w:rStyle w:val="eop"/>
          <w:rFonts w:ascii="Verdana" w:hAnsi="Verdana"/>
        </w:rPr>
      </w:pPr>
      <w:r>
        <w:rPr>
          <w:rStyle w:val="eop"/>
          <w:rFonts w:ascii="Verdana" w:hAnsi="Verdana"/>
        </w:rPr>
        <w:t xml:space="preserve">For more information on the </w:t>
      </w:r>
      <w:r w:rsidR="0054727C">
        <w:rPr>
          <w:rStyle w:val="eop"/>
          <w:rFonts w:ascii="Verdana" w:hAnsi="Verdana"/>
        </w:rPr>
        <w:t xml:space="preserve">Commission’s advice on the IMA and related issues see: </w:t>
      </w:r>
    </w:p>
    <w:p w14:paraId="4D1024DE" w14:textId="77777777" w:rsidR="00B85001" w:rsidRDefault="00B85001" w:rsidP="0025147A">
      <w:pPr>
        <w:pStyle w:val="paragraph"/>
        <w:spacing w:before="0" w:beforeAutospacing="0" w:after="0" w:afterAutospacing="0" w:line="288" w:lineRule="auto"/>
        <w:textAlignment w:val="baseline"/>
        <w:rPr>
          <w:rStyle w:val="eop"/>
          <w:rFonts w:ascii="Verdana" w:hAnsi="Verdana"/>
        </w:rPr>
      </w:pPr>
    </w:p>
    <w:p w14:paraId="4A2A340B" w14:textId="6F6C4806" w:rsidR="00813DAD" w:rsidRPr="00D2238D" w:rsidRDefault="00160C12" w:rsidP="00D2238D">
      <w:pPr>
        <w:pStyle w:val="paragraph"/>
        <w:numPr>
          <w:ilvl w:val="0"/>
          <w:numId w:val="10"/>
        </w:numPr>
        <w:spacing w:before="0" w:beforeAutospacing="0" w:after="0" w:afterAutospacing="0" w:line="288" w:lineRule="auto"/>
        <w:textAlignment w:val="baseline"/>
        <w:rPr>
          <w:rFonts w:ascii="Verdana" w:hAnsi="Verdana"/>
        </w:rPr>
      </w:pPr>
      <w:hyperlink r:id="rId14" w:history="1">
        <w:r w:rsidR="00C46DF7">
          <w:rPr>
            <w:rStyle w:val="Hyperlink"/>
            <w:rFonts w:ascii="Verdana" w:hAnsi="Verdana"/>
          </w:rPr>
          <w:t>NIHRC Advice</w:t>
        </w:r>
        <w:r w:rsidR="00DA1A23" w:rsidRPr="00D2238D">
          <w:rPr>
            <w:rStyle w:val="Hyperlink"/>
            <w:rFonts w:ascii="Verdana" w:hAnsi="Verdana"/>
          </w:rPr>
          <w:t xml:space="preserve"> to the House of Lords on the Illegal Migration Bill | Northern Ireland Human Rights Commission (nihrc.org)</w:t>
        </w:r>
      </w:hyperlink>
    </w:p>
    <w:p w14:paraId="5ED3C1F1" w14:textId="77777777" w:rsidR="00813DAD" w:rsidRPr="00D2238D" w:rsidRDefault="00813DAD" w:rsidP="0025147A">
      <w:pPr>
        <w:pStyle w:val="paragraph"/>
        <w:spacing w:before="0" w:beforeAutospacing="0" w:after="0" w:afterAutospacing="0" w:line="288" w:lineRule="auto"/>
        <w:textAlignment w:val="baseline"/>
        <w:rPr>
          <w:rFonts w:ascii="Verdana" w:hAnsi="Verdana"/>
        </w:rPr>
      </w:pPr>
    </w:p>
    <w:p w14:paraId="6AD85496" w14:textId="520682C6" w:rsidR="00B85001" w:rsidRPr="00D2238D" w:rsidRDefault="00160C12" w:rsidP="00D2238D">
      <w:pPr>
        <w:pStyle w:val="paragraph"/>
        <w:numPr>
          <w:ilvl w:val="0"/>
          <w:numId w:val="10"/>
        </w:numPr>
        <w:spacing w:before="0" w:beforeAutospacing="0" w:after="0" w:afterAutospacing="0" w:line="288" w:lineRule="auto"/>
        <w:textAlignment w:val="baseline"/>
        <w:rPr>
          <w:rFonts w:ascii="Verdana" w:hAnsi="Verdana"/>
        </w:rPr>
      </w:pPr>
      <w:hyperlink r:id="rId15" w:history="1">
        <w:r w:rsidR="00A63FF8" w:rsidRPr="00D2238D">
          <w:rPr>
            <w:rStyle w:val="Hyperlink"/>
            <w:rFonts w:ascii="Verdana" w:hAnsi="Verdana"/>
          </w:rPr>
          <w:t>NIHRC Briefing Note on Article 2 of the Windsor Framework and the rights of refugees and asylum-seekers | Northern Ireland Human Rights Commission</w:t>
        </w:r>
      </w:hyperlink>
    </w:p>
    <w:p w14:paraId="4695B1CC" w14:textId="77777777" w:rsidR="00557478" w:rsidRPr="00D2238D" w:rsidRDefault="00557478" w:rsidP="0025147A">
      <w:pPr>
        <w:pStyle w:val="paragraph"/>
        <w:spacing w:before="0" w:beforeAutospacing="0" w:after="0" w:afterAutospacing="0" w:line="288" w:lineRule="auto"/>
        <w:textAlignment w:val="baseline"/>
        <w:rPr>
          <w:rFonts w:ascii="Verdana" w:hAnsi="Verdana"/>
        </w:rPr>
      </w:pPr>
    </w:p>
    <w:p w14:paraId="39D0D5C6" w14:textId="75057A03" w:rsidR="00557478" w:rsidRPr="00C46DF7" w:rsidRDefault="00BF75FE" w:rsidP="00D2238D">
      <w:pPr>
        <w:pStyle w:val="paragraph"/>
        <w:numPr>
          <w:ilvl w:val="0"/>
          <w:numId w:val="10"/>
        </w:numPr>
        <w:spacing w:before="0" w:beforeAutospacing="0" w:after="0" w:afterAutospacing="0" w:line="288" w:lineRule="auto"/>
        <w:textAlignment w:val="baseline"/>
        <w:rPr>
          <w:rStyle w:val="eop"/>
          <w:rFonts w:ascii="Verdana" w:hAnsi="Verdana"/>
        </w:rPr>
      </w:pPr>
      <w:r w:rsidRPr="00D2238D">
        <w:rPr>
          <w:rFonts w:ascii="Verdana" w:hAnsi="Verdana"/>
        </w:rPr>
        <w:t xml:space="preserve">Research: </w:t>
      </w:r>
      <w:hyperlink r:id="rId16" w:history="1">
        <w:r w:rsidR="00557478" w:rsidRPr="00D2238D">
          <w:rPr>
            <w:rStyle w:val="Hyperlink"/>
            <w:rFonts w:ascii="Verdana" w:hAnsi="Verdana"/>
          </w:rPr>
          <w:t>Article 2 of the Windsor Framework and the rights of refugees and persons seeking asylum | Northern Ireland Human Rights Commission (nihrc.org)</w:t>
        </w:r>
      </w:hyperlink>
    </w:p>
    <w:p w14:paraId="7BBB1ED1" w14:textId="77777777" w:rsidR="0054727C" w:rsidRPr="00C46DF7" w:rsidRDefault="0054727C" w:rsidP="0025147A">
      <w:pPr>
        <w:pStyle w:val="paragraph"/>
        <w:spacing w:before="0" w:beforeAutospacing="0" w:after="0" w:afterAutospacing="0" w:line="288" w:lineRule="auto"/>
        <w:textAlignment w:val="baseline"/>
        <w:rPr>
          <w:rStyle w:val="eop"/>
          <w:rFonts w:ascii="Verdana" w:hAnsi="Verdana"/>
        </w:rPr>
      </w:pPr>
    </w:p>
    <w:p w14:paraId="300B03BF" w14:textId="306E7D2B" w:rsidR="00C37D3F" w:rsidRPr="00424CCE" w:rsidRDefault="00160C12" w:rsidP="00AE7A83">
      <w:pPr>
        <w:pStyle w:val="paragraph"/>
        <w:numPr>
          <w:ilvl w:val="0"/>
          <w:numId w:val="10"/>
        </w:numPr>
        <w:spacing w:before="0" w:beforeAutospacing="0" w:after="0" w:afterAutospacing="0" w:line="288" w:lineRule="auto"/>
        <w:textAlignment w:val="baseline"/>
        <w:rPr>
          <w:rFonts w:ascii="Verdana" w:hAnsi="Verdana"/>
        </w:rPr>
      </w:pPr>
      <w:hyperlink r:id="rId17" w:history="1">
        <w:r w:rsidR="00B85001" w:rsidRPr="00D2238D">
          <w:rPr>
            <w:rStyle w:val="Hyperlink"/>
            <w:rFonts w:ascii="Verdana" w:hAnsi="Verdana"/>
          </w:rPr>
          <w:t>NIHRC Advice on the Safety of Rwanda (Asylum and Immigration) Bill | Northern Ireland Human Rights Commission</w:t>
        </w:r>
      </w:hyperlink>
    </w:p>
    <w:sectPr w:rsidR="00C37D3F" w:rsidRPr="00424CC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1EE9" w14:textId="77777777" w:rsidR="001E773A" w:rsidRDefault="001E773A" w:rsidP="00FC6144">
      <w:pPr>
        <w:spacing w:after="0" w:line="240" w:lineRule="auto"/>
      </w:pPr>
      <w:r>
        <w:separator/>
      </w:r>
    </w:p>
  </w:endnote>
  <w:endnote w:type="continuationSeparator" w:id="0">
    <w:p w14:paraId="5EA981EB" w14:textId="77777777" w:rsidR="001E773A" w:rsidRDefault="001E773A" w:rsidP="00FC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07457"/>
      <w:docPartObj>
        <w:docPartGallery w:val="Page Numbers (Bottom of Page)"/>
        <w:docPartUnique/>
      </w:docPartObj>
    </w:sdtPr>
    <w:sdtEndPr>
      <w:rPr>
        <w:noProof/>
      </w:rPr>
    </w:sdtEndPr>
    <w:sdtContent>
      <w:p w14:paraId="486816BF" w14:textId="4EB7399F" w:rsidR="0046147E" w:rsidRDefault="004614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32FF3" w14:textId="77777777" w:rsidR="0046147E" w:rsidRDefault="00461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916E" w14:textId="77777777" w:rsidR="001E773A" w:rsidRDefault="001E773A" w:rsidP="00FC6144">
      <w:pPr>
        <w:spacing w:after="0" w:line="240" w:lineRule="auto"/>
      </w:pPr>
      <w:r>
        <w:separator/>
      </w:r>
    </w:p>
  </w:footnote>
  <w:footnote w:type="continuationSeparator" w:id="0">
    <w:p w14:paraId="3907A47A" w14:textId="77777777" w:rsidR="001E773A" w:rsidRDefault="001E773A" w:rsidP="00FC6144">
      <w:pPr>
        <w:spacing w:after="0" w:line="240" w:lineRule="auto"/>
      </w:pPr>
      <w:r>
        <w:continuationSeparator/>
      </w:r>
    </w:p>
  </w:footnote>
  <w:footnote w:id="1">
    <w:p w14:paraId="067AB625" w14:textId="7E1E1E02" w:rsidR="00ED1D34" w:rsidRDefault="00ED1D34">
      <w:pPr>
        <w:pStyle w:val="FootnoteText"/>
      </w:pPr>
      <w:r>
        <w:rPr>
          <w:rStyle w:val="FootnoteReference"/>
        </w:rPr>
        <w:footnoteRef/>
      </w:r>
      <w:r>
        <w:t xml:space="preserve"> Note that the relevant measures</w:t>
      </w:r>
      <w:r w:rsidR="00DB778A">
        <w:t xml:space="preserve"> are </w:t>
      </w:r>
      <w:r w:rsidR="00583D41">
        <w:t xml:space="preserve">those </w:t>
      </w:r>
      <w:r w:rsidR="00DB778A">
        <w:t xml:space="preserve">to which the UK opted in; the UK opted out of </w:t>
      </w:r>
      <w:r w:rsidR="00CA1225">
        <w:t xml:space="preserve">later versions of </w:t>
      </w:r>
      <w:r w:rsidR="009306D7">
        <w:t>the Procedures Directive (Directive 2013/32/EU) and the Qualification Directive (</w:t>
      </w:r>
      <w:r w:rsidR="00583D41">
        <w:t>2011/95/EU).</w:t>
      </w:r>
    </w:p>
  </w:footnote>
  <w:footnote w:id="2">
    <w:p w14:paraId="20AD63E1" w14:textId="053F6F75" w:rsidR="00FC6144" w:rsidRPr="00FC6144" w:rsidRDefault="00FC6144" w:rsidP="00FC6144">
      <w:pPr>
        <w:pStyle w:val="paragraph"/>
        <w:spacing w:before="0" w:beforeAutospacing="0" w:after="0" w:afterAutospacing="0"/>
        <w:textAlignment w:val="baseline"/>
        <w:rPr>
          <w:rFonts w:ascii="Segoe UI" w:hAnsi="Segoe UI" w:cs="Segoe UI"/>
          <w:sz w:val="18"/>
          <w:szCs w:val="18"/>
        </w:rPr>
      </w:pPr>
      <w:r>
        <w:rPr>
          <w:rStyle w:val="FootnoteReference"/>
        </w:rPr>
        <w:footnoteRef/>
      </w:r>
      <w:r>
        <w:t xml:space="preserve"> </w:t>
      </w:r>
      <w:r>
        <w:rPr>
          <w:rStyle w:val="normaltextrun"/>
          <w:rFonts w:ascii="Calibri" w:hAnsi="Calibri" w:cs="Calibri"/>
          <w:color w:val="000000"/>
          <w:sz w:val="20"/>
          <w:szCs w:val="20"/>
          <w:shd w:val="clear" w:color="auto" w:fill="FFFFFF"/>
        </w:rPr>
        <w:t xml:space="preserve"> Section 7A EU (Withdrawal) Act 2018</w:t>
      </w:r>
    </w:p>
    <w:p w14:paraId="3E5AD0E1" w14:textId="36DD7D30" w:rsidR="00FC6144" w:rsidRDefault="00FC6144">
      <w:pPr>
        <w:pStyle w:val="FootnoteText"/>
      </w:pPr>
    </w:p>
  </w:footnote>
  <w:footnote w:id="3">
    <w:p w14:paraId="5E54DEA3" w14:textId="296FCE2F" w:rsidR="00CE1796" w:rsidRDefault="00AA18A6">
      <w:pPr>
        <w:pStyle w:val="FootnoteText"/>
      </w:pPr>
      <w:r>
        <w:rPr>
          <w:rStyle w:val="FootnoteReference"/>
        </w:rPr>
        <w:footnoteRef/>
      </w:r>
      <w:r>
        <w:t xml:space="preserve"> </w:t>
      </w:r>
      <w:r w:rsidR="00CE1796">
        <w:t>Article 10(2) ECAT</w:t>
      </w:r>
    </w:p>
  </w:footnote>
  <w:footnote w:id="4">
    <w:p w14:paraId="445734AD" w14:textId="0F054EFD" w:rsidR="00BB6FED" w:rsidRDefault="00BB6FED">
      <w:pPr>
        <w:pStyle w:val="FootnoteText"/>
      </w:pPr>
      <w:r>
        <w:rPr>
          <w:rStyle w:val="FootnoteReference"/>
        </w:rPr>
        <w:footnoteRef/>
      </w:r>
      <w:r>
        <w:t xml:space="preserve"> Articles 12 and 13 ECAT</w:t>
      </w:r>
    </w:p>
  </w:footnote>
  <w:footnote w:id="5">
    <w:p w14:paraId="2133B2DF" w14:textId="68A2BCCE" w:rsidR="0096494C" w:rsidRDefault="0096494C">
      <w:pPr>
        <w:pStyle w:val="FootnoteText"/>
      </w:pPr>
      <w:r>
        <w:rPr>
          <w:rStyle w:val="FootnoteReference"/>
        </w:rPr>
        <w:footnoteRef/>
      </w:r>
      <w:r>
        <w:t xml:space="preserve"> Article 14(1)a ECAT</w:t>
      </w:r>
    </w:p>
  </w:footnote>
  <w:footnote w:id="6">
    <w:p w14:paraId="6D757DA8" w14:textId="11FDE769" w:rsidR="00AF4A3B" w:rsidRDefault="00AF4A3B">
      <w:pPr>
        <w:pStyle w:val="FootnoteText"/>
      </w:pPr>
      <w:r>
        <w:rPr>
          <w:rStyle w:val="FootnoteReference"/>
        </w:rPr>
        <w:footnoteRef/>
      </w:r>
      <w:r>
        <w:t xml:space="preserve"> </w:t>
      </w:r>
      <w:r w:rsidR="00957787">
        <w:t xml:space="preserve">Article 8 and </w:t>
      </w:r>
      <w:r w:rsidR="00404581">
        <w:t xml:space="preserve">Article 27 of the </w:t>
      </w:r>
      <w:r w:rsidR="001D1AB6">
        <w:t>Procedures Directive (</w:t>
      </w:r>
      <w:r w:rsidR="0030238A" w:rsidRPr="0030238A">
        <w:t>Council Directive 2005/85/EC</w:t>
      </w:r>
      <w:r w:rsidR="00957787">
        <w:t>)</w:t>
      </w:r>
    </w:p>
  </w:footnote>
  <w:footnote w:id="7">
    <w:p w14:paraId="15D4C9F1" w14:textId="77777777" w:rsidR="00233161" w:rsidRDefault="00233161" w:rsidP="00233161">
      <w:pPr>
        <w:pStyle w:val="FootnoteText"/>
      </w:pPr>
      <w:r>
        <w:rPr>
          <w:rStyle w:val="FootnoteReference"/>
        </w:rPr>
        <w:footnoteRef/>
      </w:r>
      <w:r>
        <w:t xml:space="preserve"> </w:t>
      </w:r>
      <w:hyperlink w:history="1">
        <w:r w:rsidRPr="003E0BFD">
          <w:rPr>
            <w:rStyle w:val="Hyperlink"/>
          </w:rPr>
          <w:t>Department of Justice ‘Minister McEntee secures approval from Government to opt-in to measures of the EU Pact on Migration and Asylum’</w:t>
        </w:r>
        <w:r>
          <w:rPr>
            <w:rStyle w:val="Hyperlink"/>
          </w:rPr>
          <w:t>, 27 March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419"/>
    <w:multiLevelType w:val="hybridMultilevel"/>
    <w:tmpl w:val="C33A23B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A7A0D13"/>
    <w:multiLevelType w:val="hybridMultilevel"/>
    <w:tmpl w:val="639A7E9C"/>
    <w:lvl w:ilvl="0" w:tplc="9D040E38">
      <w:start w:val="1"/>
      <w:numFmt w:val="decimal"/>
      <w:lvlText w:val="%1."/>
      <w:lvlJc w:val="left"/>
      <w:pPr>
        <w:ind w:left="720" w:hanging="360"/>
      </w:pPr>
      <w:rPr>
        <w:rFonts w:ascii="Verdana" w:eastAsia="Times New Roman" w:hAnsi="Verdana" w:cs="Segoe U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81965"/>
    <w:multiLevelType w:val="hybridMultilevel"/>
    <w:tmpl w:val="F254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650BB"/>
    <w:multiLevelType w:val="hybridMultilevel"/>
    <w:tmpl w:val="9800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B2898"/>
    <w:multiLevelType w:val="hybridMultilevel"/>
    <w:tmpl w:val="0CAE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B31E1"/>
    <w:multiLevelType w:val="hybridMultilevel"/>
    <w:tmpl w:val="73E2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44EEF"/>
    <w:multiLevelType w:val="hybridMultilevel"/>
    <w:tmpl w:val="A422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A408C"/>
    <w:multiLevelType w:val="hybridMultilevel"/>
    <w:tmpl w:val="F9B0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E17CE"/>
    <w:multiLevelType w:val="hybridMultilevel"/>
    <w:tmpl w:val="CC14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92AF5"/>
    <w:multiLevelType w:val="multilevel"/>
    <w:tmpl w:val="86A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23016">
    <w:abstractNumId w:val="9"/>
  </w:num>
  <w:num w:numId="2" w16cid:durableId="654644712">
    <w:abstractNumId w:val="6"/>
  </w:num>
  <w:num w:numId="3" w16cid:durableId="79063094">
    <w:abstractNumId w:val="3"/>
  </w:num>
  <w:num w:numId="4" w16cid:durableId="610430239">
    <w:abstractNumId w:val="0"/>
  </w:num>
  <w:num w:numId="5" w16cid:durableId="1589653715">
    <w:abstractNumId w:val="7"/>
  </w:num>
  <w:num w:numId="6" w16cid:durableId="1518349588">
    <w:abstractNumId w:val="2"/>
  </w:num>
  <w:num w:numId="7" w16cid:durableId="1209604356">
    <w:abstractNumId w:val="8"/>
  </w:num>
  <w:num w:numId="8" w16cid:durableId="1198352095">
    <w:abstractNumId w:val="5"/>
  </w:num>
  <w:num w:numId="9" w16cid:durableId="1126000262">
    <w:abstractNumId w:val="1"/>
  </w:num>
  <w:num w:numId="10" w16cid:durableId="204925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5A"/>
    <w:rsid w:val="000058E6"/>
    <w:rsid w:val="000102C9"/>
    <w:rsid w:val="00011456"/>
    <w:rsid w:val="00011BEF"/>
    <w:rsid w:val="00014C1C"/>
    <w:rsid w:val="00026433"/>
    <w:rsid w:val="00032754"/>
    <w:rsid w:val="00033E30"/>
    <w:rsid w:val="00060697"/>
    <w:rsid w:val="00063AD5"/>
    <w:rsid w:val="00071FEA"/>
    <w:rsid w:val="00072167"/>
    <w:rsid w:val="00075EF1"/>
    <w:rsid w:val="000A2139"/>
    <w:rsid w:val="000A55D4"/>
    <w:rsid w:val="000B3662"/>
    <w:rsid w:val="000B668F"/>
    <w:rsid w:val="000D2C61"/>
    <w:rsid w:val="000D2FE6"/>
    <w:rsid w:val="000D7473"/>
    <w:rsid w:val="000F75A0"/>
    <w:rsid w:val="00107759"/>
    <w:rsid w:val="00117EF2"/>
    <w:rsid w:val="00126093"/>
    <w:rsid w:val="00137660"/>
    <w:rsid w:val="00141490"/>
    <w:rsid w:val="00160C12"/>
    <w:rsid w:val="0018168F"/>
    <w:rsid w:val="00182CB0"/>
    <w:rsid w:val="001835F4"/>
    <w:rsid w:val="00184EC1"/>
    <w:rsid w:val="00193583"/>
    <w:rsid w:val="00197654"/>
    <w:rsid w:val="001A03DC"/>
    <w:rsid w:val="001D0173"/>
    <w:rsid w:val="001D1AB6"/>
    <w:rsid w:val="001D5E4B"/>
    <w:rsid w:val="001E00DC"/>
    <w:rsid w:val="001E773A"/>
    <w:rsid w:val="001F2C38"/>
    <w:rsid w:val="001F3EDB"/>
    <w:rsid w:val="00221FD0"/>
    <w:rsid w:val="0023104B"/>
    <w:rsid w:val="00231B56"/>
    <w:rsid w:val="00233161"/>
    <w:rsid w:val="00250715"/>
    <w:rsid w:val="0025147A"/>
    <w:rsid w:val="002528AC"/>
    <w:rsid w:val="00255AB7"/>
    <w:rsid w:val="002568E9"/>
    <w:rsid w:val="00265F2E"/>
    <w:rsid w:val="00272BCC"/>
    <w:rsid w:val="00275EA1"/>
    <w:rsid w:val="002A082C"/>
    <w:rsid w:val="002A1AE5"/>
    <w:rsid w:val="002B269D"/>
    <w:rsid w:val="002D0257"/>
    <w:rsid w:val="002E02F4"/>
    <w:rsid w:val="002F4609"/>
    <w:rsid w:val="002F53D3"/>
    <w:rsid w:val="0030238A"/>
    <w:rsid w:val="00305B1C"/>
    <w:rsid w:val="00306A87"/>
    <w:rsid w:val="0030708E"/>
    <w:rsid w:val="00314C5B"/>
    <w:rsid w:val="0032041E"/>
    <w:rsid w:val="00322EFF"/>
    <w:rsid w:val="00333BE3"/>
    <w:rsid w:val="003344D3"/>
    <w:rsid w:val="00336F23"/>
    <w:rsid w:val="00343EF7"/>
    <w:rsid w:val="00363710"/>
    <w:rsid w:val="00365975"/>
    <w:rsid w:val="00371F6B"/>
    <w:rsid w:val="00375129"/>
    <w:rsid w:val="003B072A"/>
    <w:rsid w:val="003B478B"/>
    <w:rsid w:val="003C717A"/>
    <w:rsid w:val="003D5E28"/>
    <w:rsid w:val="003E0BFD"/>
    <w:rsid w:val="003E38F3"/>
    <w:rsid w:val="003F52E1"/>
    <w:rsid w:val="003F6F26"/>
    <w:rsid w:val="00400D51"/>
    <w:rsid w:val="00401790"/>
    <w:rsid w:val="00404581"/>
    <w:rsid w:val="00410B9B"/>
    <w:rsid w:val="00412BED"/>
    <w:rsid w:val="004240B7"/>
    <w:rsid w:val="00424CCE"/>
    <w:rsid w:val="00460CA8"/>
    <w:rsid w:val="0046147E"/>
    <w:rsid w:val="0046749A"/>
    <w:rsid w:val="0047118F"/>
    <w:rsid w:val="00471478"/>
    <w:rsid w:val="004832CE"/>
    <w:rsid w:val="00484A26"/>
    <w:rsid w:val="00492603"/>
    <w:rsid w:val="0051048A"/>
    <w:rsid w:val="005204C6"/>
    <w:rsid w:val="0052118E"/>
    <w:rsid w:val="00523622"/>
    <w:rsid w:val="005407F8"/>
    <w:rsid w:val="0054727C"/>
    <w:rsid w:val="005572EF"/>
    <w:rsid w:val="00557478"/>
    <w:rsid w:val="00583D41"/>
    <w:rsid w:val="00586BC8"/>
    <w:rsid w:val="005A7DD8"/>
    <w:rsid w:val="005C02F4"/>
    <w:rsid w:val="005D147B"/>
    <w:rsid w:val="005D371A"/>
    <w:rsid w:val="005D6B95"/>
    <w:rsid w:val="005E09DA"/>
    <w:rsid w:val="005F4733"/>
    <w:rsid w:val="005F71B1"/>
    <w:rsid w:val="006065C2"/>
    <w:rsid w:val="00610C9B"/>
    <w:rsid w:val="00613568"/>
    <w:rsid w:val="00624525"/>
    <w:rsid w:val="00624A14"/>
    <w:rsid w:val="00633788"/>
    <w:rsid w:val="0064607D"/>
    <w:rsid w:val="00670D2C"/>
    <w:rsid w:val="006B1D98"/>
    <w:rsid w:val="006B61A2"/>
    <w:rsid w:val="00703A98"/>
    <w:rsid w:val="00707B91"/>
    <w:rsid w:val="007214EC"/>
    <w:rsid w:val="007352EF"/>
    <w:rsid w:val="007378E3"/>
    <w:rsid w:val="007545B7"/>
    <w:rsid w:val="0076313B"/>
    <w:rsid w:val="007648B2"/>
    <w:rsid w:val="00774252"/>
    <w:rsid w:val="007776A7"/>
    <w:rsid w:val="007817E7"/>
    <w:rsid w:val="00782C9C"/>
    <w:rsid w:val="007843E1"/>
    <w:rsid w:val="00790F97"/>
    <w:rsid w:val="00794489"/>
    <w:rsid w:val="00795B7C"/>
    <w:rsid w:val="007A13F7"/>
    <w:rsid w:val="007B2D15"/>
    <w:rsid w:val="007B59F1"/>
    <w:rsid w:val="007C296C"/>
    <w:rsid w:val="007C602F"/>
    <w:rsid w:val="007E2F21"/>
    <w:rsid w:val="007F63DB"/>
    <w:rsid w:val="00800297"/>
    <w:rsid w:val="00813DAD"/>
    <w:rsid w:val="0081615B"/>
    <w:rsid w:val="008451EF"/>
    <w:rsid w:val="00855FF3"/>
    <w:rsid w:val="0087435E"/>
    <w:rsid w:val="00881318"/>
    <w:rsid w:val="008827BE"/>
    <w:rsid w:val="00883EF6"/>
    <w:rsid w:val="008A41B5"/>
    <w:rsid w:val="008B7874"/>
    <w:rsid w:val="008C5A73"/>
    <w:rsid w:val="008D3CC5"/>
    <w:rsid w:val="008D6BBF"/>
    <w:rsid w:val="008E1CED"/>
    <w:rsid w:val="008F3DB5"/>
    <w:rsid w:val="0092099A"/>
    <w:rsid w:val="00921AFA"/>
    <w:rsid w:val="00926C10"/>
    <w:rsid w:val="009306D7"/>
    <w:rsid w:val="00957787"/>
    <w:rsid w:val="00962B76"/>
    <w:rsid w:val="0096494C"/>
    <w:rsid w:val="00965E56"/>
    <w:rsid w:val="00995CC2"/>
    <w:rsid w:val="009A2045"/>
    <w:rsid w:val="009B306E"/>
    <w:rsid w:val="009B4662"/>
    <w:rsid w:val="009C1FF4"/>
    <w:rsid w:val="009C5337"/>
    <w:rsid w:val="009D4674"/>
    <w:rsid w:val="009E5EFA"/>
    <w:rsid w:val="009F0206"/>
    <w:rsid w:val="009F5AF9"/>
    <w:rsid w:val="00A11541"/>
    <w:rsid w:val="00A1602E"/>
    <w:rsid w:val="00A31BAE"/>
    <w:rsid w:val="00A44721"/>
    <w:rsid w:val="00A5424C"/>
    <w:rsid w:val="00A568AB"/>
    <w:rsid w:val="00A63FF8"/>
    <w:rsid w:val="00A7132F"/>
    <w:rsid w:val="00A82727"/>
    <w:rsid w:val="00A867C5"/>
    <w:rsid w:val="00A874B3"/>
    <w:rsid w:val="00A87C2F"/>
    <w:rsid w:val="00AA18A6"/>
    <w:rsid w:val="00AB49D1"/>
    <w:rsid w:val="00AD5413"/>
    <w:rsid w:val="00AD669B"/>
    <w:rsid w:val="00AE2EDC"/>
    <w:rsid w:val="00AE7A83"/>
    <w:rsid w:val="00AF4A3B"/>
    <w:rsid w:val="00B02240"/>
    <w:rsid w:val="00B06931"/>
    <w:rsid w:val="00B07E77"/>
    <w:rsid w:val="00B16359"/>
    <w:rsid w:val="00B4541D"/>
    <w:rsid w:val="00B70DA6"/>
    <w:rsid w:val="00B80CA4"/>
    <w:rsid w:val="00B819EE"/>
    <w:rsid w:val="00B84E69"/>
    <w:rsid w:val="00B85001"/>
    <w:rsid w:val="00B96789"/>
    <w:rsid w:val="00BB6FED"/>
    <w:rsid w:val="00BC7E44"/>
    <w:rsid w:val="00BE2B2E"/>
    <w:rsid w:val="00BF75FE"/>
    <w:rsid w:val="00BF7C0E"/>
    <w:rsid w:val="00C16136"/>
    <w:rsid w:val="00C332DC"/>
    <w:rsid w:val="00C37D3F"/>
    <w:rsid w:val="00C44246"/>
    <w:rsid w:val="00C46DF7"/>
    <w:rsid w:val="00C5247E"/>
    <w:rsid w:val="00C5794C"/>
    <w:rsid w:val="00C86060"/>
    <w:rsid w:val="00C9542E"/>
    <w:rsid w:val="00C959CE"/>
    <w:rsid w:val="00CA0DA2"/>
    <w:rsid w:val="00CA1225"/>
    <w:rsid w:val="00CA466A"/>
    <w:rsid w:val="00CD2804"/>
    <w:rsid w:val="00CE1796"/>
    <w:rsid w:val="00CE5EAD"/>
    <w:rsid w:val="00CE7961"/>
    <w:rsid w:val="00D043A4"/>
    <w:rsid w:val="00D12F09"/>
    <w:rsid w:val="00D14EEC"/>
    <w:rsid w:val="00D17946"/>
    <w:rsid w:val="00D2238D"/>
    <w:rsid w:val="00D25479"/>
    <w:rsid w:val="00D343B0"/>
    <w:rsid w:val="00D35592"/>
    <w:rsid w:val="00D35E31"/>
    <w:rsid w:val="00D442AC"/>
    <w:rsid w:val="00D51035"/>
    <w:rsid w:val="00D82AEA"/>
    <w:rsid w:val="00D959FB"/>
    <w:rsid w:val="00D96333"/>
    <w:rsid w:val="00DA1A23"/>
    <w:rsid w:val="00DA3AEE"/>
    <w:rsid w:val="00DA5B4F"/>
    <w:rsid w:val="00DB778A"/>
    <w:rsid w:val="00DC3E7B"/>
    <w:rsid w:val="00DC60A3"/>
    <w:rsid w:val="00DC75E1"/>
    <w:rsid w:val="00DE22D1"/>
    <w:rsid w:val="00DF6C83"/>
    <w:rsid w:val="00E12981"/>
    <w:rsid w:val="00E17AD2"/>
    <w:rsid w:val="00E33C1E"/>
    <w:rsid w:val="00E3728F"/>
    <w:rsid w:val="00E40CF1"/>
    <w:rsid w:val="00E41536"/>
    <w:rsid w:val="00E42269"/>
    <w:rsid w:val="00E47EF2"/>
    <w:rsid w:val="00E51F7B"/>
    <w:rsid w:val="00E532D4"/>
    <w:rsid w:val="00EA1DF8"/>
    <w:rsid w:val="00EA543E"/>
    <w:rsid w:val="00EA5644"/>
    <w:rsid w:val="00EA57B4"/>
    <w:rsid w:val="00EB2521"/>
    <w:rsid w:val="00EB3114"/>
    <w:rsid w:val="00EB56DC"/>
    <w:rsid w:val="00EC3FD9"/>
    <w:rsid w:val="00EC4BB5"/>
    <w:rsid w:val="00ED1D34"/>
    <w:rsid w:val="00ED6B0A"/>
    <w:rsid w:val="00EE3F5A"/>
    <w:rsid w:val="00F02396"/>
    <w:rsid w:val="00F02475"/>
    <w:rsid w:val="00F05EDE"/>
    <w:rsid w:val="00F0655C"/>
    <w:rsid w:val="00F20DB9"/>
    <w:rsid w:val="00F21515"/>
    <w:rsid w:val="00F51A70"/>
    <w:rsid w:val="00F6163D"/>
    <w:rsid w:val="00F65431"/>
    <w:rsid w:val="00F66010"/>
    <w:rsid w:val="00F74F1F"/>
    <w:rsid w:val="00F86A55"/>
    <w:rsid w:val="00F92796"/>
    <w:rsid w:val="00F94E86"/>
    <w:rsid w:val="00FA5485"/>
    <w:rsid w:val="00FC6144"/>
    <w:rsid w:val="00FC7494"/>
    <w:rsid w:val="00FD473F"/>
    <w:rsid w:val="00FD6959"/>
    <w:rsid w:val="00FF02B8"/>
    <w:rsid w:val="00FF5F5A"/>
    <w:rsid w:val="00FF6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48CD"/>
  <w15:chartTrackingRefBased/>
  <w15:docId w15:val="{5A78A2F0-5F71-4827-B862-A8F578DD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5A"/>
  </w:style>
  <w:style w:type="paragraph" w:styleId="Heading1">
    <w:name w:val="heading 1"/>
    <w:basedOn w:val="Normal"/>
    <w:next w:val="Normal"/>
    <w:link w:val="Heading1Char"/>
    <w:uiPriority w:val="9"/>
    <w:qFormat/>
    <w:rsid w:val="00CA0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63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E3F5A"/>
  </w:style>
  <w:style w:type="paragraph" w:styleId="ListParagraph">
    <w:name w:val="List Paragraph"/>
    <w:basedOn w:val="Normal"/>
    <w:uiPriority w:val="34"/>
    <w:qFormat/>
    <w:rsid w:val="00EE3F5A"/>
    <w:pPr>
      <w:ind w:left="720"/>
      <w:contextualSpacing/>
    </w:pPr>
  </w:style>
  <w:style w:type="paragraph" w:customStyle="1" w:styleId="paragraph">
    <w:name w:val="paragraph"/>
    <w:basedOn w:val="Normal"/>
    <w:rsid w:val="00EE3F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EE3F5A"/>
  </w:style>
  <w:style w:type="character" w:customStyle="1" w:styleId="superscript">
    <w:name w:val="superscript"/>
    <w:basedOn w:val="DefaultParagraphFont"/>
    <w:rsid w:val="00EE3F5A"/>
  </w:style>
  <w:style w:type="character" w:styleId="Hyperlink">
    <w:name w:val="Hyperlink"/>
    <w:basedOn w:val="DefaultParagraphFont"/>
    <w:uiPriority w:val="99"/>
    <w:unhideWhenUsed/>
    <w:rsid w:val="00FC6144"/>
    <w:rPr>
      <w:color w:val="0563C1" w:themeColor="hyperlink"/>
      <w:u w:val="single"/>
    </w:rPr>
  </w:style>
  <w:style w:type="paragraph" w:styleId="EndnoteText">
    <w:name w:val="endnote text"/>
    <w:basedOn w:val="Normal"/>
    <w:link w:val="EndnoteTextChar"/>
    <w:uiPriority w:val="99"/>
    <w:semiHidden/>
    <w:unhideWhenUsed/>
    <w:rsid w:val="00FC61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6144"/>
    <w:rPr>
      <w:sz w:val="20"/>
      <w:szCs w:val="20"/>
    </w:rPr>
  </w:style>
  <w:style w:type="character" w:styleId="EndnoteReference">
    <w:name w:val="endnote reference"/>
    <w:basedOn w:val="DefaultParagraphFont"/>
    <w:uiPriority w:val="99"/>
    <w:semiHidden/>
    <w:unhideWhenUsed/>
    <w:rsid w:val="00FC6144"/>
    <w:rPr>
      <w:vertAlign w:val="superscript"/>
    </w:rPr>
  </w:style>
  <w:style w:type="paragraph" w:styleId="FootnoteText">
    <w:name w:val="footnote text"/>
    <w:basedOn w:val="Normal"/>
    <w:link w:val="FootnoteTextChar"/>
    <w:uiPriority w:val="99"/>
    <w:semiHidden/>
    <w:unhideWhenUsed/>
    <w:rsid w:val="00FC61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144"/>
    <w:rPr>
      <w:sz w:val="20"/>
      <w:szCs w:val="20"/>
    </w:rPr>
  </w:style>
  <w:style w:type="character" w:styleId="FootnoteReference">
    <w:name w:val="footnote reference"/>
    <w:basedOn w:val="DefaultParagraphFont"/>
    <w:uiPriority w:val="99"/>
    <w:semiHidden/>
    <w:unhideWhenUsed/>
    <w:rsid w:val="00FC6144"/>
    <w:rPr>
      <w:vertAlign w:val="superscript"/>
    </w:rPr>
  </w:style>
  <w:style w:type="paragraph" w:styleId="Revision">
    <w:name w:val="Revision"/>
    <w:hidden/>
    <w:uiPriority w:val="99"/>
    <w:semiHidden/>
    <w:rsid w:val="0052118E"/>
    <w:pPr>
      <w:spacing w:after="0" w:line="240" w:lineRule="auto"/>
    </w:pPr>
  </w:style>
  <w:style w:type="character" w:styleId="CommentReference">
    <w:name w:val="annotation reference"/>
    <w:basedOn w:val="DefaultParagraphFont"/>
    <w:uiPriority w:val="99"/>
    <w:semiHidden/>
    <w:unhideWhenUsed/>
    <w:rsid w:val="0052118E"/>
    <w:rPr>
      <w:sz w:val="16"/>
      <w:szCs w:val="16"/>
    </w:rPr>
  </w:style>
  <w:style w:type="paragraph" w:styleId="CommentText">
    <w:name w:val="annotation text"/>
    <w:basedOn w:val="Normal"/>
    <w:link w:val="CommentTextChar"/>
    <w:uiPriority w:val="99"/>
    <w:unhideWhenUsed/>
    <w:rsid w:val="0052118E"/>
    <w:pPr>
      <w:spacing w:line="240" w:lineRule="auto"/>
    </w:pPr>
    <w:rPr>
      <w:sz w:val="20"/>
      <w:szCs w:val="20"/>
    </w:rPr>
  </w:style>
  <w:style w:type="character" w:customStyle="1" w:styleId="CommentTextChar">
    <w:name w:val="Comment Text Char"/>
    <w:basedOn w:val="DefaultParagraphFont"/>
    <w:link w:val="CommentText"/>
    <w:uiPriority w:val="99"/>
    <w:rsid w:val="0052118E"/>
    <w:rPr>
      <w:sz w:val="20"/>
      <w:szCs w:val="20"/>
    </w:rPr>
  </w:style>
  <w:style w:type="paragraph" w:styleId="CommentSubject">
    <w:name w:val="annotation subject"/>
    <w:basedOn w:val="CommentText"/>
    <w:next w:val="CommentText"/>
    <w:link w:val="CommentSubjectChar"/>
    <w:uiPriority w:val="99"/>
    <w:semiHidden/>
    <w:unhideWhenUsed/>
    <w:rsid w:val="0052118E"/>
    <w:rPr>
      <w:b/>
      <w:bCs/>
    </w:rPr>
  </w:style>
  <w:style w:type="character" w:customStyle="1" w:styleId="CommentSubjectChar">
    <w:name w:val="Comment Subject Char"/>
    <w:basedOn w:val="CommentTextChar"/>
    <w:link w:val="CommentSubject"/>
    <w:uiPriority w:val="99"/>
    <w:semiHidden/>
    <w:rsid w:val="0052118E"/>
    <w:rPr>
      <w:b/>
      <w:bCs/>
      <w:sz w:val="20"/>
      <w:szCs w:val="20"/>
    </w:rPr>
  </w:style>
  <w:style w:type="character" w:styleId="UnresolvedMention">
    <w:name w:val="Unresolved Mention"/>
    <w:basedOn w:val="DefaultParagraphFont"/>
    <w:uiPriority w:val="99"/>
    <w:semiHidden/>
    <w:unhideWhenUsed/>
    <w:rsid w:val="000A55D4"/>
    <w:rPr>
      <w:color w:val="605E5C"/>
      <w:shd w:val="clear" w:color="auto" w:fill="E1DFDD"/>
    </w:rPr>
  </w:style>
  <w:style w:type="character" w:customStyle="1" w:styleId="Heading1Char">
    <w:name w:val="Heading 1 Char"/>
    <w:basedOn w:val="DefaultParagraphFont"/>
    <w:link w:val="Heading1"/>
    <w:uiPriority w:val="9"/>
    <w:rsid w:val="00CA0D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633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61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7E"/>
  </w:style>
  <w:style w:type="paragraph" w:styleId="Footer">
    <w:name w:val="footer"/>
    <w:basedOn w:val="Normal"/>
    <w:link w:val="FooterChar"/>
    <w:uiPriority w:val="99"/>
    <w:unhideWhenUsed/>
    <w:rsid w:val="00461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hrc.org/publication/detail/submission-to-the-house-of-lords-on-the-illegal-migration-bill" TargetMode="External"/><Relationship Id="rId13" Type="http://schemas.openxmlformats.org/officeDocument/2006/relationships/hyperlink" Target="https://www.judiciaryni.uk/judicial-decisions/2024-nikb-3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hrc.org/about-us/what-we-do" TargetMode="External"/><Relationship Id="rId17" Type="http://schemas.openxmlformats.org/officeDocument/2006/relationships/hyperlink" Target="https://nihrc.org/publication/detail/nihrc-advice-on-the-safety-of-rwanda-asylum-and-immigration-bill" TargetMode="External"/><Relationship Id="rId2" Type="http://schemas.openxmlformats.org/officeDocument/2006/relationships/numbering" Target="numbering.xml"/><Relationship Id="rId16" Type="http://schemas.openxmlformats.org/officeDocument/2006/relationships/hyperlink" Target="https://nihrc.org/publication/detail/article-2-of-the-windsor-framework-and-the-rights-of-refugees-and-persons-seeking-asyl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xUriServ/LexUriServ.do?uri=OJ:L:2011:101:0001:0011:en:PDF" TargetMode="External"/><Relationship Id="rId5" Type="http://schemas.openxmlformats.org/officeDocument/2006/relationships/webSettings" Target="webSettings.xml"/><Relationship Id="rId15" Type="http://schemas.openxmlformats.org/officeDocument/2006/relationships/hyperlink" Target="https://nihrc.org/publication/detail/nihrc-briefing-note-on-article-2-of-the-windsor-framework-and-the-rights-of-refugees-and-asylum-seekers" TargetMode="External"/><Relationship Id="rId10" Type="http://schemas.openxmlformats.org/officeDocument/2006/relationships/hyperlink" Target="https://eur-lex.europa.eu/LexUriServ/LexUriServ.do?uri=OJ:L:2004:304:0012:0023: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ALL/?uri=celex%3A32005L0085" TargetMode="External"/><Relationship Id="rId14" Type="http://schemas.openxmlformats.org/officeDocument/2006/relationships/hyperlink" Target="https://nihrc.org/publication/detail/submission-to-the-house-of-lords-on-the-illegal-migration-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9827-5F40-4739-B548-2E9B1634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Wilson</dc:creator>
  <cp:keywords/>
  <dc:description/>
  <cp:lastModifiedBy>Lisa Wilson</cp:lastModifiedBy>
  <cp:revision>4</cp:revision>
  <cp:lastPrinted>2024-05-20T13:11:00Z</cp:lastPrinted>
  <dcterms:created xsi:type="dcterms:W3CDTF">2024-05-20T13:10:00Z</dcterms:created>
  <dcterms:modified xsi:type="dcterms:W3CDTF">2024-05-20T13:12:00Z</dcterms:modified>
</cp:coreProperties>
</file>