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55108" cy="13213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108" cy="132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Heading1"/>
        <w:spacing w:before="101"/>
        <w:ind w:right="5278"/>
      </w:pPr>
      <w:r>
        <w:rPr/>
        <w:t>Rt</w:t>
      </w:r>
      <w:r>
        <w:rPr>
          <w:spacing w:val="-8"/>
        </w:rPr>
        <w:t> </w:t>
      </w:r>
      <w:r>
        <w:rPr/>
        <w:t>Hon</w:t>
      </w:r>
      <w:r>
        <w:rPr>
          <w:spacing w:val="-7"/>
        </w:rPr>
        <w:t> </w:t>
      </w:r>
      <w:r>
        <w:rPr/>
        <w:t>Harriet</w:t>
      </w:r>
      <w:r>
        <w:rPr>
          <w:spacing w:val="-7"/>
        </w:rPr>
        <w:t> </w:t>
      </w:r>
      <w:r>
        <w:rPr/>
        <w:t>Harman</w:t>
      </w:r>
      <w:r>
        <w:rPr>
          <w:spacing w:val="-6"/>
        </w:rPr>
        <w:t> </w:t>
      </w:r>
      <w:r>
        <w:rPr/>
        <w:t>QC</w:t>
      </w:r>
      <w:r>
        <w:rPr>
          <w:spacing w:val="-8"/>
        </w:rPr>
        <w:t> </w:t>
      </w:r>
      <w:r>
        <w:rPr/>
        <w:t>MP</w:t>
      </w:r>
      <w:r>
        <w:rPr/>
        <w:t> </w:t>
      </w:r>
      <w:r>
        <w:rPr>
          <w:spacing w:val="-2"/>
        </w:rPr>
        <w:t>Chair</w:t>
      </w:r>
    </w:p>
    <w:p>
      <w:pPr>
        <w:pStyle w:val="BodyText"/>
        <w:ind w:left="100" w:right="5278"/>
      </w:pPr>
      <w:r>
        <w:rPr/>
        <w:t>Joint</w:t>
      </w:r>
      <w:r>
        <w:rPr>
          <w:spacing w:val="-11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Human</w:t>
      </w:r>
      <w:r>
        <w:rPr>
          <w:spacing w:val="-11"/>
        </w:rPr>
        <w:t> </w:t>
      </w:r>
      <w:r>
        <w:rPr/>
        <w:t>Right</w:t>
      </w:r>
      <w:r>
        <w:rPr/>
        <w:t>s</w:t>
      </w:r>
      <w:r>
        <w:rPr/>
        <w:t> House of Parliament</w:t>
      </w:r>
    </w:p>
    <w:p>
      <w:pPr>
        <w:pStyle w:val="BodyText"/>
        <w:ind w:left="100" w:right="8395"/>
      </w:pPr>
      <w:r>
        <w:rPr>
          <w:spacing w:val="-2"/>
        </w:rPr>
        <w:t>Lond</w:t>
      </w:r>
      <w:r>
        <w:rPr>
          <w:spacing w:val="-2"/>
        </w:rPr>
        <w:t>on</w:t>
      </w:r>
      <w:r>
        <w:rPr>
          <w:spacing w:val="-2"/>
        </w:rPr>
        <w:t> </w:t>
      </w:r>
      <w:r>
        <w:rPr/>
        <w:t>SW1A</w:t>
      </w:r>
      <w:r>
        <w:rPr>
          <w:spacing w:val="-22"/>
        </w:rPr>
        <w:t> </w:t>
      </w:r>
      <w:r>
        <w:rPr/>
        <w:t>0AA</w:t>
      </w:r>
    </w:p>
    <w:p>
      <w:pPr>
        <w:pStyle w:val="BodyText"/>
        <w:rPr>
          <w:sz w:val="29"/>
        </w:rPr>
      </w:pPr>
    </w:p>
    <w:p>
      <w:pPr>
        <w:pStyle w:val="BodyText"/>
        <w:ind w:left="100"/>
      </w:pPr>
      <w:r>
        <w:rPr>
          <w:color w:val="22201F"/>
        </w:rPr>
        <w:t>By</w:t>
      </w:r>
      <w:r>
        <w:rPr>
          <w:color w:val="22201F"/>
          <w:spacing w:val="-3"/>
        </w:rPr>
        <w:t> </w:t>
      </w:r>
      <w:r>
        <w:rPr>
          <w:color w:val="22201F"/>
        </w:rPr>
        <w:t>email</w:t>
      </w:r>
      <w:r>
        <w:rPr>
          <w:color w:val="22201F"/>
          <w:spacing w:val="-3"/>
        </w:rPr>
        <w:t> </w:t>
      </w:r>
      <w:r>
        <w:rPr>
          <w:color w:val="22201F"/>
        </w:rPr>
        <w:t>to:</w:t>
      </w:r>
      <w:r>
        <w:rPr>
          <w:color w:val="22201F"/>
          <w:spacing w:val="1"/>
        </w:rPr>
        <w:t> </w:t>
      </w:r>
      <w:hyperlink r:id="rId6">
        <w:r>
          <w:rPr>
            <w:color w:val="373051"/>
            <w:spacing w:val="-2"/>
            <w:u w:val="single" w:color="373051"/>
          </w:rPr>
          <w:t>jchr@parliament.uk</w:t>
        </w:r>
      </w:hyperlink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100"/>
        <w:ind w:left="100"/>
      </w:pPr>
      <w:r>
        <w:rPr/>
        <w:t>22</w:t>
      </w:r>
      <w:r>
        <w:rPr>
          <w:spacing w:val="-3"/>
        </w:rPr>
        <w:t> </w:t>
      </w:r>
      <w:r>
        <w:rPr/>
        <w:t>June</w:t>
      </w:r>
      <w:r>
        <w:rPr>
          <w:spacing w:val="-1"/>
        </w:rPr>
        <w:t> </w:t>
      </w:r>
      <w:r>
        <w:rPr>
          <w:spacing w:val="-4"/>
        </w:rPr>
        <w:t>2022</w:t>
      </w:r>
    </w:p>
    <w:p>
      <w:pPr>
        <w:pStyle w:val="BodyText"/>
        <w:rPr>
          <w:sz w:val="28"/>
        </w:rPr>
      </w:pPr>
    </w:p>
    <w:p>
      <w:pPr>
        <w:pStyle w:val="BodyText"/>
        <w:spacing w:before="242"/>
        <w:ind w:left="100"/>
      </w:pPr>
      <w:r>
        <w:rPr/>
        <w:t>Dear</w:t>
      </w:r>
      <w:r>
        <w:rPr>
          <w:spacing w:val="-1"/>
        </w:rPr>
        <w:t> </w:t>
      </w:r>
      <w:r>
        <w:rPr>
          <w:spacing w:val="-2"/>
        </w:rPr>
        <w:t>Harriet,</w:t>
      </w:r>
    </w:p>
    <w:p>
      <w:pPr>
        <w:pStyle w:val="BodyText"/>
      </w:pPr>
    </w:p>
    <w:p>
      <w:pPr>
        <w:pStyle w:val="Heading1"/>
      </w:pPr>
      <w:r>
        <w:rPr/>
        <w:t>Re:</w:t>
      </w:r>
      <w:r>
        <w:rPr>
          <w:spacing w:val="-7"/>
        </w:rPr>
        <w:t> </w:t>
      </w:r>
      <w:r>
        <w:rPr/>
        <w:t>Inquiry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Human</w:t>
      </w:r>
      <w:r>
        <w:rPr>
          <w:spacing w:val="-4"/>
        </w:rPr>
        <w:t> </w:t>
      </w:r>
      <w:r>
        <w:rPr/>
        <w:t>Rights</w:t>
      </w:r>
      <w:r>
        <w:rPr>
          <w:spacing w:val="-4"/>
        </w:rPr>
        <w:t> </w:t>
      </w:r>
      <w:r>
        <w:rPr>
          <w:spacing w:val="-2"/>
        </w:rPr>
        <w:t>Ombudsperson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100" w:right="127"/>
      </w:pPr>
      <w:r>
        <w:rPr/>
        <w:t>As the Joint Committee is aware, the Northern Ireland Human Right</w:t>
      </w:r>
      <w:r>
        <w:rPr/>
        <w:t>s</w:t>
      </w:r>
      <w:r>
        <w:rPr/>
        <w:t> Commission (NIHRC), pursuant to section 69(1) of the Northern Ireland (NI) Ac</w:t>
      </w:r>
      <w:r>
        <w:rPr/>
        <w:t>t</w:t>
      </w:r>
      <w:r>
        <w:rPr/>
        <w:t> 1998, reviews the adequacy and effectiveness of law and practice relating to th</w:t>
      </w:r>
      <w:r>
        <w:rPr/>
        <w:t>e</w:t>
      </w:r>
      <w:r>
        <w:rPr/>
        <w:t> protection of human rights in NI. The NIHRC is also mandated, under secti</w:t>
      </w:r>
      <w:r>
        <w:rPr/>
        <w:t>on</w:t>
      </w:r>
      <w:r>
        <w:rPr/>
        <w:t> 78A(1) to monitor the implementation of Article 2(1) of the Protocol </w:t>
      </w:r>
      <w:r>
        <w:rPr/>
        <w:t>on</w:t>
      </w:r>
      <w:r>
        <w:rPr/>
        <w:t> Ireland/NI of the European Union (EU) Withdrawal Agreement (Protocol Articl</w:t>
      </w:r>
      <w:r>
        <w:rPr/>
        <w:t>e</w:t>
      </w:r>
      <w:r>
        <w:rPr/>
        <w:t> 2),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diminution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rights</w:t>
      </w:r>
      <w:r>
        <w:rPr>
          <w:spacing w:val="-2"/>
        </w:rPr>
        <w:t> </w:t>
      </w:r>
      <w:r>
        <w:rPr/>
        <w:t>protected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‘Rights,</w:t>
      </w:r>
      <w:r>
        <w:rPr>
          <w:spacing w:val="-3"/>
        </w:rPr>
        <w:t> </w:t>
      </w:r>
      <w:r>
        <w:rPr/>
        <w:t>Safeguard</w:t>
      </w:r>
      <w:r>
        <w:rPr/>
        <w:t>s</w:t>
      </w:r>
      <w:r>
        <w:rPr/>
        <w:t> and Equality of Opportunity’ chapter of the Belfast (Good Friday) Agreemen</w:t>
      </w:r>
      <w:r>
        <w:rPr/>
        <w:t>t</w:t>
      </w:r>
      <w:r>
        <w:rPr/>
        <w:t> 1998 as a result of the United Kingdom’s withdrawal from the European Union.</w:t>
      </w:r>
    </w:p>
    <w:p>
      <w:pPr>
        <w:pStyle w:val="BodyText"/>
        <w:spacing w:before="1"/>
        <w:ind w:left="100"/>
      </w:pPr>
      <w:r>
        <w:rPr/>
        <w:t>In fulfilling these statutory functions, I am writing in response to the call </w:t>
      </w:r>
      <w:r>
        <w:rPr/>
        <w:t>for</w:t>
      </w:r>
      <w:r>
        <w:rPr/>
        <w:t> evidence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inquiry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introducing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Human</w:t>
      </w:r>
      <w:r>
        <w:rPr>
          <w:spacing w:val="-4"/>
        </w:rPr>
        <w:t> </w:t>
      </w:r>
      <w:r>
        <w:rPr/>
        <w:t>Rights</w:t>
      </w:r>
      <w:r>
        <w:rPr>
          <w:spacing w:val="-4"/>
        </w:rPr>
        <w:t> </w:t>
      </w:r>
      <w:r>
        <w:rPr/>
        <w:t>Ombudsperson,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/>
        <w:t> exploring whether such an office should be created, and whether this woul</w:t>
      </w:r>
      <w:r>
        <w:rPr/>
        <w:t>d</w:t>
      </w:r>
      <w:r>
        <w:rPr/>
        <w:t> improve how people enforce their rights out of court.</w:t>
      </w:r>
    </w:p>
    <w:p>
      <w:pPr>
        <w:pStyle w:val="BodyText"/>
        <w:spacing w:before="1"/>
      </w:pPr>
    </w:p>
    <w:p>
      <w:pPr>
        <w:pStyle w:val="BodyText"/>
        <w:ind w:left="100" w:right="106"/>
      </w:pPr>
      <w:r>
        <w:rPr/>
        <w:t>The UK has in place a system whereby the courts can consider substantiv</w:t>
      </w:r>
      <w:r>
        <w:rPr/>
        <w:t>e</w:t>
      </w:r>
      <w:r>
        <w:rPr/>
        <w:t> human</w:t>
      </w:r>
      <w:r>
        <w:rPr>
          <w:spacing w:val="-2"/>
        </w:rPr>
        <w:t> </w:t>
      </w:r>
      <w:r>
        <w:rPr/>
        <w:t>rights</w:t>
      </w:r>
      <w:r>
        <w:rPr>
          <w:spacing w:val="-2"/>
        </w:rPr>
        <w:t> </w:t>
      </w:r>
      <w:r>
        <w:rPr/>
        <w:t>issues</w:t>
      </w:r>
      <w:r>
        <w:rPr>
          <w:spacing w:val="-2"/>
        </w:rPr>
        <w:t> </w:t>
      </w:r>
      <w:r>
        <w:rPr/>
        <w:t>through the</w:t>
      </w:r>
      <w:r>
        <w:rPr>
          <w:spacing w:val="-1"/>
        </w:rPr>
        <w:t> </w:t>
      </w:r>
      <w:r>
        <w:rPr/>
        <w:t>Human Rights Act</w:t>
      </w:r>
      <w:r>
        <w:rPr>
          <w:spacing w:val="-3"/>
        </w:rPr>
        <w:t> </w:t>
      </w:r>
      <w:r>
        <w:rPr/>
        <w:t>1998.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NIHRC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</w:t>
      </w:r>
      <w:r>
        <w:rPr/>
        <w:t>een</w:t>
      </w:r>
      <w:r>
        <w:rPr/>
        <w:t> clear in its consideration of the proposed reform of the Human Rights Act th</w:t>
      </w:r>
      <w:r>
        <w:rPr/>
        <w:t>at</w:t>
      </w:r>
      <w:r>
        <w:rPr/>
        <w:t> this</w:t>
      </w:r>
      <w:r>
        <w:rPr>
          <w:spacing w:val="-3"/>
        </w:rPr>
        <w:t> </w:t>
      </w:r>
      <w:r>
        <w:rPr/>
        <w:t>process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strengthened,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eroded,</w:t>
      </w:r>
      <w:r>
        <w:rPr>
          <w:spacing w:val="-1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view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improving</w:t>
      </w:r>
      <w:r>
        <w:rPr>
          <w:spacing w:val="-5"/>
        </w:rPr>
        <w:t> </w:t>
      </w:r>
      <w:r>
        <w:rPr/>
        <w:t>h</w:t>
      </w:r>
      <w:r>
        <w:rPr/>
        <w:t>ow</w:t>
      </w:r>
      <w:r>
        <w:rPr/>
        <w:t> human rights are enforced.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1160527</wp:posOffset>
            </wp:positionH>
            <wp:positionV relativeFrom="paragraph">
              <wp:posOffset>104575</wp:posOffset>
            </wp:positionV>
            <wp:extent cx="5047099" cy="219456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7099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type w:val="continuous"/>
          <w:pgSz w:w="11900" w:h="16850"/>
          <w:pgMar w:top="1020" w:bottom="280" w:left="920" w:right="920"/>
        </w:sectPr>
      </w:pPr>
    </w:p>
    <w:p>
      <w:pPr>
        <w:pStyle w:val="BodyText"/>
        <w:spacing w:before="80"/>
        <w:ind w:left="100" w:right="172"/>
      </w:pPr>
      <w:r>
        <w:rPr/>
        <w:t>In addition, Protocol Article 2 is given effect through the NI Act</w:t>
      </w:r>
      <w:r>
        <w:rPr>
          <w:position w:val="8"/>
          <w:sz w:val="16"/>
        </w:rPr>
        <w:t>1</w:t>
      </w:r>
      <w:r>
        <w:rPr>
          <w:spacing w:val="35"/>
          <w:position w:val="8"/>
          <w:sz w:val="16"/>
        </w:rPr>
        <w:t> </w:t>
      </w:r>
      <w:r>
        <w:rPr/>
        <w:t>and Section </w:t>
      </w:r>
      <w:r>
        <w:rPr/>
        <w:t>7A</w:t>
      </w:r>
      <w:r>
        <w:rPr/>
        <w:t> of the EU (Withdrawal) Act 2018, which gives effect to all the rights, obligati</w:t>
      </w:r>
      <w:r>
        <w:rPr/>
        <w:t>ons</w:t>
      </w:r>
      <w:r>
        <w:rPr/>
        <w:t> and remedies arising under the UK-EU Withdrawal Agreement in UK law withou</w:t>
      </w:r>
      <w:r>
        <w:rPr/>
        <w:t>t</w:t>
      </w:r>
      <w:r>
        <w:rPr/>
        <w:t> the need for further enactment. The UK Government has recognised th</w:t>
      </w:r>
      <w:r>
        <w:rPr/>
        <w:t>at</w:t>
      </w:r>
      <w:r>
        <w:rPr/>
        <w:t> Protocol Article 2 has direct effect and that individuals can invoke their rights i</w:t>
      </w:r>
      <w:r>
        <w:rPr/>
        <w:t>n</w:t>
      </w:r>
      <w:r>
        <w:rPr/>
        <w:t> UK Courts and this has been confirmed by the NI High Court.</w:t>
      </w:r>
      <w:r>
        <w:rPr>
          <w:position w:val="8"/>
          <w:sz w:val="16"/>
        </w:rPr>
        <w:t>2</w:t>
      </w:r>
      <w:r>
        <w:rPr>
          <w:spacing w:val="39"/>
          <w:position w:val="8"/>
          <w:sz w:val="16"/>
        </w:rPr>
        <w:t> </w:t>
      </w:r>
      <w:r>
        <w:rPr/>
        <w:t>Pursuant t</w:t>
      </w:r>
      <w:r>
        <w:rPr/>
        <w:t>o</w:t>
      </w:r>
      <w:r>
        <w:rPr/>
        <w:t> Protocol Article 2, there can be no diminution of those ECHR rights which we</w:t>
      </w:r>
      <w:r>
        <w:rPr/>
        <w:t>re</w:t>
      </w:r>
      <w:r>
        <w:rPr/>
        <w:t> underpinned by EU law prior to 1 January 2021.</w:t>
      </w:r>
      <w:r>
        <w:rPr>
          <w:position w:val="8"/>
          <w:sz w:val="16"/>
        </w:rPr>
        <w:t>3</w:t>
      </w:r>
      <w:r>
        <w:rPr>
          <w:spacing w:val="38"/>
          <w:position w:val="8"/>
          <w:sz w:val="16"/>
        </w:rPr>
        <w:t> </w:t>
      </w:r>
      <w:r>
        <w:rPr/>
        <w:t>In its consideration of th</w:t>
      </w:r>
      <w:r>
        <w:rPr/>
        <w:t>e</w:t>
      </w:r>
      <w:r>
        <w:rPr/>
        <w:t> proposed reform of the Human Rights Act, the NIHRC has also raised concern</w:t>
      </w:r>
      <w:r>
        <w:rPr/>
        <w:t>s</w:t>
      </w:r>
      <w:r>
        <w:rPr/>
        <w:t> that changes to how the ECHR is claimed or enforced in NI law and availabl</w:t>
      </w:r>
      <w:r>
        <w:rPr/>
        <w:t>e</w:t>
      </w:r>
      <w:r>
        <w:rPr/>
        <w:t> remedies,</w:t>
      </w:r>
      <w:r>
        <w:rPr>
          <w:spacing w:val="-5"/>
        </w:rPr>
        <w:t> </w:t>
      </w:r>
      <w:r>
        <w:rPr/>
        <w:t>could</w:t>
      </w:r>
      <w:r>
        <w:rPr>
          <w:spacing w:val="-6"/>
        </w:rPr>
        <w:t> </w:t>
      </w:r>
      <w:r>
        <w:rPr/>
        <w:t>constitute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diminution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human</w:t>
      </w:r>
      <w:r>
        <w:rPr>
          <w:spacing w:val="-5"/>
        </w:rPr>
        <w:t> </w:t>
      </w:r>
      <w:r>
        <w:rPr/>
        <w:t>rights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equality</w:t>
      </w:r>
      <w:r>
        <w:rPr>
          <w:spacing w:val="-5"/>
        </w:rPr>
        <w:t> </w:t>
      </w:r>
      <w:r>
        <w:rPr/>
        <w:t>protection</w:t>
      </w:r>
      <w:r>
        <w:rPr/>
        <w:t>s</w:t>
      </w:r>
      <w:r>
        <w:rPr/>
        <w:t> in Protocol Article 2.</w:t>
      </w:r>
    </w:p>
    <w:p>
      <w:pPr>
        <w:pStyle w:val="BodyText"/>
      </w:pPr>
    </w:p>
    <w:p>
      <w:pPr>
        <w:pStyle w:val="BodyText"/>
        <w:spacing w:before="1"/>
        <w:ind w:left="100" w:right="106"/>
      </w:pPr>
      <w:r>
        <w:rPr/>
        <w:t>Regarding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procedural</w:t>
      </w:r>
      <w:r>
        <w:rPr>
          <w:spacing w:val="-5"/>
        </w:rPr>
        <w:t> </w:t>
      </w:r>
      <w:r>
        <w:rPr/>
        <w:t>process,</w:t>
      </w:r>
      <w:r>
        <w:rPr>
          <w:spacing w:val="-5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human</w:t>
      </w:r>
      <w:r>
        <w:rPr>
          <w:spacing w:val="-5"/>
        </w:rPr>
        <w:t> </w:t>
      </w:r>
      <w:r>
        <w:rPr/>
        <w:t>rights</w:t>
      </w:r>
      <w:r>
        <w:rPr>
          <w:spacing w:val="-3"/>
        </w:rPr>
        <w:t> </w:t>
      </w:r>
      <w:r>
        <w:rPr/>
        <w:t>an</w:t>
      </w:r>
      <w:r>
        <w:rPr/>
        <w:t>d</w:t>
      </w:r>
      <w:r>
        <w:rPr/>
        <w:t> we agree with the Joint Committee that more can be done to deliver </w:t>
      </w:r>
      <w:r>
        <w:rPr/>
        <w:t>an</w:t>
      </w:r>
      <w:r>
        <w:rPr/>
        <w:t> individual’s right to an effective remedy without having to unnecessarily g</w:t>
      </w:r>
      <w:r>
        <w:rPr/>
        <w:t>o</w:t>
      </w:r>
      <w:r>
        <w:rPr/>
        <w:t> through the arduous, expensive and intimidating process of going to court. Yet</w:t>
      </w:r>
      <w:r>
        <w:rPr/>
        <w:t>,</w:t>
      </w:r>
      <w:r>
        <w:rPr/>
        <w:t> we are of the view that the creation of a Human Rights Ombudsman is not th</w:t>
      </w:r>
      <w:r>
        <w:rPr/>
        <w:t>e</w:t>
      </w:r>
      <w:r>
        <w:rPr/>
        <w:t> right approach nor the best use of resources to address the gaps that exist. Th</w:t>
      </w:r>
      <w:r>
        <w:rPr/>
        <w:t>e</w:t>
      </w:r>
      <w:r>
        <w:rPr/>
        <w:t> NIHRC is of the strong view that the creation of such an institution has n</w:t>
      </w:r>
      <w:r>
        <w:rPr/>
        <w:t>o</w:t>
      </w:r>
      <w:r>
        <w:rPr/>
        <w:t> procedural benefit and would only create a complex and confusing system </w:t>
      </w:r>
      <w:r>
        <w:rPr/>
        <w:t>of</w:t>
      </w:r>
      <w:r>
        <w:rPr/>
        <w:t> human rights protection that would be difficult to navigate and monitor i</w:t>
      </w:r>
      <w:r>
        <w:rPr/>
        <w:t>n</w:t>
      </w:r>
      <w:r>
        <w:rPr/>
        <w:t> </w:t>
      </w:r>
      <w:r>
        <w:rPr>
          <w:spacing w:val="-2"/>
        </w:rPr>
        <w:t>practice.</w:t>
      </w:r>
    </w:p>
    <w:p>
      <w:pPr>
        <w:pStyle w:val="BodyText"/>
      </w:pPr>
    </w:p>
    <w:p>
      <w:pPr>
        <w:pStyle w:val="BodyText"/>
        <w:ind w:left="100" w:right="106"/>
      </w:pPr>
      <w:r>
        <w:rPr/>
        <w:t>The focus should be on strengthening the existing system in a way that mak</w:t>
      </w:r>
      <w:r>
        <w:rPr/>
        <w:t>es</w:t>
      </w:r>
      <w:r>
        <w:rPr/>
        <w:t> the</w:t>
      </w:r>
      <w:r>
        <w:rPr>
          <w:spacing w:val="-2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remedy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clear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accessible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refle</w:t>
      </w:r>
      <w:r>
        <w:rPr/>
        <w:t>ct</w:t>
      </w:r>
      <w:r>
        <w:rPr/>
        <w:t> the different legal frameworks for human rights across the UK.</w:t>
      </w:r>
      <w:r>
        <w:rPr>
          <w:spacing w:val="40"/>
        </w:rPr>
        <w:t> </w:t>
      </w:r>
      <w:r>
        <w:rPr/>
        <w:t>For example, i</w:t>
      </w:r>
      <w:r>
        <w:rPr/>
        <w:t>n</w:t>
      </w:r>
      <w:r>
        <w:rPr/>
        <w:t> Protocol Article 2(2) the UK Government committed to continue to facilitate th</w:t>
      </w:r>
      <w:r>
        <w:rPr/>
        <w:t>e</w:t>
      </w:r>
      <w:r>
        <w:rPr/>
        <w:t> work of the NIHRC in upholding human rights and equality standards.</w:t>
      </w:r>
      <w:r>
        <w:rPr>
          <w:position w:val="8"/>
          <w:sz w:val="16"/>
        </w:rPr>
        <w:t>4</w:t>
      </w:r>
      <w:r>
        <w:rPr>
          <w:spacing w:val="40"/>
          <w:position w:val="8"/>
          <w:sz w:val="16"/>
        </w:rPr>
        <w:t> </w:t>
      </w:r>
      <w:r>
        <w:rPr/>
        <w:t>Th</w:t>
      </w:r>
      <w:r>
        <w:rPr/>
        <w:t>e</w:t>
      </w:r>
      <w:r>
        <w:rPr/>
        <w:t> NIHRC has specific statutory responsibilities in relation to oversight of Protoco</w:t>
      </w:r>
      <w:r>
        <w:rPr/>
        <w:t>l</w:t>
      </w:r>
      <w:r>
        <w:rPr/>
        <w:t> Article 2 and ensuring that human rights are safeguarded in NI following U</w:t>
      </w:r>
      <w:r>
        <w:rPr/>
        <w:t>K</w:t>
      </w:r>
      <w:r>
        <w:rPr/>
        <w:t> withdrawal from the EU.</w:t>
      </w:r>
    </w:p>
    <w:p>
      <w:pPr>
        <w:pStyle w:val="BodyText"/>
        <w:spacing w:before="1"/>
      </w:pPr>
    </w:p>
    <w:p>
      <w:pPr>
        <w:pStyle w:val="BodyText"/>
        <w:ind w:left="100" w:right="113"/>
      </w:pPr>
      <w:r>
        <w:rPr/>
        <w:t>Instead of creating a new institution, we encourage the Joint Committee to loo</w:t>
      </w:r>
      <w:r>
        <w:rPr/>
        <w:t>k</w:t>
      </w:r>
      <w:r>
        <w:rPr/>
        <w:t> at the institutions and mechanisms that exist, with a view to considering if th</w:t>
      </w:r>
      <w:r>
        <w:rPr/>
        <w:t>ere</w:t>
      </w:r>
      <w:r>
        <w:rPr/>
        <w:t> are ways to better support or expand their powers to fill the void. Taking </w:t>
      </w:r>
      <w:r>
        <w:rPr/>
        <w:t>our</w:t>
      </w:r>
      <w:r>
        <w:rPr/>
        <w:t> Commission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69(5)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69(7)</w:t>
      </w:r>
      <w:r>
        <w:rPr>
          <w:spacing w:val="-4"/>
        </w:rPr>
        <w:t> </w:t>
      </w:r>
      <w:r>
        <w:rPr/>
        <w:t>of the</w:t>
      </w:r>
      <w:r>
        <w:rPr>
          <w:spacing w:val="-3"/>
        </w:rPr>
        <w:t> </w:t>
      </w:r>
      <w:r>
        <w:rPr/>
        <w:t>Northern</w:t>
      </w:r>
      <w:r>
        <w:rPr>
          <w:spacing w:val="-3"/>
        </w:rPr>
        <w:t> </w:t>
      </w:r>
      <w:r>
        <w:rPr/>
        <w:t>Ireland</w:t>
      </w:r>
      <w:r>
        <w:rPr>
          <w:spacing w:val="-4"/>
        </w:rPr>
        <w:t> </w:t>
      </w:r>
      <w:r>
        <w:rPr/>
        <w:t>Act</w:t>
      </w:r>
      <w:r>
        <w:rPr/>
        <w:t> mandate us to conduct investigations as we consider “necessary or expedient</w:t>
      </w:r>
      <w:r>
        <w:rPr/>
        <w:t>”,</w:t>
      </w:r>
      <w:r>
        <w:rPr/>
        <w:t> to give assistance to individuals and to bring proceedings involving law </w:t>
      </w:r>
      <w:r>
        <w:rPr/>
        <w:t>or</w:t>
      </w:r>
      <w:r>
        <w:rPr/>
        <w:t> practice</w:t>
      </w:r>
      <w:r>
        <w:rPr>
          <w:spacing w:val="-1"/>
        </w:rPr>
        <w:t> </w:t>
      </w:r>
      <w:r>
        <w:rPr/>
        <w:t>relating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human</w:t>
      </w:r>
      <w:r>
        <w:rPr>
          <w:spacing w:val="-2"/>
        </w:rPr>
        <w:t> </w:t>
      </w:r>
      <w:r>
        <w:rPr/>
        <w:t>rights. It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too</w:t>
      </w:r>
      <w:r>
        <w:rPr>
          <w:spacing w:val="-1"/>
        </w:rPr>
        <w:t> </w:t>
      </w:r>
      <w:r>
        <w:rPr/>
        <w:t>much</w:t>
      </w:r>
      <w:r>
        <w:rPr>
          <w:spacing w:val="-2"/>
        </w:rPr>
        <w:t> </w:t>
      </w:r>
      <w:r>
        <w:rPr/>
        <w:t>of </w:t>
      </w:r>
      <w:r>
        <w:rPr/>
        <w:t>a</w:t>
      </w:r>
      <w:r>
        <w:rPr/>
        <w:t> stretch, subject to the necessary resources being provided, to amend </w:t>
      </w:r>
      <w:r>
        <w:rPr/>
        <w:t>our</w:t>
      </w:r>
      <w:r>
        <w:rPr/>
        <w:t> mandate to deliver the enforcement void that an Ombudsman would seek to fill</w:t>
      </w:r>
      <w:r>
        <w:rPr/>
        <w:t>.</w:t>
      </w:r>
      <w:r>
        <w:rPr/>
        <w:t> This approach is supported by the Paris Principles, which enables a national</w:t>
      </w:r>
    </w:p>
    <w:p>
      <w:pPr>
        <w:pStyle w:val="BodyText"/>
        <w:spacing w:before="11"/>
        <w:rPr>
          <w:sz w:val="12"/>
        </w:rPr>
      </w:pPr>
      <w:r>
        <w:rPr/>
        <w:pict>
          <v:rect style="position:absolute;margin-left:51pt;margin-top:9.088642pt;width:144.050pt;height:.72003pt;mso-position-horizontal-relative:page;mso-position-vertical-relative:paragraph;z-index:-15728128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before="115"/>
        <w:ind w:left="100" w:right="0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1</w:t>
      </w:r>
      <w:r>
        <w:rPr>
          <w:color w:val="773189"/>
          <w:sz w:val="16"/>
          <w:vertAlign w:val="baseline"/>
        </w:rPr>
        <w:t> Section 6, NI Act 1998 provides that the NI Assembly is prohibited from making any law which is incompatible wit</w:t>
      </w:r>
      <w:r>
        <w:rPr>
          <w:color w:val="773189"/>
          <w:sz w:val="16"/>
          <w:vertAlign w:val="baseline"/>
        </w:rPr>
        <w:t>h</w:t>
      </w:r>
      <w:r>
        <w:rPr>
          <w:color w:val="773189"/>
          <w:sz w:val="16"/>
          <w:vertAlign w:val="baseline"/>
        </w:rPr>
        <w:t> Protocol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Article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2;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and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Section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24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provides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that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all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acts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of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the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NI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Ministers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and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Departments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should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be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compatible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wit</w:t>
      </w:r>
      <w:r>
        <w:rPr>
          <w:color w:val="773189"/>
          <w:sz w:val="16"/>
          <w:vertAlign w:val="baseline"/>
        </w:rPr>
        <w:t>h</w:t>
      </w:r>
      <w:r>
        <w:rPr>
          <w:color w:val="773189"/>
          <w:sz w:val="16"/>
          <w:vertAlign w:val="baseline"/>
        </w:rPr>
        <w:t> Protocol Article 2.</w:t>
      </w:r>
    </w:p>
    <w:p>
      <w:pPr>
        <w:spacing w:before="0"/>
        <w:ind w:left="100" w:right="106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2</w:t>
      </w:r>
      <w:r>
        <w:rPr>
          <w:color w:val="773189"/>
          <w:sz w:val="16"/>
          <w:vertAlign w:val="baseline"/>
        </w:rPr>
        <w:t> NI Office, ‘UK Government Commitment to “No Diminution of Rights, Safeguards and Equality of Opportunity” i</w:t>
      </w:r>
      <w:r>
        <w:rPr>
          <w:color w:val="773189"/>
          <w:sz w:val="16"/>
          <w:vertAlign w:val="baseline"/>
        </w:rPr>
        <w:t>n</w:t>
      </w:r>
      <w:r>
        <w:rPr>
          <w:color w:val="773189"/>
          <w:sz w:val="16"/>
          <w:vertAlign w:val="baseline"/>
        </w:rPr>
        <w:t> Northern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Ireland: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What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does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it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Mean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and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How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will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it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be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Implemented?’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(NIO,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2020),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at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para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29; </w:t>
      </w:r>
      <w:r>
        <w:rPr>
          <w:i/>
          <w:color w:val="773189"/>
          <w:sz w:val="16"/>
          <w:vertAlign w:val="baseline"/>
        </w:rPr>
        <w:t>Re</w:t>
      </w:r>
      <w:r>
        <w:rPr>
          <w:i/>
          <w:color w:val="773189"/>
          <w:spacing w:val="-1"/>
          <w:sz w:val="16"/>
          <w:vertAlign w:val="baseline"/>
        </w:rPr>
        <w:t> </w:t>
      </w:r>
      <w:r>
        <w:rPr>
          <w:i/>
          <w:color w:val="773189"/>
          <w:sz w:val="16"/>
          <w:vertAlign w:val="baseline"/>
        </w:rPr>
        <w:t>SPUC</w:t>
      </w:r>
      <w:r>
        <w:rPr>
          <w:i/>
          <w:color w:val="773189"/>
          <w:spacing w:val="-1"/>
          <w:sz w:val="16"/>
          <w:vertAlign w:val="baseline"/>
        </w:rPr>
        <w:t> </w:t>
      </w:r>
      <w:r>
        <w:rPr>
          <w:i/>
          <w:color w:val="773189"/>
          <w:sz w:val="16"/>
          <w:vertAlign w:val="baseline"/>
        </w:rPr>
        <w:t>Pro-Life</w:t>
      </w:r>
      <w:r>
        <w:rPr>
          <w:i/>
          <w:color w:val="773189"/>
          <w:spacing w:val="-1"/>
          <w:sz w:val="16"/>
          <w:vertAlign w:val="baseline"/>
        </w:rPr>
        <w:t> </w:t>
      </w:r>
      <w:r>
        <w:rPr>
          <w:i/>
          <w:color w:val="773189"/>
          <w:sz w:val="16"/>
          <w:vertAlign w:val="baseline"/>
        </w:rPr>
        <w:t>Limit</w:t>
      </w:r>
      <w:r>
        <w:rPr>
          <w:i/>
          <w:color w:val="773189"/>
          <w:sz w:val="16"/>
          <w:vertAlign w:val="baseline"/>
        </w:rPr>
        <w:t>ed</w:t>
      </w:r>
      <w:r>
        <w:rPr>
          <w:i/>
          <w:color w:val="773189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[2022] NIQB, at para 77.</w:t>
      </w:r>
    </w:p>
    <w:p>
      <w:pPr>
        <w:spacing w:line="194" w:lineRule="exact" w:before="0"/>
        <w:ind w:left="100" w:right="0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3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NI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Human</w:t>
      </w:r>
      <w:r>
        <w:rPr>
          <w:color w:val="773189"/>
          <w:spacing w:val="-6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Rights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Commission,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‘Response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to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the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consultation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on</w:t>
      </w:r>
      <w:r>
        <w:rPr>
          <w:color w:val="773189"/>
          <w:spacing w:val="-7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Human</w:t>
      </w:r>
      <w:r>
        <w:rPr>
          <w:color w:val="773189"/>
          <w:spacing w:val="-6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Rights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Act</w:t>
      </w:r>
      <w:r>
        <w:rPr>
          <w:color w:val="773189"/>
          <w:spacing w:val="-6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Reform: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Modern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Bill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of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pacing w:val="-2"/>
          <w:sz w:val="16"/>
          <w:vertAlign w:val="baseline"/>
        </w:rPr>
        <w:t>Rights’</w:t>
      </w: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773189"/>
          <w:sz w:val="16"/>
        </w:rPr>
        <w:t>(NIHRC,</w:t>
      </w:r>
      <w:r>
        <w:rPr>
          <w:color w:val="773189"/>
          <w:spacing w:val="-6"/>
          <w:sz w:val="16"/>
        </w:rPr>
        <w:t> </w:t>
      </w:r>
      <w:r>
        <w:rPr>
          <w:color w:val="773189"/>
          <w:spacing w:val="-2"/>
          <w:sz w:val="16"/>
        </w:rPr>
        <w:t>2022).</w:t>
      </w:r>
    </w:p>
    <w:p>
      <w:pPr>
        <w:spacing w:before="0"/>
        <w:ind w:left="100" w:right="145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4</w:t>
      </w:r>
      <w:r>
        <w:rPr>
          <w:color w:val="773189"/>
          <w:sz w:val="16"/>
          <w:vertAlign w:val="baseline"/>
        </w:rPr>
        <w:t> The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UK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Government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also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committed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to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facilitating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the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work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of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the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Equality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Commission</w:t>
      </w:r>
      <w:r>
        <w:rPr>
          <w:color w:val="773189"/>
          <w:spacing w:val="-7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for NI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and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of the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Join</w:t>
      </w:r>
      <w:r>
        <w:rPr>
          <w:color w:val="773189"/>
          <w:sz w:val="16"/>
          <w:vertAlign w:val="baseline"/>
        </w:rPr>
        <w:t>t</w:t>
      </w:r>
      <w:r>
        <w:rPr>
          <w:color w:val="773189"/>
          <w:sz w:val="16"/>
          <w:vertAlign w:val="baseline"/>
        </w:rPr>
        <w:t> Committee of the NIHRC and Irish Human Rights and Equality Committee.</w:t>
      </w:r>
    </w:p>
    <w:p>
      <w:pPr>
        <w:spacing w:after="0"/>
        <w:jc w:val="left"/>
        <w:rPr>
          <w:sz w:val="16"/>
        </w:rPr>
        <w:sectPr>
          <w:pgSz w:w="11900" w:h="16850"/>
          <w:pgMar w:top="940" w:bottom="280" w:left="920" w:right="920"/>
        </w:sectPr>
      </w:pPr>
    </w:p>
    <w:p>
      <w:pPr>
        <w:pStyle w:val="BodyText"/>
        <w:spacing w:before="80"/>
        <w:ind w:left="100" w:right="105"/>
      </w:pPr>
      <w:r>
        <w:rPr/>
        <w:t>human rights institution to be “authorised to hear and consider complaints an</w:t>
      </w:r>
      <w:r>
        <w:rPr/>
        <w:t>d</w:t>
      </w:r>
      <w:r>
        <w:rPr/>
        <w:t> petitions concerning individual situations” and to make “recommendations to th</w:t>
      </w:r>
      <w:r>
        <w:rPr/>
        <w:t>e</w:t>
      </w:r>
      <w:r>
        <w:rPr/>
        <w:t> competent authorities, especially by proposing amendments or reforms of th</w:t>
      </w:r>
      <w:r>
        <w:rPr/>
        <w:t>e</w:t>
      </w:r>
      <w:r>
        <w:rPr/>
        <w:t> laws,</w:t>
      </w:r>
      <w:r>
        <w:rPr>
          <w:spacing w:val="-5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practices,</w:t>
      </w:r>
      <w:r>
        <w:rPr>
          <w:spacing w:val="-6"/>
        </w:rPr>
        <w:t> </w:t>
      </w:r>
      <w:r>
        <w:rPr/>
        <w:t>especially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they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created</w:t>
      </w:r>
      <w:r>
        <w:rPr>
          <w:spacing w:val="-5"/>
        </w:rPr>
        <w:t> </w:t>
      </w:r>
      <w:r>
        <w:rPr/>
        <w:t>th</w:t>
      </w:r>
      <w:r>
        <w:rPr/>
        <w:t>e</w:t>
      </w:r>
      <w:r>
        <w:rPr/>
        <w:t> difficulties encountered by the persons filing the petitions in order to assert thei</w:t>
      </w:r>
      <w:r>
        <w:rPr/>
        <w:t>r</w:t>
      </w:r>
      <w:r>
        <w:rPr/>
        <w:t> rights”.</w:t>
      </w:r>
      <w:r>
        <w:rPr>
          <w:position w:val="8"/>
          <w:sz w:val="16"/>
        </w:rPr>
        <w:t>5</w:t>
      </w:r>
      <w:r>
        <w:rPr>
          <w:spacing w:val="40"/>
          <w:position w:val="8"/>
          <w:sz w:val="16"/>
        </w:rPr>
        <w:t> </w:t>
      </w:r>
      <w:r>
        <w:rPr/>
        <w:t>The National Human Rights Commission, India provides a successfu</w:t>
      </w:r>
      <w:r>
        <w:rPr/>
        <w:t>l</w:t>
      </w:r>
      <w:r>
        <w:rPr/>
        <w:t> example within a Common Law system where this has been achieved. This is </w:t>
      </w:r>
      <w:r>
        <w:rPr/>
        <w:t>a</w:t>
      </w:r>
      <w:r>
        <w:rPr/>
        <w:t> quasi-judicial national human rights institution with the ability to addre</w:t>
      </w:r>
      <w:r>
        <w:rPr/>
        <w:t>ss</w:t>
      </w:r>
      <w:r>
        <w:rPr/>
        <w:t> procedural human rights issues.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00" w:right="145"/>
      </w:pPr>
      <w:r>
        <w:rPr/>
        <w:t>Existing Ombudsman institutions can also help. It is our view that, rather tha</w:t>
      </w:r>
      <w:r>
        <w:rPr/>
        <w:t>n</w:t>
      </w:r>
      <w:r>
        <w:rPr/>
        <w:t> establishing a new institution, there should be a requirement that human right</w:t>
      </w:r>
      <w:r>
        <w:rPr/>
        <w:t>s</w:t>
      </w:r>
      <w:r>
        <w:rPr/>
        <w:t> are a core consideration when an existing Ombudsman is making decisions </w:t>
      </w:r>
      <w:r>
        <w:rPr/>
        <w:t>or</w:t>
      </w:r>
      <w:r>
        <w:rPr/>
        <w:t> formulating recommendations on maladministration. The Internationa</w:t>
      </w:r>
      <w:r>
        <w:rPr/>
        <w:t>l</w:t>
      </w:r>
      <w:r>
        <w:rPr/>
        <w:t> Ombudsman</w:t>
      </w:r>
      <w:r>
        <w:rPr>
          <w:spacing w:val="-6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states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“Ombudsman</w:t>
      </w:r>
      <w:r>
        <w:rPr>
          <w:spacing w:val="-5"/>
        </w:rPr>
        <w:t> </w:t>
      </w:r>
      <w:r>
        <w:rPr/>
        <w:t>institutions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integral</w:t>
      </w:r>
      <w:r>
        <w:rPr>
          <w:spacing w:val="-6"/>
        </w:rPr>
        <w:t> </w:t>
      </w:r>
      <w:r>
        <w:rPr/>
        <w:t>pa</w:t>
      </w:r>
      <w:r>
        <w:rPr/>
        <w:t>rt</w:t>
      </w:r>
      <w:r>
        <w:rPr/>
        <w:t> of good governance and make an important contribution to transparent publi</w:t>
      </w:r>
      <w:r>
        <w:rPr/>
        <w:t>c</w:t>
      </w:r>
      <w:r>
        <w:rPr/>
        <w:t> administration, the protection and promotion of human rights and the rule </w:t>
      </w:r>
      <w:r>
        <w:rPr/>
        <w:t>of</w:t>
      </w:r>
      <w:r>
        <w:rPr/>
        <w:t> law”</w:t>
      </w:r>
      <w:r>
        <w:rPr>
          <w:position w:val="8"/>
          <w:sz w:val="16"/>
        </w:rPr>
        <w:t>6</w:t>
      </w:r>
      <w:r>
        <w:rPr>
          <w:spacing w:val="40"/>
          <w:position w:val="8"/>
          <w:sz w:val="16"/>
        </w:rPr>
        <w:t> </w:t>
      </w:r>
      <w:r>
        <w:rPr/>
        <w:t>and “encourages all Ombudsman institutions to call upon thei</w:t>
      </w:r>
      <w:r>
        <w:rPr/>
        <w:t>r</w:t>
      </w:r>
      <w:r>
        <w:rPr/>
        <w:t> governments to protect and promote human rights irrespective of their</w:t>
      </w:r>
    </w:p>
    <w:p>
      <w:pPr>
        <w:pStyle w:val="BodyText"/>
        <w:spacing w:before="1"/>
        <w:ind w:left="100"/>
        <w:rPr>
          <w:sz w:val="16"/>
        </w:rPr>
      </w:pPr>
      <w:r>
        <w:rPr>
          <w:spacing w:val="-2"/>
        </w:rPr>
        <w:t>mandate”.</w:t>
      </w:r>
      <w:r>
        <w:rPr>
          <w:spacing w:val="-2"/>
          <w:position w:val="8"/>
          <w:sz w:val="16"/>
        </w:rPr>
        <w:t>7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00" w:right="145"/>
      </w:pPr>
      <w:r>
        <w:rPr/>
        <w:t>Furthermore,</w:t>
      </w:r>
      <w:r>
        <w:rPr>
          <w:spacing w:val="-3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view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establish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maint</w:t>
      </w:r>
      <w:r>
        <w:rPr/>
        <w:t>ain</w:t>
      </w:r>
      <w:r>
        <w:rPr/>
        <w:t> a new Ombudsman would be better placed nurturing the good workin</w:t>
      </w:r>
      <w:r>
        <w:rPr/>
        <w:t>g</w:t>
      </w:r>
      <w:r>
        <w:rPr/>
        <w:t> relationships between national human rights institutions and existin</w:t>
      </w:r>
      <w:r>
        <w:rPr/>
        <w:t>g</w:t>
      </w:r>
      <w:r>
        <w:rPr/>
        <w:t> Ombudsman to ensure this proposed requirement is implemented effectively.</w:t>
      </w:r>
    </w:p>
    <w:p>
      <w:pPr>
        <w:pStyle w:val="BodyText"/>
        <w:spacing w:line="291" w:lineRule="exact"/>
        <w:ind w:left="100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supported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Ombudsman</w:t>
      </w:r>
      <w:r>
        <w:rPr>
          <w:spacing w:val="-2"/>
        </w:rPr>
        <w:t> </w:t>
      </w:r>
      <w:r>
        <w:rPr/>
        <w:t>Institute,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“encourages</w:t>
      </w:r>
    </w:p>
    <w:p>
      <w:pPr>
        <w:pStyle w:val="BodyText"/>
        <w:spacing w:line="291" w:lineRule="exact" w:before="1"/>
        <w:ind w:left="100"/>
      </w:pPr>
      <w:r>
        <w:rPr/>
        <w:t>increased</w:t>
      </w:r>
      <w:r>
        <w:rPr>
          <w:spacing w:val="-5"/>
        </w:rPr>
        <w:t> </w:t>
      </w:r>
      <w:r>
        <w:rPr/>
        <w:t>cooperation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Ombudsman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human</w:t>
      </w:r>
      <w:r>
        <w:rPr>
          <w:spacing w:val="-3"/>
        </w:rPr>
        <w:t> </w:t>
      </w:r>
      <w:r>
        <w:rPr>
          <w:spacing w:val="-2"/>
        </w:rPr>
        <w:t>rights</w:t>
      </w:r>
    </w:p>
    <w:p>
      <w:pPr>
        <w:pStyle w:val="BodyText"/>
        <w:ind w:left="100" w:right="105"/>
        <w:rPr>
          <w:sz w:val="16"/>
        </w:rPr>
      </w:pPr>
      <w:r>
        <w:rPr/>
        <w:t>institutions at national level”.</w:t>
      </w:r>
      <w:r>
        <w:rPr>
          <w:position w:val="8"/>
          <w:sz w:val="16"/>
        </w:rPr>
        <w:t>8</w:t>
      </w:r>
      <w:r>
        <w:rPr>
          <w:spacing w:val="40"/>
          <w:position w:val="8"/>
          <w:sz w:val="16"/>
        </w:rPr>
        <w:t> </w:t>
      </w:r>
      <w:r>
        <w:rPr/>
        <w:t>The NIHRC has a good working relationship wi</w:t>
      </w:r>
      <w:r>
        <w:rPr/>
        <w:t>th</w:t>
      </w:r>
      <w:r>
        <w:rPr/>
        <w:t> the Ombudsman institutions that operate within NI, such as the NI Publ</w:t>
      </w:r>
      <w:r>
        <w:rPr/>
        <w:t>ic</w:t>
      </w:r>
      <w:r>
        <w:rPr/>
        <w:t> Services Ombudsman, Prisoner Ombudsman for NI and Police Ombudsman f</w:t>
      </w:r>
      <w:r>
        <w:rPr/>
        <w:t>or</w:t>
      </w:r>
      <w:r>
        <w:rPr/>
        <w:t> NI. In recent years, we have worked closely with the NI Public Service</w:t>
      </w:r>
      <w:r>
        <w:rPr/>
        <w:t>s</w:t>
      </w:r>
      <w:r>
        <w:rPr/>
        <w:t> Ombudsman and the Police Ombudsman for NI in particular, which consequentl</w:t>
      </w:r>
      <w:r>
        <w:rPr/>
        <w:t>y</w:t>
      </w:r>
      <w:r>
        <w:rPr/>
        <w:t> have embedded a human rights based approach into their investigati</w:t>
      </w:r>
      <w:r>
        <w:rPr/>
        <w:t>on</w:t>
      </w:r>
      <w:r>
        <w:rPr/>
        <w:t> processes.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/>
        <w:t>worked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Ombudsman</w:t>
      </w:r>
      <w:r>
        <w:rPr>
          <w:spacing w:val="-4"/>
        </w:rPr>
        <w:t> </w:t>
      </w:r>
      <w:r>
        <w:rPr/>
        <w:t>t</w:t>
      </w:r>
      <w:r>
        <w:rPr/>
        <w:t>o</w:t>
      </w:r>
      <w:r>
        <w:rPr/>
        <w:t> support the development of a Human Rights Manual, a guidance document f</w:t>
      </w:r>
      <w:r>
        <w:rPr/>
        <w:t>or</w:t>
      </w:r>
      <w:r>
        <w:rPr/>
        <w:t> staff to ensure a human rights based approach in the investigation of complaint</w:t>
      </w:r>
      <w:r>
        <w:rPr/>
        <w:t>s</w:t>
      </w:r>
      <w:r>
        <w:rPr/>
        <w:t> of maladministration.</w:t>
      </w:r>
      <w:r>
        <w:rPr>
          <w:position w:val="8"/>
          <w:sz w:val="16"/>
        </w:rPr>
        <w:t>9</w:t>
      </w:r>
      <w:r>
        <w:rPr>
          <w:spacing w:val="40"/>
          <w:position w:val="8"/>
          <w:sz w:val="16"/>
        </w:rPr>
        <w:t> </w:t>
      </w:r>
      <w:r>
        <w:rPr/>
        <w:t>On request, we have also provided human rights ad</w:t>
      </w:r>
      <w:r>
        <w:rPr/>
        <w:t>vice</w:t>
      </w:r>
      <w:r>
        <w:rPr/>
        <w:t> for specific investigations. This work has been globally recognised as b</w:t>
      </w:r>
      <w:r>
        <w:rPr/>
        <w:t>est</w:t>
      </w:r>
      <w:r>
        <w:rPr/>
        <w:t> </w:t>
      </w:r>
      <w:r>
        <w:rPr>
          <w:spacing w:val="-2"/>
        </w:rPr>
        <w:t>practice.</w:t>
      </w:r>
      <w:r>
        <w:rPr>
          <w:spacing w:val="-2"/>
          <w:position w:val="8"/>
          <w:sz w:val="16"/>
        </w:rPr>
        <w:t>10</w:t>
      </w:r>
    </w:p>
    <w:p>
      <w:pPr>
        <w:pStyle w:val="BodyText"/>
      </w:pPr>
    </w:p>
    <w:p>
      <w:pPr>
        <w:pStyle w:val="BodyText"/>
        <w:ind w:left="100" w:right="133"/>
      </w:pPr>
      <w:r>
        <w:rPr/>
        <w:t>Nevertheless, I stress the need for adequate resources to be made available an</w:t>
      </w:r>
      <w:r>
        <w:rPr/>
        <w:t>d</w:t>
      </w:r>
      <w:r>
        <w:rPr/>
        <w:t> ring-fenced on a long-term basis to enable such additional functions to b</w:t>
      </w:r>
      <w:r>
        <w:rPr/>
        <w:t>e</w:t>
      </w:r>
      <w:r>
        <w:rPr/>
        <w:t> implemented</w:t>
      </w:r>
      <w:r>
        <w:rPr>
          <w:spacing w:val="-5"/>
        </w:rPr>
        <w:t> </w:t>
      </w:r>
      <w:r>
        <w:rPr/>
        <w:t>effectively.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significantly</w:t>
      </w:r>
      <w:r>
        <w:rPr>
          <w:spacing w:val="-5"/>
        </w:rPr>
        <w:t> </w:t>
      </w:r>
      <w:r>
        <w:rPr/>
        <w:t>under-resourced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our</w:t>
      </w:r>
    </w:p>
    <w:p>
      <w:pPr>
        <w:pStyle w:val="BodyText"/>
        <w:rPr>
          <w:sz w:val="29"/>
        </w:rPr>
      </w:pPr>
      <w:r>
        <w:rPr/>
        <w:pict>
          <v:rect style="position:absolute;margin-left:51pt;margin-top:18.861952pt;width:144.050pt;height:.71997pt;mso-position-horizontal-relative:page;mso-position-vertical-relative:paragraph;z-index:-15727616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spacing w:before="115"/>
        <w:ind w:left="100" w:right="0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5</w:t>
      </w:r>
      <w:r>
        <w:rPr>
          <w:color w:val="773189"/>
          <w:sz w:val="16"/>
          <w:vertAlign w:val="baseline"/>
        </w:rPr>
        <w:t> UN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General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Assembly,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‘Principles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Related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to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the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Status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of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National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Human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Rights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Institutions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(the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Paris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Principles)’,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</w:t>
      </w:r>
      <w:r>
        <w:rPr>
          <w:color w:val="773189"/>
          <w:sz w:val="16"/>
          <w:vertAlign w:val="baseline"/>
        </w:rPr>
        <w:t>0</w:t>
      </w:r>
      <w:r>
        <w:rPr>
          <w:color w:val="773189"/>
          <w:sz w:val="16"/>
          <w:vertAlign w:val="baseline"/>
        </w:rPr>
        <w:t> December 1993.</w:t>
      </w: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6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International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Ombudsman</w:t>
      </w:r>
      <w:r>
        <w:rPr>
          <w:color w:val="773189"/>
          <w:spacing w:val="-7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Institute,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‘Dublin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Declaration’,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27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May</w:t>
      </w:r>
      <w:r>
        <w:rPr>
          <w:color w:val="773189"/>
          <w:spacing w:val="-7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2021,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at</w:t>
      </w:r>
      <w:r>
        <w:rPr>
          <w:color w:val="773189"/>
          <w:spacing w:val="-7"/>
          <w:sz w:val="16"/>
          <w:vertAlign w:val="baseline"/>
        </w:rPr>
        <w:t> </w:t>
      </w:r>
      <w:r>
        <w:rPr>
          <w:color w:val="773189"/>
          <w:spacing w:val="-5"/>
          <w:sz w:val="16"/>
          <w:vertAlign w:val="baseline"/>
        </w:rPr>
        <w:t>1.</w:t>
      </w: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7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International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Ombudsman</w:t>
      </w:r>
      <w:r>
        <w:rPr>
          <w:color w:val="773189"/>
          <w:spacing w:val="-8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Institute,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‘Bangkok</w:t>
      </w:r>
      <w:r>
        <w:rPr>
          <w:color w:val="773189"/>
          <w:spacing w:val="-6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Declaration’,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15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November</w:t>
      </w:r>
      <w:r>
        <w:rPr>
          <w:color w:val="773189"/>
          <w:spacing w:val="-6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2016,</w:t>
      </w:r>
      <w:r>
        <w:rPr>
          <w:color w:val="773189"/>
          <w:spacing w:val="-8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at</w:t>
      </w:r>
      <w:r>
        <w:rPr>
          <w:color w:val="773189"/>
          <w:spacing w:val="-5"/>
          <w:sz w:val="16"/>
          <w:vertAlign w:val="baseline"/>
        </w:rPr>
        <w:t> 2.</w:t>
      </w: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8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International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Ombudsman</w:t>
      </w:r>
      <w:r>
        <w:rPr>
          <w:color w:val="773189"/>
          <w:spacing w:val="-8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Institute,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‘Wellington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Declaration’,</w:t>
      </w:r>
      <w:r>
        <w:rPr>
          <w:color w:val="773189"/>
          <w:spacing w:val="-6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13</w:t>
      </w:r>
      <w:r>
        <w:rPr>
          <w:color w:val="773189"/>
          <w:spacing w:val="-6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November</w:t>
      </w:r>
      <w:r>
        <w:rPr>
          <w:color w:val="773189"/>
          <w:spacing w:val="-6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2012,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at</w:t>
      </w:r>
      <w:r>
        <w:rPr>
          <w:color w:val="773189"/>
          <w:spacing w:val="-8"/>
          <w:sz w:val="16"/>
          <w:vertAlign w:val="baseline"/>
        </w:rPr>
        <w:t> </w:t>
      </w:r>
      <w:r>
        <w:rPr>
          <w:color w:val="773189"/>
          <w:spacing w:val="-5"/>
          <w:sz w:val="16"/>
          <w:vertAlign w:val="baseline"/>
        </w:rPr>
        <w:t>3.</w:t>
      </w: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9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NI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Human</w:t>
      </w:r>
      <w:r>
        <w:rPr>
          <w:color w:val="773189"/>
          <w:spacing w:val="-7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Rights</w:t>
      </w:r>
      <w:r>
        <w:rPr>
          <w:color w:val="773189"/>
          <w:spacing w:val="-6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Commission,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‘Human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Rights</w:t>
      </w:r>
      <w:r>
        <w:rPr>
          <w:color w:val="773189"/>
          <w:spacing w:val="-5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Manual’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(NIPSO,</w:t>
      </w:r>
      <w:r>
        <w:rPr>
          <w:color w:val="773189"/>
          <w:spacing w:val="-7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2016).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Available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pacing w:val="-5"/>
          <w:sz w:val="16"/>
          <w:vertAlign w:val="baseline"/>
        </w:rPr>
        <w:t>at:</w:t>
      </w: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773189"/>
          <w:spacing w:val="-2"/>
          <w:sz w:val="16"/>
        </w:rPr>
        <w:t>https://niopa.qub.ac.uk/bitstream/NIOPA/5583/1/NIPSO-Human-Rights-Manual.pdf</w:t>
      </w: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10</w:t>
      </w:r>
      <w:r>
        <w:rPr>
          <w:color w:val="773189"/>
          <w:sz w:val="16"/>
          <w:vertAlign w:val="baseline"/>
        </w:rPr>
        <w:t> ‘Human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Rights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–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21</w:t>
      </w:r>
      <w:r>
        <w:rPr>
          <w:color w:val="773189"/>
          <w:sz w:val="16"/>
          <w:vertAlign w:val="superscript"/>
        </w:rPr>
        <w:t>st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Century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Approach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to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the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Work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of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Ombudsmen’,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NI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Public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Services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Ombudsman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and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NI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Huma</w:t>
      </w:r>
      <w:r>
        <w:rPr>
          <w:color w:val="773189"/>
          <w:sz w:val="16"/>
          <w:vertAlign w:val="baseline"/>
        </w:rPr>
        <w:t>n</w:t>
      </w:r>
      <w:r>
        <w:rPr>
          <w:color w:val="773189"/>
          <w:sz w:val="16"/>
          <w:vertAlign w:val="baseline"/>
        </w:rPr>
        <w:t> Rights Commission Conference, 10 May 2016.</w:t>
      </w:r>
    </w:p>
    <w:p>
      <w:pPr>
        <w:spacing w:after="0"/>
        <w:jc w:val="left"/>
        <w:rPr>
          <w:sz w:val="16"/>
        </w:rPr>
        <w:sectPr>
          <w:pgSz w:w="11900" w:h="16850"/>
          <w:pgMar w:top="940" w:bottom="280" w:left="920" w:right="920"/>
        </w:sectPr>
      </w:pPr>
    </w:p>
    <w:p>
      <w:pPr>
        <w:pStyle w:val="BodyText"/>
        <w:spacing w:before="80"/>
        <w:ind w:left="100" w:right="105"/>
      </w:pPr>
      <w:r>
        <w:rPr/>
        <w:t>existing</w:t>
      </w:r>
      <w:r>
        <w:rPr>
          <w:spacing w:val="-4"/>
        </w:rPr>
        <w:t> </w:t>
      </w:r>
      <w:r>
        <w:rPr/>
        <w:t>mandate,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to deteriorate</w:t>
      </w:r>
      <w:r>
        <w:rPr>
          <w:spacing w:val="-3"/>
        </w:rPr>
        <w:t> </w:t>
      </w:r>
      <w:r>
        <w:rPr/>
        <w:t>further.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/>
        <w:t>effect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Apr</w:t>
      </w:r>
      <w:r>
        <w:rPr/>
        <w:t>il</w:t>
      </w:r>
      <w:r>
        <w:rPr/>
        <w:t> 2022, we have been subject to a 5 per cent reduction in 2022/2023 an</w:t>
      </w:r>
      <w:r>
        <w:rPr/>
        <w:t>d</w:t>
      </w:r>
      <w:r>
        <w:rPr/>
        <w:t> thereafter a flat cash settlement for 2023/2024 and 2024/2025 of £1,605,391.</w:t>
      </w:r>
    </w:p>
    <w:p>
      <w:pPr>
        <w:pStyle w:val="BodyText"/>
        <w:spacing w:before="1"/>
        <w:ind w:left="100" w:right="106"/>
        <w:rPr>
          <w:sz w:val="16"/>
        </w:rPr>
      </w:pPr>
      <w:r>
        <w:rPr/>
        <w:t>In recent weeks it has also been communicated to us that we need to plan </w:t>
      </w:r>
      <w:r>
        <w:rPr/>
        <w:t>a</w:t>
      </w:r>
      <w:r>
        <w:rPr/>
        <w:t> further 5 per cent contingency to meet any unexpected costs that may ari</w:t>
      </w:r>
      <w:r>
        <w:rPr/>
        <w:t>se</w:t>
      </w:r>
      <w:r>
        <w:rPr/>
        <w:t> during the current three-year fiscal cycle. As the Joint Committee is aware, thi</w:t>
      </w:r>
      <w:r>
        <w:rPr/>
        <w:t>s</w:t>
      </w:r>
      <w:r>
        <w:rPr/>
        <w:t> 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announced</w:t>
      </w:r>
      <w:r>
        <w:rPr>
          <w:spacing w:val="-1"/>
        </w:rPr>
        <w:t> </w:t>
      </w:r>
      <w:r>
        <w:rPr/>
        <w:t>whilst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UK</w:t>
      </w:r>
      <w:r>
        <w:rPr>
          <w:spacing w:val="-2"/>
        </w:rPr>
        <w:t> </w:t>
      </w:r>
      <w:r>
        <w:rPr/>
        <w:t>faces</w:t>
      </w:r>
      <w:r>
        <w:rPr>
          <w:spacing w:val="-1"/>
        </w:rPr>
        <w:t> </w:t>
      </w:r>
      <w:r>
        <w:rPr/>
        <w:t>projected</w:t>
      </w:r>
      <w:r>
        <w:rPr>
          <w:spacing w:val="-2"/>
        </w:rPr>
        <w:t> </w:t>
      </w:r>
      <w:r>
        <w:rPr/>
        <w:t>inflation of</w:t>
      </w:r>
      <w:r>
        <w:rPr>
          <w:spacing w:val="-1"/>
        </w:rPr>
        <w:t> </w:t>
      </w:r>
      <w:r>
        <w:rPr/>
        <w:t>10 per</w:t>
      </w:r>
      <w:r>
        <w:rPr>
          <w:spacing w:val="-1"/>
        </w:rPr>
        <w:t> </w:t>
      </w:r>
      <w:r>
        <w:rPr/>
        <w:t>cent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</w:t>
      </w:r>
      <w:r>
        <w:rPr/>
        <w:t>e</w:t>
      </w:r>
      <w:r>
        <w:rPr/>
        <w:t> end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year.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resource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NIHRC</w:t>
      </w:r>
      <w:r>
        <w:rPr>
          <w:spacing w:val="-4"/>
        </w:rPr>
        <w:t> </w:t>
      </w:r>
      <w:r>
        <w:rPr/>
        <w:t>t</w:t>
      </w:r>
      <w:r>
        <w:rPr/>
        <w:t>o</w:t>
      </w:r>
      <w:r>
        <w:rPr/>
        <w:t> meet inflationary costs and, consequently, our budget will be put under e</w:t>
      </w:r>
      <w:r>
        <w:rPr/>
        <w:t>ven</w:t>
      </w:r>
      <w:r>
        <w:rPr/>
        <w:t> greater pressure. The negative impacts on our operations have been instan</w:t>
      </w:r>
      <w:r>
        <w:rPr/>
        <w:t>t,</w:t>
      </w:r>
      <w:r>
        <w:rPr/>
        <w:t> including the suspension of planned recruitment to vacant and business-critica</w:t>
      </w:r>
      <w:r>
        <w:rPr/>
        <w:t>l</w:t>
      </w:r>
      <w:r>
        <w:rPr/>
        <w:t> staff posts across policy and research, engagement and communications an</w:t>
      </w:r>
      <w:r>
        <w:rPr/>
        <w:t>d</w:t>
      </w:r>
      <w:r>
        <w:rPr/>
        <w:t> administrative functions. The NIHRC is further concerned that this funding crisi</w:t>
      </w:r>
      <w:r>
        <w:rPr/>
        <w:t>s</w:t>
      </w:r>
      <w:r>
        <w:rPr/>
        <w:t> could impact on its ability to oversee the proper implementation of Prot</w:t>
      </w:r>
      <w:r>
        <w:rPr/>
        <w:t>ocol</w:t>
      </w:r>
      <w:r>
        <w:rPr/>
        <w:t> Article 2. In its October 2021 interim report on the NIHRC’s accreditation, th</w:t>
      </w:r>
      <w:r>
        <w:rPr/>
        <w:t>e</w:t>
      </w:r>
      <w:r>
        <w:rPr/>
        <w:t> Global Alliance for National Human Rights Institution Sub-Accreditati</w:t>
      </w:r>
      <w:r>
        <w:rPr/>
        <w:t>on</w:t>
      </w:r>
      <w:r>
        <w:rPr/>
        <w:t> Committee emphasised that “to function effectively, a National Human Right</w:t>
      </w:r>
      <w:r>
        <w:rPr/>
        <w:t>s</w:t>
      </w:r>
      <w:r>
        <w:rPr/>
        <w:t> Institution must be provided with an appropriate level of funding”.</w:t>
      </w:r>
      <w:r>
        <w:rPr>
          <w:position w:val="8"/>
          <w:sz w:val="16"/>
        </w:rPr>
        <w:t>11</w:t>
      </w:r>
      <w:r>
        <w:rPr>
          <w:spacing w:val="40"/>
          <w:position w:val="8"/>
          <w:sz w:val="16"/>
        </w:rPr>
        <w:t> </w:t>
      </w:r>
      <w:r>
        <w:rPr/>
        <w:t>It “reg</w:t>
      </w:r>
      <w:r>
        <w:rPr/>
        <w:t>ards</w:t>
      </w:r>
      <w:r>
        <w:rPr/>
        <w:t> both the current and prospective funding position… as very serious and tim</w:t>
      </w:r>
      <w:r>
        <w:rPr/>
        <w:t>e</w:t>
      </w:r>
      <w:r>
        <w:rPr/>
        <w:t> sensitive,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strongly</w:t>
      </w:r>
      <w:r>
        <w:rPr>
          <w:spacing w:val="-5"/>
        </w:rPr>
        <w:t> </w:t>
      </w:r>
      <w:r>
        <w:rPr/>
        <w:t>recommends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improved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sustainable</w:t>
      </w:r>
      <w:r>
        <w:rPr>
          <w:spacing w:val="-5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i</w:t>
      </w:r>
      <w:r>
        <w:rPr/>
        <w:t>s</w:t>
      </w:r>
      <w:r>
        <w:rPr/>
        <w:t> </w:t>
      </w:r>
      <w:r>
        <w:rPr>
          <w:spacing w:val="-2"/>
        </w:rPr>
        <w:t>reached”.</w:t>
      </w:r>
      <w:r>
        <w:rPr>
          <w:spacing w:val="-2"/>
          <w:position w:val="8"/>
          <w:sz w:val="16"/>
        </w:rPr>
        <w:t>12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/>
        <w:t>The</w:t>
      </w:r>
      <w:r>
        <w:rPr>
          <w:spacing w:val="-4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5"/>
        </w:rPr>
        <w:t> </w:t>
      </w:r>
      <w:r>
        <w:rPr/>
        <w:t>willing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further information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i</w:t>
      </w:r>
      <w:r>
        <w:rPr/>
        <w:t>f</w:t>
      </w:r>
      <w:r>
        <w:rPr/>
        <w:t> required, please do not hesitate to get in touch.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00"/>
      </w:pPr>
      <w:r>
        <w:rPr/>
        <w:t>Yours</w:t>
      </w:r>
      <w:r>
        <w:rPr>
          <w:spacing w:val="-1"/>
        </w:rPr>
        <w:t> </w:t>
      </w:r>
      <w:r>
        <w:rPr>
          <w:spacing w:val="-2"/>
        </w:rPr>
        <w:t>sincerely,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840540</wp:posOffset>
            </wp:positionH>
            <wp:positionV relativeFrom="paragraph">
              <wp:posOffset>98712</wp:posOffset>
            </wp:positionV>
            <wp:extent cx="1319502" cy="425196"/>
            <wp:effectExtent l="0" t="0" r="0" b="0"/>
            <wp:wrapTopAndBottom/>
            <wp:docPr id="5" name="image3.jpeg" descr="A picture containing insect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50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Heading1"/>
        <w:spacing w:before="247"/>
        <w:ind w:right="6638"/>
      </w:pPr>
      <w:r>
        <w:rPr/>
        <w:t>Alyson</w:t>
      </w:r>
      <w:r>
        <w:rPr>
          <w:spacing w:val="-20"/>
        </w:rPr>
        <w:t> </w:t>
      </w:r>
      <w:r>
        <w:rPr/>
        <w:t>Kilpatrick</w:t>
      </w:r>
      <w:r>
        <w:rPr>
          <w:spacing w:val="-19"/>
        </w:rPr>
        <w:t> </w:t>
      </w:r>
      <w:r>
        <w:rPr/>
        <w:t>B</w:t>
      </w:r>
      <w:r>
        <w:rPr/>
        <w:t>L</w:t>
      </w:r>
      <w:r>
        <w:rPr/>
        <w:t> Chief</w:t>
      </w:r>
      <w:r>
        <w:rPr>
          <w:spacing w:val="-4"/>
        </w:rPr>
        <w:t> </w:t>
      </w:r>
      <w:r>
        <w:rPr>
          <w:spacing w:val="-2"/>
        </w:rPr>
        <w:t>Commissioner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1pt;margin-top:10.261048pt;width:144.050pt;height:.72003pt;mso-position-horizontal-relative:page;mso-position-vertical-relative:paragraph;z-index:-15726592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before="115"/>
        <w:ind w:left="100" w:right="0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11</w:t>
      </w:r>
      <w:r>
        <w:rPr>
          <w:color w:val="773189"/>
          <w:sz w:val="16"/>
          <w:vertAlign w:val="baseline"/>
        </w:rPr>
        <w:t> Global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Alliance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for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National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Human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Rights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Institutions,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‘Report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and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Recommendations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of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the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Virtual</w:t>
      </w:r>
      <w:r>
        <w:rPr>
          <w:color w:val="773189"/>
          <w:spacing w:val="-4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Session</w:t>
      </w:r>
      <w:r>
        <w:rPr>
          <w:color w:val="773189"/>
          <w:spacing w:val="-2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of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the</w:t>
      </w:r>
      <w:r>
        <w:rPr>
          <w:color w:val="773189"/>
          <w:spacing w:val="-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Sub</w:t>
      </w:r>
      <w:r>
        <w:rPr>
          <w:color w:val="773189"/>
          <w:sz w:val="16"/>
          <w:vertAlign w:val="baseline"/>
        </w:rPr>
        <w:t>-</w:t>
      </w:r>
      <w:r>
        <w:rPr>
          <w:color w:val="773189"/>
          <w:sz w:val="16"/>
          <w:vertAlign w:val="baseline"/>
        </w:rPr>
        <w:t>Committee on Accreditation’ (GANHRI, 2021), at 28.</w:t>
      </w: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773189"/>
          <w:sz w:val="16"/>
          <w:vertAlign w:val="superscript"/>
        </w:rPr>
        <w:t>12</w:t>
      </w:r>
      <w:r>
        <w:rPr>
          <w:color w:val="773189"/>
          <w:spacing w:val="1"/>
          <w:sz w:val="16"/>
          <w:vertAlign w:val="baseline"/>
        </w:rPr>
        <w:t> </w:t>
      </w:r>
      <w:r>
        <w:rPr>
          <w:color w:val="773189"/>
          <w:sz w:val="16"/>
          <w:vertAlign w:val="baseline"/>
        </w:rPr>
        <w:t>Ibid, at</w:t>
      </w:r>
      <w:r>
        <w:rPr>
          <w:color w:val="773189"/>
          <w:spacing w:val="-3"/>
          <w:sz w:val="16"/>
          <w:vertAlign w:val="baseline"/>
        </w:rPr>
        <w:t> </w:t>
      </w:r>
      <w:r>
        <w:rPr>
          <w:color w:val="773189"/>
          <w:spacing w:val="-5"/>
          <w:sz w:val="16"/>
          <w:vertAlign w:val="baseline"/>
        </w:rPr>
        <w:t>29.</w:t>
      </w:r>
    </w:p>
    <w:sectPr>
      <w:pgSz w:w="11900" w:h="16850"/>
      <w:pgMar w:top="94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chr@parliament.uk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Wilkowski</dc:creator>
  <dcterms:created xsi:type="dcterms:W3CDTF">2022-07-04T09:01:55Z</dcterms:created>
  <dcterms:modified xsi:type="dcterms:W3CDTF">2022-07-04T09:01:55Z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2022-07-04T00:00:00Z</vt:filetime>
  </property>
</Properties>
</file>