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E571A" w14:textId="77777777" w:rsidR="00DB0F0C" w:rsidRDefault="00DB0F0C" w:rsidP="00DB0F0C">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44468778" wp14:editId="60C7ED05">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39E07449" w14:textId="77777777" w:rsidR="00DB0F0C" w:rsidRPr="00EA12CE" w:rsidRDefault="00DB0F0C" w:rsidP="00DB0F0C">
      <w:pPr>
        <w:pStyle w:val="BasicParagraph"/>
        <w:suppressAutoHyphens/>
        <w:jc w:val="center"/>
        <w:rPr>
          <w:rFonts w:ascii="Verdana" w:hAnsi="Verdana" w:cs="Arial"/>
          <w:b/>
          <w:bCs/>
          <w:color w:val="734791"/>
          <w:sz w:val="36"/>
          <w:szCs w:val="36"/>
        </w:rPr>
      </w:pPr>
    </w:p>
    <w:p w14:paraId="72D9E776" w14:textId="6B6264FD" w:rsidR="00DB0F0C" w:rsidRPr="003B7D0E" w:rsidRDefault="00C94B7C" w:rsidP="00DB0F0C">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Legislative Scrutiny: NI Troubles (Legacy and Reconciliation) Bill</w:t>
      </w:r>
    </w:p>
    <w:p w14:paraId="2C919CFE" w14:textId="77777777" w:rsidR="00DB0F0C" w:rsidRDefault="00DB0F0C" w:rsidP="00DB0F0C">
      <w:pPr>
        <w:pStyle w:val="Default"/>
        <w:spacing w:line="288" w:lineRule="auto"/>
        <w:jc w:val="center"/>
        <w:rPr>
          <w:rFonts w:cs="Arial"/>
          <w:color w:val="232120"/>
          <w:sz w:val="36"/>
          <w:szCs w:val="36"/>
        </w:rPr>
      </w:pPr>
    </w:p>
    <w:p w14:paraId="69409151" w14:textId="77777777" w:rsidR="00DB0F0C" w:rsidRDefault="00DB0F0C" w:rsidP="00DB0F0C">
      <w:pPr>
        <w:pStyle w:val="Default"/>
        <w:spacing w:line="288" w:lineRule="auto"/>
        <w:jc w:val="center"/>
        <w:rPr>
          <w:rFonts w:cs="Arial"/>
          <w:color w:val="232120"/>
          <w:sz w:val="36"/>
          <w:szCs w:val="36"/>
        </w:rPr>
      </w:pPr>
    </w:p>
    <w:p w14:paraId="6D13B07B" w14:textId="77777777" w:rsidR="00DB0F0C" w:rsidRDefault="00DB0F0C" w:rsidP="00DB0F0C">
      <w:pPr>
        <w:pStyle w:val="Default"/>
        <w:spacing w:line="288" w:lineRule="auto"/>
        <w:jc w:val="center"/>
        <w:rPr>
          <w:rFonts w:cs="Arial"/>
          <w:color w:val="232120"/>
          <w:sz w:val="36"/>
          <w:szCs w:val="36"/>
        </w:rPr>
      </w:pPr>
    </w:p>
    <w:p w14:paraId="276659A5" w14:textId="77777777" w:rsidR="00DB0F0C" w:rsidRDefault="00DB0F0C" w:rsidP="00DB0F0C">
      <w:pPr>
        <w:pStyle w:val="Default"/>
        <w:spacing w:line="288" w:lineRule="auto"/>
        <w:jc w:val="center"/>
        <w:rPr>
          <w:rFonts w:cs="Arial"/>
          <w:color w:val="232120"/>
          <w:sz w:val="36"/>
          <w:szCs w:val="36"/>
        </w:rPr>
      </w:pPr>
    </w:p>
    <w:p w14:paraId="1C89C544" w14:textId="77777777" w:rsidR="00DB0F0C" w:rsidRDefault="00DB0F0C" w:rsidP="00DB0F0C">
      <w:pPr>
        <w:pStyle w:val="Default"/>
        <w:spacing w:line="288" w:lineRule="auto"/>
        <w:jc w:val="center"/>
        <w:rPr>
          <w:rFonts w:cs="Arial"/>
          <w:color w:val="232120"/>
          <w:sz w:val="36"/>
          <w:szCs w:val="36"/>
        </w:rPr>
      </w:pPr>
    </w:p>
    <w:p w14:paraId="6C618FA0" w14:textId="77777777" w:rsidR="00DB0F0C" w:rsidRPr="00331C61" w:rsidRDefault="00DB0F0C" w:rsidP="00DB0F0C">
      <w:pPr>
        <w:pStyle w:val="Default"/>
        <w:spacing w:line="288" w:lineRule="auto"/>
        <w:jc w:val="center"/>
        <w:rPr>
          <w:rFonts w:cs="Arial"/>
          <w:color w:val="232120"/>
          <w:sz w:val="36"/>
          <w:szCs w:val="36"/>
        </w:rPr>
      </w:pPr>
    </w:p>
    <w:p w14:paraId="75CFE9BA" w14:textId="5B8A2309" w:rsidR="00DB0F0C" w:rsidRPr="00331C61" w:rsidRDefault="00DB0F0C" w:rsidP="00DB0F0C">
      <w:pPr>
        <w:spacing w:line="288" w:lineRule="auto"/>
        <w:jc w:val="center"/>
        <w:rPr>
          <w:rFonts w:cs="Arial"/>
          <w:b/>
          <w:color w:val="232120"/>
          <w:sz w:val="30"/>
          <w:szCs w:val="30"/>
        </w:rPr>
      </w:pPr>
      <w:r>
        <w:rPr>
          <w:rFonts w:cs="Arial"/>
          <w:b/>
          <w:color w:val="232120"/>
          <w:sz w:val="30"/>
          <w:szCs w:val="30"/>
        </w:rPr>
        <w:t>June 2022</w:t>
      </w:r>
    </w:p>
    <w:p w14:paraId="7B5F3A08" w14:textId="5D6F0575" w:rsidR="00800AF0" w:rsidRDefault="00800AF0"/>
    <w:p w14:paraId="073136A5" w14:textId="060A02F4" w:rsidR="00DB0F0C" w:rsidRDefault="00DB0F0C"/>
    <w:p w14:paraId="49200828" w14:textId="6CE5C53D" w:rsidR="00DB0F0C" w:rsidRDefault="00DB0F0C">
      <w:r>
        <w:br w:type="page"/>
      </w:r>
    </w:p>
    <w:sdt>
      <w:sdtPr>
        <w:rPr>
          <w:rFonts w:ascii="Verdana" w:eastAsiaTheme="minorEastAsia" w:hAnsi="Verdana" w:cstheme="minorBidi"/>
          <w:color w:val="auto"/>
          <w:sz w:val="24"/>
          <w:szCs w:val="24"/>
          <w:lang w:val="en-GB"/>
        </w:rPr>
        <w:id w:val="-1131247038"/>
        <w:docPartObj>
          <w:docPartGallery w:val="Table of Contents"/>
          <w:docPartUnique/>
        </w:docPartObj>
      </w:sdtPr>
      <w:sdtEndPr>
        <w:rPr>
          <w:b/>
          <w:bCs/>
          <w:noProof/>
        </w:rPr>
      </w:sdtEndPr>
      <w:sdtContent>
        <w:p w14:paraId="7760EC24" w14:textId="1EC849A4" w:rsidR="00A1294A" w:rsidRPr="00A1294A" w:rsidRDefault="00A1294A">
          <w:pPr>
            <w:pStyle w:val="TOCHeading"/>
            <w:rPr>
              <w:rFonts w:ascii="Verdana" w:hAnsi="Verdana"/>
              <w:b/>
              <w:bCs/>
              <w:color w:val="7030A0"/>
              <w:sz w:val="30"/>
              <w:szCs w:val="30"/>
            </w:rPr>
          </w:pPr>
          <w:r w:rsidRPr="00A1294A">
            <w:rPr>
              <w:rFonts w:ascii="Verdana" w:hAnsi="Verdana"/>
              <w:b/>
              <w:bCs/>
              <w:color w:val="7030A0"/>
              <w:sz w:val="30"/>
              <w:szCs w:val="30"/>
            </w:rPr>
            <w:t>Table of Contents</w:t>
          </w:r>
        </w:p>
        <w:p w14:paraId="04BDE442" w14:textId="77777777" w:rsidR="00A1294A" w:rsidRPr="00A1294A" w:rsidRDefault="00A1294A" w:rsidP="00A1294A">
          <w:pPr>
            <w:rPr>
              <w:lang w:val="en-US"/>
            </w:rPr>
          </w:pPr>
        </w:p>
        <w:p w14:paraId="4D43B1F5" w14:textId="67ED7F4E" w:rsidR="00842E11" w:rsidRDefault="00A1294A" w:rsidP="00A4785C">
          <w:pPr>
            <w:pStyle w:val="TOC1"/>
            <w:rPr>
              <w:rFonts w:asciiTheme="minorHAnsi" w:hAnsiTheme="minorHAnsi"/>
              <w:sz w:val="22"/>
              <w:szCs w:val="22"/>
              <w:lang w:eastAsia="en-GB"/>
            </w:rPr>
          </w:pPr>
          <w:r>
            <w:fldChar w:fldCharType="begin"/>
          </w:r>
          <w:r>
            <w:instrText xml:space="preserve"> TOC \o "1-3" \h \z \u </w:instrText>
          </w:r>
          <w:r>
            <w:fldChar w:fldCharType="separate"/>
          </w:r>
          <w:hyperlink w:anchor="_Toc106290053" w:history="1">
            <w:r w:rsidR="00842E11" w:rsidRPr="00315EA8">
              <w:rPr>
                <w:rStyle w:val="Hyperlink"/>
              </w:rPr>
              <w:t>1.0</w:t>
            </w:r>
            <w:r w:rsidR="00842E11">
              <w:rPr>
                <w:rFonts w:asciiTheme="minorHAnsi" w:hAnsiTheme="minorHAnsi"/>
                <w:sz w:val="22"/>
                <w:szCs w:val="22"/>
                <w:lang w:eastAsia="en-GB"/>
              </w:rPr>
              <w:tab/>
            </w:r>
            <w:r w:rsidR="00842E11" w:rsidRPr="00315EA8">
              <w:rPr>
                <w:rStyle w:val="Hyperlink"/>
              </w:rPr>
              <w:t>Introduction</w:t>
            </w:r>
            <w:r w:rsidR="00842E11">
              <w:rPr>
                <w:webHidden/>
              </w:rPr>
              <w:tab/>
            </w:r>
            <w:r w:rsidR="00842E11">
              <w:rPr>
                <w:webHidden/>
              </w:rPr>
              <w:fldChar w:fldCharType="begin"/>
            </w:r>
            <w:r w:rsidR="00842E11">
              <w:rPr>
                <w:webHidden/>
              </w:rPr>
              <w:instrText xml:space="preserve"> PAGEREF _Toc106290053 \h </w:instrText>
            </w:r>
            <w:r w:rsidR="00842E11">
              <w:rPr>
                <w:webHidden/>
              </w:rPr>
            </w:r>
            <w:r w:rsidR="00842E11">
              <w:rPr>
                <w:webHidden/>
              </w:rPr>
              <w:fldChar w:fldCharType="separate"/>
            </w:r>
            <w:r w:rsidR="00CE6AA6">
              <w:rPr>
                <w:webHidden/>
              </w:rPr>
              <w:t>3</w:t>
            </w:r>
            <w:r w:rsidR="00842E11">
              <w:rPr>
                <w:webHidden/>
              </w:rPr>
              <w:fldChar w:fldCharType="end"/>
            </w:r>
          </w:hyperlink>
        </w:p>
        <w:p w14:paraId="390ED6CD" w14:textId="4D23189A" w:rsidR="00842E11" w:rsidRDefault="003B6D89" w:rsidP="00A4785C">
          <w:pPr>
            <w:pStyle w:val="TOC1"/>
            <w:rPr>
              <w:rFonts w:asciiTheme="minorHAnsi" w:hAnsiTheme="minorHAnsi"/>
              <w:sz w:val="22"/>
              <w:szCs w:val="22"/>
              <w:lang w:eastAsia="en-GB"/>
            </w:rPr>
          </w:pPr>
          <w:hyperlink w:anchor="_Toc106290054" w:history="1">
            <w:r w:rsidR="00842E11" w:rsidRPr="00315EA8">
              <w:rPr>
                <w:rStyle w:val="Hyperlink"/>
              </w:rPr>
              <w:t>2.0</w:t>
            </w:r>
            <w:r w:rsidR="00842E11">
              <w:rPr>
                <w:rFonts w:asciiTheme="minorHAnsi" w:hAnsiTheme="minorHAnsi"/>
                <w:sz w:val="22"/>
                <w:szCs w:val="22"/>
                <w:lang w:eastAsia="en-GB"/>
              </w:rPr>
              <w:tab/>
            </w:r>
            <w:r w:rsidR="00842E11" w:rsidRPr="00315EA8">
              <w:rPr>
                <w:rStyle w:val="Hyperlink"/>
              </w:rPr>
              <w:t>Reviews of Deaths</w:t>
            </w:r>
            <w:r w:rsidR="00842E11">
              <w:rPr>
                <w:webHidden/>
              </w:rPr>
              <w:tab/>
            </w:r>
            <w:r w:rsidR="00842E11">
              <w:rPr>
                <w:webHidden/>
              </w:rPr>
              <w:fldChar w:fldCharType="begin"/>
            </w:r>
            <w:r w:rsidR="00842E11">
              <w:rPr>
                <w:webHidden/>
              </w:rPr>
              <w:instrText xml:space="preserve"> PAGEREF _Toc106290054 \h </w:instrText>
            </w:r>
            <w:r w:rsidR="00842E11">
              <w:rPr>
                <w:webHidden/>
              </w:rPr>
            </w:r>
            <w:r w:rsidR="00842E11">
              <w:rPr>
                <w:webHidden/>
              </w:rPr>
              <w:fldChar w:fldCharType="separate"/>
            </w:r>
            <w:r w:rsidR="00CE6AA6">
              <w:rPr>
                <w:webHidden/>
              </w:rPr>
              <w:t>4</w:t>
            </w:r>
            <w:r w:rsidR="00842E11">
              <w:rPr>
                <w:webHidden/>
              </w:rPr>
              <w:fldChar w:fldCharType="end"/>
            </w:r>
          </w:hyperlink>
        </w:p>
        <w:p w14:paraId="0953454D" w14:textId="2FF08792" w:rsidR="00842E11" w:rsidRDefault="003B6D89">
          <w:pPr>
            <w:pStyle w:val="TOC2"/>
            <w:tabs>
              <w:tab w:val="right" w:leader="dot" w:pos="9016"/>
            </w:tabs>
            <w:rPr>
              <w:rFonts w:asciiTheme="minorHAnsi" w:hAnsiTheme="minorHAnsi"/>
              <w:noProof/>
              <w:sz w:val="22"/>
              <w:szCs w:val="22"/>
              <w:lang w:eastAsia="en-GB"/>
            </w:rPr>
          </w:pPr>
          <w:hyperlink w:anchor="_Toc106290055" w:history="1">
            <w:r w:rsidR="00842E11" w:rsidRPr="00315EA8">
              <w:rPr>
                <w:rStyle w:val="Hyperlink"/>
                <w:noProof/>
              </w:rPr>
              <w:t>Effective investigation</w:t>
            </w:r>
            <w:r w:rsidR="00842E11">
              <w:rPr>
                <w:noProof/>
                <w:webHidden/>
              </w:rPr>
              <w:tab/>
            </w:r>
            <w:r w:rsidR="00842E11">
              <w:rPr>
                <w:noProof/>
                <w:webHidden/>
              </w:rPr>
              <w:fldChar w:fldCharType="begin"/>
            </w:r>
            <w:r w:rsidR="00842E11">
              <w:rPr>
                <w:noProof/>
                <w:webHidden/>
              </w:rPr>
              <w:instrText xml:space="preserve"> PAGEREF _Toc106290055 \h </w:instrText>
            </w:r>
            <w:r w:rsidR="00842E11">
              <w:rPr>
                <w:noProof/>
                <w:webHidden/>
              </w:rPr>
            </w:r>
            <w:r w:rsidR="00842E11">
              <w:rPr>
                <w:noProof/>
                <w:webHidden/>
              </w:rPr>
              <w:fldChar w:fldCharType="separate"/>
            </w:r>
            <w:r w:rsidR="00CE6AA6">
              <w:rPr>
                <w:noProof/>
                <w:webHidden/>
              </w:rPr>
              <w:t>4</w:t>
            </w:r>
            <w:r w:rsidR="00842E11">
              <w:rPr>
                <w:noProof/>
                <w:webHidden/>
              </w:rPr>
              <w:fldChar w:fldCharType="end"/>
            </w:r>
          </w:hyperlink>
        </w:p>
        <w:p w14:paraId="5A9651BE" w14:textId="0AD6C97D" w:rsidR="00842E11" w:rsidRDefault="003B6D89">
          <w:pPr>
            <w:pStyle w:val="TOC2"/>
            <w:tabs>
              <w:tab w:val="right" w:leader="dot" w:pos="9016"/>
            </w:tabs>
            <w:rPr>
              <w:rFonts w:asciiTheme="minorHAnsi" w:hAnsiTheme="minorHAnsi"/>
              <w:noProof/>
              <w:sz w:val="22"/>
              <w:szCs w:val="22"/>
              <w:lang w:eastAsia="en-GB"/>
            </w:rPr>
          </w:pPr>
          <w:hyperlink w:anchor="_Toc106290056" w:history="1">
            <w:r w:rsidR="00842E11" w:rsidRPr="00315EA8">
              <w:rPr>
                <w:rStyle w:val="Hyperlink"/>
                <w:noProof/>
              </w:rPr>
              <w:t>Definition of offences</w:t>
            </w:r>
            <w:r w:rsidR="00842E11">
              <w:rPr>
                <w:noProof/>
                <w:webHidden/>
              </w:rPr>
              <w:tab/>
            </w:r>
            <w:r w:rsidR="00842E11">
              <w:rPr>
                <w:noProof/>
                <w:webHidden/>
              </w:rPr>
              <w:fldChar w:fldCharType="begin"/>
            </w:r>
            <w:r w:rsidR="00842E11">
              <w:rPr>
                <w:noProof/>
                <w:webHidden/>
              </w:rPr>
              <w:instrText xml:space="preserve"> PAGEREF _Toc106290056 \h </w:instrText>
            </w:r>
            <w:r w:rsidR="00842E11">
              <w:rPr>
                <w:noProof/>
                <w:webHidden/>
              </w:rPr>
            </w:r>
            <w:r w:rsidR="00842E11">
              <w:rPr>
                <w:noProof/>
                <w:webHidden/>
              </w:rPr>
              <w:fldChar w:fldCharType="separate"/>
            </w:r>
            <w:r w:rsidR="00CE6AA6">
              <w:rPr>
                <w:noProof/>
                <w:webHidden/>
              </w:rPr>
              <w:t>6</w:t>
            </w:r>
            <w:r w:rsidR="00842E11">
              <w:rPr>
                <w:noProof/>
                <w:webHidden/>
              </w:rPr>
              <w:fldChar w:fldCharType="end"/>
            </w:r>
          </w:hyperlink>
        </w:p>
        <w:p w14:paraId="53CADDC2" w14:textId="2C7AD730" w:rsidR="00842E11" w:rsidRDefault="003B6D89">
          <w:pPr>
            <w:pStyle w:val="TOC2"/>
            <w:tabs>
              <w:tab w:val="right" w:leader="dot" w:pos="9016"/>
            </w:tabs>
            <w:rPr>
              <w:rFonts w:asciiTheme="minorHAnsi" w:hAnsiTheme="minorHAnsi"/>
              <w:noProof/>
              <w:sz w:val="22"/>
              <w:szCs w:val="22"/>
              <w:lang w:eastAsia="en-GB"/>
            </w:rPr>
          </w:pPr>
          <w:hyperlink w:anchor="_Toc106290057" w:history="1">
            <w:r w:rsidR="00842E11" w:rsidRPr="00315EA8">
              <w:rPr>
                <w:rStyle w:val="Hyperlink"/>
                <w:noProof/>
              </w:rPr>
              <w:t>Temporal scope</w:t>
            </w:r>
            <w:r w:rsidR="00842E11">
              <w:rPr>
                <w:noProof/>
                <w:webHidden/>
              </w:rPr>
              <w:tab/>
            </w:r>
            <w:r w:rsidR="00842E11">
              <w:rPr>
                <w:noProof/>
                <w:webHidden/>
              </w:rPr>
              <w:fldChar w:fldCharType="begin"/>
            </w:r>
            <w:r w:rsidR="00842E11">
              <w:rPr>
                <w:noProof/>
                <w:webHidden/>
              </w:rPr>
              <w:instrText xml:space="preserve"> PAGEREF _Toc106290057 \h </w:instrText>
            </w:r>
            <w:r w:rsidR="00842E11">
              <w:rPr>
                <w:noProof/>
                <w:webHidden/>
              </w:rPr>
            </w:r>
            <w:r w:rsidR="00842E11">
              <w:rPr>
                <w:noProof/>
                <w:webHidden/>
              </w:rPr>
              <w:fldChar w:fldCharType="separate"/>
            </w:r>
            <w:r w:rsidR="00CE6AA6">
              <w:rPr>
                <w:noProof/>
                <w:webHidden/>
              </w:rPr>
              <w:t>7</w:t>
            </w:r>
            <w:r w:rsidR="00842E11">
              <w:rPr>
                <w:noProof/>
                <w:webHidden/>
              </w:rPr>
              <w:fldChar w:fldCharType="end"/>
            </w:r>
          </w:hyperlink>
        </w:p>
        <w:p w14:paraId="28AA3F5C" w14:textId="7174405C" w:rsidR="00842E11" w:rsidRDefault="003B6D89">
          <w:pPr>
            <w:pStyle w:val="TOC2"/>
            <w:tabs>
              <w:tab w:val="right" w:leader="dot" w:pos="9016"/>
            </w:tabs>
            <w:rPr>
              <w:rFonts w:asciiTheme="minorHAnsi" w:hAnsiTheme="minorHAnsi"/>
              <w:noProof/>
              <w:sz w:val="22"/>
              <w:szCs w:val="22"/>
              <w:lang w:eastAsia="en-GB"/>
            </w:rPr>
          </w:pPr>
          <w:hyperlink w:anchor="_Toc106290058" w:history="1">
            <w:r w:rsidR="00842E11" w:rsidRPr="00315EA8">
              <w:rPr>
                <w:rStyle w:val="Hyperlink"/>
                <w:noProof/>
              </w:rPr>
              <w:t>Jurisdictional scope</w:t>
            </w:r>
            <w:r w:rsidR="00842E11">
              <w:rPr>
                <w:noProof/>
                <w:webHidden/>
              </w:rPr>
              <w:tab/>
            </w:r>
            <w:r w:rsidR="00842E11">
              <w:rPr>
                <w:noProof/>
                <w:webHidden/>
              </w:rPr>
              <w:fldChar w:fldCharType="begin"/>
            </w:r>
            <w:r w:rsidR="00842E11">
              <w:rPr>
                <w:noProof/>
                <w:webHidden/>
              </w:rPr>
              <w:instrText xml:space="preserve"> PAGEREF _Toc106290058 \h </w:instrText>
            </w:r>
            <w:r w:rsidR="00842E11">
              <w:rPr>
                <w:noProof/>
                <w:webHidden/>
              </w:rPr>
            </w:r>
            <w:r w:rsidR="00842E11">
              <w:rPr>
                <w:noProof/>
                <w:webHidden/>
              </w:rPr>
              <w:fldChar w:fldCharType="separate"/>
            </w:r>
            <w:r w:rsidR="00CE6AA6">
              <w:rPr>
                <w:noProof/>
                <w:webHidden/>
              </w:rPr>
              <w:t>7</w:t>
            </w:r>
            <w:r w:rsidR="00842E11">
              <w:rPr>
                <w:noProof/>
                <w:webHidden/>
              </w:rPr>
              <w:fldChar w:fldCharType="end"/>
            </w:r>
          </w:hyperlink>
        </w:p>
        <w:p w14:paraId="264D64C5" w14:textId="11DDB7AC" w:rsidR="00842E11" w:rsidRDefault="003B6D89">
          <w:pPr>
            <w:pStyle w:val="TOC2"/>
            <w:tabs>
              <w:tab w:val="right" w:leader="dot" w:pos="9016"/>
            </w:tabs>
            <w:rPr>
              <w:rFonts w:asciiTheme="minorHAnsi" w:hAnsiTheme="minorHAnsi"/>
              <w:noProof/>
              <w:sz w:val="22"/>
              <w:szCs w:val="22"/>
              <w:lang w:eastAsia="en-GB"/>
            </w:rPr>
          </w:pPr>
          <w:hyperlink w:anchor="_Toc106290059" w:history="1">
            <w:r w:rsidR="00842E11" w:rsidRPr="00315EA8">
              <w:rPr>
                <w:rStyle w:val="Hyperlink"/>
                <w:noProof/>
              </w:rPr>
              <w:t>Biometric data</w:t>
            </w:r>
            <w:r w:rsidR="00842E11">
              <w:rPr>
                <w:noProof/>
                <w:webHidden/>
              </w:rPr>
              <w:tab/>
            </w:r>
            <w:r w:rsidR="00842E11">
              <w:rPr>
                <w:noProof/>
                <w:webHidden/>
              </w:rPr>
              <w:fldChar w:fldCharType="begin"/>
            </w:r>
            <w:r w:rsidR="00842E11">
              <w:rPr>
                <w:noProof/>
                <w:webHidden/>
              </w:rPr>
              <w:instrText xml:space="preserve"> PAGEREF _Toc106290059 \h </w:instrText>
            </w:r>
            <w:r w:rsidR="00842E11">
              <w:rPr>
                <w:noProof/>
                <w:webHidden/>
              </w:rPr>
            </w:r>
            <w:r w:rsidR="00842E11">
              <w:rPr>
                <w:noProof/>
                <w:webHidden/>
              </w:rPr>
              <w:fldChar w:fldCharType="separate"/>
            </w:r>
            <w:r w:rsidR="00CE6AA6">
              <w:rPr>
                <w:noProof/>
                <w:webHidden/>
              </w:rPr>
              <w:t>8</w:t>
            </w:r>
            <w:r w:rsidR="00842E11">
              <w:rPr>
                <w:noProof/>
                <w:webHidden/>
              </w:rPr>
              <w:fldChar w:fldCharType="end"/>
            </w:r>
          </w:hyperlink>
        </w:p>
        <w:p w14:paraId="021FA3D3" w14:textId="7098D8C9" w:rsidR="00842E11" w:rsidRDefault="003B6D89" w:rsidP="00A4785C">
          <w:pPr>
            <w:pStyle w:val="TOC1"/>
            <w:rPr>
              <w:rFonts w:asciiTheme="minorHAnsi" w:hAnsiTheme="minorHAnsi"/>
              <w:sz w:val="22"/>
              <w:szCs w:val="22"/>
              <w:lang w:eastAsia="en-GB"/>
            </w:rPr>
          </w:pPr>
          <w:hyperlink w:anchor="_Toc106290060" w:history="1">
            <w:r w:rsidR="00842E11" w:rsidRPr="00315EA8">
              <w:rPr>
                <w:rStyle w:val="Hyperlink"/>
              </w:rPr>
              <w:t>3.0</w:t>
            </w:r>
            <w:r w:rsidR="00842E11">
              <w:rPr>
                <w:rFonts w:asciiTheme="minorHAnsi" w:hAnsiTheme="minorHAnsi"/>
                <w:sz w:val="22"/>
                <w:szCs w:val="22"/>
                <w:lang w:eastAsia="en-GB"/>
              </w:rPr>
              <w:tab/>
            </w:r>
            <w:r w:rsidR="00842E11" w:rsidRPr="00315EA8">
              <w:rPr>
                <w:rStyle w:val="Hyperlink"/>
              </w:rPr>
              <w:t>Conditional Immunity Scheme</w:t>
            </w:r>
            <w:r w:rsidR="00842E11">
              <w:rPr>
                <w:webHidden/>
              </w:rPr>
              <w:tab/>
            </w:r>
            <w:r w:rsidR="00842E11">
              <w:rPr>
                <w:webHidden/>
              </w:rPr>
              <w:fldChar w:fldCharType="begin"/>
            </w:r>
            <w:r w:rsidR="00842E11">
              <w:rPr>
                <w:webHidden/>
              </w:rPr>
              <w:instrText xml:space="preserve"> PAGEREF _Toc106290060 \h </w:instrText>
            </w:r>
            <w:r w:rsidR="00842E11">
              <w:rPr>
                <w:webHidden/>
              </w:rPr>
            </w:r>
            <w:r w:rsidR="00842E11">
              <w:rPr>
                <w:webHidden/>
              </w:rPr>
              <w:fldChar w:fldCharType="separate"/>
            </w:r>
            <w:r w:rsidR="00CE6AA6">
              <w:rPr>
                <w:webHidden/>
              </w:rPr>
              <w:t>8</w:t>
            </w:r>
            <w:r w:rsidR="00842E11">
              <w:rPr>
                <w:webHidden/>
              </w:rPr>
              <w:fldChar w:fldCharType="end"/>
            </w:r>
          </w:hyperlink>
        </w:p>
        <w:p w14:paraId="12DC895B" w14:textId="431EE4A5" w:rsidR="00842E11" w:rsidRDefault="003B6D89" w:rsidP="00A4785C">
          <w:pPr>
            <w:pStyle w:val="TOC1"/>
            <w:rPr>
              <w:rFonts w:asciiTheme="minorHAnsi" w:hAnsiTheme="minorHAnsi"/>
              <w:sz w:val="22"/>
              <w:szCs w:val="22"/>
              <w:lang w:eastAsia="en-GB"/>
            </w:rPr>
          </w:pPr>
          <w:hyperlink w:anchor="_Toc106290061" w:history="1">
            <w:r w:rsidR="00842E11" w:rsidRPr="00315EA8">
              <w:rPr>
                <w:rStyle w:val="Hyperlink"/>
              </w:rPr>
              <w:t xml:space="preserve">4.0 </w:t>
            </w:r>
            <w:r w:rsidR="00842E11">
              <w:rPr>
                <w:rFonts w:asciiTheme="minorHAnsi" w:hAnsiTheme="minorHAnsi"/>
                <w:sz w:val="22"/>
                <w:szCs w:val="22"/>
                <w:lang w:eastAsia="en-GB"/>
              </w:rPr>
              <w:tab/>
            </w:r>
            <w:r w:rsidR="00842E11" w:rsidRPr="00315EA8">
              <w:rPr>
                <w:rStyle w:val="Hyperlink"/>
              </w:rPr>
              <w:t>Cessation of Proceedings</w:t>
            </w:r>
            <w:r w:rsidR="00842E11">
              <w:rPr>
                <w:webHidden/>
              </w:rPr>
              <w:tab/>
            </w:r>
            <w:r w:rsidR="00842E11">
              <w:rPr>
                <w:webHidden/>
              </w:rPr>
              <w:fldChar w:fldCharType="begin"/>
            </w:r>
            <w:r w:rsidR="00842E11">
              <w:rPr>
                <w:webHidden/>
              </w:rPr>
              <w:instrText xml:space="preserve"> PAGEREF _Toc106290061 \h </w:instrText>
            </w:r>
            <w:r w:rsidR="00842E11">
              <w:rPr>
                <w:webHidden/>
              </w:rPr>
            </w:r>
            <w:r w:rsidR="00842E11">
              <w:rPr>
                <w:webHidden/>
              </w:rPr>
              <w:fldChar w:fldCharType="separate"/>
            </w:r>
            <w:r w:rsidR="00CE6AA6">
              <w:rPr>
                <w:webHidden/>
              </w:rPr>
              <w:t>9</w:t>
            </w:r>
            <w:r w:rsidR="00842E11">
              <w:rPr>
                <w:webHidden/>
              </w:rPr>
              <w:fldChar w:fldCharType="end"/>
            </w:r>
          </w:hyperlink>
        </w:p>
        <w:p w14:paraId="318E2847" w14:textId="28E4D915" w:rsidR="00842E11" w:rsidRDefault="003B6D89" w:rsidP="00A4785C">
          <w:pPr>
            <w:pStyle w:val="TOC1"/>
            <w:rPr>
              <w:rFonts w:asciiTheme="minorHAnsi" w:hAnsiTheme="minorHAnsi"/>
              <w:sz w:val="22"/>
              <w:szCs w:val="22"/>
              <w:lang w:eastAsia="en-GB"/>
            </w:rPr>
          </w:pPr>
          <w:hyperlink w:anchor="_Toc106290062" w:history="1">
            <w:r w:rsidR="00842E11" w:rsidRPr="00315EA8">
              <w:rPr>
                <w:rStyle w:val="Hyperlink"/>
              </w:rPr>
              <w:t>5.0</w:t>
            </w:r>
            <w:r w:rsidR="00842E11">
              <w:rPr>
                <w:rFonts w:asciiTheme="minorHAnsi" w:hAnsiTheme="minorHAnsi"/>
                <w:sz w:val="22"/>
                <w:szCs w:val="22"/>
                <w:lang w:eastAsia="en-GB"/>
              </w:rPr>
              <w:tab/>
            </w:r>
            <w:r w:rsidR="00842E11" w:rsidRPr="00315EA8">
              <w:rPr>
                <w:rStyle w:val="Hyperlink"/>
              </w:rPr>
              <w:t>Early Release of Prisoners</w:t>
            </w:r>
            <w:r w:rsidR="00842E11">
              <w:rPr>
                <w:webHidden/>
              </w:rPr>
              <w:tab/>
            </w:r>
            <w:r w:rsidR="00842E11">
              <w:rPr>
                <w:webHidden/>
              </w:rPr>
              <w:fldChar w:fldCharType="begin"/>
            </w:r>
            <w:r w:rsidR="00842E11">
              <w:rPr>
                <w:webHidden/>
              </w:rPr>
              <w:instrText xml:space="preserve"> PAGEREF _Toc106290062 \h </w:instrText>
            </w:r>
            <w:r w:rsidR="00842E11">
              <w:rPr>
                <w:webHidden/>
              </w:rPr>
            </w:r>
            <w:r w:rsidR="00842E11">
              <w:rPr>
                <w:webHidden/>
              </w:rPr>
              <w:fldChar w:fldCharType="separate"/>
            </w:r>
            <w:r w:rsidR="00CE6AA6">
              <w:rPr>
                <w:webHidden/>
              </w:rPr>
              <w:t>10</w:t>
            </w:r>
            <w:r w:rsidR="00842E11">
              <w:rPr>
                <w:webHidden/>
              </w:rPr>
              <w:fldChar w:fldCharType="end"/>
            </w:r>
          </w:hyperlink>
        </w:p>
        <w:p w14:paraId="5C502AB8" w14:textId="35ABE976" w:rsidR="00A1294A" w:rsidRDefault="00A1294A">
          <w:r>
            <w:rPr>
              <w:b/>
              <w:bCs/>
              <w:noProof/>
            </w:rPr>
            <w:fldChar w:fldCharType="end"/>
          </w:r>
        </w:p>
      </w:sdtContent>
    </w:sdt>
    <w:p w14:paraId="45CCA5C7" w14:textId="57009D6E" w:rsidR="00DB0F0C" w:rsidRDefault="00DB0F0C">
      <w:r>
        <w:br w:type="page"/>
      </w:r>
    </w:p>
    <w:p w14:paraId="3FA09D1E" w14:textId="71465372" w:rsidR="00DB0F0C" w:rsidRDefault="00DB0F0C" w:rsidP="00987DDD">
      <w:pPr>
        <w:pStyle w:val="Heading1"/>
      </w:pPr>
      <w:bookmarkStart w:id="0" w:name="_Toc99362340"/>
      <w:bookmarkStart w:id="1" w:name="_Toc106290053"/>
      <w:r>
        <w:lastRenderedPageBreak/>
        <w:t>1.0</w:t>
      </w:r>
      <w:r>
        <w:tab/>
        <w:t>Introduction</w:t>
      </w:r>
      <w:bookmarkEnd w:id="0"/>
      <w:bookmarkEnd w:id="1"/>
    </w:p>
    <w:p w14:paraId="0FB8657D" w14:textId="3209C673" w:rsidR="00DB0F0C" w:rsidRDefault="00DB0F0C" w:rsidP="00DB0F0C">
      <w:pPr>
        <w:pStyle w:val="ListParagraph"/>
      </w:pPr>
      <w:r>
        <w:t>The Northern Ireland Human Rights Commission (NIHRC), pursuant to section 69(1) of the Northern Ireland (NI) Act 1998, reviews the adequacy and effectiveness of law and practice relating to the protection of human rights in NI. The NIHRC is also mandated, under section 78</w:t>
      </w:r>
      <w:proofErr w:type="gramStart"/>
      <w:r>
        <w:t>A(</w:t>
      </w:r>
      <w:proofErr w:type="gramEnd"/>
      <w:r>
        <w:t xml:space="preserve">1) to monitor the implementation of Article 2(1) of the Protocol on Ireland/NI of the European Union (EU) Withdrawal Agreement, to ensure there is no diminution of rights protected in the ‘Rights, Safeguards and Equality of Opportunity’ chapter of the Belfast (Good Friday) Agreement 1998 as a result of the United Kingdom’s withdrawal from the European Union. In accordance with these functions the following </w:t>
      </w:r>
      <w:r w:rsidR="00987DDD">
        <w:t>evidence</w:t>
      </w:r>
      <w:r>
        <w:t xml:space="preserve"> is submitted to the </w:t>
      </w:r>
      <w:r w:rsidR="00987DDD">
        <w:t xml:space="preserve">Joint Committee on Human Rights </w:t>
      </w:r>
      <w:r w:rsidR="00987BBD">
        <w:t xml:space="preserve">(Joint Committee) </w:t>
      </w:r>
      <w:r w:rsidR="00987DDD">
        <w:t>for its legislative scrutiny of the NI Troubles (Legacy and Reconciliation) Bill</w:t>
      </w:r>
      <w:r>
        <w:t>.</w:t>
      </w:r>
    </w:p>
    <w:p w14:paraId="7E7AB38C" w14:textId="77777777" w:rsidR="00002A03" w:rsidRDefault="00002A03" w:rsidP="00002A03">
      <w:pPr>
        <w:pStyle w:val="ListParagraph"/>
        <w:numPr>
          <w:ilvl w:val="0"/>
          <w:numId w:val="0"/>
        </w:numPr>
        <w:ind w:left="720"/>
      </w:pPr>
    </w:p>
    <w:p w14:paraId="2FD5886E" w14:textId="1E2DB6E0" w:rsidR="002913CB" w:rsidRDefault="00A71581" w:rsidP="002913CB">
      <w:pPr>
        <w:pStyle w:val="ListParagraph"/>
      </w:pPr>
      <w:r>
        <w:t>T</w:t>
      </w:r>
      <w:r w:rsidR="002913CB" w:rsidRPr="002913CB">
        <w:t xml:space="preserve">he NIHRC is clear that the Bill is incompatible with Articles 2 </w:t>
      </w:r>
      <w:r w:rsidR="005D01D8" w:rsidRPr="000D00D2">
        <w:t>(right to life)</w:t>
      </w:r>
      <w:r w:rsidR="005D01D8">
        <w:t xml:space="preserve"> </w:t>
      </w:r>
      <w:r w:rsidR="002913CB" w:rsidRPr="002913CB">
        <w:t xml:space="preserve">and 3 </w:t>
      </w:r>
      <w:r w:rsidR="005D01D8" w:rsidRPr="000D00D2">
        <w:t xml:space="preserve">(freedom from torture) </w:t>
      </w:r>
      <w:r w:rsidR="002913CB" w:rsidRPr="002913CB">
        <w:t>of the European Convention on Human Rights (ECHR).</w:t>
      </w:r>
      <w:r w:rsidR="00EB18D7">
        <w:rPr>
          <w:rStyle w:val="FootnoteReference"/>
        </w:rPr>
        <w:footnoteReference w:id="1"/>
      </w:r>
      <w:r w:rsidR="002913CB" w:rsidRPr="002913CB">
        <w:t xml:space="preserve"> </w:t>
      </w:r>
      <w:r>
        <w:t>T</w:t>
      </w:r>
      <w:r w:rsidR="002913CB" w:rsidRPr="002913CB">
        <w:t>his Bill is fatally flawed</w:t>
      </w:r>
      <w:r>
        <w:t>, it</w:t>
      </w:r>
      <w:r w:rsidR="002913CB" w:rsidRPr="002913CB">
        <w:t xml:space="preserve"> is not possible to </w:t>
      </w:r>
      <w:r>
        <w:t>make it</w:t>
      </w:r>
      <w:r w:rsidR="002913CB" w:rsidRPr="002913CB">
        <w:t xml:space="preserve"> compatible with the ECHR. </w:t>
      </w:r>
    </w:p>
    <w:p w14:paraId="2DDF9F3B" w14:textId="77777777" w:rsidR="002913CB" w:rsidRDefault="002913CB" w:rsidP="002913CB">
      <w:pPr>
        <w:pStyle w:val="ListParagraph"/>
        <w:numPr>
          <w:ilvl w:val="0"/>
          <w:numId w:val="0"/>
        </w:numPr>
        <w:ind w:left="720"/>
      </w:pPr>
    </w:p>
    <w:p w14:paraId="4C6F4267" w14:textId="02ED5B54" w:rsidR="002913CB" w:rsidRPr="002913CB" w:rsidRDefault="002913CB" w:rsidP="002913CB">
      <w:pPr>
        <w:pStyle w:val="ListParagraph"/>
      </w:pPr>
      <w:r w:rsidRPr="002913CB">
        <w:t xml:space="preserve">The NIHRC </w:t>
      </w:r>
      <w:r w:rsidR="0086794A">
        <w:t>is due to publish</w:t>
      </w:r>
      <w:r w:rsidR="0086794A" w:rsidRPr="002913CB">
        <w:t xml:space="preserve"> </w:t>
      </w:r>
      <w:r w:rsidRPr="002913CB">
        <w:t>comprehensive advice</w:t>
      </w:r>
      <w:r w:rsidR="0086794A">
        <w:t>, which will be shared with the Joint Committee in due course</w:t>
      </w:r>
      <w:r w:rsidRPr="002913CB">
        <w:t xml:space="preserve">. </w:t>
      </w:r>
      <w:r w:rsidR="006E2922">
        <w:t>T</w:t>
      </w:r>
      <w:r w:rsidR="000A1068">
        <w:t xml:space="preserve">he NIHRC is also considering Article 2(1) of the Protocol on Ireland/NI of the European Union (EU) Withdrawal Agreement </w:t>
      </w:r>
      <w:r w:rsidR="00D41BCC">
        <w:t xml:space="preserve">in </w:t>
      </w:r>
      <w:r w:rsidR="006448AC">
        <w:t>the context of this Bill</w:t>
      </w:r>
      <w:r w:rsidR="00AB5563">
        <w:t xml:space="preserve"> and will provide this advice in due course. </w:t>
      </w:r>
      <w:r w:rsidR="00A71581">
        <w:t>This evidence raises</w:t>
      </w:r>
      <w:r w:rsidRPr="002913CB">
        <w:t xml:space="preserve"> the headline issues in line with the Joint Committee’s questions.</w:t>
      </w:r>
    </w:p>
    <w:p w14:paraId="301A1ADE" w14:textId="4002DED7" w:rsidR="00DB0F0C" w:rsidRDefault="00DB0F0C" w:rsidP="0061207F"/>
    <w:p w14:paraId="492BC4C2" w14:textId="7FCFEA95" w:rsidR="0061207F" w:rsidRDefault="00AB0644" w:rsidP="001A5F15">
      <w:pPr>
        <w:pStyle w:val="Heading1"/>
      </w:pPr>
      <w:bookmarkStart w:id="2" w:name="_Toc106290054"/>
      <w:r>
        <w:lastRenderedPageBreak/>
        <w:t>2.0</w:t>
      </w:r>
      <w:r>
        <w:tab/>
        <w:t>Reviews of Deaths</w:t>
      </w:r>
      <w:bookmarkEnd w:id="2"/>
    </w:p>
    <w:p w14:paraId="66674B77" w14:textId="3466BA63" w:rsidR="00042378" w:rsidRPr="00042378" w:rsidRDefault="00042378" w:rsidP="00042378">
      <w:pPr>
        <w:pStyle w:val="Heading2"/>
      </w:pPr>
      <w:bookmarkStart w:id="3" w:name="_Toc106290055"/>
      <w:r>
        <w:t>Effective investigation</w:t>
      </w:r>
      <w:bookmarkEnd w:id="3"/>
    </w:p>
    <w:p w14:paraId="0A6B4BB5" w14:textId="21AD0833" w:rsidR="000D00D2" w:rsidRPr="000D00D2" w:rsidRDefault="001A5F15" w:rsidP="000D00D2">
      <w:pPr>
        <w:ind w:left="720" w:hanging="720"/>
      </w:pPr>
      <w:r>
        <w:t>2.1</w:t>
      </w:r>
      <w:r>
        <w:tab/>
      </w:r>
      <w:r w:rsidR="000D00D2" w:rsidRPr="000D00D2">
        <w:t xml:space="preserve">The review of cases undertaken by the Independent Commission for Reconciliation and Information Recovery (ICRIR) do not meet the procedural obligations under Articles 2 and 3 of the ECHR. </w:t>
      </w:r>
    </w:p>
    <w:p w14:paraId="5144160D" w14:textId="77777777" w:rsidR="000D00D2" w:rsidRPr="000D00D2" w:rsidRDefault="000D00D2" w:rsidP="000D00D2">
      <w:pPr>
        <w:ind w:left="720" w:hanging="720"/>
      </w:pPr>
    </w:p>
    <w:p w14:paraId="3C0ECC83" w14:textId="5F52DD44" w:rsidR="000D00D2" w:rsidRPr="000D00D2" w:rsidRDefault="000D00D2" w:rsidP="000D00D2">
      <w:pPr>
        <w:ind w:left="720" w:hanging="720"/>
      </w:pPr>
      <w:r>
        <w:t>2.2</w:t>
      </w:r>
      <w:r>
        <w:tab/>
      </w:r>
      <w:r w:rsidRPr="000D00D2">
        <w:t>The Secretary of State is involved in making the rules/guidance,</w:t>
      </w:r>
      <w:r w:rsidRPr="000D00D2">
        <w:rPr>
          <w:vertAlign w:val="superscript"/>
        </w:rPr>
        <w:footnoteReference w:id="2"/>
      </w:r>
      <w:r w:rsidRPr="000D00D2">
        <w:t xml:space="preserve"> proposing cases for review,</w:t>
      </w:r>
      <w:r w:rsidRPr="000D00D2">
        <w:rPr>
          <w:vertAlign w:val="superscript"/>
        </w:rPr>
        <w:footnoteReference w:id="3"/>
      </w:r>
      <w:r w:rsidRPr="000D00D2">
        <w:t xml:space="preserve"> determining resources</w:t>
      </w:r>
      <w:r w:rsidRPr="000D00D2">
        <w:rPr>
          <w:vertAlign w:val="superscript"/>
        </w:rPr>
        <w:footnoteReference w:id="4"/>
      </w:r>
      <w:r w:rsidRPr="000D00D2">
        <w:t xml:space="preserve"> and monitoring</w:t>
      </w:r>
      <w:r w:rsidRPr="000D00D2">
        <w:rPr>
          <w:vertAlign w:val="superscript"/>
        </w:rPr>
        <w:footnoteReference w:id="5"/>
      </w:r>
      <w:r w:rsidRPr="000D00D2">
        <w:t xml:space="preserve"> the ICRIR. ICRIR’s work can be concluded when the “Secretary of State is satisfied that </w:t>
      </w:r>
      <w:r w:rsidRPr="000D00D2">
        <w:rPr>
          <w:i/>
          <w:iCs/>
        </w:rPr>
        <w:t>the need</w:t>
      </w:r>
      <w:r w:rsidRPr="000D00D2">
        <w:t xml:space="preserve"> for ICRIR” to exercise its functions “has ceased”</w:t>
      </w:r>
      <w:r w:rsidR="003C519F">
        <w:t>, as opposed to completion of the ICRIR’s mandate</w:t>
      </w:r>
      <w:r w:rsidRPr="000D00D2">
        <w:t>.</w:t>
      </w:r>
      <w:r w:rsidR="00412D84">
        <w:rPr>
          <w:rStyle w:val="FootnoteReference"/>
        </w:rPr>
        <w:footnoteReference w:id="6"/>
      </w:r>
      <w:r w:rsidRPr="000D00D2">
        <w:t xml:space="preserve"> </w:t>
      </w:r>
      <w:r w:rsidR="00CA005E">
        <w:t>T</w:t>
      </w:r>
      <w:r w:rsidR="00D62822" w:rsidRPr="000D00D2">
        <w:t xml:space="preserve">he extent </w:t>
      </w:r>
      <w:r w:rsidR="00D62822">
        <w:t>of the</w:t>
      </w:r>
      <w:r w:rsidR="00D62822" w:rsidRPr="000D00D2">
        <w:t xml:space="preserve"> Secretary of State</w:t>
      </w:r>
      <w:r w:rsidR="00D62822">
        <w:t xml:space="preserve">’s involvement </w:t>
      </w:r>
      <w:r w:rsidR="00D62822" w:rsidRPr="000D00D2">
        <w:t>across every aspect of the ICRIR’s work cannot be categorised as independent and impartial.</w:t>
      </w:r>
    </w:p>
    <w:p w14:paraId="1EC884A0" w14:textId="77777777" w:rsidR="000D00D2" w:rsidRPr="000D00D2" w:rsidRDefault="000D00D2" w:rsidP="000D00D2">
      <w:pPr>
        <w:ind w:left="720" w:hanging="720"/>
      </w:pPr>
    </w:p>
    <w:p w14:paraId="0D94A919" w14:textId="6AA109E9" w:rsidR="000D00D2" w:rsidRPr="000D00D2" w:rsidRDefault="000D00D2" w:rsidP="000D00D2">
      <w:pPr>
        <w:ind w:left="720" w:hanging="720"/>
      </w:pPr>
      <w:r>
        <w:t>2.3</w:t>
      </w:r>
      <w:r>
        <w:tab/>
      </w:r>
      <w:r w:rsidR="00C73942">
        <w:t>A</w:t>
      </w:r>
      <w:r w:rsidRPr="000D00D2">
        <w:t xml:space="preserve"> light-touch review or historical record </w:t>
      </w:r>
      <w:r w:rsidR="00C73942">
        <w:t xml:space="preserve">by the ICRIR </w:t>
      </w:r>
      <w:r w:rsidRPr="000D00D2">
        <w:t>do not equate to thorough and effective investigation</w:t>
      </w:r>
      <w:r w:rsidR="00C73942">
        <w:t>s</w:t>
      </w:r>
      <w:r w:rsidRPr="000D00D2">
        <w:t>.</w:t>
      </w:r>
      <w:r w:rsidRPr="000D00D2">
        <w:rPr>
          <w:vertAlign w:val="superscript"/>
        </w:rPr>
        <w:footnoteReference w:id="7"/>
      </w:r>
      <w:r w:rsidRPr="000D00D2">
        <w:t xml:space="preserve"> </w:t>
      </w:r>
      <w:r w:rsidR="00C73942">
        <w:t>It is indicated</w:t>
      </w:r>
      <w:r w:rsidRPr="000D00D2">
        <w:t xml:space="preserve"> that a review will be a more detailed exploration than a historical record</w:t>
      </w:r>
      <w:r w:rsidR="002B351D">
        <w:t>.</w:t>
      </w:r>
      <w:r w:rsidR="0036729C">
        <w:rPr>
          <w:rStyle w:val="FootnoteReference"/>
        </w:rPr>
        <w:footnoteReference w:id="8"/>
      </w:r>
      <w:r w:rsidRPr="000D00D2">
        <w:t xml:space="preserve"> </w:t>
      </w:r>
      <w:r w:rsidR="002B351D">
        <w:t>This</w:t>
      </w:r>
      <w:r w:rsidRPr="000D00D2">
        <w:t xml:space="preserve"> creates disparity between case</w:t>
      </w:r>
      <w:r w:rsidR="002B351D">
        <w:t xml:space="preserve">s, </w:t>
      </w:r>
      <w:r w:rsidR="00C73942">
        <w:t xml:space="preserve">further </w:t>
      </w:r>
      <w:r w:rsidRPr="000D00D2">
        <w:t>dilut</w:t>
      </w:r>
      <w:r w:rsidR="002B351D">
        <w:t>ing</w:t>
      </w:r>
      <w:r w:rsidRPr="000D00D2">
        <w:t xml:space="preserve"> </w:t>
      </w:r>
      <w:r w:rsidR="00C73942">
        <w:t>investigative</w:t>
      </w:r>
      <w:r w:rsidRPr="000D00D2">
        <w:t xml:space="preserve"> obligation</w:t>
      </w:r>
      <w:r w:rsidR="00C73942">
        <w:t>s</w:t>
      </w:r>
      <w:r w:rsidRPr="000D00D2">
        <w:t xml:space="preserve">. </w:t>
      </w:r>
    </w:p>
    <w:p w14:paraId="1B27D5B0" w14:textId="77777777" w:rsidR="000D00D2" w:rsidRPr="000D00D2" w:rsidRDefault="000D00D2" w:rsidP="000D00D2">
      <w:pPr>
        <w:ind w:left="720" w:hanging="720"/>
      </w:pPr>
    </w:p>
    <w:p w14:paraId="623D7DDA" w14:textId="51FF8494" w:rsidR="000D00D2" w:rsidRPr="000D00D2" w:rsidRDefault="000D00D2" w:rsidP="000D00D2">
      <w:pPr>
        <w:ind w:left="720" w:hanging="720"/>
      </w:pPr>
      <w:r>
        <w:t>2.4</w:t>
      </w:r>
      <w:r>
        <w:tab/>
      </w:r>
      <w:r w:rsidRPr="000D00D2">
        <w:t xml:space="preserve">The proposal </w:t>
      </w:r>
      <w:r w:rsidR="00F5698A">
        <w:t>that the</w:t>
      </w:r>
      <w:r w:rsidRPr="000D00D2">
        <w:t xml:space="preserve"> ICRIR </w:t>
      </w:r>
      <w:r w:rsidR="00F5698A">
        <w:t xml:space="preserve">will </w:t>
      </w:r>
      <w:r w:rsidRPr="000D00D2">
        <w:t>avoid duplication with previous investigations</w:t>
      </w:r>
      <w:r w:rsidR="00AF6DBB" w:rsidRPr="000D00D2">
        <w:rPr>
          <w:vertAlign w:val="superscript"/>
        </w:rPr>
        <w:footnoteReference w:id="9"/>
      </w:r>
      <w:r w:rsidRPr="000D00D2">
        <w:t xml:space="preserve"> </w:t>
      </w:r>
      <w:r w:rsidR="009A5921">
        <w:t>augments</w:t>
      </w:r>
      <w:r w:rsidRPr="000D00D2">
        <w:t xml:space="preserve"> the assumption that previous investigations were ECHR-compliant.</w:t>
      </w:r>
      <w:r w:rsidR="000641FC">
        <w:t xml:space="preserve"> </w:t>
      </w:r>
      <w:r w:rsidRPr="000D00D2">
        <w:t>The shortcomings exposed in case law from the European Court of Human Rights (ECtHR)</w:t>
      </w:r>
      <w:r w:rsidR="002406B3" w:rsidRPr="000D00D2">
        <w:rPr>
          <w:vertAlign w:val="superscript"/>
        </w:rPr>
        <w:footnoteReference w:id="10"/>
      </w:r>
      <w:r w:rsidR="002406B3" w:rsidRPr="000D00D2">
        <w:t xml:space="preserve"> </w:t>
      </w:r>
      <w:r w:rsidRPr="000D00D2">
        <w:t xml:space="preserve">and findings of the </w:t>
      </w:r>
      <w:r w:rsidRPr="000D00D2">
        <w:lastRenderedPageBreak/>
        <w:t>Council of Europe (</w:t>
      </w:r>
      <w:proofErr w:type="spellStart"/>
      <w:r w:rsidRPr="000D00D2">
        <w:t>CoE</w:t>
      </w:r>
      <w:proofErr w:type="spellEnd"/>
      <w:r w:rsidRPr="000D00D2">
        <w:t>) Committee of Ministers</w:t>
      </w:r>
      <w:r w:rsidR="002406B3" w:rsidRPr="000D00D2">
        <w:rPr>
          <w:vertAlign w:val="superscript"/>
        </w:rPr>
        <w:footnoteReference w:id="11"/>
      </w:r>
      <w:r w:rsidR="002406B3">
        <w:t xml:space="preserve"> </w:t>
      </w:r>
      <w:r w:rsidRPr="000D00D2">
        <w:t>emphasise that such assumptions should not be made.</w:t>
      </w:r>
    </w:p>
    <w:p w14:paraId="6C1207E2" w14:textId="77777777" w:rsidR="000D00D2" w:rsidRPr="000D00D2" w:rsidRDefault="000D00D2" w:rsidP="000D00D2">
      <w:pPr>
        <w:ind w:left="720" w:hanging="720"/>
      </w:pPr>
    </w:p>
    <w:p w14:paraId="0AC55454" w14:textId="124945AB" w:rsidR="000D00D2" w:rsidRPr="000D00D2" w:rsidRDefault="000D00D2" w:rsidP="000D00D2">
      <w:pPr>
        <w:ind w:left="720" w:hanging="720"/>
      </w:pPr>
      <w:r>
        <w:t>2.5</w:t>
      </w:r>
      <w:r>
        <w:tab/>
      </w:r>
      <w:r w:rsidRPr="000D00D2">
        <w:t xml:space="preserve">The requirement to conduct reasonably prompt and expeditious investigations is not a reason for this legislation to be rushed through without meaningful consultation or the backing of victims and survivors. The speed </w:t>
      </w:r>
      <w:r w:rsidR="00B8791C">
        <w:t>of</w:t>
      </w:r>
      <w:r w:rsidRPr="000D00D2">
        <w:t xml:space="preserve"> this process is irrelevant if the other aspects of the procedural obligations of Articles 2 and 3 of the ECHR are not met, particularly that investigations are thorough, </w:t>
      </w:r>
      <w:proofErr w:type="gramStart"/>
      <w:r w:rsidRPr="000D00D2">
        <w:t>independent</w:t>
      </w:r>
      <w:proofErr w:type="gramEnd"/>
      <w:r w:rsidRPr="000D00D2">
        <w:t xml:space="preserve"> and impartial.</w:t>
      </w:r>
    </w:p>
    <w:p w14:paraId="4F40CB4B" w14:textId="77777777" w:rsidR="000D00D2" w:rsidRPr="000D00D2" w:rsidRDefault="000D00D2" w:rsidP="000D00D2">
      <w:pPr>
        <w:ind w:left="720" w:hanging="720"/>
      </w:pPr>
    </w:p>
    <w:p w14:paraId="03C3DF9B" w14:textId="070D724F" w:rsidR="000D00D2" w:rsidRPr="000D00D2" w:rsidRDefault="000D00D2" w:rsidP="000D00D2">
      <w:pPr>
        <w:ind w:left="720" w:hanging="720"/>
      </w:pPr>
      <w:r>
        <w:t>2.6</w:t>
      </w:r>
      <w:r>
        <w:tab/>
      </w:r>
      <w:r w:rsidR="003E3620">
        <w:t>Considering</w:t>
      </w:r>
      <w:r w:rsidRPr="000D00D2">
        <w:t xml:space="preserve"> that investigations </w:t>
      </w:r>
      <w:r w:rsidR="003E3620">
        <w:t>should be o</w:t>
      </w:r>
      <w:r w:rsidRPr="000D00D2">
        <w:t>f the State’s own motion, it is right that a review can be requested by State agents.</w:t>
      </w:r>
      <w:r w:rsidR="00AF5CEA">
        <w:rPr>
          <w:rStyle w:val="FootnoteReference"/>
        </w:rPr>
        <w:footnoteReference w:id="12"/>
      </w:r>
      <w:r w:rsidRPr="000D00D2">
        <w:t xml:space="preserve"> However, whether </w:t>
      </w:r>
      <w:r w:rsidR="00105F1B">
        <w:t>the resulting</w:t>
      </w:r>
      <w:r w:rsidRPr="000D00D2">
        <w:t xml:space="preserve"> review equates to an Article 2 ECHR compliant investigation remains an issue. </w:t>
      </w:r>
    </w:p>
    <w:p w14:paraId="0C65EB3E" w14:textId="77777777" w:rsidR="000D00D2" w:rsidRPr="000D00D2" w:rsidRDefault="000D00D2" w:rsidP="000D00D2">
      <w:pPr>
        <w:ind w:left="720" w:hanging="720"/>
      </w:pPr>
    </w:p>
    <w:p w14:paraId="539C4100" w14:textId="762E995E" w:rsidR="00931284" w:rsidRDefault="000D00D2" w:rsidP="000D00D2">
      <w:pPr>
        <w:ind w:left="720" w:hanging="720"/>
      </w:pPr>
      <w:r>
        <w:t>2.7</w:t>
      </w:r>
      <w:r>
        <w:tab/>
      </w:r>
      <w:r w:rsidR="00AC1E98">
        <w:t>Keeping family</w:t>
      </w:r>
      <w:r w:rsidRPr="000D00D2">
        <w:t xml:space="preserve"> members informed is welcomed.</w:t>
      </w:r>
      <w:r w:rsidR="00221C6C">
        <w:rPr>
          <w:rStyle w:val="FootnoteReference"/>
        </w:rPr>
        <w:footnoteReference w:id="13"/>
      </w:r>
      <w:r w:rsidR="00384FA1">
        <w:t xml:space="preserve"> </w:t>
      </w:r>
      <w:r w:rsidRPr="000D00D2">
        <w:t>Guided by proportionality</w:t>
      </w:r>
      <w:r w:rsidR="00221C6C">
        <w:t xml:space="preserve"> and </w:t>
      </w:r>
      <w:r w:rsidR="00AA41DB">
        <w:t>considering</w:t>
      </w:r>
      <w:r w:rsidRPr="000D00D2">
        <w:t xml:space="preserve"> sensitive issues, the degree of public scrutiny is permitted to vary from case-to-case if the public or victim’s relatives are provided with access at “other stages of the available procedures”.</w:t>
      </w:r>
      <w:r w:rsidRPr="000D00D2">
        <w:rPr>
          <w:vertAlign w:val="superscript"/>
        </w:rPr>
        <w:footnoteReference w:id="14"/>
      </w:r>
      <w:r w:rsidRPr="000D00D2">
        <w:t xml:space="preserve"> </w:t>
      </w:r>
      <w:r w:rsidR="00FE0807">
        <w:t>T</w:t>
      </w:r>
      <w:r w:rsidR="00FE0807" w:rsidRPr="000D00D2">
        <w:t>he purpose of this requirement is to ensure public confidence in the process.</w:t>
      </w:r>
      <w:r w:rsidR="00FE0807" w:rsidRPr="000D00D2">
        <w:rPr>
          <w:vertAlign w:val="superscript"/>
        </w:rPr>
        <w:footnoteReference w:id="15"/>
      </w:r>
      <w:r w:rsidR="00FE0807" w:rsidRPr="000D00D2">
        <w:t xml:space="preserve"> </w:t>
      </w:r>
      <w:r w:rsidR="00105F1B">
        <w:t>That</w:t>
      </w:r>
      <w:r w:rsidR="00FE0807" w:rsidRPr="000D00D2">
        <w:t xml:space="preserve"> is currently lacking </w:t>
      </w:r>
      <w:r w:rsidR="00FE0807">
        <w:t>given</w:t>
      </w:r>
      <w:r w:rsidR="00FE0807" w:rsidRPr="000D00D2">
        <w:t xml:space="preserve"> </w:t>
      </w:r>
      <w:r w:rsidR="00FE0807">
        <w:t>how</w:t>
      </w:r>
      <w:r w:rsidR="00FE0807" w:rsidRPr="000D00D2">
        <w:t xml:space="preserve"> the UK Government published and forged ahead with this legislation without meaningful consultation or listening to expert views </w:t>
      </w:r>
      <w:r w:rsidR="00105F1B">
        <w:t>on the Bill’s</w:t>
      </w:r>
      <w:r w:rsidR="00FE0807" w:rsidRPr="000D00D2">
        <w:t xml:space="preserve"> </w:t>
      </w:r>
      <w:r w:rsidR="00105F1B" w:rsidRPr="000D00D2">
        <w:t>incapabili</w:t>
      </w:r>
      <w:r w:rsidR="00105F1B">
        <w:t>ty</w:t>
      </w:r>
      <w:r w:rsidR="00FE0807" w:rsidRPr="000D00D2">
        <w:t xml:space="preserve"> with the ECHR. </w:t>
      </w:r>
      <w:r w:rsidR="00602B63">
        <w:t>Only requiring</w:t>
      </w:r>
      <w:r w:rsidR="00FE0807" w:rsidRPr="000D00D2">
        <w:t xml:space="preserve"> that the ICRIR ‘may’</w:t>
      </w:r>
      <w:r w:rsidR="00FE0807">
        <w:t>, not ‘must’,</w:t>
      </w:r>
      <w:r w:rsidR="00FE0807" w:rsidRPr="000D00D2">
        <w:t xml:space="preserve"> publish the final report of any review</w:t>
      </w:r>
      <w:r w:rsidR="00FE0807">
        <w:t xml:space="preserve"> exacerbates this</w:t>
      </w:r>
      <w:r w:rsidR="00FE0807" w:rsidRPr="000D00D2">
        <w:t>.</w:t>
      </w:r>
      <w:r w:rsidR="00FE0807" w:rsidRPr="000D00D2">
        <w:rPr>
          <w:vertAlign w:val="superscript"/>
        </w:rPr>
        <w:footnoteReference w:id="16"/>
      </w:r>
      <w:r w:rsidR="00FE0807">
        <w:t xml:space="preserve"> The ICRIR ‘must publish the historical record’,</w:t>
      </w:r>
      <w:r w:rsidR="00FE0807">
        <w:rPr>
          <w:rStyle w:val="FootnoteReference"/>
        </w:rPr>
        <w:footnoteReference w:id="17"/>
      </w:r>
      <w:r w:rsidR="00FE0807">
        <w:t xml:space="preserve"> but subject to certain </w:t>
      </w:r>
      <w:r w:rsidR="00FE0807">
        <w:lastRenderedPageBreak/>
        <w:t>conditions that</w:t>
      </w:r>
      <w:r w:rsidR="001822EC">
        <w:t>,</w:t>
      </w:r>
      <w:r w:rsidR="00FE0807">
        <w:t xml:space="preserve"> without safeguards</w:t>
      </w:r>
      <w:r w:rsidR="001822EC">
        <w:t>,</w:t>
      </w:r>
      <w:r w:rsidR="00FE0807">
        <w:t xml:space="preserve"> could </w:t>
      </w:r>
      <w:r w:rsidR="00740C4F">
        <w:t>dilute</w:t>
      </w:r>
      <w:r w:rsidR="00FE0807">
        <w:t xml:space="preserve"> this commitment.</w:t>
      </w:r>
      <w:r w:rsidR="00FE0807">
        <w:rPr>
          <w:rStyle w:val="FootnoteReference"/>
        </w:rPr>
        <w:footnoteReference w:id="18"/>
      </w:r>
      <w:r w:rsidR="00FE0807">
        <w:t xml:space="preserve"> Furthermore</w:t>
      </w:r>
      <w:r w:rsidRPr="000D00D2">
        <w:t xml:space="preserve">, the Bill creates a two-tiered approach </w:t>
      </w:r>
      <w:r w:rsidR="004A2935">
        <w:t>affecting</w:t>
      </w:r>
      <w:r w:rsidRPr="000D00D2">
        <w:t xml:space="preserve"> the steps that certain family members can or cannot take. The definition of a close family member, who has </w:t>
      </w:r>
      <w:r w:rsidR="004A2935">
        <w:t>precedent over</w:t>
      </w:r>
      <w:r w:rsidRPr="000D00D2">
        <w:t xml:space="preserve"> other family members, is narrower than the ECtHR’s categorisation of next-of-kin</w:t>
      </w:r>
      <w:r w:rsidR="008E3C9D">
        <w:t>.</w:t>
      </w:r>
      <w:r w:rsidRPr="000D00D2">
        <w:rPr>
          <w:vertAlign w:val="superscript"/>
        </w:rPr>
        <w:footnoteReference w:id="19"/>
      </w:r>
      <w:r w:rsidRPr="000D00D2">
        <w:t xml:space="preserve"> </w:t>
      </w:r>
    </w:p>
    <w:p w14:paraId="78072490" w14:textId="77777777" w:rsidR="00AE158C" w:rsidRPr="000D00D2" w:rsidRDefault="00AE158C" w:rsidP="000D00D2">
      <w:pPr>
        <w:ind w:left="720" w:hanging="720"/>
      </w:pPr>
    </w:p>
    <w:p w14:paraId="60E636D1" w14:textId="70D2EDDC" w:rsidR="00AE158C" w:rsidRPr="00AE158C" w:rsidRDefault="00AE158C" w:rsidP="00AE158C">
      <w:pPr>
        <w:pStyle w:val="Heading2"/>
      </w:pPr>
      <w:bookmarkStart w:id="4" w:name="_Toc106290056"/>
      <w:r w:rsidRPr="00AE158C">
        <w:t>Definition of offences</w:t>
      </w:r>
      <w:bookmarkEnd w:id="4"/>
    </w:p>
    <w:p w14:paraId="7AD1D41A" w14:textId="0D95CD2A" w:rsidR="00AE158C" w:rsidRDefault="00AE158C" w:rsidP="00AE158C">
      <w:pPr>
        <w:ind w:left="720" w:hanging="720"/>
      </w:pPr>
      <w:r>
        <w:t>2.8</w:t>
      </w:r>
      <w:r>
        <w:tab/>
      </w:r>
      <w:r w:rsidRPr="00AE158C">
        <w:t>The limitations of ICRIR’s scope</w:t>
      </w:r>
      <w:r w:rsidR="00C000C3">
        <w:rPr>
          <w:rStyle w:val="FootnoteReference"/>
        </w:rPr>
        <w:footnoteReference w:id="20"/>
      </w:r>
      <w:r w:rsidRPr="00AE158C">
        <w:t xml:space="preserve"> </w:t>
      </w:r>
      <w:r w:rsidR="00D25AA1">
        <w:t xml:space="preserve">is </w:t>
      </w:r>
      <w:r w:rsidRPr="00AE158C">
        <w:t xml:space="preserve">a notable departure from the Victims and Survivors (NI) Order 2006. </w:t>
      </w:r>
      <w:r w:rsidR="00CB7D42">
        <w:t>A</w:t>
      </w:r>
      <w:r w:rsidRPr="00AE158C">
        <w:t xml:space="preserve"> prescriptive list </w:t>
      </w:r>
      <w:r w:rsidR="008B71FA">
        <w:t>limited to</w:t>
      </w:r>
      <w:r w:rsidRPr="00AE158C">
        <w:t xml:space="preserve"> extreme injuries </w:t>
      </w:r>
      <w:r w:rsidR="004307D2">
        <w:t xml:space="preserve">and </w:t>
      </w:r>
      <w:r w:rsidR="00CB7D42">
        <w:t>that</w:t>
      </w:r>
      <w:r w:rsidRPr="00AE158C">
        <w:t xml:space="preserve"> does not accommodate rehabilitative injuries is not ECHR compliant. </w:t>
      </w:r>
      <w:r w:rsidR="00405F43">
        <w:t>It</w:t>
      </w:r>
      <w:r w:rsidRPr="00AE158C">
        <w:t xml:space="preserve"> ignores the </w:t>
      </w:r>
      <w:r w:rsidR="004307D2">
        <w:t>absoluteness</w:t>
      </w:r>
      <w:r w:rsidRPr="00AE158C">
        <w:t xml:space="preserve"> of Article 3 of the ECHR.</w:t>
      </w:r>
      <w:r w:rsidRPr="00AE158C">
        <w:rPr>
          <w:vertAlign w:val="superscript"/>
        </w:rPr>
        <w:footnoteReference w:id="21"/>
      </w:r>
      <w:r w:rsidRPr="00AE158C">
        <w:t xml:space="preserve"> Each </w:t>
      </w:r>
      <w:r w:rsidR="004307D2">
        <w:t xml:space="preserve">potential </w:t>
      </w:r>
      <w:r w:rsidRPr="00AE158C">
        <w:t xml:space="preserve">case should be assessed on its own </w:t>
      </w:r>
      <w:r w:rsidR="006726C3">
        <w:t>circumstances</w:t>
      </w:r>
      <w:r w:rsidRPr="00AE158C">
        <w:t>,</w:t>
      </w:r>
      <w:r w:rsidR="002C0AC9" w:rsidRPr="00AE158C">
        <w:rPr>
          <w:vertAlign w:val="superscript"/>
        </w:rPr>
        <w:footnoteReference w:id="22"/>
      </w:r>
      <w:r w:rsidRPr="00AE158C">
        <w:t xml:space="preserve"> not determined by a rigid list of extreme outcomes. </w:t>
      </w:r>
    </w:p>
    <w:p w14:paraId="46EC69B9" w14:textId="76A0B126" w:rsidR="000B3249" w:rsidRDefault="000B3249" w:rsidP="00AE158C">
      <w:pPr>
        <w:ind w:left="720" w:hanging="720"/>
      </w:pPr>
    </w:p>
    <w:p w14:paraId="0DB901EF" w14:textId="3A41C84D" w:rsidR="000B3249" w:rsidRPr="00AE158C" w:rsidRDefault="000B3249" w:rsidP="00AE158C">
      <w:pPr>
        <w:ind w:left="720" w:hanging="720"/>
      </w:pPr>
      <w:r>
        <w:t>2.9</w:t>
      </w:r>
      <w:r>
        <w:tab/>
      </w:r>
      <w:r w:rsidR="00EF5107">
        <w:t>The</w:t>
      </w:r>
      <w:r w:rsidR="003A46C5">
        <w:t xml:space="preserve"> constrained definition of offences and the cessation of other proceedings</w:t>
      </w:r>
      <w:r w:rsidR="00EF5107">
        <w:rPr>
          <w:rStyle w:val="FootnoteReference"/>
        </w:rPr>
        <w:footnoteReference w:id="23"/>
      </w:r>
      <w:r w:rsidR="003A46C5">
        <w:t xml:space="preserve"> </w:t>
      </w:r>
      <w:r w:rsidR="00EF5107">
        <w:t xml:space="preserve">raises concerns that there </w:t>
      </w:r>
      <w:r w:rsidR="003A46C5">
        <w:t xml:space="preserve">will </w:t>
      </w:r>
      <w:r w:rsidR="00EF5107">
        <w:t>be</w:t>
      </w:r>
      <w:r w:rsidR="003A46C5">
        <w:t xml:space="preserve"> no recourse to justice for Troubles-related sexual offences. </w:t>
      </w:r>
      <w:r w:rsidR="007A3177">
        <w:t>This w</w:t>
      </w:r>
      <w:r w:rsidR="0009493B">
        <w:t>ould</w:t>
      </w:r>
      <w:r w:rsidR="007A3177">
        <w:t xml:space="preserve"> discriminately affect women. </w:t>
      </w:r>
      <w:r w:rsidR="0009493B">
        <w:t>G</w:t>
      </w:r>
      <w:r w:rsidR="007A3177">
        <w:t>ender-based violence in all its forms should be criminalised, legal systems should protect victims and offer an effective remedy.</w:t>
      </w:r>
      <w:r w:rsidR="0009493B">
        <w:rPr>
          <w:rStyle w:val="FootnoteReference"/>
        </w:rPr>
        <w:footnoteReference w:id="24"/>
      </w:r>
      <w:r w:rsidR="007A3177">
        <w:t xml:space="preserve"> Thus, any laws that facilitate, </w:t>
      </w:r>
      <w:proofErr w:type="gramStart"/>
      <w:r w:rsidR="007A3177">
        <w:t>justify</w:t>
      </w:r>
      <w:proofErr w:type="gramEnd"/>
      <w:r w:rsidR="007A3177">
        <w:t xml:space="preserve"> or tolerate any form of gender</w:t>
      </w:r>
      <w:r w:rsidR="002C3225">
        <w:t>-</w:t>
      </w:r>
      <w:r w:rsidR="007A3177">
        <w:t>based violence should be repealed.</w:t>
      </w:r>
      <w:r w:rsidR="0009493B">
        <w:rPr>
          <w:rStyle w:val="FootnoteReference"/>
        </w:rPr>
        <w:footnoteReference w:id="25"/>
      </w:r>
    </w:p>
    <w:p w14:paraId="5EC2E407" w14:textId="77777777" w:rsidR="00AE158C" w:rsidRPr="00AE158C" w:rsidRDefault="00AE158C" w:rsidP="00AE158C">
      <w:pPr>
        <w:ind w:left="720" w:hanging="720"/>
      </w:pPr>
    </w:p>
    <w:p w14:paraId="65968868" w14:textId="5AE74096" w:rsidR="00AE158C" w:rsidRPr="00AE158C" w:rsidRDefault="00AE158C" w:rsidP="00AE158C">
      <w:pPr>
        <w:pStyle w:val="Heading2"/>
      </w:pPr>
      <w:bookmarkStart w:id="5" w:name="_Toc106290057"/>
      <w:r w:rsidRPr="00AE158C">
        <w:lastRenderedPageBreak/>
        <w:t>Temporal scope</w:t>
      </w:r>
      <w:bookmarkEnd w:id="5"/>
    </w:p>
    <w:p w14:paraId="5AFBFCC9" w14:textId="088C6A3C" w:rsidR="00AE158C" w:rsidRPr="00AE158C" w:rsidRDefault="00AE158C" w:rsidP="00AE158C">
      <w:pPr>
        <w:ind w:left="720" w:hanging="720"/>
      </w:pPr>
      <w:r>
        <w:t>2.</w:t>
      </w:r>
      <w:r w:rsidR="00D67872">
        <w:t>10</w:t>
      </w:r>
      <w:r>
        <w:tab/>
      </w:r>
      <w:r w:rsidR="00032349">
        <w:t>D</w:t>
      </w:r>
      <w:r w:rsidRPr="00AE158C">
        <w:t>efining Troubles-related offences as those that occurred on or after 1 January 1966</w:t>
      </w:r>
      <w:r w:rsidR="00032349">
        <w:t xml:space="preserve"> </w:t>
      </w:r>
      <w:r w:rsidR="002C0AC9">
        <w:t>fits</w:t>
      </w:r>
      <w:r w:rsidR="00C724E8">
        <w:t xml:space="preserve"> </w:t>
      </w:r>
      <w:r w:rsidR="00032349">
        <w:t>the point</w:t>
      </w:r>
      <w:r w:rsidRPr="00AE158C">
        <w:t xml:space="preserve"> widely recognised as when tensions escalated into violence and </w:t>
      </w:r>
      <w:r w:rsidR="00220CEA">
        <w:t>captures when the</w:t>
      </w:r>
      <w:r w:rsidRPr="00AE158C">
        <w:t xml:space="preserve"> first Troubles-related deaths occurred.</w:t>
      </w:r>
      <w:r w:rsidRPr="00AE158C">
        <w:rPr>
          <w:vertAlign w:val="superscript"/>
        </w:rPr>
        <w:footnoteReference w:id="26"/>
      </w:r>
      <w:r w:rsidRPr="00AE158C">
        <w:t xml:space="preserve"> </w:t>
      </w:r>
      <w:r w:rsidR="00FC37CD">
        <w:t>T</w:t>
      </w:r>
      <w:r w:rsidRPr="00AE158C">
        <w:t>he end date of 10 April 199</w:t>
      </w:r>
      <w:r w:rsidR="00FC37CD">
        <w:t xml:space="preserve">8 </w:t>
      </w:r>
      <w:r w:rsidR="008C34A1">
        <w:t>reflects when</w:t>
      </w:r>
      <w:r w:rsidRPr="00AE158C">
        <w:t xml:space="preserve"> the Belfast (Good Friday) Agreement</w:t>
      </w:r>
      <w:r w:rsidR="00D539FA">
        <w:t xml:space="preserve"> was signed</w:t>
      </w:r>
      <w:r w:rsidRPr="00AE158C">
        <w:t xml:space="preserve">. However, </w:t>
      </w:r>
      <w:r w:rsidR="00E367BA">
        <w:t>peace is a process</w:t>
      </w:r>
      <w:r w:rsidR="00371B66">
        <w:t xml:space="preserve"> and</w:t>
      </w:r>
      <w:r w:rsidRPr="00AE158C">
        <w:t xml:space="preserve"> Troubles-related offences </w:t>
      </w:r>
      <w:r w:rsidR="00371B66">
        <w:t>continue to occur</w:t>
      </w:r>
      <w:r w:rsidRPr="00AE158C">
        <w:t>. To justify the proposed end date, a review confirming that post-10 April 1998 offences have been investigated or have the option of being investigated in line with Articles 2 and 3 of the ECHR</w:t>
      </w:r>
      <w:r w:rsidR="00BF6056">
        <w:t xml:space="preserve"> is required to confirm that </w:t>
      </w:r>
      <w:r w:rsidRPr="00AE158C">
        <w:t xml:space="preserve">it is justifiable to omit </w:t>
      </w:r>
      <w:r w:rsidR="00BF6056">
        <w:t>later offences</w:t>
      </w:r>
      <w:r w:rsidRPr="00AE158C">
        <w:t xml:space="preserve"> from the Bill. I</w:t>
      </w:r>
      <w:r w:rsidR="00DE365B">
        <w:t xml:space="preserve">t should not be assumed that this is the case </w:t>
      </w:r>
      <w:r w:rsidR="00C52148">
        <w:t>following</w:t>
      </w:r>
      <w:r w:rsidR="00DE365B">
        <w:t xml:space="preserve"> introduction of </w:t>
      </w:r>
      <w:r w:rsidRPr="00AE158C">
        <w:t xml:space="preserve">the Human Rights Act 1998. </w:t>
      </w:r>
      <w:r w:rsidR="00DA526B">
        <w:t>A</w:t>
      </w:r>
      <w:r w:rsidRPr="00AE158C">
        <w:t xml:space="preserve">n alternative date to consider is 2 October 2000, when the Human Rights Act came into force. </w:t>
      </w:r>
    </w:p>
    <w:p w14:paraId="101D804B" w14:textId="77777777" w:rsidR="00AE158C" w:rsidRPr="00AE158C" w:rsidRDefault="00AE158C" w:rsidP="00AE158C">
      <w:pPr>
        <w:ind w:left="720" w:hanging="720"/>
      </w:pPr>
    </w:p>
    <w:p w14:paraId="6D750E46" w14:textId="0B1A967C" w:rsidR="00AE158C" w:rsidRPr="00AE158C" w:rsidRDefault="00AE158C" w:rsidP="00F215F8">
      <w:pPr>
        <w:pStyle w:val="Heading2"/>
      </w:pPr>
      <w:bookmarkStart w:id="6" w:name="_Toc106290058"/>
      <w:r w:rsidRPr="00AE158C">
        <w:t>Jurisdictional scope</w:t>
      </w:r>
      <w:bookmarkEnd w:id="6"/>
    </w:p>
    <w:p w14:paraId="7FE39C60" w14:textId="7B688490" w:rsidR="00D237F0" w:rsidRDefault="00AE158C" w:rsidP="00AE158C">
      <w:pPr>
        <w:ind w:left="720" w:hanging="720"/>
      </w:pPr>
      <w:r>
        <w:t>2.1</w:t>
      </w:r>
      <w:r w:rsidR="00D67872">
        <w:t>1</w:t>
      </w:r>
      <w:r>
        <w:tab/>
      </w:r>
      <w:r w:rsidR="001D3508">
        <w:t>A</w:t>
      </w:r>
      <w:r w:rsidR="001D3508" w:rsidRPr="00AE158C">
        <w:t>s the impact of the NI conflict extended beyond NI</w:t>
      </w:r>
      <w:r w:rsidR="001D3508">
        <w:t>, not placing a jurisdictional limit on</w:t>
      </w:r>
      <w:r w:rsidRPr="00AE158C">
        <w:t xml:space="preserve"> Troubles-related offence</w:t>
      </w:r>
      <w:r w:rsidR="001D3508">
        <w:t>s is welcomed.</w:t>
      </w:r>
      <w:r w:rsidRPr="00AE158C">
        <w:rPr>
          <w:vertAlign w:val="superscript"/>
        </w:rPr>
        <w:footnoteReference w:id="27"/>
      </w:r>
      <w:r w:rsidRPr="00AE158C">
        <w:t xml:space="preserve"> </w:t>
      </w:r>
      <w:r w:rsidR="00D73170">
        <w:t>Yet, t</w:t>
      </w:r>
      <w:r w:rsidRPr="00AE158C">
        <w:t xml:space="preserve">he </w:t>
      </w:r>
      <w:r w:rsidR="00D73170">
        <w:t xml:space="preserve">ICRIR’s </w:t>
      </w:r>
      <w:r w:rsidRPr="00AE158C">
        <w:t xml:space="preserve">limited mandate </w:t>
      </w:r>
      <w:r w:rsidR="001F0F03">
        <w:t>may</w:t>
      </w:r>
      <w:r w:rsidRPr="00AE158C">
        <w:t xml:space="preserve"> have a negative impact on the investigative ability of other jurisdictions, such as Ireland, </w:t>
      </w:r>
      <w:r w:rsidR="008923B0">
        <w:t>with responsibility</w:t>
      </w:r>
      <w:r w:rsidRPr="00AE158C">
        <w:t xml:space="preserve"> for investigating Troubles-related offences that occurred in another </w:t>
      </w:r>
      <w:proofErr w:type="spellStart"/>
      <w:r w:rsidR="001F0F03">
        <w:t>CoE</w:t>
      </w:r>
      <w:proofErr w:type="spellEnd"/>
      <w:r w:rsidRPr="00AE158C">
        <w:t xml:space="preserve"> jurisdiction</w:t>
      </w:r>
      <w:r w:rsidR="00474923">
        <w:t xml:space="preserve">, </w:t>
      </w:r>
      <w:r w:rsidR="00E4514F">
        <w:t xml:space="preserve">involved a cross-border element with another </w:t>
      </w:r>
      <w:proofErr w:type="spellStart"/>
      <w:r w:rsidR="00E4514F">
        <w:t>CoE</w:t>
      </w:r>
      <w:proofErr w:type="spellEnd"/>
      <w:r w:rsidR="00E4514F">
        <w:t xml:space="preserve"> jurisdiction</w:t>
      </w:r>
      <w:r w:rsidR="00474923">
        <w:t>,</w:t>
      </w:r>
      <w:r w:rsidRPr="00AE158C">
        <w:t xml:space="preserve"> or affected a victim based in another </w:t>
      </w:r>
      <w:proofErr w:type="spellStart"/>
      <w:r w:rsidR="001F0F03">
        <w:t>CoE</w:t>
      </w:r>
      <w:proofErr w:type="spellEnd"/>
      <w:r w:rsidRPr="00AE158C">
        <w:t xml:space="preserve"> jurisdiction. </w:t>
      </w:r>
      <w:r w:rsidR="008923B0" w:rsidRPr="00AE158C">
        <w:t>An ECHR-ratifying State is required to “secure to everyone within their jurisdiction the rights and freedoms” contained within the ECHR.</w:t>
      </w:r>
      <w:r w:rsidR="008923B0" w:rsidRPr="00AE158C">
        <w:rPr>
          <w:vertAlign w:val="superscript"/>
        </w:rPr>
        <w:footnoteReference w:id="28"/>
      </w:r>
    </w:p>
    <w:p w14:paraId="4F595AAF" w14:textId="77777777" w:rsidR="00842E11" w:rsidRPr="00626A84" w:rsidRDefault="00842E11" w:rsidP="00842E11">
      <w:pPr>
        <w:pStyle w:val="Heading2"/>
      </w:pPr>
      <w:bookmarkStart w:id="7" w:name="_Toc106290059"/>
      <w:r w:rsidRPr="00626A84">
        <w:lastRenderedPageBreak/>
        <w:t>Biometric data</w:t>
      </w:r>
      <w:bookmarkEnd w:id="7"/>
    </w:p>
    <w:p w14:paraId="31F8C4BD" w14:textId="2A413EF2" w:rsidR="00842E11" w:rsidRDefault="00842E11" w:rsidP="00842E11">
      <w:pPr>
        <w:ind w:left="720" w:hanging="720"/>
      </w:pPr>
      <w:r>
        <w:t>3.5</w:t>
      </w:r>
      <w:r>
        <w:tab/>
      </w:r>
      <w:r w:rsidRPr="00626A84">
        <w:t xml:space="preserve">The </w:t>
      </w:r>
      <w:r>
        <w:t xml:space="preserve">Bill’s treatment of </w:t>
      </w:r>
      <w:r w:rsidRPr="00626A84">
        <w:t xml:space="preserve">biometric </w:t>
      </w:r>
      <w:r>
        <w:t>data</w:t>
      </w:r>
      <w:r w:rsidRPr="00626A84">
        <w:rPr>
          <w:vertAlign w:val="superscript"/>
        </w:rPr>
        <w:footnoteReference w:id="29"/>
      </w:r>
      <w:r w:rsidRPr="00626A84">
        <w:t xml:space="preserve"> </w:t>
      </w:r>
      <w:r w:rsidR="00B71C4C">
        <w:t>is</w:t>
      </w:r>
      <w:r w:rsidR="00B71C4C" w:rsidRPr="00626A84">
        <w:t xml:space="preserve"> </w:t>
      </w:r>
      <w:r w:rsidRPr="00626A84">
        <w:t>largely in line with</w:t>
      </w:r>
      <w:r>
        <w:t xml:space="preserve"> </w:t>
      </w:r>
      <w:proofErr w:type="spellStart"/>
      <w:r w:rsidRPr="00626A84">
        <w:rPr>
          <w:i/>
          <w:iCs/>
        </w:rPr>
        <w:t>Gaughran</w:t>
      </w:r>
      <w:proofErr w:type="spellEnd"/>
      <w:r w:rsidRPr="00626A84">
        <w:rPr>
          <w:i/>
          <w:iCs/>
        </w:rPr>
        <w:t xml:space="preserve"> v UK</w:t>
      </w:r>
      <w:r w:rsidRPr="00626A84">
        <w:t xml:space="preserve"> (2020).</w:t>
      </w:r>
      <w:r w:rsidRPr="00626A84">
        <w:rPr>
          <w:vertAlign w:val="superscript"/>
        </w:rPr>
        <w:footnoteReference w:id="30"/>
      </w:r>
      <w:r w:rsidRPr="00626A84">
        <w:t xml:space="preserve"> </w:t>
      </w:r>
      <w:r>
        <w:t>Requiring that</w:t>
      </w:r>
      <w:r w:rsidRPr="00626A84">
        <w:t xml:space="preserve"> retention of </w:t>
      </w:r>
      <w:r>
        <w:t>biometric data</w:t>
      </w:r>
      <w:r w:rsidRPr="00626A84">
        <w:t xml:space="preserve"> material be subject to periodic review and that the material </w:t>
      </w:r>
      <w:r>
        <w:t>is</w:t>
      </w:r>
      <w:r w:rsidRPr="00626A84">
        <w:t xml:space="preserve"> destroyed within a reasonable period after the conclusion of the ICRIR’s work</w:t>
      </w:r>
      <w:r>
        <w:t xml:space="preserve"> are welcomed</w:t>
      </w:r>
      <w:r w:rsidRPr="00626A84">
        <w:t xml:space="preserve">. </w:t>
      </w:r>
      <w:r>
        <w:t>T</w:t>
      </w:r>
      <w:r w:rsidRPr="00626A84">
        <w:t xml:space="preserve">he ICRIR </w:t>
      </w:r>
      <w:r>
        <w:t>can</w:t>
      </w:r>
      <w:r w:rsidRPr="00626A84">
        <w:t xml:space="preserve"> use the evidence</w:t>
      </w:r>
      <w:r>
        <w:t>,</w:t>
      </w:r>
      <w:r w:rsidRPr="00626A84">
        <w:rPr>
          <w:vertAlign w:val="superscript"/>
        </w:rPr>
        <w:footnoteReference w:id="31"/>
      </w:r>
      <w:r w:rsidRPr="00626A84">
        <w:t xml:space="preserve"> </w:t>
      </w:r>
      <w:r>
        <w:t>but it is</w:t>
      </w:r>
      <w:r w:rsidRPr="00626A84">
        <w:t xml:space="preserve"> not </w:t>
      </w:r>
      <w:r>
        <w:t>stated</w:t>
      </w:r>
      <w:r w:rsidRPr="00626A84">
        <w:t xml:space="preserve"> </w:t>
      </w:r>
      <w:r>
        <w:t>that r</w:t>
      </w:r>
      <w:r w:rsidRPr="00626A84">
        <w:t xml:space="preserve">etained biometric data must be relevant to the ICRIR’s work. </w:t>
      </w:r>
      <w:r>
        <w:t>It is hard to view this as a</w:t>
      </w:r>
      <w:r w:rsidRPr="00626A84">
        <w:t xml:space="preserve"> proportionate</w:t>
      </w:r>
      <w:r>
        <w:t xml:space="preserve"> approach, as required by </w:t>
      </w:r>
      <w:r w:rsidRPr="00626A84">
        <w:t>Article 8 of the ECHR (right to a private life).</w:t>
      </w:r>
      <w:r w:rsidRPr="00626A84">
        <w:rPr>
          <w:vertAlign w:val="superscript"/>
        </w:rPr>
        <w:footnoteReference w:id="32"/>
      </w:r>
    </w:p>
    <w:p w14:paraId="43B700CB" w14:textId="77777777" w:rsidR="00842E11" w:rsidRDefault="00842E11" w:rsidP="00842E11">
      <w:pPr>
        <w:ind w:left="720" w:hanging="720"/>
      </w:pPr>
    </w:p>
    <w:p w14:paraId="29C676D4" w14:textId="50E3BFB3" w:rsidR="00AB0644" w:rsidRDefault="00AB0644" w:rsidP="001A5F15">
      <w:pPr>
        <w:pStyle w:val="Heading1"/>
      </w:pPr>
      <w:bookmarkStart w:id="8" w:name="_Toc106290060"/>
      <w:r>
        <w:t>3.0</w:t>
      </w:r>
      <w:r>
        <w:tab/>
      </w:r>
      <w:r w:rsidR="00013FF0">
        <w:t>Conditional Immunity Scheme</w:t>
      </w:r>
      <w:bookmarkEnd w:id="8"/>
    </w:p>
    <w:p w14:paraId="02C36997" w14:textId="2418A242" w:rsidR="0005312E" w:rsidRPr="0005312E" w:rsidRDefault="0005312E" w:rsidP="0005312E">
      <w:pPr>
        <w:ind w:left="720" w:hanging="720"/>
      </w:pPr>
      <w:r>
        <w:t>3.1</w:t>
      </w:r>
      <w:r>
        <w:tab/>
      </w:r>
      <w:r w:rsidR="00726B48">
        <w:t>An</w:t>
      </w:r>
      <w:r w:rsidRPr="0005312E">
        <w:t xml:space="preserve"> immunity scheme for gross abuses of human rights, such as those related to Articles 2 and 3, violates the ECHR.</w:t>
      </w:r>
      <w:r w:rsidRPr="0005312E">
        <w:rPr>
          <w:vertAlign w:val="superscript"/>
        </w:rPr>
        <w:footnoteReference w:id="33"/>
      </w:r>
      <w:r w:rsidRPr="0005312E">
        <w:t xml:space="preserve"> Admittedly the ECtHR’s mixed views have confused this debate. However, there is growing jurisprudence</w:t>
      </w:r>
      <w:r w:rsidR="00726B48">
        <w:t xml:space="preserve"> </w:t>
      </w:r>
      <w:r w:rsidRPr="0005312E">
        <w:t xml:space="preserve">that </w:t>
      </w:r>
      <w:r w:rsidR="00726B48">
        <w:t>reflect</w:t>
      </w:r>
      <w:r w:rsidR="009D3487">
        <w:t>s</w:t>
      </w:r>
      <w:r w:rsidRPr="0005312E">
        <w:t xml:space="preserve"> this conclusion.</w:t>
      </w:r>
      <w:r w:rsidR="00726B48">
        <w:rPr>
          <w:rStyle w:val="FootnoteReference"/>
        </w:rPr>
        <w:footnoteReference w:id="34"/>
      </w:r>
      <w:r w:rsidRPr="0005312E">
        <w:t xml:space="preserve"> </w:t>
      </w:r>
      <w:r w:rsidR="0060631C">
        <w:t>It</w:t>
      </w:r>
      <w:r w:rsidR="0060631C" w:rsidRPr="0005312E">
        <w:t xml:space="preserve"> is difficult to justify any other determination </w:t>
      </w:r>
      <w:r w:rsidR="0060631C">
        <w:t>given</w:t>
      </w:r>
      <w:r w:rsidRPr="0005312E">
        <w:t xml:space="preserve"> the limited nature of Article 2 of the ECHR and </w:t>
      </w:r>
      <w:r w:rsidR="0060631C">
        <w:t>absoluteness of</w:t>
      </w:r>
      <w:r w:rsidRPr="0005312E">
        <w:t xml:space="preserve"> Article 3 of the ECHR.</w:t>
      </w:r>
    </w:p>
    <w:p w14:paraId="1DB674B0" w14:textId="77777777" w:rsidR="0005312E" w:rsidRPr="0005312E" w:rsidRDefault="0005312E" w:rsidP="0005312E">
      <w:pPr>
        <w:ind w:left="720"/>
      </w:pPr>
    </w:p>
    <w:p w14:paraId="7BA74B91" w14:textId="675D33D8" w:rsidR="0005312E" w:rsidRPr="0005312E" w:rsidRDefault="0005312E" w:rsidP="0005312E">
      <w:pPr>
        <w:ind w:left="720" w:hanging="720"/>
      </w:pPr>
      <w:r>
        <w:t>3.2</w:t>
      </w:r>
      <w:r>
        <w:tab/>
      </w:r>
      <w:r w:rsidR="008172D1">
        <w:t>Alter</w:t>
      </w:r>
      <w:r w:rsidR="00BA453A">
        <w:t>n</w:t>
      </w:r>
      <w:r w:rsidR="008172D1">
        <w:t>ative</w:t>
      </w:r>
      <w:r w:rsidRPr="0005312E">
        <w:t xml:space="preserve"> </w:t>
      </w:r>
      <w:r w:rsidR="008172D1">
        <w:t xml:space="preserve">ECtHR views </w:t>
      </w:r>
      <w:r w:rsidR="008F5630">
        <w:t>rely on</w:t>
      </w:r>
      <w:r w:rsidRPr="0005312E">
        <w:t xml:space="preserve"> the amnesty being in the public interest</w:t>
      </w:r>
      <w:r w:rsidRPr="0005312E">
        <w:rPr>
          <w:vertAlign w:val="superscript"/>
        </w:rPr>
        <w:footnoteReference w:id="35"/>
      </w:r>
      <w:r w:rsidRPr="0005312E">
        <w:t xml:space="preserve"> or an </w:t>
      </w:r>
      <w:r w:rsidR="008F5630">
        <w:t xml:space="preserve">existing </w:t>
      </w:r>
      <w:r w:rsidRPr="0005312E">
        <w:t>effective reconciliation process and/or form of compensation to the victims.</w:t>
      </w:r>
      <w:r w:rsidRPr="0005312E">
        <w:rPr>
          <w:vertAlign w:val="superscript"/>
        </w:rPr>
        <w:footnoteReference w:id="36"/>
      </w:r>
      <w:r w:rsidRPr="0005312E">
        <w:t xml:space="preserve"> This is not the case in NI. The Bill is portrayed</w:t>
      </w:r>
      <w:r w:rsidR="00B71C4C">
        <w:t xml:space="preserve"> by the UK Government</w:t>
      </w:r>
      <w:r w:rsidRPr="0005312E">
        <w:t xml:space="preserve"> </w:t>
      </w:r>
      <w:r w:rsidR="00FE49AC">
        <w:t xml:space="preserve">as </w:t>
      </w:r>
      <w:r w:rsidR="00FE49AC" w:rsidRPr="0005312E">
        <w:t xml:space="preserve">within the public interest </w:t>
      </w:r>
      <w:r w:rsidR="00FE49AC">
        <w:t>and</w:t>
      </w:r>
      <w:r w:rsidRPr="0005312E">
        <w:t xml:space="preserve"> </w:t>
      </w:r>
      <w:r w:rsidR="00FE49AC">
        <w:t>that it delivers</w:t>
      </w:r>
      <w:r w:rsidRPr="0005312E">
        <w:t xml:space="preserve"> an effective reconciliation process</w:t>
      </w:r>
      <w:r w:rsidR="00D61AEF">
        <w:t>. T</w:t>
      </w:r>
      <w:r w:rsidRPr="0005312E">
        <w:t xml:space="preserve">his is impossible </w:t>
      </w:r>
      <w:r w:rsidRPr="0005312E">
        <w:lastRenderedPageBreak/>
        <w:t xml:space="preserve">without buy-in from victims and survivors and </w:t>
      </w:r>
      <w:r w:rsidR="00474923">
        <w:t>elected representatives</w:t>
      </w:r>
      <w:r w:rsidRPr="0005312E">
        <w:t>. The Victims Payments scheme is a compromise,</w:t>
      </w:r>
      <w:r w:rsidR="00FE49AC">
        <w:rPr>
          <w:rStyle w:val="FootnoteReference"/>
        </w:rPr>
        <w:footnoteReference w:id="37"/>
      </w:r>
      <w:r w:rsidRPr="0005312E">
        <w:t xml:space="preserve"> but is </w:t>
      </w:r>
      <w:r w:rsidR="004B05F6">
        <w:t>not</w:t>
      </w:r>
      <w:r w:rsidRPr="0005312E">
        <w:t xml:space="preserve"> an all-encompassing form of compensation.</w:t>
      </w:r>
    </w:p>
    <w:p w14:paraId="5C0B0365" w14:textId="77777777" w:rsidR="0005312E" w:rsidRPr="0005312E" w:rsidRDefault="0005312E" w:rsidP="0005312E">
      <w:pPr>
        <w:ind w:left="720"/>
      </w:pPr>
    </w:p>
    <w:p w14:paraId="2D8E0E23" w14:textId="41AF36D9" w:rsidR="0005312E" w:rsidRPr="0005312E" w:rsidRDefault="0005312E" w:rsidP="0005312E">
      <w:pPr>
        <w:ind w:left="720" w:hanging="720"/>
      </w:pPr>
      <w:r>
        <w:t>3.3</w:t>
      </w:r>
      <w:r>
        <w:tab/>
      </w:r>
      <w:r w:rsidRPr="0005312E">
        <w:t>Removing the possibility of immunity for an on-going case or previous conviction</w:t>
      </w:r>
      <w:r w:rsidRPr="0005312E">
        <w:rPr>
          <w:vertAlign w:val="superscript"/>
        </w:rPr>
        <w:footnoteReference w:id="38"/>
      </w:r>
      <w:r w:rsidRPr="0005312E">
        <w:t xml:space="preserve"> </w:t>
      </w:r>
      <w:r w:rsidR="00E4514F" w:rsidRPr="0005312E">
        <w:t xml:space="preserve">may constitute </w:t>
      </w:r>
      <w:r w:rsidR="00E4514F">
        <w:t xml:space="preserve">a violation of Article 14 of the ECHR (prohibition of discrimination), which requires that there be no discrimination based on “other status”. What constitutes ‘other status’ is ever evolving. There is the potential that it would apply in this instance. </w:t>
      </w:r>
      <w:r w:rsidR="00CD3B5F">
        <w:t xml:space="preserve">The Bill </w:t>
      </w:r>
      <w:r w:rsidR="008F2F5E">
        <w:t xml:space="preserve">arbitrarily </w:t>
      </w:r>
      <w:r w:rsidRPr="0005312E">
        <w:t>distinguishes between alleged offenders that can and cannot have immunity. It is</w:t>
      </w:r>
      <w:r w:rsidR="008F2F5E">
        <w:t xml:space="preserve"> more</w:t>
      </w:r>
      <w:r w:rsidRPr="0005312E">
        <w:t xml:space="preserve"> likely to impact alleged paramilitary offenders, than State agents</w:t>
      </w:r>
      <w:r w:rsidR="00E91BED">
        <w:t xml:space="preserve"> with</w:t>
      </w:r>
      <w:r w:rsidRPr="0005312E">
        <w:t xml:space="preserve"> no existing legal basis</w:t>
      </w:r>
      <w:r w:rsidR="00E91BED">
        <w:t xml:space="preserve"> or</w:t>
      </w:r>
      <w:r w:rsidRPr="0005312E">
        <w:t xml:space="preserve"> ECHR-compliant justifiable reason. </w:t>
      </w:r>
    </w:p>
    <w:p w14:paraId="3DC12364" w14:textId="77777777" w:rsidR="0005312E" w:rsidRPr="0005312E" w:rsidRDefault="0005312E" w:rsidP="0005312E">
      <w:pPr>
        <w:ind w:left="720"/>
      </w:pPr>
    </w:p>
    <w:p w14:paraId="4C3E1AF5" w14:textId="650396E9" w:rsidR="00013FF0" w:rsidRDefault="0005312E" w:rsidP="0005312E">
      <w:pPr>
        <w:ind w:left="720" w:hanging="720"/>
      </w:pPr>
      <w:r>
        <w:t>3.4</w:t>
      </w:r>
      <w:r>
        <w:tab/>
      </w:r>
      <w:r w:rsidR="00BA72C9">
        <w:t>G</w:t>
      </w:r>
      <w:r w:rsidRPr="0005312E">
        <w:t xml:space="preserve">iven the variety of issues </w:t>
      </w:r>
      <w:r w:rsidR="000876F2">
        <w:t xml:space="preserve">and </w:t>
      </w:r>
      <w:r w:rsidR="00D558A4">
        <w:t>importance</w:t>
      </w:r>
      <w:r w:rsidR="000876F2">
        <w:t xml:space="preserve"> to consider each case on its merits</w:t>
      </w:r>
      <w:r w:rsidR="00C23575">
        <w:t>,</w:t>
      </w:r>
      <w:r w:rsidRPr="0005312E">
        <w:t xml:space="preserve"> </w:t>
      </w:r>
      <w:r w:rsidR="00B50049">
        <w:t xml:space="preserve">it is imperative to not </w:t>
      </w:r>
      <w:r w:rsidR="00990833">
        <w:t xml:space="preserve">arbitrarily </w:t>
      </w:r>
      <w:r w:rsidR="00B50049">
        <w:t xml:space="preserve">focus on </w:t>
      </w:r>
      <w:r w:rsidR="00BA72C9">
        <w:t>specific cases</w:t>
      </w:r>
      <w:r w:rsidRPr="0005312E">
        <w:t xml:space="preserve">. However, in </w:t>
      </w:r>
      <w:r w:rsidR="00561F5A">
        <w:t>supervising the</w:t>
      </w:r>
      <w:r w:rsidR="00561F5A" w:rsidRPr="0005312E">
        <w:t xml:space="preserve"> </w:t>
      </w:r>
      <w:r w:rsidRPr="0005312E">
        <w:t xml:space="preserve">execution of ECtHR judgments, the </w:t>
      </w:r>
      <w:proofErr w:type="spellStart"/>
      <w:r w:rsidRPr="0005312E">
        <w:t>CoE</w:t>
      </w:r>
      <w:proofErr w:type="spellEnd"/>
      <w:r w:rsidRPr="0005312E">
        <w:t xml:space="preserve"> Committee of Ministers “recalled with profound regret that inquests and investigations in the cases of </w:t>
      </w:r>
      <w:proofErr w:type="spellStart"/>
      <w:r w:rsidRPr="0005312E">
        <w:rPr>
          <w:i/>
          <w:iCs/>
        </w:rPr>
        <w:t>McKerr</w:t>
      </w:r>
      <w:proofErr w:type="spellEnd"/>
      <w:r w:rsidRPr="0005312E">
        <w:rPr>
          <w:i/>
          <w:iCs/>
        </w:rPr>
        <w:t xml:space="preserve">, </w:t>
      </w:r>
      <w:proofErr w:type="spellStart"/>
      <w:r w:rsidRPr="0005312E">
        <w:rPr>
          <w:i/>
          <w:iCs/>
        </w:rPr>
        <w:t>Shanaghan</w:t>
      </w:r>
      <w:proofErr w:type="spellEnd"/>
      <w:r w:rsidRPr="0005312E">
        <w:t xml:space="preserve"> and </w:t>
      </w:r>
      <w:r w:rsidRPr="0005312E">
        <w:rPr>
          <w:i/>
          <w:iCs/>
        </w:rPr>
        <w:t>Kelly and Others</w:t>
      </w:r>
      <w:r w:rsidRPr="0005312E">
        <w:t xml:space="preserve"> have still not been completed”.</w:t>
      </w:r>
      <w:r w:rsidRPr="0005312E">
        <w:rPr>
          <w:vertAlign w:val="superscript"/>
        </w:rPr>
        <w:footnoteReference w:id="39"/>
      </w:r>
      <w:r w:rsidRPr="0005312E">
        <w:t xml:space="preserve"> This Bill</w:t>
      </w:r>
      <w:r w:rsidR="007F401D">
        <w:t xml:space="preserve"> </w:t>
      </w:r>
      <w:r w:rsidR="00BD7E9A">
        <w:t>does not address</w:t>
      </w:r>
      <w:r w:rsidRPr="0005312E">
        <w:t xml:space="preserve"> the Committee of Ministers’ concerns.</w:t>
      </w:r>
    </w:p>
    <w:p w14:paraId="29B38CF7" w14:textId="6833ACFB" w:rsidR="00626A84" w:rsidRDefault="00626A84" w:rsidP="0005312E">
      <w:pPr>
        <w:ind w:left="720" w:hanging="720"/>
      </w:pPr>
    </w:p>
    <w:p w14:paraId="719D1FFE" w14:textId="00939BED" w:rsidR="00013FF0" w:rsidRDefault="00013FF0" w:rsidP="001A5F15">
      <w:pPr>
        <w:pStyle w:val="Heading1"/>
      </w:pPr>
      <w:bookmarkStart w:id="9" w:name="_Toc106290061"/>
      <w:r>
        <w:t xml:space="preserve">4.0 </w:t>
      </w:r>
      <w:r>
        <w:tab/>
      </w:r>
      <w:r w:rsidR="001A5F15">
        <w:t>Cessation of Proceedings</w:t>
      </w:r>
      <w:bookmarkEnd w:id="9"/>
    </w:p>
    <w:p w14:paraId="0C003934" w14:textId="14B54EDB" w:rsidR="00267C0B" w:rsidRPr="00267C0B" w:rsidRDefault="00267C0B" w:rsidP="00267C0B">
      <w:pPr>
        <w:ind w:left="720" w:hanging="720"/>
      </w:pPr>
      <w:r>
        <w:t>4.1</w:t>
      </w:r>
      <w:r>
        <w:tab/>
      </w:r>
      <w:r w:rsidR="00B020F7">
        <w:t>I</w:t>
      </w:r>
      <w:r w:rsidRPr="00267C0B">
        <w:t>mmediately ceas</w:t>
      </w:r>
      <w:r w:rsidR="00B020F7">
        <w:t>ing</w:t>
      </w:r>
      <w:r w:rsidRPr="00267C0B">
        <w:t xml:space="preserve"> criminal investigations (other than those referred by the ICRIR to the prosecutor), police complaints, civil proceedings and inquests/inquiries arising out of the Troubles does not comply with the ECHR. Article 13 of the ECHR (right to an effective remedy) has a close relationship with Articles 2 and 3 of the </w:t>
      </w:r>
      <w:r w:rsidRPr="00267C0B">
        <w:lastRenderedPageBreak/>
        <w:t>ECHR.</w:t>
      </w:r>
      <w:r w:rsidRPr="00267C0B">
        <w:rPr>
          <w:vertAlign w:val="superscript"/>
        </w:rPr>
        <w:footnoteReference w:id="40"/>
      </w:r>
      <w:r w:rsidRPr="00267C0B">
        <w:t xml:space="preserve"> </w:t>
      </w:r>
      <w:r w:rsidR="005E64EC">
        <w:t>R</w:t>
      </w:r>
      <w:r w:rsidRPr="00267C0B">
        <w:t xml:space="preserve">emoving these domestic remedies </w:t>
      </w:r>
      <w:r w:rsidR="004444DB">
        <w:t>makes</w:t>
      </w:r>
      <w:r w:rsidRPr="00267C0B">
        <w:t xml:space="preserve"> </w:t>
      </w:r>
      <w:r w:rsidR="004444DB">
        <w:t xml:space="preserve">seeking remedy from </w:t>
      </w:r>
      <w:r w:rsidRPr="00267C0B">
        <w:t xml:space="preserve">the ECtHR </w:t>
      </w:r>
      <w:r w:rsidR="004444DB">
        <w:t xml:space="preserve">the only </w:t>
      </w:r>
      <w:r w:rsidR="00476565">
        <w:t xml:space="preserve">alternative </w:t>
      </w:r>
      <w:r w:rsidR="004444DB">
        <w:t>option</w:t>
      </w:r>
      <w:r w:rsidRPr="00267C0B">
        <w:t>. Considering the principle of subsidiarity this should not be the case. ECtHR judgments are not enforceable, instead relying on State-initiated compliance. Considering the UK Government’s approach</w:t>
      </w:r>
      <w:r w:rsidR="00561F5A">
        <w:t xml:space="preserve"> to existing judgments</w:t>
      </w:r>
      <w:r w:rsidRPr="00267C0B">
        <w:t xml:space="preserve">, </w:t>
      </w:r>
      <w:r w:rsidR="00E40B60">
        <w:t xml:space="preserve">heavy </w:t>
      </w:r>
      <w:r w:rsidRPr="00267C0B">
        <w:t>reliance on parliamentary sovereignty is likely</w:t>
      </w:r>
      <w:r w:rsidR="00E40B60">
        <w:t xml:space="preserve">, </w:t>
      </w:r>
      <w:r w:rsidRPr="00267C0B">
        <w:t>resulting in a related ECtHR ruling being disregarded or only partially adhered to.</w:t>
      </w:r>
    </w:p>
    <w:p w14:paraId="7F9F3BD4" w14:textId="77777777" w:rsidR="00267C0B" w:rsidRPr="00267C0B" w:rsidRDefault="00267C0B" w:rsidP="00267C0B"/>
    <w:p w14:paraId="39D18813" w14:textId="2F5111BF" w:rsidR="001A5F15" w:rsidRDefault="00267C0B" w:rsidP="00267C0B">
      <w:pPr>
        <w:ind w:left="720" w:hanging="720"/>
      </w:pPr>
      <w:r>
        <w:t>4.2</w:t>
      </w:r>
      <w:r>
        <w:tab/>
      </w:r>
      <w:r w:rsidR="00B47CA0">
        <w:t>R</w:t>
      </w:r>
      <w:r w:rsidRPr="00267C0B">
        <w:t>ight of access to courts and tribunals is inherent to Article 6(1) of the ECHR (right to a fair trial)</w:t>
      </w:r>
      <w:r w:rsidR="005762AE">
        <w:t>, enabling</w:t>
      </w:r>
      <w:r w:rsidRPr="00267C0B">
        <w:t xml:space="preserve"> any claim relating to a person’s civil rights and obligations be brought before a court or tribunal.</w:t>
      </w:r>
      <w:r w:rsidRPr="00267C0B">
        <w:rPr>
          <w:vertAlign w:val="superscript"/>
        </w:rPr>
        <w:footnoteReference w:id="41"/>
      </w:r>
      <w:r w:rsidRPr="00267C0B">
        <w:t xml:space="preserve"> This </w:t>
      </w:r>
      <w:r w:rsidR="00D76135">
        <w:t xml:space="preserve">right is </w:t>
      </w:r>
      <w:r w:rsidRPr="00267C0B">
        <w:t>not</w:t>
      </w:r>
      <w:r w:rsidR="00D76135">
        <w:t xml:space="preserve"> </w:t>
      </w:r>
      <w:r w:rsidRPr="00267C0B">
        <w:t>absolute and may be subject to limitations</w:t>
      </w:r>
      <w:r w:rsidR="00D76135">
        <w:t>.</w:t>
      </w:r>
      <w:r w:rsidRPr="00267C0B">
        <w:t xml:space="preserve"> </w:t>
      </w:r>
      <w:r w:rsidR="00D76135">
        <w:t xml:space="preserve">However, </w:t>
      </w:r>
      <w:r w:rsidRPr="00267C0B">
        <w:t>limitations “must not restrict or reduce the access left to the individual in such a way or to such an extent that very essence of the right is impaired”.</w:t>
      </w:r>
      <w:r w:rsidRPr="00267C0B">
        <w:rPr>
          <w:vertAlign w:val="superscript"/>
        </w:rPr>
        <w:footnoteReference w:id="42"/>
      </w:r>
      <w:r w:rsidRPr="00267C0B">
        <w:t xml:space="preserve"> The immediacy of the proposed changes to a victim’s access to justice and closing</w:t>
      </w:r>
      <w:r w:rsidR="00E85663">
        <w:t>-</w:t>
      </w:r>
      <w:r w:rsidRPr="00267C0B">
        <w:t>off any pursuit of justice outside of an ICRIR that is not compliant with Articles 2 or 3 of the ECHR is contrary to Article 6 of the ECHR.</w:t>
      </w:r>
    </w:p>
    <w:p w14:paraId="5422918B" w14:textId="77777777" w:rsidR="00E4514F" w:rsidRDefault="00E4514F" w:rsidP="00267C0B">
      <w:pPr>
        <w:ind w:left="720" w:hanging="720"/>
      </w:pPr>
    </w:p>
    <w:p w14:paraId="4FDF0E92" w14:textId="341FCC89" w:rsidR="001A5F15" w:rsidRDefault="001A5F15" w:rsidP="001A5F15">
      <w:pPr>
        <w:pStyle w:val="Heading1"/>
      </w:pPr>
      <w:bookmarkStart w:id="10" w:name="_Toc106290062"/>
      <w:r>
        <w:t>5.0</w:t>
      </w:r>
      <w:r>
        <w:tab/>
        <w:t>Early Release of Prisoners</w:t>
      </w:r>
      <w:bookmarkEnd w:id="10"/>
    </w:p>
    <w:p w14:paraId="0DD569AB" w14:textId="5422A0C7" w:rsidR="00C0550B" w:rsidRDefault="00BE2AF8" w:rsidP="00C0550B">
      <w:pPr>
        <w:ind w:left="720" w:hanging="720"/>
      </w:pPr>
      <w:r>
        <w:t>5.1</w:t>
      </w:r>
      <w:r>
        <w:tab/>
      </w:r>
      <w:r w:rsidRPr="00BE2AF8">
        <w:t>The proposal to extend the accelerated release scheme to those serving sentences for relate</w:t>
      </w:r>
      <w:r w:rsidR="0058068A">
        <w:t>d</w:t>
      </w:r>
      <w:r w:rsidRPr="00BE2AF8">
        <w:t xml:space="preserve"> offences committed on or after 1 January 1966 and before 8 August 1973</w:t>
      </w:r>
      <w:r w:rsidR="005C5654">
        <w:t xml:space="preserve"> is welcomed</w:t>
      </w:r>
      <w:r w:rsidRPr="00BE2AF8">
        <w:t>.</w:t>
      </w:r>
      <w:r w:rsidRPr="00BE2AF8">
        <w:rPr>
          <w:vertAlign w:val="superscript"/>
        </w:rPr>
        <w:footnoteReference w:id="43"/>
      </w:r>
      <w:r w:rsidRPr="00BE2AF8">
        <w:t xml:space="preserve"> It appears this applies to anyone convicted of a Troubles-related offence, including members of the security forces, but </w:t>
      </w:r>
      <w:proofErr w:type="gramStart"/>
      <w:r w:rsidRPr="00BE2AF8">
        <w:t xml:space="preserve">this </w:t>
      </w:r>
      <w:r w:rsidR="00C163BB">
        <w:t>needs</w:t>
      </w:r>
      <w:proofErr w:type="gramEnd"/>
      <w:r w:rsidRPr="00BE2AF8">
        <w:t xml:space="preserve"> clarifi</w:t>
      </w:r>
      <w:r w:rsidR="00C163BB">
        <w:t>ed.</w:t>
      </w:r>
    </w:p>
    <w:p w14:paraId="6C873F75" w14:textId="77777777" w:rsidR="00C0550B" w:rsidRDefault="00C0550B" w:rsidP="00C0550B">
      <w:pPr>
        <w:ind w:left="720" w:hanging="720"/>
      </w:pPr>
    </w:p>
    <w:p w14:paraId="09AAC3FA" w14:textId="77777777" w:rsidR="00C0550B" w:rsidRDefault="00C0550B" w:rsidP="00C0550B">
      <w:pPr>
        <w:ind w:left="720" w:hanging="720"/>
      </w:pPr>
    </w:p>
    <w:p w14:paraId="14277754" w14:textId="77777777" w:rsidR="00C0550B" w:rsidRDefault="00C0550B" w:rsidP="00C0550B">
      <w:pPr>
        <w:ind w:left="720" w:hanging="720"/>
      </w:pPr>
    </w:p>
    <w:p w14:paraId="74184A0B" w14:textId="77777777" w:rsidR="00C0550B" w:rsidRDefault="00C0550B" w:rsidP="00C0550B">
      <w:pPr>
        <w:ind w:left="720" w:hanging="720"/>
      </w:pPr>
    </w:p>
    <w:p w14:paraId="685A174A" w14:textId="77777777" w:rsidR="00C0550B" w:rsidRDefault="00C0550B" w:rsidP="00C0550B">
      <w:pPr>
        <w:ind w:left="720" w:hanging="720"/>
      </w:pPr>
    </w:p>
    <w:p w14:paraId="1D511170" w14:textId="77777777" w:rsidR="00C0550B" w:rsidRDefault="00C0550B" w:rsidP="00C0550B">
      <w:pPr>
        <w:ind w:left="720" w:hanging="720"/>
      </w:pPr>
    </w:p>
    <w:p w14:paraId="66557489" w14:textId="76A2348E" w:rsidR="00C0550B" w:rsidRDefault="00C0550B" w:rsidP="00C0550B">
      <w:pPr>
        <w:ind w:left="720" w:hanging="720"/>
      </w:pPr>
    </w:p>
    <w:p w14:paraId="47C71815" w14:textId="3BF3B811" w:rsidR="005C5654" w:rsidRDefault="005C5654" w:rsidP="00C0550B">
      <w:pPr>
        <w:ind w:left="720" w:hanging="720"/>
      </w:pPr>
    </w:p>
    <w:p w14:paraId="0FE9473C" w14:textId="035E8139" w:rsidR="005C5654" w:rsidRDefault="005C5654" w:rsidP="00C0550B">
      <w:pPr>
        <w:ind w:left="720" w:hanging="720"/>
      </w:pPr>
    </w:p>
    <w:p w14:paraId="5B901291" w14:textId="41251A9E" w:rsidR="005C5654" w:rsidRDefault="005C5654" w:rsidP="00C0550B">
      <w:pPr>
        <w:ind w:left="720" w:hanging="720"/>
      </w:pPr>
    </w:p>
    <w:p w14:paraId="477B065A" w14:textId="55AF7433" w:rsidR="005C5654" w:rsidRDefault="005C5654" w:rsidP="00C0550B">
      <w:pPr>
        <w:ind w:left="720" w:hanging="720"/>
      </w:pPr>
    </w:p>
    <w:p w14:paraId="4709A9A2" w14:textId="58BD9546" w:rsidR="005C5654" w:rsidRDefault="005C5654" w:rsidP="00C0550B">
      <w:pPr>
        <w:ind w:left="720" w:hanging="720"/>
      </w:pPr>
    </w:p>
    <w:p w14:paraId="7C148E12" w14:textId="3B9B3B1B" w:rsidR="005C5654" w:rsidRDefault="005C5654" w:rsidP="00C0550B">
      <w:pPr>
        <w:ind w:left="720" w:hanging="720"/>
      </w:pPr>
    </w:p>
    <w:p w14:paraId="4641192D" w14:textId="77649078" w:rsidR="00F2623D" w:rsidRPr="00C0550B" w:rsidRDefault="00F2623D" w:rsidP="00C0550B">
      <w:pPr>
        <w:ind w:left="720" w:hanging="720"/>
        <w:jc w:val="center"/>
      </w:pPr>
      <w:r w:rsidRPr="00331C61">
        <w:rPr>
          <w:rFonts w:cs="Arial"/>
          <w:b/>
          <w:bCs/>
          <w:color w:val="77328A"/>
          <w:sz w:val="36"/>
          <w:szCs w:val="36"/>
        </w:rPr>
        <w:t>Co</w:t>
      </w:r>
      <w:r>
        <w:rPr>
          <w:rFonts w:cs="Arial"/>
          <w:b/>
          <w:bCs/>
          <w:color w:val="77328A"/>
          <w:sz w:val="36"/>
          <w:szCs w:val="36"/>
        </w:rPr>
        <w:t>ntact us</w:t>
      </w:r>
    </w:p>
    <w:p w14:paraId="4A6FA877" w14:textId="77777777" w:rsidR="00F2623D" w:rsidRPr="00331C61" w:rsidRDefault="00F2623D" w:rsidP="00F2623D">
      <w:pPr>
        <w:pStyle w:val="BasicParagraph"/>
        <w:suppressAutoHyphens/>
        <w:jc w:val="center"/>
        <w:rPr>
          <w:rFonts w:ascii="Verdana" w:hAnsi="Verdana" w:cs="Arial"/>
          <w:b/>
          <w:color w:val="77328A"/>
          <w:sz w:val="36"/>
          <w:szCs w:val="36"/>
        </w:rPr>
      </w:pPr>
    </w:p>
    <w:p w14:paraId="569EF892" w14:textId="3DDC1BCB" w:rsidR="00F2623D" w:rsidRDefault="00F2623D" w:rsidP="00F2623D">
      <w:pPr>
        <w:spacing w:line="288" w:lineRule="auto"/>
        <w:jc w:val="center"/>
        <w:rPr>
          <w:rFonts w:cs="Arial"/>
          <w:b/>
          <w:color w:val="232120"/>
          <w:sz w:val="30"/>
          <w:szCs w:val="30"/>
        </w:rPr>
      </w:pPr>
      <w:r>
        <w:rPr>
          <w:rFonts w:cs="Arial"/>
          <w:b/>
          <w:color w:val="232120"/>
          <w:sz w:val="30"/>
          <w:szCs w:val="30"/>
        </w:rPr>
        <w:t xml:space="preserve">Please send any queries to </w:t>
      </w:r>
      <w:hyperlink r:id="rId9" w:history="1">
        <w:r w:rsidRPr="00BD5EAE">
          <w:rPr>
            <w:rStyle w:val="Hyperlink"/>
            <w:rFonts w:cs="Arial"/>
            <w:b/>
            <w:sz w:val="30"/>
            <w:szCs w:val="30"/>
          </w:rPr>
          <w:t>Rhyannon.Blythe@nihrc.org</w:t>
        </w:r>
      </w:hyperlink>
    </w:p>
    <w:p w14:paraId="1837ED0A" w14:textId="77777777" w:rsidR="00F2623D" w:rsidRPr="00331C61" w:rsidRDefault="00F2623D" w:rsidP="00F2623D">
      <w:pPr>
        <w:spacing w:line="288" w:lineRule="auto"/>
        <w:rPr>
          <w:rFonts w:cs="Arial"/>
          <w:b/>
          <w:color w:val="232120"/>
          <w:sz w:val="30"/>
          <w:szCs w:val="30"/>
        </w:rPr>
      </w:pPr>
    </w:p>
    <w:p w14:paraId="3DDBE873" w14:textId="77777777" w:rsidR="00F2623D" w:rsidRPr="00331C61" w:rsidRDefault="00F2623D" w:rsidP="00F2623D">
      <w:pPr>
        <w:spacing w:line="288" w:lineRule="auto"/>
        <w:jc w:val="center"/>
        <w:rPr>
          <w:rFonts w:cs="Arial"/>
          <w:b/>
          <w:color w:val="232120"/>
          <w:sz w:val="30"/>
          <w:szCs w:val="30"/>
        </w:rPr>
      </w:pPr>
    </w:p>
    <w:p w14:paraId="387160C4" w14:textId="77777777" w:rsidR="00F2623D" w:rsidRPr="00331C61" w:rsidRDefault="00F2623D" w:rsidP="00F2623D">
      <w:pPr>
        <w:spacing w:line="288" w:lineRule="auto"/>
        <w:jc w:val="center"/>
        <w:rPr>
          <w:rFonts w:cs="Arial"/>
          <w:b/>
          <w:color w:val="232120"/>
          <w:sz w:val="30"/>
          <w:szCs w:val="30"/>
        </w:rPr>
      </w:pPr>
    </w:p>
    <w:p w14:paraId="709A02A3" w14:textId="77777777" w:rsidR="00F2623D" w:rsidRPr="00331C61" w:rsidRDefault="003B6D89" w:rsidP="00F2623D">
      <w:pPr>
        <w:spacing w:line="288" w:lineRule="auto"/>
        <w:jc w:val="center"/>
        <w:rPr>
          <w:rFonts w:cs="Arial"/>
          <w:color w:val="232120"/>
          <w:sz w:val="28"/>
          <w:szCs w:val="28"/>
        </w:rPr>
      </w:pPr>
      <w:hyperlink r:id="rId10" w:history="1">
        <w:r w:rsidR="00F2623D" w:rsidRPr="00331C61">
          <w:rPr>
            <w:rStyle w:val="Hyperlink"/>
            <w:rFonts w:cs="Arial"/>
            <w:color w:val="232120"/>
            <w:sz w:val="28"/>
            <w:szCs w:val="28"/>
            <w:lang w:val="en-US"/>
          </w:rPr>
          <w:t>www.nihrc.org</w:t>
        </w:r>
      </w:hyperlink>
      <w:r w:rsidR="00F2623D" w:rsidRPr="00331C61">
        <w:rPr>
          <w:rFonts w:cs="Arial"/>
          <w:color w:val="232120"/>
          <w:sz w:val="28"/>
          <w:szCs w:val="28"/>
          <w:lang w:val="en-US"/>
        </w:rPr>
        <w:t xml:space="preserve">  |  </w:t>
      </w:r>
      <w:hyperlink r:id="rId11" w:history="1">
        <w:r w:rsidR="00F2623D" w:rsidRPr="00331C61">
          <w:rPr>
            <w:rStyle w:val="Hyperlink"/>
            <w:rFonts w:cs="Arial"/>
            <w:color w:val="232120"/>
            <w:sz w:val="28"/>
            <w:szCs w:val="28"/>
            <w:lang w:val="en-US"/>
          </w:rPr>
          <w:t>info@nihrc.org</w:t>
        </w:r>
      </w:hyperlink>
      <w:r w:rsidR="00F2623D" w:rsidRPr="00331C61">
        <w:rPr>
          <w:rFonts w:cs="Arial"/>
          <w:color w:val="232120"/>
          <w:sz w:val="28"/>
          <w:szCs w:val="28"/>
          <w:lang w:val="en-US"/>
        </w:rPr>
        <w:t xml:space="preserve">  |  +44 (0)28 9024 3987</w:t>
      </w:r>
    </w:p>
    <w:p w14:paraId="5F641356" w14:textId="77777777" w:rsidR="00F2623D" w:rsidRPr="00331C61" w:rsidRDefault="00F2623D" w:rsidP="00F2623D">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D46A848" w14:textId="77777777" w:rsidR="00F2623D" w:rsidRPr="00331C61" w:rsidRDefault="00F2623D" w:rsidP="00F2623D">
      <w:pPr>
        <w:spacing w:line="288" w:lineRule="auto"/>
        <w:jc w:val="center"/>
        <w:rPr>
          <w:rFonts w:cs="Arial"/>
          <w:b/>
          <w:color w:val="232120"/>
          <w:sz w:val="28"/>
          <w:szCs w:val="28"/>
        </w:rPr>
      </w:pPr>
    </w:p>
    <w:p w14:paraId="3AB2840F" w14:textId="77777777" w:rsidR="00F2623D" w:rsidRPr="00331C61" w:rsidRDefault="00F2623D" w:rsidP="00F2623D">
      <w:pPr>
        <w:spacing w:line="288" w:lineRule="auto"/>
        <w:jc w:val="center"/>
        <w:rPr>
          <w:rFonts w:cs="Arial"/>
          <w:color w:val="232120"/>
          <w:sz w:val="20"/>
          <w:szCs w:val="20"/>
        </w:rPr>
      </w:pPr>
    </w:p>
    <w:p w14:paraId="6D810C3D" w14:textId="77777777" w:rsidR="00F2623D" w:rsidRPr="00331C61" w:rsidRDefault="00F2623D" w:rsidP="00F2623D">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0ABF635E" wp14:editId="6B53D381">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51CD263F" w14:textId="77777777" w:rsidR="00F2623D" w:rsidRPr="00BE2AF8" w:rsidRDefault="00F2623D" w:rsidP="00BE2AF8">
      <w:pPr>
        <w:ind w:left="720" w:hanging="720"/>
      </w:pPr>
    </w:p>
    <w:sectPr w:rsidR="00F2623D" w:rsidRPr="00BE2AF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DB71" w14:textId="77777777" w:rsidR="002C4B28" w:rsidRDefault="002C4B28" w:rsidP="00DB0F0C">
      <w:pPr>
        <w:spacing w:line="240" w:lineRule="auto"/>
      </w:pPr>
      <w:r>
        <w:separator/>
      </w:r>
    </w:p>
  </w:endnote>
  <w:endnote w:type="continuationSeparator" w:id="0">
    <w:p w14:paraId="04125E60" w14:textId="77777777" w:rsidR="002C4B28" w:rsidRDefault="002C4B28" w:rsidP="00DB0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30A0"/>
      </w:rPr>
      <w:id w:val="-1505899142"/>
      <w:docPartObj>
        <w:docPartGallery w:val="Page Numbers (Bottom of Page)"/>
        <w:docPartUnique/>
      </w:docPartObj>
    </w:sdtPr>
    <w:sdtEndPr>
      <w:rPr>
        <w:noProof/>
      </w:rPr>
    </w:sdtEndPr>
    <w:sdtContent>
      <w:p w14:paraId="33502343" w14:textId="11A71D62" w:rsidR="00BE2AF8" w:rsidRPr="00BE2AF8" w:rsidRDefault="00BE2AF8">
        <w:pPr>
          <w:pStyle w:val="Footer"/>
          <w:jc w:val="right"/>
          <w:rPr>
            <w:color w:val="7030A0"/>
          </w:rPr>
        </w:pPr>
        <w:r w:rsidRPr="00BE2AF8">
          <w:rPr>
            <w:color w:val="7030A0"/>
          </w:rPr>
          <w:fldChar w:fldCharType="begin"/>
        </w:r>
        <w:r w:rsidRPr="00BE2AF8">
          <w:rPr>
            <w:color w:val="7030A0"/>
          </w:rPr>
          <w:instrText xml:space="preserve"> PAGE   \* MERGEFORMAT </w:instrText>
        </w:r>
        <w:r w:rsidRPr="00BE2AF8">
          <w:rPr>
            <w:color w:val="7030A0"/>
          </w:rPr>
          <w:fldChar w:fldCharType="separate"/>
        </w:r>
        <w:r w:rsidRPr="00BE2AF8">
          <w:rPr>
            <w:noProof/>
            <w:color w:val="7030A0"/>
          </w:rPr>
          <w:t>2</w:t>
        </w:r>
        <w:r w:rsidRPr="00BE2AF8">
          <w:rPr>
            <w:noProof/>
            <w:color w:val="7030A0"/>
          </w:rPr>
          <w:fldChar w:fldCharType="end"/>
        </w:r>
      </w:p>
    </w:sdtContent>
  </w:sdt>
  <w:p w14:paraId="291072B2" w14:textId="77777777" w:rsidR="00BE2AF8" w:rsidRDefault="00BE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344E" w14:textId="77777777" w:rsidR="002C4B28" w:rsidRDefault="002C4B28" w:rsidP="00DB0F0C">
      <w:pPr>
        <w:spacing w:line="240" w:lineRule="auto"/>
      </w:pPr>
      <w:r>
        <w:separator/>
      </w:r>
    </w:p>
  </w:footnote>
  <w:footnote w:type="continuationSeparator" w:id="0">
    <w:p w14:paraId="2112A406" w14:textId="77777777" w:rsidR="002C4B28" w:rsidRDefault="002C4B28" w:rsidP="00DB0F0C">
      <w:pPr>
        <w:spacing w:line="240" w:lineRule="auto"/>
      </w:pPr>
      <w:r>
        <w:continuationSeparator/>
      </w:r>
    </w:p>
  </w:footnote>
  <w:footnote w:id="1">
    <w:p w14:paraId="5ACD6240" w14:textId="427DA609" w:rsidR="00EB18D7" w:rsidRPr="00843E32" w:rsidRDefault="00EB18D7">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It is also incompatible with provisions that provide for these rights within the U</w:t>
      </w:r>
      <w:r w:rsidR="00DF576B">
        <w:rPr>
          <w:color w:val="7030A0"/>
          <w:sz w:val="16"/>
          <w:szCs w:val="16"/>
        </w:rPr>
        <w:t xml:space="preserve">nited Nations </w:t>
      </w:r>
      <w:r w:rsidR="0003758B" w:rsidRPr="00843E32">
        <w:rPr>
          <w:color w:val="7030A0"/>
          <w:sz w:val="16"/>
          <w:szCs w:val="16"/>
        </w:rPr>
        <w:t>human rights treaties</w:t>
      </w:r>
      <w:r w:rsidR="00DF576B">
        <w:rPr>
          <w:color w:val="7030A0"/>
          <w:sz w:val="16"/>
          <w:szCs w:val="16"/>
        </w:rPr>
        <w:t xml:space="preserve"> that the UK has ratified and is bound </w:t>
      </w:r>
      <w:r w:rsidR="00D67872">
        <w:rPr>
          <w:color w:val="7030A0"/>
          <w:sz w:val="16"/>
          <w:szCs w:val="16"/>
        </w:rPr>
        <w:t>by the obligations contained within as a result</w:t>
      </w:r>
      <w:r w:rsidR="0003758B" w:rsidRPr="00843E32">
        <w:rPr>
          <w:color w:val="7030A0"/>
          <w:sz w:val="16"/>
          <w:szCs w:val="16"/>
        </w:rPr>
        <w:t xml:space="preserve">. </w:t>
      </w:r>
      <w:r w:rsidR="0027719E" w:rsidRPr="00843E32">
        <w:rPr>
          <w:color w:val="7030A0"/>
          <w:sz w:val="16"/>
          <w:szCs w:val="16"/>
        </w:rPr>
        <w:t xml:space="preserve">For example, </w:t>
      </w:r>
      <w:r w:rsidR="0038514E" w:rsidRPr="00843E32">
        <w:rPr>
          <w:color w:val="7030A0"/>
          <w:sz w:val="16"/>
          <w:szCs w:val="16"/>
        </w:rPr>
        <w:t xml:space="preserve">Articles 6 and </w:t>
      </w:r>
      <w:r w:rsidR="00843E32" w:rsidRPr="00843E32">
        <w:rPr>
          <w:color w:val="7030A0"/>
          <w:sz w:val="16"/>
          <w:szCs w:val="16"/>
        </w:rPr>
        <w:t>7</w:t>
      </w:r>
      <w:r w:rsidR="0038514E" w:rsidRPr="00843E32">
        <w:rPr>
          <w:color w:val="7030A0"/>
          <w:sz w:val="16"/>
          <w:szCs w:val="16"/>
        </w:rPr>
        <w:t xml:space="preserve">, UN International Covenant on Civil and Political Rights 1966; </w:t>
      </w:r>
      <w:r w:rsidR="00843E32" w:rsidRPr="00843E32">
        <w:rPr>
          <w:color w:val="7030A0"/>
          <w:sz w:val="16"/>
          <w:szCs w:val="16"/>
        </w:rPr>
        <w:t xml:space="preserve">Article 2(1), UN Convention against Torture 1984; </w:t>
      </w:r>
      <w:r w:rsidR="000751EE" w:rsidRPr="00843E32">
        <w:rPr>
          <w:color w:val="7030A0"/>
          <w:sz w:val="16"/>
          <w:szCs w:val="16"/>
        </w:rPr>
        <w:t xml:space="preserve">Articles 6 and </w:t>
      </w:r>
      <w:r w:rsidR="00843E32" w:rsidRPr="00843E32">
        <w:rPr>
          <w:color w:val="7030A0"/>
          <w:sz w:val="16"/>
          <w:szCs w:val="16"/>
        </w:rPr>
        <w:t>37(a)</w:t>
      </w:r>
      <w:r w:rsidR="000751EE" w:rsidRPr="00843E32">
        <w:rPr>
          <w:color w:val="7030A0"/>
          <w:sz w:val="16"/>
          <w:szCs w:val="16"/>
        </w:rPr>
        <w:t>, UN Convention on the Rights of the Child 1989; Articles 10</w:t>
      </w:r>
      <w:r w:rsidR="00843E32" w:rsidRPr="00843E32">
        <w:rPr>
          <w:color w:val="7030A0"/>
          <w:sz w:val="16"/>
          <w:szCs w:val="16"/>
        </w:rPr>
        <w:t xml:space="preserve"> and 15</w:t>
      </w:r>
      <w:r w:rsidR="000751EE" w:rsidRPr="00843E32">
        <w:rPr>
          <w:color w:val="7030A0"/>
          <w:sz w:val="16"/>
          <w:szCs w:val="16"/>
        </w:rPr>
        <w:t>, UN Convention on the Rights of Persons with Disabilities 2006.</w:t>
      </w:r>
    </w:p>
  </w:footnote>
  <w:footnote w:id="2">
    <w:p w14:paraId="073F63C9" w14:textId="77777777" w:rsidR="000D00D2" w:rsidRPr="00843E32" w:rsidRDefault="000D00D2" w:rsidP="00042378">
      <w:pPr>
        <w:spacing w:line="240" w:lineRule="auto"/>
        <w:rPr>
          <w:color w:val="7030A0"/>
          <w:sz w:val="16"/>
          <w:szCs w:val="16"/>
        </w:rPr>
      </w:pPr>
      <w:r w:rsidRPr="00843E32">
        <w:rPr>
          <w:rStyle w:val="FootnoteReference"/>
          <w:color w:val="7030A0"/>
          <w:sz w:val="16"/>
          <w:szCs w:val="16"/>
        </w:rPr>
        <w:footnoteRef/>
      </w:r>
      <w:r w:rsidRPr="00843E32">
        <w:rPr>
          <w:color w:val="7030A0"/>
          <w:sz w:val="16"/>
          <w:szCs w:val="16"/>
        </w:rPr>
        <w:t xml:space="preserve"> Clauses 19(3), 20(6), 20(7), 20(7), 20(8), 28, 29, 30, 52, Schedule 1, NI Troubles (Legacy and Reconciliation) Bill.</w:t>
      </w:r>
    </w:p>
  </w:footnote>
  <w:footnote w:id="3">
    <w:p w14:paraId="25E3C886" w14:textId="77777777" w:rsidR="000D00D2" w:rsidRPr="00843E32" w:rsidRDefault="000D00D2" w:rsidP="00042378">
      <w:pPr>
        <w:spacing w:line="240" w:lineRule="auto"/>
        <w:rPr>
          <w:color w:val="7030A0"/>
          <w:sz w:val="16"/>
          <w:szCs w:val="16"/>
        </w:rPr>
      </w:pPr>
      <w:r w:rsidRPr="00843E32">
        <w:rPr>
          <w:rStyle w:val="FootnoteReference"/>
          <w:color w:val="7030A0"/>
          <w:sz w:val="16"/>
          <w:szCs w:val="16"/>
        </w:rPr>
        <w:footnoteRef/>
      </w:r>
      <w:r w:rsidRPr="00843E32">
        <w:rPr>
          <w:color w:val="7030A0"/>
          <w:sz w:val="16"/>
          <w:szCs w:val="16"/>
        </w:rPr>
        <w:t xml:space="preserve"> Clauses 9(3) and 10(2), NI Troubles (Legacy and Reconciliation) Bill.</w:t>
      </w:r>
    </w:p>
  </w:footnote>
  <w:footnote w:id="4">
    <w:p w14:paraId="2E90807E" w14:textId="77777777" w:rsidR="000D00D2" w:rsidRPr="00843E32" w:rsidRDefault="000D00D2" w:rsidP="00042378">
      <w:pPr>
        <w:spacing w:line="240" w:lineRule="auto"/>
        <w:rPr>
          <w:color w:val="7030A0"/>
          <w:sz w:val="16"/>
          <w:szCs w:val="16"/>
        </w:rPr>
      </w:pPr>
      <w:r w:rsidRPr="00843E32">
        <w:rPr>
          <w:rStyle w:val="FootnoteReference"/>
          <w:color w:val="7030A0"/>
          <w:sz w:val="16"/>
          <w:szCs w:val="16"/>
        </w:rPr>
        <w:footnoteRef/>
      </w:r>
      <w:r w:rsidRPr="00843E32">
        <w:rPr>
          <w:color w:val="7030A0"/>
          <w:sz w:val="16"/>
          <w:szCs w:val="16"/>
        </w:rPr>
        <w:t xml:space="preserve"> Clause 2(1), NI Troubles (Legacy and Reconciliation) Bill.</w:t>
      </w:r>
    </w:p>
  </w:footnote>
  <w:footnote w:id="5">
    <w:p w14:paraId="789E2402" w14:textId="77777777" w:rsidR="000D00D2" w:rsidRPr="00843E32" w:rsidRDefault="000D00D2" w:rsidP="00042378">
      <w:pPr>
        <w:spacing w:line="240" w:lineRule="auto"/>
        <w:rPr>
          <w:color w:val="7030A0"/>
          <w:sz w:val="16"/>
          <w:szCs w:val="16"/>
        </w:rPr>
      </w:pPr>
      <w:r w:rsidRPr="00843E32">
        <w:rPr>
          <w:rStyle w:val="FootnoteReference"/>
          <w:color w:val="7030A0"/>
          <w:sz w:val="16"/>
          <w:szCs w:val="16"/>
        </w:rPr>
        <w:footnoteRef/>
      </w:r>
      <w:r w:rsidRPr="00843E32">
        <w:rPr>
          <w:color w:val="7030A0"/>
          <w:sz w:val="16"/>
          <w:szCs w:val="16"/>
        </w:rPr>
        <w:t xml:space="preserve"> Clause 31, NI Troubles (Legacy and Reconciliation) Bill.</w:t>
      </w:r>
    </w:p>
  </w:footnote>
  <w:footnote w:id="6">
    <w:p w14:paraId="5C6F35CB" w14:textId="3F1DA2AC" w:rsidR="00412D84" w:rsidRPr="00843E32" w:rsidRDefault="00412D84">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 32(1), NI Troubles (Legacy and Reconciliation) Bill.</w:t>
      </w:r>
    </w:p>
  </w:footnote>
  <w:footnote w:id="7">
    <w:p w14:paraId="65D85071" w14:textId="77777777" w:rsidR="000D00D2" w:rsidRPr="00843E32" w:rsidRDefault="000D00D2" w:rsidP="00042378">
      <w:pPr>
        <w:spacing w:line="240" w:lineRule="auto"/>
        <w:rPr>
          <w:color w:val="7030A0"/>
          <w:sz w:val="16"/>
          <w:szCs w:val="16"/>
        </w:rPr>
      </w:pPr>
      <w:r w:rsidRPr="00843E32">
        <w:rPr>
          <w:rStyle w:val="FootnoteReference"/>
          <w:color w:val="7030A0"/>
          <w:sz w:val="16"/>
          <w:szCs w:val="16"/>
        </w:rPr>
        <w:footnoteRef/>
      </w:r>
      <w:r w:rsidRPr="00843E32">
        <w:rPr>
          <w:color w:val="7030A0"/>
          <w:sz w:val="16"/>
          <w:szCs w:val="16"/>
        </w:rPr>
        <w:t xml:space="preserve"> Clauses 9-17 and 23-24, NI Troubles (Legacy and Reconciliation) Bill.</w:t>
      </w:r>
    </w:p>
  </w:footnote>
  <w:footnote w:id="8">
    <w:p w14:paraId="615A48E3" w14:textId="7081AA62" w:rsidR="0036729C" w:rsidRPr="00843E32" w:rsidRDefault="0036729C">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007E559A" w:rsidRPr="00843E32">
        <w:rPr>
          <w:color w:val="7030A0"/>
          <w:sz w:val="16"/>
          <w:szCs w:val="16"/>
        </w:rPr>
        <w:t>Clause</w:t>
      </w:r>
      <w:r w:rsidR="005758AA" w:rsidRPr="00843E32">
        <w:rPr>
          <w:color w:val="7030A0"/>
          <w:sz w:val="16"/>
          <w:szCs w:val="16"/>
        </w:rPr>
        <w:t>s 13-16 and</w:t>
      </w:r>
      <w:r w:rsidR="007E559A" w:rsidRPr="00843E32">
        <w:rPr>
          <w:color w:val="7030A0"/>
          <w:sz w:val="16"/>
          <w:szCs w:val="16"/>
        </w:rPr>
        <w:t xml:space="preserve"> 23(1), NI Troubles (Legacy and Reconciliation) Bill.</w:t>
      </w:r>
    </w:p>
  </w:footnote>
  <w:footnote w:id="9">
    <w:p w14:paraId="7B06D206" w14:textId="5CFF29AE" w:rsidR="00AF6DBB" w:rsidRPr="00843E32" w:rsidRDefault="00AF6DBB" w:rsidP="00AF6DBB">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004A0644" w:rsidRPr="00843E32">
        <w:rPr>
          <w:color w:val="7030A0"/>
          <w:sz w:val="16"/>
          <w:szCs w:val="16"/>
        </w:rPr>
        <w:t>Clause 11(7)(b), NI Troubles (Legacy and Reconciliation) Bill.</w:t>
      </w:r>
    </w:p>
  </w:footnote>
  <w:footnote w:id="10">
    <w:p w14:paraId="6DFF9093" w14:textId="77777777" w:rsidR="002406B3" w:rsidRPr="00843E32" w:rsidRDefault="002406B3" w:rsidP="002406B3">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proofErr w:type="spellStart"/>
      <w:r w:rsidRPr="00843E32">
        <w:rPr>
          <w:i/>
          <w:iCs/>
          <w:color w:val="7030A0"/>
          <w:sz w:val="16"/>
          <w:szCs w:val="16"/>
        </w:rPr>
        <w:t>McKerr</w:t>
      </w:r>
      <w:proofErr w:type="spellEnd"/>
      <w:r w:rsidRPr="00843E32">
        <w:rPr>
          <w:i/>
          <w:iCs/>
          <w:color w:val="7030A0"/>
          <w:sz w:val="16"/>
          <w:szCs w:val="16"/>
        </w:rPr>
        <w:t xml:space="preserve"> v UK</w:t>
      </w:r>
      <w:r w:rsidRPr="00843E32">
        <w:rPr>
          <w:color w:val="7030A0"/>
          <w:sz w:val="16"/>
          <w:szCs w:val="16"/>
        </w:rPr>
        <w:t xml:space="preserve"> (2001) ECHR 329</w:t>
      </w:r>
      <w:r>
        <w:rPr>
          <w:color w:val="7030A0"/>
          <w:sz w:val="16"/>
          <w:szCs w:val="16"/>
        </w:rPr>
        <w:t xml:space="preserve">; </w:t>
      </w:r>
      <w:r w:rsidRPr="002406B3">
        <w:rPr>
          <w:i/>
          <w:iCs/>
          <w:color w:val="7030A0"/>
          <w:sz w:val="16"/>
          <w:szCs w:val="16"/>
        </w:rPr>
        <w:t>Kelly and Others v UK</w:t>
      </w:r>
      <w:r>
        <w:rPr>
          <w:color w:val="7030A0"/>
          <w:sz w:val="16"/>
          <w:szCs w:val="16"/>
        </w:rPr>
        <w:t xml:space="preserve"> (2001) ECHR 328; </w:t>
      </w:r>
      <w:proofErr w:type="spellStart"/>
      <w:r w:rsidRPr="002406B3">
        <w:rPr>
          <w:i/>
          <w:iCs/>
          <w:color w:val="7030A0"/>
          <w:sz w:val="16"/>
          <w:szCs w:val="16"/>
        </w:rPr>
        <w:t>Shanaghan</w:t>
      </w:r>
      <w:proofErr w:type="spellEnd"/>
      <w:r w:rsidRPr="002406B3">
        <w:rPr>
          <w:i/>
          <w:iCs/>
          <w:color w:val="7030A0"/>
          <w:sz w:val="16"/>
          <w:szCs w:val="16"/>
        </w:rPr>
        <w:t xml:space="preserve"> v UK</w:t>
      </w:r>
      <w:r>
        <w:rPr>
          <w:color w:val="7030A0"/>
          <w:sz w:val="16"/>
          <w:szCs w:val="16"/>
        </w:rPr>
        <w:t xml:space="preserve"> (2001) ECHR 330.</w:t>
      </w:r>
    </w:p>
  </w:footnote>
  <w:footnote w:id="11">
    <w:p w14:paraId="4CD0BFEA" w14:textId="77777777" w:rsidR="002406B3" w:rsidRPr="00843E32" w:rsidRDefault="002406B3" w:rsidP="002406B3">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CM/</w:t>
      </w:r>
      <w:proofErr w:type="spellStart"/>
      <w:proofErr w:type="gramStart"/>
      <w:r w:rsidRPr="00843E32">
        <w:rPr>
          <w:color w:val="7030A0"/>
          <w:sz w:val="16"/>
          <w:szCs w:val="16"/>
        </w:rPr>
        <w:t>ResDH</w:t>
      </w:r>
      <w:proofErr w:type="spellEnd"/>
      <w:r w:rsidRPr="00843E32">
        <w:rPr>
          <w:color w:val="7030A0"/>
          <w:sz w:val="16"/>
          <w:szCs w:val="16"/>
        </w:rPr>
        <w:t>(</w:t>
      </w:r>
      <w:proofErr w:type="gramEnd"/>
      <w:r w:rsidRPr="00843E32">
        <w:rPr>
          <w:color w:val="7030A0"/>
          <w:sz w:val="16"/>
          <w:szCs w:val="16"/>
        </w:rPr>
        <w:t>2020)367, ‘</w:t>
      </w:r>
      <w:proofErr w:type="spellStart"/>
      <w:r w:rsidRPr="00843E32">
        <w:rPr>
          <w:color w:val="7030A0"/>
          <w:sz w:val="16"/>
          <w:szCs w:val="16"/>
        </w:rPr>
        <w:t>CoE</w:t>
      </w:r>
      <w:proofErr w:type="spellEnd"/>
      <w:r w:rsidRPr="00843E32">
        <w:rPr>
          <w:color w:val="7030A0"/>
          <w:sz w:val="16"/>
          <w:szCs w:val="16"/>
        </w:rPr>
        <w:t xml:space="preserve"> Committee of Ministers Execution of the Judgments of the European Court of Human Rights: </w:t>
      </w:r>
      <w:proofErr w:type="spellStart"/>
      <w:r w:rsidRPr="00843E32">
        <w:rPr>
          <w:color w:val="7030A0"/>
          <w:sz w:val="16"/>
          <w:szCs w:val="16"/>
        </w:rPr>
        <w:t>McKerr</w:t>
      </w:r>
      <w:proofErr w:type="spellEnd"/>
      <w:r w:rsidRPr="00843E32">
        <w:rPr>
          <w:color w:val="7030A0"/>
          <w:sz w:val="16"/>
          <w:szCs w:val="16"/>
        </w:rPr>
        <w:t xml:space="preserve"> and Other Seven Cases Against the UK’, 3 December 2020.</w:t>
      </w:r>
    </w:p>
  </w:footnote>
  <w:footnote w:id="12">
    <w:p w14:paraId="266CED5A" w14:textId="56443E96" w:rsidR="00AF5CEA" w:rsidRPr="00843E32" w:rsidRDefault="00AF5CEA">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 </w:t>
      </w:r>
      <w:r w:rsidR="009E269C" w:rsidRPr="00843E32">
        <w:rPr>
          <w:color w:val="7030A0"/>
          <w:sz w:val="16"/>
          <w:szCs w:val="16"/>
        </w:rPr>
        <w:t>9, NI Troubles (Legacy and Reconciliation) Bill.</w:t>
      </w:r>
    </w:p>
  </w:footnote>
  <w:footnote w:id="13">
    <w:p w14:paraId="76E14E29" w14:textId="77777777" w:rsidR="00221C6C" w:rsidRPr="00843E32" w:rsidRDefault="00221C6C" w:rsidP="00221C6C">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Clauses 15 and 16, NI Troubles (Legacy and Reconciliation) Bill.</w:t>
      </w:r>
    </w:p>
  </w:footnote>
  <w:footnote w:id="14">
    <w:p w14:paraId="03FC8D89" w14:textId="778AE290" w:rsidR="000D00D2" w:rsidRPr="00843E32" w:rsidRDefault="000D00D2" w:rsidP="00042378">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Pr="00843E32">
        <w:rPr>
          <w:i/>
          <w:iCs/>
          <w:color w:val="7030A0"/>
          <w:sz w:val="16"/>
          <w:szCs w:val="16"/>
        </w:rPr>
        <w:t>Hugh Jordan v UK</w:t>
      </w:r>
      <w:r w:rsidRPr="00843E32">
        <w:rPr>
          <w:color w:val="7030A0"/>
          <w:sz w:val="16"/>
          <w:szCs w:val="16"/>
        </w:rPr>
        <w:t xml:space="preserve"> (2001)</w:t>
      </w:r>
      <w:r w:rsidR="007F4282" w:rsidRPr="00843E32">
        <w:rPr>
          <w:color w:val="7030A0"/>
          <w:sz w:val="16"/>
          <w:szCs w:val="16"/>
        </w:rPr>
        <w:t xml:space="preserve"> ECHR 327</w:t>
      </w:r>
      <w:r w:rsidRPr="00843E32">
        <w:rPr>
          <w:color w:val="7030A0"/>
          <w:sz w:val="16"/>
          <w:szCs w:val="16"/>
        </w:rPr>
        <w:t>, at paras 121-124.</w:t>
      </w:r>
    </w:p>
  </w:footnote>
  <w:footnote w:id="15">
    <w:p w14:paraId="318AD8AD" w14:textId="77777777" w:rsidR="00FE0807" w:rsidRPr="00843E32" w:rsidRDefault="00FE0807" w:rsidP="00FE0807">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proofErr w:type="spellStart"/>
      <w:r w:rsidRPr="00843E32">
        <w:rPr>
          <w:i/>
          <w:iCs/>
          <w:color w:val="7030A0"/>
          <w:sz w:val="16"/>
          <w:szCs w:val="16"/>
        </w:rPr>
        <w:t>McKerr</w:t>
      </w:r>
      <w:proofErr w:type="spellEnd"/>
      <w:r w:rsidRPr="00843E32">
        <w:rPr>
          <w:i/>
          <w:iCs/>
          <w:color w:val="7030A0"/>
          <w:sz w:val="16"/>
          <w:szCs w:val="16"/>
        </w:rPr>
        <w:t xml:space="preserve"> v UK</w:t>
      </w:r>
      <w:r w:rsidRPr="00843E32">
        <w:rPr>
          <w:color w:val="7030A0"/>
          <w:sz w:val="16"/>
          <w:szCs w:val="16"/>
        </w:rPr>
        <w:t xml:space="preserve"> (2001) ECHR 329, at para 114.</w:t>
      </w:r>
    </w:p>
  </w:footnote>
  <w:footnote w:id="16">
    <w:p w14:paraId="36A73B64" w14:textId="77777777" w:rsidR="00FE0807" w:rsidRPr="00843E32" w:rsidRDefault="00FE0807" w:rsidP="00FE0807">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 16(3), NI Troubles (Legacy and Reconciliation) Bill.</w:t>
      </w:r>
    </w:p>
  </w:footnote>
  <w:footnote w:id="17">
    <w:p w14:paraId="489E3D4D" w14:textId="77777777" w:rsidR="00FE0807" w:rsidRPr="00843E32" w:rsidRDefault="00FE0807" w:rsidP="00FE0807">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 24(1), NI Troubles (Legacy and Reconciliation) Bill.</w:t>
      </w:r>
    </w:p>
  </w:footnote>
  <w:footnote w:id="18">
    <w:p w14:paraId="79A281DE" w14:textId="77777777" w:rsidR="00FE0807" w:rsidRPr="00843E32" w:rsidRDefault="00FE0807" w:rsidP="00FE0807">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Clauses 4(1), 24(2), 24(3), and 25(3), NI Troubles (Legacy and Reconciliation) Bill.</w:t>
      </w:r>
    </w:p>
  </w:footnote>
  <w:footnote w:id="19">
    <w:p w14:paraId="0ACE6E08" w14:textId="77777777" w:rsidR="000D00D2" w:rsidRPr="00843E32" w:rsidRDefault="000D00D2" w:rsidP="00042378">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proofErr w:type="spellStart"/>
      <w:r w:rsidRPr="00843E32">
        <w:rPr>
          <w:i/>
          <w:iCs/>
          <w:color w:val="7030A0"/>
          <w:sz w:val="16"/>
          <w:szCs w:val="16"/>
        </w:rPr>
        <w:t>McKerr</w:t>
      </w:r>
      <w:proofErr w:type="spellEnd"/>
      <w:r w:rsidRPr="00843E32">
        <w:rPr>
          <w:i/>
          <w:iCs/>
          <w:color w:val="7030A0"/>
          <w:sz w:val="16"/>
          <w:szCs w:val="16"/>
        </w:rPr>
        <w:t xml:space="preserve"> v UK</w:t>
      </w:r>
      <w:r w:rsidRPr="00843E32">
        <w:rPr>
          <w:color w:val="7030A0"/>
          <w:sz w:val="16"/>
          <w:szCs w:val="16"/>
        </w:rPr>
        <w:t xml:space="preserve"> (2001) ECHR 329; </w:t>
      </w:r>
      <w:r w:rsidRPr="00843E32">
        <w:rPr>
          <w:i/>
          <w:iCs/>
          <w:color w:val="7030A0"/>
          <w:sz w:val="16"/>
          <w:szCs w:val="16"/>
        </w:rPr>
        <w:t>Hugh Jordan v UK</w:t>
      </w:r>
      <w:r w:rsidRPr="00843E32">
        <w:rPr>
          <w:color w:val="7030A0"/>
          <w:sz w:val="16"/>
          <w:szCs w:val="16"/>
        </w:rPr>
        <w:t xml:space="preserve"> (2001) ECHR 327; </w:t>
      </w:r>
      <w:r w:rsidRPr="00843E32">
        <w:rPr>
          <w:i/>
          <w:iCs/>
          <w:color w:val="7030A0"/>
          <w:sz w:val="16"/>
          <w:szCs w:val="16"/>
        </w:rPr>
        <w:t>Gül v Turkey</w:t>
      </w:r>
      <w:r w:rsidRPr="00843E32">
        <w:rPr>
          <w:color w:val="7030A0"/>
          <w:sz w:val="16"/>
          <w:szCs w:val="16"/>
        </w:rPr>
        <w:t xml:space="preserve">, Application No 22676/93, 14 December 2000; </w:t>
      </w:r>
      <w:proofErr w:type="spellStart"/>
      <w:r w:rsidRPr="00843E32">
        <w:rPr>
          <w:i/>
          <w:iCs/>
          <w:color w:val="7030A0"/>
          <w:sz w:val="16"/>
          <w:szCs w:val="16"/>
        </w:rPr>
        <w:t>Ogur</w:t>
      </w:r>
      <w:proofErr w:type="spellEnd"/>
      <w:r w:rsidRPr="00843E32">
        <w:rPr>
          <w:i/>
          <w:iCs/>
          <w:color w:val="7030A0"/>
          <w:sz w:val="16"/>
          <w:szCs w:val="16"/>
        </w:rPr>
        <w:t xml:space="preserve"> v Turkey</w:t>
      </w:r>
      <w:r w:rsidRPr="00843E32">
        <w:rPr>
          <w:color w:val="7030A0"/>
          <w:sz w:val="16"/>
          <w:szCs w:val="16"/>
        </w:rPr>
        <w:t xml:space="preserve"> (1999) ECHR 30;</w:t>
      </w:r>
      <w:r w:rsidRPr="00843E32">
        <w:rPr>
          <w:i/>
          <w:iCs/>
          <w:color w:val="7030A0"/>
          <w:sz w:val="16"/>
          <w:szCs w:val="16"/>
        </w:rPr>
        <w:t xml:space="preserve"> </w:t>
      </w:r>
      <w:proofErr w:type="spellStart"/>
      <w:r w:rsidRPr="00843E32">
        <w:rPr>
          <w:i/>
          <w:iCs/>
          <w:color w:val="7030A0"/>
          <w:sz w:val="16"/>
          <w:szCs w:val="16"/>
        </w:rPr>
        <w:t>Gülec</w:t>
      </w:r>
      <w:proofErr w:type="spellEnd"/>
      <w:r w:rsidRPr="00843E32">
        <w:rPr>
          <w:i/>
          <w:iCs/>
          <w:color w:val="7030A0"/>
          <w:sz w:val="16"/>
          <w:szCs w:val="16"/>
        </w:rPr>
        <w:t xml:space="preserve"> v Turkey</w:t>
      </w:r>
      <w:r w:rsidRPr="00843E32">
        <w:rPr>
          <w:color w:val="7030A0"/>
          <w:sz w:val="16"/>
          <w:szCs w:val="16"/>
        </w:rPr>
        <w:t>, Application No 21593/93, 27 July 1998;</w:t>
      </w:r>
      <w:r w:rsidRPr="00843E32">
        <w:rPr>
          <w:i/>
          <w:iCs/>
          <w:color w:val="7030A0"/>
          <w:sz w:val="16"/>
          <w:szCs w:val="16"/>
        </w:rPr>
        <w:t xml:space="preserve"> McCann v UK</w:t>
      </w:r>
      <w:r w:rsidRPr="00843E32">
        <w:rPr>
          <w:color w:val="7030A0"/>
          <w:sz w:val="16"/>
          <w:szCs w:val="16"/>
        </w:rPr>
        <w:t xml:space="preserve"> (1995) 21 EHRR 97.</w:t>
      </w:r>
    </w:p>
  </w:footnote>
  <w:footnote w:id="20">
    <w:p w14:paraId="7EE6C0FD" w14:textId="3473039A" w:rsidR="00C000C3" w:rsidRPr="00843E32" w:rsidRDefault="00C000C3">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 1(6), NI Troubles (Legacy and Reconciliation) Bill.</w:t>
      </w:r>
    </w:p>
  </w:footnote>
  <w:footnote w:id="21">
    <w:p w14:paraId="2B486233" w14:textId="05695A1C" w:rsidR="00AE158C" w:rsidRPr="00843E32" w:rsidRDefault="00AE158C" w:rsidP="00AE158C">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00533703" w:rsidRPr="00843E32">
        <w:rPr>
          <w:color w:val="7030A0"/>
          <w:sz w:val="16"/>
          <w:szCs w:val="16"/>
        </w:rPr>
        <w:t>Article 15(2), ECHR.</w:t>
      </w:r>
    </w:p>
  </w:footnote>
  <w:footnote w:id="22">
    <w:p w14:paraId="4FC4F0A4" w14:textId="059CBBF4" w:rsidR="002C0AC9" w:rsidRPr="00843E32" w:rsidRDefault="002C0AC9" w:rsidP="002C0AC9">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proofErr w:type="spellStart"/>
      <w:r w:rsidR="002434A4" w:rsidRPr="00843E32">
        <w:rPr>
          <w:i/>
          <w:iCs/>
          <w:color w:val="7030A0"/>
          <w:sz w:val="16"/>
          <w:szCs w:val="16"/>
        </w:rPr>
        <w:t>Murs</w:t>
      </w:r>
      <w:r w:rsidR="004437F3" w:rsidRPr="00843E32">
        <w:rPr>
          <w:i/>
          <w:iCs/>
          <w:color w:val="7030A0"/>
          <w:sz w:val="16"/>
          <w:szCs w:val="16"/>
        </w:rPr>
        <w:t>ic</w:t>
      </w:r>
      <w:proofErr w:type="spellEnd"/>
      <w:r w:rsidR="004437F3" w:rsidRPr="00843E32">
        <w:rPr>
          <w:i/>
          <w:iCs/>
          <w:color w:val="7030A0"/>
          <w:sz w:val="16"/>
          <w:szCs w:val="16"/>
        </w:rPr>
        <w:t xml:space="preserve"> v Croatia</w:t>
      </w:r>
      <w:r w:rsidR="004437F3" w:rsidRPr="00843E32">
        <w:rPr>
          <w:color w:val="7030A0"/>
          <w:sz w:val="16"/>
          <w:szCs w:val="16"/>
        </w:rPr>
        <w:t xml:space="preserve"> (2016)</w:t>
      </w:r>
      <w:r w:rsidR="00FD75B3" w:rsidRPr="00843E32">
        <w:rPr>
          <w:color w:val="7030A0"/>
          <w:sz w:val="16"/>
          <w:szCs w:val="16"/>
        </w:rPr>
        <w:t xml:space="preserve"> ECHR 927,</w:t>
      </w:r>
      <w:r w:rsidR="004437F3" w:rsidRPr="00843E32">
        <w:rPr>
          <w:color w:val="7030A0"/>
          <w:sz w:val="16"/>
          <w:szCs w:val="16"/>
        </w:rPr>
        <w:t xml:space="preserve"> at para 97.</w:t>
      </w:r>
    </w:p>
  </w:footnote>
  <w:footnote w:id="23">
    <w:p w14:paraId="5A5D5923" w14:textId="34C0F015" w:rsidR="00EF5107" w:rsidRPr="00843E32" w:rsidRDefault="00EF5107">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007B014D" w:rsidRPr="00843E32">
        <w:rPr>
          <w:color w:val="7030A0"/>
          <w:sz w:val="16"/>
          <w:szCs w:val="16"/>
        </w:rPr>
        <w:t>Clause</w:t>
      </w:r>
      <w:r w:rsidR="002C3225" w:rsidRPr="00843E32">
        <w:rPr>
          <w:color w:val="7030A0"/>
          <w:sz w:val="16"/>
          <w:szCs w:val="16"/>
        </w:rPr>
        <w:t>s</w:t>
      </w:r>
      <w:r w:rsidR="007B014D" w:rsidRPr="00843E32">
        <w:rPr>
          <w:color w:val="7030A0"/>
          <w:sz w:val="16"/>
          <w:szCs w:val="16"/>
        </w:rPr>
        <w:t xml:space="preserve"> 36</w:t>
      </w:r>
      <w:r w:rsidR="002C3225" w:rsidRPr="00843E32">
        <w:rPr>
          <w:color w:val="7030A0"/>
          <w:sz w:val="16"/>
          <w:szCs w:val="16"/>
        </w:rPr>
        <w:t xml:space="preserve"> and 38-40, NI Troubles (Legacy and Reconciliation) Bill.</w:t>
      </w:r>
    </w:p>
  </w:footnote>
  <w:footnote w:id="24">
    <w:p w14:paraId="63BA43AF" w14:textId="5CC42A88" w:rsidR="0009493B" w:rsidRPr="00843E32" w:rsidRDefault="0009493B">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00217917" w:rsidRPr="00843E32">
        <w:rPr>
          <w:color w:val="7030A0"/>
          <w:sz w:val="16"/>
          <w:szCs w:val="16"/>
        </w:rPr>
        <w:t>CEDAW/C/GC/35, ‘UN CEDAW Committee General Comment No 35: Gender Based Violence Against Women Updating General Comment No 19’, 14 July 2017, at para</w:t>
      </w:r>
      <w:r w:rsidR="00192DFD" w:rsidRPr="00843E32">
        <w:rPr>
          <w:color w:val="7030A0"/>
          <w:sz w:val="16"/>
          <w:szCs w:val="16"/>
        </w:rPr>
        <w:t xml:space="preserve"> 30.</w:t>
      </w:r>
    </w:p>
  </w:footnote>
  <w:footnote w:id="25">
    <w:p w14:paraId="08ADFD34" w14:textId="4E981EC6" w:rsidR="0009493B" w:rsidRPr="00843E32" w:rsidRDefault="0009493B">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0011108C">
        <w:rPr>
          <w:color w:val="7030A0"/>
          <w:sz w:val="16"/>
          <w:szCs w:val="16"/>
        </w:rPr>
        <w:t>Ibid</w:t>
      </w:r>
      <w:r w:rsidR="00B61DB9" w:rsidRPr="00843E32">
        <w:rPr>
          <w:color w:val="7030A0"/>
          <w:sz w:val="16"/>
          <w:szCs w:val="16"/>
        </w:rPr>
        <w:t>, at para</w:t>
      </w:r>
      <w:r w:rsidR="00217917" w:rsidRPr="00843E32">
        <w:rPr>
          <w:color w:val="7030A0"/>
          <w:sz w:val="16"/>
          <w:szCs w:val="16"/>
        </w:rPr>
        <w:t xml:space="preserve"> 31.</w:t>
      </w:r>
    </w:p>
  </w:footnote>
  <w:footnote w:id="26">
    <w:p w14:paraId="05AF087D" w14:textId="77777777" w:rsidR="00AE158C" w:rsidRPr="00843E32" w:rsidRDefault="00AE158C" w:rsidP="00AE158C">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David McKittrick et al, ‘Lost Lives: The Stories of the Men, Women and Children Who Died as a Result of the NI Troubles’ (Mainstream Publishing, 2007), at 23.</w:t>
      </w:r>
    </w:p>
  </w:footnote>
  <w:footnote w:id="27">
    <w:p w14:paraId="26E55E02" w14:textId="77777777" w:rsidR="00AE158C" w:rsidRPr="00843E32" w:rsidRDefault="00AE158C" w:rsidP="00AE158C">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 1(7), NI Troubles (Legacy and Reconciliation) Bill.</w:t>
      </w:r>
    </w:p>
  </w:footnote>
  <w:footnote w:id="28">
    <w:p w14:paraId="53C2B7E9" w14:textId="77777777" w:rsidR="008923B0" w:rsidRPr="00843E32" w:rsidRDefault="008923B0" w:rsidP="008923B0">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Article 1, ECHR.</w:t>
      </w:r>
    </w:p>
  </w:footnote>
  <w:footnote w:id="29">
    <w:p w14:paraId="37831616" w14:textId="77777777" w:rsidR="00842E11" w:rsidRPr="00843E32" w:rsidRDefault="00842E11" w:rsidP="00842E11">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 30, NI Troubles (Legacy and Reconciliation) Bill.</w:t>
      </w:r>
    </w:p>
  </w:footnote>
  <w:footnote w:id="30">
    <w:p w14:paraId="3AF314D9" w14:textId="77777777" w:rsidR="00842E11" w:rsidRPr="00843E32" w:rsidRDefault="00842E11" w:rsidP="00842E11">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proofErr w:type="spellStart"/>
      <w:r w:rsidRPr="00843E32">
        <w:rPr>
          <w:i/>
          <w:iCs/>
          <w:color w:val="7030A0"/>
          <w:sz w:val="16"/>
          <w:szCs w:val="16"/>
        </w:rPr>
        <w:t>Gaughran</w:t>
      </w:r>
      <w:proofErr w:type="spellEnd"/>
      <w:r w:rsidRPr="00843E32">
        <w:rPr>
          <w:i/>
          <w:iCs/>
          <w:color w:val="7030A0"/>
          <w:sz w:val="16"/>
          <w:szCs w:val="16"/>
        </w:rPr>
        <w:t xml:space="preserve"> v UK</w:t>
      </w:r>
      <w:r w:rsidRPr="00843E32">
        <w:rPr>
          <w:color w:val="7030A0"/>
          <w:sz w:val="16"/>
          <w:szCs w:val="16"/>
        </w:rPr>
        <w:t xml:space="preserve"> (2020) ECHR 144.</w:t>
      </w:r>
    </w:p>
  </w:footnote>
  <w:footnote w:id="31">
    <w:p w14:paraId="1A738DEB" w14:textId="77777777" w:rsidR="00842E11" w:rsidRPr="00843E32" w:rsidRDefault="00842E11" w:rsidP="00842E11">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 30(1)(d), NI Troubles (Legacy and Reconciliation) Bill.</w:t>
      </w:r>
    </w:p>
  </w:footnote>
  <w:footnote w:id="32">
    <w:p w14:paraId="5E1835FA" w14:textId="77777777" w:rsidR="00842E11" w:rsidRPr="00843E32" w:rsidRDefault="00842E11" w:rsidP="00842E11">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proofErr w:type="spellStart"/>
      <w:r w:rsidRPr="00843E32">
        <w:rPr>
          <w:i/>
          <w:iCs/>
          <w:color w:val="7030A0"/>
          <w:sz w:val="16"/>
          <w:szCs w:val="16"/>
        </w:rPr>
        <w:t>Mozer</w:t>
      </w:r>
      <w:proofErr w:type="spellEnd"/>
      <w:r w:rsidRPr="00843E32">
        <w:rPr>
          <w:i/>
          <w:iCs/>
          <w:color w:val="7030A0"/>
          <w:sz w:val="16"/>
          <w:szCs w:val="16"/>
        </w:rPr>
        <w:t xml:space="preserve"> v Republic of Moldova and Russia</w:t>
      </w:r>
      <w:r w:rsidRPr="00843E32">
        <w:rPr>
          <w:color w:val="7030A0"/>
          <w:sz w:val="16"/>
          <w:szCs w:val="16"/>
        </w:rPr>
        <w:t xml:space="preserve"> (2016) ECHR 213, at para 194.</w:t>
      </w:r>
    </w:p>
  </w:footnote>
  <w:footnote w:id="33">
    <w:p w14:paraId="44D74EA8" w14:textId="3AAE6F1C" w:rsidR="0005312E" w:rsidRPr="00843E32" w:rsidRDefault="0005312E" w:rsidP="0005312E">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proofErr w:type="spellStart"/>
      <w:r w:rsidRPr="00843E32">
        <w:rPr>
          <w:i/>
          <w:iCs/>
          <w:color w:val="7030A0"/>
          <w:sz w:val="16"/>
          <w:szCs w:val="16"/>
        </w:rPr>
        <w:t>Margus</w:t>
      </w:r>
      <w:proofErr w:type="spellEnd"/>
      <w:r w:rsidRPr="00843E32">
        <w:rPr>
          <w:i/>
          <w:iCs/>
          <w:color w:val="7030A0"/>
          <w:sz w:val="16"/>
          <w:szCs w:val="16"/>
        </w:rPr>
        <w:t xml:space="preserve"> v Croatia</w:t>
      </w:r>
      <w:r w:rsidRPr="00843E32">
        <w:rPr>
          <w:color w:val="7030A0"/>
          <w:sz w:val="16"/>
          <w:szCs w:val="16"/>
        </w:rPr>
        <w:t xml:space="preserve"> (2014)</w:t>
      </w:r>
      <w:r w:rsidR="0044337E" w:rsidRPr="00843E32">
        <w:rPr>
          <w:color w:val="7030A0"/>
          <w:sz w:val="16"/>
          <w:szCs w:val="16"/>
        </w:rPr>
        <w:t xml:space="preserve"> ECHR 523</w:t>
      </w:r>
      <w:r w:rsidRPr="00843E32">
        <w:rPr>
          <w:color w:val="7030A0"/>
          <w:sz w:val="16"/>
          <w:szCs w:val="16"/>
        </w:rPr>
        <w:t xml:space="preserve">, at para 126; </w:t>
      </w:r>
      <w:proofErr w:type="spellStart"/>
      <w:r w:rsidRPr="00843E32">
        <w:rPr>
          <w:i/>
          <w:iCs/>
          <w:color w:val="7030A0"/>
          <w:sz w:val="16"/>
          <w:szCs w:val="16"/>
        </w:rPr>
        <w:t>Abdülsamet</w:t>
      </w:r>
      <w:proofErr w:type="spellEnd"/>
      <w:r w:rsidRPr="00843E32">
        <w:rPr>
          <w:i/>
          <w:iCs/>
          <w:color w:val="7030A0"/>
          <w:sz w:val="16"/>
          <w:szCs w:val="16"/>
        </w:rPr>
        <w:t xml:space="preserve"> </w:t>
      </w:r>
      <w:proofErr w:type="spellStart"/>
      <w:r w:rsidRPr="00843E32">
        <w:rPr>
          <w:i/>
          <w:iCs/>
          <w:color w:val="7030A0"/>
          <w:sz w:val="16"/>
          <w:szCs w:val="16"/>
        </w:rPr>
        <w:t>Yamana</w:t>
      </w:r>
      <w:proofErr w:type="spellEnd"/>
      <w:r w:rsidRPr="00843E32">
        <w:rPr>
          <w:i/>
          <w:iCs/>
          <w:color w:val="7030A0"/>
          <w:sz w:val="16"/>
          <w:szCs w:val="16"/>
        </w:rPr>
        <w:t xml:space="preserve"> v Turkey</w:t>
      </w:r>
      <w:r w:rsidRPr="00843E32">
        <w:rPr>
          <w:color w:val="7030A0"/>
          <w:sz w:val="16"/>
          <w:szCs w:val="16"/>
        </w:rPr>
        <w:t xml:space="preserve"> (2004)</w:t>
      </w:r>
      <w:r w:rsidR="00244D26" w:rsidRPr="00843E32">
        <w:rPr>
          <w:color w:val="7030A0"/>
          <w:sz w:val="16"/>
          <w:szCs w:val="16"/>
        </w:rPr>
        <w:t xml:space="preserve"> ECHR 572</w:t>
      </w:r>
      <w:r w:rsidRPr="00843E32">
        <w:rPr>
          <w:color w:val="7030A0"/>
          <w:sz w:val="16"/>
          <w:szCs w:val="16"/>
        </w:rPr>
        <w:t xml:space="preserve">, at para 55; </w:t>
      </w:r>
      <w:r w:rsidRPr="00843E32">
        <w:rPr>
          <w:i/>
          <w:iCs/>
          <w:color w:val="7030A0"/>
          <w:sz w:val="16"/>
          <w:szCs w:val="16"/>
        </w:rPr>
        <w:t xml:space="preserve">Ali and </w:t>
      </w:r>
      <w:proofErr w:type="spellStart"/>
      <w:r w:rsidRPr="00843E32">
        <w:rPr>
          <w:i/>
          <w:iCs/>
          <w:color w:val="7030A0"/>
          <w:sz w:val="16"/>
          <w:szCs w:val="16"/>
        </w:rPr>
        <w:t>Ayse</w:t>
      </w:r>
      <w:proofErr w:type="spellEnd"/>
      <w:r w:rsidRPr="00843E32">
        <w:rPr>
          <w:i/>
          <w:iCs/>
          <w:color w:val="7030A0"/>
          <w:sz w:val="16"/>
          <w:szCs w:val="16"/>
        </w:rPr>
        <w:t xml:space="preserve"> Duran v Turkey</w:t>
      </w:r>
      <w:r w:rsidRPr="00843E32">
        <w:rPr>
          <w:color w:val="7030A0"/>
          <w:sz w:val="16"/>
          <w:szCs w:val="16"/>
        </w:rPr>
        <w:t xml:space="preserve"> (2008)</w:t>
      </w:r>
      <w:r w:rsidR="00244D26" w:rsidRPr="00843E32">
        <w:rPr>
          <w:color w:val="7030A0"/>
          <w:sz w:val="16"/>
          <w:szCs w:val="16"/>
        </w:rPr>
        <w:t xml:space="preserve"> ECHR 289</w:t>
      </w:r>
      <w:r w:rsidRPr="00843E32">
        <w:rPr>
          <w:color w:val="7030A0"/>
          <w:sz w:val="16"/>
          <w:szCs w:val="16"/>
        </w:rPr>
        <w:t xml:space="preserve">, at para 69; </w:t>
      </w:r>
      <w:proofErr w:type="spellStart"/>
      <w:r w:rsidRPr="00843E32">
        <w:rPr>
          <w:i/>
          <w:iCs/>
          <w:color w:val="7030A0"/>
          <w:sz w:val="16"/>
          <w:szCs w:val="16"/>
        </w:rPr>
        <w:t>Okkali</w:t>
      </w:r>
      <w:proofErr w:type="spellEnd"/>
      <w:r w:rsidRPr="00843E32">
        <w:rPr>
          <w:i/>
          <w:iCs/>
          <w:color w:val="7030A0"/>
          <w:sz w:val="16"/>
          <w:szCs w:val="16"/>
        </w:rPr>
        <w:t xml:space="preserve"> v Turkey</w:t>
      </w:r>
      <w:r w:rsidRPr="00843E32">
        <w:rPr>
          <w:color w:val="7030A0"/>
          <w:sz w:val="16"/>
          <w:szCs w:val="16"/>
        </w:rPr>
        <w:t>,</w:t>
      </w:r>
      <w:r w:rsidR="00C2217A" w:rsidRPr="00843E32">
        <w:rPr>
          <w:color w:val="7030A0"/>
          <w:sz w:val="16"/>
          <w:szCs w:val="16"/>
        </w:rPr>
        <w:t xml:space="preserve"> Application No </w:t>
      </w:r>
      <w:r w:rsidR="008E1FF1" w:rsidRPr="00843E32">
        <w:rPr>
          <w:color w:val="7030A0"/>
          <w:sz w:val="16"/>
          <w:szCs w:val="16"/>
        </w:rPr>
        <w:t>52067/99, Judgment of 17 October 2006,</w:t>
      </w:r>
      <w:r w:rsidRPr="00843E32">
        <w:rPr>
          <w:color w:val="7030A0"/>
          <w:sz w:val="16"/>
          <w:szCs w:val="16"/>
        </w:rPr>
        <w:t xml:space="preserve"> at para 76; </w:t>
      </w:r>
      <w:proofErr w:type="spellStart"/>
      <w:r w:rsidRPr="00843E32">
        <w:rPr>
          <w:i/>
          <w:iCs/>
          <w:color w:val="7030A0"/>
          <w:sz w:val="16"/>
          <w:szCs w:val="16"/>
        </w:rPr>
        <w:t>Yesil</w:t>
      </w:r>
      <w:proofErr w:type="spellEnd"/>
      <w:r w:rsidRPr="00843E32">
        <w:rPr>
          <w:i/>
          <w:iCs/>
          <w:color w:val="7030A0"/>
          <w:sz w:val="16"/>
          <w:szCs w:val="16"/>
        </w:rPr>
        <w:t xml:space="preserve"> and </w:t>
      </w:r>
      <w:proofErr w:type="spellStart"/>
      <w:r w:rsidRPr="00843E32">
        <w:rPr>
          <w:i/>
          <w:iCs/>
          <w:color w:val="7030A0"/>
          <w:sz w:val="16"/>
          <w:szCs w:val="16"/>
        </w:rPr>
        <w:t>Sevim</w:t>
      </w:r>
      <w:proofErr w:type="spellEnd"/>
      <w:r w:rsidRPr="00843E32">
        <w:rPr>
          <w:i/>
          <w:iCs/>
          <w:color w:val="7030A0"/>
          <w:sz w:val="16"/>
          <w:szCs w:val="16"/>
        </w:rPr>
        <w:t xml:space="preserve"> v Turkey</w:t>
      </w:r>
      <w:r w:rsidRPr="00843E32">
        <w:rPr>
          <w:color w:val="7030A0"/>
          <w:sz w:val="16"/>
          <w:szCs w:val="16"/>
        </w:rPr>
        <w:t>,</w:t>
      </w:r>
      <w:r w:rsidR="008E1FF1" w:rsidRPr="00843E32">
        <w:rPr>
          <w:color w:val="7030A0"/>
          <w:sz w:val="16"/>
          <w:szCs w:val="16"/>
        </w:rPr>
        <w:t xml:space="preserve"> Application No </w:t>
      </w:r>
      <w:r w:rsidR="0036205B" w:rsidRPr="00843E32">
        <w:rPr>
          <w:color w:val="7030A0"/>
          <w:sz w:val="16"/>
          <w:szCs w:val="16"/>
        </w:rPr>
        <w:t>34738/04, Judgment of 5 June 2007,</w:t>
      </w:r>
      <w:r w:rsidRPr="00843E32">
        <w:rPr>
          <w:color w:val="7030A0"/>
          <w:sz w:val="16"/>
          <w:szCs w:val="16"/>
        </w:rPr>
        <w:t xml:space="preserve"> at para 38.</w:t>
      </w:r>
    </w:p>
  </w:footnote>
  <w:footnote w:id="34">
    <w:p w14:paraId="130AC5D1" w14:textId="0C0F6A8A" w:rsidR="00726B48" w:rsidRPr="00843E32" w:rsidRDefault="00726B48">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000021B3" w:rsidRPr="000021B3">
        <w:rPr>
          <w:color w:val="7030A0"/>
          <w:sz w:val="16"/>
          <w:szCs w:val="16"/>
        </w:rPr>
        <w:t>Ibid</w:t>
      </w:r>
      <w:r w:rsidR="008172D1" w:rsidRPr="00843E32">
        <w:rPr>
          <w:color w:val="7030A0"/>
          <w:sz w:val="16"/>
          <w:szCs w:val="16"/>
        </w:rPr>
        <w:t>.</w:t>
      </w:r>
    </w:p>
  </w:footnote>
  <w:footnote w:id="35">
    <w:p w14:paraId="12F1662A" w14:textId="263928F6" w:rsidR="0005312E" w:rsidRPr="00843E32" w:rsidRDefault="0005312E" w:rsidP="0005312E">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proofErr w:type="spellStart"/>
      <w:r w:rsidRPr="00843E32">
        <w:rPr>
          <w:i/>
          <w:iCs/>
          <w:color w:val="7030A0"/>
          <w:sz w:val="16"/>
          <w:szCs w:val="16"/>
        </w:rPr>
        <w:t>Duarjdin</w:t>
      </w:r>
      <w:proofErr w:type="spellEnd"/>
      <w:r w:rsidRPr="00843E32">
        <w:rPr>
          <w:i/>
          <w:iCs/>
          <w:color w:val="7030A0"/>
          <w:sz w:val="16"/>
          <w:szCs w:val="16"/>
        </w:rPr>
        <w:t xml:space="preserve"> v France</w:t>
      </w:r>
      <w:r w:rsidR="00130EDE" w:rsidRPr="00843E32">
        <w:rPr>
          <w:color w:val="7030A0"/>
          <w:sz w:val="16"/>
          <w:szCs w:val="16"/>
        </w:rPr>
        <w:t>, Application No 16734/90, Judgment of 2 September 1991</w:t>
      </w:r>
      <w:r w:rsidRPr="00843E32">
        <w:rPr>
          <w:color w:val="7030A0"/>
          <w:sz w:val="16"/>
          <w:szCs w:val="16"/>
        </w:rPr>
        <w:t xml:space="preserve">; </w:t>
      </w:r>
      <w:proofErr w:type="spellStart"/>
      <w:r w:rsidRPr="00843E32">
        <w:rPr>
          <w:i/>
          <w:iCs/>
          <w:color w:val="7030A0"/>
          <w:sz w:val="16"/>
          <w:szCs w:val="16"/>
        </w:rPr>
        <w:t>Tarbuk</w:t>
      </w:r>
      <w:proofErr w:type="spellEnd"/>
      <w:r w:rsidRPr="00843E32">
        <w:rPr>
          <w:i/>
          <w:iCs/>
          <w:color w:val="7030A0"/>
          <w:sz w:val="16"/>
          <w:szCs w:val="16"/>
        </w:rPr>
        <w:t xml:space="preserve"> v Croatia</w:t>
      </w:r>
      <w:r w:rsidRPr="00843E32">
        <w:rPr>
          <w:color w:val="7030A0"/>
          <w:sz w:val="16"/>
          <w:szCs w:val="16"/>
        </w:rPr>
        <w:t xml:space="preserve"> (2012)</w:t>
      </w:r>
      <w:r w:rsidR="00C850BA" w:rsidRPr="00843E32">
        <w:rPr>
          <w:color w:val="7030A0"/>
          <w:sz w:val="16"/>
          <w:szCs w:val="16"/>
        </w:rPr>
        <w:t xml:space="preserve"> ECHR 2049</w:t>
      </w:r>
      <w:r w:rsidRPr="00843E32">
        <w:rPr>
          <w:color w:val="7030A0"/>
          <w:sz w:val="16"/>
          <w:szCs w:val="16"/>
        </w:rPr>
        <w:t>, at para 50.</w:t>
      </w:r>
    </w:p>
  </w:footnote>
  <w:footnote w:id="36">
    <w:p w14:paraId="51E918A5" w14:textId="5AE7A57E" w:rsidR="0005312E" w:rsidRPr="00843E32" w:rsidRDefault="0005312E" w:rsidP="0005312E">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proofErr w:type="spellStart"/>
      <w:r w:rsidRPr="00843E32">
        <w:rPr>
          <w:i/>
          <w:iCs/>
          <w:color w:val="7030A0"/>
          <w:sz w:val="16"/>
          <w:szCs w:val="16"/>
        </w:rPr>
        <w:t>Ould</w:t>
      </w:r>
      <w:proofErr w:type="spellEnd"/>
      <w:r w:rsidRPr="00843E32">
        <w:rPr>
          <w:i/>
          <w:iCs/>
          <w:color w:val="7030A0"/>
          <w:sz w:val="16"/>
          <w:szCs w:val="16"/>
        </w:rPr>
        <w:t xml:space="preserve"> Dah v France</w:t>
      </w:r>
      <w:r w:rsidRPr="00843E32">
        <w:rPr>
          <w:color w:val="7030A0"/>
          <w:sz w:val="16"/>
          <w:szCs w:val="16"/>
        </w:rPr>
        <w:t xml:space="preserve"> (2009)</w:t>
      </w:r>
      <w:r w:rsidR="00C850BA" w:rsidRPr="00843E32">
        <w:rPr>
          <w:color w:val="7030A0"/>
          <w:sz w:val="16"/>
          <w:szCs w:val="16"/>
        </w:rPr>
        <w:t xml:space="preserve"> ECHR 532</w:t>
      </w:r>
      <w:r w:rsidRPr="00843E32">
        <w:rPr>
          <w:color w:val="7030A0"/>
          <w:sz w:val="16"/>
          <w:szCs w:val="16"/>
        </w:rPr>
        <w:t xml:space="preserve">; </w:t>
      </w:r>
      <w:r w:rsidRPr="00843E32">
        <w:rPr>
          <w:i/>
          <w:iCs/>
          <w:color w:val="7030A0"/>
          <w:sz w:val="16"/>
          <w:szCs w:val="16"/>
        </w:rPr>
        <w:t>Association 21 December 1989 and Others v Romania</w:t>
      </w:r>
      <w:r w:rsidRPr="00843E32">
        <w:rPr>
          <w:color w:val="7030A0"/>
          <w:sz w:val="16"/>
          <w:szCs w:val="16"/>
        </w:rPr>
        <w:t xml:space="preserve"> (2012)</w:t>
      </w:r>
      <w:r w:rsidR="00AA6CC9" w:rsidRPr="00843E32">
        <w:rPr>
          <w:color w:val="7030A0"/>
          <w:sz w:val="16"/>
          <w:szCs w:val="16"/>
        </w:rPr>
        <w:t xml:space="preserve">, Application Nos 33810/07 and 18817/08, Judgment of </w:t>
      </w:r>
      <w:r w:rsidR="00C0550B" w:rsidRPr="00843E32">
        <w:rPr>
          <w:color w:val="7030A0"/>
          <w:sz w:val="16"/>
          <w:szCs w:val="16"/>
        </w:rPr>
        <w:t>24 May 2011.</w:t>
      </w:r>
    </w:p>
  </w:footnote>
  <w:footnote w:id="37">
    <w:p w14:paraId="2373A99E" w14:textId="1DFC598D" w:rsidR="00FE49AC" w:rsidRPr="00843E32" w:rsidRDefault="00FE49AC">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00666A42" w:rsidRPr="00843E32">
        <w:rPr>
          <w:color w:val="7030A0"/>
          <w:sz w:val="16"/>
          <w:szCs w:val="16"/>
        </w:rPr>
        <w:t>Victims’ Payments Regulations 2020.</w:t>
      </w:r>
    </w:p>
  </w:footnote>
  <w:footnote w:id="38">
    <w:p w14:paraId="76636567" w14:textId="77777777" w:rsidR="0005312E" w:rsidRPr="00843E32" w:rsidRDefault="0005312E" w:rsidP="0005312E">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Clause 19(1), NI Troubles (Legacy and Reconciliation) Bill.</w:t>
      </w:r>
    </w:p>
  </w:footnote>
  <w:footnote w:id="39">
    <w:p w14:paraId="5E361D19" w14:textId="77777777" w:rsidR="0005312E" w:rsidRPr="00843E32" w:rsidRDefault="0005312E" w:rsidP="0005312E">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CM/</w:t>
      </w:r>
      <w:proofErr w:type="spellStart"/>
      <w:proofErr w:type="gramStart"/>
      <w:r w:rsidRPr="00843E32">
        <w:rPr>
          <w:color w:val="7030A0"/>
          <w:sz w:val="16"/>
          <w:szCs w:val="16"/>
        </w:rPr>
        <w:t>ResDH</w:t>
      </w:r>
      <w:proofErr w:type="spellEnd"/>
      <w:r w:rsidRPr="00843E32">
        <w:rPr>
          <w:color w:val="7030A0"/>
          <w:sz w:val="16"/>
          <w:szCs w:val="16"/>
        </w:rPr>
        <w:t>(</w:t>
      </w:r>
      <w:proofErr w:type="gramEnd"/>
      <w:r w:rsidRPr="00843E32">
        <w:rPr>
          <w:color w:val="7030A0"/>
          <w:sz w:val="16"/>
          <w:szCs w:val="16"/>
        </w:rPr>
        <w:t>2020)367, ‘</w:t>
      </w:r>
      <w:proofErr w:type="spellStart"/>
      <w:r w:rsidRPr="00843E32">
        <w:rPr>
          <w:color w:val="7030A0"/>
          <w:sz w:val="16"/>
          <w:szCs w:val="16"/>
        </w:rPr>
        <w:t>CoE</w:t>
      </w:r>
      <w:proofErr w:type="spellEnd"/>
      <w:r w:rsidRPr="00843E32">
        <w:rPr>
          <w:color w:val="7030A0"/>
          <w:sz w:val="16"/>
          <w:szCs w:val="16"/>
        </w:rPr>
        <w:t xml:space="preserve"> Committee of Ministers Execution of the Judgments of the European Court of Human Rights: </w:t>
      </w:r>
      <w:proofErr w:type="spellStart"/>
      <w:r w:rsidRPr="00843E32">
        <w:rPr>
          <w:color w:val="7030A0"/>
          <w:sz w:val="16"/>
          <w:szCs w:val="16"/>
        </w:rPr>
        <w:t>McKerr</w:t>
      </w:r>
      <w:proofErr w:type="spellEnd"/>
      <w:r w:rsidRPr="00843E32">
        <w:rPr>
          <w:color w:val="7030A0"/>
          <w:sz w:val="16"/>
          <w:szCs w:val="16"/>
        </w:rPr>
        <w:t xml:space="preserve"> and Other Seven Cases Against the UK’, 3 December 2020.</w:t>
      </w:r>
    </w:p>
  </w:footnote>
  <w:footnote w:id="40">
    <w:p w14:paraId="68F70565" w14:textId="32E4046F" w:rsidR="00267C0B" w:rsidRPr="00843E32" w:rsidRDefault="00267C0B" w:rsidP="00267C0B">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00D82045" w:rsidRPr="00843E32">
        <w:rPr>
          <w:i/>
          <w:iCs/>
          <w:color w:val="7030A0"/>
          <w:sz w:val="16"/>
          <w:szCs w:val="16"/>
        </w:rPr>
        <w:t>Isa</w:t>
      </w:r>
      <w:r w:rsidR="001E1057" w:rsidRPr="00843E32">
        <w:rPr>
          <w:i/>
          <w:iCs/>
          <w:color w:val="7030A0"/>
          <w:sz w:val="16"/>
          <w:szCs w:val="16"/>
        </w:rPr>
        <w:t>yeva v Russia</w:t>
      </w:r>
      <w:r w:rsidR="001E1057" w:rsidRPr="00843E32">
        <w:rPr>
          <w:color w:val="7030A0"/>
          <w:sz w:val="16"/>
          <w:szCs w:val="16"/>
        </w:rPr>
        <w:t xml:space="preserve"> (2005) ECHR 12</w:t>
      </w:r>
      <w:r w:rsidR="00A362F4" w:rsidRPr="00843E32">
        <w:rPr>
          <w:color w:val="7030A0"/>
          <w:sz w:val="16"/>
          <w:szCs w:val="16"/>
        </w:rPr>
        <w:t>8</w:t>
      </w:r>
      <w:r w:rsidR="001E1057" w:rsidRPr="00843E32">
        <w:rPr>
          <w:color w:val="7030A0"/>
          <w:sz w:val="16"/>
          <w:szCs w:val="16"/>
        </w:rPr>
        <w:t>, at para 229.</w:t>
      </w:r>
    </w:p>
  </w:footnote>
  <w:footnote w:id="41">
    <w:p w14:paraId="6796F338" w14:textId="77777777" w:rsidR="00267C0B" w:rsidRPr="00843E32" w:rsidRDefault="00267C0B" w:rsidP="00267C0B">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r w:rsidRPr="00843E32">
        <w:rPr>
          <w:i/>
          <w:iCs/>
          <w:color w:val="7030A0"/>
          <w:sz w:val="16"/>
          <w:szCs w:val="16"/>
        </w:rPr>
        <w:t>Golder v UK</w:t>
      </w:r>
      <w:r w:rsidRPr="00843E32">
        <w:rPr>
          <w:color w:val="7030A0"/>
          <w:sz w:val="16"/>
          <w:szCs w:val="16"/>
        </w:rPr>
        <w:t xml:space="preserve"> (1975) 1 EHRR 524, at para 28.</w:t>
      </w:r>
    </w:p>
  </w:footnote>
  <w:footnote w:id="42">
    <w:p w14:paraId="24FD8B07" w14:textId="77777777" w:rsidR="00267C0B" w:rsidRPr="00843E32" w:rsidRDefault="00267C0B" w:rsidP="00267C0B">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w:t>
      </w:r>
      <w:proofErr w:type="spellStart"/>
      <w:r w:rsidRPr="00843E32">
        <w:rPr>
          <w:i/>
          <w:iCs/>
          <w:color w:val="7030A0"/>
          <w:sz w:val="16"/>
          <w:szCs w:val="16"/>
        </w:rPr>
        <w:t>Philis</w:t>
      </w:r>
      <w:proofErr w:type="spellEnd"/>
      <w:r w:rsidRPr="00843E32">
        <w:rPr>
          <w:i/>
          <w:iCs/>
          <w:color w:val="7030A0"/>
          <w:sz w:val="16"/>
          <w:szCs w:val="16"/>
        </w:rPr>
        <w:t xml:space="preserve"> v Greece</w:t>
      </w:r>
      <w:r w:rsidRPr="00843E32">
        <w:rPr>
          <w:color w:val="7030A0"/>
          <w:sz w:val="16"/>
          <w:szCs w:val="16"/>
        </w:rPr>
        <w:t xml:space="preserve"> (1991) 13 EHRR 741, at para 59.</w:t>
      </w:r>
    </w:p>
  </w:footnote>
  <w:footnote w:id="43">
    <w:p w14:paraId="22BC45D2" w14:textId="77777777" w:rsidR="00BE2AF8" w:rsidRPr="00843E32" w:rsidRDefault="00BE2AF8" w:rsidP="00BE2AF8">
      <w:pPr>
        <w:pStyle w:val="FootnoteText"/>
        <w:rPr>
          <w:color w:val="7030A0"/>
          <w:sz w:val="16"/>
          <w:szCs w:val="16"/>
        </w:rPr>
      </w:pPr>
      <w:r w:rsidRPr="00843E32">
        <w:rPr>
          <w:rStyle w:val="FootnoteReference"/>
          <w:color w:val="7030A0"/>
          <w:sz w:val="16"/>
          <w:szCs w:val="16"/>
        </w:rPr>
        <w:footnoteRef/>
      </w:r>
      <w:r w:rsidRPr="00843E32">
        <w:rPr>
          <w:color w:val="7030A0"/>
          <w:sz w:val="16"/>
          <w:szCs w:val="16"/>
        </w:rPr>
        <w:t xml:space="preserve"> Schedule 11, NI Troubles (Legacy and Reconciliation) Bill.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841"/>
    <w:multiLevelType w:val="hybridMultilevel"/>
    <w:tmpl w:val="02E0ACD4"/>
    <w:lvl w:ilvl="0" w:tplc="D7C683A6">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72294"/>
    <w:multiLevelType w:val="hybridMultilevel"/>
    <w:tmpl w:val="E3D03D5E"/>
    <w:lvl w:ilvl="0" w:tplc="BC7C6458">
      <w:start w:val="1"/>
      <w:numFmt w:val="decimal"/>
      <w:lvlText w:val="1.%1"/>
      <w:lvlJc w:val="left"/>
      <w:pPr>
        <w:ind w:left="1440" w:hanging="360"/>
      </w:pPr>
      <w:rPr>
        <w:rFonts w:hint="default"/>
        <w:vanish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3A04BCE"/>
    <w:multiLevelType w:val="hybridMultilevel"/>
    <w:tmpl w:val="D7F46F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1506B39"/>
    <w:multiLevelType w:val="hybridMultilevel"/>
    <w:tmpl w:val="7CA4FE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B9C391E"/>
    <w:multiLevelType w:val="hybridMultilevel"/>
    <w:tmpl w:val="76C01A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1BC7688"/>
    <w:multiLevelType w:val="multilevel"/>
    <w:tmpl w:val="47028E3A"/>
    <w:lvl w:ilvl="0">
      <w:start w:val="1"/>
      <w:numFmt w:val="decimal"/>
      <w:lvlText w:val="%1.0"/>
      <w:lvlJc w:val="left"/>
      <w:pPr>
        <w:ind w:left="720" w:hanging="720"/>
      </w:pPr>
      <w:rPr>
        <w:rFonts w:hint="default"/>
      </w:rPr>
    </w:lvl>
    <w:lvl w:ilvl="1">
      <w:start w:val="1"/>
      <w:numFmt w:val="decimal"/>
      <w:pStyle w:val="ListParagraph"/>
      <w:lvlText w:val="%1.%2"/>
      <w:lvlJc w:val="left"/>
      <w:pPr>
        <w:ind w:left="9084"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5628073">
    <w:abstractNumId w:val="1"/>
  </w:num>
  <w:num w:numId="2" w16cid:durableId="1051156181">
    <w:abstractNumId w:val="5"/>
  </w:num>
  <w:num w:numId="3" w16cid:durableId="319701950">
    <w:abstractNumId w:val="3"/>
  </w:num>
  <w:num w:numId="4" w16cid:durableId="875847277">
    <w:abstractNumId w:val="2"/>
  </w:num>
  <w:num w:numId="5" w16cid:durableId="1370254760">
    <w:abstractNumId w:val="4"/>
  </w:num>
  <w:num w:numId="6" w16cid:durableId="1433282998">
    <w:abstractNumId w:val="0"/>
  </w:num>
  <w:num w:numId="7" w16cid:durableId="92091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0C"/>
    <w:rsid w:val="00000EC7"/>
    <w:rsid w:val="000021B3"/>
    <w:rsid w:val="00002A03"/>
    <w:rsid w:val="00010787"/>
    <w:rsid w:val="00013FF0"/>
    <w:rsid w:val="00032349"/>
    <w:rsid w:val="00032CEE"/>
    <w:rsid w:val="0003758B"/>
    <w:rsid w:val="00042378"/>
    <w:rsid w:val="00044A17"/>
    <w:rsid w:val="0005118D"/>
    <w:rsid w:val="0005312E"/>
    <w:rsid w:val="000573DF"/>
    <w:rsid w:val="000641FC"/>
    <w:rsid w:val="000751EE"/>
    <w:rsid w:val="000876F2"/>
    <w:rsid w:val="0009493B"/>
    <w:rsid w:val="000A1068"/>
    <w:rsid w:val="000B0339"/>
    <w:rsid w:val="000B3249"/>
    <w:rsid w:val="000C260F"/>
    <w:rsid w:val="000D00D2"/>
    <w:rsid w:val="000E051C"/>
    <w:rsid w:val="000E431A"/>
    <w:rsid w:val="000F5A60"/>
    <w:rsid w:val="0010467A"/>
    <w:rsid w:val="00105F1B"/>
    <w:rsid w:val="00110A65"/>
    <w:rsid w:val="0011108C"/>
    <w:rsid w:val="00130EDE"/>
    <w:rsid w:val="001320AA"/>
    <w:rsid w:val="0015395F"/>
    <w:rsid w:val="00162399"/>
    <w:rsid w:val="00173F2D"/>
    <w:rsid w:val="0018015E"/>
    <w:rsid w:val="001822EC"/>
    <w:rsid w:val="00186CE1"/>
    <w:rsid w:val="00192DFD"/>
    <w:rsid w:val="001A0B1B"/>
    <w:rsid w:val="001A5F15"/>
    <w:rsid w:val="001D3508"/>
    <w:rsid w:val="001E1057"/>
    <w:rsid w:val="001F0F03"/>
    <w:rsid w:val="00206F3C"/>
    <w:rsid w:val="00217917"/>
    <w:rsid w:val="00220CEA"/>
    <w:rsid w:val="00221C6C"/>
    <w:rsid w:val="002406B3"/>
    <w:rsid w:val="002434A4"/>
    <w:rsid w:val="00244D26"/>
    <w:rsid w:val="00266992"/>
    <w:rsid w:val="00267C0B"/>
    <w:rsid w:val="002710C6"/>
    <w:rsid w:val="0027375D"/>
    <w:rsid w:val="0027719E"/>
    <w:rsid w:val="00277817"/>
    <w:rsid w:val="00282247"/>
    <w:rsid w:val="00287DA5"/>
    <w:rsid w:val="002913CB"/>
    <w:rsid w:val="002B351D"/>
    <w:rsid w:val="002C0AC9"/>
    <w:rsid w:val="002C3225"/>
    <w:rsid w:val="002C4B28"/>
    <w:rsid w:val="002D2D91"/>
    <w:rsid w:val="002E5DB5"/>
    <w:rsid w:val="003550BF"/>
    <w:rsid w:val="00356FEA"/>
    <w:rsid w:val="0036205B"/>
    <w:rsid w:val="003669BF"/>
    <w:rsid w:val="0036729C"/>
    <w:rsid w:val="00371B66"/>
    <w:rsid w:val="003812C1"/>
    <w:rsid w:val="00384FA1"/>
    <w:rsid w:val="0038514E"/>
    <w:rsid w:val="0039744B"/>
    <w:rsid w:val="003A46C5"/>
    <w:rsid w:val="003A69AD"/>
    <w:rsid w:val="003A73E2"/>
    <w:rsid w:val="003B3E1A"/>
    <w:rsid w:val="003B6D89"/>
    <w:rsid w:val="003C0FD0"/>
    <w:rsid w:val="003C519F"/>
    <w:rsid w:val="003D02B5"/>
    <w:rsid w:val="003D1F9A"/>
    <w:rsid w:val="003E3620"/>
    <w:rsid w:val="003F1CEC"/>
    <w:rsid w:val="00405F43"/>
    <w:rsid w:val="00412D84"/>
    <w:rsid w:val="00417098"/>
    <w:rsid w:val="004307D2"/>
    <w:rsid w:val="004428B4"/>
    <w:rsid w:val="0044337E"/>
    <w:rsid w:val="004437F3"/>
    <w:rsid w:val="00443D45"/>
    <w:rsid w:val="00444048"/>
    <w:rsid w:val="004444DB"/>
    <w:rsid w:val="004559E7"/>
    <w:rsid w:val="00474923"/>
    <w:rsid w:val="00476565"/>
    <w:rsid w:val="004A0644"/>
    <w:rsid w:val="004A2935"/>
    <w:rsid w:val="004A3F80"/>
    <w:rsid w:val="004B05F6"/>
    <w:rsid w:val="004C1EE8"/>
    <w:rsid w:val="004C570A"/>
    <w:rsid w:val="004F1036"/>
    <w:rsid w:val="004F48AD"/>
    <w:rsid w:val="00500560"/>
    <w:rsid w:val="005108AE"/>
    <w:rsid w:val="005310DD"/>
    <w:rsid w:val="005332B2"/>
    <w:rsid w:val="00533703"/>
    <w:rsid w:val="00561F5A"/>
    <w:rsid w:val="005758AA"/>
    <w:rsid w:val="005762AE"/>
    <w:rsid w:val="0058068A"/>
    <w:rsid w:val="005A4F96"/>
    <w:rsid w:val="005C2F7E"/>
    <w:rsid w:val="005C391B"/>
    <w:rsid w:val="005C5654"/>
    <w:rsid w:val="005D01D8"/>
    <w:rsid w:val="005E64EC"/>
    <w:rsid w:val="005F28FB"/>
    <w:rsid w:val="00602B63"/>
    <w:rsid w:val="0060631C"/>
    <w:rsid w:val="0061207F"/>
    <w:rsid w:val="00626751"/>
    <w:rsid w:val="00626A84"/>
    <w:rsid w:val="006448AC"/>
    <w:rsid w:val="00666A42"/>
    <w:rsid w:val="006726C3"/>
    <w:rsid w:val="006E2922"/>
    <w:rsid w:val="006E58E3"/>
    <w:rsid w:val="006E7648"/>
    <w:rsid w:val="006F39BF"/>
    <w:rsid w:val="00726B48"/>
    <w:rsid w:val="00732D09"/>
    <w:rsid w:val="00736F0C"/>
    <w:rsid w:val="00740C4F"/>
    <w:rsid w:val="007660AF"/>
    <w:rsid w:val="007A3177"/>
    <w:rsid w:val="007B014D"/>
    <w:rsid w:val="007B2D3C"/>
    <w:rsid w:val="007D7330"/>
    <w:rsid w:val="007E559A"/>
    <w:rsid w:val="007F09D6"/>
    <w:rsid w:val="007F401D"/>
    <w:rsid w:val="007F4282"/>
    <w:rsid w:val="00800026"/>
    <w:rsid w:val="00800AF0"/>
    <w:rsid w:val="008172D1"/>
    <w:rsid w:val="0083149C"/>
    <w:rsid w:val="008412FF"/>
    <w:rsid w:val="00842E11"/>
    <w:rsid w:val="00843E32"/>
    <w:rsid w:val="0084502F"/>
    <w:rsid w:val="008452BD"/>
    <w:rsid w:val="00853593"/>
    <w:rsid w:val="0086794A"/>
    <w:rsid w:val="00870EEB"/>
    <w:rsid w:val="008923B0"/>
    <w:rsid w:val="008A089D"/>
    <w:rsid w:val="008B71FA"/>
    <w:rsid w:val="008C34A1"/>
    <w:rsid w:val="008D2FDD"/>
    <w:rsid w:val="008E1FF1"/>
    <w:rsid w:val="008E3C9D"/>
    <w:rsid w:val="008F2F5E"/>
    <w:rsid w:val="008F4D6B"/>
    <w:rsid w:val="008F550B"/>
    <w:rsid w:val="008F5630"/>
    <w:rsid w:val="008F610E"/>
    <w:rsid w:val="009012C6"/>
    <w:rsid w:val="00931284"/>
    <w:rsid w:val="0093573F"/>
    <w:rsid w:val="00945B2C"/>
    <w:rsid w:val="00945C38"/>
    <w:rsid w:val="00987BBD"/>
    <w:rsid w:val="00987DDD"/>
    <w:rsid w:val="00990833"/>
    <w:rsid w:val="009A5921"/>
    <w:rsid w:val="009B2CA1"/>
    <w:rsid w:val="009C4375"/>
    <w:rsid w:val="009D3487"/>
    <w:rsid w:val="009E269C"/>
    <w:rsid w:val="009E4C79"/>
    <w:rsid w:val="009E4D01"/>
    <w:rsid w:val="009E741B"/>
    <w:rsid w:val="009F1D0A"/>
    <w:rsid w:val="00A1294A"/>
    <w:rsid w:val="00A2329D"/>
    <w:rsid w:val="00A3454F"/>
    <w:rsid w:val="00A345B6"/>
    <w:rsid w:val="00A362F4"/>
    <w:rsid w:val="00A37482"/>
    <w:rsid w:val="00A377D1"/>
    <w:rsid w:val="00A46D1A"/>
    <w:rsid w:val="00A4785C"/>
    <w:rsid w:val="00A5152F"/>
    <w:rsid w:val="00A62F74"/>
    <w:rsid w:val="00A71581"/>
    <w:rsid w:val="00A833E5"/>
    <w:rsid w:val="00A968BD"/>
    <w:rsid w:val="00AA41DB"/>
    <w:rsid w:val="00AA65FE"/>
    <w:rsid w:val="00AA6CC9"/>
    <w:rsid w:val="00AB0644"/>
    <w:rsid w:val="00AB5563"/>
    <w:rsid w:val="00AC1E98"/>
    <w:rsid w:val="00AD274E"/>
    <w:rsid w:val="00AE158C"/>
    <w:rsid w:val="00AF5CEA"/>
    <w:rsid w:val="00AF6DBB"/>
    <w:rsid w:val="00B020F7"/>
    <w:rsid w:val="00B042D7"/>
    <w:rsid w:val="00B30644"/>
    <w:rsid w:val="00B30AC7"/>
    <w:rsid w:val="00B47CA0"/>
    <w:rsid w:val="00B50049"/>
    <w:rsid w:val="00B61DB9"/>
    <w:rsid w:val="00B71C4C"/>
    <w:rsid w:val="00B8791C"/>
    <w:rsid w:val="00B94AC8"/>
    <w:rsid w:val="00BA05C4"/>
    <w:rsid w:val="00BA1E6A"/>
    <w:rsid w:val="00BA453A"/>
    <w:rsid w:val="00BA72C9"/>
    <w:rsid w:val="00BB5A72"/>
    <w:rsid w:val="00BD4ED3"/>
    <w:rsid w:val="00BD7CD7"/>
    <w:rsid w:val="00BD7E9A"/>
    <w:rsid w:val="00BE2AF8"/>
    <w:rsid w:val="00BF4A4E"/>
    <w:rsid w:val="00BF6056"/>
    <w:rsid w:val="00C000C3"/>
    <w:rsid w:val="00C0087F"/>
    <w:rsid w:val="00C0511F"/>
    <w:rsid w:val="00C0550B"/>
    <w:rsid w:val="00C05600"/>
    <w:rsid w:val="00C12361"/>
    <w:rsid w:val="00C15AF4"/>
    <w:rsid w:val="00C163BB"/>
    <w:rsid w:val="00C21DB9"/>
    <w:rsid w:val="00C2217A"/>
    <w:rsid w:val="00C23575"/>
    <w:rsid w:val="00C42D19"/>
    <w:rsid w:val="00C52148"/>
    <w:rsid w:val="00C60347"/>
    <w:rsid w:val="00C724E8"/>
    <w:rsid w:val="00C73942"/>
    <w:rsid w:val="00C80B26"/>
    <w:rsid w:val="00C84A57"/>
    <w:rsid w:val="00C850BA"/>
    <w:rsid w:val="00C94B7C"/>
    <w:rsid w:val="00CA005E"/>
    <w:rsid w:val="00CA26FC"/>
    <w:rsid w:val="00CA74E1"/>
    <w:rsid w:val="00CB7D42"/>
    <w:rsid w:val="00CC461F"/>
    <w:rsid w:val="00CD3B5F"/>
    <w:rsid w:val="00CE2F81"/>
    <w:rsid w:val="00CE4267"/>
    <w:rsid w:val="00CE6AA6"/>
    <w:rsid w:val="00CF2D5A"/>
    <w:rsid w:val="00D11472"/>
    <w:rsid w:val="00D237F0"/>
    <w:rsid w:val="00D25AA1"/>
    <w:rsid w:val="00D41BCC"/>
    <w:rsid w:val="00D52A74"/>
    <w:rsid w:val="00D539FA"/>
    <w:rsid w:val="00D558A4"/>
    <w:rsid w:val="00D567BE"/>
    <w:rsid w:val="00D56A73"/>
    <w:rsid w:val="00D5764E"/>
    <w:rsid w:val="00D61AEF"/>
    <w:rsid w:val="00D62822"/>
    <w:rsid w:val="00D64688"/>
    <w:rsid w:val="00D67872"/>
    <w:rsid w:val="00D73170"/>
    <w:rsid w:val="00D7383A"/>
    <w:rsid w:val="00D76135"/>
    <w:rsid w:val="00D82045"/>
    <w:rsid w:val="00DA18C3"/>
    <w:rsid w:val="00DA526B"/>
    <w:rsid w:val="00DB0F0C"/>
    <w:rsid w:val="00DE1C0A"/>
    <w:rsid w:val="00DE365B"/>
    <w:rsid w:val="00DF576B"/>
    <w:rsid w:val="00E06A03"/>
    <w:rsid w:val="00E1433A"/>
    <w:rsid w:val="00E22965"/>
    <w:rsid w:val="00E22CFE"/>
    <w:rsid w:val="00E36577"/>
    <w:rsid w:val="00E367BA"/>
    <w:rsid w:val="00E40B60"/>
    <w:rsid w:val="00E4514F"/>
    <w:rsid w:val="00E6701A"/>
    <w:rsid w:val="00E70060"/>
    <w:rsid w:val="00E851CE"/>
    <w:rsid w:val="00E85663"/>
    <w:rsid w:val="00E91BED"/>
    <w:rsid w:val="00EA6912"/>
    <w:rsid w:val="00EB18D7"/>
    <w:rsid w:val="00EF5107"/>
    <w:rsid w:val="00F07EC8"/>
    <w:rsid w:val="00F215F8"/>
    <w:rsid w:val="00F2623D"/>
    <w:rsid w:val="00F31C9A"/>
    <w:rsid w:val="00F47CBC"/>
    <w:rsid w:val="00F5698A"/>
    <w:rsid w:val="00F67931"/>
    <w:rsid w:val="00F850DF"/>
    <w:rsid w:val="00F92C0B"/>
    <w:rsid w:val="00F9357D"/>
    <w:rsid w:val="00FA57D5"/>
    <w:rsid w:val="00FA60F9"/>
    <w:rsid w:val="00FB6885"/>
    <w:rsid w:val="00FC023E"/>
    <w:rsid w:val="00FC37CD"/>
    <w:rsid w:val="00FC4B1B"/>
    <w:rsid w:val="00FC5097"/>
    <w:rsid w:val="00FC5298"/>
    <w:rsid w:val="00FD5F24"/>
    <w:rsid w:val="00FD75B3"/>
    <w:rsid w:val="00FE0807"/>
    <w:rsid w:val="00FE49AC"/>
    <w:rsid w:val="00FE5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96AE7"/>
  <w15:chartTrackingRefBased/>
  <w15:docId w15:val="{607E4B70-B065-4469-8580-5F1AB7C1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378"/>
    <w:rPr>
      <w:rFonts w:ascii="Verdana" w:eastAsiaTheme="minorEastAsia" w:hAnsi="Verdana"/>
      <w:sz w:val="24"/>
      <w:szCs w:val="24"/>
    </w:rPr>
  </w:style>
  <w:style w:type="paragraph" w:styleId="Heading1">
    <w:name w:val="heading 1"/>
    <w:basedOn w:val="Normal"/>
    <w:next w:val="Normal"/>
    <w:link w:val="Heading1Char"/>
    <w:uiPriority w:val="9"/>
    <w:qFormat/>
    <w:rsid w:val="00DB0F0C"/>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A1294A"/>
    <w:pPr>
      <w:keepNext/>
      <w:keepLines/>
      <w:spacing w:before="40" w:line="48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294A"/>
    <w:rPr>
      <w:rFonts w:ascii="Verdana" w:eastAsiaTheme="majorEastAsia" w:hAnsi="Verdana" w:cstheme="majorBidi"/>
      <w:b/>
      <w:sz w:val="24"/>
      <w:szCs w:val="26"/>
    </w:rPr>
  </w:style>
  <w:style w:type="paragraph" w:customStyle="1" w:styleId="BasicParagraph">
    <w:name w:val="[Basic Paragraph]"/>
    <w:basedOn w:val="Normal"/>
    <w:uiPriority w:val="99"/>
    <w:rsid w:val="00DB0F0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fault">
    <w:name w:val="Default"/>
    <w:rsid w:val="00DB0F0C"/>
    <w:pPr>
      <w:widowControl w:val="0"/>
      <w:autoSpaceDE w:val="0"/>
      <w:autoSpaceDN w:val="0"/>
      <w:adjustRightInd w:val="0"/>
    </w:pPr>
    <w:rPr>
      <w:rFonts w:ascii="Verdana" w:eastAsiaTheme="minorEastAsia" w:hAnsi="Verdana" w:cs="Verdana"/>
      <w:color w:val="000000"/>
      <w:sz w:val="24"/>
      <w:szCs w:val="24"/>
      <w:lang w:val="en-US"/>
    </w:rPr>
  </w:style>
  <w:style w:type="character" w:customStyle="1" w:styleId="Heading1Char">
    <w:name w:val="Heading 1 Char"/>
    <w:basedOn w:val="DefaultParagraphFont"/>
    <w:link w:val="Heading1"/>
    <w:uiPriority w:val="9"/>
    <w:rsid w:val="00DB0F0C"/>
    <w:rPr>
      <w:rFonts w:ascii="Verdana" w:eastAsiaTheme="majorEastAsia" w:hAnsi="Verdana" w:cstheme="majorBidi"/>
      <w:b/>
      <w:color w:val="77328A"/>
      <w:sz w:val="30"/>
      <w:szCs w:val="32"/>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DB0F0C"/>
    <w:rPr>
      <w:vertAlign w:val="superscript"/>
    </w:rPr>
  </w:style>
  <w:style w:type="paragraph" w:customStyle="1" w:styleId="NIHRCFootnotes">
    <w:name w:val="NIHRC Footnotes"/>
    <w:basedOn w:val="Normal"/>
    <w:qFormat/>
    <w:rsid w:val="00DB0F0C"/>
    <w:pPr>
      <w:tabs>
        <w:tab w:val="left" w:pos="284"/>
      </w:tabs>
      <w:spacing w:line="240" w:lineRule="auto"/>
    </w:pPr>
    <w:rPr>
      <w:rFonts w:cs="Arial"/>
      <w:color w:val="77328A"/>
      <w:sz w:val="16"/>
      <w:szCs w:val="16"/>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uiPriority w:val="34"/>
    <w:qFormat/>
    <w:rsid w:val="00DB0F0C"/>
    <w:pPr>
      <w:numPr>
        <w:ilvl w:val="1"/>
        <w:numId w:val="2"/>
      </w:numPr>
      <w:spacing w:before="24" w:after="24"/>
      <w:ind w:left="720"/>
      <w:contextualSpacing/>
    </w:pPr>
    <w:rPr>
      <w:rFonts w:eastAsia="Verdana" w:cs="Times New Roman"/>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DB0F0C"/>
    <w:pPr>
      <w:spacing w:after="160" w:line="240" w:lineRule="exact"/>
    </w:pPr>
    <w:rPr>
      <w:rFonts w:asciiTheme="minorHAnsi" w:eastAsiaTheme="minorHAnsi" w:hAnsiTheme="minorHAnsi"/>
      <w:sz w:val="22"/>
      <w:szCs w:val="22"/>
      <w:vertAlign w:val="superscript"/>
    </w:rPr>
  </w:style>
  <w:style w:type="paragraph" w:styleId="Quote">
    <w:name w:val="Quote"/>
    <w:basedOn w:val="Normal"/>
    <w:next w:val="Normal"/>
    <w:link w:val="QuoteChar"/>
    <w:uiPriority w:val="29"/>
    <w:qFormat/>
    <w:rsid w:val="00945C38"/>
    <w:pPr>
      <w:ind w:left="862" w:right="862"/>
    </w:pPr>
    <w:rPr>
      <w:iCs/>
    </w:rPr>
  </w:style>
  <w:style w:type="character" w:customStyle="1" w:styleId="QuoteChar">
    <w:name w:val="Quote Char"/>
    <w:basedOn w:val="DefaultParagraphFont"/>
    <w:link w:val="Quote"/>
    <w:uiPriority w:val="29"/>
    <w:rsid w:val="00945C38"/>
    <w:rPr>
      <w:rFonts w:ascii="Verdana" w:eastAsiaTheme="minorEastAsia" w:hAnsi="Verdana"/>
      <w:iCs/>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FB6885"/>
    <w:rPr>
      <w:rFonts w:ascii="Verdana" w:eastAsia="Verdana" w:hAnsi="Verdana" w:cs="Times New Roman"/>
      <w:sz w:val="24"/>
      <w:szCs w:val="24"/>
    </w:rPr>
  </w:style>
  <w:style w:type="paragraph" w:styleId="FootnoteText">
    <w:name w:val="footnote text"/>
    <w:basedOn w:val="Normal"/>
    <w:link w:val="FootnoteTextChar"/>
    <w:uiPriority w:val="99"/>
    <w:semiHidden/>
    <w:unhideWhenUsed/>
    <w:rsid w:val="00800026"/>
    <w:pPr>
      <w:spacing w:line="240" w:lineRule="auto"/>
    </w:pPr>
    <w:rPr>
      <w:sz w:val="20"/>
      <w:szCs w:val="20"/>
    </w:rPr>
  </w:style>
  <w:style w:type="character" w:customStyle="1" w:styleId="FootnoteTextChar">
    <w:name w:val="Footnote Text Char"/>
    <w:basedOn w:val="DefaultParagraphFont"/>
    <w:link w:val="FootnoteText"/>
    <w:uiPriority w:val="99"/>
    <w:semiHidden/>
    <w:rsid w:val="00800026"/>
    <w:rPr>
      <w:rFonts w:ascii="Verdana" w:eastAsiaTheme="minorEastAsia" w:hAnsi="Verdana"/>
      <w:sz w:val="20"/>
      <w:szCs w:val="20"/>
    </w:rPr>
  </w:style>
  <w:style w:type="character" w:styleId="Hyperlink">
    <w:name w:val="Hyperlink"/>
    <w:basedOn w:val="DefaultParagraphFont"/>
    <w:uiPriority w:val="99"/>
    <w:unhideWhenUsed/>
    <w:rsid w:val="002913CB"/>
    <w:rPr>
      <w:color w:val="0563C1" w:themeColor="hyperlink"/>
      <w:u w:val="single"/>
    </w:rPr>
  </w:style>
  <w:style w:type="character" w:styleId="UnresolvedMention">
    <w:name w:val="Unresolved Mention"/>
    <w:basedOn w:val="DefaultParagraphFont"/>
    <w:uiPriority w:val="99"/>
    <w:semiHidden/>
    <w:unhideWhenUsed/>
    <w:rsid w:val="002913CB"/>
    <w:rPr>
      <w:color w:val="605E5C"/>
      <w:shd w:val="clear" w:color="auto" w:fill="E1DFDD"/>
    </w:rPr>
  </w:style>
  <w:style w:type="character" w:styleId="CommentReference">
    <w:name w:val="annotation reference"/>
    <w:basedOn w:val="DefaultParagraphFont"/>
    <w:uiPriority w:val="99"/>
    <w:semiHidden/>
    <w:unhideWhenUsed/>
    <w:rsid w:val="00AE158C"/>
    <w:rPr>
      <w:sz w:val="16"/>
      <w:szCs w:val="16"/>
    </w:rPr>
  </w:style>
  <w:style w:type="paragraph" w:styleId="CommentText">
    <w:name w:val="annotation text"/>
    <w:basedOn w:val="Normal"/>
    <w:link w:val="CommentTextChar"/>
    <w:uiPriority w:val="99"/>
    <w:unhideWhenUsed/>
    <w:rsid w:val="00AE158C"/>
    <w:pPr>
      <w:spacing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AE158C"/>
    <w:rPr>
      <w:rFonts w:eastAsiaTheme="minorEastAsia"/>
      <w:sz w:val="20"/>
      <w:szCs w:val="20"/>
    </w:rPr>
  </w:style>
  <w:style w:type="paragraph" w:styleId="Header">
    <w:name w:val="header"/>
    <w:basedOn w:val="Normal"/>
    <w:link w:val="HeaderChar"/>
    <w:uiPriority w:val="99"/>
    <w:unhideWhenUsed/>
    <w:rsid w:val="00BE2AF8"/>
    <w:pPr>
      <w:tabs>
        <w:tab w:val="center" w:pos="4513"/>
        <w:tab w:val="right" w:pos="9026"/>
      </w:tabs>
      <w:spacing w:line="240" w:lineRule="auto"/>
    </w:pPr>
  </w:style>
  <w:style w:type="character" w:customStyle="1" w:styleId="HeaderChar">
    <w:name w:val="Header Char"/>
    <w:basedOn w:val="DefaultParagraphFont"/>
    <w:link w:val="Header"/>
    <w:uiPriority w:val="99"/>
    <w:rsid w:val="00BE2AF8"/>
    <w:rPr>
      <w:rFonts w:ascii="Verdana" w:eastAsiaTheme="minorEastAsia" w:hAnsi="Verdana"/>
      <w:sz w:val="24"/>
      <w:szCs w:val="24"/>
    </w:rPr>
  </w:style>
  <w:style w:type="paragraph" w:styleId="Footer">
    <w:name w:val="footer"/>
    <w:basedOn w:val="Normal"/>
    <w:link w:val="FooterChar"/>
    <w:uiPriority w:val="99"/>
    <w:unhideWhenUsed/>
    <w:rsid w:val="00BE2AF8"/>
    <w:pPr>
      <w:tabs>
        <w:tab w:val="center" w:pos="4513"/>
        <w:tab w:val="right" w:pos="9026"/>
      </w:tabs>
      <w:spacing w:line="240" w:lineRule="auto"/>
    </w:pPr>
  </w:style>
  <w:style w:type="character" w:customStyle="1" w:styleId="FooterChar">
    <w:name w:val="Footer Char"/>
    <w:basedOn w:val="DefaultParagraphFont"/>
    <w:link w:val="Footer"/>
    <w:uiPriority w:val="99"/>
    <w:rsid w:val="00BE2AF8"/>
    <w:rPr>
      <w:rFonts w:ascii="Verdana" w:eastAsiaTheme="minorEastAsia" w:hAnsi="Verdana"/>
      <w:sz w:val="24"/>
      <w:szCs w:val="24"/>
    </w:rPr>
  </w:style>
  <w:style w:type="paragraph" w:styleId="CommentSubject">
    <w:name w:val="annotation subject"/>
    <w:basedOn w:val="CommentText"/>
    <w:next w:val="CommentText"/>
    <w:link w:val="CommentSubjectChar"/>
    <w:uiPriority w:val="99"/>
    <w:semiHidden/>
    <w:unhideWhenUsed/>
    <w:rsid w:val="00A1294A"/>
    <w:pPr>
      <w:jc w:val="both"/>
    </w:pPr>
    <w:rPr>
      <w:rFonts w:ascii="Verdana" w:hAnsi="Verdana"/>
      <w:b/>
      <w:bCs/>
    </w:rPr>
  </w:style>
  <w:style w:type="character" w:customStyle="1" w:styleId="CommentSubjectChar">
    <w:name w:val="Comment Subject Char"/>
    <w:basedOn w:val="CommentTextChar"/>
    <w:link w:val="CommentSubject"/>
    <w:uiPriority w:val="99"/>
    <w:semiHidden/>
    <w:rsid w:val="00A1294A"/>
    <w:rPr>
      <w:rFonts w:ascii="Verdana" w:eastAsiaTheme="minorEastAsia" w:hAnsi="Verdana"/>
      <w:b/>
      <w:bCs/>
      <w:sz w:val="20"/>
      <w:szCs w:val="20"/>
    </w:rPr>
  </w:style>
  <w:style w:type="paragraph" w:styleId="TOCHeading">
    <w:name w:val="TOC Heading"/>
    <w:basedOn w:val="Heading1"/>
    <w:next w:val="Normal"/>
    <w:uiPriority w:val="39"/>
    <w:unhideWhenUsed/>
    <w:qFormat/>
    <w:rsid w:val="00A1294A"/>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A4785C"/>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A1294A"/>
    <w:pPr>
      <w:spacing w:after="100"/>
      <w:ind w:left="240"/>
    </w:pPr>
  </w:style>
  <w:style w:type="paragraph" w:styleId="Revision">
    <w:name w:val="Revision"/>
    <w:hidden/>
    <w:uiPriority w:val="99"/>
    <w:semiHidden/>
    <w:rsid w:val="0039744B"/>
    <w:pPr>
      <w:spacing w:line="240" w:lineRule="auto"/>
      <w:jc w:val="left"/>
    </w:pPr>
    <w:rPr>
      <w:rFonts w:ascii="Verdana" w:eastAsiaTheme="minorEastAsi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hrc.org" TargetMode="External"/><Relationship Id="rId4" Type="http://schemas.openxmlformats.org/officeDocument/2006/relationships/settings" Target="settings.xml"/><Relationship Id="rId9" Type="http://schemas.openxmlformats.org/officeDocument/2006/relationships/hyperlink" Target="mailto:Rhyannon.Blythe@nih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07FAD-1C18-47C0-B54C-3F168B80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1872</Words>
  <Characters>10933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Conor Boyle</cp:lastModifiedBy>
  <cp:revision>2</cp:revision>
  <cp:lastPrinted>2022-06-23T09:33:00Z</cp:lastPrinted>
  <dcterms:created xsi:type="dcterms:W3CDTF">2022-07-04T08:23:00Z</dcterms:created>
  <dcterms:modified xsi:type="dcterms:W3CDTF">2022-07-04T08:23:00Z</dcterms:modified>
</cp:coreProperties>
</file>