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FEAAA" w14:textId="73FF58C8" w:rsidR="00150CDE" w:rsidRDefault="009E1CCB" w:rsidP="008569C5">
      <w:r w:rsidRPr="000721E4">
        <w:rPr>
          <w:noProof/>
          <w:lang w:eastAsia="en-GB"/>
        </w:rPr>
        <w:drawing>
          <wp:anchor distT="0" distB="0" distL="114300" distR="114300" simplePos="0" relativeHeight="251660288" behindDoc="0" locked="0" layoutInCell="1" allowOverlap="1" wp14:anchorId="4808952E" wp14:editId="31106A30">
            <wp:simplePos x="0" y="0"/>
            <wp:positionH relativeFrom="column">
              <wp:posOffset>496101</wp:posOffset>
            </wp:positionH>
            <wp:positionV relativeFrom="paragraph">
              <wp:posOffset>176530</wp:posOffset>
            </wp:positionV>
            <wp:extent cx="2269490" cy="1043940"/>
            <wp:effectExtent l="0" t="0" r="0" b="3810"/>
            <wp:wrapNone/>
            <wp:docPr id="3" name="Picture 3" descr="Graphical user interface, text,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websit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949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0F65D" w14:textId="01CEC244" w:rsidR="00975C44" w:rsidRPr="000835C7" w:rsidRDefault="009E1CCB" w:rsidP="00975C44">
      <w:pPr>
        <w:pStyle w:val="BasicParagraph"/>
        <w:tabs>
          <w:tab w:val="left" w:pos="4820"/>
        </w:tabs>
        <w:suppressAutoHyphens/>
        <w:jc w:val="center"/>
        <w:rPr>
          <w:rFonts w:ascii="Verdana" w:hAnsi="Verdana" w:cs="Arial"/>
          <w:b/>
          <w:bCs/>
          <w:color w:val="734791"/>
          <w:sz w:val="36"/>
          <w:szCs w:val="36"/>
        </w:rPr>
      </w:pPr>
      <w:r>
        <w:rPr>
          <w:rFonts w:ascii="Arial" w:hAnsi="Arial" w:cs="Arial"/>
          <w:noProof/>
          <w:szCs w:val="28"/>
          <w:lang w:eastAsia="en-GB"/>
        </w:rPr>
        <w:drawing>
          <wp:anchor distT="0" distB="0" distL="114300" distR="114300" simplePos="0" relativeHeight="251659264" behindDoc="0" locked="0" layoutInCell="1" allowOverlap="1" wp14:anchorId="36657D08" wp14:editId="6EBB9BBC">
            <wp:simplePos x="0" y="0"/>
            <wp:positionH relativeFrom="column">
              <wp:posOffset>2929337</wp:posOffset>
            </wp:positionH>
            <wp:positionV relativeFrom="paragraph">
              <wp:posOffset>161815</wp:posOffset>
            </wp:positionV>
            <wp:extent cx="2802835" cy="720140"/>
            <wp:effectExtent l="0" t="0" r="0" b="381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802835" cy="720140"/>
                    </a:xfrm>
                    <a:prstGeom prst="rect">
                      <a:avLst/>
                    </a:prstGeom>
                  </pic:spPr>
                </pic:pic>
              </a:graphicData>
            </a:graphic>
            <wp14:sizeRelH relativeFrom="page">
              <wp14:pctWidth>0</wp14:pctWidth>
            </wp14:sizeRelH>
            <wp14:sizeRelV relativeFrom="page">
              <wp14:pctHeight>0</wp14:pctHeight>
            </wp14:sizeRelV>
          </wp:anchor>
        </w:drawing>
      </w:r>
    </w:p>
    <w:p w14:paraId="6C0E452C" w14:textId="4D812AF0" w:rsidR="008569C5" w:rsidRDefault="008569C5" w:rsidP="001566DA">
      <w:pPr>
        <w:pStyle w:val="ListParagraph"/>
      </w:pPr>
    </w:p>
    <w:p w14:paraId="0A404A0F" w14:textId="77777777" w:rsidR="00150CDE" w:rsidRDefault="00150CDE" w:rsidP="00E438D7"/>
    <w:p w14:paraId="18BFF5A3" w14:textId="77777777" w:rsidR="009E1CCB" w:rsidRDefault="009E1CCB" w:rsidP="008569C5">
      <w:pPr>
        <w:pStyle w:val="ListParagraph"/>
        <w:jc w:val="center"/>
        <w:rPr>
          <w:rFonts w:cstheme="minorHAnsi"/>
          <w:b/>
          <w:bCs/>
          <w:sz w:val="56"/>
          <w:szCs w:val="56"/>
        </w:rPr>
      </w:pPr>
    </w:p>
    <w:p w14:paraId="6631871F" w14:textId="77777777" w:rsidR="009E1CCB" w:rsidRDefault="009E1CCB" w:rsidP="008569C5">
      <w:pPr>
        <w:pStyle w:val="ListParagraph"/>
        <w:jc w:val="center"/>
        <w:rPr>
          <w:rFonts w:cstheme="minorHAnsi"/>
          <w:b/>
          <w:bCs/>
          <w:sz w:val="56"/>
          <w:szCs w:val="56"/>
        </w:rPr>
      </w:pPr>
    </w:p>
    <w:p w14:paraId="3D15F8B7" w14:textId="77777777" w:rsidR="009E1CCB" w:rsidRDefault="009E1CCB" w:rsidP="008569C5">
      <w:pPr>
        <w:pStyle w:val="ListParagraph"/>
        <w:jc w:val="center"/>
        <w:rPr>
          <w:rFonts w:cstheme="minorHAnsi"/>
          <w:b/>
          <w:bCs/>
          <w:sz w:val="56"/>
          <w:szCs w:val="56"/>
        </w:rPr>
      </w:pPr>
    </w:p>
    <w:p w14:paraId="248C11C3" w14:textId="3981A14E" w:rsidR="00150CDE" w:rsidRPr="00C60046" w:rsidRDefault="00150CDE" w:rsidP="008569C5">
      <w:pPr>
        <w:pStyle w:val="ListParagraph"/>
        <w:jc w:val="center"/>
        <w:rPr>
          <w:rFonts w:cstheme="minorHAnsi"/>
          <w:b/>
          <w:bCs/>
          <w:sz w:val="56"/>
          <w:szCs w:val="56"/>
        </w:rPr>
      </w:pPr>
      <w:r w:rsidRPr="00C60046">
        <w:rPr>
          <w:rFonts w:cstheme="minorHAnsi"/>
          <w:b/>
          <w:bCs/>
          <w:sz w:val="56"/>
          <w:szCs w:val="56"/>
        </w:rPr>
        <w:t xml:space="preserve">Submission of the </w:t>
      </w:r>
      <w:r w:rsidR="00F72F09" w:rsidRPr="00C60046">
        <w:rPr>
          <w:rFonts w:cstheme="minorHAnsi"/>
          <w:b/>
          <w:bCs/>
          <w:sz w:val="56"/>
          <w:szCs w:val="56"/>
        </w:rPr>
        <w:t xml:space="preserve">NIHRC and </w:t>
      </w:r>
      <w:r w:rsidRPr="00C60046">
        <w:rPr>
          <w:rFonts w:cstheme="minorHAnsi"/>
          <w:b/>
          <w:bCs/>
          <w:sz w:val="56"/>
          <w:szCs w:val="56"/>
        </w:rPr>
        <w:t xml:space="preserve">ECNI to the House of Lords Sub-Committee on the Protocol’s call for </w:t>
      </w:r>
      <w:r w:rsidR="008569C5" w:rsidRPr="00C60046">
        <w:rPr>
          <w:rFonts w:cstheme="minorHAnsi"/>
          <w:b/>
          <w:bCs/>
          <w:sz w:val="56"/>
          <w:szCs w:val="56"/>
        </w:rPr>
        <w:t>e</w:t>
      </w:r>
      <w:r w:rsidRPr="00C60046">
        <w:rPr>
          <w:rFonts w:cstheme="minorHAnsi"/>
          <w:b/>
          <w:bCs/>
          <w:sz w:val="56"/>
          <w:szCs w:val="56"/>
        </w:rPr>
        <w:t>vidence for its new inquiry into the UK Government’s Northern Ireland Protocol Bill</w:t>
      </w:r>
    </w:p>
    <w:p w14:paraId="38119E18" w14:textId="16EACDD9" w:rsidR="00C2558C" w:rsidRPr="00527BED" w:rsidRDefault="00C2558C" w:rsidP="008569C5">
      <w:pPr>
        <w:pStyle w:val="ListParagraph"/>
        <w:jc w:val="center"/>
        <w:rPr>
          <w:rFonts w:cstheme="minorHAnsi"/>
          <w:b/>
          <w:bCs/>
          <w:sz w:val="32"/>
          <w:szCs w:val="32"/>
        </w:rPr>
      </w:pPr>
    </w:p>
    <w:p w14:paraId="6010E07E" w14:textId="028131A5" w:rsidR="00150CDE" w:rsidRPr="00527BED" w:rsidRDefault="00150CDE" w:rsidP="00527BED">
      <w:pPr>
        <w:rPr>
          <w:rFonts w:cstheme="minorHAnsi"/>
          <w:b/>
          <w:bCs/>
          <w:sz w:val="32"/>
          <w:szCs w:val="32"/>
        </w:rPr>
      </w:pPr>
    </w:p>
    <w:p w14:paraId="315A41B0" w14:textId="0FA5D437" w:rsidR="00150CDE" w:rsidRPr="00E438D7" w:rsidRDefault="00E06FA1" w:rsidP="008569C5">
      <w:pPr>
        <w:pStyle w:val="ListParagraph"/>
        <w:jc w:val="center"/>
        <w:rPr>
          <w:rFonts w:cstheme="minorHAnsi"/>
          <w:b/>
          <w:bCs/>
          <w:sz w:val="56"/>
          <w:szCs w:val="56"/>
        </w:rPr>
      </w:pPr>
      <w:r>
        <w:rPr>
          <w:rFonts w:cstheme="minorHAnsi"/>
          <w:b/>
          <w:bCs/>
          <w:sz w:val="36"/>
          <w:szCs w:val="36"/>
        </w:rPr>
        <w:t>0</w:t>
      </w:r>
      <w:bookmarkStart w:id="0" w:name="_GoBack"/>
      <w:bookmarkEnd w:id="0"/>
      <w:r>
        <w:rPr>
          <w:rFonts w:cstheme="minorHAnsi"/>
          <w:b/>
          <w:bCs/>
          <w:sz w:val="36"/>
          <w:szCs w:val="36"/>
        </w:rPr>
        <w:t xml:space="preserve">3 </w:t>
      </w:r>
      <w:r w:rsidR="00150CDE" w:rsidRPr="00E438D7">
        <w:rPr>
          <w:rFonts w:cstheme="minorHAnsi"/>
          <w:b/>
          <w:bCs/>
          <w:sz w:val="36"/>
          <w:szCs w:val="36"/>
        </w:rPr>
        <w:t>November 2022</w:t>
      </w:r>
    </w:p>
    <w:p w14:paraId="51665D01" w14:textId="651D2425" w:rsidR="00150CDE" w:rsidRPr="00527BED" w:rsidRDefault="00150CDE" w:rsidP="008569C5">
      <w:pPr>
        <w:pStyle w:val="ListParagraph"/>
        <w:jc w:val="center"/>
        <w:rPr>
          <w:rFonts w:cstheme="minorHAnsi"/>
          <w:b/>
          <w:bCs/>
          <w:sz w:val="32"/>
          <w:szCs w:val="32"/>
        </w:rPr>
      </w:pPr>
    </w:p>
    <w:p w14:paraId="751A3A17" w14:textId="77777777" w:rsidR="00BA78B6" w:rsidRPr="00527BED" w:rsidRDefault="00BA78B6" w:rsidP="00BA78B6">
      <w:pPr>
        <w:rPr>
          <w:rFonts w:cstheme="minorHAnsi"/>
        </w:rPr>
        <w:sectPr w:rsidR="00BA78B6" w:rsidRPr="00527BE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sdt>
      <w:sdtPr>
        <w:rPr>
          <w:b w:val="0"/>
          <w:bCs w:val="0"/>
          <w:sz w:val="24"/>
          <w:szCs w:val="24"/>
          <w:lang w:val="en-GB"/>
        </w:rPr>
        <w:id w:val="-1617748375"/>
        <w:docPartObj>
          <w:docPartGallery w:val="Table of Contents"/>
          <w:docPartUnique/>
        </w:docPartObj>
      </w:sdtPr>
      <w:sdtEndPr>
        <w:rPr>
          <w:noProof/>
          <w:sz w:val="28"/>
        </w:rPr>
      </w:sdtEndPr>
      <w:sdtContent>
        <w:p w14:paraId="79319382" w14:textId="019F1A8A" w:rsidR="007B5FF8" w:rsidRDefault="007B5FF8" w:rsidP="008569BB">
          <w:pPr>
            <w:pStyle w:val="TOCHeading"/>
            <w:numPr>
              <w:ilvl w:val="0"/>
              <w:numId w:val="0"/>
            </w:numPr>
            <w:spacing w:after="240"/>
          </w:pPr>
          <w:r>
            <w:t>Contents</w:t>
          </w:r>
        </w:p>
        <w:p w14:paraId="004F37B0" w14:textId="18967023" w:rsidR="003372BC" w:rsidRDefault="007B5FF8">
          <w:pPr>
            <w:pStyle w:val="TOC2"/>
            <w:tabs>
              <w:tab w:val="right" w:leader="dot" w:pos="9016"/>
            </w:tabs>
            <w:rPr>
              <w:rFonts w:eastAsiaTheme="minorEastAsia" w:cstheme="minorBidi"/>
              <w:noProof/>
              <w:sz w:val="22"/>
              <w:szCs w:val="22"/>
              <w:lang w:eastAsia="en-GB"/>
            </w:rPr>
          </w:pPr>
          <w:r>
            <w:fldChar w:fldCharType="begin"/>
          </w:r>
          <w:r>
            <w:instrText xml:space="preserve"> TOC \o "1-3" \h \z \u </w:instrText>
          </w:r>
          <w:r>
            <w:fldChar w:fldCharType="separate"/>
          </w:r>
          <w:hyperlink w:anchor="_Toc118384462" w:history="1">
            <w:r w:rsidR="003372BC" w:rsidRPr="003716EF">
              <w:rPr>
                <w:rStyle w:val="Hyperlink"/>
                <w:rFonts w:eastAsia="Times New Roman" w:cstheme="minorHAnsi"/>
                <w:b/>
                <w:noProof/>
                <w:lang w:eastAsia="en-GB"/>
              </w:rPr>
              <w:t>Summary of Recommendations</w:t>
            </w:r>
            <w:r w:rsidR="003372BC">
              <w:rPr>
                <w:noProof/>
                <w:webHidden/>
              </w:rPr>
              <w:tab/>
            </w:r>
            <w:r w:rsidR="003372BC">
              <w:rPr>
                <w:noProof/>
                <w:webHidden/>
              </w:rPr>
              <w:fldChar w:fldCharType="begin"/>
            </w:r>
            <w:r w:rsidR="003372BC">
              <w:rPr>
                <w:noProof/>
                <w:webHidden/>
              </w:rPr>
              <w:instrText xml:space="preserve"> PAGEREF _Toc118384462 \h </w:instrText>
            </w:r>
            <w:r w:rsidR="003372BC">
              <w:rPr>
                <w:noProof/>
                <w:webHidden/>
              </w:rPr>
            </w:r>
            <w:r w:rsidR="003372BC">
              <w:rPr>
                <w:noProof/>
                <w:webHidden/>
              </w:rPr>
              <w:fldChar w:fldCharType="separate"/>
            </w:r>
            <w:r w:rsidR="00AF28E0">
              <w:rPr>
                <w:noProof/>
                <w:webHidden/>
              </w:rPr>
              <w:t>1</w:t>
            </w:r>
            <w:r w:rsidR="003372BC">
              <w:rPr>
                <w:noProof/>
                <w:webHidden/>
              </w:rPr>
              <w:fldChar w:fldCharType="end"/>
            </w:r>
          </w:hyperlink>
        </w:p>
        <w:p w14:paraId="7A17FC5A" w14:textId="134D69AD" w:rsidR="003372BC" w:rsidRDefault="00D44D07">
          <w:pPr>
            <w:pStyle w:val="TOC1"/>
            <w:rPr>
              <w:rFonts w:eastAsiaTheme="minorEastAsia" w:cstheme="minorBidi"/>
              <w:noProof/>
              <w:sz w:val="22"/>
              <w:szCs w:val="22"/>
              <w:lang w:eastAsia="en-GB"/>
            </w:rPr>
          </w:pPr>
          <w:hyperlink w:anchor="_Toc118384463" w:history="1">
            <w:r w:rsidR="003372BC" w:rsidRPr="003716EF">
              <w:rPr>
                <w:rStyle w:val="Hyperlink"/>
                <w:noProof/>
              </w:rPr>
              <w:t>1.0</w:t>
            </w:r>
            <w:r w:rsidR="003372BC">
              <w:rPr>
                <w:rFonts w:eastAsiaTheme="minorEastAsia" w:cstheme="minorBidi"/>
                <w:noProof/>
                <w:sz w:val="22"/>
                <w:szCs w:val="22"/>
                <w:lang w:eastAsia="en-GB"/>
              </w:rPr>
              <w:tab/>
            </w:r>
            <w:r w:rsidR="003372BC" w:rsidRPr="003716EF">
              <w:rPr>
                <w:rStyle w:val="Hyperlink"/>
                <w:noProof/>
              </w:rPr>
              <w:t>Introduction</w:t>
            </w:r>
            <w:r w:rsidR="003372BC">
              <w:rPr>
                <w:noProof/>
                <w:webHidden/>
              </w:rPr>
              <w:tab/>
            </w:r>
            <w:r w:rsidR="003372BC">
              <w:rPr>
                <w:noProof/>
                <w:webHidden/>
              </w:rPr>
              <w:fldChar w:fldCharType="begin"/>
            </w:r>
            <w:r w:rsidR="003372BC">
              <w:rPr>
                <w:noProof/>
                <w:webHidden/>
              </w:rPr>
              <w:instrText xml:space="preserve"> PAGEREF _Toc118384463 \h </w:instrText>
            </w:r>
            <w:r w:rsidR="003372BC">
              <w:rPr>
                <w:noProof/>
                <w:webHidden/>
              </w:rPr>
            </w:r>
            <w:r w:rsidR="003372BC">
              <w:rPr>
                <w:noProof/>
                <w:webHidden/>
              </w:rPr>
              <w:fldChar w:fldCharType="separate"/>
            </w:r>
            <w:r w:rsidR="00AF28E0">
              <w:rPr>
                <w:noProof/>
                <w:webHidden/>
              </w:rPr>
              <w:t>4</w:t>
            </w:r>
            <w:r w:rsidR="003372BC">
              <w:rPr>
                <w:noProof/>
                <w:webHidden/>
              </w:rPr>
              <w:fldChar w:fldCharType="end"/>
            </w:r>
          </w:hyperlink>
        </w:p>
        <w:p w14:paraId="0539095A" w14:textId="32C0578D" w:rsidR="003372BC" w:rsidRDefault="00D44D07">
          <w:pPr>
            <w:pStyle w:val="TOC1"/>
            <w:rPr>
              <w:rFonts w:eastAsiaTheme="minorEastAsia" w:cstheme="minorBidi"/>
              <w:noProof/>
              <w:sz w:val="22"/>
              <w:szCs w:val="22"/>
              <w:lang w:eastAsia="en-GB"/>
            </w:rPr>
          </w:pPr>
          <w:hyperlink w:anchor="_Toc118384464" w:history="1">
            <w:r w:rsidR="003372BC" w:rsidRPr="003716EF">
              <w:rPr>
                <w:rStyle w:val="Hyperlink"/>
                <w:noProof/>
              </w:rPr>
              <w:t>2.0</w:t>
            </w:r>
            <w:r w:rsidR="003372BC">
              <w:rPr>
                <w:rFonts w:eastAsiaTheme="minorEastAsia" w:cstheme="minorBidi"/>
                <w:noProof/>
                <w:sz w:val="22"/>
                <w:szCs w:val="22"/>
                <w:lang w:eastAsia="en-GB"/>
              </w:rPr>
              <w:tab/>
            </w:r>
            <w:r w:rsidR="003372BC" w:rsidRPr="003716EF">
              <w:rPr>
                <w:rStyle w:val="Hyperlink"/>
                <w:noProof/>
              </w:rPr>
              <w:t>Impact of the Protocol</w:t>
            </w:r>
            <w:r w:rsidR="003372BC">
              <w:rPr>
                <w:noProof/>
                <w:webHidden/>
              </w:rPr>
              <w:tab/>
            </w:r>
            <w:r w:rsidR="003372BC">
              <w:rPr>
                <w:noProof/>
                <w:webHidden/>
              </w:rPr>
              <w:fldChar w:fldCharType="begin"/>
            </w:r>
            <w:r w:rsidR="003372BC">
              <w:rPr>
                <w:noProof/>
                <w:webHidden/>
              </w:rPr>
              <w:instrText xml:space="preserve"> PAGEREF _Toc118384464 \h </w:instrText>
            </w:r>
            <w:r w:rsidR="003372BC">
              <w:rPr>
                <w:noProof/>
                <w:webHidden/>
              </w:rPr>
            </w:r>
            <w:r w:rsidR="003372BC">
              <w:rPr>
                <w:noProof/>
                <w:webHidden/>
              </w:rPr>
              <w:fldChar w:fldCharType="separate"/>
            </w:r>
            <w:r w:rsidR="00AF28E0">
              <w:rPr>
                <w:noProof/>
                <w:webHidden/>
              </w:rPr>
              <w:t>5</w:t>
            </w:r>
            <w:r w:rsidR="003372BC">
              <w:rPr>
                <w:noProof/>
                <w:webHidden/>
              </w:rPr>
              <w:fldChar w:fldCharType="end"/>
            </w:r>
          </w:hyperlink>
        </w:p>
        <w:p w14:paraId="78287EE9" w14:textId="662D0CAD" w:rsidR="003372BC" w:rsidRDefault="00D44D07">
          <w:pPr>
            <w:pStyle w:val="TOC1"/>
            <w:rPr>
              <w:rFonts w:eastAsiaTheme="minorEastAsia" w:cstheme="minorBidi"/>
              <w:noProof/>
              <w:sz w:val="22"/>
              <w:szCs w:val="22"/>
              <w:lang w:eastAsia="en-GB"/>
            </w:rPr>
          </w:pPr>
          <w:hyperlink w:anchor="_Toc118384465" w:history="1">
            <w:r w:rsidR="003372BC" w:rsidRPr="003716EF">
              <w:rPr>
                <w:rStyle w:val="Hyperlink"/>
                <w:noProof/>
              </w:rPr>
              <w:t>3.0</w:t>
            </w:r>
            <w:r w:rsidR="003372BC">
              <w:rPr>
                <w:rFonts w:eastAsiaTheme="minorEastAsia" w:cstheme="minorBidi"/>
                <w:noProof/>
                <w:sz w:val="22"/>
                <w:szCs w:val="22"/>
                <w:lang w:eastAsia="en-GB"/>
              </w:rPr>
              <w:tab/>
            </w:r>
            <w:r w:rsidR="003372BC" w:rsidRPr="003716EF">
              <w:rPr>
                <w:rStyle w:val="Hyperlink"/>
                <w:noProof/>
              </w:rPr>
              <w:t>Legal Impact of the Bill</w:t>
            </w:r>
            <w:r w:rsidR="003372BC">
              <w:rPr>
                <w:noProof/>
                <w:webHidden/>
              </w:rPr>
              <w:tab/>
            </w:r>
            <w:r w:rsidR="003372BC">
              <w:rPr>
                <w:noProof/>
                <w:webHidden/>
              </w:rPr>
              <w:fldChar w:fldCharType="begin"/>
            </w:r>
            <w:r w:rsidR="003372BC">
              <w:rPr>
                <w:noProof/>
                <w:webHidden/>
              </w:rPr>
              <w:instrText xml:space="preserve"> PAGEREF _Toc118384465 \h </w:instrText>
            </w:r>
            <w:r w:rsidR="003372BC">
              <w:rPr>
                <w:noProof/>
                <w:webHidden/>
              </w:rPr>
            </w:r>
            <w:r w:rsidR="003372BC">
              <w:rPr>
                <w:noProof/>
                <w:webHidden/>
              </w:rPr>
              <w:fldChar w:fldCharType="separate"/>
            </w:r>
            <w:r w:rsidR="00AF28E0">
              <w:rPr>
                <w:noProof/>
                <w:webHidden/>
              </w:rPr>
              <w:t>12</w:t>
            </w:r>
            <w:r w:rsidR="003372BC">
              <w:rPr>
                <w:noProof/>
                <w:webHidden/>
              </w:rPr>
              <w:fldChar w:fldCharType="end"/>
            </w:r>
          </w:hyperlink>
        </w:p>
        <w:p w14:paraId="449999D8" w14:textId="0F146DF2" w:rsidR="003372BC" w:rsidRDefault="00D44D07">
          <w:pPr>
            <w:pStyle w:val="TOC1"/>
            <w:rPr>
              <w:rFonts w:eastAsiaTheme="minorEastAsia" w:cstheme="minorBidi"/>
              <w:noProof/>
              <w:sz w:val="22"/>
              <w:szCs w:val="22"/>
              <w:lang w:eastAsia="en-GB"/>
            </w:rPr>
          </w:pPr>
          <w:hyperlink w:anchor="_Toc118384466" w:history="1">
            <w:r w:rsidR="003372BC" w:rsidRPr="003716EF">
              <w:rPr>
                <w:rStyle w:val="Hyperlink"/>
                <w:noProof/>
              </w:rPr>
              <w:t>4.0</w:t>
            </w:r>
            <w:r w:rsidR="003372BC">
              <w:rPr>
                <w:rFonts w:eastAsiaTheme="minorEastAsia" w:cstheme="minorBidi"/>
                <w:noProof/>
                <w:sz w:val="22"/>
                <w:szCs w:val="22"/>
                <w:lang w:eastAsia="en-GB"/>
              </w:rPr>
              <w:tab/>
            </w:r>
            <w:r w:rsidR="003372BC" w:rsidRPr="003716EF">
              <w:rPr>
                <w:rStyle w:val="Hyperlink"/>
                <w:noProof/>
              </w:rPr>
              <w:t>Article 16</w:t>
            </w:r>
            <w:r w:rsidR="003372BC">
              <w:rPr>
                <w:noProof/>
                <w:webHidden/>
              </w:rPr>
              <w:tab/>
            </w:r>
            <w:r w:rsidR="003372BC">
              <w:rPr>
                <w:noProof/>
                <w:webHidden/>
              </w:rPr>
              <w:fldChar w:fldCharType="begin"/>
            </w:r>
            <w:r w:rsidR="003372BC">
              <w:rPr>
                <w:noProof/>
                <w:webHidden/>
              </w:rPr>
              <w:instrText xml:space="preserve"> PAGEREF _Toc118384466 \h </w:instrText>
            </w:r>
            <w:r w:rsidR="003372BC">
              <w:rPr>
                <w:noProof/>
                <w:webHidden/>
              </w:rPr>
            </w:r>
            <w:r w:rsidR="003372BC">
              <w:rPr>
                <w:noProof/>
                <w:webHidden/>
              </w:rPr>
              <w:fldChar w:fldCharType="separate"/>
            </w:r>
            <w:r w:rsidR="00AF28E0">
              <w:rPr>
                <w:noProof/>
                <w:webHidden/>
              </w:rPr>
              <w:t>18</w:t>
            </w:r>
            <w:r w:rsidR="003372BC">
              <w:rPr>
                <w:noProof/>
                <w:webHidden/>
              </w:rPr>
              <w:fldChar w:fldCharType="end"/>
            </w:r>
          </w:hyperlink>
        </w:p>
        <w:p w14:paraId="53AFCE35" w14:textId="67A0E654" w:rsidR="003372BC" w:rsidRDefault="00D44D07">
          <w:pPr>
            <w:pStyle w:val="TOC1"/>
            <w:rPr>
              <w:rFonts w:eastAsiaTheme="minorEastAsia" w:cstheme="minorBidi"/>
              <w:noProof/>
              <w:sz w:val="22"/>
              <w:szCs w:val="22"/>
              <w:lang w:eastAsia="en-GB"/>
            </w:rPr>
          </w:pPr>
          <w:hyperlink w:anchor="_Toc118384467" w:history="1">
            <w:r w:rsidR="003372BC" w:rsidRPr="003716EF">
              <w:rPr>
                <w:rStyle w:val="Hyperlink"/>
                <w:noProof/>
              </w:rPr>
              <w:t>5.0</w:t>
            </w:r>
            <w:r w:rsidR="003372BC">
              <w:rPr>
                <w:rFonts w:eastAsiaTheme="minorEastAsia" w:cstheme="minorBidi"/>
                <w:noProof/>
                <w:sz w:val="22"/>
                <w:szCs w:val="22"/>
                <w:lang w:eastAsia="en-GB"/>
              </w:rPr>
              <w:tab/>
            </w:r>
            <w:r w:rsidR="003372BC" w:rsidRPr="003716EF">
              <w:rPr>
                <w:rStyle w:val="Hyperlink"/>
                <w:noProof/>
              </w:rPr>
              <w:t>The EU’s response</w:t>
            </w:r>
            <w:r w:rsidR="003372BC">
              <w:rPr>
                <w:noProof/>
                <w:webHidden/>
              </w:rPr>
              <w:tab/>
            </w:r>
            <w:r w:rsidR="003372BC">
              <w:rPr>
                <w:noProof/>
                <w:webHidden/>
              </w:rPr>
              <w:fldChar w:fldCharType="begin"/>
            </w:r>
            <w:r w:rsidR="003372BC">
              <w:rPr>
                <w:noProof/>
                <w:webHidden/>
              </w:rPr>
              <w:instrText xml:space="preserve"> PAGEREF _Toc118384467 \h </w:instrText>
            </w:r>
            <w:r w:rsidR="003372BC">
              <w:rPr>
                <w:noProof/>
                <w:webHidden/>
              </w:rPr>
            </w:r>
            <w:r w:rsidR="003372BC">
              <w:rPr>
                <w:noProof/>
                <w:webHidden/>
              </w:rPr>
              <w:fldChar w:fldCharType="separate"/>
            </w:r>
            <w:r w:rsidR="00AF28E0">
              <w:rPr>
                <w:noProof/>
                <w:webHidden/>
              </w:rPr>
              <w:t>19</w:t>
            </w:r>
            <w:r w:rsidR="003372BC">
              <w:rPr>
                <w:noProof/>
                <w:webHidden/>
              </w:rPr>
              <w:fldChar w:fldCharType="end"/>
            </w:r>
          </w:hyperlink>
        </w:p>
        <w:p w14:paraId="1A869FD2" w14:textId="7FD5B805" w:rsidR="003372BC" w:rsidRDefault="00D44D07">
          <w:pPr>
            <w:pStyle w:val="TOC1"/>
            <w:rPr>
              <w:rFonts w:eastAsiaTheme="minorEastAsia" w:cstheme="minorBidi"/>
              <w:noProof/>
              <w:sz w:val="22"/>
              <w:szCs w:val="22"/>
              <w:lang w:eastAsia="en-GB"/>
            </w:rPr>
          </w:pPr>
          <w:hyperlink w:anchor="_Toc118384468" w:history="1">
            <w:r w:rsidR="003372BC" w:rsidRPr="003716EF">
              <w:rPr>
                <w:rStyle w:val="Hyperlink"/>
                <w:noProof/>
              </w:rPr>
              <w:t>6.0</w:t>
            </w:r>
            <w:r w:rsidR="003372BC">
              <w:rPr>
                <w:rFonts w:eastAsiaTheme="minorEastAsia" w:cstheme="minorBidi"/>
                <w:noProof/>
                <w:sz w:val="22"/>
                <w:szCs w:val="22"/>
                <w:lang w:eastAsia="en-GB"/>
              </w:rPr>
              <w:tab/>
            </w:r>
            <w:r w:rsidR="003372BC" w:rsidRPr="003716EF">
              <w:rPr>
                <w:rStyle w:val="Hyperlink"/>
                <w:noProof/>
              </w:rPr>
              <w:t>The way forward</w:t>
            </w:r>
            <w:r w:rsidR="003372BC">
              <w:rPr>
                <w:noProof/>
                <w:webHidden/>
              </w:rPr>
              <w:tab/>
            </w:r>
            <w:r w:rsidR="003372BC">
              <w:rPr>
                <w:noProof/>
                <w:webHidden/>
              </w:rPr>
              <w:fldChar w:fldCharType="begin"/>
            </w:r>
            <w:r w:rsidR="003372BC">
              <w:rPr>
                <w:noProof/>
                <w:webHidden/>
              </w:rPr>
              <w:instrText xml:space="preserve"> PAGEREF _Toc118384468 \h </w:instrText>
            </w:r>
            <w:r w:rsidR="003372BC">
              <w:rPr>
                <w:noProof/>
                <w:webHidden/>
              </w:rPr>
            </w:r>
            <w:r w:rsidR="003372BC">
              <w:rPr>
                <w:noProof/>
                <w:webHidden/>
              </w:rPr>
              <w:fldChar w:fldCharType="separate"/>
            </w:r>
            <w:r w:rsidR="00AF28E0">
              <w:rPr>
                <w:noProof/>
                <w:webHidden/>
              </w:rPr>
              <w:t>21</w:t>
            </w:r>
            <w:r w:rsidR="003372BC">
              <w:rPr>
                <w:noProof/>
                <w:webHidden/>
              </w:rPr>
              <w:fldChar w:fldCharType="end"/>
            </w:r>
          </w:hyperlink>
        </w:p>
        <w:p w14:paraId="7DF4DC6E" w14:textId="39AE0997" w:rsidR="007B5FF8" w:rsidRDefault="007B5FF8">
          <w:r>
            <w:rPr>
              <w:b/>
              <w:bCs/>
              <w:noProof/>
            </w:rPr>
            <w:fldChar w:fldCharType="end"/>
          </w:r>
        </w:p>
      </w:sdtContent>
    </w:sdt>
    <w:p w14:paraId="50DC708D" w14:textId="46401774" w:rsidR="00BD27A1" w:rsidRDefault="007B5FF8" w:rsidP="007B5FF8">
      <w:pPr>
        <w:rPr>
          <w:rFonts w:eastAsia="Times New Roman" w:cstheme="minorHAnsi"/>
          <w:b/>
          <w:sz w:val="40"/>
          <w:szCs w:val="40"/>
          <w:lang w:eastAsia="en-GB"/>
        </w:rPr>
      </w:pPr>
      <w:r>
        <w:rPr>
          <w:rFonts w:eastAsia="Times New Roman" w:cstheme="minorHAnsi"/>
          <w:b/>
          <w:sz w:val="40"/>
          <w:szCs w:val="40"/>
          <w:lang w:eastAsia="en-GB"/>
        </w:rPr>
        <w:br w:type="page"/>
      </w:r>
    </w:p>
    <w:p w14:paraId="0D30D1A6" w14:textId="1D538EBC" w:rsidR="005A3A32" w:rsidRDefault="00F37824" w:rsidP="00F37824">
      <w:pPr>
        <w:pStyle w:val="Heading2"/>
        <w:keepNext w:val="0"/>
        <w:keepLines w:val="0"/>
        <w:spacing w:before="240" w:line="288" w:lineRule="auto"/>
        <w:ind w:left="-11"/>
        <w:rPr>
          <w:lang w:eastAsia="en-GB"/>
        </w:rPr>
      </w:pPr>
      <w:bookmarkStart w:id="1" w:name="_Toc118384462"/>
      <w:r>
        <w:rPr>
          <w:rFonts w:eastAsia="Times New Roman" w:cstheme="minorHAnsi"/>
          <w:b/>
          <w:sz w:val="40"/>
          <w:szCs w:val="40"/>
          <w:u w:val="none"/>
          <w:lang w:eastAsia="en-GB"/>
        </w:rPr>
        <w:lastRenderedPageBreak/>
        <w:t>Summary of Recommendations</w:t>
      </w:r>
      <w:bookmarkEnd w:id="1"/>
    </w:p>
    <w:p w14:paraId="739687BE" w14:textId="327CE2D1" w:rsidR="00BD27A1" w:rsidRDefault="00BD27A1" w:rsidP="00F37824">
      <w:pPr>
        <w:spacing w:after="240"/>
        <w:rPr>
          <w:rFonts w:ascii="Calibri" w:eastAsia="Times New Roman" w:hAnsi="Calibri" w:cs="Times New Roman"/>
          <w:szCs w:val="28"/>
          <w:lang w:eastAsia="en-GB"/>
        </w:rPr>
      </w:pPr>
      <w:r w:rsidRPr="00EB4B5F">
        <w:rPr>
          <w:rFonts w:ascii="Calibri" w:eastAsia="Times New Roman" w:hAnsi="Calibri" w:cs="Times New Roman"/>
          <w:szCs w:val="28"/>
          <w:lang w:eastAsia="en-GB"/>
        </w:rPr>
        <w:t>In summary, the Commissions recommend that:</w:t>
      </w:r>
    </w:p>
    <w:p w14:paraId="4D0B16D1" w14:textId="2863AFDD" w:rsidR="00F37824" w:rsidRPr="00F37824" w:rsidRDefault="00F37824" w:rsidP="00F37824">
      <w:pPr>
        <w:pStyle w:val="ListParagraph"/>
        <w:numPr>
          <w:ilvl w:val="1"/>
          <w:numId w:val="29"/>
        </w:numPr>
        <w:spacing w:after="240"/>
        <w:ind w:left="709" w:hanging="709"/>
        <w:rPr>
          <w:rFonts w:eastAsiaTheme="minorEastAsia" w:cstheme="minorHAnsi"/>
          <w:szCs w:val="28"/>
        </w:rPr>
      </w:pPr>
      <w:r w:rsidRPr="00F37824">
        <w:rPr>
          <w:rFonts w:eastAsiaTheme="minorEastAsia" w:cstheme="minorHAnsi"/>
          <w:b/>
          <w:szCs w:val="28"/>
        </w:rPr>
        <w:t xml:space="preserve">The Commissions consider that the UK Government’s commitment in Protocol Article 2, as well as the establishment of the dedicated mechanism to oversee this commitment, is an important and positive development in relation to the protection of equality and human rights in NI.  </w:t>
      </w:r>
    </w:p>
    <w:p w14:paraId="135E6C1B" w14:textId="77777777" w:rsidR="00F37824" w:rsidRPr="00F37824" w:rsidRDefault="00F37824" w:rsidP="00F37824">
      <w:pPr>
        <w:pStyle w:val="ListParagraph"/>
        <w:spacing w:after="240"/>
        <w:ind w:left="709"/>
        <w:rPr>
          <w:rFonts w:eastAsiaTheme="minorEastAsia" w:cstheme="minorHAnsi"/>
          <w:szCs w:val="28"/>
        </w:rPr>
      </w:pPr>
    </w:p>
    <w:p w14:paraId="035B99B4" w14:textId="69B15190" w:rsidR="00F37824" w:rsidRDefault="00F37824" w:rsidP="00F37824">
      <w:pPr>
        <w:pStyle w:val="ListParagraph"/>
        <w:numPr>
          <w:ilvl w:val="1"/>
          <w:numId w:val="30"/>
        </w:numPr>
        <w:spacing w:after="240"/>
        <w:ind w:left="709" w:hanging="709"/>
        <w:rPr>
          <w:rFonts w:eastAsiaTheme="minorEastAsia" w:cstheme="minorHAnsi"/>
          <w:b/>
          <w:bCs/>
          <w:szCs w:val="28"/>
        </w:rPr>
      </w:pPr>
      <w:r w:rsidRPr="00F37824">
        <w:rPr>
          <w:rFonts w:eastAsiaTheme="minorEastAsia" w:cstheme="minorHAnsi"/>
          <w:b/>
          <w:bCs/>
          <w:szCs w:val="28"/>
        </w:rPr>
        <w:t xml:space="preserve">The Commissions recommend that the UK Government work with the EU Commission to find a long-term solution which ensures Muslim and Jewish communities in Northern Ireland are able to access halal and kosher food products and ritual items respectively. </w:t>
      </w:r>
    </w:p>
    <w:p w14:paraId="5292ECFC" w14:textId="77777777" w:rsidR="00F37824" w:rsidRPr="00F37824" w:rsidRDefault="00F37824" w:rsidP="00F37824">
      <w:pPr>
        <w:pStyle w:val="ListParagraph"/>
        <w:spacing w:after="240"/>
        <w:ind w:left="709"/>
        <w:rPr>
          <w:rFonts w:eastAsiaTheme="minorEastAsia" w:cstheme="minorHAnsi"/>
          <w:b/>
          <w:bCs/>
          <w:szCs w:val="28"/>
        </w:rPr>
      </w:pPr>
    </w:p>
    <w:p w14:paraId="6C243CC5" w14:textId="77777777" w:rsidR="00F37824" w:rsidRPr="00527BED" w:rsidRDefault="00F37824" w:rsidP="00F37824">
      <w:pPr>
        <w:pStyle w:val="ListParagraph"/>
        <w:numPr>
          <w:ilvl w:val="1"/>
          <w:numId w:val="30"/>
        </w:numPr>
        <w:spacing w:after="240"/>
        <w:ind w:left="709" w:hanging="709"/>
        <w:contextualSpacing w:val="0"/>
        <w:rPr>
          <w:rFonts w:eastAsiaTheme="minorEastAsia" w:cstheme="minorHAnsi"/>
          <w:b/>
          <w:bCs/>
          <w:szCs w:val="28"/>
        </w:rPr>
      </w:pPr>
      <w:r w:rsidRPr="00527BED">
        <w:rPr>
          <w:rFonts w:eastAsiaTheme="minorEastAsia" w:cstheme="minorHAnsi"/>
          <w:b/>
          <w:bCs/>
          <w:szCs w:val="28"/>
        </w:rPr>
        <w:t xml:space="preserve">The Commissions recommend that the UK Government, working with the EU continues to monitor and address any outstanding issues relating to the supply of medicines from Great Britain to </w:t>
      </w:r>
      <w:r w:rsidRPr="00566F94">
        <w:rPr>
          <w:rFonts w:eastAsiaTheme="minorEastAsia" w:cstheme="minorHAnsi"/>
          <w:b/>
          <w:bCs/>
          <w:szCs w:val="28"/>
        </w:rPr>
        <w:t>N</w:t>
      </w:r>
      <w:r w:rsidRPr="00606262">
        <w:rPr>
          <w:rFonts w:eastAsiaTheme="minorEastAsia" w:cstheme="minorHAnsi"/>
          <w:b/>
          <w:bCs/>
          <w:szCs w:val="28"/>
        </w:rPr>
        <w:t xml:space="preserve">orthern </w:t>
      </w:r>
      <w:r w:rsidRPr="00566F94">
        <w:rPr>
          <w:rFonts w:eastAsiaTheme="minorEastAsia" w:cstheme="minorHAnsi"/>
          <w:b/>
          <w:bCs/>
          <w:szCs w:val="28"/>
        </w:rPr>
        <w:t>Ireland</w:t>
      </w:r>
      <w:r w:rsidRPr="00527BED">
        <w:rPr>
          <w:rFonts w:eastAsiaTheme="minorEastAsia" w:cstheme="minorHAnsi"/>
          <w:b/>
          <w:bCs/>
          <w:szCs w:val="28"/>
        </w:rPr>
        <w:t xml:space="preserve"> to guarantee no diminution of the current provision, including for disabled people, and to protect the highest attainable standard of health.</w:t>
      </w:r>
    </w:p>
    <w:p w14:paraId="453C3C1D" w14:textId="5FE07400" w:rsidR="00F37824" w:rsidRDefault="00F37824" w:rsidP="00F37824">
      <w:pPr>
        <w:pStyle w:val="ListParagraph"/>
        <w:numPr>
          <w:ilvl w:val="1"/>
          <w:numId w:val="30"/>
        </w:numPr>
        <w:spacing w:after="240"/>
        <w:ind w:left="709" w:hanging="709"/>
        <w:contextualSpacing w:val="0"/>
        <w:rPr>
          <w:rFonts w:eastAsiaTheme="minorEastAsia" w:cstheme="minorHAnsi"/>
          <w:b/>
          <w:bCs/>
          <w:szCs w:val="28"/>
        </w:rPr>
      </w:pPr>
      <w:r w:rsidRPr="00527BED">
        <w:rPr>
          <w:rFonts w:eastAsiaTheme="minorEastAsia" w:cstheme="minorHAnsi"/>
          <w:b/>
          <w:bCs/>
          <w:szCs w:val="28"/>
        </w:rPr>
        <w:t>The Commissions recommend that the UK Government work with the EU Commission</w:t>
      </w:r>
      <w:r>
        <w:rPr>
          <w:rFonts w:eastAsiaTheme="minorEastAsia" w:cstheme="minorHAnsi"/>
          <w:b/>
          <w:bCs/>
          <w:szCs w:val="28"/>
        </w:rPr>
        <w:t xml:space="preserve"> </w:t>
      </w:r>
      <w:r w:rsidRPr="00527BED">
        <w:rPr>
          <w:rFonts w:eastAsiaTheme="minorEastAsia" w:cstheme="minorHAnsi"/>
          <w:b/>
          <w:bCs/>
          <w:szCs w:val="28"/>
        </w:rPr>
        <w:t xml:space="preserve">to find a long-term solution which minimises checks on assistance dog owners travelling between Great Britain and </w:t>
      </w:r>
      <w:r w:rsidRPr="00566F94">
        <w:rPr>
          <w:rFonts w:eastAsiaTheme="minorEastAsia" w:cstheme="minorHAnsi"/>
          <w:b/>
          <w:bCs/>
          <w:szCs w:val="28"/>
        </w:rPr>
        <w:t>N</w:t>
      </w:r>
      <w:r w:rsidRPr="00606262">
        <w:rPr>
          <w:rFonts w:eastAsiaTheme="minorEastAsia" w:cstheme="minorHAnsi"/>
          <w:b/>
          <w:bCs/>
          <w:szCs w:val="28"/>
        </w:rPr>
        <w:t xml:space="preserve">orthern </w:t>
      </w:r>
      <w:r w:rsidRPr="00566F94">
        <w:rPr>
          <w:rFonts w:eastAsiaTheme="minorEastAsia" w:cstheme="minorHAnsi"/>
          <w:b/>
          <w:bCs/>
          <w:szCs w:val="28"/>
        </w:rPr>
        <w:t>Ireland.</w:t>
      </w:r>
    </w:p>
    <w:p w14:paraId="4952E0A5" w14:textId="12EBDAE9" w:rsidR="002F23A4" w:rsidRDefault="002F23A4" w:rsidP="002F23A4">
      <w:pPr>
        <w:pStyle w:val="BasicParagraph"/>
        <w:numPr>
          <w:ilvl w:val="1"/>
          <w:numId w:val="32"/>
        </w:numPr>
        <w:suppressAutoHyphens/>
        <w:spacing w:after="240" w:line="276" w:lineRule="auto"/>
        <w:ind w:left="709" w:hanging="709"/>
        <w:rPr>
          <w:rFonts w:asciiTheme="minorHAnsi" w:hAnsiTheme="minorHAnsi" w:cstheme="minorHAnsi"/>
          <w:szCs w:val="28"/>
        </w:rPr>
      </w:pPr>
      <w:r w:rsidRPr="009E1CCB">
        <w:rPr>
          <w:rFonts w:asciiTheme="minorHAnsi" w:hAnsiTheme="minorHAnsi" w:cstheme="minorHAnsi"/>
          <w:b/>
          <w:szCs w:val="28"/>
        </w:rPr>
        <w:t>The Commissions recommend that compliance with Protocol Article 2 be considered from the earliest stages in the development of policy and legislation, and that there is early engagement with the Commissions on draft legislation to ensure compliance with Protocol Ar</w:t>
      </w:r>
      <w:r>
        <w:rPr>
          <w:rFonts w:asciiTheme="minorHAnsi" w:hAnsiTheme="minorHAnsi" w:cstheme="minorHAnsi"/>
          <w:b/>
          <w:szCs w:val="28"/>
        </w:rPr>
        <w:t>ticle 2</w:t>
      </w:r>
      <w:r w:rsidRPr="009E1CCB">
        <w:rPr>
          <w:rFonts w:asciiTheme="minorHAnsi" w:hAnsiTheme="minorHAnsi" w:cstheme="minorHAnsi"/>
          <w:b/>
          <w:szCs w:val="28"/>
        </w:rPr>
        <w:t xml:space="preserve">. </w:t>
      </w:r>
    </w:p>
    <w:p w14:paraId="0B8102D8" w14:textId="77777777" w:rsidR="002F23A4" w:rsidRDefault="002F23A4" w:rsidP="002F23A4">
      <w:pPr>
        <w:pStyle w:val="BasicParagraph"/>
        <w:numPr>
          <w:ilvl w:val="1"/>
          <w:numId w:val="32"/>
        </w:numPr>
        <w:suppressAutoHyphens/>
        <w:spacing w:after="240" w:line="276" w:lineRule="auto"/>
        <w:ind w:left="709" w:hanging="709"/>
        <w:rPr>
          <w:rFonts w:asciiTheme="minorHAnsi" w:hAnsiTheme="minorHAnsi" w:cstheme="minorHAnsi"/>
          <w:szCs w:val="28"/>
        </w:rPr>
      </w:pPr>
      <w:r w:rsidRPr="009E1CCB">
        <w:rPr>
          <w:rFonts w:asciiTheme="minorHAnsi" w:hAnsiTheme="minorHAnsi" w:cstheme="minorHAnsi"/>
          <w:b/>
          <w:bCs/>
          <w:szCs w:val="28"/>
        </w:rPr>
        <w:t>The Commissions recommend that the UK Government ensure</w:t>
      </w:r>
      <w:r>
        <w:rPr>
          <w:rFonts w:asciiTheme="minorHAnsi" w:hAnsiTheme="minorHAnsi" w:cstheme="minorHAnsi"/>
          <w:b/>
          <w:bCs/>
          <w:szCs w:val="28"/>
        </w:rPr>
        <w:t>s</w:t>
      </w:r>
      <w:r w:rsidRPr="009E1CCB">
        <w:rPr>
          <w:rFonts w:asciiTheme="minorHAnsi" w:hAnsiTheme="minorHAnsi" w:cstheme="minorHAnsi"/>
          <w:b/>
          <w:bCs/>
          <w:szCs w:val="28"/>
        </w:rPr>
        <w:t xml:space="preserve"> that Explanatory Memoranda on draft UK proposals that are likely to engage Protocol Article 2 set out what consideration has been given to ensuring conformity with Protocol Article 2.</w:t>
      </w:r>
    </w:p>
    <w:p w14:paraId="6F56D755" w14:textId="32796B01" w:rsidR="002F23A4" w:rsidRPr="002F23A4" w:rsidRDefault="002F23A4" w:rsidP="002F23A4">
      <w:pPr>
        <w:pStyle w:val="BasicParagraph"/>
        <w:numPr>
          <w:ilvl w:val="1"/>
          <w:numId w:val="32"/>
        </w:numPr>
        <w:suppressAutoHyphens/>
        <w:spacing w:after="240" w:line="276" w:lineRule="auto"/>
        <w:ind w:left="709" w:hanging="709"/>
        <w:rPr>
          <w:rFonts w:asciiTheme="minorHAnsi" w:hAnsiTheme="minorHAnsi" w:cstheme="minorHAnsi"/>
          <w:szCs w:val="28"/>
        </w:rPr>
      </w:pPr>
      <w:r w:rsidRPr="009E1CCB">
        <w:rPr>
          <w:b/>
          <w:szCs w:val="28"/>
        </w:rPr>
        <w:lastRenderedPageBreak/>
        <w:t xml:space="preserve">The Commissions recommend that the Committee asks the Minister </w:t>
      </w:r>
      <w:r w:rsidRPr="009E1CCB">
        <w:rPr>
          <w:rFonts w:asciiTheme="minorHAnsi" w:hAnsiTheme="minorHAnsi" w:cstheme="minorHAnsi"/>
          <w:b/>
          <w:bCs/>
          <w:szCs w:val="28"/>
        </w:rPr>
        <w:t>in charge of the Bill to</w:t>
      </w:r>
      <w:r w:rsidRPr="009E1CCB">
        <w:rPr>
          <w:b/>
          <w:szCs w:val="28"/>
        </w:rPr>
        <w:t xml:space="preserve"> set out, in detail, what consideration was given to compliance with Protocol Article 2 in the development of the Protocol Bill.</w:t>
      </w:r>
    </w:p>
    <w:p w14:paraId="32493D13" w14:textId="55C8C772" w:rsidR="002F23A4" w:rsidRPr="002F23A4" w:rsidRDefault="002F23A4" w:rsidP="002F23A4">
      <w:pPr>
        <w:pStyle w:val="ListParagraph"/>
        <w:numPr>
          <w:ilvl w:val="1"/>
          <w:numId w:val="33"/>
        </w:numPr>
        <w:ind w:left="709" w:hanging="709"/>
        <w:rPr>
          <w:rFonts w:cstheme="minorHAnsi"/>
          <w:b/>
          <w:szCs w:val="28"/>
        </w:rPr>
      </w:pPr>
      <w:r w:rsidRPr="002F23A4">
        <w:rPr>
          <w:rFonts w:cstheme="minorHAnsi"/>
          <w:b/>
          <w:bCs/>
          <w:szCs w:val="28"/>
        </w:rPr>
        <w:t>The Commissions recommend that Clause 13 be amended to make clear that subsection 1 does not restrict the role of the CJEU where it is asked to give a ruling under Article 174 of the Withdrawal Agreement (Disputes raising questions of Union law) relating to the interpretation of EU law relevant to Protocol Article 2.</w:t>
      </w:r>
    </w:p>
    <w:p w14:paraId="12984D5D" w14:textId="77777777" w:rsidR="002F23A4" w:rsidRPr="002F23A4" w:rsidRDefault="002F23A4" w:rsidP="002F23A4">
      <w:pPr>
        <w:pStyle w:val="ListParagraph"/>
        <w:ind w:left="709"/>
        <w:rPr>
          <w:rFonts w:cstheme="minorHAnsi"/>
          <w:b/>
          <w:szCs w:val="28"/>
        </w:rPr>
      </w:pPr>
    </w:p>
    <w:p w14:paraId="64F6D46E" w14:textId="75CA8DAD" w:rsidR="002F23A4" w:rsidRPr="002F23A4" w:rsidRDefault="002F23A4" w:rsidP="002F23A4">
      <w:pPr>
        <w:pStyle w:val="ListParagraph"/>
        <w:numPr>
          <w:ilvl w:val="1"/>
          <w:numId w:val="34"/>
        </w:numPr>
        <w:ind w:left="709" w:hanging="709"/>
        <w:rPr>
          <w:rFonts w:cstheme="minorHAnsi"/>
          <w:b/>
          <w:szCs w:val="28"/>
        </w:rPr>
      </w:pPr>
      <w:r w:rsidRPr="002F23A4">
        <w:rPr>
          <w:rFonts w:cstheme="minorHAnsi"/>
          <w:b/>
          <w:bCs/>
          <w:szCs w:val="28"/>
        </w:rPr>
        <w:t xml:space="preserve">The Commissions recommend that Clause 15(3) be amended to supplement the restriction preventing Ministers from designating Protocol Article 2 as excluded provision, to ensure that Ministers are also prevented from designating as excluded provision, any provision of the Withdrawal Agreement or Protocol insofar as it affects the interpretation, implementation and/or enforcement of Protocol Article 2. </w:t>
      </w:r>
    </w:p>
    <w:p w14:paraId="76AA0EBF" w14:textId="77777777" w:rsidR="002F23A4" w:rsidRPr="002F23A4" w:rsidRDefault="002F23A4" w:rsidP="002F23A4">
      <w:pPr>
        <w:pStyle w:val="ListParagraph"/>
        <w:ind w:left="709"/>
        <w:rPr>
          <w:rFonts w:cstheme="minorHAnsi"/>
          <w:b/>
          <w:szCs w:val="28"/>
        </w:rPr>
      </w:pPr>
    </w:p>
    <w:p w14:paraId="790C6904" w14:textId="6BA510B0" w:rsidR="002F23A4" w:rsidRPr="002F23A4" w:rsidRDefault="002F23A4" w:rsidP="002F23A4">
      <w:pPr>
        <w:pStyle w:val="ListParagraph"/>
        <w:numPr>
          <w:ilvl w:val="1"/>
          <w:numId w:val="35"/>
        </w:numPr>
        <w:ind w:left="709" w:hanging="709"/>
        <w:rPr>
          <w:rFonts w:cstheme="minorHAnsi"/>
          <w:b/>
          <w:szCs w:val="28"/>
        </w:rPr>
      </w:pPr>
      <w:r w:rsidRPr="002F23A4">
        <w:rPr>
          <w:rFonts w:cstheme="minorHAnsi"/>
          <w:b/>
          <w:bCs/>
          <w:szCs w:val="28"/>
        </w:rPr>
        <w:t>The Commissions recommend that the Bill be amended to make clear that a Minister’s powers under Clause 14(4), or any other Clause of the Bill, do not extend to taking any action that weakens the interpretation, implementation or enforcement of Protocol Article 2, either by excluding provisions of the Protocol or Withdrawal Agreement insofar as they relate to Protocol Article 2, or by any other exercise of delegated powers under the Bill.</w:t>
      </w:r>
      <w:r w:rsidRPr="00DA748E">
        <w:rPr>
          <w:rStyle w:val="FootnoteReference"/>
          <w:rFonts w:cstheme="minorHAnsi"/>
          <w:b/>
          <w:bCs/>
          <w:szCs w:val="28"/>
        </w:rPr>
        <w:footnoteReference w:id="2"/>
      </w:r>
    </w:p>
    <w:p w14:paraId="367E1B63" w14:textId="77777777" w:rsidR="002F23A4" w:rsidRPr="002F23A4" w:rsidRDefault="002F23A4" w:rsidP="002F23A4">
      <w:pPr>
        <w:pStyle w:val="ListParagraph"/>
        <w:ind w:left="709"/>
        <w:rPr>
          <w:rFonts w:cstheme="minorHAnsi"/>
          <w:b/>
          <w:szCs w:val="28"/>
        </w:rPr>
      </w:pPr>
    </w:p>
    <w:p w14:paraId="5FCA3F0B" w14:textId="0B5C7883" w:rsidR="002F23A4" w:rsidRPr="002F23A4" w:rsidRDefault="002F23A4" w:rsidP="002F23A4">
      <w:pPr>
        <w:pStyle w:val="ListParagraph"/>
        <w:numPr>
          <w:ilvl w:val="1"/>
          <w:numId w:val="36"/>
        </w:numPr>
        <w:ind w:left="709" w:hanging="709"/>
        <w:rPr>
          <w:rFonts w:cstheme="minorHAnsi"/>
          <w:b/>
          <w:szCs w:val="28"/>
        </w:rPr>
      </w:pPr>
      <w:r w:rsidRPr="002F23A4">
        <w:rPr>
          <w:rFonts w:cstheme="minorHAnsi"/>
          <w:b/>
          <w:szCs w:val="28"/>
        </w:rPr>
        <w:t xml:space="preserve">The Commissions recommend that Clause 20 be amended to ensure that it does not impact on the duty, under Protocol Article 13(2), on domestic courts and tribunals to </w:t>
      </w:r>
      <w:r w:rsidRPr="002F23A4">
        <w:rPr>
          <w:rFonts w:cstheme="minorHAnsi"/>
          <w:b/>
          <w:bCs/>
          <w:szCs w:val="28"/>
        </w:rPr>
        <w:t>interpret EU law relevant to Protocol Article 2 in conformity with the relevant case law of the CJEU.</w:t>
      </w:r>
      <w:r w:rsidRPr="002F23A4">
        <w:rPr>
          <w:rFonts w:cstheme="minorHAnsi"/>
          <w:szCs w:val="28"/>
        </w:rPr>
        <w:t xml:space="preserve"> </w:t>
      </w:r>
    </w:p>
    <w:p w14:paraId="7587F0BC" w14:textId="77777777" w:rsidR="002F23A4" w:rsidRPr="002F23A4" w:rsidRDefault="002F23A4" w:rsidP="002F23A4">
      <w:pPr>
        <w:pStyle w:val="ListParagraph"/>
        <w:ind w:left="709"/>
        <w:rPr>
          <w:rFonts w:cstheme="minorHAnsi"/>
          <w:b/>
          <w:szCs w:val="28"/>
        </w:rPr>
      </w:pPr>
    </w:p>
    <w:p w14:paraId="15A72664" w14:textId="63AEC5A9" w:rsidR="002F23A4" w:rsidRDefault="002F23A4" w:rsidP="002F23A4">
      <w:pPr>
        <w:pStyle w:val="ListParagraph"/>
        <w:numPr>
          <w:ilvl w:val="1"/>
          <w:numId w:val="37"/>
        </w:numPr>
        <w:spacing w:after="240"/>
        <w:ind w:left="709" w:hanging="709"/>
        <w:rPr>
          <w:rFonts w:eastAsiaTheme="minorEastAsia" w:cstheme="minorHAnsi"/>
          <w:b/>
          <w:bCs/>
          <w:szCs w:val="28"/>
        </w:rPr>
      </w:pPr>
      <w:r w:rsidRPr="002F23A4">
        <w:rPr>
          <w:rFonts w:eastAsiaTheme="minorEastAsia" w:cstheme="minorHAnsi"/>
          <w:b/>
          <w:bCs/>
          <w:szCs w:val="28"/>
        </w:rPr>
        <w:t xml:space="preserve">The Commissions recommend that there are no changes to the Protocol that would result in a weakening of either the Article 2(1) </w:t>
      </w:r>
      <w:r w:rsidRPr="002F23A4">
        <w:rPr>
          <w:rFonts w:eastAsiaTheme="minorEastAsia" w:cstheme="minorHAnsi"/>
          <w:b/>
          <w:bCs/>
          <w:szCs w:val="28"/>
        </w:rPr>
        <w:lastRenderedPageBreak/>
        <w:t>commitment or the Protocol’s rights, safeguards and oversight mechanisms relating to this commitment.</w:t>
      </w:r>
    </w:p>
    <w:p w14:paraId="42E1D22A" w14:textId="77777777" w:rsidR="002F23A4" w:rsidRDefault="002F23A4" w:rsidP="002F23A4">
      <w:pPr>
        <w:pStyle w:val="ListParagraph"/>
        <w:spacing w:after="240"/>
        <w:ind w:left="709"/>
        <w:rPr>
          <w:rFonts w:eastAsiaTheme="minorEastAsia" w:cstheme="minorHAnsi"/>
          <w:b/>
          <w:bCs/>
          <w:szCs w:val="28"/>
        </w:rPr>
      </w:pPr>
    </w:p>
    <w:p w14:paraId="606A5EB9" w14:textId="3A7FF6CD" w:rsidR="002F23A4" w:rsidRPr="002F23A4" w:rsidRDefault="002F23A4" w:rsidP="002F23A4">
      <w:pPr>
        <w:pStyle w:val="ListParagraph"/>
        <w:numPr>
          <w:ilvl w:val="1"/>
          <w:numId w:val="38"/>
        </w:numPr>
        <w:spacing w:after="240"/>
        <w:ind w:left="709" w:hanging="709"/>
        <w:rPr>
          <w:rFonts w:eastAsiaTheme="minorEastAsia" w:cstheme="minorHAnsi"/>
          <w:b/>
          <w:bCs/>
          <w:szCs w:val="28"/>
        </w:rPr>
      </w:pPr>
      <w:r>
        <w:rPr>
          <w:rFonts w:eastAsiaTheme="minorEastAsia" w:cstheme="minorHAnsi"/>
          <w:b/>
          <w:bCs/>
          <w:szCs w:val="28"/>
        </w:rPr>
        <w:t>T</w:t>
      </w:r>
      <w:r w:rsidRPr="002F23A4">
        <w:rPr>
          <w:rFonts w:eastAsiaTheme="minorEastAsia" w:cstheme="minorHAnsi"/>
          <w:b/>
          <w:bCs/>
          <w:szCs w:val="28"/>
        </w:rPr>
        <w:t xml:space="preserve">he Commissions continue to recommend that: </w:t>
      </w:r>
    </w:p>
    <w:p w14:paraId="6BC0B765" w14:textId="77777777" w:rsidR="002F23A4" w:rsidRPr="00D04686" w:rsidRDefault="002F23A4" w:rsidP="002F23A4">
      <w:pPr>
        <w:pStyle w:val="ListParagraph"/>
        <w:numPr>
          <w:ilvl w:val="0"/>
          <w:numId w:val="28"/>
        </w:numPr>
        <w:spacing w:after="240"/>
        <w:contextualSpacing w:val="0"/>
        <w:rPr>
          <w:rFonts w:eastAsiaTheme="minorEastAsia" w:cstheme="minorHAnsi"/>
          <w:b/>
          <w:bCs/>
          <w:szCs w:val="28"/>
        </w:rPr>
      </w:pPr>
      <w:r w:rsidRPr="00D04686">
        <w:rPr>
          <w:rFonts w:eastAsiaTheme="minorEastAsia" w:cstheme="minorHAnsi"/>
          <w:b/>
          <w:bCs/>
          <w:szCs w:val="28"/>
        </w:rPr>
        <w:t>as the EU considers proposed structures for engagement with NI stakeholders, this should include open, transparent and regular engagement with the Commissions and equality and human rights stakeholders in Northern Ireland;</w:t>
      </w:r>
      <w:r>
        <w:rPr>
          <w:rFonts w:eastAsiaTheme="minorEastAsia" w:cstheme="minorHAnsi"/>
          <w:b/>
          <w:bCs/>
          <w:szCs w:val="28"/>
        </w:rPr>
        <w:t xml:space="preserve"> and this </w:t>
      </w:r>
      <w:r w:rsidRPr="00D04686">
        <w:rPr>
          <w:b/>
          <w:bCs/>
        </w:rPr>
        <w:t>should include those working on cross border issues relating to equality and human rights.</w:t>
      </w:r>
    </w:p>
    <w:p w14:paraId="5B4895E0" w14:textId="77777777" w:rsidR="002F23A4" w:rsidRDefault="002F23A4" w:rsidP="002F23A4">
      <w:pPr>
        <w:pStyle w:val="ListParagraph"/>
        <w:numPr>
          <w:ilvl w:val="0"/>
          <w:numId w:val="28"/>
        </w:numPr>
        <w:spacing w:after="240"/>
        <w:contextualSpacing w:val="0"/>
        <w:rPr>
          <w:rFonts w:eastAsiaTheme="minorEastAsia" w:cstheme="minorHAnsi"/>
          <w:b/>
          <w:bCs/>
          <w:szCs w:val="28"/>
        </w:rPr>
      </w:pPr>
      <w:r w:rsidRPr="00D04686">
        <w:rPr>
          <w:rFonts w:eastAsiaTheme="minorEastAsia" w:cstheme="minorHAnsi"/>
          <w:b/>
          <w:bCs/>
          <w:szCs w:val="28"/>
        </w:rPr>
        <w:t xml:space="preserve">the Commissions are kept informed of any future EU equality law developments relevant to the Annex 1 equality Directives in the Protocol, and </w:t>
      </w:r>
      <w:r w:rsidRPr="00D04686">
        <w:rPr>
          <w:rFonts w:eastAsiaTheme="minorEastAsia" w:cstheme="minorHAnsi"/>
          <w:b/>
          <w:bCs/>
          <w:szCs w:val="28"/>
          <w:u w:val="single"/>
        </w:rPr>
        <w:t>have the opportunity to highlight in advance any implications of those changes for equality law in Northern Ireland</w:t>
      </w:r>
      <w:r w:rsidRPr="00D04686">
        <w:rPr>
          <w:rFonts w:eastAsiaTheme="minorEastAsia" w:cstheme="minorHAnsi"/>
          <w:b/>
          <w:bCs/>
          <w:szCs w:val="28"/>
        </w:rPr>
        <w:t xml:space="preserve">; </w:t>
      </w:r>
    </w:p>
    <w:p w14:paraId="0AAA99B4" w14:textId="77777777" w:rsidR="002F23A4" w:rsidRPr="00D04686" w:rsidRDefault="002F23A4" w:rsidP="002F23A4">
      <w:pPr>
        <w:pStyle w:val="ListParagraph"/>
        <w:numPr>
          <w:ilvl w:val="0"/>
          <w:numId w:val="28"/>
        </w:numPr>
        <w:spacing w:after="240"/>
        <w:contextualSpacing w:val="0"/>
        <w:rPr>
          <w:rFonts w:eastAsiaTheme="minorEastAsia" w:cstheme="minorHAnsi"/>
          <w:b/>
          <w:bCs/>
          <w:szCs w:val="28"/>
        </w:rPr>
      </w:pPr>
      <w:r>
        <w:rPr>
          <w:rFonts w:eastAsiaTheme="minorEastAsia" w:cstheme="minorHAnsi"/>
          <w:b/>
          <w:bCs/>
          <w:szCs w:val="28"/>
        </w:rPr>
        <w:t>t</w:t>
      </w:r>
      <w:r w:rsidRPr="00376299">
        <w:rPr>
          <w:rFonts w:eastAsiaTheme="minorEastAsia" w:cstheme="minorHAnsi"/>
          <w:b/>
          <w:bCs/>
          <w:szCs w:val="28"/>
        </w:rPr>
        <w:t>he NI Executive work with the UK Government and on a North-South basis to build strong open channels of communication to keep informed of key developments of relevance to Article 2;</w:t>
      </w:r>
    </w:p>
    <w:p w14:paraId="4DD75460" w14:textId="7C67C92A" w:rsidR="002F23A4" w:rsidRPr="00D04686" w:rsidRDefault="002F23A4" w:rsidP="002F23A4">
      <w:pPr>
        <w:pStyle w:val="ListParagraph"/>
        <w:numPr>
          <w:ilvl w:val="0"/>
          <w:numId w:val="28"/>
        </w:numPr>
        <w:spacing w:after="240"/>
        <w:contextualSpacing w:val="0"/>
        <w:rPr>
          <w:rFonts w:eastAsiaTheme="minorEastAsia" w:cstheme="minorHAnsi"/>
          <w:b/>
          <w:szCs w:val="28"/>
        </w:rPr>
      </w:pPr>
      <w:r w:rsidRPr="00D04686">
        <w:rPr>
          <w:rFonts w:eastAsiaTheme="minorEastAsia" w:cstheme="minorHAnsi"/>
          <w:b/>
          <w:bCs/>
          <w:szCs w:val="28"/>
        </w:rPr>
        <w:t xml:space="preserve">any proposals between the UK Government and EU on the development of “structured groups” within the </w:t>
      </w:r>
      <w:r w:rsidR="00AF28E0">
        <w:rPr>
          <w:rFonts w:eastAsiaTheme="minorEastAsia" w:cstheme="minorHAnsi"/>
          <w:b/>
          <w:bCs/>
          <w:szCs w:val="28"/>
        </w:rPr>
        <w:t>Joint Consultative Working Group</w:t>
      </w:r>
      <w:r w:rsidR="00AF28E0" w:rsidRPr="00D04686">
        <w:rPr>
          <w:rFonts w:eastAsiaTheme="minorEastAsia" w:cstheme="minorHAnsi"/>
          <w:b/>
          <w:bCs/>
          <w:szCs w:val="28"/>
        </w:rPr>
        <w:t xml:space="preserve"> </w:t>
      </w:r>
      <w:r w:rsidRPr="00D04686">
        <w:rPr>
          <w:rFonts w:eastAsiaTheme="minorEastAsia" w:cstheme="minorHAnsi"/>
          <w:b/>
          <w:bCs/>
          <w:szCs w:val="28"/>
        </w:rPr>
        <w:t>includes consideration being given to establishing a group that focuses on issues relating to Protocol Article 2</w:t>
      </w:r>
      <w:r>
        <w:rPr>
          <w:rFonts w:eastAsiaTheme="minorEastAsia" w:cstheme="minorHAnsi"/>
          <w:szCs w:val="28"/>
        </w:rPr>
        <w:t xml:space="preserve">; </w:t>
      </w:r>
    </w:p>
    <w:p w14:paraId="58CCB360" w14:textId="349D5B2D" w:rsidR="002F23A4" w:rsidRDefault="002F23A4" w:rsidP="002F23A4">
      <w:pPr>
        <w:pStyle w:val="ListParagraph"/>
        <w:numPr>
          <w:ilvl w:val="0"/>
          <w:numId w:val="28"/>
        </w:numPr>
        <w:spacing w:after="240"/>
        <w:contextualSpacing w:val="0"/>
        <w:rPr>
          <w:rFonts w:eastAsiaTheme="minorEastAsia" w:cstheme="minorHAnsi"/>
          <w:b/>
          <w:bCs/>
          <w:szCs w:val="28"/>
        </w:rPr>
      </w:pPr>
      <w:proofErr w:type="gramStart"/>
      <w:r w:rsidRPr="00D04686">
        <w:rPr>
          <w:rFonts w:eastAsiaTheme="minorEastAsia" w:cstheme="minorHAnsi"/>
          <w:b/>
          <w:bCs/>
          <w:szCs w:val="28"/>
        </w:rPr>
        <w:t>proposals</w:t>
      </w:r>
      <w:proofErr w:type="gramEnd"/>
      <w:r w:rsidRPr="00D04686">
        <w:rPr>
          <w:rFonts w:eastAsiaTheme="minorEastAsia" w:cstheme="minorHAnsi"/>
          <w:b/>
          <w:bCs/>
          <w:szCs w:val="28"/>
        </w:rPr>
        <w:t xml:space="preserve"> on increased transparency relating to the </w:t>
      </w:r>
      <w:r w:rsidR="00AF28E0">
        <w:rPr>
          <w:rFonts w:eastAsiaTheme="minorEastAsia" w:cstheme="minorHAnsi"/>
          <w:b/>
          <w:bCs/>
          <w:szCs w:val="28"/>
        </w:rPr>
        <w:t>Joint Consultative Working Group</w:t>
      </w:r>
      <w:r w:rsidR="00AF28E0" w:rsidRPr="00D04686" w:rsidDel="00AF28E0">
        <w:rPr>
          <w:rFonts w:eastAsiaTheme="minorEastAsia" w:cstheme="minorHAnsi"/>
          <w:b/>
          <w:bCs/>
          <w:szCs w:val="28"/>
        </w:rPr>
        <w:t xml:space="preserve"> </w:t>
      </w:r>
      <w:r w:rsidRPr="00D04686">
        <w:rPr>
          <w:rFonts w:eastAsiaTheme="minorEastAsia" w:cstheme="minorHAnsi"/>
          <w:b/>
          <w:bCs/>
          <w:szCs w:val="28"/>
        </w:rPr>
        <w:t>are extended to include the publication of agendas in advance of meetings.</w:t>
      </w:r>
    </w:p>
    <w:p w14:paraId="77470562" w14:textId="6D7B16D4" w:rsidR="002F23A4" w:rsidRPr="00F37824" w:rsidRDefault="002F23A4" w:rsidP="002F23A4">
      <w:pPr>
        <w:pStyle w:val="ListParagraph"/>
        <w:numPr>
          <w:ilvl w:val="1"/>
          <w:numId w:val="39"/>
        </w:numPr>
        <w:spacing w:after="240"/>
        <w:ind w:left="851" w:hanging="851"/>
      </w:pPr>
      <w:r w:rsidRPr="002F23A4">
        <w:rPr>
          <w:rFonts w:eastAsiaTheme="minorEastAsia" w:cstheme="minorHAnsi"/>
          <w:b/>
          <w:bCs/>
          <w:szCs w:val="28"/>
        </w:rPr>
        <w:t>The Commissions recommend that the UK Government and EU continue to undertake engagement with equality and human rights stakeholders in NI, including those working on cross-border issues.</w:t>
      </w:r>
    </w:p>
    <w:p w14:paraId="3D816D20" w14:textId="77777777" w:rsidR="002F23A4" w:rsidRPr="002F23A4" w:rsidRDefault="002F23A4" w:rsidP="002F23A4">
      <w:pPr>
        <w:spacing w:after="240"/>
        <w:rPr>
          <w:rFonts w:eastAsiaTheme="minorEastAsia" w:cstheme="minorHAnsi"/>
          <w:b/>
          <w:bCs/>
          <w:szCs w:val="28"/>
        </w:rPr>
      </w:pPr>
    </w:p>
    <w:p w14:paraId="16BEE208" w14:textId="77777777" w:rsidR="002F23A4" w:rsidRPr="002F23A4" w:rsidRDefault="002F23A4" w:rsidP="002F23A4">
      <w:pPr>
        <w:spacing w:after="240"/>
        <w:rPr>
          <w:rFonts w:eastAsiaTheme="minorEastAsia" w:cstheme="minorHAnsi"/>
          <w:b/>
          <w:bCs/>
          <w:szCs w:val="28"/>
        </w:rPr>
      </w:pPr>
    </w:p>
    <w:p w14:paraId="0DF55FAD" w14:textId="77777777" w:rsidR="002F23A4" w:rsidRPr="002F23A4" w:rsidRDefault="002F23A4" w:rsidP="002F23A4">
      <w:pPr>
        <w:rPr>
          <w:rFonts w:cstheme="minorHAnsi"/>
          <w:b/>
          <w:szCs w:val="28"/>
        </w:rPr>
      </w:pPr>
    </w:p>
    <w:p w14:paraId="2139751F" w14:textId="0D7A7D32" w:rsidR="00F94757" w:rsidRPr="00DA748E" w:rsidRDefault="00F94757" w:rsidP="00DA748E">
      <w:pPr>
        <w:pStyle w:val="Heading1"/>
        <w:ind w:left="426" w:hanging="426"/>
      </w:pPr>
      <w:bookmarkStart w:id="2" w:name="_Toc118384463"/>
      <w:r w:rsidRPr="00DA748E">
        <w:t>Introduction</w:t>
      </w:r>
      <w:bookmarkEnd w:id="2"/>
    </w:p>
    <w:p w14:paraId="45BDC8A7" w14:textId="1CC7915A" w:rsidR="00F94757" w:rsidRPr="00527BED" w:rsidRDefault="00F94757" w:rsidP="00F94757">
      <w:pPr>
        <w:pStyle w:val="NoSpacing"/>
        <w:rPr>
          <w:rFonts w:cstheme="minorHAnsi"/>
          <w:sz w:val="24"/>
          <w:szCs w:val="24"/>
        </w:rPr>
      </w:pPr>
    </w:p>
    <w:p w14:paraId="438D0CC7" w14:textId="04939971" w:rsidR="00B00BFF" w:rsidRPr="00527BED" w:rsidRDefault="00B00BFF"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 xml:space="preserve">The Northern Ireland Human Rights Commission (the NIHRC), pursuant to section 69(1) </w:t>
      </w:r>
      <w:r w:rsidR="00383037">
        <w:rPr>
          <w:rFonts w:eastAsiaTheme="minorEastAsia" w:cstheme="minorHAnsi"/>
          <w:szCs w:val="28"/>
        </w:rPr>
        <w:t xml:space="preserve">of </w:t>
      </w:r>
      <w:r w:rsidRPr="00527BED">
        <w:rPr>
          <w:rFonts w:eastAsiaTheme="minorEastAsia" w:cstheme="minorHAnsi"/>
          <w:szCs w:val="28"/>
        </w:rPr>
        <w:t xml:space="preserve">the Northern Ireland Act 1998, reviews the adequacy and effectiveness of law and practice relating to the protection of human rights in Northern Ireland. </w:t>
      </w:r>
    </w:p>
    <w:p w14:paraId="73C882E0" w14:textId="3911A4E8" w:rsidR="00B00BFF" w:rsidRPr="00527BED" w:rsidRDefault="00B00BFF"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NIHRC bases its advice on the full range of internationally accepted human rights standards, including the European Convention on Human Rights (ECHR), as incorporated by the Human Rights Act 1998 and the treaty obligations of the Council of Europe (</w:t>
      </w:r>
      <w:proofErr w:type="spellStart"/>
      <w:r w:rsidRPr="00527BED">
        <w:rPr>
          <w:rFonts w:eastAsiaTheme="minorEastAsia" w:cstheme="minorHAnsi"/>
          <w:szCs w:val="28"/>
        </w:rPr>
        <w:t>CoE</w:t>
      </w:r>
      <w:proofErr w:type="spellEnd"/>
      <w:r w:rsidRPr="00527BED">
        <w:rPr>
          <w:rFonts w:eastAsiaTheme="minorEastAsia" w:cstheme="minorHAnsi"/>
          <w:szCs w:val="28"/>
        </w:rPr>
        <w:t xml:space="preserve">) and United Nations (UN) systems. In addition to these treaty standards, there exists a body of ‘soft law’ developed by the human rights bodies of the </w:t>
      </w:r>
      <w:proofErr w:type="spellStart"/>
      <w:r w:rsidRPr="00527BED">
        <w:rPr>
          <w:rFonts w:eastAsiaTheme="minorEastAsia" w:cstheme="minorHAnsi"/>
          <w:szCs w:val="28"/>
        </w:rPr>
        <w:t>CoE</w:t>
      </w:r>
      <w:proofErr w:type="spellEnd"/>
      <w:r w:rsidRPr="00527BED">
        <w:rPr>
          <w:rFonts w:eastAsiaTheme="minorEastAsia" w:cstheme="minorHAnsi"/>
          <w:szCs w:val="28"/>
        </w:rPr>
        <w:t xml:space="preserve"> and UN. These declarations and principles are non-binding but provide further guidance in respect of specific areas.</w:t>
      </w:r>
    </w:p>
    <w:p w14:paraId="76B0BD42" w14:textId="6DF6C0FC" w:rsidR="00F94757" w:rsidRPr="00527BED" w:rsidRDefault="00F94757"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Equality Commission for Northern Ireland (ECNI) is an independent public</w:t>
      </w:r>
      <w:r w:rsidR="00F72F09" w:rsidRPr="00527BED">
        <w:rPr>
          <w:rFonts w:eastAsiaTheme="minorEastAsia" w:cstheme="minorHAnsi"/>
          <w:szCs w:val="28"/>
        </w:rPr>
        <w:t xml:space="preserve"> </w:t>
      </w:r>
      <w:r w:rsidRPr="00527BED">
        <w:rPr>
          <w:rFonts w:eastAsiaTheme="minorEastAsia" w:cstheme="minorHAnsi"/>
          <w:szCs w:val="28"/>
        </w:rPr>
        <w:t>body established under the Northern Ireland Act 1998. Its powers and duties</w:t>
      </w:r>
      <w:r w:rsidR="00F72F09" w:rsidRPr="00527BED">
        <w:rPr>
          <w:rFonts w:eastAsiaTheme="minorEastAsia" w:cstheme="minorHAnsi"/>
          <w:szCs w:val="28"/>
        </w:rPr>
        <w:t xml:space="preserve"> </w:t>
      </w:r>
      <w:r w:rsidRPr="00527BED">
        <w:rPr>
          <w:rFonts w:eastAsiaTheme="minorEastAsia" w:cstheme="minorHAnsi"/>
          <w:szCs w:val="28"/>
        </w:rPr>
        <w:t>derive from a number of equality statutes providing protection against</w:t>
      </w:r>
      <w:r w:rsidR="00F72F09" w:rsidRPr="00527BED">
        <w:rPr>
          <w:rFonts w:eastAsiaTheme="minorEastAsia" w:cstheme="minorHAnsi"/>
          <w:szCs w:val="28"/>
        </w:rPr>
        <w:t xml:space="preserve"> </w:t>
      </w:r>
      <w:r w:rsidRPr="00527BED">
        <w:rPr>
          <w:rFonts w:eastAsiaTheme="minorEastAsia" w:cstheme="minorHAnsi"/>
          <w:szCs w:val="28"/>
        </w:rPr>
        <w:t>discrimination on the grounds of age, disability, race, religion and political</w:t>
      </w:r>
      <w:r w:rsidR="00F72F09" w:rsidRPr="00527BED">
        <w:rPr>
          <w:rFonts w:eastAsiaTheme="minorEastAsia" w:cstheme="minorHAnsi"/>
          <w:szCs w:val="28"/>
        </w:rPr>
        <w:t xml:space="preserve"> </w:t>
      </w:r>
      <w:r w:rsidRPr="00527BED">
        <w:rPr>
          <w:rFonts w:eastAsiaTheme="minorEastAsia" w:cstheme="minorHAnsi"/>
          <w:szCs w:val="28"/>
        </w:rPr>
        <w:t>opinion, sex and sexual orientation. Its remit also includes overseeing the</w:t>
      </w:r>
      <w:r w:rsidR="00F72F09" w:rsidRPr="00527BED">
        <w:rPr>
          <w:rFonts w:eastAsiaTheme="minorEastAsia" w:cstheme="minorHAnsi"/>
          <w:szCs w:val="28"/>
        </w:rPr>
        <w:t xml:space="preserve"> </w:t>
      </w:r>
      <w:r w:rsidRPr="00527BED">
        <w:rPr>
          <w:rFonts w:eastAsiaTheme="minorEastAsia" w:cstheme="minorHAnsi"/>
          <w:szCs w:val="28"/>
        </w:rPr>
        <w:t>statutory duties on public authorities to promote equality of opportunity and</w:t>
      </w:r>
      <w:r w:rsidR="00F72F09" w:rsidRPr="00527BED">
        <w:rPr>
          <w:rFonts w:eastAsiaTheme="minorEastAsia" w:cstheme="minorHAnsi"/>
          <w:szCs w:val="28"/>
        </w:rPr>
        <w:t xml:space="preserve"> </w:t>
      </w:r>
      <w:r w:rsidRPr="00527BED">
        <w:rPr>
          <w:rFonts w:eastAsiaTheme="minorEastAsia" w:cstheme="minorHAnsi"/>
          <w:szCs w:val="28"/>
        </w:rPr>
        <w:t>good relations under Section 75 of the Northern Ireland Act 1998.</w:t>
      </w:r>
    </w:p>
    <w:p w14:paraId="74EBB038" w14:textId="6BBC2F5E" w:rsidR="00F94757" w:rsidRPr="00527BED" w:rsidRDefault="00F94757"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 xml:space="preserve">The </w:t>
      </w:r>
      <w:r w:rsidR="00383037">
        <w:rPr>
          <w:rFonts w:eastAsiaTheme="minorEastAsia" w:cstheme="minorHAnsi"/>
          <w:szCs w:val="28"/>
        </w:rPr>
        <w:t xml:space="preserve">NIHRC and </w:t>
      </w:r>
      <w:r w:rsidR="001A4CA5" w:rsidRPr="00527BED">
        <w:rPr>
          <w:rFonts w:eastAsiaTheme="minorEastAsia" w:cstheme="minorHAnsi"/>
          <w:szCs w:val="28"/>
        </w:rPr>
        <w:t>ECNI</w:t>
      </w:r>
      <w:r w:rsidRPr="00527BED">
        <w:rPr>
          <w:rFonts w:eastAsiaTheme="minorEastAsia" w:cstheme="minorHAnsi"/>
          <w:szCs w:val="28"/>
        </w:rPr>
        <w:t xml:space="preserve"> </w:t>
      </w:r>
      <w:r w:rsidR="00383037">
        <w:rPr>
          <w:rFonts w:eastAsiaTheme="minorEastAsia" w:cstheme="minorHAnsi"/>
          <w:szCs w:val="28"/>
        </w:rPr>
        <w:t>(</w:t>
      </w:r>
      <w:r w:rsidRPr="00527BED">
        <w:rPr>
          <w:rFonts w:eastAsiaTheme="minorEastAsia" w:cstheme="minorHAnsi"/>
          <w:szCs w:val="28"/>
        </w:rPr>
        <w:t>the Commissions</w:t>
      </w:r>
      <w:r w:rsidR="00383037">
        <w:rPr>
          <w:rFonts w:eastAsiaTheme="minorEastAsia" w:cstheme="minorHAnsi"/>
          <w:szCs w:val="28"/>
        </w:rPr>
        <w:t>)</w:t>
      </w:r>
      <w:r w:rsidR="009572A6" w:rsidRPr="00527BED">
        <w:rPr>
          <w:rFonts w:eastAsiaTheme="minorEastAsia" w:cstheme="minorHAnsi"/>
          <w:szCs w:val="28"/>
        </w:rPr>
        <w:t>,</w:t>
      </w:r>
      <w:r w:rsidRPr="00527BED">
        <w:rPr>
          <w:rFonts w:eastAsiaTheme="minorEastAsia" w:cstheme="minorHAnsi"/>
          <w:szCs w:val="28"/>
        </w:rPr>
        <w:t xml:space="preserve"> </w:t>
      </w:r>
      <w:r w:rsidR="00383037">
        <w:rPr>
          <w:rFonts w:eastAsiaTheme="minorEastAsia" w:cstheme="minorHAnsi"/>
          <w:szCs w:val="28"/>
        </w:rPr>
        <w:t>pursuant to sections 78A(1) and 78B(1) respectively of the</w:t>
      </w:r>
      <w:r w:rsidR="00383037" w:rsidRPr="00383037">
        <w:rPr>
          <w:rFonts w:eastAsiaTheme="minorEastAsia" w:cstheme="minorHAnsi"/>
          <w:szCs w:val="28"/>
        </w:rPr>
        <w:t xml:space="preserve"> </w:t>
      </w:r>
      <w:r w:rsidR="00383037" w:rsidRPr="00527BED">
        <w:rPr>
          <w:rFonts w:eastAsiaTheme="minorEastAsia" w:cstheme="minorHAnsi"/>
          <w:szCs w:val="28"/>
        </w:rPr>
        <w:t>Northern Ireland Act 1998</w:t>
      </w:r>
      <w:r w:rsidR="00663C48">
        <w:rPr>
          <w:rFonts w:eastAsiaTheme="minorEastAsia" w:cstheme="minorHAnsi"/>
          <w:szCs w:val="28"/>
        </w:rPr>
        <w:t>,</w:t>
      </w:r>
      <w:r w:rsidR="00383037">
        <w:rPr>
          <w:rFonts w:eastAsiaTheme="minorEastAsia" w:cstheme="minorHAnsi"/>
          <w:szCs w:val="28"/>
        </w:rPr>
        <w:t xml:space="preserve"> </w:t>
      </w:r>
      <w:r w:rsidRPr="00527BED">
        <w:rPr>
          <w:rFonts w:eastAsiaTheme="minorEastAsia" w:cstheme="minorHAnsi"/>
          <w:szCs w:val="28"/>
        </w:rPr>
        <w:t>monitor the</w:t>
      </w:r>
      <w:r w:rsidR="009572A6" w:rsidRPr="00527BED">
        <w:rPr>
          <w:rFonts w:eastAsiaTheme="minorEastAsia" w:cstheme="minorHAnsi"/>
          <w:szCs w:val="28"/>
        </w:rPr>
        <w:t xml:space="preserve"> </w:t>
      </w:r>
      <w:r w:rsidRPr="00527BED">
        <w:rPr>
          <w:rFonts w:eastAsiaTheme="minorEastAsia" w:cstheme="minorHAnsi"/>
          <w:szCs w:val="28"/>
        </w:rPr>
        <w:t>implementation of Article 2(1) of the Ireland/Northern Ireland Protocol (‘the</w:t>
      </w:r>
      <w:r w:rsidR="009572A6" w:rsidRPr="00527BED">
        <w:rPr>
          <w:rFonts w:eastAsiaTheme="minorEastAsia" w:cstheme="minorHAnsi"/>
          <w:szCs w:val="28"/>
        </w:rPr>
        <w:t xml:space="preserve"> </w:t>
      </w:r>
      <w:r w:rsidRPr="00527BED">
        <w:rPr>
          <w:rFonts w:eastAsiaTheme="minorEastAsia" w:cstheme="minorHAnsi"/>
          <w:szCs w:val="28"/>
        </w:rPr>
        <w:t>Protocol’) to the UK-EU Withdrawal Agreement.</w:t>
      </w:r>
    </w:p>
    <w:p w14:paraId="392479FE" w14:textId="7575ED8A" w:rsidR="00F94757" w:rsidRPr="00527BED" w:rsidRDefault="00F94757"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Commissions welcome this opportunity to respond to the call for evidence</w:t>
      </w:r>
      <w:r w:rsidR="00F72F09" w:rsidRPr="00527BED">
        <w:rPr>
          <w:rFonts w:eastAsiaTheme="minorEastAsia" w:cstheme="minorHAnsi"/>
          <w:szCs w:val="28"/>
        </w:rPr>
        <w:t xml:space="preserve"> </w:t>
      </w:r>
      <w:r w:rsidRPr="00527BED">
        <w:rPr>
          <w:rFonts w:eastAsiaTheme="minorEastAsia" w:cstheme="minorHAnsi"/>
          <w:szCs w:val="28"/>
        </w:rPr>
        <w:t>by the House of Lords</w:t>
      </w:r>
      <w:r w:rsidR="00F72F09" w:rsidRPr="00527BED">
        <w:rPr>
          <w:rFonts w:eastAsiaTheme="minorEastAsia" w:cstheme="minorHAnsi"/>
          <w:szCs w:val="28"/>
        </w:rPr>
        <w:t xml:space="preserve"> </w:t>
      </w:r>
      <w:r w:rsidRPr="00527BED">
        <w:rPr>
          <w:rFonts w:eastAsiaTheme="minorEastAsia" w:cstheme="minorHAnsi"/>
          <w:szCs w:val="28"/>
        </w:rPr>
        <w:t xml:space="preserve">Sub-Committee on the Protocol (‘the Sub-Committee’) </w:t>
      </w:r>
      <w:r w:rsidR="00BC188B" w:rsidRPr="00527BED">
        <w:rPr>
          <w:rFonts w:eastAsiaTheme="minorEastAsia" w:cstheme="minorHAnsi"/>
          <w:szCs w:val="28"/>
        </w:rPr>
        <w:t xml:space="preserve">for its new </w:t>
      </w:r>
      <w:r w:rsidR="00CB6DFB" w:rsidRPr="00527BED">
        <w:rPr>
          <w:rFonts w:eastAsiaTheme="minorEastAsia" w:cstheme="minorHAnsi"/>
          <w:szCs w:val="28"/>
        </w:rPr>
        <w:t>inquiry into the UK Government’s Northern Ireland Protocol Bill</w:t>
      </w:r>
      <w:r w:rsidR="003C29DF">
        <w:rPr>
          <w:rFonts w:eastAsiaTheme="minorEastAsia" w:cstheme="minorHAnsi"/>
          <w:szCs w:val="28"/>
        </w:rPr>
        <w:t xml:space="preserve">. The Commissions </w:t>
      </w:r>
      <w:r w:rsidRPr="00527BED">
        <w:rPr>
          <w:rFonts w:eastAsiaTheme="minorEastAsia" w:cstheme="minorHAnsi"/>
          <w:szCs w:val="28"/>
        </w:rPr>
        <w:t>are available to</w:t>
      </w:r>
      <w:r w:rsidR="00F72F09" w:rsidRPr="00527BED">
        <w:rPr>
          <w:rFonts w:eastAsiaTheme="minorEastAsia" w:cstheme="minorHAnsi"/>
          <w:szCs w:val="28"/>
        </w:rPr>
        <w:t xml:space="preserve"> </w:t>
      </w:r>
      <w:r w:rsidRPr="00527BED">
        <w:rPr>
          <w:rFonts w:eastAsiaTheme="minorEastAsia" w:cstheme="minorHAnsi"/>
          <w:szCs w:val="28"/>
        </w:rPr>
        <w:t>provide an oral briefing if this could provide further assistance to the</w:t>
      </w:r>
      <w:r w:rsidR="00F72F09" w:rsidRPr="00527BED">
        <w:rPr>
          <w:rFonts w:eastAsiaTheme="minorEastAsia" w:cstheme="minorHAnsi"/>
          <w:szCs w:val="28"/>
        </w:rPr>
        <w:t xml:space="preserve"> </w:t>
      </w:r>
      <w:r w:rsidRPr="00527BED">
        <w:rPr>
          <w:rFonts w:eastAsiaTheme="minorEastAsia" w:cstheme="minorHAnsi"/>
          <w:szCs w:val="28"/>
        </w:rPr>
        <w:t>Committee.</w:t>
      </w:r>
    </w:p>
    <w:p w14:paraId="0DC9F8DC" w14:textId="20F68D86" w:rsidR="00F94757" w:rsidRPr="00527BED" w:rsidRDefault="00F94757"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lastRenderedPageBreak/>
        <w:t xml:space="preserve">This submission follows our </w:t>
      </w:r>
      <w:r w:rsidR="001A4CA5" w:rsidRPr="00527BED">
        <w:rPr>
          <w:rFonts w:eastAsiaTheme="minorEastAsia" w:cstheme="minorHAnsi"/>
          <w:szCs w:val="28"/>
        </w:rPr>
        <w:t xml:space="preserve">joint </w:t>
      </w:r>
      <w:r w:rsidRPr="00527BED">
        <w:rPr>
          <w:rFonts w:eastAsiaTheme="minorEastAsia" w:cstheme="minorHAnsi"/>
          <w:szCs w:val="28"/>
        </w:rPr>
        <w:t>June 2021 submission to the</w:t>
      </w:r>
      <w:r w:rsidR="00F72F09" w:rsidRPr="00527BED">
        <w:rPr>
          <w:rFonts w:eastAsiaTheme="minorEastAsia" w:cstheme="minorHAnsi"/>
          <w:szCs w:val="28"/>
        </w:rPr>
        <w:t xml:space="preserve"> </w:t>
      </w:r>
      <w:r w:rsidRPr="00527BED">
        <w:rPr>
          <w:rFonts w:eastAsiaTheme="minorEastAsia" w:cstheme="minorHAnsi"/>
          <w:szCs w:val="28"/>
        </w:rPr>
        <w:t>Sub-Committee’s introductory inquiry into the operation of the Protocol,</w:t>
      </w:r>
      <w:r w:rsidRPr="00527BED">
        <w:rPr>
          <w:rFonts w:eastAsiaTheme="minorEastAsia" w:cstheme="minorHAnsi"/>
          <w:szCs w:val="28"/>
          <w:vertAlign w:val="superscript"/>
        </w:rPr>
        <w:footnoteReference w:id="3"/>
      </w:r>
      <w:r w:rsidRPr="00527BED">
        <w:rPr>
          <w:rFonts w:eastAsiaTheme="minorEastAsia" w:cstheme="minorHAnsi"/>
          <w:szCs w:val="28"/>
        </w:rPr>
        <w:t xml:space="preserve"> </w:t>
      </w:r>
      <w:r w:rsidR="00CB3CD1" w:rsidRPr="00527BED">
        <w:rPr>
          <w:rFonts w:eastAsiaTheme="minorEastAsia" w:cstheme="minorHAnsi"/>
          <w:szCs w:val="28"/>
        </w:rPr>
        <w:t xml:space="preserve">our joint </w:t>
      </w:r>
      <w:r w:rsidR="0065574C" w:rsidRPr="00527BED">
        <w:rPr>
          <w:rFonts w:eastAsiaTheme="minorEastAsia" w:cstheme="minorHAnsi"/>
          <w:szCs w:val="28"/>
        </w:rPr>
        <w:t>November 2021 submission to the Sub-Committee on the UK and EU proposals and the prospects for Agreement</w:t>
      </w:r>
      <w:r w:rsidR="00CB3CD1" w:rsidRPr="00527BED">
        <w:rPr>
          <w:rFonts w:eastAsiaTheme="minorEastAsia" w:cstheme="minorHAnsi"/>
          <w:szCs w:val="28"/>
          <w:vertAlign w:val="superscript"/>
        </w:rPr>
        <w:footnoteReference w:id="4"/>
      </w:r>
      <w:r w:rsidR="00CB3CD1" w:rsidRPr="00527BED">
        <w:rPr>
          <w:rFonts w:eastAsiaTheme="minorEastAsia" w:cstheme="minorHAnsi"/>
          <w:szCs w:val="28"/>
        </w:rPr>
        <w:t xml:space="preserve"> </w:t>
      </w:r>
      <w:r w:rsidRPr="00527BED">
        <w:rPr>
          <w:rFonts w:eastAsiaTheme="minorEastAsia" w:cstheme="minorHAnsi"/>
          <w:szCs w:val="28"/>
        </w:rPr>
        <w:t xml:space="preserve">and the Commissions </w:t>
      </w:r>
      <w:r w:rsidR="00104071" w:rsidRPr="00527BED">
        <w:rPr>
          <w:rFonts w:eastAsiaTheme="minorEastAsia" w:cstheme="minorHAnsi"/>
          <w:szCs w:val="28"/>
        </w:rPr>
        <w:t xml:space="preserve">recent </w:t>
      </w:r>
      <w:r w:rsidRPr="00527BED">
        <w:rPr>
          <w:rFonts w:eastAsiaTheme="minorEastAsia" w:cstheme="minorHAnsi"/>
          <w:szCs w:val="28"/>
        </w:rPr>
        <w:t>joint submission to the Committee’s follow up Inquiry on the impact of the Protocol in June 2022.</w:t>
      </w:r>
      <w:r w:rsidRPr="00527BED">
        <w:rPr>
          <w:rFonts w:eastAsiaTheme="minorEastAsia" w:cstheme="minorHAnsi"/>
          <w:szCs w:val="28"/>
          <w:vertAlign w:val="superscript"/>
        </w:rPr>
        <w:footnoteReference w:id="5"/>
      </w:r>
    </w:p>
    <w:p w14:paraId="7ACF3FB8" w14:textId="1573B964" w:rsidR="004B676C" w:rsidRDefault="00C2558C" w:rsidP="004B676C">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 xml:space="preserve">In this briefing, </w:t>
      </w:r>
      <w:r w:rsidR="00CF6CC5" w:rsidRPr="00527BED">
        <w:rPr>
          <w:rFonts w:eastAsiaTheme="minorEastAsia" w:cstheme="minorHAnsi"/>
          <w:szCs w:val="28"/>
        </w:rPr>
        <w:t>the Commissions have focused on addressing only those questions in the Sub-Committee’s call for evidence which fall within the scope of our respective roles and remit</w:t>
      </w:r>
      <w:r w:rsidR="003C29DF">
        <w:rPr>
          <w:rFonts w:eastAsiaTheme="minorEastAsia" w:cstheme="minorHAnsi"/>
          <w:szCs w:val="28"/>
        </w:rPr>
        <w:t>s</w:t>
      </w:r>
      <w:r w:rsidR="00CF6CC5" w:rsidRPr="00527BED">
        <w:rPr>
          <w:rFonts w:eastAsiaTheme="minorEastAsia" w:cstheme="minorHAnsi"/>
          <w:szCs w:val="28"/>
        </w:rPr>
        <w:t xml:space="preserve">. </w:t>
      </w:r>
    </w:p>
    <w:p w14:paraId="139BF3B8" w14:textId="77777777" w:rsidR="00F37824" w:rsidRPr="00E438D7" w:rsidRDefault="00F37824" w:rsidP="00F37824">
      <w:pPr>
        <w:pStyle w:val="ListParagraph"/>
        <w:spacing w:after="240"/>
        <w:contextualSpacing w:val="0"/>
        <w:rPr>
          <w:rFonts w:eastAsiaTheme="minorEastAsia" w:cstheme="minorHAnsi"/>
          <w:szCs w:val="28"/>
        </w:rPr>
      </w:pPr>
    </w:p>
    <w:p w14:paraId="40A119D6" w14:textId="77777777" w:rsidR="004B676C" w:rsidRPr="00DA748E" w:rsidRDefault="004B676C" w:rsidP="00DA748E">
      <w:pPr>
        <w:pStyle w:val="Heading1"/>
        <w:ind w:left="426" w:hanging="426"/>
      </w:pPr>
      <w:bookmarkStart w:id="3" w:name="_Toc118384464"/>
      <w:r w:rsidRPr="00DA748E">
        <w:t>Impact of the Protocol</w:t>
      </w:r>
      <w:bookmarkEnd w:id="3"/>
    </w:p>
    <w:p w14:paraId="69C63A41" w14:textId="7B4CA77D" w:rsidR="006A3414" w:rsidRPr="006568DA" w:rsidRDefault="00D850DD" w:rsidP="006568DA">
      <w:pPr>
        <w:rPr>
          <w:b/>
          <w:bCs/>
        </w:rPr>
      </w:pPr>
      <w:r w:rsidRPr="006568DA">
        <w:rPr>
          <w:b/>
          <w:bCs/>
        </w:rPr>
        <w:t>Question1: How would you summarise the impact (both positive and negative) of the Protocol as it currently operates on Northern Ireland?</w:t>
      </w:r>
    </w:p>
    <w:p w14:paraId="153EB82E" w14:textId="272FA47E" w:rsidR="00002CFA" w:rsidRPr="008569BB" w:rsidRDefault="000B3186" w:rsidP="008569BB">
      <w:pPr>
        <w:rPr>
          <w:rFonts w:cstheme="minorHAnsi"/>
          <w:b/>
          <w:szCs w:val="28"/>
        </w:rPr>
      </w:pPr>
      <w:r w:rsidRPr="008569BB">
        <w:rPr>
          <w:rFonts w:cstheme="minorHAnsi"/>
          <w:b/>
          <w:szCs w:val="28"/>
        </w:rPr>
        <w:t>Positive impact</w:t>
      </w:r>
      <w:r w:rsidR="00002CFA" w:rsidRPr="008569BB">
        <w:rPr>
          <w:rFonts w:cstheme="minorHAnsi"/>
          <w:b/>
          <w:szCs w:val="28"/>
        </w:rPr>
        <w:t xml:space="preserve"> of the Protocol</w:t>
      </w:r>
    </w:p>
    <w:p w14:paraId="2556992A" w14:textId="77777777" w:rsidR="00DA748E" w:rsidRPr="00DA748E" w:rsidRDefault="00DA748E" w:rsidP="00DA748E">
      <w:pPr>
        <w:pStyle w:val="ListParagraph"/>
        <w:numPr>
          <w:ilvl w:val="0"/>
          <w:numId w:val="8"/>
        </w:numPr>
        <w:spacing w:after="240"/>
        <w:contextualSpacing w:val="0"/>
        <w:rPr>
          <w:rFonts w:eastAsiaTheme="minorEastAsia" w:cstheme="minorHAnsi"/>
          <w:vanish/>
          <w:szCs w:val="28"/>
        </w:rPr>
      </w:pPr>
    </w:p>
    <w:p w14:paraId="2C35685D" w14:textId="5F54E328" w:rsidR="00E71685" w:rsidRPr="00527BED" w:rsidRDefault="00E71685" w:rsidP="007B62CC">
      <w:pPr>
        <w:pStyle w:val="ListParagraph"/>
        <w:numPr>
          <w:ilvl w:val="1"/>
          <w:numId w:val="8"/>
        </w:numPr>
        <w:spacing w:after="240"/>
        <w:ind w:left="709" w:hanging="709"/>
        <w:contextualSpacing w:val="0"/>
        <w:rPr>
          <w:rFonts w:eastAsiaTheme="minorEastAsia" w:cstheme="minorHAnsi"/>
          <w:szCs w:val="28"/>
        </w:rPr>
      </w:pPr>
      <w:r w:rsidRPr="00527BED">
        <w:rPr>
          <w:rFonts w:eastAsiaTheme="minorEastAsia" w:cstheme="minorHAnsi"/>
          <w:szCs w:val="28"/>
        </w:rPr>
        <w:t>Human rights and equality protections are at the heart of the Belfast</w:t>
      </w:r>
      <w:r w:rsidR="003C29DF">
        <w:rPr>
          <w:rFonts w:eastAsiaTheme="minorEastAsia" w:cstheme="minorHAnsi"/>
          <w:szCs w:val="28"/>
        </w:rPr>
        <w:t>/</w:t>
      </w:r>
      <w:r w:rsidRPr="00527BED">
        <w:rPr>
          <w:rFonts w:eastAsiaTheme="minorEastAsia" w:cstheme="minorHAnsi"/>
          <w:szCs w:val="28"/>
        </w:rPr>
        <w:t xml:space="preserve"> Good Friday Agreement 1998 and are central to the peace process in Northern Ireland. The importance of protecting the 1998 Agreement and its human rights and equality commitments was accepted in negotiations leading to the UK’s withdrawal from the EU.</w:t>
      </w:r>
      <w:r w:rsidRPr="00527BED">
        <w:rPr>
          <w:rFonts w:eastAsiaTheme="minorEastAsia" w:cstheme="minorHAnsi"/>
          <w:szCs w:val="28"/>
          <w:vertAlign w:val="superscript"/>
        </w:rPr>
        <w:footnoteReference w:id="6"/>
      </w:r>
      <w:r w:rsidRPr="00527BED">
        <w:rPr>
          <w:rFonts w:eastAsiaTheme="minorEastAsia" w:cstheme="minorHAnsi"/>
          <w:szCs w:val="28"/>
        </w:rPr>
        <w:t xml:space="preserve"> This is reflected in the Protocol to the UK-EU Withdrawal Agreement 2020.</w:t>
      </w:r>
      <w:r w:rsidRPr="00527BED">
        <w:rPr>
          <w:rFonts w:eastAsiaTheme="minorEastAsia" w:cstheme="minorHAnsi"/>
          <w:szCs w:val="28"/>
          <w:vertAlign w:val="superscript"/>
        </w:rPr>
        <w:footnoteReference w:id="7"/>
      </w:r>
      <w:r w:rsidRPr="00527BED">
        <w:rPr>
          <w:rFonts w:eastAsiaTheme="minorEastAsia" w:cstheme="minorHAnsi"/>
          <w:szCs w:val="28"/>
          <w:vertAlign w:val="superscript"/>
        </w:rPr>
        <w:t xml:space="preserve"> </w:t>
      </w:r>
      <w:r w:rsidRPr="00527BED">
        <w:rPr>
          <w:rFonts w:eastAsiaTheme="minorEastAsia" w:cstheme="minorHAnsi"/>
          <w:szCs w:val="28"/>
        </w:rPr>
        <w:t xml:space="preserve"> </w:t>
      </w:r>
    </w:p>
    <w:p w14:paraId="17F18EB4" w14:textId="76D09C0B" w:rsidR="00E71685" w:rsidRPr="00527BED" w:rsidRDefault="00E71685" w:rsidP="007B62CC">
      <w:pPr>
        <w:pStyle w:val="ListParagraph"/>
        <w:numPr>
          <w:ilvl w:val="1"/>
          <w:numId w:val="8"/>
        </w:numPr>
        <w:spacing w:after="240"/>
        <w:ind w:left="709" w:hanging="709"/>
        <w:contextualSpacing w:val="0"/>
        <w:rPr>
          <w:rFonts w:eastAsiaTheme="minorEastAsia" w:cstheme="minorHAnsi"/>
          <w:szCs w:val="28"/>
        </w:rPr>
      </w:pPr>
      <w:r w:rsidRPr="00527BED">
        <w:rPr>
          <w:rFonts w:eastAsiaTheme="minorEastAsia" w:cstheme="minorHAnsi"/>
          <w:szCs w:val="28"/>
        </w:rPr>
        <w:lastRenderedPageBreak/>
        <w:t>As previously highlighted to the Sub-Committee, the Commissions consider that the commitment by the UK Government in Article 2 of the Protocol is a positive development as it recognises the centrality of equality and human rights in the Belfast</w:t>
      </w:r>
      <w:r w:rsidR="003C29DF">
        <w:rPr>
          <w:rFonts w:eastAsiaTheme="minorEastAsia" w:cstheme="minorHAnsi"/>
          <w:szCs w:val="28"/>
        </w:rPr>
        <w:t>/</w:t>
      </w:r>
      <w:r w:rsidRPr="00527BED">
        <w:rPr>
          <w:rFonts w:eastAsiaTheme="minorEastAsia" w:cstheme="minorHAnsi"/>
          <w:szCs w:val="28"/>
        </w:rPr>
        <w:t>Good Friday Agreement and the durability of the peace process</w:t>
      </w:r>
      <w:r w:rsidR="007E4656">
        <w:rPr>
          <w:rFonts w:eastAsiaTheme="minorEastAsia" w:cstheme="minorHAnsi"/>
          <w:szCs w:val="28"/>
        </w:rPr>
        <w:t>.</w:t>
      </w:r>
      <w:r w:rsidRPr="00527BED">
        <w:rPr>
          <w:rFonts w:eastAsiaTheme="minorEastAsia" w:cstheme="minorHAnsi"/>
          <w:szCs w:val="28"/>
          <w:vertAlign w:val="superscript"/>
        </w:rPr>
        <w:footnoteReference w:id="8"/>
      </w:r>
      <w:r w:rsidRPr="00527BED">
        <w:rPr>
          <w:rFonts w:eastAsiaTheme="minorEastAsia" w:cstheme="minorHAnsi"/>
          <w:szCs w:val="28"/>
        </w:rPr>
        <w:t xml:space="preserve"> </w:t>
      </w:r>
      <w:r w:rsidR="003C29DF">
        <w:rPr>
          <w:rFonts w:eastAsiaTheme="minorEastAsia" w:cstheme="minorHAnsi"/>
          <w:szCs w:val="28"/>
        </w:rPr>
        <w:t xml:space="preserve">The </w:t>
      </w:r>
      <w:r w:rsidRPr="00527BED">
        <w:rPr>
          <w:rFonts w:eastAsiaTheme="minorEastAsia" w:cstheme="minorHAnsi"/>
          <w:szCs w:val="28"/>
        </w:rPr>
        <w:t>establishment, resourcing, and new powers and duties of the Commissions as the dedicated mechanism to oversee the implementation of this commitment is another positive development (see Appendix 1 hereto).</w:t>
      </w:r>
      <w:r w:rsidRPr="00527BED">
        <w:rPr>
          <w:rFonts w:eastAsiaTheme="minorEastAsia" w:cstheme="minorHAnsi"/>
          <w:szCs w:val="28"/>
          <w:vertAlign w:val="superscript"/>
        </w:rPr>
        <w:footnoteReference w:id="9"/>
      </w:r>
      <w:r w:rsidRPr="00527BED">
        <w:rPr>
          <w:rFonts w:eastAsiaTheme="minorEastAsia" w:cstheme="minorHAnsi"/>
          <w:szCs w:val="28"/>
        </w:rPr>
        <w:t xml:space="preserve"> </w:t>
      </w:r>
    </w:p>
    <w:p w14:paraId="28FC5DD8" w14:textId="2D7222D5" w:rsidR="00E71685" w:rsidRPr="00527BED" w:rsidRDefault="003C29DF" w:rsidP="00527BED">
      <w:pPr>
        <w:pStyle w:val="ListParagraph"/>
        <w:numPr>
          <w:ilvl w:val="1"/>
          <w:numId w:val="8"/>
        </w:numPr>
        <w:spacing w:after="240"/>
        <w:ind w:left="720" w:hanging="720"/>
        <w:contextualSpacing w:val="0"/>
        <w:rPr>
          <w:rFonts w:eastAsiaTheme="minorEastAsia" w:cstheme="minorHAnsi"/>
          <w:szCs w:val="28"/>
        </w:rPr>
      </w:pPr>
      <w:r>
        <w:rPr>
          <w:rFonts w:eastAsiaTheme="minorEastAsia" w:cstheme="minorHAnsi"/>
          <w:szCs w:val="28"/>
        </w:rPr>
        <w:t xml:space="preserve">Undertaking the role of dedicated mechanism </w:t>
      </w:r>
      <w:r w:rsidR="00E71685" w:rsidRPr="00527BED">
        <w:rPr>
          <w:rFonts w:eastAsiaTheme="minorEastAsia" w:cstheme="minorHAnsi"/>
          <w:szCs w:val="28"/>
        </w:rPr>
        <w:t>enables the Commissions to hold the UK Government to account in terms of the implementation of the Article 2 commitment.  It also provides individuals with rights to challenge the actions of the</w:t>
      </w:r>
      <w:r>
        <w:rPr>
          <w:rFonts w:eastAsiaTheme="minorEastAsia" w:cstheme="minorHAnsi"/>
          <w:szCs w:val="28"/>
        </w:rPr>
        <w:t xml:space="preserve"> </w:t>
      </w:r>
      <w:r w:rsidR="007E4656">
        <w:rPr>
          <w:rFonts w:eastAsiaTheme="minorEastAsia" w:cstheme="minorHAnsi"/>
          <w:szCs w:val="28"/>
        </w:rPr>
        <w:t>UK</w:t>
      </w:r>
      <w:r>
        <w:rPr>
          <w:rFonts w:eastAsiaTheme="minorEastAsia" w:cstheme="minorHAnsi"/>
          <w:szCs w:val="28"/>
        </w:rPr>
        <w:t xml:space="preserve"> Government, the</w:t>
      </w:r>
      <w:r w:rsidR="00E71685" w:rsidRPr="00527BED">
        <w:rPr>
          <w:rFonts w:eastAsiaTheme="minorEastAsia" w:cstheme="minorHAnsi"/>
          <w:szCs w:val="28"/>
        </w:rPr>
        <w:t xml:space="preserve"> Northern Ireland Executive, Northern Ireland Ministers, and the Northern Ireland Assembly should they breach this commitment.  A further positive aspect of the role of the dedicated mechanism is its close working with the Irish Human Rights and Equality Commission on matters relevant to Article 2 that have an island of Ireland dimension. The Commissions also have the power to directly raise matters of concern </w:t>
      </w:r>
      <w:r w:rsidR="00566F94">
        <w:rPr>
          <w:rFonts w:eastAsiaTheme="minorEastAsia" w:cstheme="minorHAnsi"/>
          <w:szCs w:val="28"/>
        </w:rPr>
        <w:t xml:space="preserve">of relevance to Protocol Article 2 </w:t>
      </w:r>
      <w:r w:rsidR="00E71685" w:rsidRPr="00527BED">
        <w:rPr>
          <w:rFonts w:eastAsiaTheme="minorEastAsia" w:cstheme="minorHAnsi"/>
          <w:szCs w:val="28"/>
        </w:rPr>
        <w:t>with the Specialised Committee on the implementation of the Protocol.</w:t>
      </w:r>
      <w:r w:rsidR="00492D9B">
        <w:rPr>
          <w:rStyle w:val="FootnoteReference"/>
          <w:rFonts w:eastAsiaTheme="minorEastAsia" w:cstheme="minorHAnsi"/>
          <w:szCs w:val="28"/>
        </w:rPr>
        <w:footnoteReference w:id="10"/>
      </w:r>
    </w:p>
    <w:p w14:paraId="6DA8DC57" w14:textId="0B02C9B5" w:rsidR="00DA050D" w:rsidRDefault="00E71685" w:rsidP="00DA050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As a result of being granted these functions, the Commissions continue to undertake engagement with a range of stakeholders, including equality and human stakeholders</w:t>
      </w:r>
      <w:r w:rsidR="003C29DF">
        <w:rPr>
          <w:rFonts w:eastAsiaTheme="minorEastAsia" w:cstheme="minorHAnsi"/>
          <w:szCs w:val="28"/>
        </w:rPr>
        <w:t xml:space="preserve">. This engagement seeks </w:t>
      </w:r>
      <w:r w:rsidRPr="00527BED">
        <w:rPr>
          <w:rFonts w:eastAsiaTheme="minorEastAsia" w:cstheme="minorHAnsi"/>
          <w:szCs w:val="28"/>
        </w:rPr>
        <w:t>to raise awareness of the rights of individuals in respect of Article 2 and the role and remit of the dedicated mechanism, and to highlight issues of concern in relation to draft legislation progressing through Parliament.</w:t>
      </w:r>
    </w:p>
    <w:p w14:paraId="0F05217A" w14:textId="57A4F070" w:rsidR="009773EF" w:rsidRPr="00DA050D" w:rsidRDefault="009773EF" w:rsidP="00DA050D">
      <w:pPr>
        <w:pStyle w:val="ListParagraph"/>
        <w:numPr>
          <w:ilvl w:val="1"/>
          <w:numId w:val="8"/>
        </w:numPr>
        <w:spacing w:after="240"/>
        <w:ind w:left="720" w:hanging="720"/>
        <w:contextualSpacing w:val="0"/>
        <w:rPr>
          <w:rFonts w:eastAsiaTheme="minorEastAsia" w:cstheme="minorHAnsi"/>
          <w:szCs w:val="28"/>
        </w:rPr>
      </w:pPr>
      <w:r w:rsidRPr="00DA050D">
        <w:rPr>
          <w:rFonts w:eastAsiaTheme="minorEastAsia" w:cstheme="minorHAnsi"/>
          <w:b/>
          <w:szCs w:val="28"/>
        </w:rPr>
        <w:t xml:space="preserve">The Commissions consider that the UK Government’s commitment in Protocol Article 2, as well as the establishment of the dedicated mechanism to oversee this commitment, is an important and positive </w:t>
      </w:r>
      <w:r w:rsidRPr="00DA050D">
        <w:rPr>
          <w:rFonts w:eastAsiaTheme="minorEastAsia" w:cstheme="minorHAnsi"/>
          <w:b/>
          <w:szCs w:val="28"/>
        </w:rPr>
        <w:lastRenderedPageBreak/>
        <w:t>development</w:t>
      </w:r>
      <w:r w:rsidR="00F751DB" w:rsidRPr="00DA050D">
        <w:rPr>
          <w:rFonts w:eastAsiaTheme="minorEastAsia" w:cstheme="minorHAnsi"/>
          <w:b/>
          <w:szCs w:val="28"/>
        </w:rPr>
        <w:t xml:space="preserve"> in relation to the protection of equality and human rights in NI</w:t>
      </w:r>
      <w:r w:rsidRPr="00DA050D">
        <w:rPr>
          <w:rFonts w:eastAsiaTheme="minorEastAsia" w:cstheme="minorHAnsi"/>
          <w:b/>
          <w:szCs w:val="28"/>
        </w:rPr>
        <w:t xml:space="preserve">.  </w:t>
      </w:r>
    </w:p>
    <w:p w14:paraId="3DAA167F" w14:textId="0660EE86" w:rsidR="00150CDE" w:rsidRPr="008569BB" w:rsidRDefault="00CF5482" w:rsidP="008569BB">
      <w:pPr>
        <w:rPr>
          <w:b/>
        </w:rPr>
      </w:pPr>
      <w:r w:rsidRPr="008569BB">
        <w:rPr>
          <w:b/>
        </w:rPr>
        <w:t>I</w:t>
      </w:r>
      <w:r w:rsidR="00C2558C" w:rsidRPr="008569BB">
        <w:rPr>
          <w:b/>
        </w:rPr>
        <w:t xml:space="preserve">mpact </w:t>
      </w:r>
      <w:r w:rsidR="005664D3" w:rsidRPr="008569BB">
        <w:rPr>
          <w:b/>
        </w:rPr>
        <w:t>of the Protocol</w:t>
      </w:r>
      <w:r w:rsidRPr="008569BB">
        <w:rPr>
          <w:b/>
        </w:rPr>
        <w:t>/Brexit on equality groups</w:t>
      </w:r>
    </w:p>
    <w:p w14:paraId="41306F77" w14:textId="5A6DEE7F" w:rsidR="00DA050D" w:rsidRPr="00DA050D" w:rsidRDefault="00097E7E" w:rsidP="00DA050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Commissions have previously highlighted to the Sub-Committee our concerns about the impact of Brexit on marginalised and minority groups in Northern Ireland.</w:t>
      </w:r>
    </w:p>
    <w:p w14:paraId="4370EED4" w14:textId="43D0D7FC" w:rsidR="00F61733" w:rsidRPr="00073A60" w:rsidRDefault="004B0632" w:rsidP="00073A60">
      <w:pPr>
        <w:spacing w:after="240"/>
        <w:ind w:firstLine="720"/>
        <w:rPr>
          <w:rFonts w:eastAsiaTheme="minorEastAsia" w:cstheme="minorHAnsi"/>
          <w:i/>
          <w:iCs/>
          <w:szCs w:val="28"/>
        </w:rPr>
      </w:pPr>
      <w:r w:rsidRPr="00073A60">
        <w:rPr>
          <w:rFonts w:eastAsiaTheme="minorEastAsia" w:cstheme="minorHAnsi"/>
          <w:i/>
          <w:iCs/>
          <w:szCs w:val="28"/>
        </w:rPr>
        <w:t>Minority ethnic groups/faith communities</w:t>
      </w:r>
    </w:p>
    <w:p w14:paraId="7AD69D19" w14:textId="713F738B" w:rsidR="00A10752" w:rsidRDefault="00FC33C8" w:rsidP="0061535A">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 xml:space="preserve">The Commissions have </w:t>
      </w:r>
      <w:r w:rsidR="00BC6E62">
        <w:rPr>
          <w:rFonts w:eastAsiaTheme="minorEastAsia" w:cstheme="minorHAnsi"/>
          <w:szCs w:val="28"/>
        </w:rPr>
        <w:t xml:space="preserve">previously </w:t>
      </w:r>
      <w:r w:rsidRPr="00527BED">
        <w:rPr>
          <w:rFonts w:eastAsiaTheme="minorEastAsia" w:cstheme="minorHAnsi"/>
          <w:szCs w:val="28"/>
        </w:rPr>
        <w:t xml:space="preserve">raised </w:t>
      </w:r>
      <w:r w:rsidR="004C16B6">
        <w:rPr>
          <w:rFonts w:eastAsiaTheme="minorEastAsia" w:cstheme="minorHAnsi"/>
          <w:szCs w:val="28"/>
        </w:rPr>
        <w:t>in submission</w:t>
      </w:r>
      <w:r w:rsidR="00CC5166">
        <w:rPr>
          <w:rFonts w:eastAsiaTheme="minorEastAsia" w:cstheme="minorHAnsi"/>
          <w:szCs w:val="28"/>
        </w:rPr>
        <w:t>s</w:t>
      </w:r>
      <w:r w:rsidR="004C16B6">
        <w:rPr>
          <w:rFonts w:eastAsiaTheme="minorEastAsia" w:cstheme="minorHAnsi"/>
          <w:szCs w:val="28"/>
        </w:rPr>
        <w:t xml:space="preserve"> to</w:t>
      </w:r>
      <w:r w:rsidR="00627A15">
        <w:rPr>
          <w:rFonts w:eastAsiaTheme="minorEastAsia" w:cstheme="minorHAnsi"/>
          <w:szCs w:val="28"/>
        </w:rPr>
        <w:t xml:space="preserve"> the Sub-Committee </w:t>
      </w:r>
      <w:r w:rsidRPr="00527BED">
        <w:rPr>
          <w:rFonts w:eastAsiaTheme="minorEastAsia" w:cstheme="minorHAnsi"/>
          <w:szCs w:val="28"/>
        </w:rPr>
        <w:t>concerns over the potential impact of Brexit on the sourcing of halal and kosher meat products and ritual items on Muslim and Jewish communities in Northern Ireland</w:t>
      </w:r>
      <w:r w:rsidR="00E514AA">
        <w:rPr>
          <w:rStyle w:val="FootnoteReference"/>
          <w:rFonts w:eastAsiaTheme="minorEastAsia" w:cstheme="minorHAnsi"/>
          <w:szCs w:val="28"/>
        </w:rPr>
        <w:footnoteReference w:id="11"/>
      </w:r>
      <w:r w:rsidR="00A10752">
        <w:rPr>
          <w:rFonts w:eastAsiaTheme="minorEastAsia" w:cstheme="minorHAnsi"/>
          <w:szCs w:val="28"/>
        </w:rPr>
        <w:t xml:space="preserve">. </w:t>
      </w:r>
    </w:p>
    <w:p w14:paraId="541EAD54" w14:textId="1F58B117" w:rsidR="003667D7" w:rsidRPr="0061535A" w:rsidRDefault="00FC33C8" w:rsidP="00413725">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Commissions have raised concerns on access to, cost, and the availability of halal and kosher food and ritual items</w:t>
      </w:r>
      <w:r w:rsidR="003E7A33">
        <w:rPr>
          <w:rFonts w:eastAsiaTheme="minorEastAsia" w:cstheme="minorHAnsi"/>
          <w:szCs w:val="28"/>
        </w:rPr>
        <w:t>, including</w:t>
      </w:r>
      <w:r w:rsidRPr="00527BED">
        <w:rPr>
          <w:rFonts w:eastAsiaTheme="minorEastAsia" w:cstheme="minorHAnsi"/>
          <w:szCs w:val="28"/>
        </w:rPr>
        <w:t xml:space="preserve"> the potential impact on lower income groups, such as students and refugees and asylum seekers</w:t>
      </w:r>
      <w:r w:rsidRPr="00413725">
        <w:rPr>
          <w:rFonts w:eastAsiaTheme="minorEastAsia" w:cstheme="minorHAnsi"/>
          <w:szCs w:val="28"/>
          <w:vertAlign w:val="superscript"/>
        </w:rPr>
        <w:footnoteReference w:id="12"/>
      </w:r>
      <w:r w:rsidR="0075178C" w:rsidRPr="00527BED">
        <w:rPr>
          <w:rFonts w:eastAsiaTheme="minorEastAsia" w:cstheme="minorHAnsi"/>
          <w:szCs w:val="28"/>
        </w:rPr>
        <w:t>.</w:t>
      </w:r>
      <w:r w:rsidR="00747FF0" w:rsidRPr="00527BED">
        <w:rPr>
          <w:rFonts w:eastAsiaTheme="minorEastAsia" w:cstheme="minorHAnsi"/>
          <w:szCs w:val="28"/>
        </w:rPr>
        <w:t xml:space="preserve"> </w:t>
      </w:r>
    </w:p>
    <w:p w14:paraId="742C8884" w14:textId="3E7F1778" w:rsidR="006F6C9A" w:rsidRPr="0054605B" w:rsidRDefault="0075178C" w:rsidP="0054605B">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Commissions’</w:t>
      </w:r>
      <w:r w:rsidR="00A33B8C" w:rsidRPr="00527BED">
        <w:rPr>
          <w:rFonts w:eastAsiaTheme="minorEastAsia" w:cstheme="minorHAnsi"/>
          <w:szCs w:val="28"/>
        </w:rPr>
        <w:t xml:space="preserve"> view is that there should be no adverse impacts due to Brexit on the ability of faith communities in Northern Ireland to access halal and kosher meat products and ritual items.</w:t>
      </w:r>
    </w:p>
    <w:p w14:paraId="5805750F" w14:textId="4C365E1A" w:rsidR="002C7077" w:rsidRPr="00C06702" w:rsidRDefault="002C7077" w:rsidP="009167B4">
      <w:pPr>
        <w:pStyle w:val="ListParagraph"/>
        <w:spacing w:after="240"/>
        <w:contextualSpacing w:val="0"/>
        <w:rPr>
          <w:rFonts w:eastAsiaTheme="minorEastAsia" w:cstheme="minorHAnsi"/>
          <w:i/>
          <w:iCs/>
          <w:szCs w:val="28"/>
        </w:rPr>
      </w:pPr>
      <w:r w:rsidRPr="00C06702">
        <w:rPr>
          <w:rFonts w:eastAsiaTheme="minorEastAsia" w:cstheme="minorHAnsi"/>
          <w:i/>
          <w:iCs/>
          <w:szCs w:val="28"/>
        </w:rPr>
        <w:t>Medicines</w:t>
      </w:r>
    </w:p>
    <w:p w14:paraId="0C6286ED" w14:textId="0EAE68CB" w:rsidR="000274A8" w:rsidRDefault="00081A30"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Under the Protocol</w:t>
      </w:r>
      <w:r w:rsidR="003C29DF">
        <w:rPr>
          <w:rFonts w:eastAsiaTheme="minorEastAsia" w:cstheme="minorHAnsi"/>
          <w:szCs w:val="28"/>
        </w:rPr>
        <w:t xml:space="preserve">, </w:t>
      </w:r>
      <w:r w:rsidRPr="00527BED">
        <w:rPr>
          <w:rFonts w:eastAsiaTheme="minorEastAsia" w:cstheme="minorHAnsi"/>
          <w:szCs w:val="28"/>
        </w:rPr>
        <w:t>N</w:t>
      </w:r>
      <w:r w:rsidR="003C29DF">
        <w:rPr>
          <w:rFonts w:eastAsiaTheme="minorEastAsia" w:cstheme="minorHAnsi"/>
          <w:szCs w:val="28"/>
        </w:rPr>
        <w:t xml:space="preserve">orthern Ireland </w:t>
      </w:r>
      <w:r w:rsidRPr="00527BED">
        <w:rPr>
          <w:rFonts w:eastAsiaTheme="minorEastAsia" w:cstheme="minorHAnsi"/>
          <w:szCs w:val="28"/>
        </w:rPr>
        <w:t xml:space="preserve">remains aligned to EU regulations and legislation on medicines and their supply. Following the end of the ‘grace period’, which had been due to end on 31 December 2021, it </w:t>
      </w:r>
      <w:r w:rsidRPr="00527BED">
        <w:rPr>
          <w:rFonts w:eastAsiaTheme="minorEastAsia" w:cstheme="minorHAnsi"/>
          <w:szCs w:val="28"/>
        </w:rPr>
        <w:lastRenderedPageBreak/>
        <w:t xml:space="preserve">would have been required that all medicines imported to </w:t>
      </w:r>
      <w:r w:rsidR="00B26230">
        <w:rPr>
          <w:rFonts w:eastAsiaTheme="minorEastAsia" w:cstheme="minorHAnsi"/>
          <w:szCs w:val="28"/>
        </w:rPr>
        <w:t>N</w:t>
      </w:r>
      <w:r w:rsidR="00B26230" w:rsidRPr="007E4656">
        <w:rPr>
          <w:rFonts w:eastAsiaTheme="minorEastAsia" w:cstheme="minorHAnsi"/>
          <w:szCs w:val="28"/>
        </w:rPr>
        <w:t xml:space="preserve">orthern </w:t>
      </w:r>
      <w:r w:rsidRPr="00B26230">
        <w:rPr>
          <w:rFonts w:eastAsiaTheme="minorEastAsia" w:cstheme="minorHAnsi"/>
          <w:szCs w:val="28"/>
        </w:rPr>
        <w:t>I</w:t>
      </w:r>
      <w:r w:rsidR="00B26230" w:rsidRPr="00B26230">
        <w:rPr>
          <w:rFonts w:eastAsiaTheme="minorEastAsia" w:cstheme="minorHAnsi"/>
          <w:szCs w:val="28"/>
        </w:rPr>
        <w:t>reland</w:t>
      </w:r>
      <w:r w:rsidRPr="00527BED">
        <w:rPr>
          <w:rFonts w:eastAsiaTheme="minorEastAsia" w:cstheme="minorHAnsi"/>
          <w:szCs w:val="28"/>
        </w:rPr>
        <w:t xml:space="preserve"> from GB follow EU rules and regulations. As a result, suppliers raised concerns about the viability of supplying items to </w:t>
      </w:r>
      <w:r w:rsidRPr="00B26230">
        <w:rPr>
          <w:rFonts w:eastAsiaTheme="minorEastAsia" w:cstheme="minorHAnsi"/>
          <w:szCs w:val="28"/>
        </w:rPr>
        <w:t>N</w:t>
      </w:r>
      <w:r w:rsidR="00B26230" w:rsidRPr="007E4656">
        <w:rPr>
          <w:rFonts w:eastAsiaTheme="minorEastAsia" w:cstheme="minorHAnsi"/>
          <w:szCs w:val="28"/>
        </w:rPr>
        <w:t xml:space="preserve">orther </w:t>
      </w:r>
      <w:r w:rsidRPr="00B26230">
        <w:rPr>
          <w:rFonts w:eastAsiaTheme="minorEastAsia" w:cstheme="minorHAnsi"/>
          <w:szCs w:val="28"/>
        </w:rPr>
        <w:t>I</w:t>
      </w:r>
      <w:r w:rsidR="00B26230" w:rsidRPr="00B26230">
        <w:rPr>
          <w:rFonts w:eastAsiaTheme="minorEastAsia" w:cstheme="minorHAnsi"/>
          <w:szCs w:val="28"/>
        </w:rPr>
        <w:t>reland</w:t>
      </w:r>
      <w:r w:rsidRPr="00527BED">
        <w:rPr>
          <w:rFonts w:eastAsiaTheme="minorEastAsia" w:cstheme="minorHAnsi"/>
          <w:szCs w:val="28"/>
        </w:rPr>
        <w:t xml:space="preserve"> in the longer term. </w:t>
      </w:r>
    </w:p>
    <w:p w14:paraId="5AAB2C71" w14:textId="65B86EB2" w:rsidR="00786FB1" w:rsidRPr="00DA050D" w:rsidRDefault="00081A30" w:rsidP="00DA050D">
      <w:pPr>
        <w:pStyle w:val="ListParagraph"/>
        <w:numPr>
          <w:ilvl w:val="1"/>
          <w:numId w:val="8"/>
        </w:numPr>
        <w:spacing w:after="240"/>
        <w:ind w:left="720" w:hanging="720"/>
        <w:contextualSpacing w:val="0"/>
        <w:rPr>
          <w:rFonts w:cstheme="minorHAnsi"/>
        </w:rPr>
      </w:pPr>
      <w:r w:rsidRPr="00527BED">
        <w:rPr>
          <w:rFonts w:eastAsiaTheme="minorEastAsia" w:cstheme="minorHAnsi"/>
          <w:szCs w:val="28"/>
        </w:rPr>
        <w:t xml:space="preserve">The Commissions </w:t>
      </w:r>
      <w:r w:rsidR="00215F1C" w:rsidRPr="00527BED">
        <w:rPr>
          <w:rFonts w:eastAsiaTheme="minorEastAsia" w:cstheme="minorHAnsi"/>
          <w:szCs w:val="28"/>
        </w:rPr>
        <w:t xml:space="preserve">have previously </w:t>
      </w:r>
      <w:r w:rsidRPr="00527BED">
        <w:rPr>
          <w:rFonts w:eastAsiaTheme="minorEastAsia" w:cstheme="minorHAnsi"/>
          <w:szCs w:val="28"/>
        </w:rPr>
        <w:t xml:space="preserve">raised concerns </w:t>
      </w:r>
      <w:r w:rsidR="00C915FE" w:rsidRPr="00527BED">
        <w:rPr>
          <w:rFonts w:eastAsiaTheme="minorEastAsia" w:cstheme="minorHAnsi"/>
          <w:szCs w:val="28"/>
        </w:rPr>
        <w:t xml:space="preserve">with the </w:t>
      </w:r>
      <w:r w:rsidR="000274A8">
        <w:rPr>
          <w:rFonts w:eastAsiaTheme="minorEastAsia" w:cstheme="minorHAnsi"/>
          <w:szCs w:val="28"/>
        </w:rPr>
        <w:t>Sub-</w:t>
      </w:r>
      <w:r w:rsidR="00C915FE" w:rsidRPr="00527BED">
        <w:rPr>
          <w:rFonts w:eastAsiaTheme="minorEastAsia" w:cstheme="minorHAnsi"/>
          <w:szCs w:val="28"/>
        </w:rPr>
        <w:t xml:space="preserve">Committee </w:t>
      </w:r>
      <w:r w:rsidRPr="00527BED">
        <w:rPr>
          <w:rFonts w:eastAsiaTheme="minorEastAsia" w:cstheme="minorHAnsi"/>
          <w:szCs w:val="28"/>
        </w:rPr>
        <w:t xml:space="preserve">that this could result in </w:t>
      </w:r>
      <w:r w:rsidRPr="00B26230">
        <w:rPr>
          <w:rFonts w:eastAsiaTheme="minorEastAsia" w:cstheme="minorHAnsi"/>
          <w:szCs w:val="28"/>
        </w:rPr>
        <w:t>N</w:t>
      </w:r>
      <w:r w:rsidR="00B26230" w:rsidRPr="007E4656">
        <w:rPr>
          <w:rFonts w:eastAsiaTheme="minorEastAsia" w:cstheme="minorHAnsi"/>
          <w:szCs w:val="28"/>
        </w:rPr>
        <w:t xml:space="preserve">orthern </w:t>
      </w:r>
      <w:r w:rsidRPr="00B26230">
        <w:rPr>
          <w:rFonts w:eastAsiaTheme="minorEastAsia" w:cstheme="minorHAnsi"/>
          <w:szCs w:val="28"/>
        </w:rPr>
        <w:t>I</w:t>
      </w:r>
      <w:r w:rsidR="00B26230" w:rsidRPr="00B26230">
        <w:rPr>
          <w:rFonts w:eastAsiaTheme="minorEastAsia" w:cstheme="minorHAnsi"/>
          <w:szCs w:val="28"/>
        </w:rPr>
        <w:t>reland</w:t>
      </w:r>
      <w:r w:rsidR="00B26230">
        <w:rPr>
          <w:rFonts w:eastAsiaTheme="minorEastAsia" w:cstheme="minorHAnsi"/>
          <w:szCs w:val="28"/>
        </w:rPr>
        <w:t xml:space="preserve"> </w:t>
      </w:r>
      <w:r w:rsidRPr="00527BED">
        <w:rPr>
          <w:rFonts w:eastAsiaTheme="minorEastAsia" w:cstheme="minorHAnsi"/>
          <w:szCs w:val="28"/>
        </w:rPr>
        <w:t>facing continued and intensified disruption in relation to medicines supply</w:t>
      </w:r>
      <w:r w:rsidR="007E4656">
        <w:rPr>
          <w:rFonts w:eastAsiaTheme="minorEastAsia" w:cstheme="minorHAnsi"/>
          <w:szCs w:val="28"/>
        </w:rPr>
        <w:t>.</w:t>
      </w:r>
      <w:r w:rsidR="00C915FE" w:rsidRPr="00527BED">
        <w:rPr>
          <w:rFonts w:eastAsiaTheme="minorEastAsia" w:cstheme="minorHAnsi"/>
          <w:szCs w:val="28"/>
          <w:vertAlign w:val="superscript"/>
        </w:rPr>
        <w:footnoteReference w:id="13"/>
      </w:r>
      <w:r w:rsidR="003C29DF">
        <w:rPr>
          <w:rFonts w:eastAsiaTheme="minorEastAsia" w:cstheme="minorHAnsi"/>
          <w:szCs w:val="28"/>
        </w:rPr>
        <w:t xml:space="preserve"> We </w:t>
      </w:r>
      <w:r w:rsidR="000274A8" w:rsidRPr="00527BED">
        <w:rPr>
          <w:rFonts w:eastAsiaTheme="minorEastAsia" w:cstheme="minorHAnsi"/>
          <w:szCs w:val="28"/>
        </w:rPr>
        <w:t>highlight</w:t>
      </w:r>
      <w:r w:rsidR="003C29DF">
        <w:rPr>
          <w:rFonts w:eastAsiaTheme="minorEastAsia" w:cstheme="minorHAnsi"/>
          <w:szCs w:val="28"/>
        </w:rPr>
        <w:t xml:space="preserve">ed </w:t>
      </w:r>
      <w:r w:rsidR="008478EB">
        <w:rPr>
          <w:rFonts w:eastAsiaTheme="minorEastAsia" w:cstheme="minorHAnsi"/>
          <w:szCs w:val="28"/>
        </w:rPr>
        <w:t xml:space="preserve">the </w:t>
      </w:r>
      <w:r w:rsidR="000274A8" w:rsidRPr="00527BED">
        <w:rPr>
          <w:rFonts w:eastAsiaTheme="minorEastAsia" w:cstheme="minorHAnsi"/>
          <w:szCs w:val="28"/>
        </w:rPr>
        <w:t>potential equality and human rights implications and negative impacts on the day to day lives of disabled people in Northern Ireland</w:t>
      </w:r>
      <w:r w:rsidR="003C29DF">
        <w:rPr>
          <w:rFonts w:eastAsiaTheme="minorEastAsia" w:cstheme="minorHAnsi"/>
          <w:szCs w:val="28"/>
        </w:rPr>
        <w:t xml:space="preserve">; </w:t>
      </w:r>
      <w:r w:rsidR="008478EB">
        <w:rPr>
          <w:rFonts w:eastAsiaTheme="minorEastAsia" w:cstheme="minorHAnsi"/>
          <w:szCs w:val="28"/>
        </w:rPr>
        <w:t>and</w:t>
      </w:r>
      <w:r w:rsidR="000274A8" w:rsidRPr="00527BED">
        <w:rPr>
          <w:rFonts w:eastAsiaTheme="minorEastAsia" w:cstheme="minorHAnsi"/>
          <w:szCs w:val="28"/>
        </w:rPr>
        <w:t xml:space="preserve"> emphasis</w:t>
      </w:r>
      <w:r w:rsidR="003C29DF">
        <w:rPr>
          <w:rFonts w:eastAsiaTheme="minorEastAsia" w:cstheme="minorHAnsi"/>
          <w:szCs w:val="28"/>
        </w:rPr>
        <w:t xml:space="preserve">ed </w:t>
      </w:r>
      <w:r w:rsidR="000274A8" w:rsidRPr="00527BED">
        <w:rPr>
          <w:rFonts w:eastAsiaTheme="minorEastAsia" w:cstheme="minorHAnsi"/>
          <w:szCs w:val="28"/>
        </w:rPr>
        <w:t>that there should be no-diminution of rights for disabled people in relation to their access to health and treatment</w:t>
      </w:r>
      <w:r w:rsidR="007E4656">
        <w:rPr>
          <w:rFonts w:eastAsiaTheme="minorEastAsia" w:cstheme="minorHAnsi"/>
          <w:szCs w:val="28"/>
        </w:rPr>
        <w:t>.</w:t>
      </w:r>
      <w:r w:rsidR="000274A8" w:rsidRPr="00527BED">
        <w:rPr>
          <w:rFonts w:eastAsiaTheme="minorEastAsia" w:cstheme="minorHAnsi"/>
          <w:szCs w:val="28"/>
          <w:vertAlign w:val="superscript"/>
        </w:rPr>
        <w:footnoteReference w:id="14"/>
      </w:r>
      <w:r w:rsidR="00A727F2">
        <w:rPr>
          <w:rFonts w:eastAsiaTheme="minorEastAsia" w:cstheme="minorHAnsi"/>
          <w:szCs w:val="28"/>
        </w:rPr>
        <w:t xml:space="preserve"> </w:t>
      </w:r>
      <w:r w:rsidR="00BD194F" w:rsidRPr="00DA050D">
        <w:rPr>
          <w:rFonts w:eastAsiaTheme="minorEastAsia" w:cstheme="minorHAnsi"/>
          <w:szCs w:val="28"/>
        </w:rPr>
        <w:t xml:space="preserve">Whilst </w:t>
      </w:r>
      <w:r w:rsidR="008E1AEC" w:rsidRPr="00DA050D">
        <w:rPr>
          <w:rFonts w:eastAsiaTheme="minorEastAsia" w:cstheme="minorHAnsi"/>
          <w:szCs w:val="28"/>
        </w:rPr>
        <w:t>the Commissions</w:t>
      </w:r>
      <w:r w:rsidR="00BD194F" w:rsidRPr="00DA050D">
        <w:rPr>
          <w:rFonts w:eastAsiaTheme="minorEastAsia" w:cstheme="minorHAnsi"/>
          <w:szCs w:val="28"/>
        </w:rPr>
        <w:t xml:space="preserve"> recognise that UK/EU negotiations </w:t>
      </w:r>
      <w:r w:rsidR="004D2CB9" w:rsidRPr="00DA050D">
        <w:rPr>
          <w:rFonts w:eastAsiaTheme="minorEastAsia" w:cstheme="minorHAnsi"/>
          <w:szCs w:val="28"/>
        </w:rPr>
        <w:t>are</w:t>
      </w:r>
      <w:r w:rsidR="002526CE" w:rsidRPr="00DA050D">
        <w:rPr>
          <w:rFonts w:eastAsiaTheme="minorEastAsia" w:cstheme="minorHAnsi"/>
          <w:szCs w:val="28"/>
        </w:rPr>
        <w:t xml:space="preserve"> </w:t>
      </w:r>
      <w:r w:rsidR="00BD194F" w:rsidRPr="00DA050D">
        <w:rPr>
          <w:rFonts w:eastAsiaTheme="minorEastAsia" w:cstheme="minorHAnsi"/>
          <w:szCs w:val="28"/>
        </w:rPr>
        <w:t>ongoing, we are concerned that, to date, long-term sustainable solutions that address the issues we have raised</w:t>
      </w:r>
      <w:r w:rsidR="00B26230">
        <w:rPr>
          <w:rFonts w:eastAsiaTheme="minorEastAsia" w:cstheme="minorHAnsi"/>
          <w:szCs w:val="28"/>
        </w:rPr>
        <w:t xml:space="preserve"> </w:t>
      </w:r>
      <w:r w:rsidR="00BD194F" w:rsidRPr="00DA050D">
        <w:rPr>
          <w:rFonts w:eastAsiaTheme="minorEastAsia" w:cstheme="minorHAnsi"/>
          <w:szCs w:val="28"/>
        </w:rPr>
        <w:t>are still outstanding</w:t>
      </w:r>
      <w:r w:rsidR="007E4656">
        <w:rPr>
          <w:rFonts w:eastAsiaTheme="minorEastAsia" w:cstheme="minorHAnsi"/>
          <w:szCs w:val="28"/>
        </w:rPr>
        <w:t>.</w:t>
      </w:r>
      <w:r w:rsidR="00AD3765" w:rsidRPr="009167B4">
        <w:rPr>
          <w:vertAlign w:val="superscript"/>
        </w:rPr>
        <w:footnoteReference w:id="15"/>
      </w:r>
      <w:r w:rsidR="00BD194F" w:rsidRPr="00DA050D">
        <w:rPr>
          <w:rFonts w:eastAsiaTheme="minorEastAsia" w:cstheme="minorHAnsi"/>
          <w:szCs w:val="28"/>
        </w:rPr>
        <w:t xml:space="preserve"> </w:t>
      </w:r>
      <w:r w:rsidR="0092281E" w:rsidRPr="00DA050D">
        <w:rPr>
          <w:rFonts w:eastAsiaTheme="minorEastAsia" w:cstheme="minorHAnsi"/>
          <w:szCs w:val="28"/>
        </w:rPr>
        <w:t>We consider</w:t>
      </w:r>
      <w:r w:rsidR="00BD194F" w:rsidRPr="00DA050D">
        <w:rPr>
          <w:rFonts w:eastAsiaTheme="minorEastAsia" w:cstheme="minorHAnsi"/>
          <w:szCs w:val="28"/>
        </w:rPr>
        <w:t xml:space="preserve"> that it is essential to allay fears regarding the future supply of medicines, especially for disabled people who are reliant on medication to improve or maintain their health.</w:t>
      </w:r>
    </w:p>
    <w:p w14:paraId="0CBE9F87" w14:textId="3EBE58F7" w:rsidR="00E06518" w:rsidRPr="00073A60" w:rsidRDefault="008560FA" w:rsidP="00073A60">
      <w:pPr>
        <w:pStyle w:val="ListParagraph"/>
        <w:spacing w:after="240"/>
        <w:contextualSpacing w:val="0"/>
        <w:rPr>
          <w:rFonts w:eastAsiaTheme="minorEastAsia" w:cstheme="minorHAnsi"/>
          <w:i/>
          <w:iCs/>
          <w:szCs w:val="28"/>
        </w:rPr>
      </w:pPr>
      <w:r w:rsidRPr="00C06702">
        <w:rPr>
          <w:rFonts w:eastAsiaTheme="minorEastAsia" w:cstheme="minorHAnsi"/>
          <w:i/>
          <w:iCs/>
          <w:szCs w:val="28"/>
        </w:rPr>
        <w:t>Assistance dogs</w:t>
      </w:r>
    </w:p>
    <w:p w14:paraId="65C52E27" w14:textId="7244116D" w:rsidR="005C01AA" w:rsidRPr="00527BED" w:rsidRDefault="005C01AA" w:rsidP="009167B4">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 xml:space="preserve">The Commissions </w:t>
      </w:r>
      <w:r w:rsidR="00D41F05">
        <w:rPr>
          <w:rFonts w:eastAsiaTheme="minorEastAsia" w:cstheme="minorHAnsi"/>
          <w:szCs w:val="28"/>
        </w:rPr>
        <w:t xml:space="preserve">have previously </w:t>
      </w:r>
      <w:r w:rsidRPr="00527BED">
        <w:rPr>
          <w:rFonts w:eastAsiaTheme="minorEastAsia" w:cstheme="minorHAnsi"/>
          <w:szCs w:val="28"/>
        </w:rPr>
        <w:t xml:space="preserve">highlighted </w:t>
      </w:r>
      <w:r w:rsidR="00D41F05">
        <w:rPr>
          <w:rFonts w:eastAsiaTheme="minorEastAsia" w:cstheme="minorHAnsi"/>
          <w:szCs w:val="28"/>
        </w:rPr>
        <w:t xml:space="preserve">to the Sub-Committee </w:t>
      </w:r>
      <w:r w:rsidRPr="00527BED">
        <w:rPr>
          <w:rFonts w:eastAsiaTheme="minorEastAsia" w:cstheme="minorHAnsi"/>
          <w:szCs w:val="28"/>
        </w:rPr>
        <w:t>that the issue of travel arrangements for assistance dogs between Great Britain and Northern Ireland may have potential equality and human rights implications both domestically and internationally</w:t>
      </w:r>
      <w:r w:rsidR="00A65F67">
        <w:rPr>
          <w:rFonts w:eastAsiaTheme="minorEastAsia" w:cstheme="minorHAnsi"/>
          <w:szCs w:val="28"/>
        </w:rPr>
        <w:t xml:space="preserve">. This includes </w:t>
      </w:r>
      <w:r w:rsidRPr="00527BED">
        <w:rPr>
          <w:rFonts w:eastAsiaTheme="minorEastAsia" w:cstheme="minorHAnsi"/>
          <w:szCs w:val="28"/>
        </w:rPr>
        <w:t xml:space="preserve"> in relation to </w:t>
      </w:r>
      <w:r w:rsidR="0092281E">
        <w:rPr>
          <w:rFonts w:eastAsiaTheme="minorEastAsia" w:cstheme="minorHAnsi"/>
          <w:szCs w:val="28"/>
        </w:rPr>
        <w:t xml:space="preserve">Protocol </w:t>
      </w:r>
      <w:r w:rsidRPr="00527BED">
        <w:rPr>
          <w:rFonts w:eastAsiaTheme="minorEastAsia" w:cstheme="minorHAnsi"/>
          <w:szCs w:val="28"/>
        </w:rPr>
        <w:t>Article 2, Article 8 ECHR and the United Nations Convention on the Rights of Persons with Disabilities</w:t>
      </w:r>
      <w:r w:rsidR="00A727F2">
        <w:rPr>
          <w:rFonts w:eastAsiaTheme="minorEastAsia" w:cstheme="minorHAnsi"/>
          <w:szCs w:val="28"/>
        </w:rPr>
        <w:t xml:space="preserve">. We have also </w:t>
      </w:r>
      <w:r w:rsidR="00A727F2">
        <w:rPr>
          <w:rFonts w:eastAsiaTheme="minorEastAsia" w:cstheme="minorHAnsi"/>
          <w:szCs w:val="28"/>
        </w:rPr>
        <w:lastRenderedPageBreak/>
        <w:t>highlighted</w:t>
      </w:r>
      <w:r w:rsidRPr="00527BED">
        <w:rPr>
          <w:rFonts w:eastAsiaTheme="minorEastAsia" w:cstheme="minorHAnsi"/>
          <w:szCs w:val="28"/>
        </w:rPr>
        <w:t xml:space="preserve"> the need to ensure that there are no adverse impacts on Assistance Dog Owners </w:t>
      </w:r>
      <w:r w:rsidR="00F63634">
        <w:rPr>
          <w:rFonts w:eastAsiaTheme="minorEastAsia" w:cstheme="minorHAnsi"/>
          <w:szCs w:val="28"/>
        </w:rPr>
        <w:t xml:space="preserve">in Northern Ireland </w:t>
      </w:r>
      <w:r w:rsidRPr="00527BED">
        <w:rPr>
          <w:rFonts w:eastAsiaTheme="minorEastAsia" w:cstheme="minorHAnsi"/>
          <w:szCs w:val="28"/>
        </w:rPr>
        <w:t>in terms of requirements on pet passport arrangements post Brexit</w:t>
      </w:r>
      <w:r w:rsidR="00606262">
        <w:rPr>
          <w:rFonts w:eastAsiaTheme="minorEastAsia" w:cstheme="minorHAnsi"/>
          <w:szCs w:val="28"/>
        </w:rPr>
        <w:t>.</w:t>
      </w:r>
      <w:r w:rsidR="002479B4">
        <w:rPr>
          <w:rStyle w:val="FootnoteReference"/>
          <w:rFonts w:eastAsiaTheme="minorEastAsia" w:cstheme="minorHAnsi"/>
          <w:szCs w:val="28"/>
        </w:rPr>
        <w:footnoteReference w:id="16"/>
      </w:r>
    </w:p>
    <w:p w14:paraId="65BE54B6" w14:textId="72B0C0D2" w:rsidR="00202DC9" w:rsidRPr="00DA050D" w:rsidRDefault="00321CAD" w:rsidP="00202DC9">
      <w:pPr>
        <w:pStyle w:val="ListParagraph"/>
        <w:numPr>
          <w:ilvl w:val="1"/>
          <w:numId w:val="8"/>
        </w:numPr>
        <w:spacing w:after="240"/>
        <w:ind w:left="720" w:hanging="720"/>
        <w:contextualSpacing w:val="0"/>
        <w:rPr>
          <w:rFonts w:eastAsiaTheme="minorEastAsia" w:cstheme="minorHAnsi"/>
          <w:bCs/>
          <w:szCs w:val="28"/>
        </w:rPr>
      </w:pPr>
      <w:r>
        <w:rPr>
          <w:rFonts w:eastAsiaTheme="minorEastAsia" w:cstheme="minorHAnsi"/>
          <w:szCs w:val="28"/>
        </w:rPr>
        <w:t>The Commissions note that c</w:t>
      </w:r>
      <w:r w:rsidRPr="00527BED">
        <w:rPr>
          <w:rFonts w:eastAsiaTheme="minorEastAsia" w:cstheme="minorHAnsi"/>
          <w:szCs w:val="28"/>
        </w:rPr>
        <w:t xml:space="preserve">hecks </w:t>
      </w:r>
      <w:r w:rsidR="000A38B8" w:rsidRPr="00527BED">
        <w:rPr>
          <w:rFonts w:eastAsiaTheme="minorEastAsia" w:cstheme="minorHAnsi"/>
          <w:szCs w:val="28"/>
        </w:rPr>
        <w:t xml:space="preserve">on pets entering </w:t>
      </w:r>
      <w:r w:rsidR="000A38B8" w:rsidRPr="00566F94">
        <w:rPr>
          <w:rFonts w:eastAsiaTheme="minorEastAsia" w:cstheme="minorHAnsi"/>
          <w:szCs w:val="28"/>
        </w:rPr>
        <w:t>N</w:t>
      </w:r>
      <w:r w:rsidR="00566F94" w:rsidRPr="00606262">
        <w:rPr>
          <w:rFonts w:eastAsiaTheme="minorEastAsia" w:cstheme="minorHAnsi"/>
          <w:szCs w:val="28"/>
        </w:rPr>
        <w:t xml:space="preserve">orthern </w:t>
      </w:r>
      <w:r w:rsidR="000A38B8" w:rsidRPr="00566F94">
        <w:rPr>
          <w:rFonts w:eastAsiaTheme="minorEastAsia" w:cstheme="minorHAnsi"/>
          <w:szCs w:val="28"/>
        </w:rPr>
        <w:t>I</w:t>
      </w:r>
      <w:r w:rsidR="00566F94" w:rsidRPr="00566F94">
        <w:rPr>
          <w:rFonts w:eastAsiaTheme="minorEastAsia" w:cstheme="minorHAnsi"/>
          <w:szCs w:val="28"/>
        </w:rPr>
        <w:t>reland</w:t>
      </w:r>
      <w:r w:rsidR="000A38B8" w:rsidRPr="00527BED">
        <w:rPr>
          <w:rFonts w:eastAsiaTheme="minorEastAsia" w:cstheme="minorHAnsi"/>
          <w:szCs w:val="28"/>
        </w:rPr>
        <w:t xml:space="preserve"> from Great Britain were subsequently delayed until July 2021 and then further delayed indefinitely to allow for the UK and EU to find a long-term solution.</w:t>
      </w:r>
      <w:r w:rsidR="005A762D" w:rsidRPr="00527BED">
        <w:rPr>
          <w:rFonts w:eastAsiaTheme="minorEastAsia" w:cstheme="minorHAnsi"/>
          <w:szCs w:val="28"/>
        </w:rPr>
        <w:t xml:space="preserve">  </w:t>
      </w:r>
      <w:r w:rsidR="00202DC9">
        <w:rPr>
          <w:rFonts w:eastAsiaTheme="minorEastAsia" w:cstheme="minorHAnsi"/>
          <w:szCs w:val="28"/>
        </w:rPr>
        <w:t xml:space="preserve">To date a </w:t>
      </w:r>
      <w:proofErr w:type="gramStart"/>
      <w:r w:rsidR="00202DC9">
        <w:rPr>
          <w:rFonts w:eastAsiaTheme="minorEastAsia" w:cstheme="minorHAnsi"/>
          <w:szCs w:val="28"/>
        </w:rPr>
        <w:t>long term</w:t>
      </w:r>
      <w:proofErr w:type="gramEnd"/>
      <w:r w:rsidR="00202DC9">
        <w:rPr>
          <w:rFonts w:eastAsiaTheme="minorEastAsia" w:cstheme="minorHAnsi"/>
          <w:szCs w:val="28"/>
        </w:rPr>
        <w:t xml:space="preserve"> solution between the UK and EU </w:t>
      </w:r>
      <w:r w:rsidR="00202DC9" w:rsidRPr="00DA050D">
        <w:rPr>
          <w:rFonts w:eastAsiaTheme="minorEastAsia" w:cstheme="minorHAnsi"/>
          <w:bCs/>
          <w:szCs w:val="28"/>
        </w:rPr>
        <w:t>which minimises checks on assistance dog owners travelling between Great Britain and NI has not been reached.</w:t>
      </w:r>
    </w:p>
    <w:p w14:paraId="6B0CCC23" w14:textId="48862E64" w:rsidR="0014363F" w:rsidRPr="00527BED" w:rsidRDefault="00CA1017" w:rsidP="00527BED">
      <w:pPr>
        <w:pStyle w:val="ListParagraph"/>
        <w:numPr>
          <w:ilvl w:val="1"/>
          <w:numId w:val="8"/>
        </w:numPr>
        <w:spacing w:after="240"/>
        <w:ind w:left="720" w:hanging="720"/>
        <w:contextualSpacing w:val="0"/>
        <w:rPr>
          <w:rFonts w:eastAsiaTheme="minorEastAsia" w:cstheme="minorHAnsi"/>
          <w:b/>
          <w:bCs/>
          <w:szCs w:val="28"/>
        </w:rPr>
      </w:pPr>
      <w:r w:rsidRPr="00527BED">
        <w:rPr>
          <w:rFonts w:eastAsiaTheme="minorEastAsia" w:cstheme="minorHAnsi"/>
          <w:b/>
          <w:bCs/>
          <w:szCs w:val="28"/>
        </w:rPr>
        <w:t>The Commissions recommend that the UK Government work with the EU Commission</w:t>
      </w:r>
      <w:r w:rsidR="002D6669">
        <w:rPr>
          <w:rFonts w:eastAsiaTheme="minorEastAsia" w:cstheme="minorHAnsi"/>
          <w:b/>
          <w:bCs/>
          <w:szCs w:val="28"/>
        </w:rPr>
        <w:t xml:space="preserve"> </w:t>
      </w:r>
      <w:r w:rsidRPr="00527BED">
        <w:rPr>
          <w:rFonts w:eastAsiaTheme="minorEastAsia" w:cstheme="minorHAnsi"/>
          <w:b/>
          <w:bCs/>
          <w:szCs w:val="28"/>
        </w:rPr>
        <w:t xml:space="preserve">to find a long-term solution which ensures Muslim and Jewish communities in </w:t>
      </w:r>
      <w:r w:rsidRPr="00566F94">
        <w:rPr>
          <w:rFonts w:eastAsiaTheme="minorEastAsia" w:cstheme="minorHAnsi"/>
          <w:b/>
          <w:bCs/>
          <w:szCs w:val="28"/>
        </w:rPr>
        <w:t>N</w:t>
      </w:r>
      <w:r w:rsidR="00566F94" w:rsidRPr="00606262">
        <w:rPr>
          <w:rFonts w:eastAsiaTheme="minorEastAsia" w:cstheme="minorHAnsi"/>
          <w:b/>
          <w:bCs/>
          <w:szCs w:val="28"/>
        </w:rPr>
        <w:t xml:space="preserve">orthern </w:t>
      </w:r>
      <w:r w:rsidRPr="00566F94">
        <w:rPr>
          <w:rFonts w:eastAsiaTheme="minorEastAsia" w:cstheme="minorHAnsi"/>
          <w:b/>
          <w:bCs/>
          <w:szCs w:val="28"/>
        </w:rPr>
        <w:t>I</w:t>
      </w:r>
      <w:r w:rsidR="00566F94" w:rsidRPr="00566F94">
        <w:rPr>
          <w:rFonts w:eastAsiaTheme="minorEastAsia" w:cstheme="minorHAnsi"/>
          <w:b/>
          <w:bCs/>
          <w:szCs w:val="28"/>
        </w:rPr>
        <w:t>reland</w:t>
      </w:r>
      <w:r w:rsidRPr="00527BED">
        <w:rPr>
          <w:rFonts w:eastAsiaTheme="minorEastAsia" w:cstheme="minorHAnsi"/>
          <w:b/>
          <w:bCs/>
          <w:szCs w:val="28"/>
        </w:rPr>
        <w:t xml:space="preserve"> are able to access halal and kosher food products and ritual items respectively. </w:t>
      </w:r>
    </w:p>
    <w:p w14:paraId="52152DCB" w14:textId="563527E6" w:rsidR="00EB5F5F" w:rsidRPr="00527BED" w:rsidRDefault="00C313B0" w:rsidP="00DA050D">
      <w:pPr>
        <w:pStyle w:val="ListParagraph"/>
        <w:numPr>
          <w:ilvl w:val="1"/>
          <w:numId w:val="8"/>
        </w:numPr>
        <w:spacing w:after="240"/>
        <w:ind w:left="720" w:hanging="720"/>
        <w:contextualSpacing w:val="0"/>
        <w:rPr>
          <w:rFonts w:eastAsiaTheme="minorEastAsia" w:cstheme="minorHAnsi"/>
          <w:b/>
          <w:bCs/>
          <w:szCs w:val="28"/>
        </w:rPr>
      </w:pPr>
      <w:r w:rsidRPr="00527BED">
        <w:rPr>
          <w:rFonts w:eastAsiaTheme="minorEastAsia" w:cstheme="minorHAnsi"/>
          <w:b/>
          <w:bCs/>
          <w:szCs w:val="28"/>
        </w:rPr>
        <w:t xml:space="preserve">The Commissions recommend that the UK Government, working with the EU continues to monitor and address any outstanding issues relating to the supply of medicines from Great Britain to </w:t>
      </w:r>
      <w:r w:rsidRPr="00566F94">
        <w:rPr>
          <w:rFonts w:eastAsiaTheme="minorEastAsia" w:cstheme="minorHAnsi"/>
          <w:b/>
          <w:bCs/>
          <w:szCs w:val="28"/>
        </w:rPr>
        <w:t>N</w:t>
      </w:r>
      <w:r w:rsidR="00566F94" w:rsidRPr="00606262">
        <w:rPr>
          <w:rFonts w:eastAsiaTheme="minorEastAsia" w:cstheme="minorHAnsi"/>
          <w:b/>
          <w:bCs/>
          <w:szCs w:val="28"/>
        </w:rPr>
        <w:t xml:space="preserve">orthern </w:t>
      </w:r>
      <w:r w:rsidRPr="00566F94">
        <w:rPr>
          <w:rFonts w:eastAsiaTheme="minorEastAsia" w:cstheme="minorHAnsi"/>
          <w:b/>
          <w:bCs/>
          <w:szCs w:val="28"/>
        </w:rPr>
        <w:t>I</w:t>
      </w:r>
      <w:r w:rsidR="00566F94" w:rsidRPr="00566F94">
        <w:rPr>
          <w:rFonts w:eastAsiaTheme="minorEastAsia" w:cstheme="minorHAnsi"/>
          <w:b/>
          <w:bCs/>
          <w:szCs w:val="28"/>
        </w:rPr>
        <w:t>reland</w:t>
      </w:r>
      <w:r w:rsidRPr="00527BED">
        <w:rPr>
          <w:rFonts w:eastAsiaTheme="minorEastAsia" w:cstheme="minorHAnsi"/>
          <w:b/>
          <w:bCs/>
          <w:szCs w:val="28"/>
        </w:rPr>
        <w:t xml:space="preserve"> to guarantee no diminution of the current provision, including for disabled people, and to protect the highest attainable standard of health.</w:t>
      </w:r>
    </w:p>
    <w:p w14:paraId="575CF0C9" w14:textId="10F65659" w:rsidR="00150CDE" w:rsidRPr="00566F94" w:rsidRDefault="00EB5F5F" w:rsidP="008569C5">
      <w:pPr>
        <w:pStyle w:val="ListParagraph"/>
        <w:numPr>
          <w:ilvl w:val="1"/>
          <w:numId w:val="8"/>
        </w:numPr>
        <w:spacing w:after="240"/>
        <w:ind w:left="720" w:hanging="720"/>
        <w:contextualSpacing w:val="0"/>
        <w:rPr>
          <w:rFonts w:eastAsiaTheme="minorEastAsia" w:cstheme="minorHAnsi"/>
          <w:b/>
          <w:bCs/>
          <w:szCs w:val="28"/>
        </w:rPr>
      </w:pPr>
      <w:r w:rsidRPr="00527BED">
        <w:rPr>
          <w:rFonts w:eastAsiaTheme="minorEastAsia" w:cstheme="minorHAnsi"/>
          <w:b/>
          <w:bCs/>
          <w:szCs w:val="28"/>
        </w:rPr>
        <w:t>The Commissions recommend that the UK Government work with the EU Commission</w:t>
      </w:r>
      <w:r w:rsidR="00BB5CE1">
        <w:rPr>
          <w:rFonts w:eastAsiaTheme="minorEastAsia" w:cstheme="minorHAnsi"/>
          <w:b/>
          <w:bCs/>
          <w:szCs w:val="28"/>
        </w:rPr>
        <w:t xml:space="preserve"> </w:t>
      </w:r>
      <w:r w:rsidRPr="00527BED">
        <w:rPr>
          <w:rFonts w:eastAsiaTheme="minorEastAsia" w:cstheme="minorHAnsi"/>
          <w:b/>
          <w:bCs/>
          <w:szCs w:val="28"/>
        </w:rPr>
        <w:t xml:space="preserve">to find a long-term solution which minimises checks on assistance dog owners travelling between Great Britain and </w:t>
      </w:r>
      <w:r w:rsidRPr="00566F94">
        <w:rPr>
          <w:rFonts w:eastAsiaTheme="minorEastAsia" w:cstheme="minorHAnsi"/>
          <w:b/>
          <w:bCs/>
          <w:szCs w:val="28"/>
        </w:rPr>
        <w:t>N</w:t>
      </w:r>
      <w:r w:rsidR="00566F94" w:rsidRPr="00606262">
        <w:rPr>
          <w:rFonts w:eastAsiaTheme="minorEastAsia" w:cstheme="minorHAnsi"/>
          <w:b/>
          <w:bCs/>
          <w:szCs w:val="28"/>
        </w:rPr>
        <w:t xml:space="preserve">orthern </w:t>
      </w:r>
      <w:r w:rsidRPr="00566F94">
        <w:rPr>
          <w:rFonts w:eastAsiaTheme="minorEastAsia" w:cstheme="minorHAnsi"/>
          <w:b/>
          <w:bCs/>
          <w:szCs w:val="28"/>
        </w:rPr>
        <w:t>I</w:t>
      </w:r>
      <w:r w:rsidR="00566F94" w:rsidRPr="00566F94">
        <w:rPr>
          <w:rFonts w:eastAsiaTheme="minorEastAsia" w:cstheme="minorHAnsi"/>
          <w:b/>
          <w:bCs/>
          <w:szCs w:val="28"/>
        </w:rPr>
        <w:t>reland</w:t>
      </w:r>
      <w:r w:rsidRPr="00566F94">
        <w:rPr>
          <w:rFonts w:eastAsiaTheme="minorEastAsia" w:cstheme="minorHAnsi"/>
          <w:b/>
          <w:bCs/>
          <w:szCs w:val="28"/>
        </w:rPr>
        <w:t>.</w:t>
      </w:r>
    </w:p>
    <w:p w14:paraId="4142C741" w14:textId="4AD1FEF1" w:rsidR="00DA748E" w:rsidRDefault="00DA748E" w:rsidP="009E1CCB">
      <w:pPr>
        <w:rPr>
          <w:rFonts w:cstheme="minorHAnsi"/>
          <w:b/>
          <w:szCs w:val="28"/>
        </w:rPr>
      </w:pPr>
    </w:p>
    <w:p w14:paraId="07CCD32C" w14:textId="4243994A" w:rsidR="009E1CCB" w:rsidRDefault="002F23A4" w:rsidP="009E1CCB">
      <w:pPr>
        <w:rPr>
          <w:rFonts w:cstheme="minorHAnsi"/>
          <w:b/>
          <w:szCs w:val="28"/>
        </w:rPr>
      </w:pPr>
      <w:r>
        <w:rPr>
          <w:rFonts w:cstheme="minorHAnsi"/>
          <w:b/>
          <w:szCs w:val="28"/>
        </w:rPr>
        <w:t>Q</w:t>
      </w:r>
      <w:r w:rsidR="009E1CCB" w:rsidRPr="009E1CCB">
        <w:rPr>
          <w:rFonts w:cstheme="minorHAnsi"/>
          <w:b/>
          <w:szCs w:val="28"/>
        </w:rPr>
        <w:t xml:space="preserve">uestion 2: What is your overall assessment of the UK Government’s approach to the Protocol, including bringing forward the Northern Ireland </w:t>
      </w:r>
      <w:r w:rsidR="009E1CCB" w:rsidRPr="009E1CCB">
        <w:rPr>
          <w:rFonts w:cstheme="minorHAnsi"/>
          <w:b/>
          <w:szCs w:val="28"/>
        </w:rPr>
        <w:lastRenderedPageBreak/>
        <w:t>Protocol Bill? To what extent will it alleviate the issues with the Protocol that it seeks to address?</w:t>
      </w:r>
    </w:p>
    <w:p w14:paraId="1442BA60" w14:textId="77777777" w:rsidR="009E1CCB" w:rsidRPr="00796541" w:rsidRDefault="009E1CCB" w:rsidP="009E1CCB">
      <w:pPr>
        <w:pStyle w:val="BasicParagraph"/>
        <w:numPr>
          <w:ilvl w:val="1"/>
          <w:numId w:val="8"/>
        </w:numPr>
        <w:suppressAutoHyphens/>
        <w:spacing w:after="240" w:line="276" w:lineRule="auto"/>
        <w:ind w:left="709" w:hanging="709"/>
        <w:rPr>
          <w:rFonts w:asciiTheme="minorHAnsi" w:hAnsiTheme="minorHAnsi" w:cstheme="minorHAnsi"/>
          <w:szCs w:val="28"/>
        </w:rPr>
      </w:pPr>
      <w:r w:rsidRPr="00796541">
        <w:rPr>
          <w:rFonts w:asciiTheme="minorHAnsi" w:hAnsiTheme="minorHAnsi" w:cstheme="minorHAnsi"/>
          <w:szCs w:val="28"/>
        </w:rPr>
        <w:t>The Commissions have welcomed assurances by the UK Government of its commitment to Protocol Article 2 and its acknowledgement that the commitment is ‘non-controversial’.</w:t>
      </w:r>
      <w:r w:rsidRPr="00796541">
        <w:rPr>
          <w:rStyle w:val="FootnoteReference"/>
          <w:rFonts w:asciiTheme="minorHAnsi" w:hAnsiTheme="minorHAnsi" w:cstheme="minorHAnsi"/>
          <w:szCs w:val="28"/>
        </w:rPr>
        <w:footnoteReference w:id="17"/>
      </w:r>
      <w:r w:rsidRPr="00796541">
        <w:rPr>
          <w:rFonts w:asciiTheme="minorHAnsi" w:hAnsiTheme="minorHAnsi" w:cstheme="minorHAnsi"/>
          <w:szCs w:val="28"/>
        </w:rPr>
        <w:t xml:space="preserve"> </w:t>
      </w:r>
    </w:p>
    <w:p w14:paraId="134C43C1" w14:textId="77777777" w:rsidR="009E1CCB" w:rsidRDefault="009E1CCB" w:rsidP="009E1CCB">
      <w:pPr>
        <w:pStyle w:val="BasicParagraph"/>
        <w:numPr>
          <w:ilvl w:val="1"/>
          <w:numId w:val="8"/>
        </w:numPr>
        <w:suppressAutoHyphens/>
        <w:spacing w:after="240" w:line="276" w:lineRule="auto"/>
        <w:ind w:left="709" w:hanging="709"/>
        <w:rPr>
          <w:rFonts w:asciiTheme="minorHAnsi" w:hAnsiTheme="minorHAnsi" w:cstheme="minorHAnsi"/>
          <w:szCs w:val="28"/>
        </w:rPr>
      </w:pPr>
      <w:r w:rsidRPr="00796541">
        <w:rPr>
          <w:rFonts w:asciiTheme="minorHAnsi" w:hAnsiTheme="minorHAnsi" w:cstheme="minorHAnsi"/>
          <w:szCs w:val="28"/>
        </w:rPr>
        <w:t>However, the Commissions have identified a number of concerns about the impact of the Bill on the implementation of Protocol Article 2, which are explored in detail in section 4.0 of this response.</w:t>
      </w:r>
      <w:r w:rsidRPr="00796541">
        <w:rPr>
          <w:rStyle w:val="FootnoteReference"/>
          <w:rFonts w:asciiTheme="minorHAnsi" w:hAnsiTheme="minorHAnsi" w:cstheme="minorHAnsi"/>
          <w:szCs w:val="28"/>
        </w:rPr>
        <w:footnoteReference w:id="18"/>
      </w:r>
      <w:r w:rsidRPr="00796541">
        <w:rPr>
          <w:rFonts w:asciiTheme="minorHAnsi" w:hAnsiTheme="minorHAnsi" w:cstheme="minorHAnsi"/>
          <w:szCs w:val="28"/>
        </w:rPr>
        <w:t xml:space="preserve"> </w:t>
      </w:r>
    </w:p>
    <w:p w14:paraId="410D1098" w14:textId="1B2E36D9" w:rsidR="009E1CCB" w:rsidRDefault="009E1CCB" w:rsidP="009E1CCB">
      <w:pPr>
        <w:pStyle w:val="BasicParagraph"/>
        <w:numPr>
          <w:ilvl w:val="1"/>
          <w:numId w:val="8"/>
        </w:numPr>
        <w:suppressAutoHyphens/>
        <w:spacing w:after="240" w:line="276" w:lineRule="auto"/>
        <w:ind w:left="709" w:hanging="709"/>
        <w:rPr>
          <w:rFonts w:asciiTheme="minorHAnsi" w:hAnsiTheme="minorHAnsi" w:cstheme="minorHAnsi"/>
          <w:szCs w:val="28"/>
        </w:rPr>
      </w:pPr>
      <w:r w:rsidRPr="009E1CCB">
        <w:rPr>
          <w:rFonts w:asciiTheme="minorHAnsi" w:hAnsiTheme="minorHAnsi" w:cstheme="minorHAnsi"/>
          <w:szCs w:val="28"/>
        </w:rPr>
        <w:t>While a letter from the Secretary of State to the Joint Committee on Human Rights</w:t>
      </w:r>
      <w:r>
        <w:rPr>
          <w:rStyle w:val="FootnoteReference"/>
          <w:rFonts w:asciiTheme="minorHAnsi" w:hAnsiTheme="minorHAnsi" w:cstheme="minorHAnsi"/>
          <w:szCs w:val="28"/>
        </w:rPr>
        <w:footnoteReference w:id="19"/>
      </w:r>
      <w:r w:rsidRPr="009E1CCB">
        <w:rPr>
          <w:rFonts w:asciiTheme="minorHAnsi" w:hAnsiTheme="minorHAnsi" w:cstheme="minorHAnsi"/>
          <w:szCs w:val="28"/>
        </w:rPr>
        <w:t xml:space="preserve"> alluded briefly to the ‘special protections’ afforded to Protocol Article 2, </w:t>
      </w:r>
      <w:r w:rsidR="00A65F67">
        <w:rPr>
          <w:rFonts w:asciiTheme="minorHAnsi" w:hAnsiTheme="minorHAnsi" w:cstheme="minorHAnsi"/>
          <w:szCs w:val="28"/>
        </w:rPr>
        <w:t>C</w:t>
      </w:r>
      <w:r w:rsidRPr="009E1CCB">
        <w:rPr>
          <w:rFonts w:asciiTheme="minorHAnsi" w:hAnsiTheme="minorHAnsi" w:cstheme="minorHAnsi"/>
          <w:szCs w:val="28"/>
        </w:rPr>
        <w:t>ommittee Explanatory Notes of the Bill make no reference to any consideration given to compliance with Protocol Article 2. The Commissions have previously recommended that this should be the case regarding all relevant legislation.</w:t>
      </w:r>
      <w:r w:rsidRPr="00796541">
        <w:rPr>
          <w:rStyle w:val="FootnoteReference"/>
          <w:rFonts w:asciiTheme="minorHAnsi" w:hAnsiTheme="minorHAnsi" w:cstheme="minorHAnsi"/>
          <w:szCs w:val="28"/>
        </w:rPr>
        <w:footnoteReference w:id="20"/>
      </w:r>
      <w:r w:rsidRPr="009E1CCB">
        <w:rPr>
          <w:rFonts w:asciiTheme="minorHAnsi" w:hAnsiTheme="minorHAnsi" w:cstheme="minorHAnsi"/>
          <w:szCs w:val="28"/>
        </w:rPr>
        <w:t xml:space="preserve"> </w:t>
      </w:r>
    </w:p>
    <w:p w14:paraId="50D9DF23" w14:textId="18D63827" w:rsidR="009E1CCB" w:rsidRDefault="009E1CCB" w:rsidP="009E1CCB">
      <w:pPr>
        <w:pStyle w:val="BasicParagraph"/>
        <w:numPr>
          <w:ilvl w:val="1"/>
          <w:numId w:val="8"/>
        </w:numPr>
        <w:suppressAutoHyphens/>
        <w:spacing w:after="240" w:line="276" w:lineRule="auto"/>
        <w:ind w:left="709" w:hanging="709"/>
        <w:rPr>
          <w:rFonts w:asciiTheme="minorHAnsi" w:hAnsiTheme="minorHAnsi" w:cstheme="minorHAnsi"/>
          <w:szCs w:val="28"/>
        </w:rPr>
      </w:pPr>
      <w:r w:rsidRPr="009E1CCB">
        <w:rPr>
          <w:rFonts w:asciiTheme="minorHAnsi" w:hAnsiTheme="minorHAnsi" w:cstheme="minorHAnsi"/>
          <w:szCs w:val="28"/>
        </w:rPr>
        <w:t xml:space="preserve">The Commissions would also highlight the lack of engagement on the proposed content of this Bill by the UK Government, including with the Commissions and equality and human rights stakeholders in NI, prior to the Bill being presented in Parliament. We consider it would have been helpful for the UK Government to seek those views, including the views of the Commissions in terms of the implications of this Bill on Protocol Article 2,  as early as possible. Additionally, the speed at which this Bill is progressing through Parliament leaves little time for </w:t>
      </w:r>
      <w:r w:rsidR="00A65F67">
        <w:rPr>
          <w:rFonts w:asciiTheme="minorHAnsi" w:hAnsiTheme="minorHAnsi" w:cstheme="minorHAnsi"/>
          <w:szCs w:val="28"/>
        </w:rPr>
        <w:t xml:space="preserve">adequate </w:t>
      </w:r>
      <w:r w:rsidRPr="009E1CCB">
        <w:rPr>
          <w:rFonts w:asciiTheme="minorHAnsi" w:hAnsiTheme="minorHAnsi" w:cstheme="minorHAnsi"/>
          <w:szCs w:val="28"/>
        </w:rPr>
        <w:t>scrutiny of measures that will impact an international agreement.</w:t>
      </w:r>
    </w:p>
    <w:p w14:paraId="28132100" w14:textId="74893836" w:rsidR="009E1CCB" w:rsidRDefault="009E1CCB" w:rsidP="009E1CCB">
      <w:pPr>
        <w:pStyle w:val="BasicParagraph"/>
        <w:numPr>
          <w:ilvl w:val="1"/>
          <w:numId w:val="8"/>
        </w:numPr>
        <w:suppressAutoHyphens/>
        <w:spacing w:after="240" w:line="276" w:lineRule="auto"/>
        <w:ind w:left="709" w:hanging="709"/>
        <w:rPr>
          <w:rFonts w:asciiTheme="minorHAnsi" w:hAnsiTheme="minorHAnsi" w:cstheme="minorHAnsi"/>
          <w:szCs w:val="28"/>
        </w:rPr>
      </w:pPr>
      <w:r w:rsidRPr="009E1CCB">
        <w:rPr>
          <w:rFonts w:asciiTheme="minorHAnsi" w:hAnsiTheme="minorHAnsi" w:cstheme="minorHAnsi"/>
          <w:b/>
          <w:szCs w:val="28"/>
        </w:rPr>
        <w:t xml:space="preserve">The Commissions recommend that compliance with Protocol Article 2 </w:t>
      </w:r>
      <w:r w:rsidRPr="009E1CCB">
        <w:rPr>
          <w:rFonts w:asciiTheme="minorHAnsi" w:hAnsiTheme="minorHAnsi" w:cstheme="minorHAnsi"/>
          <w:b/>
          <w:szCs w:val="28"/>
        </w:rPr>
        <w:lastRenderedPageBreak/>
        <w:t>be considered from the earliest stages in the development of policy and legislation, and that there is early engagement with the Commissions on draft legislation to ensure compliance with Protocol Ar</w:t>
      </w:r>
      <w:r w:rsidR="00DA748E">
        <w:rPr>
          <w:rFonts w:asciiTheme="minorHAnsi" w:hAnsiTheme="minorHAnsi" w:cstheme="minorHAnsi"/>
          <w:b/>
          <w:szCs w:val="28"/>
        </w:rPr>
        <w:t>ticle 2</w:t>
      </w:r>
      <w:r w:rsidRPr="009E1CCB">
        <w:rPr>
          <w:rFonts w:asciiTheme="minorHAnsi" w:hAnsiTheme="minorHAnsi" w:cstheme="minorHAnsi"/>
          <w:b/>
          <w:szCs w:val="28"/>
        </w:rPr>
        <w:t xml:space="preserve">. </w:t>
      </w:r>
    </w:p>
    <w:p w14:paraId="008BB51F" w14:textId="35252DF6" w:rsidR="009E1CCB" w:rsidRDefault="009E1CCB" w:rsidP="009E1CCB">
      <w:pPr>
        <w:pStyle w:val="BasicParagraph"/>
        <w:numPr>
          <w:ilvl w:val="1"/>
          <w:numId w:val="8"/>
        </w:numPr>
        <w:suppressAutoHyphens/>
        <w:spacing w:after="240" w:line="276" w:lineRule="auto"/>
        <w:ind w:left="709" w:hanging="709"/>
        <w:rPr>
          <w:rFonts w:asciiTheme="minorHAnsi" w:hAnsiTheme="minorHAnsi" w:cstheme="minorHAnsi"/>
          <w:szCs w:val="28"/>
        </w:rPr>
      </w:pPr>
      <w:r w:rsidRPr="009E1CCB">
        <w:rPr>
          <w:rFonts w:asciiTheme="minorHAnsi" w:hAnsiTheme="minorHAnsi" w:cstheme="minorHAnsi"/>
          <w:b/>
          <w:bCs/>
          <w:szCs w:val="28"/>
        </w:rPr>
        <w:t>The Commissions recommend that the UK Government ensure</w:t>
      </w:r>
      <w:r w:rsidR="00A65F67">
        <w:rPr>
          <w:rFonts w:asciiTheme="minorHAnsi" w:hAnsiTheme="minorHAnsi" w:cstheme="minorHAnsi"/>
          <w:b/>
          <w:bCs/>
          <w:szCs w:val="28"/>
        </w:rPr>
        <w:t>s</w:t>
      </w:r>
      <w:r w:rsidRPr="009E1CCB">
        <w:rPr>
          <w:rFonts w:asciiTheme="minorHAnsi" w:hAnsiTheme="minorHAnsi" w:cstheme="minorHAnsi"/>
          <w:b/>
          <w:bCs/>
          <w:szCs w:val="28"/>
        </w:rPr>
        <w:t xml:space="preserve"> that Explanatory Memoranda on draft UK proposals that are likely to engage Protocol Article 2 set out what consideration has been given to ensuring conformity with Protocol Article 2.</w:t>
      </w:r>
    </w:p>
    <w:p w14:paraId="634F0178" w14:textId="13ECDA9F" w:rsidR="009E1CCB" w:rsidRPr="009E1CCB" w:rsidRDefault="009E1CCB" w:rsidP="009E1CCB">
      <w:pPr>
        <w:pStyle w:val="BasicParagraph"/>
        <w:numPr>
          <w:ilvl w:val="1"/>
          <w:numId w:val="8"/>
        </w:numPr>
        <w:suppressAutoHyphens/>
        <w:spacing w:after="240" w:line="276" w:lineRule="auto"/>
        <w:ind w:left="709" w:hanging="709"/>
        <w:rPr>
          <w:rFonts w:asciiTheme="minorHAnsi" w:hAnsiTheme="minorHAnsi" w:cstheme="minorHAnsi"/>
          <w:szCs w:val="28"/>
        </w:rPr>
      </w:pPr>
      <w:r w:rsidRPr="009E1CCB">
        <w:rPr>
          <w:b/>
          <w:szCs w:val="28"/>
        </w:rPr>
        <w:t xml:space="preserve">The Commissions recommend that the Committee asks the Minister </w:t>
      </w:r>
      <w:r w:rsidRPr="009E1CCB">
        <w:rPr>
          <w:rFonts w:asciiTheme="minorHAnsi" w:hAnsiTheme="minorHAnsi" w:cstheme="minorHAnsi"/>
          <w:b/>
          <w:bCs/>
          <w:szCs w:val="28"/>
        </w:rPr>
        <w:t>in charge of the Bill to</w:t>
      </w:r>
      <w:r w:rsidRPr="009E1CCB">
        <w:rPr>
          <w:b/>
          <w:szCs w:val="28"/>
        </w:rPr>
        <w:t xml:space="preserve"> set out, in detail, what consideration was given to compliance with Protocol Article 2 in the development of the Protocol Bill.</w:t>
      </w:r>
    </w:p>
    <w:p w14:paraId="68F84427" w14:textId="77777777" w:rsidR="009E1CCB" w:rsidRPr="00796541" w:rsidRDefault="009E1CCB" w:rsidP="009E1CCB">
      <w:pPr>
        <w:pStyle w:val="BasicParagraph"/>
        <w:suppressAutoHyphens/>
        <w:spacing w:after="240" w:line="276" w:lineRule="auto"/>
        <w:ind w:left="-11"/>
        <w:rPr>
          <w:rFonts w:asciiTheme="minorHAnsi" w:hAnsiTheme="minorHAnsi" w:cstheme="minorHAnsi"/>
          <w:b/>
          <w:szCs w:val="28"/>
        </w:rPr>
      </w:pPr>
      <w:r>
        <w:rPr>
          <w:rFonts w:asciiTheme="minorHAnsi" w:hAnsiTheme="minorHAnsi" w:cstheme="minorHAnsi"/>
          <w:b/>
          <w:szCs w:val="28"/>
        </w:rPr>
        <w:t xml:space="preserve">Question 3: </w:t>
      </w:r>
      <w:r w:rsidRPr="00796541">
        <w:rPr>
          <w:rFonts w:asciiTheme="minorHAnsi" w:hAnsiTheme="minorHAnsi" w:cstheme="minorHAnsi"/>
          <w:b/>
          <w:szCs w:val="28"/>
        </w:rPr>
        <w:t>What is your overall assessment of the Government’s argument that the Bill, and the measures contained within it, are necessary to safeguard the Belfast/Good Friday Agreement?</w:t>
      </w:r>
    </w:p>
    <w:p w14:paraId="47330BAE" w14:textId="35ECFFD4" w:rsidR="009E1CCB" w:rsidRDefault="009E1CCB" w:rsidP="009E1CCB">
      <w:pPr>
        <w:pStyle w:val="BasicParagraph"/>
        <w:numPr>
          <w:ilvl w:val="1"/>
          <w:numId w:val="8"/>
        </w:numPr>
        <w:suppressAutoHyphens/>
        <w:spacing w:after="240" w:line="276" w:lineRule="auto"/>
        <w:ind w:left="709" w:hanging="709"/>
        <w:rPr>
          <w:rFonts w:asciiTheme="minorHAnsi" w:hAnsiTheme="minorHAnsi" w:cstheme="minorHAnsi"/>
          <w:b/>
          <w:szCs w:val="28"/>
        </w:rPr>
      </w:pPr>
      <w:r w:rsidRPr="00796541">
        <w:rPr>
          <w:rFonts w:asciiTheme="minorHAnsi" w:hAnsiTheme="minorHAnsi" w:cstheme="minorHAnsi"/>
          <w:szCs w:val="28"/>
        </w:rPr>
        <w:t xml:space="preserve">The Commissions have not identified </w:t>
      </w:r>
      <w:r w:rsidR="00D759EB">
        <w:rPr>
          <w:rFonts w:asciiTheme="minorHAnsi" w:hAnsiTheme="minorHAnsi" w:cstheme="minorHAnsi"/>
          <w:szCs w:val="28"/>
        </w:rPr>
        <w:t>that</w:t>
      </w:r>
      <w:r w:rsidRPr="00796541">
        <w:rPr>
          <w:rFonts w:asciiTheme="minorHAnsi" w:hAnsiTheme="minorHAnsi" w:cstheme="minorHAnsi"/>
          <w:szCs w:val="28"/>
        </w:rPr>
        <w:t xml:space="preserve"> any of the provisions of the NI Protocol Bill are necessary to safeguard the</w:t>
      </w:r>
      <w:r>
        <w:rPr>
          <w:rFonts w:asciiTheme="minorHAnsi" w:hAnsiTheme="minorHAnsi" w:cstheme="minorHAnsi"/>
          <w:szCs w:val="28"/>
        </w:rPr>
        <w:t xml:space="preserve"> human rights or equality aspects of the</w:t>
      </w:r>
      <w:r w:rsidRPr="00796541">
        <w:rPr>
          <w:rFonts w:asciiTheme="minorHAnsi" w:hAnsiTheme="minorHAnsi" w:cstheme="minorHAnsi"/>
          <w:szCs w:val="28"/>
        </w:rPr>
        <w:t xml:space="preserve"> Belfast</w:t>
      </w:r>
      <w:r w:rsidR="00A65F67">
        <w:rPr>
          <w:rFonts w:asciiTheme="minorHAnsi" w:hAnsiTheme="minorHAnsi" w:cstheme="minorHAnsi"/>
          <w:szCs w:val="28"/>
        </w:rPr>
        <w:t>/</w:t>
      </w:r>
      <w:r w:rsidRPr="00796541">
        <w:rPr>
          <w:rFonts w:asciiTheme="minorHAnsi" w:hAnsiTheme="minorHAnsi" w:cstheme="minorHAnsi"/>
          <w:szCs w:val="28"/>
        </w:rPr>
        <w:t>Good Friday Agreement.</w:t>
      </w:r>
      <w:r>
        <w:rPr>
          <w:rFonts w:asciiTheme="minorHAnsi" w:hAnsiTheme="minorHAnsi" w:cstheme="minorHAnsi"/>
          <w:szCs w:val="28"/>
        </w:rPr>
        <w:t xml:space="preserve"> </w:t>
      </w:r>
      <w:r w:rsidRPr="00DC3FCD">
        <w:rPr>
          <w:rFonts w:asciiTheme="minorHAnsi" w:hAnsiTheme="minorHAnsi" w:cstheme="minorHAnsi"/>
          <w:szCs w:val="28"/>
        </w:rPr>
        <w:t>Protection of human rights and equality is central to the Belfast</w:t>
      </w:r>
      <w:r w:rsidR="00A65F67">
        <w:rPr>
          <w:rFonts w:asciiTheme="minorHAnsi" w:hAnsiTheme="minorHAnsi" w:cstheme="minorHAnsi"/>
          <w:szCs w:val="28"/>
        </w:rPr>
        <w:t>/</w:t>
      </w:r>
      <w:r w:rsidRPr="00DC3FCD">
        <w:rPr>
          <w:rFonts w:asciiTheme="minorHAnsi" w:hAnsiTheme="minorHAnsi" w:cstheme="minorHAnsi"/>
          <w:szCs w:val="28"/>
        </w:rPr>
        <w:t xml:space="preserve">Good Friday Agreement, </w:t>
      </w:r>
      <w:r w:rsidR="00902DEF">
        <w:rPr>
          <w:rFonts w:asciiTheme="minorHAnsi" w:hAnsiTheme="minorHAnsi" w:cstheme="minorHAnsi"/>
          <w:szCs w:val="28"/>
        </w:rPr>
        <w:t xml:space="preserve">as </w:t>
      </w:r>
      <w:r w:rsidRPr="00DC3FCD">
        <w:rPr>
          <w:rFonts w:asciiTheme="minorHAnsi" w:hAnsiTheme="minorHAnsi" w:cstheme="minorHAnsi"/>
          <w:szCs w:val="28"/>
        </w:rPr>
        <w:t xml:space="preserve">reflected in </w:t>
      </w:r>
      <w:r w:rsidR="00902DEF">
        <w:rPr>
          <w:rFonts w:asciiTheme="minorHAnsi" w:hAnsiTheme="minorHAnsi" w:cstheme="minorHAnsi"/>
          <w:szCs w:val="28"/>
        </w:rPr>
        <w:t xml:space="preserve">the UK Government commitment in </w:t>
      </w:r>
      <w:r w:rsidRPr="00DC3FCD">
        <w:rPr>
          <w:rFonts w:asciiTheme="minorHAnsi" w:hAnsiTheme="minorHAnsi" w:cstheme="minorHAnsi"/>
          <w:szCs w:val="28"/>
        </w:rPr>
        <w:t>Protocol Article 2</w:t>
      </w:r>
      <w:r w:rsidR="00566F94">
        <w:rPr>
          <w:rFonts w:asciiTheme="minorHAnsi" w:hAnsiTheme="minorHAnsi" w:cstheme="minorHAnsi"/>
          <w:szCs w:val="28"/>
        </w:rPr>
        <w:t>.</w:t>
      </w:r>
      <w:r w:rsidR="00902DEF">
        <w:rPr>
          <w:rFonts w:asciiTheme="minorHAnsi" w:hAnsiTheme="minorHAnsi" w:cstheme="minorHAnsi"/>
          <w:szCs w:val="28"/>
        </w:rPr>
        <w:t xml:space="preserve"> </w:t>
      </w:r>
      <w:r w:rsidR="00566F94">
        <w:rPr>
          <w:rFonts w:asciiTheme="minorHAnsi" w:hAnsiTheme="minorHAnsi" w:cstheme="minorHAnsi"/>
          <w:szCs w:val="28"/>
        </w:rPr>
        <w:t xml:space="preserve">In addition, the UK Government’s commitment in Protocol Article 2 </w:t>
      </w:r>
      <w:r w:rsidR="00902DEF">
        <w:rPr>
          <w:rFonts w:asciiTheme="minorHAnsi" w:hAnsiTheme="minorHAnsi" w:cstheme="minorHAnsi"/>
          <w:szCs w:val="28"/>
        </w:rPr>
        <w:t>is</w:t>
      </w:r>
      <w:r w:rsidRPr="00DC3FCD">
        <w:rPr>
          <w:rFonts w:asciiTheme="minorHAnsi" w:hAnsiTheme="minorHAnsi" w:cstheme="minorHAnsi"/>
          <w:szCs w:val="28"/>
        </w:rPr>
        <w:t xml:space="preserve"> an important and positive commitment providing a measure of certainty and stability in the context of wider change resulting from EU withdrawal.</w:t>
      </w:r>
    </w:p>
    <w:p w14:paraId="29CC7C3C" w14:textId="3CE75285" w:rsidR="009E1CCB" w:rsidRPr="00755992" w:rsidRDefault="009E1CCB" w:rsidP="009E1CCB">
      <w:pPr>
        <w:pStyle w:val="BasicParagraph"/>
        <w:numPr>
          <w:ilvl w:val="1"/>
          <w:numId w:val="8"/>
        </w:numPr>
        <w:suppressAutoHyphens/>
        <w:spacing w:after="240" w:line="276" w:lineRule="auto"/>
        <w:ind w:left="709" w:hanging="709"/>
        <w:rPr>
          <w:rFonts w:asciiTheme="minorHAnsi" w:hAnsiTheme="minorHAnsi" w:cstheme="minorHAnsi"/>
          <w:b/>
          <w:szCs w:val="28"/>
        </w:rPr>
      </w:pPr>
      <w:r w:rsidRPr="009E1CCB">
        <w:rPr>
          <w:rFonts w:asciiTheme="minorHAnsi" w:hAnsiTheme="minorHAnsi" w:cstheme="minorHAnsi"/>
          <w:szCs w:val="28"/>
        </w:rPr>
        <w:t xml:space="preserve">The non-diminution commitment under Protocol Article 2 is intended to </w:t>
      </w:r>
      <w:r w:rsidR="00902DEF">
        <w:rPr>
          <w:rFonts w:asciiTheme="minorHAnsi" w:hAnsiTheme="minorHAnsi" w:cstheme="minorHAnsi"/>
          <w:szCs w:val="28"/>
        </w:rPr>
        <w:t xml:space="preserve">safeguard the commitments to </w:t>
      </w:r>
      <w:r w:rsidRPr="009E1CCB">
        <w:rPr>
          <w:rFonts w:asciiTheme="minorHAnsi" w:hAnsiTheme="minorHAnsi" w:cstheme="minorHAnsi"/>
          <w:szCs w:val="28"/>
        </w:rPr>
        <w:t>human rights and equalities in the relevant chapter of the Belfast</w:t>
      </w:r>
      <w:r w:rsidR="00A65F67">
        <w:rPr>
          <w:rFonts w:asciiTheme="minorHAnsi" w:hAnsiTheme="minorHAnsi" w:cstheme="minorHAnsi"/>
          <w:szCs w:val="28"/>
        </w:rPr>
        <w:t>/</w:t>
      </w:r>
      <w:r w:rsidRPr="009E1CCB">
        <w:rPr>
          <w:rFonts w:asciiTheme="minorHAnsi" w:hAnsiTheme="minorHAnsi" w:cstheme="minorHAnsi"/>
          <w:szCs w:val="28"/>
        </w:rPr>
        <w:t xml:space="preserve">Good Friday Agreement. While the Bill offers a measure of protection for Protocol Article 2, the Commissions have identified a number of clauses within the Bill that </w:t>
      </w:r>
      <w:r w:rsidR="00B342DB">
        <w:rPr>
          <w:rFonts w:asciiTheme="minorHAnsi" w:hAnsiTheme="minorHAnsi" w:cstheme="minorHAnsi"/>
          <w:szCs w:val="28"/>
        </w:rPr>
        <w:t xml:space="preserve">will </w:t>
      </w:r>
      <w:r w:rsidRPr="009E1CCB">
        <w:rPr>
          <w:rFonts w:asciiTheme="minorHAnsi" w:hAnsiTheme="minorHAnsi" w:cstheme="minorHAnsi"/>
          <w:szCs w:val="28"/>
        </w:rPr>
        <w:t>weaken Protocol Article 2 in practice</w:t>
      </w:r>
      <w:r w:rsidR="00B342DB">
        <w:rPr>
          <w:rFonts w:asciiTheme="minorHAnsi" w:hAnsiTheme="minorHAnsi" w:cstheme="minorHAnsi"/>
          <w:szCs w:val="28"/>
        </w:rPr>
        <w:t>, if not addressed</w:t>
      </w:r>
      <w:r w:rsidRPr="009E1CCB">
        <w:rPr>
          <w:rFonts w:asciiTheme="minorHAnsi" w:hAnsiTheme="minorHAnsi" w:cstheme="minorHAnsi"/>
          <w:szCs w:val="28"/>
        </w:rPr>
        <w:t xml:space="preserve">. </w:t>
      </w:r>
      <w:r w:rsidR="00A65F67">
        <w:rPr>
          <w:rFonts w:asciiTheme="minorHAnsi" w:hAnsiTheme="minorHAnsi" w:cstheme="minorHAnsi"/>
          <w:szCs w:val="28"/>
        </w:rPr>
        <w:t xml:space="preserve">Weakening </w:t>
      </w:r>
      <w:r w:rsidRPr="009E1CCB">
        <w:rPr>
          <w:rFonts w:asciiTheme="minorHAnsi" w:hAnsiTheme="minorHAnsi" w:cstheme="minorHAnsi"/>
          <w:szCs w:val="28"/>
        </w:rPr>
        <w:t xml:space="preserve">Protocol Article 2 </w:t>
      </w:r>
      <w:r w:rsidRPr="00A65F67">
        <w:rPr>
          <w:rFonts w:asciiTheme="minorHAnsi" w:hAnsiTheme="minorHAnsi" w:cstheme="minorHAnsi"/>
          <w:szCs w:val="28"/>
        </w:rPr>
        <w:t>undermines</w:t>
      </w:r>
      <w:r w:rsidRPr="009E1CCB">
        <w:rPr>
          <w:rFonts w:asciiTheme="minorHAnsi" w:hAnsiTheme="minorHAnsi" w:cstheme="minorHAnsi"/>
          <w:szCs w:val="28"/>
        </w:rPr>
        <w:t xml:space="preserve"> the </w:t>
      </w:r>
      <w:r w:rsidR="00B342DB">
        <w:rPr>
          <w:rFonts w:asciiTheme="minorHAnsi" w:hAnsiTheme="minorHAnsi" w:cstheme="minorHAnsi"/>
          <w:szCs w:val="28"/>
        </w:rPr>
        <w:t xml:space="preserve">UK Government’s </w:t>
      </w:r>
      <w:r w:rsidRPr="009E1CCB">
        <w:rPr>
          <w:rFonts w:asciiTheme="minorHAnsi" w:hAnsiTheme="minorHAnsi" w:cstheme="minorHAnsi"/>
          <w:szCs w:val="28"/>
        </w:rPr>
        <w:t xml:space="preserve">commitments in the relevant </w:t>
      </w:r>
      <w:r w:rsidRPr="009E1CCB">
        <w:rPr>
          <w:rFonts w:asciiTheme="minorHAnsi" w:hAnsiTheme="minorHAnsi" w:cstheme="minorHAnsi"/>
          <w:szCs w:val="28"/>
        </w:rPr>
        <w:lastRenderedPageBreak/>
        <w:t>chapter of the Belfast</w:t>
      </w:r>
      <w:r w:rsidR="00A65F67">
        <w:rPr>
          <w:rFonts w:asciiTheme="minorHAnsi" w:hAnsiTheme="minorHAnsi" w:cstheme="minorHAnsi"/>
          <w:szCs w:val="28"/>
        </w:rPr>
        <w:t>/</w:t>
      </w:r>
      <w:r w:rsidRPr="009E1CCB">
        <w:rPr>
          <w:rFonts w:asciiTheme="minorHAnsi" w:hAnsiTheme="minorHAnsi" w:cstheme="minorHAnsi"/>
          <w:szCs w:val="28"/>
        </w:rPr>
        <w:t>Good Friday Agreement relating to human rights and equality.</w:t>
      </w:r>
    </w:p>
    <w:p w14:paraId="0CCC82EE" w14:textId="25B6D3F2" w:rsidR="00755992" w:rsidRDefault="00755992" w:rsidP="00755992">
      <w:pPr>
        <w:pStyle w:val="BasicParagraph"/>
        <w:suppressAutoHyphens/>
        <w:spacing w:after="240" w:line="276" w:lineRule="auto"/>
        <w:rPr>
          <w:rFonts w:asciiTheme="minorHAnsi" w:hAnsiTheme="minorHAnsi" w:cstheme="minorHAnsi"/>
          <w:szCs w:val="28"/>
        </w:rPr>
      </w:pPr>
    </w:p>
    <w:p w14:paraId="60E524BF" w14:textId="3F97249E" w:rsidR="009E1CCB" w:rsidRPr="00DA748E" w:rsidRDefault="00DA748E" w:rsidP="00DA748E">
      <w:pPr>
        <w:pStyle w:val="Heading1"/>
        <w:ind w:left="426" w:hanging="426"/>
      </w:pPr>
      <w:bookmarkStart w:id="4" w:name="_Toc118384465"/>
      <w:r w:rsidRPr="00DA748E">
        <w:t>Legal Impact of the Bill</w:t>
      </w:r>
      <w:bookmarkEnd w:id="4"/>
      <w:r w:rsidRPr="00DA748E">
        <w:t xml:space="preserve"> </w:t>
      </w:r>
    </w:p>
    <w:p w14:paraId="28E2446B" w14:textId="77777777" w:rsidR="00DA748E" w:rsidRPr="00DA748E" w:rsidRDefault="00DA748E" w:rsidP="00DA748E">
      <w:pPr>
        <w:rPr>
          <w:rFonts w:cstheme="minorHAnsi"/>
          <w:b/>
          <w:szCs w:val="28"/>
        </w:rPr>
      </w:pPr>
      <w:r w:rsidRPr="00DA748E">
        <w:rPr>
          <w:rFonts w:cstheme="minorHAnsi"/>
          <w:b/>
          <w:szCs w:val="28"/>
        </w:rPr>
        <w:t>Question 4: What impact will the Northern Ireland Protocol Bill have on the economic and political climate in NI, and on North-South and East-West relations, if and when it comes into law?</w:t>
      </w:r>
    </w:p>
    <w:p w14:paraId="0B677F09" w14:textId="77777777" w:rsidR="00DA748E" w:rsidRPr="00DA748E" w:rsidRDefault="00DA748E" w:rsidP="00DA748E">
      <w:pPr>
        <w:pStyle w:val="ListParagraph"/>
        <w:numPr>
          <w:ilvl w:val="0"/>
          <w:numId w:val="26"/>
        </w:numPr>
        <w:rPr>
          <w:rFonts w:cstheme="minorHAnsi"/>
          <w:vanish/>
          <w:szCs w:val="28"/>
        </w:rPr>
      </w:pPr>
    </w:p>
    <w:p w14:paraId="1C813EA9" w14:textId="77777777" w:rsidR="00DA748E" w:rsidRPr="00DA748E" w:rsidRDefault="00DA748E" w:rsidP="00DA748E">
      <w:pPr>
        <w:pStyle w:val="ListParagraph"/>
        <w:numPr>
          <w:ilvl w:val="0"/>
          <w:numId w:val="26"/>
        </w:numPr>
        <w:rPr>
          <w:rFonts w:cstheme="minorHAnsi"/>
          <w:vanish/>
          <w:szCs w:val="28"/>
        </w:rPr>
      </w:pPr>
    </w:p>
    <w:p w14:paraId="254D8A53" w14:textId="77777777" w:rsidR="00DA748E" w:rsidRPr="00DA748E" w:rsidRDefault="00DA748E" w:rsidP="00DA748E">
      <w:pPr>
        <w:pStyle w:val="ListParagraph"/>
        <w:numPr>
          <w:ilvl w:val="0"/>
          <w:numId w:val="26"/>
        </w:numPr>
        <w:rPr>
          <w:rFonts w:cstheme="minorHAnsi"/>
          <w:vanish/>
          <w:szCs w:val="28"/>
        </w:rPr>
      </w:pPr>
    </w:p>
    <w:p w14:paraId="2AC05D15" w14:textId="77777777" w:rsidR="00DA748E" w:rsidRPr="00DA748E" w:rsidRDefault="00DA748E" w:rsidP="00DA748E">
      <w:pPr>
        <w:pStyle w:val="ListParagraph"/>
        <w:numPr>
          <w:ilvl w:val="0"/>
          <w:numId w:val="26"/>
        </w:numPr>
        <w:rPr>
          <w:rFonts w:cstheme="minorHAnsi"/>
          <w:vanish/>
          <w:szCs w:val="28"/>
        </w:rPr>
      </w:pPr>
    </w:p>
    <w:p w14:paraId="7CCFD71C" w14:textId="77777777" w:rsidR="00DA748E" w:rsidRPr="00DA748E" w:rsidRDefault="00DA748E" w:rsidP="00DA748E">
      <w:pPr>
        <w:pStyle w:val="ListParagraph"/>
        <w:numPr>
          <w:ilvl w:val="0"/>
          <w:numId w:val="25"/>
        </w:numPr>
        <w:rPr>
          <w:rFonts w:eastAsiaTheme="minorEastAsia" w:cstheme="minorHAnsi"/>
          <w:vanish/>
          <w:color w:val="000000"/>
          <w:szCs w:val="28"/>
        </w:rPr>
      </w:pPr>
    </w:p>
    <w:p w14:paraId="57ED8AD4" w14:textId="77777777" w:rsidR="00DA748E" w:rsidRPr="00DA748E" w:rsidRDefault="00DA748E" w:rsidP="00DA748E">
      <w:pPr>
        <w:pStyle w:val="ListParagraph"/>
        <w:numPr>
          <w:ilvl w:val="0"/>
          <w:numId w:val="25"/>
        </w:numPr>
        <w:rPr>
          <w:rFonts w:eastAsiaTheme="minorEastAsia" w:cstheme="minorHAnsi"/>
          <w:vanish/>
          <w:color w:val="000000"/>
          <w:szCs w:val="28"/>
        </w:rPr>
      </w:pPr>
    </w:p>
    <w:p w14:paraId="7C7052BB" w14:textId="77777777" w:rsidR="00DA748E" w:rsidRPr="00DA748E" w:rsidRDefault="00DA748E" w:rsidP="00DA748E">
      <w:pPr>
        <w:pStyle w:val="ListParagraph"/>
        <w:numPr>
          <w:ilvl w:val="0"/>
          <w:numId w:val="25"/>
        </w:numPr>
        <w:rPr>
          <w:rFonts w:eastAsiaTheme="minorEastAsia" w:cstheme="minorHAnsi"/>
          <w:vanish/>
          <w:color w:val="000000"/>
          <w:szCs w:val="28"/>
        </w:rPr>
      </w:pPr>
    </w:p>
    <w:p w14:paraId="46698D10" w14:textId="240EA0FE" w:rsidR="00DA748E" w:rsidRPr="00DA748E" w:rsidRDefault="00DA748E" w:rsidP="00DA748E">
      <w:pPr>
        <w:pStyle w:val="ListParagraph"/>
        <w:numPr>
          <w:ilvl w:val="1"/>
          <w:numId w:val="25"/>
        </w:numPr>
        <w:ind w:left="720"/>
        <w:rPr>
          <w:rFonts w:eastAsiaTheme="minorEastAsia" w:cstheme="minorHAnsi"/>
          <w:color w:val="000000"/>
          <w:szCs w:val="28"/>
        </w:rPr>
      </w:pPr>
      <w:r w:rsidRPr="00DA748E">
        <w:rPr>
          <w:rFonts w:eastAsiaTheme="minorEastAsia" w:cstheme="minorHAnsi"/>
          <w:color w:val="000000"/>
          <w:szCs w:val="28"/>
        </w:rPr>
        <w:t>The text of the Belfast</w:t>
      </w:r>
      <w:r w:rsidR="00D86C35">
        <w:rPr>
          <w:rFonts w:eastAsiaTheme="minorEastAsia" w:cstheme="minorHAnsi"/>
          <w:color w:val="000000"/>
          <w:szCs w:val="28"/>
        </w:rPr>
        <w:t>/</w:t>
      </w:r>
      <w:r w:rsidRPr="00DA748E">
        <w:rPr>
          <w:rFonts w:eastAsiaTheme="minorEastAsia" w:cstheme="minorHAnsi"/>
          <w:color w:val="000000"/>
          <w:szCs w:val="28"/>
        </w:rPr>
        <w:t xml:space="preserve">Good Friday Agreement requires “at least an equivalent level of protection of human rights” in Ireland as </w:t>
      </w:r>
      <w:r w:rsidRPr="00952FCB">
        <w:rPr>
          <w:rFonts w:eastAsiaTheme="minorEastAsia" w:cstheme="minorHAnsi"/>
          <w:color w:val="000000"/>
          <w:szCs w:val="28"/>
        </w:rPr>
        <w:t>in N</w:t>
      </w:r>
      <w:r w:rsidR="00153471" w:rsidRPr="00FC0EB5">
        <w:rPr>
          <w:rFonts w:eastAsiaTheme="minorEastAsia" w:cstheme="minorHAnsi"/>
          <w:color w:val="000000"/>
          <w:szCs w:val="28"/>
        </w:rPr>
        <w:t xml:space="preserve">orthern </w:t>
      </w:r>
      <w:r w:rsidRPr="00952FCB">
        <w:rPr>
          <w:rFonts w:eastAsiaTheme="minorEastAsia" w:cstheme="minorHAnsi"/>
          <w:color w:val="000000"/>
          <w:szCs w:val="28"/>
        </w:rPr>
        <w:t>I</w:t>
      </w:r>
      <w:r w:rsidR="00153471" w:rsidRPr="00952FCB">
        <w:rPr>
          <w:rFonts w:eastAsiaTheme="minorEastAsia" w:cstheme="minorHAnsi"/>
          <w:color w:val="000000"/>
          <w:szCs w:val="28"/>
        </w:rPr>
        <w:t>reland</w:t>
      </w:r>
      <w:r w:rsidRPr="00952FCB">
        <w:rPr>
          <w:rFonts w:eastAsiaTheme="minorEastAsia" w:cstheme="minorHAnsi"/>
          <w:color w:val="000000"/>
          <w:szCs w:val="28"/>
        </w:rPr>
        <w:t>.</w:t>
      </w:r>
      <w:r w:rsidRPr="00952FCB">
        <w:rPr>
          <w:rStyle w:val="FootnoteReference"/>
          <w:rFonts w:cstheme="minorHAnsi"/>
          <w:szCs w:val="28"/>
        </w:rPr>
        <w:footnoteReference w:id="21"/>
      </w:r>
      <w:r w:rsidRPr="00DA748E">
        <w:rPr>
          <w:rFonts w:eastAsiaTheme="minorEastAsia" w:cstheme="minorHAnsi"/>
          <w:color w:val="000000"/>
          <w:szCs w:val="28"/>
        </w:rPr>
        <w:t xml:space="preserve"> In its Explainer on Protocol Article 2, the UK Government sets out its view that the 1998 Agreement does not require North-South equivalence of rights and equality protections.</w:t>
      </w:r>
      <w:r w:rsidRPr="00DA748E">
        <w:rPr>
          <w:rStyle w:val="FootnoteReference"/>
          <w:rFonts w:eastAsiaTheme="minorEastAsia" w:cstheme="minorHAnsi"/>
          <w:color w:val="000000"/>
          <w:szCs w:val="28"/>
        </w:rPr>
        <w:footnoteReference w:id="22"/>
      </w:r>
      <w:r w:rsidRPr="00DA748E">
        <w:rPr>
          <w:rFonts w:eastAsiaTheme="minorEastAsia" w:cstheme="minorHAnsi"/>
          <w:color w:val="000000"/>
          <w:szCs w:val="28"/>
        </w:rPr>
        <w:t xml:space="preserve">  However, in the context of the Protocol Article 2 commitment, it also highlighted that “best practices in the area of human rights and equalities in the rest of the UK, the EU and rest of the world will be taken into consideration as the commitment is implemented”</w:t>
      </w:r>
      <w:r w:rsidRPr="00DA748E">
        <w:rPr>
          <w:rFonts w:cstheme="minorHAnsi"/>
          <w:szCs w:val="28"/>
        </w:rPr>
        <w:t>.</w:t>
      </w:r>
      <w:r w:rsidRPr="00DA748E">
        <w:rPr>
          <w:rStyle w:val="FootnoteReference"/>
          <w:rFonts w:cstheme="minorHAnsi"/>
          <w:szCs w:val="28"/>
        </w:rPr>
        <w:footnoteReference w:id="23"/>
      </w:r>
      <w:r w:rsidRPr="00DA748E">
        <w:rPr>
          <w:rFonts w:cstheme="minorHAnsi"/>
          <w:szCs w:val="28"/>
        </w:rPr>
        <w:t xml:space="preserve"> </w:t>
      </w:r>
    </w:p>
    <w:p w14:paraId="5A556F36" w14:textId="77777777" w:rsidR="00DA748E" w:rsidRPr="00DA748E" w:rsidRDefault="00DA748E" w:rsidP="00DA748E">
      <w:pPr>
        <w:pStyle w:val="ListParagraph"/>
        <w:ind w:left="709"/>
        <w:rPr>
          <w:rFonts w:eastAsiaTheme="minorEastAsia" w:cstheme="minorHAnsi"/>
          <w:color w:val="000000"/>
          <w:szCs w:val="28"/>
        </w:rPr>
      </w:pPr>
    </w:p>
    <w:p w14:paraId="3782F75A" w14:textId="24731C9D" w:rsidR="00DA748E" w:rsidRPr="00FC0EB5" w:rsidRDefault="00DA748E" w:rsidP="00DA748E">
      <w:pPr>
        <w:pStyle w:val="ListParagraph"/>
        <w:numPr>
          <w:ilvl w:val="1"/>
          <w:numId w:val="25"/>
        </w:numPr>
        <w:ind w:left="709" w:hanging="709"/>
        <w:rPr>
          <w:rFonts w:cstheme="minorHAnsi"/>
          <w:b/>
          <w:szCs w:val="28"/>
        </w:rPr>
      </w:pPr>
      <w:r w:rsidRPr="00DA748E">
        <w:rPr>
          <w:rFonts w:cstheme="minorHAnsi"/>
          <w:szCs w:val="28"/>
        </w:rPr>
        <w:t xml:space="preserve">The Commissions consider that long-term North-South equivalence </w:t>
      </w:r>
      <w:r w:rsidRPr="00DA748E">
        <w:rPr>
          <w:rFonts w:eastAsiaTheme="minorEastAsia" w:cstheme="minorHAnsi"/>
          <w:color w:val="000000"/>
          <w:szCs w:val="28"/>
        </w:rPr>
        <w:t>of rights and equality protections</w:t>
      </w:r>
      <w:r w:rsidRPr="00DA748E">
        <w:rPr>
          <w:rFonts w:cstheme="minorHAnsi"/>
          <w:szCs w:val="28"/>
        </w:rPr>
        <w:t xml:space="preserve"> is important to ensure there is no diminution of rights in </w:t>
      </w:r>
      <w:r w:rsidRPr="00451CBF">
        <w:rPr>
          <w:rFonts w:cstheme="minorHAnsi"/>
          <w:szCs w:val="28"/>
        </w:rPr>
        <w:t>N</w:t>
      </w:r>
      <w:r w:rsidR="00451CBF" w:rsidRPr="00FC0EB5">
        <w:rPr>
          <w:rFonts w:cstheme="minorHAnsi"/>
          <w:szCs w:val="28"/>
        </w:rPr>
        <w:t xml:space="preserve">orthern </w:t>
      </w:r>
      <w:r w:rsidRPr="00451CBF">
        <w:rPr>
          <w:rFonts w:cstheme="minorHAnsi"/>
          <w:szCs w:val="28"/>
        </w:rPr>
        <w:t>I</w:t>
      </w:r>
      <w:r w:rsidR="00451CBF" w:rsidRPr="00451CBF">
        <w:rPr>
          <w:rFonts w:cstheme="minorHAnsi"/>
          <w:szCs w:val="28"/>
        </w:rPr>
        <w:t>reland</w:t>
      </w:r>
      <w:r w:rsidRPr="00DA748E">
        <w:rPr>
          <w:rFonts w:cstheme="minorHAnsi"/>
          <w:szCs w:val="28"/>
        </w:rPr>
        <w:t xml:space="preserve"> and to ensure that human rights and equality protections are subject to continual improvement.  Any weakening of Protocol Article 2, including requirements relating to ‘keeping pace’</w:t>
      </w:r>
      <w:r w:rsidR="00FC0EB5">
        <w:rPr>
          <w:rFonts w:cstheme="minorHAnsi"/>
          <w:szCs w:val="28"/>
        </w:rPr>
        <w:t>,</w:t>
      </w:r>
      <w:r w:rsidR="00451CBF">
        <w:rPr>
          <w:rStyle w:val="FootnoteReference"/>
          <w:rFonts w:cstheme="minorHAnsi"/>
          <w:szCs w:val="28"/>
        </w:rPr>
        <w:footnoteReference w:id="24"/>
      </w:r>
      <w:r w:rsidRPr="00DA748E">
        <w:rPr>
          <w:rFonts w:cstheme="minorHAnsi"/>
          <w:szCs w:val="28"/>
        </w:rPr>
        <w:t xml:space="preserve"> could potentially cause </w:t>
      </w:r>
      <w:r w:rsidRPr="00451CBF">
        <w:rPr>
          <w:rFonts w:cstheme="minorHAnsi"/>
          <w:szCs w:val="28"/>
        </w:rPr>
        <w:t>N</w:t>
      </w:r>
      <w:r w:rsidR="00451CBF" w:rsidRPr="00FC0EB5">
        <w:rPr>
          <w:rFonts w:cstheme="minorHAnsi"/>
          <w:szCs w:val="28"/>
        </w:rPr>
        <w:t xml:space="preserve">orthern </w:t>
      </w:r>
      <w:r w:rsidRPr="00451CBF">
        <w:rPr>
          <w:rFonts w:cstheme="minorHAnsi"/>
          <w:szCs w:val="28"/>
        </w:rPr>
        <w:t>I</w:t>
      </w:r>
      <w:r w:rsidR="00451CBF" w:rsidRPr="00451CBF">
        <w:rPr>
          <w:rFonts w:cstheme="minorHAnsi"/>
          <w:szCs w:val="28"/>
        </w:rPr>
        <w:t>reland</w:t>
      </w:r>
      <w:r w:rsidRPr="00DA748E">
        <w:rPr>
          <w:rFonts w:cstheme="minorHAnsi"/>
          <w:szCs w:val="28"/>
        </w:rPr>
        <w:t xml:space="preserve"> to fall behind </w:t>
      </w:r>
      <w:r w:rsidRPr="00DA748E">
        <w:rPr>
          <w:rFonts w:cstheme="minorHAnsi"/>
          <w:szCs w:val="28"/>
        </w:rPr>
        <w:lastRenderedPageBreak/>
        <w:t>Ireland in terms of rights and equality protections</w:t>
      </w:r>
      <w:r w:rsidR="006D4D6C">
        <w:rPr>
          <w:rFonts w:cstheme="minorHAnsi"/>
          <w:szCs w:val="28"/>
        </w:rPr>
        <w:t xml:space="preserve">. This would </w:t>
      </w:r>
      <w:r w:rsidRPr="00DA748E">
        <w:rPr>
          <w:rFonts w:cstheme="minorHAnsi"/>
          <w:szCs w:val="28"/>
        </w:rPr>
        <w:t xml:space="preserve">impact on North-South equivalence </w:t>
      </w:r>
      <w:r w:rsidRPr="00DA748E">
        <w:rPr>
          <w:rFonts w:eastAsiaTheme="minorEastAsia" w:cstheme="minorHAnsi"/>
          <w:color w:val="000000"/>
          <w:szCs w:val="28"/>
        </w:rPr>
        <w:t>of rights and equality protections</w:t>
      </w:r>
      <w:r w:rsidRPr="00DA748E">
        <w:rPr>
          <w:rFonts w:cstheme="minorHAnsi"/>
          <w:szCs w:val="28"/>
        </w:rPr>
        <w:t>.</w:t>
      </w:r>
    </w:p>
    <w:p w14:paraId="4CB3B798" w14:textId="77777777" w:rsidR="009E7C5D" w:rsidRPr="00FC0EB5" w:rsidRDefault="009E7C5D" w:rsidP="00FC0EB5">
      <w:pPr>
        <w:pStyle w:val="ListParagraph"/>
        <w:rPr>
          <w:rFonts w:cstheme="minorHAnsi"/>
          <w:b/>
          <w:szCs w:val="28"/>
        </w:rPr>
      </w:pPr>
    </w:p>
    <w:p w14:paraId="3955BC79" w14:textId="77777777" w:rsidR="006632BF" w:rsidRPr="00B26230" w:rsidRDefault="006632BF" w:rsidP="006632BF">
      <w:pPr>
        <w:pStyle w:val="ListParagraph"/>
        <w:numPr>
          <w:ilvl w:val="1"/>
          <w:numId w:val="25"/>
        </w:numPr>
        <w:ind w:left="709" w:hanging="709"/>
        <w:rPr>
          <w:rFonts w:cstheme="minorHAnsi"/>
          <w:bCs/>
          <w:szCs w:val="28"/>
        </w:rPr>
      </w:pPr>
      <w:r>
        <w:rPr>
          <w:rFonts w:cstheme="minorHAnsi"/>
          <w:bCs/>
          <w:szCs w:val="28"/>
        </w:rPr>
        <w:t>In addition, it is important that the Bill and its outworkings do not result in any weakening of Protocol Article 2, including its oversight mechanisms, as they relate to human rights and equality protections with an island of Ireland dimension, which fall within the scope of that commitment.</w:t>
      </w:r>
      <w:r>
        <w:rPr>
          <w:rStyle w:val="FootnoteReference"/>
          <w:rFonts w:cstheme="minorHAnsi"/>
          <w:bCs/>
          <w:szCs w:val="28"/>
        </w:rPr>
        <w:footnoteReference w:id="25"/>
      </w:r>
    </w:p>
    <w:p w14:paraId="215E6FF4" w14:textId="77777777" w:rsidR="00DA748E" w:rsidRPr="00DA748E" w:rsidRDefault="00DA748E" w:rsidP="00DA748E">
      <w:pPr>
        <w:pStyle w:val="ListParagraph"/>
        <w:rPr>
          <w:rFonts w:cstheme="minorHAnsi"/>
          <w:b/>
          <w:szCs w:val="28"/>
        </w:rPr>
      </w:pPr>
    </w:p>
    <w:p w14:paraId="5FEEB718" w14:textId="77777777" w:rsidR="00DA748E" w:rsidRPr="00DA748E" w:rsidRDefault="00DA748E" w:rsidP="00DA748E">
      <w:pPr>
        <w:rPr>
          <w:rFonts w:cstheme="minorHAnsi"/>
          <w:b/>
          <w:szCs w:val="28"/>
        </w:rPr>
      </w:pPr>
      <w:r w:rsidRPr="00DA748E">
        <w:rPr>
          <w:rFonts w:cstheme="minorHAnsi"/>
          <w:b/>
          <w:szCs w:val="28"/>
        </w:rPr>
        <w:t>Question 5: What is your assessment of the Government’s legal justification for the Bill? What would you identify as the principle legal issues and consequences arising in relation to the NI Protocol Bill?</w:t>
      </w:r>
    </w:p>
    <w:p w14:paraId="4A3A7159" w14:textId="453A220C" w:rsidR="00DA748E" w:rsidRPr="00DA748E" w:rsidRDefault="00DA748E" w:rsidP="00DA748E">
      <w:pPr>
        <w:rPr>
          <w:rFonts w:cstheme="minorHAnsi"/>
          <w:szCs w:val="28"/>
        </w:rPr>
      </w:pPr>
      <w:r w:rsidRPr="00DA748E">
        <w:rPr>
          <w:rFonts w:cstheme="minorHAnsi"/>
          <w:b/>
          <w:i/>
          <w:szCs w:val="28"/>
        </w:rPr>
        <w:t>Clause 13</w:t>
      </w:r>
    </w:p>
    <w:p w14:paraId="694C5C1B" w14:textId="4A36F6C1" w:rsidR="00DA748E" w:rsidRPr="00DA748E" w:rsidRDefault="00DA748E" w:rsidP="00DA748E">
      <w:pPr>
        <w:pStyle w:val="ListParagraph"/>
        <w:numPr>
          <w:ilvl w:val="1"/>
          <w:numId w:val="25"/>
        </w:numPr>
        <w:ind w:left="709" w:hanging="709"/>
        <w:rPr>
          <w:rFonts w:cstheme="minorHAnsi"/>
          <w:b/>
          <w:szCs w:val="28"/>
        </w:rPr>
      </w:pPr>
      <w:r w:rsidRPr="00DA748E">
        <w:rPr>
          <w:rFonts w:cstheme="minorHAnsi"/>
          <w:szCs w:val="28"/>
        </w:rPr>
        <w:t xml:space="preserve">Clause 13(1) states that any provision of the Protocol or Withdrawal Agreement is excluded provision so far as it confers jurisdiction on the CJEU in relation to the Protocol or the Withdrawal Agreement, whether the jurisdiction relates to excluded provision or any other matter. </w:t>
      </w:r>
    </w:p>
    <w:p w14:paraId="39A52DD8" w14:textId="77777777" w:rsidR="00DA748E" w:rsidRPr="00DA748E" w:rsidRDefault="00DA748E" w:rsidP="00DA748E">
      <w:pPr>
        <w:pStyle w:val="ListParagraph"/>
        <w:ind w:left="709"/>
        <w:rPr>
          <w:rFonts w:cstheme="minorHAnsi"/>
          <w:b/>
          <w:szCs w:val="28"/>
        </w:rPr>
      </w:pPr>
    </w:p>
    <w:p w14:paraId="26F17B53" w14:textId="13452CED" w:rsidR="00DA748E" w:rsidRPr="00DA748E" w:rsidRDefault="00DA748E" w:rsidP="00DA748E">
      <w:pPr>
        <w:pStyle w:val="ListParagraph"/>
        <w:numPr>
          <w:ilvl w:val="1"/>
          <w:numId w:val="25"/>
        </w:numPr>
        <w:ind w:left="709" w:hanging="709"/>
        <w:rPr>
          <w:rFonts w:cstheme="minorHAnsi"/>
          <w:b/>
          <w:szCs w:val="28"/>
        </w:rPr>
      </w:pPr>
      <w:r w:rsidRPr="00DA748E">
        <w:rPr>
          <w:rFonts w:cstheme="minorHAnsi"/>
          <w:szCs w:val="28"/>
        </w:rPr>
        <w:t xml:space="preserve">This may be relevant to Protocol Article 2. Under Article 164 of the Withdrawal Agreement, the UK and the EU, through the Joint Committee, supervise and facilitate the implementation of the UK-EU Withdrawal Agreement. The Joint Committee can adopt decisions and make appropriate recommendations to the UK and EU. Such decisions shall be agreed by mutual consent between the parties, have the same legal effect as the Withdrawal Agreement and are binding on both parties.  Where there is a dispute on the application and interpretation of the UK-EU Withdrawal Agreement that cannot be resolved through the Joint Committee, it will be subject to arbitration and any decision of the arbitration panel will be binding on both parties.  Under Article 174 of the Withdrawal Agreement, where a dispute relates to specified </w:t>
      </w:r>
      <w:r w:rsidRPr="00DA748E">
        <w:rPr>
          <w:rFonts w:cstheme="minorHAnsi"/>
          <w:szCs w:val="28"/>
        </w:rPr>
        <w:lastRenderedPageBreak/>
        <w:t xml:space="preserve">matters, including the interpretation of EU law, an arbitration panel must ask the </w:t>
      </w:r>
      <w:r w:rsidR="00451CBF">
        <w:rPr>
          <w:rFonts w:cstheme="minorHAnsi"/>
          <w:szCs w:val="28"/>
        </w:rPr>
        <w:t>Court of Justice of the EU (</w:t>
      </w:r>
      <w:r w:rsidRPr="00DA748E">
        <w:rPr>
          <w:rFonts w:cstheme="minorHAnsi"/>
          <w:szCs w:val="28"/>
        </w:rPr>
        <w:t>CJEU</w:t>
      </w:r>
      <w:r w:rsidR="00451CBF">
        <w:rPr>
          <w:rFonts w:cstheme="minorHAnsi"/>
          <w:szCs w:val="28"/>
        </w:rPr>
        <w:t>)</w:t>
      </w:r>
      <w:r w:rsidRPr="00DA748E">
        <w:rPr>
          <w:rFonts w:cstheme="minorHAnsi"/>
          <w:szCs w:val="28"/>
        </w:rPr>
        <w:t xml:space="preserve"> to provide its interpretation and the CJEU’s interpretation will be binding. To the extent that Clause 13 of the Bill would restrict the CJEU’s interpretive role in disputes relevant to Protocol Article 2, the Commissions would regard this as a weakening of the non-diminution commitment.</w:t>
      </w:r>
    </w:p>
    <w:p w14:paraId="246A7539" w14:textId="77777777" w:rsidR="00DA748E" w:rsidRPr="00DA748E" w:rsidRDefault="00DA748E" w:rsidP="00DA748E">
      <w:pPr>
        <w:pStyle w:val="ListParagraph"/>
        <w:ind w:left="709"/>
        <w:rPr>
          <w:rFonts w:cstheme="minorHAnsi"/>
          <w:b/>
          <w:szCs w:val="28"/>
        </w:rPr>
      </w:pPr>
    </w:p>
    <w:p w14:paraId="0A2CBB3F" w14:textId="385D6F52" w:rsidR="00DA748E" w:rsidRPr="00DA748E" w:rsidRDefault="00DA748E" w:rsidP="00DA748E">
      <w:pPr>
        <w:pStyle w:val="ListParagraph"/>
        <w:numPr>
          <w:ilvl w:val="1"/>
          <w:numId w:val="25"/>
        </w:numPr>
        <w:ind w:left="709" w:hanging="709"/>
        <w:rPr>
          <w:rFonts w:cstheme="minorHAnsi"/>
          <w:b/>
          <w:szCs w:val="28"/>
        </w:rPr>
      </w:pPr>
      <w:r w:rsidRPr="00DA748E">
        <w:rPr>
          <w:rFonts w:cstheme="minorHAnsi"/>
          <w:b/>
          <w:bCs/>
          <w:szCs w:val="28"/>
        </w:rPr>
        <w:t>The Commissions recommend that Clause 13 be amended to make clear that subsection 1 does not restrict the role of the CJEU where it is asked to give a ruling under Article 174 of the Withdrawal Agreement (Disputes raising questions of Union law) relating to the interpretation of EU law relevant to Protocol Article 2.</w:t>
      </w:r>
    </w:p>
    <w:p w14:paraId="71169735" w14:textId="77777777" w:rsidR="00DA748E" w:rsidRPr="00DA748E" w:rsidRDefault="00DA748E" w:rsidP="00DA748E">
      <w:pPr>
        <w:pStyle w:val="ListParagraph"/>
        <w:rPr>
          <w:rFonts w:cstheme="minorHAnsi"/>
          <w:b/>
          <w:szCs w:val="28"/>
        </w:rPr>
      </w:pPr>
    </w:p>
    <w:p w14:paraId="60A8D25F" w14:textId="77777777" w:rsidR="00DA748E" w:rsidRPr="00DA748E" w:rsidRDefault="00DA748E" w:rsidP="00DA748E">
      <w:pPr>
        <w:rPr>
          <w:rFonts w:cstheme="minorHAnsi"/>
          <w:b/>
          <w:i/>
          <w:szCs w:val="28"/>
        </w:rPr>
      </w:pPr>
      <w:r w:rsidRPr="00DA748E">
        <w:rPr>
          <w:rFonts w:cstheme="minorHAnsi"/>
          <w:b/>
          <w:i/>
          <w:szCs w:val="28"/>
        </w:rPr>
        <w:t>Clause 15</w:t>
      </w:r>
    </w:p>
    <w:p w14:paraId="1D53CEC1" w14:textId="0C129507" w:rsidR="00DA748E" w:rsidRPr="00DA748E" w:rsidRDefault="00DA748E" w:rsidP="00DA748E">
      <w:pPr>
        <w:pStyle w:val="ListParagraph"/>
        <w:numPr>
          <w:ilvl w:val="1"/>
          <w:numId w:val="25"/>
        </w:numPr>
        <w:ind w:left="709" w:hanging="709"/>
        <w:rPr>
          <w:rFonts w:cstheme="minorHAnsi"/>
          <w:b/>
          <w:szCs w:val="28"/>
        </w:rPr>
      </w:pPr>
      <w:r w:rsidRPr="00DA748E">
        <w:rPr>
          <w:rFonts w:cstheme="minorHAnsi"/>
          <w:szCs w:val="28"/>
        </w:rPr>
        <w:t xml:space="preserve">While Clause 15(3) protects Protocol Article 2 insofar as it states that Ministers may not use the powers conferred in the Clause to define Protocol Article 2 as ‘excluded provision’, it does not protect other aspects of the Protocol which are relevant to the implementation of Protocol Article 2. </w:t>
      </w:r>
    </w:p>
    <w:p w14:paraId="3FEBE058" w14:textId="77777777" w:rsidR="00DA748E" w:rsidRPr="00DA748E" w:rsidRDefault="00DA748E" w:rsidP="00DA748E">
      <w:pPr>
        <w:pStyle w:val="ListParagraph"/>
        <w:ind w:left="709"/>
        <w:rPr>
          <w:rFonts w:cstheme="minorHAnsi"/>
          <w:b/>
          <w:szCs w:val="28"/>
        </w:rPr>
      </w:pPr>
    </w:p>
    <w:p w14:paraId="04D541CB" w14:textId="77777777" w:rsidR="00DA748E" w:rsidRPr="00DA748E" w:rsidRDefault="00DA748E" w:rsidP="00DA748E">
      <w:pPr>
        <w:pStyle w:val="ListParagraph"/>
        <w:numPr>
          <w:ilvl w:val="1"/>
          <w:numId w:val="25"/>
        </w:numPr>
        <w:ind w:left="709" w:hanging="709"/>
        <w:rPr>
          <w:rFonts w:cstheme="minorHAnsi"/>
          <w:b/>
          <w:szCs w:val="28"/>
        </w:rPr>
      </w:pPr>
      <w:r w:rsidRPr="00DA748E">
        <w:rPr>
          <w:rFonts w:cstheme="minorHAnsi"/>
          <w:szCs w:val="28"/>
        </w:rPr>
        <w:t>Article 14(c) of the Protocol provides that the UK-EU Specialised Committee on the Protocol shall “consider any matter of relevance to Article 2 of this Protocol brought to its attention by the Northern Ireland Human Rights Commission, the Equality Commission for Northern Ireland, and the Joint Committee of representatives of the Human Rights Commissions of Northern Ireland and Ireland”.</w:t>
      </w:r>
    </w:p>
    <w:p w14:paraId="3655934E" w14:textId="77777777" w:rsidR="00DA748E" w:rsidRPr="00DA748E" w:rsidRDefault="00DA748E" w:rsidP="00DA748E">
      <w:pPr>
        <w:pStyle w:val="ListParagraph"/>
        <w:rPr>
          <w:rFonts w:cstheme="minorHAnsi"/>
          <w:szCs w:val="28"/>
        </w:rPr>
      </w:pPr>
    </w:p>
    <w:p w14:paraId="00C20D66" w14:textId="4B97EE49" w:rsidR="00DA748E" w:rsidRPr="00DA748E" w:rsidRDefault="00DA748E" w:rsidP="00DA748E">
      <w:pPr>
        <w:pStyle w:val="ListParagraph"/>
        <w:numPr>
          <w:ilvl w:val="1"/>
          <w:numId w:val="25"/>
        </w:numPr>
        <w:ind w:left="709" w:hanging="709"/>
        <w:rPr>
          <w:rFonts w:cstheme="minorHAnsi"/>
          <w:b/>
          <w:szCs w:val="28"/>
        </w:rPr>
      </w:pPr>
      <w:r w:rsidRPr="00DA748E">
        <w:rPr>
          <w:rFonts w:cstheme="minorHAnsi"/>
          <w:szCs w:val="28"/>
        </w:rPr>
        <w:t>Clause 15 does not explicitly protect Protocol Article 14(c) from becoming excluded provision. Nor does it protect Protocol Article 15 (Joint Consultative Working Group), in the context of its relevance to Protocol Article 2, which is to “serve as a forum for the exchange of information and mutual consultation”</w:t>
      </w:r>
      <w:r w:rsidR="006D4D6C">
        <w:rPr>
          <w:rFonts w:cstheme="minorHAnsi"/>
          <w:szCs w:val="28"/>
        </w:rPr>
        <w:t>. This</w:t>
      </w:r>
      <w:r w:rsidRPr="00DA748E">
        <w:rPr>
          <w:rFonts w:cstheme="minorHAnsi"/>
          <w:szCs w:val="28"/>
        </w:rPr>
        <w:t xml:space="preserve"> is also important for the effective operation of Protocol Article 2. </w:t>
      </w:r>
    </w:p>
    <w:p w14:paraId="3F30EA07" w14:textId="77777777" w:rsidR="00DA748E" w:rsidRPr="00DA748E" w:rsidRDefault="00DA748E" w:rsidP="00DA748E">
      <w:pPr>
        <w:pStyle w:val="ListParagraph"/>
        <w:rPr>
          <w:rFonts w:cstheme="minorHAnsi"/>
          <w:szCs w:val="28"/>
        </w:rPr>
      </w:pPr>
    </w:p>
    <w:p w14:paraId="73341237" w14:textId="738465D7" w:rsidR="00DA748E" w:rsidRPr="00DA748E" w:rsidRDefault="00DA748E" w:rsidP="00DA748E">
      <w:pPr>
        <w:pStyle w:val="ListParagraph"/>
        <w:numPr>
          <w:ilvl w:val="1"/>
          <w:numId w:val="25"/>
        </w:numPr>
        <w:ind w:left="709" w:hanging="709"/>
        <w:rPr>
          <w:rFonts w:cstheme="minorHAnsi"/>
          <w:b/>
          <w:szCs w:val="28"/>
        </w:rPr>
      </w:pPr>
      <w:r w:rsidRPr="00DA748E">
        <w:rPr>
          <w:rFonts w:cstheme="minorHAnsi"/>
          <w:szCs w:val="28"/>
        </w:rPr>
        <w:lastRenderedPageBreak/>
        <w:t>As referenced further below, the extensive regulation-making powers granted to Ministers under the Bill reinforce the need for clarity on the face of the Bill in respect of these matters</w:t>
      </w:r>
      <w:r w:rsidR="00F37824">
        <w:rPr>
          <w:rFonts w:cstheme="minorHAnsi"/>
          <w:szCs w:val="28"/>
        </w:rPr>
        <w:t>.</w:t>
      </w:r>
      <w:r w:rsidR="00451CBF">
        <w:rPr>
          <w:rStyle w:val="FootnoteReference"/>
          <w:rFonts w:cstheme="minorHAnsi"/>
          <w:szCs w:val="28"/>
        </w:rPr>
        <w:footnoteReference w:id="26"/>
      </w:r>
    </w:p>
    <w:p w14:paraId="3D326169" w14:textId="77777777" w:rsidR="00DA748E" w:rsidRPr="00DA748E" w:rsidRDefault="00DA748E" w:rsidP="00DA748E">
      <w:pPr>
        <w:pStyle w:val="ListParagraph"/>
        <w:rPr>
          <w:rFonts w:cstheme="minorHAnsi"/>
          <w:szCs w:val="28"/>
        </w:rPr>
      </w:pPr>
    </w:p>
    <w:p w14:paraId="75AF8DBB" w14:textId="7DECE6EC" w:rsidR="00DA748E" w:rsidRDefault="00DA748E" w:rsidP="00B731E0">
      <w:pPr>
        <w:pStyle w:val="ListParagraph"/>
        <w:rPr>
          <w:rFonts w:cstheme="minorHAnsi"/>
          <w:szCs w:val="28"/>
        </w:rPr>
      </w:pPr>
      <w:r w:rsidRPr="003D1B5A">
        <w:rPr>
          <w:rFonts w:cstheme="minorHAnsi"/>
          <w:szCs w:val="28"/>
        </w:rPr>
        <w:t>In addition, Clause 15(2) (a)  provides for an extensive delegated power stating that a Minister “may, by regulations, provide for any provision of the Northern Ireland Protocol or any related provision of the EU withdrawal agreement to become excluded provision wholly or to any other extent…”.</w:t>
      </w:r>
    </w:p>
    <w:p w14:paraId="26B18D14" w14:textId="77777777" w:rsidR="00B26230" w:rsidRPr="003D1B5A" w:rsidRDefault="00B26230" w:rsidP="00B731E0">
      <w:pPr>
        <w:pStyle w:val="ListParagraph"/>
        <w:rPr>
          <w:rFonts w:cstheme="minorHAnsi"/>
          <w:b/>
          <w:bCs/>
          <w:szCs w:val="28"/>
        </w:rPr>
      </w:pPr>
    </w:p>
    <w:p w14:paraId="5C867542" w14:textId="77777777" w:rsidR="00DA748E" w:rsidRPr="00DA748E" w:rsidRDefault="00DA748E" w:rsidP="00DA748E">
      <w:pPr>
        <w:pStyle w:val="ListParagraph"/>
        <w:numPr>
          <w:ilvl w:val="1"/>
          <w:numId w:val="25"/>
        </w:numPr>
        <w:ind w:left="709" w:hanging="709"/>
        <w:rPr>
          <w:rFonts w:cstheme="minorHAnsi"/>
          <w:b/>
          <w:szCs w:val="28"/>
        </w:rPr>
      </w:pPr>
      <w:r w:rsidRPr="00DA748E">
        <w:rPr>
          <w:rFonts w:cstheme="minorHAnsi"/>
          <w:b/>
          <w:bCs/>
          <w:szCs w:val="28"/>
        </w:rPr>
        <w:t xml:space="preserve">The Commissions recommend that Clause 15(3) be amended to supplement the restriction preventing Ministers from designating Protocol Article 2 as excluded provision, to ensure that Ministers are also prevented from designating as excluded provision, any provision of the Withdrawal Agreement or Protocol insofar as it affects the interpretation, implementation and/or enforcement of Protocol Article 2. </w:t>
      </w:r>
    </w:p>
    <w:p w14:paraId="3C1001B8" w14:textId="77777777" w:rsidR="00DA748E" w:rsidRPr="00DA748E" w:rsidRDefault="00DA748E" w:rsidP="00DA748E">
      <w:pPr>
        <w:rPr>
          <w:rFonts w:cstheme="minorHAnsi"/>
          <w:b/>
          <w:i/>
          <w:szCs w:val="28"/>
        </w:rPr>
      </w:pPr>
      <w:r w:rsidRPr="00DA748E">
        <w:rPr>
          <w:rFonts w:cstheme="minorHAnsi"/>
          <w:b/>
          <w:i/>
          <w:szCs w:val="28"/>
        </w:rPr>
        <w:t>Delegated Powers</w:t>
      </w:r>
    </w:p>
    <w:p w14:paraId="42F14AE0" w14:textId="5281B8CF" w:rsidR="008569BB" w:rsidRPr="008569BB" w:rsidRDefault="00DA748E" w:rsidP="008569BB">
      <w:pPr>
        <w:pStyle w:val="ListParagraph"/>
        <w:numPr>
          <w:ilvl w:val="1"/>
          <w:numId w:val="25"/>
        </w:numPr>
        <w:ind w:left="709" w:hanging="709"/>
        <w:rPr>
          <w:rFonts w:cstheme="minorHAnsi"/>
          <w:b/>
          <w:szCs w:val="28"/>
        </w:rPr>
      </w:pPr>
      <w:r w:rsidRPr="00DA748E">
        <w:rPr>
          <w:rFonts w:cstheme="minorHAnsi"/>
          <w:szCs w:val="28"/>
        </w:rPr>
        <w:t>The Commissions note the strong concerns expressed by the House of Lords Delegated Powers and Regulatory Reform Committee which stated that the Bill “confers on Ministers a licence to legislate in the widest possible terms” and is “unprecedented in its cavalier treatment of Parliament, the EU and the Government’s international obligations”.</w:t>
      </w:r>
      <w:r w:rsidRPr="00DA748E">
        <w:rPr>
          <w:rStyle w:val="FootnoteReference"/>
          <w:rFonts w:cstheme="minorHAnsi"/>
          <w:szCs w:val="28"/>
        </w:rPr>
        <w:footnoteReference w:id="27"/>
      </w:r>
      <w:r w:rsidRPr="00DA748E">
        <w:rPr>
          <w:rFonts w:cstheme="minorHAnsi"/>
          <w:szCs w:val="28"/>
        </w:rPr>
        <w:t xml:space="preserve"> </w:t>
      </w:r>
    </w:p>
    <w:p w14:paraId="559BBB88" w14:textId="77777777" w:rsidR="008569BB" w:rsidRPr="008569BB" w:rsidRDefault="008569BB" w:rsidP="008569BB">
      <w:pPr>
        <w:pStyle w:val="ListParagraph"/>
        <w:ind w:left="709"/>
        <w:rPr>
          <w:rFonts w:cstheme="minorHAnsi"/>
          <w:b/>
          <w:szCs w:val="28"/>
        </w:rPr>
      </w:pPr>
    </w:p>
    <w:p w14:paraId="4A5B4BCF" w14:textId="77777777" w:rsidR="008569BB" w:rsidRPr="008569BB" w:rsidRDefault="00DA748E" w:rsidP="008569BB">
      <w:pPr>
        <w:pStyle w:val="ListParagraph"/>
        <w:numPr>
          <w:ilvl w:val="1"/>
          <w:numId w:val="25"/>
        </w:numPr>
        <w:ind w:left="709" w:hanging="709"/>
        <w:rPr>
          <w:rFonts w:cstheme="minorHAnsi"/>
          <w:b/>
          <w:szCs w:val="28"/>
        </w:rPr>
      </w:pPr>
      <w:r w:rsidRPr="008569BB">
        <w:rPr>
          <w:rFonts w:cstheme="minorHAnsi"/>
          <w:szCs w:val="28"/>
        </w:rPr>
        <w:t xml:space="preserve">By way of example, Clause 14(4) provides an extensive delegated power, stating that the Minister may “make any provision which the Minister considers appropriate in connection with any provision of the Northern Ireland Protocol and other parts of the EU withdrawal agreement to which this section relates.” While Clause 14 does not </w:t>
      </w:r>
      <w:r w:rsidRPr="008569BB">
        <w:rPr>
          <w:rFonts w:cstheme="minorHAnsi"/>
          <w:i/>
          <w:iCs/>
          <w:szCs w:val="28"/>
        </w:rPr>
        <w:t>relate</w:t>
      </w:r>
      <w:r w:rsidRPr="008569BB">
        <w:rPr>
          <w:rFonts w:cstheme="minorHAnsi"/>
          <w:szCs w:val="28"/>
        </w:rPr>
        <w:t xml:space="preserve"> directly to </w:t>
      </w:r>
      <w:r w:rsidRPr="008569BB">
        <w:rPr>
          <w:rFonts w:cstheme="minorHAnsi"/>
          <w:szCs w:val="28"/>
        </w:rPr>
        <w:lastRenderedPageBreak/>
        <w:t>Protocol Article 2, subsection (2) of the Clause does refer to Articles of the Protocol and Withdrawal Agreement which are important for the interpretation, implementation and enforcement of Protocol Article 2. Protocol Article 13 is referenced which, as set out above, provides for domestic courts to follow certain CJEU case-law on an ongoing basis; and Withdrawal Agreement Article 4 is referenced, which provides the basis for individual redress.</w:t>
      </w:r>
    </w:p>
    <w:p w14:paraId="160B0B6E" w14:textId="77777777" w:rsidR="008569BB" w:rsidRPr="008569BB" w:rsidRDefault="008569BB" w:rsidP="008569BB">
      <w:pPr>
        <w:pStyle w:val="ListParagraph"/>
        <w:rPr>
          <w:rFonts w:cstheme="minorHAnsi"/>
          <w:szCs w:val="28"/>
        </w:rPr>
      </w:pPr>
    </w:p>
    <w:p w14:paraId="05BDE007" w14:textId="77777777" w:rsidR="008569BB" w:rsidRPr="008569BB" w:rsidRDefault="00DA748E" w:rsidP="008569BB">
      <w:pPr>
        <w:pStyle w:val="ListParagraph"/>
        <w:numPr>
          <w:ilvl w:val="1"/>
          <w:numId w:val="25"/>
        </w:numPr>
        <w:ind w:left="709" w:hanging="709"/>
        <w:rPr>
          <w:rFonts w:cstheme="minorHAnsi"/>
          <w:b/>
          <w:szCs w:val="28"/>
        </w:rPr>
      </w:pPr>
      <w:r w:rsidRPr="008569BB">
        <w:rPr>
          <w:rFonts w:cstheme="minorHAnsi"/>
          <w:szCs w:val="28"/>
        </w:rPr>
        <w:t>Further, Clause 9 provides that a Minister ‘may, by regulations, make any provision about regulation of goods which the Minister considers appropriate in connection with the Northern Ireland Protocol’. Under Clause 10, this includes the production and use of goods, putting goods into service and making goods available on the market. The Commissions are of the view that there are a number of EU Directives and Regulations which relate to accessibility standards of goods and products for disabled people and which are within the scope of Protocol Article 2.</w:t>
      </w:r>
      <w:r w:rsidRPr="00DA748E">
        <w:rPr>
          <w:rStyle w:val="FootnoteReference"/>
          <w:rFonts w:cstheme="minorHAnsi"/>
          <w:szCs w:val="28"/>
        </w:rPr>
        <w:footnoteReference w:id="28"/>
      </w:r>
      <w:r w:rsidRPr="008569BB">
        <w:rPr>
          <w:rFonts w:cstheme="minorHAnsi"/>
          <w:szCs w:val="28"/>
        </w:rPr>
        <w:t xml:space="preserve"> We consider that the Bill should not permit a Minister, by way of regulations relating to goods, to reduce rights for disabled people in Northern Ireland that are underpinned by EU law in force on or before the end of the Brexit transition period, and which fall within the scope of Protocol Article 2.</w:t>
      </w:r>
    </w:p>
    <w:p w14:paraId="052619A0" w14:textId="77777777" w:rsidR="008569BB" w:rsidRPr="008569BB" w:rsidRDefault="008569BB" w:rsidP="008569BB">
      <w:pPr>
        <w:pStyle w:val="ListParagraph"/>
        <w:rPr>
          <w:rFonts w:cstheme="minorHAnsi"/>
          <w:szCs w:val="28"/>
        </w:rPr>
      </w:pPr>
    </w:p>
    <w:p w14:paraId="6C1CF0D9" w14:textId="77777777" w:rsidR="008569BB" w:rsidRPr="008569BB" w:rsidRDefault="00DA748E" w:rsidP="008569BB">
      <w:pPr>
        <w:pStyle w:val="ListParagraph"/>
        <w:numPr>
          <w:ilvl w:val="1"/>
          <w:numId w:val="25"/>
        </w:numPr>
        <w:ind w:left="709" w:hanging="709"/>
        <w:rPr>
          <w:rFonts w:cstheme="minorHAnsi"/>
          <w:b/>
          <w:szCs w:val="28"/>
        </w:rPr>
      </w:pPr>
      <w:r w:rsidRPr="008569BB">
        <w:rPr>
          <w:rFonts w:cstheme="minorHAnsi"/>
          <w:szCs w:val="28"/>
        </w:rPr>
        <w:t xml:space="preserve">Clause 22 (Regulations) is also very broadly scoped. While it does not grant additional powers, it provides detail as to the potential extent of Regulations which may be made under other provisions of the Bill. It states, for example, that Regulations may include provisions incompatible with the Protocol or Withdrawal Agreement and that they may repeal domestic law giving effect to the Protocol or Withdrawal Agreement. Again, neither Protocol Article 2, nor other provisions essential to its operation, are excepted. </w:t>
      </w:r>
    </w:p>
    <w:p w14:paraId="6A84A684" w14:textId="77777777" w:rsidR="008569BB" w:rsidRPr="008569BB" w:rsidRDefault="008569BB" w:rsidP="008569BB">
      <w:pPr>
        <w:pStyle w:val="ListParagraph"/>
        <w:rPr>
          <w:rFonts w:cstheme="minorHAnsi"/>
          <w:b/>
          <w:bCs/>
          <w:szCs w:val="28"/>
        </w:rPr>
      </w:pPr>
    </w:p>
    <w:p w14:paraId="0406058F" w14:textId="157CA3D0" w:rsidR="008569BB" w:rsidRPr="008569BB" w:rsidRDefault="00DA748E" w:rsidP="008569BB">
      <w:pPr>
        <w:pStyle w:val="ListParagraph"/>
        <w:numPr>
          <w:ilvl w:val="1"/>
          <w:numId w:val="25"/>
        </w:numPr>
        <w:ind w:left="709" w:hanging="709"/>
        <w:rPr>
          <w:rFonts w:cstheme="minorHAnsi"/>
          <w:b/>
          <w:szCs w:val="28"/>
        </w:rPr>
      </w:pPr>
      <w:r w:rsidRPr="008569BB">
        <w:rPr>
          <w:rFonts w:cstheme="minorHAnsi"/>
          <w:b/>
          <w:bCs/>
          <w:szCs w:val="28"/>
        </w:rPr>
        <w:t xml:space="preserve">The Commissions recommend that the Bill be amended to make clear that a Minister’s powers under Clause 14(4), or any other Clause of the </w:t>
      </w:r>
      <w:r w:rsidRPr="008569BB">
        <w:rPr>
          <w:rFonts w:cstheme="minorHAnsi"/>
          <w:b/>
          <w:bCs/>
          <w:szCs w:val="28"/>
        </w:rPr>
        <w:lastRenderedPageBreak/>
        <w:t>Bill, do not extend to taking any action that weakens the interpretation, implementation or enforcement of Protocol Article 2, either by excluding provisions of the Protocol or Withdrawal Agreement insofar as they relate to Protocol Article 2, or by any other exercise of delegated powers under the Bill.</w:t>
      </w:r>
      <w:r w:rsidRPr="00DA748E">
        <w:rPr>
          <w:rStyle w:val="FootnoteReference"/>
          <w:rFonts w:cstheme="minorHAnsi"/>
          <w:b/>
          <w:bCs/>
          <w:szCs w:val="28"/>
        </w:rPr>
        <w:footnoteReference w:id="29"/>
      </w:r>
    </w:p>
    <w:p w14:paraId="517270FB" w14:textId="77777777" w:rsidR="008569BB" w:rsidRPr="008569BB" w:rsidRDefault="008569BB" w:rsidP="008569BB">
      <w:pPr>
        <w:pStyle w:val="ListParagraph"/>
        <w:rPr>
          <w:rFonts w:cstheme="minorHAnsi"/>
          <w:b/>
          <w:szCs w:val="28"/>
        </w:rPr>
      </w:pPr>
    </w:p>
    <w:p w14:paraId="11E1184C" w14:textId="77777777" w:rsidR="008569BB" w:rsidRPr="008569BB" w:rsidRDefault="008569BB" w:rsidP="008569BB">
      <w:pPr>
        <w:rPr>
          <w:rFonts w:cstheme="minorHAnsi"/>
          <w:b/>
          <w:szCs w:val="28"/>
        </w:rPr>
      </w:pPr>
      <w:r w:rsidRPr="008569BB">
        <w:rPr>
          <w:rFonts w:cstheme="minorHAnsi"/>
          <w:b/>
          <w:szCs w:val="28"/>
        </w:rPr>
        <w:t>Question 10: What are the practical and legal implications of removing the jurisdiction of the European Court of Justice in the UK to oversee the implementation of the Protocol and stating that UK courts are not bound by decisions of the CJEU on matters relating to the Protocol?</w:t>
      </w:r>
    </w:p>
    <w:p w14:paraId="036DD469" w14:textId="77777777" w:rsidR="008569BB" w:rsidRPr="008569BB" w:rsidRDefault="008569BB" w:rsidP="008569BB">
      <w:pPr>
        <w:rPr>
          <w:rFonts w:cstheme="minorHAnsi"/>
          <w:b/>
          <w:i/>
          <w:szCs w:val="28"/>
        </w:rPr>
      </w:pPr>
      <w:r w:rsidRPr="008569BB">
        <w:rPr>
          <w:rFonts w:cstheme="minorHAnsi"/>
          <w:b/>
          <w:i/>
          <w:szCs w:val="28"/>
        </w:rPr>
        <w:t>Clause 20</w:t>
      </w:r>
    </w:p>
    <w:p w14:paraId="4C18C206" w14:textId="15E5FB6F" w:rsidR="008569BB" w:rsidRPr="008569BB" w:rsidRDefault="008569BB" w:rsidP="008569BB">
      <w:pPr>
        <w:pStyle w:val="ListParagraph"/>
        <w:numPr>
          <w:ilvl w:val="1"/>
          <w:numId w:val="25"/>
        </w:numPr>
        <w:ind w:left="709" w:hanging="709"/>
        <w:rPr>
          <w:rFonts w:cstheme="minorHAnsi"/>
          <w:b/>
          <w:szCs w:val="28"/>
        </w:rPr>
      </w:pPr>
      <w:r w:rsidRPr="008569BB">
        <w:rPr>
          <w:rFonts w:cstheme="minorHAnsi"/>
          <w:szCs w:val="28"/>
        </w:rPr>
        <w:t>Clause 20(2)(a) of the Bill states that domestic courts and tribunals are “not bound by any principles laid down, or any decisions made, on or after the day on which this section comes into force by the European Court”. No exception is made for Protocol Article 2. This is a serious omission because of the ‘keeping pace’ obligation associated with Protocol Article 2, by virtue of Protocol Article 13 (Common Provisions).</w:t>
      </w:r>
    </w:p>
    <w:p w14:paraId="32EB7BBC" w14:textId="77777777" w:rsidR="008569BB" w:rsidRPr="008569BB" w:rsidRDefault="008569BB" w:rsidP="008569BB">
      <w:pPr>
        <w:pStyle w:val="ListParagraph"/>
        <w:ind w:left="709"/>
        <w:rPr>
          <w:rFonts w:cstheme="minorHAnsi"/>
          <w:b/>
          <w:szCs w:val="28"/>
        </w:rPr>
      </w:pPr>
    </w:p>
    <w:p w14:paraId="5F75F23B" w14:textId="0463E712" w:rsidR="008569BB" w:rsidRPr="008569BB" w:rsidRDefault="008569BB" w:rsidP="008569BB">
      <w:pPr>
        <w:pStyle w:val="ListParagraph"/>
        <w:numPr>
          <w:ilvl w:val="1"/>
          <w:numId w:val="25"/>
        </w:numPr>
        <w:ind w:left="709" w:hanging="709"/>
        <w:rPr>
          <w:rFonts w:cstheme="minorHAnsi"/>
          <w:b/>
          <w:szCs w:val="28"/>
        </w:rPr>
      </w:pPr>
      <w:r w:rsidRPr="008569BB">
        <w:rPr>
          <w:rFonts w:cstheme="minorHAnsi"/>
          <w:szCs w:val="28"/>
        </w:rPr>
        <w:t>Protocol Article 13(3) states that references to EU law in the Protocol are to that law “as amended or replaced”. Six equality directives related to Protocol Article 2 are listed in Annex 1 to the Protocol.</w:t>
      </w:r>
      <w:r w:rsidRPr="008569BB">
        <w:rPr>
          <w:rStyle w:val="FootnoteReference"/>
          <w:rFonts w:cstheme="minorHAnsi"/>
          <w:szCs w:val="28"/>
        </w:rPr>
        <w:footnoteReference w:id="30"/>
      </w:r>
      <w:r w:rsidRPr="008569BB">
        <w:rPr>
          <w:rFonts w:cstheme="minorHAnsi"/>
          <w:szCs w:val="28"/>
        </w:rPr>
        <w:t xml:space="preserve">  The law in NI therefore has to provide at least the same level of protection as that provided under any of those directives and standards must be raised as </w:t>
      </w:r>
      <w:r w:rsidRPr="008569BB">
        <w:rPr>
          <w:rFonts w:cstheme="minorHAnsi"/>
          <w:szCs w:val="28"/>
        </w:rPr>
        <w:lastRenderedPageBreak/>
        <w:t xml:space="preserve">required if those Directives are amended or replaced to enhance protections. </w:t>
      </w:r>
    </w:p>
    <w:p w14:paraId="000D3F81" w14:textId="77777777" w:rsidR="008569BB" w:rsidRPr="008569BB" w:rsidRDefault="008569BB" w:rsidP="008569BB">
      <w:pPr>
        <w:pStyle w:val="ListParagraph"/>
        <w:rPr>
          <w:rFonts w:cstheme="minorHAnsi"/>
          <w:szCs w:val="28"/>
        </w:rPr>
      </w:pPr>
    </w:p>
    <w:p w14:paraId="2E28534A" w14:textId="508EAE26" w:rsidR="008569BB" w:rsidRPr="008569BB" w:rsidRDefault="008569BB" w:rsidP="008569BB">
      <w:pPr>
        <w:pStyle w:val="ListParagraph"/>
        <w:numPr>
          <w:ilvl w:val="1"/>
          <w:numId w:val="25"/>
        </w:numPr>
        <w:ind w:left="709" w:hanging="709"/>
        <w:rPr>
          <w:rFonts w:cstheme="minorHAnsi"/>
          <w:b/>
          <w:szCs w:val="28"/>
        </w:rPr>
      </w:pPr>
      <w:r w:rsidRPr="008569BB">
        <w:rPr>
          <w:rFonts w:cstheme="minorHAnsi"/>
          <w:szCs w:val="28"/>
        </w:rPr>
        <w:t xml:space="preserve">Protocol Article 13(2) stipulates that provisions of the Protocol referring to EU law shall “be interpreted in conformity with the relevant case law of the Court of Justice of the EU” and distinguishes this obligation from the timebound requirement under Article 4 of the Withdrawal Agreement. This means there is an ongoing interpretive duty as regards </w:t>
      </w:r>
      <w:r w:rsidR="006D4D6C">
        <w:rPr>
          <w:rFonts w:cstheme="minorHAnsi"/>
          <w:szCs w:val="28"/>
        </w:rPr>
        <w:t xml:space="preserve">CJEU </w:t>
      </w:r>
      <w:r w:rsidRPr="008569BB">
        <w:rPr>
          <w:rFonts w:cstheme="minorHAnsi"/>
          <w:szCs w:val="28"/>
        </w:rPr>
        <w:t>jurisprudence relating to the Annex 1 Directives. Therefore, under the Protocol, the standards set out in the six Directives must be interpreted by domestic courts to ensure at least the same level of protection as is available under CJEU interpretation.</w:t>
      </w:r>
    </w:p>
    <w:p w14:paraId="02F0A252" w14:textId="77777777" w:rsidR="008569BB" w:rsidRPr="008569BB" w:rsidRDefault="008569BB" w:rsidP="008569BB">
      <w:pPr>
        <w:pStyle w:val="ListParagraph"/>
        <w:rPr>
          <w:rFonts w:cstheme="minorHAnsi"/>
          <w:szCs w:val="28"/>
        </w:rPr>
      </w:pPr>
    </w:p>
    <w:p w14:paraId="6A78626C" w14:textId="67517A02" w:rsidR="008569BB" w:rsidRPr="008569BB" w:rsidRDefault="008569BB" w:rsidP="008569BB">
      <w:pPr>
        <w:pStyle w:val="ListParagraph"/>
        <w:numPr>
          <w:ilvl w:val="1"/>
          <w:numId w:val="25"/>
        </w:numPr>
        <w:ind w:left="709" w:hanging="709"/>
        <w:rPr>
          <w:rFonts w:cstheme="minorHAnsi"/>
          <w:b/>
          <w:szCs w:val="28"/>
        </w:rPr>
      </w:pPr>
      <w:r w:rsidRPr="008569BB">
        <w:rPr>
          <w:rFonts w:cstheme="minorHAnsi"/>
          <w:szCs w:val="28"/>
        </w:rPr>
        <w:t>Failure to make an exception for Protocol Article 2, in the text of Clause 20(2)(a), may suggest that domestic courts need not adhere to the interpretive requirement in Protocol Article 13</w:t>
      </w:r>
      <w:r w:rsidR="006D4D6C">
        <w:rPr>
          <w:rFonts w:cstheme="minorHAnsi"/>
          <w:szCs w:val="28"/>
        </w:rPr>
        <w:t xml:space="preserve">. This is </w:t>
      </w:r>
      <w:r w:rsidRPr="008569BB">
        <w:rPr>
          <w:rFonts w:cstheme="minorHAnsi"/>
          <w:szCs w:val="28"/>
        </w:rPr>
        <w:t xml:space="preserve">contrary to the Protocol and inconsistent with Clause 15 of the Bill. </w:t>
      </w:r>
    </w:p>
    <w:p w14:paraId="02ED4FDD" w14:textId="77777777" w:rsidR="008569BB" w:rsidRPr="008569BB" w:rsidRDefault="008569BB" w:rsidP="008569BB">
      <w:pPr>
        <w:pStyle w:val="ListParagraph"/>
        <w:rPr>
          <w:rFonts w:cstheme="minorHAnsi"/>
          <w:b/>
          <w:szCs w:val="28"/>
        </w:rPr>
      </w:pPr>
    </w:p>
    <w:p w14:paraId="59969C3E" w14:textId="334EA0B7" w:rsidR="008569BB" w:rsidRPr="008569BB" w:rsidRDefault="008569BB" w:rsidP="008569BB">
      <w:pPr>
        <w:pStyle w:val="ListParagraph"/>
        <w:numPr>
          <w:ilvl w:val="1"/>
          <w:numId w:val="25"/>
        </w:numPr>
        <w:ind w:left="709" w:hanging="709"/>
        <w:rPr>
          <w:rFonts w:cstheme="minorHAnsi"/>
          <w:b/>
          <w:szCs w:val="28"/>
        </w:rPr>
      </w:pPr>
      <w:r w:rsidRPr="008569BB">
        <w:rPr>
          <w:rFonts w:cstheme="minorHAnsi"/>
          <w:b/>
          <w:szCs w:val="28"/>
        </w:rPr>
        <w:t xml:space="preserve">The Commissions recommend that Clause 20 be amended to ensure that it does not impact on the duty, under Protocol Article 13(2), on domestic courts and tribunals to </w:t>
      </w:r>
      <w:r w:rsidRPr="008569BB">
        <w:rPr>
          <w:rFonts w:cstheme="minorHAnsi"/>
          <w:b/>
          <w:bCs/>
          <w:szCs w:val="28"/>
        </w:rPr>
        <w:t>interpret EU law relevant to Protocol Article 2 in conformity with the relevant case law of the CJEU.</w:t>
      </w:r>
      <w:r w:rsidRPr="008569BB">
        <w:rPr>
          <w:rFonts w:cstheme="minorHAnsi"/>
          <w:szCs w:val="28"/>
        </w:rPr>
        <w:t xml:space="preserve"> </w:t>
      </w:r>
    </w:p>
    <w:p w14:paraId="24649E9C" w14:textId="77777777" w:rsidR="00DA748E" w:rsidRPr="008569BB" w:rsidRDefault="00DA748E" w:rsidP="00DA748E">
      <w:pPr>
        <w:rPr>
          <w:rFonts w:cstheme="minorHAnsi"/>
          <w:szCs w:val="28"/>
        </w:rPr>
      </w:pPr>
    </w:p>
    <w:p w14:paraId="13FA32B5" w14:textId="4CDC8FB3" w:rsidR="00E40E33" w:rsidRPr="008569BB" w:rsidRDefault="00823C92" w:rsidP="008569BB">
      <w:pPr>
        <w:pStyle w:val="Heading1"/>
        <w:ind w:left="426" w:hanging="426"/>
      </w:pPr>
      <w:bookmarkStart w:id="5" w:name="_Toc118384466"/>
      <w:r w:rsidRPr="008569BB">
        <w:t>Article 16</w:t>
      </w:r>
      <w:bookmarkEnd w:id="5"/>
    </w:p>
    <w:p w14:paraId="6B8FC3C6" w14:textId="77777777" w:rsidR="00A727F2" w:rsidRPr="00755992" w:rsidRDefault="009C6E05" w:rsidP="00755992">
      <w:pPr>
        <w:spacing w:after="240"/>
        <w:rPr>
          <w:rFonts w:eastAsiaTheme="minorEastAsia" w:cstheme="minorHAnsi"/>
          <w:b/>
          <w:bCs/>
          <w:szCs w:val="28"/>
        </w:rPr>
      </w:pPr>
      <w:r w:rsidRPr="00755992">
        <w:rPr>
          <w:rFonts w:eastAsiaTheme="minorEastAsia" w:cstheme="minorHAnsi"/>
          <w:b/>
          <w:bCs/>
          <w:szCs w:val="28"/>
        </w:rPr>
        <w:t xml:space="preserve">Question </w:t>
      </w:r>
      <w:r w:rsidR="000226B7" w:rsidRPr="00755992">
        <w:rPr>
          <w:rFonts w:eastAsiaTheme="minorEastAsia" w:cstheme="minorHAnsi"/>
          <w:b/>
          <w:bCs/>
          <w:szCs w:val="28"/>
        </w:rPr>
        <w:t>11</w:t>
      </w:r>
      <w:r w:rsidR="004F7C1D" w:rsidRPr="00755992">
        <w:rPr>
          <w:rFonts w:eastAsiaTheme="minorEastAsia" w:cstheme="minorHAnsi"/>
          <w:b/>
          <w:bCs/>
          <w:szCs w:val="28"/>
        </w:rPr>
        <w:t>:</w:t>
      </w:r>
      <w:r w:rsidR="000226B7" w:rsidRPr="00755992">
        <w:rPr>
          <w:rFonts w:eastAsiaTheme="minorEastAsia" w:cstheme="minorHAnsi"/>
          <w:b/>
          <w:bCs/>
          <w:szCs w:val="28"/>
        </w:rPr>
        <w:t xml:space="preserve"> </w:t>
      </w:r>
      <w:r w:rsidR="00A37307" w:rsidRPr="00755992">
        <w:rPr>
          <w:rFonts w:eastAsiaTheme="minorEastAsia" w:cstheme="minorHAnsi"/>
          <w:b/>
          <w:bCs/>
          <w:szCs w:val="28"/>
        </w:rPr>
        <w:t>What</w:t>
      </w:r>
      <w:r w:rsidR="00340DBA" w:rsidRPr="00755992">
        <w:rPr>
          <w:rFonts w:eastAsiaTheme="minorEastAsia" w:cstheme="minorHAnsi"/>
          <w:b/>
          <w:bCs/>
          <w:szCs w:val="28"/>
        </w:rPr>
        <w:t xml:space="preserve"> would be the economic, political and legal implications of a decision by the UK Government to invoke Article 16</w:t>
      </w:r>
      <w:r w:rsidR="00A37307" w:rsidRPr="00755992">
        <w:rPr>
          <w:rFonts w:eastAsiaTheme="minorEastAsia" w:cstheme="minorHAnsi"/>
          <w:b/>
          <w:bCs/>
          <w:szCs w:val="28"/>
        </w:rPr>
        <w:t xml:space="preserve">? </w:t>
      </w:r>
    </w:p>
    <w:p w14:paraId="080891F0" w14:textId="77777777" w:rsidR="008569BB" w:rsidRPr="008569BB" w:rsidRDefault="008569BB" w:rsidP="008569BB">
      <w:pPr>
        <w:pStyle w:val="ListParagraph"/>
        <w:numPr>
          <w:ilvl w:val="0"/>
          <w:numId w:val="8"/>
        </w:numPr>
        <w:spacing w:after="240"/>
        <w:contextualSpacing w:val="0"/>
        <w:rPr>
          <w:rFonts w:eastAsiaTheme="minorEastAsia" w:cstheme="minorHAnsi"/>
          <w:vanish/>
          <w:szCs w:val="28"/>
        </w:rPr>
      </w:pPr>
    </w:p>
    <w:p w14:paraId="07A2D1BE" w14:textId="77777777" w:rsidR="008569BB" w:rsidRPr="008569BB" w:rsidRDefault="008569BB" w:rsidP="008569BB">
      <w:pPr>
        <w:pStyle w:val="ListParagraph"/>
        <w:numPr>
          <w:ilvl w:val="0"/>
          <w:numId w:val="8"/>
        </w:numPr>
        <w:spacing w:after="240"/>
        <w:contextualSpacing w:val="0"/>
        <w:rPr>
          <w:rFonts w:eastAsiaTheme="minorEastAsia" w:cstheme="minorHAnsi"/>
          <w:vanish/>
          <w:szCs w:val="28"/>
        </w:rPr>
      </w:pPr>
    </w:p>
    <w:p w14:paraId="1AEEDCE9" w14:textId="4BD363A7" w:rsidR="00A727F2" w:rsidRDefault="00A727F2" w:rsidP="008569BB">
      <w:pPr>
        <w:pStyle w:val="ListParagraph"/>
        <w:numPr>
          <w:ilvl w:val="1"/>
          <w:numId w:val="8"/>
        </w:numPr>
        <w:spacing w:after="240"/>
        <w:ind w:left="709" w:hanging="709"/>
        <w:contextualSpacing w:val="0"/>
        <w:rPr>
          <w:rFonts w:eastAsiaTheme="minorEastAsia" w:cstheme="minorHAnsi"/>
          <w:szCs w:val="28"/>
        </w:rPr>
      </w:pPr>
      <w:r>
        <w:rPr>
          <w:rFonts w:eastAsiaTheme="minorEastAsia" w:cstheme="minorHAnsi"/>
          <w:szCs w:val="28"/>
        </w:rPr>
        <w:t>It</w:t>
      </w:r>
      <w:r w:rsidRPr="00A727F2">
        <w:rPr>
          <w:rFonts w:eastAsiaTheme="minorEastAsia" w:cstheme="minorHAnsi"/>
          <w:szCs w:val="28"/>
        </w:rPr>
        <w:t xml:space="preserve"> is essential that any legislation – including the Protocol Bill – brought forward by the UK Government in relation to the Protocol and/or the use of the safeguarding mechanism in Article 16 does not weaken Protocol Article 2 or the Article 2 oversight mechanisms.</w:t>
      </w:r>
    </w:p>
    <w:p w14:paraId="22A691D6" w14:textId="45D5763A" w:rsidR="005C060C" w:rsidRPr="00527BED" w:rsidRDefault="005C060C"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If action was taken by the UK Government to weaken Article 2 and/or the Article 2 oversight mechanisms, that could result in a loss of individual rights for those living in Northern Ireland under Article 2</w:t>
      </w:r>
      <w:r w:rsidR="006D4D6C">
        <w:rPr>
          <w:rFonts w:eastAsiaTheme="minorEastAsia" w:cstheme="minorHAnsi"/>
          <w:szCs w:val="28"/>
        </w:rPr>
        <w:t xml:space="preserve">. It </w:t>
      </w:r>
      <w:r w:rsidRPr="00527BED">
        <w:rPr>
          <w:rFonts w:eastAsiaTheme="minorEastAsia" w:cstheme="minorHAnsi"/>
          <w:szCs w:val="28"/>
        </w:rPr>
        <w:t xml:space="preserve"> could have potential implications for the work, role and remit of the two </w:t>
      </w:r>
      <w:r w:rsidRPr="00527BED">
        <w:rPr>
          <w:rFonts w:eastAsiaTheme="minorEastAsia" w:cstheme="minorHAnsi"/>
          <w:szCs w:val="28"/>
        </w:rPr>
        <w:lastRenderedPageBreak/>
        <w:t>Commissions and our functions as the Dedicated Mechanism</w:t>
      </w:r>
      <w:r w:rsidR="00883517">
        <w:rPr>
          <w:rFonts w:eastAsiaTheme="minorEastAsia" w:cstheme="minorHAnsi"/>
          <w:szCs w:val="28"/>
        </w:rPr>
        <w:t>;</w:t>
      </w:r>
      <w:r w:rsidR="00281A36">
        <w:rPr>
          <w:rFonts w:eastAsiaTheme="minorEastAsia" w:cstheme="minorHAnsi"/>
          <w:szCs w:val="28"/>
        </w:rPr>
        <w:t xml:space="preserve"> </w:t>
      </w:r>
      <w:r w:rsidR="00883517">
        <w:rPr>
          <w:rFonts w:eastAsiaTheme="minorEastAsia" w:cstheme="minorHAnsi"/>
          <w:szCs w:val="28"/>
        </w:rPr>
        <w:t xml:space="preserve">for example, as regards holding the UK Government to account in terms of its compliance with Protocol Article 2. </w:t>
      </w:r>
    </w:p>
    <w:p w14:paraId="2D614CFB" w14:textId="6BD46C5A" w:rsidR="00600316" w:rsidRDefault="00B3098B" w:rsidP="00527BED">
      <w:pPr>
        <w:pStyle w:val="ListParagraph"/>
        <w:numPr>
          <w:ilvl w:val="1"/>
          <w:numId w:val="8"/>
        </w:numPr>
        <w:spacing w:after="240"/>
        <w:ind w:left="720" w:hanging="720"/>
        <w:contextualSpacing w:val="0"/>
        <w:rPr>
          <w:rFonts w:eastAsiaTheme="minorEastAsia" w:cstheme="minorHAnsi"/>
          <w:b/>
          <w:bCs/>
          <w:szCs w:val="28"/>
        </w:rPr>
      </w:pPr>
      <w:r w:rsidRPr="00527BED">
        <w:rPr>
          <w:rFonts w:eastAsiaTheme="minorEastAsia" w:cstheme="minorHAnsi"/>
          <w:b/>
          <w:bCs/>
          <w:szCs w:val="28"/>
        </w:rPr>
        <w:t>The Commissions recommend</w:t>
      </w:r>
      <w:r w:rsidR="00CE70B6">
        <w:rPr>
          <w:rFonts w:eastAsiaTheme="minorEastAsia" w:cstheme="minorHAnsi"/>
          <w:b/>
          <w:bCs/>
          <w:szCs w:val="28"/>
        </w:rPr>
        <w:t xml:space="preserve"> </w:t>
      </w:r>
      <w:r w:rsidRPr="00527BED">
        <w:rPr>
          <w:rFonts w:eastAsiaTheme="minorEastAsia" w:cstheme="minorHAnsi"/>
          <w:b/>
          <w:bCs/>
          <w:szCs w:val="28"/>
        </w:rPr>
        <w:t>that there are no changes to the Protocol that would result in a weakening of either the Article 2(1) commitment or the Protocol’s rights, safeguards and oversight mechanisms relating to this commitment.</w:t>
      </w:r>
    </w:p>
    <w:p w14:paraId="2A472659" w14:textId="77777777" w:rsidR="00755992" w:rsidRPr="00755992" w:rsidRDefault="00755992" w:rsidP="00755992">
      <w:pPr>
        <w:spacing w:after="240"/>
        <w:rPr>
          <w:rFonts w:eastAsiaTheme="minorEastAsia" w:cstheme="minorHAnsi"/>
          <w:b/>
          <w:bCs/>
          <w:szCs w:val="28"/>
        </w:rPr>
      </w:pPr>
    </w:p>
    <w:p w14:paraId="68DFBEDE" w14:textId="71C2BA08" w:rsidR="000226B7" w:rsidRPr="008569BB" w:rsidRDefault="0011753D" w:rsidP="008569BB">
      <w:pPr>
        <w:pStyle w:val="Heading1"/>
        <w:ind w:left="426" w:hanging="426"/>
      </w:pPr>
      <w:bookmarkStart w:id="6" w:name="_Toc118384467"/>
      <w:r w:rsidRPr="008569BB">
        <w:t>The EU’s response</w:t>
      </w:r>
      <w:bookmarkEnd w:id="6"/>
    </w:p>
    <w:p w14:paraId="3F88396F" w14:textId="77777777" w:rsidR="001B7618" w:rsidRPr="001B7618" w:rsidRDefault="001B7618" w:rsidP="001B7618">
      <w:pPr>
        <w:pStyle w:val="ListParagraph"/>
        <w:numPr>
          <w:ilvl w:val="0"/>
          <w:numId w:val="8"/>
        </w:numPr>
        <w:spacing w:after="240"/>
        <w:contextualSpacing w:val="0"/>
        <w:rPr>
          <w:rFonts w:eastAsiaTheme="minorEastAsia" w:cstheme="minorHAnsi"/>
          <w:vanish/>
          <w:szCs w:val="28"/>
        </w:rPr>
      </w:pPr>
    </w:p>
    <w:p w14:paraId="07B9106F" w14:textId="4F886422" w:rsidR="0010750D" w:rsidRPr="00DA050D" w:rsidRDefault="00C36561" w:rsidP="00DA050D">
      <w:pPr>
        <w:pStyle w:val="ListParagraph"/>
        <w:spacing w:after="240"/>
        <w:ind w:left="0"/>
        <w:contextualSpacing w:val="0"/>
        <w:rPr>
          <w:rFonts w:eastAsiaTheme="minorEastAsia" w:cstheme="minorHAnsi"/>
          <w:b/>
          <w:bCs/>
          <w:szCs w:val="28"/>
        </w:rPr>
      </w:pPr>
      <w:r w:rsidRPr="00DA050D">
        <w:rPr>
          <w:rFonts w:eastAsiaTheme="minorEastAsia" w:cstheme="minorHAnsi"/>
          <w:b/>
          <w:bCs/>
          <w:szCs w:val="28"/>
        </w:rPr>
        <w:t>Question 12</w:t>
      </w:r>
      <w:r w:rsidR="00A37307" w:rsidRPr="00DA050D">
        <w:rPr>
          <w:rFonts w:eastAsiaTheme="minorEastAsia" w:cstheme="minorHAnsi"/>
          <w:b/>
          <w:bCs/>
          <w:szCs w:val="28"/>
        </w:rPr>
        <w:t>:</w:t>
      </w:r>
      <w:r w:rsidRPr="00DA050D">
        <w:rPr>
          <w:rFonts w:eastAsiaTheme="minorEastAsia" w:cstheme="minorHAnsi"/>
          <w:b/>
          <w:bCs/>
          <w:szCs w:val="28"/>
        </w:rPr>
        <w:t xml:space="preserve"> </w:t>
      </w:r>
      <w:r w:rsidR="00A37307" w:rsidRPr="00DA050D">
        <w:rPr>
          <w:rFonts w:eastAsiaTheme="minorEastAsia" w:cstheme="minorHAnsi"/>
          <w:b/>
          <w:bCs/>
          <w:szCs w:val="28"/>
        </w:rPr>
        <w:t>What is your</w:t>
      </w:r>
      <w:r w:rsidR="00012F43" w:rsidRPr="00DA050D">
        <w:rPr>
          <w:rFonts w:eastAsiaTheme="minorEastAsia" w:cstheme="minorHAnsi"/>
          <w:b/>
          <w:bCs/>
          <w:szCs w:val="28"/>
        </w:rPr>
        <w:t xml:space="preserve"> overall assessment of the EU’s approach in relation to the Protocol</w:t>
      </w:r>
      <w:r w:rsidRPr="00DA050D">
        <w:rPr>
          <w:rFonts w:eastAsiaTheme="minorEastAsia" w:cstheme="minorHAnsi"/>
          <w:b/>
          <w:bCs/>
          <w:szCs w:val="28"/>
        </w:rPr>
        <w:t>.</w:t>
      </w:r>
      <w:r w:rsidR="004425D4" w:rsidRPr="00DA050D">
        <w:rPr>
          <w:rFonts w:eastAsiaTheme="minorEastAsia" w:cstheme="minorHAnsi"/>
          <w:b/>
          <w:bCs/>
          <w:szCs w:val="28"/>
        </w:rPr>
        <w:t xml:space="preserve"> Is the EU going far enough in addressing the problems that have arisen under the Protocol?</w:t>
      </w:r>
    </w:p>
    <w:p w14:paraId="7EB807F4" w14:textId="0EAF1E9F" w:rsidR="00FF460D" w:rsidRPr="00527BED" w:rsidRDefault="00A26639"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In our joint submission to the Sub-Committee on the UK and EU proposals and the prospects for Agreement in November 2021, the Commissions outlined our views on</w:t>
      </w:r>
      <w:r w:rsidR="005C53F0" w:rsidRPr="00527BED">
        <w:rPr>
          <w:rFonts w:eastAsiaTheme="minorEastAsia" w:cstheme="minorHAnsi"/>
          <w:szCs w:val="28"/>
        </w:rPr>
        <w:t xml:space="preserve"> </w:t>
      </w:r>
      <w:r w:rsidR="00E1291C" w:rsidRPr="00527BED">
        <w:rPr>
          <w:rFonts w:eastAsiaTheme="minorEastAsia" w:cstheme="minorHAnsi"/>
          <w:szCs w:val="28"/>
        </w:rPr>
        <w:t>and the EU’s ‘non-papers’</w:t>
      </w:r>
      <w:r w:rsidR="003A224E">
        <w:rPr>
          <w:rFonts w:eastAsiaTheme="minorEastAsia" w:cstheme="minorHAnsi"/>
          <w:szCs w:val="28"/>
        </w:rPr>
        <w:t>.</w:t>
      </w:r>
      <w:r w:rsidR="00E1291C" w:rsidRPr="00527BED">
        <w:rPr>
          <w:rFonts w:eastAsiaTheme="minorEastAsia" w:cstheme="minorHAnsi"/>
          <w:szCs w:val="28"/>
          <w:vertAlign w:val="superscript"/>
        </w:rPr>
        <w:footnoteReference w:id="31"/>
      </w:r>
    </w:p>
    <w:p w14:paraId="740E5162" w14:textId="1BA2159D" w:rsidR="00063695" w:rsidRPr="00527BED" w:rsidRDefault="005543AB"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Commissions welcomed a number of the EU’s proposals set out in its non-paper on Engagement with Northern Ireland Stakeholders and Authorities</w:t>
      </w:r>
      <w:r w:rsidR="00F37824">
        <w:rPr>
          <w:rFonts w:eastAsiaTheme="minorEastAsia" w:cstheme="minorHAnsi"/>
          <w:szCs w:val="28"/>
        </w:rPr>
        <w:t>.</w:t>
      </w:r>
      <w:r w:rsidR="00281A36">
        <w:rPr>
          <w:rFonts w:eastAsiaTheme="minorEastAsia" w:cstheme="minorHAnsi"/>
          <w:szCs w:val="28"/>
        </w:rPr>
        <w:t xml:space="preserve"> We </w:t>
      </w:r>
      <w:r w:rsidRPr="00527BED">
        <w:rPr>
          <w:rFonts w:eastAsiaTheme="minorEastAsia" w:cstheme="minorHAnsi"/>
          <w:szCs w:val="28"/>
        </w:rPr>
        <w:t>recommended further actions that the EU can take based on their proposals, including in relation to increased transparency, the Joint Consultative Working Group, structured dialogue with Northern Ireland stakeholders and the Specialised/Joint Committee.</w:t>
      </w:r>
    </w:p>
    <w:p w14:paraId="73BACE81" w14:textId="20D87856" w:rsidR="00A727F2" w:rsidRDefault="00063695" w:rsidP="00AF7AC7">
      <w:pPr>
        <w:pStyle w:val="ListParagraph"/>
        <w:numPr>
          <w:ilvl w:val="1"/>
          <w:numId w:val="8"/>
        </w:numPr>
        <w:spacing w:after="240"/>
        <w:ind w:left="720" w:hanging="720"/>
        <w:rPr>
          <w:rFonts w:eastAsiaTheme="minorEastAsia" w:cstheme="minorHAnsi"/>
          <w:szCs w:val="28"/>
        </w:rPr>
      </w:pPr>
      <w:r w:rsidRPr="00527BED">
        <w:rPr>
          <w:rFonts w:eastAsiaTheme="minorEastAsia" w:cstheme="minorHAnsi"/>
          <w:szCs w:val="28"/>
        </w:rPr>
        <w:t xml:space="preserve">The Commissions welcome </w:t>
      </w:r>
      <w:r w:rsidR="00DA606A" w:rsidRPr="00527BED">
        <w:rPr>
          <w:rFonts w:eastAsiaTheme="minorEastAsia" w:cstheme="minorHAnsi"/>
          <w:szCs w:val="28"/>
        </w:rPr>
        <w:t>progress</w:t>
      </w:r>
      <w:r w:rsidR="000A232F" w:rsidRPr="00527BED">
        <w:rPr>
          <w:rFonts w:eastAsiaTheme="minorEastAsia" w:cstheme="minorHAnsi"/>
          <w:szCs w:val="28"/>
        </w:rPr>
        <w:t xml:space="preserve"> </w:t>
      </w:r>
      <w:r w:rsidR="00D5239A" w:rsidRPr="00527BED">
        <w:rPr>
          <w:rFonts w:eastAsiaTheme="minorEastAsia" w:cstheme="minorHAnsi"/>
          <w:szCs w:val="28"/>
        </w:rPr>
        <w:t>to date</w:t>
      </w:r>
      <w:r w:rsidR="00EA5A99" w:rsidRPr="00527BED">
        <w:rPr>
          <w:rFonts w:eastAsiaTheme="minorEastAsia" w:cstheme="minorHAnsi"/>
          <w:szCs w:val="28"/>
        </w:rPr>
        <w:t xml:space="preserve"> in relation to </w:t>
      </w:r>
      <w:r w:rsidR="00380922">
        <w:rPr>
          <w:rFonts w:eastAsiaTheme="minorEastAsia" w:cstheme="minorHAnsi"/>
          <w:szCs w:val="28"/>
        </w:rPr>
        <w:t xml:space="preserve">some of the </w:t>
      </w:r>
      <w:r w:rsidR="00EA5A99" w:rsidRPr="00527BED">
        <w:rPr>
          <w:rFonts w:eastAsiaTheme="minorEastAsia" w:cstheme="minorHAnsi"/>
          <w:szCs w:val="28"/>
        </w:rPr>
        <w:t xml:space="preserve">recommendations </w:t>
      </w:r>
      <w:r w:rsidR="00380922">
        <w:rPr>
          <w:rFonts w:eastAsiaTheme="minorEastAsia" w:cstheme="minorHAnsi"/>
          <w:szCs w:val="28"/>
        </w:rPr>
        <w:t xml:space="preserve">we </w:t>
      </w:r>
      <w:r w:rsidR="00EA5A99" w:rsidRPr="00527BED">
        <w:rPr>
          <w:rFonts w:eastAsiaTheme="minorEastAsia" w:cstheme="minorHAnsi"/>
          <w:szCs w:val="28"/>
        </w:rPr>
        <w:t xml:space="preserve">made in </w:t>
      </w:r>
      <w:r w:rsidR="00380922">
        <w:rPr>
          <w:rFonts w:eastAsiaTheme="minorEastAsia" w:cstheme="minorHAnsi"/>
          <w:szCs w:val="28"/>
        </w:rPr>
        <w:t>our</w:t>
      </w:r>
      <w:r w:rsidR="00EA5A99" w:rsidRPr="00527BED">
        <w:rPr>
          <w:rFonts w:eastAsiaTheme="minorEastAsia" w:cstheme="minorHAnsi"/>
          <w:szCs w:val="28"/>
        </w:rPr>
        <w:t xml:space="preserve"> submission</w:t>
      </w:r>
      <w:r w:rsidR="00281A36">
        <w:rPr>
          <w:rFonts w:eastAsiaTheme="minorEastAsia" w:cstheme="minorHAnsi"/>
          <w:szCs w:val="28"/>
        </w:rPr>
        <w:t>. This includes</w:t>
      </w:r>
      <w:r w:rsidR="00D5239A" w:rsidRPr="00527BED">
        <w:rPr>
          <w:rFonts w:eastAsiaTheme="minorEastAsia" w:cstheme="minorHAnsi"/>
          <w:szCs w:val="28"/>
        </w:rPr>
        <w:t xml:space="preserve"> the development of a European Commission website </w:t>
      </w:r>
      <w:r w:rsidR="006F03AE" w:rsidRPr="00527BED">
        <w:rPr>
          <w:rFonts w:eastAsiaTheme="minorEastAsia" w:cstheme="minorHAnsi"/>
          <w:szCs w:val="28"/>
        </w:rPr>
        <w:t>to publish EU legislation applicable in Northern Ireland under the Protoco</w:t>
      </w:r>
      <w:r w:rsidR="00375A5C" w:rsidRPr="00527BED">
        <w:rPr>
          <w:rFonts w:eastAsiaTheme="minorEastAsia" w:cstheme="minorHAnsi"/>
          <w:szCs w:val="28"/>
        </w:rPr>
        <w:t>l</w:t>
      </w:r>
      <w:r w:rsidR="00F37824">
        <w:rPr>
          <w:rFonts w:eastAsiaTheme="minorEastAsia" w:cstheme="minorHAnsi"/>
          <w:szCs w:val="28"/>
        </w:rPr>
        <w:t>,</w:t>
      </w:r>
      <w:r w:rsidR="006F03AE" w:rsidRPr="00527BED">
        <w:rPr>
          <w:rFonts w:eastAsiaTheme="minorEastAsia" w:cstheme="minorHAnsi"/>
          <w:szCs w:val="28"/>
          <w:vertAlign w:val="superscript"/>
        </w:rPr>
        <w:footnoteReference w:id="32"/>
      </w:r>
      <w:r w:rsidR="006F03AE" w:rsidRPr="00527BED">
        <w:rPr>
          <w:rFonts w:eastAsiaTheme="minorEastAsia" w:cstheme="minorHAnsi"/>
          <w:szCs w:val="28"/>
        </w:rPr>
        <w:t xml:space="preserve"> and  </w:t>
      </w:r>
      <w:r w:rsidR="00114BE8" w:rsidRPr="00527BED">
        <w:rPr>
          <w:rFonts w:eastAsiaTheme="minorEastAsia" w:cstheme="minorHAnsi"/>
          <w:szCs w:val="28"/>
        </w:rPr>
        <w:lastRenderedPageBreak/>
        <w:t xml:space="preserve">progress </w:t>
      </w:r>
      <w:r w:rsidR="00281A36">
        <w:rPr>
          <w:rFonts w:eastAsiaTheme="minorEastAsia" w:cstheme="minorHAnsi"/>
          <w:szCs w:val="28"/>
        </w:rPr>
        <w:t>by</w:t>
      </w:r>
      <w:r w:rsidR="00114BE8" w:rsidRPr="00527BED">
        <w:rPr>
          <w:rFonts w:eastAsiaTheme="minorEastAsia" w:cstheme="minorHAnsi"/>
          <w:szCs w:val="28"/>
        </w:rPr>
        <w:t xml:space="preserve"> the UK Government to </w:t>
      </w:r>
      <w:r w:rsidR="00AE10B3" w:rsidRPr="00527BED">
        <w:rPr>
          <w:rFonts w:eastAsiaTheme="minorEastAsia" w:cstheme="minorHAnsi"/>
          <w:szCs w:val="28"/>
        </w:rPr>
        <w:t>ensure engagement with civil society, including human rights/equality groups via the</w:t>
      </w:r>
      <w:r w:rsidR="006366FB" w:rsidRPr="00527BED">
        <w:rPr>
          <w:rFonts w:eastAsiaTheme="minorEastAsia" w:cstheme="minorHAnsi"/>
          <w:szCs w:val="28"/>
        </w:rPr>
        <w:t xml:space="preserve"> </w:t>
      </w:r>
      <w:r w:rsidR="002A047F" w:rsidRPr="00527BED">
        <w:rPr>
          <w:rFonts w:eastAsiaTheme="minorEastAsia" w:cstheme="minorHAnsi"/>
          <w:szCs w:val="28"/>
        </w:rPr>
        <w:t>UK-EU Trade and Cooperation Agreement Civil Society Forum.</w:t>
      </w:r>
      <w:r w:rsidR="002A047F" w:rsidRPr="00527BED">
        <w:rPr>
          <w:rFonts w:eastAsiaTheme="minorEastAsia" w:cstheme="minorHAnsi"/>
          <w:szCs w:val="28"/>
          <w:vertAlign w:val="superscript"/>
        </w:rPr>
        <w:footnoteReference w:id="33"/>
      </w:r>
      <w:r w:rsidR="004D37C5">
        <w:rPr>
          <w:rFonts w:eastAsiaTheme="minorEastAsia" w:cstheme="minorHAnsi"/>
          <w:szCs w:val="28"/>
        </w:rPr>
        <w:t xml:space="preserve"> </w:t>
      </w:r>
      <w:r w:rsidR="005B4590">
        <w:rPr>
          <w:rFonts w:eastAsiaTheme="minorEastAsia" w:cstheme="minorHAnsi"/>
          <w:szCs w:val="28"/>
        </w:rPr>
        <w:t xml:space="preserve">We also </w:t>
      </w:r>
      <w:r w:rsidR="00902DEF">
        <w:rPr>
          <w:rFonts w:eastAsiaTheme="minorEastAsia" w:cstheme="minorHAnsi"/>
          <w:szCs w:val="28"/>
        </w:rPr>
        <w:t>note</w:t>
      </w:r>
      <w:r w:rsidR="00733E73">
        <w:rPr>
          <w:rFonts w:eastAsiaTheme="minorEastAsia" w:cstheme="minorHAnsi"/>
          <w:szCs w:val="28"/>
        </w:rPr>
        <w:t xml:space="preserve"> </w:t>
      </w:r>
      <w:r w:rsidR="005B4590">
        <w:rPr>
          <w:rFonts w:eastAsiaTheme="minorEastAsia" w:cstheme="minorHAnsi"/>
          <w:szCs w:val="28"/>
        </w:rPr>
        <w:t xml:space="preserve">that the UK and </w:t>
      </w:r>
      <w:r w:rsidR="005B4590" w:rsidRPr="00D04686">
        <w:rPr>
          <w:rFonts w:eastAsiaTheme="minorEastAsia" w:cstheme="minorHAnsi"/>
          <w:szCs w:val="28"/>
        </w:rPr>
        <w:t>EU</w:t>
      </w:r>
      <w:r w:rsidR="005B4590">
        <w:rPr>
          <w:rFonts w:eastAsiaTheme="minorEastAsia" w:cstheme="minorHAnsi"/>
          <w:szCs w:val="28"/>
        </w:rPr>
        <w:t xml:space="preserve"> have set up Domestic Advisory Groups for stakeholder engagement</w:t>
      </w:r>
      <w:r w:rsidR="00902DEF">
        <w:rPr>
          <w:rFonts w:eastAsiaTheme="minorEastAsia" w:cstheme="minorHAnsi"/>
          <w:szCs w:val="28"/>
        </w:rPr>
        <w:t>, including</w:t>
      </w:r>
      <w:r w:rsidR="005B4590">
        <w:rPr>
          <w:rFonts w:eastAsiaTheme="minorEastAsia" w:cstheme="minorHAnsi"/>
          <w:szCs w:val="28"/>
        </w:rPr>
        <w:t xml:space="preserve"> with civil society stakeholders in </w:t>
      </w:r>
      <w:r w:rsidR="005B4590" w:rsidRPr="00CE70B6">
        <w:rPr>
          <w:rFonts w:eastAsiaTheme="minorEastAsia" w:cstheme="minorHAnsi"/>
          <w:szCs w:val="28"/>
        </w:rPr>
        <w:t>N</w:t>
      </w:r>
      <w:r w:rsidR="00CE70B6" w:rsidRPr="00F37824">
        <w:rPr>
          <w:rFonts w:eastAsiaTheme="minorEastAsia" w:cstheme="minorHAnsi"/>
          <w:szCs w:val="28"/>
        </w:rPr>
        <w:t xml:space="preserve">orthern </w:t>
      </w:r>
      <w:r w:rsidR="005B4590" w:rsidRPr="00CE70B6">
        <w:rPr>
          <w:rFonts w:eastAsiaTheme="minorEastAsia" w:cstheme="minorHAnsi"/>
          <w:szCs w:val="28"/>
        </w:rPr>
        <w:t>I</w:t>
      </w:r>
      <w:r w:rsidR="00CE70B6" w:rsidRPr="00CE70B6">
        <w:rPr>
          <w:rFonts w:eastAsiaTheme="minorEastAsia" w:cstheme="minorHAnsi"/>
          <w:szCs w:val="28"/>
        </w:rPr>
        <w:t>reland</w:t>
      </w:r>
      <w:r w:rsidR="005B4590" w:rsidRPr="00CE70B6">
        <w:rPr>
          <w:rFonts w:eastAsiaTheme="minorEastAsia" w:cstheme="minorHAnsi"/>
          <w:szCs w:val="28"/>
        </w:rPr>
        <w:t>.</w:t>
      </w:r>
      <w:r w:rsidR="005B4590">
        <w:rPr>
          <w:rFonts w:eastAsiaTheme="minorEastAsia" w:cstheme="minorHAnsi"/>
          <w:szCs w:val="28"/>
        </w:rPr>
        <w:t xml:space="preserve"> However, </w:t>
      </w:r>
      <w:r w:rsidR="00902DEF">
        <w:rPr>
          <w:rFonts w:eastAsiaTheme="minorEastAsia" w:cstheme="minorHAnsi"/>
          <w:szCs w:val="28"/>
        </w:rPr>
        <w:t xml:space="preserve">we understand </w:t>
      </w:r>
      <w:r w:rsidR="00733E73">
        <w:rPr>
          <w:rFonts w:eastAsiaTheme="minorEastAsia" w:cstheme="minorHAnsi"/>
          <w:szCs w:val="28"/>
        </w:rPr>
        <w:t xml:space="preserve">that discussions in </w:t>
      </w:r>
      <w:r w:rsidR="005B4590">
        <w:rPr>
          <w:rFonts w:eastAsiaTheme="minorEastAsia" w:cstheme="minorHAnsi"/>
          <w:szCs w:val="28"/>
        </w:rPr>
        <w:t xml:space="preserve">these </w:t>
      </w:r>
      <w:r w:rsidR="00902DEF">
        <w:rPr>
          <w:rFonts w:eastAsiaTheme="minorEastAsia" w:cstheme="minorHAnsi"/>
          <w:szCs w:val="28"/>
        </w:rPr>
        <w:t xml:space="preserve">groups </w:t>
      </w:r>
      <w:proofErr w:type="gramStart"/>
      <w:r w:rsidR="005B4590">
        <w:rPr>
          <w:rFonts w:eastAsiaTheme="minorEastAsia" w:cstheme="minorHAnsi"/>
          <w:szCs w:val="28"/>
        </w:rPr>
        <w:t xml:space="preserve">are </w:t>
      </w:r>
      <w:r w:rsidR="00733E73">
        <w:rPr>
          <w:rFonts w:eastAsiaTheme="minorEastAsia" w:cstheme="minorHAnsi"/>
          <w:szCs w:val="28"/>
        </w:rPr>
        <w:t xml:space="preserve">more </w:t>
      </w:r>
      <w:r w:rsidR="005B4590">
        <w:rPr>
          <w:rFonts w:eastAsiaTheme="minorEastAsia" w:cstheme="minorHAnsi"/>
          <w:szCs w:val="28"/>
        </w:rPr>
        <w:t>focused</w:t>
      </w:r>
      <w:proofErr w:type="gramEnd"/>
      <w:r w:rsidR="005B4590">
        <w:rPr>
          <w:rFonts w:eastAsiaTheme="minorEastAsia" w:cstheme="minorHAnsi"/>
          <w:szCs w:val="28"/>
        </w:rPr>
        <w:t xml:space="preserve"> on the </w:t>
      </w:r>
      <w:r w:rsidR="00902DEF">
        <w:rPr>
          <w:rFonts w:eastAsiaTheme="minorEastAsia" w:cstheme="minorHAnsi"/>
          <w:szCs w:val="28"/>
        </w:rPr>
        <w:t>matters relating to the</w:t>
      </w:r>
      <w:r w:rsidR="00CE70B6">
        <w:rPr>
          <w:rFonts w:eastAsiaTheme="minorEastAsia" w:cstheme="minorHAnsi"/>
          <w:szCs w:val="28"/>
        </w:rPr>
        <w:t xml:space="preserve"> UK-EU Trade and Cooperation Agreement</w:t>
      </w:r>
      <w:r w:rsidR="00902DEF">
        <w:rPr>
          <w:rFonts w:eastAsiaTheme="minorEastAsia" w:cstheme="minorHAnsi"/>
          <w:szCs w:val="28"/>
        </w:rPr>
        <w:t>,</w:t>
      </w:r>
      <w:r w:rsidR="005B4590">
        <w:rPr>
          <w:rFonts w:eastAsiaTheme="minorEastAsia" w:cstheme="minorHAnsi"/>
          <w:szCs w:val="28"/>
        </w:rPr>
        <w:t xml:space="preserve"> rather than on equality and human rights </w:t>
      </w:r>
      <w:r w:rsidR="00902DEF">
        <w:rPr>
          <w:rFonts w:eastAsiaTheme="minorEastAsia" w:cstheme="minorHAnsi"/>
          <w:szCs w:val="28"/>
        </w:rPr>
        <w:t xml:space="preserve">issues arising out of </w:t>
      </w:r>
      <w:r w:rsidR="005B4590">
        <w:rPr>
          <w:rFonts w:eastAsiaTheme="minorEastAsia" w:cstheme="minorHAnsi"/>
          <w:szCs w:val="28"/>
        </w:rPr>
        <w:t xml:space="preserve">the Protocol.  </w:t>
      </w:r>
      <w:r w:rsidR="00733E73">
        <w:rPr>
          <w:rFonts w:eastAsiaTheme="minorEastAsia" w:cstheme="minorHAnsi"/>
          <w:szCs w:val="28"/>
        </w:rPr>
        <w:t xml:space="preserve">As raised previously with the Sub-Committee, </w:t>
      </w:r>
      <w:r w:rsidR="00733E73">
        <w:t xml:space="preserve">we consider that a direct and structured forum for equality and human rights stakeholders, including the Commissions, </w:t>
      </w:r>
      <w:r w:rsidR="00281A36">
        <w:t xml:space="preserve">would </w:t>
      </w:r>
      <w:r w:rsidR="00733E73">
        <w:t>provide an opportunity to discuss potential Protocol Article 2 impacts and/or issues and concerns</w:t>
      </w:r>
      <w:r w:rsidR="003A58EE">
        <w:t>.</w:t>
      </w:r>
      <w:r w:rsidR="00733E73" w:rsidDel="00733E73">
        <w:rPr>
          <w:rFonts w:eastAsiaTheme="minorEastAsia" w:cstheme="minorHAnsi"/>
          <w:szCs w:val="28"/>
        </w:rPr>
        <w:t xml:space="preserve"> </w:t>
      </w:r>
      <w:r w:rsidR="00733E73">
        <w:rPr>
          <w:rFonts w:eastAsiaTheme="minorEastAsia" w:cstheme="minorHAnsi"/>
          <w:szCs w:val="28"/>
        </w:rPr>
        <w:t xml:space="preserve"> </w:t>
      </w:r>
    </w:p>
    <w:p w14:paraId="43072682" w14:textId="77777777" w:rsidR="00AF7AC7" w:rsidRPr="000D19D0" w:rsidRDefault="00AF7AC7" w:rsidP="00D04686">
      <w:pPr>
        <w:pStyle w:val="ListParagraph"/>
        <w:spacing w:after="240"/>
        <w:rPr>
          <w:rFonts w:eastAsiaTheme="minorEastAsia" w:cstheme="minorHAnsi"/>
          <w:szCs w:val="28"/>
        </w:rPr>
      </w:pPr>
    </w:p>
    <w:p w14:paraId="1581C555" w14:textId="2B8D4E7D" w:rsidR="00614564" w:rsidRPr="00D04686" w:rsidRDefault="006D4634" w:rsidP="00D552DA">
      <w:pPr>
        <w:pStyle w:val="ListParagraph"/>
        <w:numPr>
          <w:ilvl w:val="1"/>
          <w:numId w:val="8"/>
        </w:numPr>
        <w:spacing w:after="240"/>
        <w:ind w:left="720" w:hanging="720"/>
        <w:contextualSpacing w:val="0"/>
        <w:rPr>
          <w:rFonts w:eastAsiaTheme="minorEastAsia" w:cstheme="minorHAnsi"/>
          <w:b/>
          <w:szCs w:val="28"/>
        </w:rPr>
      </w:pPr>
      <w:r>
        <w:rPr>
          <w:rFonts w:eastAsiaTheme="minorEastAsia" w:cstheme="minorHAnsi"/>
          <w:szCs w:val="28"/>
        </w:rPr>
        <w:t xml:space="preserve">We </w:t>
      </w:r>
      <w:r w:rsidR="004D37C5">
        <w:rPr>
          <w:rFonts w:eastAsiaTheme="minorEastAsia" w:cstheme="minorHAnsi"/>
          <w:szCs w:val="28"/>
        </w:rPr>
        <w:t xml:space="preserve">note that a number of our </w:t>
      </w:r>
      <w:r w:rsidR="004D37C5" w:rsidRPr="00614564">
        <w:rPr>
          <w:rFonts w:eastAsiaTheme="minorEastAsia" w:cstheme="minorHAnsi"/>
          <w:szCs w:val="28"/>
        </w:rPr>
        <w:t>recommendations</w:t>
      </w:r>
      <w:r w:rsidR="00614564" w:rsidRPr="00614564">
        <w:rPr>
          <w:rFonts w:eastAsiaTheme="minorEastAsia" w:cstheme="minorHAnsi"/>
          <w:szCs w:val="28"/>
        </w:rPr>
        <w:t xml:space="preserve"> </w:t>
      </w:r>
      <w:r w:rsidR="00614564" w:rsidRPr="00D04686">
        <w:rPr>
          <w:rFonts w:eastAsiaTheme="minorEastAsia" w:cstheme="minorHAnsi"/>
          <w:szCs w:val="28"/>
        </w:rPr>
        <w:t>for the UK Government and EU set out in their submission to the Sub-Committee in November 2021</w:t>
      </w:r>
      <w:r w:rsidR="003D5677">
        <w:rPr>
          <w:rFonts w:eastAsiaTheme="minorEastAsia" w:cstheme="minorHAnsi"/>
          <w:szCs w:val="28"/>
        </w:rPr>
        <w:t xml:space="preserve"> </w:t>
      </w:r>
      <w:proofErr w:type="gramStart"/>
      <w:r w:rsidR="003D5677">
        <w:rPr>
          <w:rFonts w:eastAsiaTheme="minorEastAsia" w:cstheme="minorHAnsi"/>
          <w:szCs w:val="28"/>
        </w:rPr>
        <w:t>have not yet been addressed</w:t>
      </w:r>
      <w:proofErr w:type="gramEnd"/>
      <w:r w:rsidR="003D5677">
        <w:rPr>
          <w:rFonts w:eastAsiaTheme="minorEastAsia" w:cstheme="minorHAnsi"/>
          <w:szCs w:val="28"/>
        </w:rPr>
        <w:t>.</w:t>
      </w:r>
      <w:r w:rsidR="00AF28E0">
        <w:rPr>
          <w:rStyle w:val="FootnoteReference"/>
          <w:rFonts w:eastAsiaTheme="minorEastAsia" w:cstheme="minorHAnsi"/>
          <w:szCs w:val="28"/>
        </w:rPr>
        <w:footnoteReference w:id="34"/>
      </w:r>
    </w:p>
    <w:p w14:paraId="019A3AC8" w14:textId="4AD400AB" w:rsidR="00614564" w:rsidRPr="00D04686" w:rsidRDefault="00614564" w:rsidP="00D552DA">
      <w:pPr>
        <w:pStyle w:val="ListParagraph"/>
        <w:numPr>
          <w:ilvl w:val="1"/>
          <w:numId w:val="8"/>
        </w:numPr>
        <w:spacing w:after="240"/>
        <w:ind w:left="720" w:hanging="720"/>
        <w:contextualSpacing w:val="0"/>
        <w:rPr>
          <w:rFonts w:eastAsiaTheme="minorEastAsia" w:cstheme="minorHAnsi"/>
          <w:b/>
          <w:bCs/>
          <w:szCs w:val="28"/>
        </w:rPr>
      </w:pPr>
      <w:r w:rsidRPr="00D04686">
        <w:rPr>
          <w:rFonts w:eastAsiaTheme="minorEastAsia" w:cstheme="minorHAnsi"/>
          <w:b/>
          <w:bCs/>
          <w:szCs w:val="28"/>
        </w:rPr>
        <w:t>The Commissions continue to recommend that</w:t>
      </w:r>
      <w:r w:rsidR="00E74D6B" w:rsidRPr="00D04686">
        <w:rPr>
          <w:rFonts w:eastAsiaTheme="minorEastAsia" w:cstheme="minorHAnsi"/>
          <w:b/>
          <w:bCs/>
          <w:szCs w:val="28"/>
        </w:rPr>
        <w:t>:</w:t>
      </w:r>
      <w:r w:rsidRPr="00D04686">
        <w:rPr>
          <w:rFonts w:eastAsiaTheme="minorEastAsia" w:cstheme="minorHAnsi"/>
          <w:b/>
          <w:bCs/>
          <w:szCs w:val="28"/>
        </w:rPr>
        <w:t xml:space="preserve"> </w:t>
      </w:r>
    </w:p>
    <w:p w14:paraId="01CA1341" w14:textId="3DB89EE5" w:rsidR="00A92DDC" w:rsidRPr="00D04686" w:rsidRDefault="00DB6D8A" w:rsidP="00E62814">
      <w:pPr>
        <w:pStyle w:val="ListParagraph"/>
        <w:numPr>
          <w:ilvl w:val="0"/>
          <w:numId w:val="28"/>
        </w:numPr>
        <w:spacing w:after="240"/>
        <w:contextualSpacing w:val="0"/>
        <w:rPr>
          <w:rFonts w:eastAsiaTheme="minorEastAsia" w:cstheme="minorHAnsi"/>
          <w:b/>
          <w:bCs/>
          <w:szCs w:val="28"/>
        </w:rPr>
      </w:pPr>
      <w:r w:rsidRPr="00D04686">
        <w:rPr>
          <w:rFonts w:eastAsiaTheme="minorEastAsia" w:cstheme="minorHAnsi"/>
          <w:b/>
          <w:bCs/>
          <w:szCs w:val="28"/>
        </w:rPr>
        <w:t>a</w:t>
      </w:r>
      <w:r w:rsidR="00E74D6B" w:rsidRPr="00D04686">
        <w:rPr>
          <w:rFonts w:eastAsiaTheme="minorEastAsia" w:cstheme="minorHAnsi"/>
          <w:b/>
          <w:bCs/>
          <w:szCs w:val="28"/>
        </w:rPr>
        <w:t xml:space="preserve">s the EU considers </w:t>
      </w:r>
      <w:r w:rsidR="00CA017B" w:rsidRPr="00D04686">
        <w:rPr>
          <w:rFonts w:eastAsiaTheme="minorEastAsia" w:cstheme="minorHAnsi"/>
          <w:b/>
          <w:bCs/>
          <w:szCs w:val="28"/>
        </w:rPr>
        <w:t xml:space="preserve">proposed </w:t>
      </w:r>
      <w:r w:rsidR="00E74D6B" w:rsidRPr="00D04686">
        <w:rPr>
          <w:rFonts w:eastAsiaTheme="minorEastAsia" w:cstheme="minorHAnsi"/>
          <w:b/>
          <w:bCs/>
          <w:szCs w:val="28"/>
        </w:rPr>
        <w:t xml:space="preserve">structures </w:t>
      </w:r>
      <w:r w:rsidR="00E7121B" w:rsidRPr="00D04686">
        <w:rPr>
          <w:rFonts w:eastAsiaTheme="minorEastAsia" w:cstheme="minorHAnsi"/>
          <w:b/>
          <w:bCs/>
          <w:szCs w:val="28"/>
        </w:rPr>
        <w:t xml:space="preserve">for </w:t>
      </w:r>
      <w:r w:rsidR="00CA017B" w:rsidRPr="00D04686">
        <w:rPr>
          <w:rFonts w:eastAsiaTheme="minorEastAsia" w:cstheme="minorHAnsi"/>
          <w:b/>
          <w:bCs/>
          <w:szCs w:val="28"/>
        </w:rPr>
        <w:t>engagement</w:t>
      </w:r>
      <w:r w:rsidR="00E7121B" w:rsidRPr="00D04686">
        <w:rPr>
          <w:rFonts w:eastAsiaTheme="minorEastAsia" w:cstheme="minorHAnsi"/>
          <w:b/>
          <w:bCs/>
          <w:szCs w:val="28"/>
        </w:rPr>
        <w:t xml:space="preserve"> with NI stakeholders,</w:t>
      </w:r>
      <w:r w:rsidR="00A92DDC" w:rsidRPr="00D04686">
        <w:rPr>
          <w:rFonts w:eastAsiaTheme="minorEastAsia" w:cstheme="minorHAnsi"/>
          <w:b/>
          <w:bCs/>
          <w:szCs w:val="28"/>
        </w:rPr>
        <w:t xml:space="preserve"> </w:t>
      </w:r>
      <w:r w:rsidR="00E74D6B" w:rsidRPr="00D04686">
        <w:rPr>
          <w:rFonts w:eastAsiaTheme="minorEastAsia" w:cstheme="minorHAnsi"/>
          <w:b/>
          <w:bCs/>
          <w:szCs w:val="28"/>
        </w:rPr>
        <w:t>this should include open, transparent and regular engagement with the Commissions and equality and human rights stakeholders in Northern Ireland</w:t>
      </w:r>
      <w:r w:rsidR="00A92DDC" w:rsidRPr="00D04686">
        <w:rPr>
          <w:rFonts w:eastAsiaTheme="minorEastAsia" w:cstheme="minorHAnsi"/>
          <w:b/>
          <w:bCs/>
          <w:szCs w:val="28"/>
        </w:rPr>
        <w:t>;</w:t>
      </w:r>
      <w:r w:rsidR="00E62814">
        <w:rPr>
          <w:rFonts w:eastAsiaTheme="minorEastAsia" w:cstheme="minorHAnsi"/>
          <w:b/>
          <w:bCs/>
          <w:szCs w:val="28"/>
        </w:rPr>
        <w:t xml:space="preserve"> and this </w:t>
      </w:r>
      <w:r w:rsidR="00A92DDC" w:rsidRPr="00D04686">
        <w:rPr>
          <w:b/>
          <w:bCs/>
        </w:rPr>
        <w:t>should include those working on cross border issues relating to equality and human rights.</w:t>
      </w:r>
    </w:p>
    <w:p w14:paraId="60458C20" w14:textId="274B933D" w:rsidR="00614564" w:rsidRDefault="0001577E" w:rsidP="00614564">
      <w:pPr>
        <w:pStyle w:val="ListParagraph"/>
        <w:numPr>
          <w:ilvl w:val="0"/>
          <w:numId w:val="28"/>
        </w:numPr>
        <w:spacing w:after="240"/>
        <w:contextualSpacing w:val="0"/>
        <w:rPr>
          <w:rFonts w:eastAsiaTheme="minorEastAsia" w:cstheme="minorHAnsi"/>
          <w:b/>
          <w:bCs/>
          <w:szCs w:val="28"/>
        </w:rPr>
      </w:pPr>
      <w:r w:rsidRPr="00D04686">
        <w:rPr>
          <w:rFonts w:eastAsiaTheme="minorEastAsia" w:cstheme="minorHAnsi"/>
          <w:b/>
          <w:bCs/>
          <w:szCs w:val="28"/>
        </w:rPr>
        <w:t xml:space="preserve">the Commissions are kept informed of any future EU equality law developments relevant to the Annex 1 equality Directives in the Protocol, and </w:t>
      </w:r>
      <w:r w:rsidRPr="00D04686">
        <w:rPr>
          <w:rFonts w:eastAsiaTheme="minorEastAsia" w:cstheme="minorHAnsi"/>
          <w:b/>
          <w:bCs/>
          <w:szCs w:val="28"/>
          <w:u w:val="single"/>
        </w:rPr>
        <w:t xml:space="preserve">have the opportunity to highlight in advance </w:t>
      </w:r>
      <w:r w:rsidRPr="00D04686">
        <w:rPr>
          <w:rFonts w:eastAsiaTheme="minorEastAsia" w:cstheme="minorHAnsi"/>
          <w:b/>
          <w:bCs/>
          <w:szCs w:val="28"/>
          <w:u w:val="single"/>
        </w:rPr>
        <w:lastRenderedPageBreak/>
        <w:t>any implications of those changes for equality law in Northern Ireland</w:t>
      </w:r>
      <w:r w:rsidR="00262E18" w:rsidRPr="00D04686">
        <w:rPr>
          <w:rFonts w:eastAsiaTheme="minorEastAsia" w:cstheme="minorHAnsi"/>
          <w:b/>
          <w:bCs/>
          <w:szCs w:val="28"/>
        </w:rPr>
        <w:t xml:space="preserve">; </w:t>
      </w:r>
    </w:p>
    <w:p w14:paraId="195C6035" w14:textId="2A234985" w:rsidR="00376299" w:rsidRPr="00D04686" w:rsidRDefault="00376299" w:rsidP="00614564">
      <w:pPr>
        <w:pStyle w:val="ListParagraph"/>
        <w:numPr>
          <w:ilvl w:val="0"/>
          <w:numId w:val="28"/>
        </w:numPr>
        <w:spacing w:after="240"/>
        <w:contextualSpacing w:val="0"/>
        <w:rPr>
          <w:rFonts w:eastAsiaTheme="minorEastAsia" w:cstheme="minorHAnsi"/>
          <w:b/>
          <w:bCs/>
          <w:szCs w:val="28"/>
        </w:rPr>
      </w:pPr>
      <w:r>
        <w:rPr>
          <w:rFonts w:eastAsiaTheme="minorEastAsia" w:cstheme="minorHAnsi"/>
          <w:b/>
          <w:bCs/>
          <w:szCs w:val="28"/>
        </w:rPr>
        <w:t>t</w:t>
      </w:r>
      <w:r w:rsidRPr="00376299">
        <w:rPr>
          <w:rFonts w:eastAsiaTheme="minorEastAsia" w:cstheme="minorHAnsi"/>
          <w:b/>
          <w:bCs/>
          <w:szCs w:val="28"/>
        </w:rPr>
        <w:t>he NI Executive work with the UK Government and on a North-South basis to build strong open channels of communication to keep informed of key developments of relevance to Article 2;</w:t>
      </w:r>
    </w:p>
    <w:p w14:paraId="36F81001" w14:textId="6708E3AE" w:rsidR="00614564" w:rsidRPr="00D04686" w:rsidRDefault="00954AAD" w:rsidP="00614564">
      <w:pPr>
        <w:pStyle w:val="ListParagraph"/>
        <w:numPr>
          <w:ilvl w:val="0"/>
          <w:numId w:val="28"/>
        </w:numPr>
        <w:spacing w:after="240"/>
        <w:contextualSpacing w:val="0"/>
        <w:rPr>
          <w:rFonts w:eastAsiaTheme="minorEastAsia" w:cstheme="minorHAnsi"/>
          <w:b/>
          <w:szCs w:val="28"/>
        </w:rPr>
      </w:pPr>
      <w:r w:rsidRPr="00D04686">
        <w:rPr>
          <w:rFonts w:eastAsiaTheme="minorEastAsia" w:cstheme="minorHAnsi"/>
          <w:b/>
          <w:bCs/>
          <w:szCs w:val="28"/>
        </w:rPr>
        <w:t>any</w:t>
      </w:r>
      <w:r w:rsidR="00E02A77" w:rsidRPr="00D04686">
        <w:rPr>
          <w:rFonts w:eastAsiaTheme="minorEastAsia" w:cstheme="minorHAnsi"/>
          <w:b/>
          <w:bCs/>
          <w:szCs w:val="28"/>
        </w:rPr>
        <w:t xml:space="preserve"> proposals between the UK Government and EU on the development of “structured groups” within the </w:t>
      </w:r>
      <w:r w:rsidR="003A224E">
        <w:rPr>
          <w:rFonts w:eastAsiaTheme="minorEastAsia" w:cstheme="minorHAnsi"/>
          <w:b/>
          <w:bCs/>
          <w:szCs w:val="28"/>
        </w:rPr>
        <w:t xml:space="preserve">Joint Consultative Working Group </w:t>
      </w:r>
      <w:r w:rsidR="00E02A77" w:rsidRPr="00D04686">
        <w:rPr>
          <w:rFonts w:eastAsiaTheme="minorEastAsia" w:cstheme="minorHAnsi"/>
          <w:b/>
          <w:bCs/>
          <w:szCs w:val="28"/>
        </w:rPr>
        <w:t>includes consideration being given to establishing a group that focu</w:t>
      </w:r>
      <w:r w:rsidR="004027B0" w:rsidRPr="00D04686">
        <w:rPr>
          <w:rFonts w:eastAsiaTheme="minorEastAsia" w:cstheme="minorHAnsi"/>
          <w:b/>
          <w:bCs/>
          <w:szCs w:val="28"/>
        </w:rPr>
        <w:t>ses on issues relating to Protocol Article 2</w:t>
      </w:r>
      <w:r w:rsidR="004027B0">
        <w:rPr>
          <w:rFonts w:eastAsiaTheme="minorEastAsia" w:cstheme="minorHAnsi"/>
          <w:szCs w:val="28"/>
        </w:rPr>
        <w:t xml:space="preserve"> </w:t>
      </w:r>
      <w:r w:rsidR="00A32C79">
        <w:rPr>
          <w:rFonts w:eastAsiaTheme="minorEastAsia" w:cstheme="minorHAnsi"/>
          <w:szCs w:val="28"/>
        </w:rPr>
        <w:t>;</w:t>
      </w:r>
      <w:r w:rsidR="004027B0">
        <w:rPr>
          <w:rFonts w:eastAsiaTheme="minorEastAsia" w:cstheme="minorHAnsi"/>
          <w:szCs w:val="28"/>
        </w:rPr>
        <w:t xml:space="preserve"> </w:t>
      </w:r>
    </w:p>
    <w:p w14:paraId="2C1D6AB7" w14:textId="5B1374FC" w:rsidR="00CC5A5B" w:rsidRPr="00614564" w:rsidRDefault="004027B0" w:rsidP="00D04686">
      <w:pPr>
        <w:pStyle w:val="ListParagraph"/>
        <w:numPr>
          <w:ilvl w:val="0"/>
          <w:numId w:val="28"/>
        </w:numPr>
        <w:spacing w:after="240"/>
        <w:contextualSpacing w:val="0"/>
        <w:rPr>
          <w:rFonts w:eastAsiaTheme="minorEastAsia" w:cstheme="minorHAnsi"/>
          <w:b/>
          <w:bCs/>
          <w:szCs w:val="28"/>
        </w:rPr>
      </w:pPr>
      <w:proofErr w:type="gramStart"/>
      <w:r w:rsidRPr="00D04686">
        <w:rPr>
          <w:rFonts w:eastAsiaTheme="minorEastAsia" w:cstheme="minorHAnsi"/>
          <w:b/>
          <w:bCs/>
          <w:szCs w:val="28"/>
        </w:rPr>
        <w:t>proposals</w:t>
      </w:r>
      <w:proofErr w:type="gramEnd"/>
      <w:r w:rsidRPr="00D04686">
        <w:rPr>
          <w:rFonts w:eastAsiaTheme="minorEastAsia" w:cstheme="minorHAnsi"/>
          <w:b/>
          <w:bCs/>
          <w:szCs w:val="28"/>
        </w:rPr>
        <w:t xml:space="preserve"> on increased transparency relating to the </w:t>
      </w:r>
      <w:r w:rsidR="003A224E">
        <w:rPr>
          <w:rFonts w:eastAsiaTheme="minorEastAsia" w:cstheme="minorHAnsi"/>
          <w:b/>
          <w:bCs/>
          <w:szCs w:val="28"/>
        </w:rPr>
        <w:t>Joint Consultative Working Group</w:t>
      </w:r>
      <w:r w:rsidRPr="00D04686">
        <w:rPr>
          <w:rFonts w:eastAsiaTheme="minorEastAsia" w:cstheme="minorHAnsi"/>
          <w:b/>
          <w:bCs/>
          <w:szCs w:val="28"/>
        </w:rPr>
        <w:t xml:space="preserve"> are extended to include the publication of agendas in advance of meetings.</w:t>
      </w:r>
    </w:p>
    <w:p w14:paraId="349964FA" w14:textId="64D6B525" w:rsidR="00A457E5" w:rsidRPr="008569BB" w:rsidRDefault="00921B40" w:rsidP="00755992">
      <w:pPr>
        <w:pStyle w:val="Heading1"/>
        <w:spacing w:after="0"/>
        <w:ind w:left="426" w:hanging="426"/>
      </w:pPr>
      <w:bookmarkStart w:id="7" w:name="_Toc118384468"/>
      <w:r w:rsidRPr="008569BB">
        <w:t>The way forward</w:t>
      </w:r>
      <w:bookmarkEnd w:id="7"/>
    </w:p>
    <w:p w14:paraId="35383EE1" w14:textId="77777777" w:rsidR="00D244A0" w:rsidRPr="00527BED" w:rsidRDefault="00D244A0" w:rsidP="00D244A0">
      <w:pPr>
        <w:pStyle w:val="ListParagraph"/>
        <w:spacing w:after="240"/>
        <w:ind w:left="792"/>
        <w:rPr>
          <w:rFonts w:cstheme="minorHAnsi"/>
        </w:rPr>
      </w:pPr>
    </w:p>
    <w:p w14:paraId="09AA2A12" w14:textId="77777777" w:rsidR="001B7618" w:rsidRPr="001B7618" w:rsidRDefault="001B7618" w:rsidP="001B7618">
      <w:pPr>
        <w:pStyle w:val="ListParagraph"/>
        <w:numPr>
          <w:ilvl w:val="0"/>
          <w:numId w:val="8"/>
        </w:numPr>
        <w:spacing w:after="240"/>
        <w:contextualSpacing w:val="0"/>
        <w:rPr>
          <w:rFonts w:eastAsiaTheme="minorEastAsia" w:cstheme="minorHAnsi"/>
          <w:vanish/>
          <w:szCs w:val="28"/>
        </w:rPr>
      </w:pPr>
    </w:p>
    <w:p w14:paraId="766FBCC8" w14:textId="504455DC" w:rsidR="00933721" w:rsidRPr="00755992" w:rsidRDefault="00997155" w:rsidP="00755992">
      <w:pPr>
        <w:spacing w:after="240"/>
        <w:rPr>
          <w:rFonts w:eastAsiaTheme="minorEastAsia" w:cstheme="minorHAnsi"/>
          <w:b/>
          <w:bCs/>
          <w:szCs w:val="28"/>
        </w:rPr>
      </w:pPr>
      <w:r w:rsidRPr="00755992">
        <w:rPr>
          <w:rFonts w:eastAsiaTheme="minorEastAsia" w:cstheme="minorHAnsi"/>
          <w:b/>
          <w:bCs/>
          <w:szCs w:val="28"/>
        </w:rPr>
        <w:t xml:space="preserve">Question </w:t>
      </w:r>
      <w:r w:rsidR="00933721" w:rsidRPr="00755992">
        <w:rPr>
          <w:rFonts w:eastAsiaTheme="minorEastAsia" w:cstheme="minorHAnsi"/>
          <w:b/>
          <w:bCs/>
          <w:szCs w:val="28"/>
        </w:rPr>
        <w:t>14</w:t>
      </w:r>
      <w:r w:rsidR="003E344C" w:rsidRPr="00755992">
        <w:rPr>
          <w:rFonts w:eastAsiaTheme="minorEastAsia" w:cstheme="minorHAnsi"/>
          <w:b/>
          <w:bCs/>
          <w:szCs w:val="28"/>
        </w:rPr>
        <w:t>:</w:t>
      </w:r>
      <w:r w:rsidR="0018382A" w:rsidRPr="00755992">
        <w:rPr>
          <w:rFonts w:eastAsiaTheme="minorEastAsia" w:cstheme="minorHAnsi"/>
          <w:b/>
          <w:bCs/>
          <w:szCs w:val="28"/>
        </w:rPr>
        <w:t xml:space="preserve"> </w:t>
      </w:r>
      <w:r w:rsidR="00843B0F" w:rsidRPr="00755992">
        <w:rPr>
          <w:rFonts w:eastAsiaTheme="minorEastAsia" w:cstheme="minorHAnsi"/>
          <w:b/>
          <w:bCs/>
          <w:szCs w:val="28"/>
        </w:rPr>
        <w:t>W</w:t>
      </w:r>
      <w:r w:rsidR="00933721" w:rsidRPr="00755992">
        <w:rPr>
          <w:rFonts w:eastAsiaTheme="minorEastAsia" w:cstheme="minorHAnsi"/>
          <w:b/>
          <w:bCs/>
          <w:szCs w:val="28"/>
        </w:rPr>
        <w:t>hat is</w:t>
      </w:r>
      <w:r w:rsidR="00A457E5" w:rsidRPr="00755992">
        <w:rPr>
          <w:rFonts w:eastAsiaTheme="minorEastAsia" w:cstheme="minorHAnsi"/>
          <w:b/>
          <w:bCs/>
          <w:szCs w:val="28"/>
        </w:rPr>
        <w:t xml:space="preserve"> the best way forward to resolve the current impasse</w:t>
      </w:r>
      <w:r w:rsidR="00933721" w:rsidRPr="00755992">
        <w:rPr>
          <w:rFonts w:eastAsiaTheme="minorEastAsia" w:cstheme="minorHAnsi"/>
          <w:b/>
          <w:bCs/>
          <w:szCs w:val="28"/>
        </w:rPr>
        <w:t xml:space="preserve"> between the UK Government and EU</w:t>
      </w:r>
      <w:r w:rsidR="00843B0F" w:rsidRPr="00755992">
        <w:rPr>
          <w:rFonts w:eastAsiaTheme="minorEastAsia" w:cstheme="minorHAnsi"/>
          <w:b/>
          <w:bCs/>
          <w:szCs w:val="28"/>
        </w:rPr>
        <w:t>?’</w:t>
      </w:r>
    </w:p>
    <w:p w14:paraId="33ADD1B3" w14:textId="3970CDE4" w:rsidR="00933721" w:rsidRDefault="00A073A8" w:rsidP="00527BED">
      <w:pPr>
        <w:pStyle w:val="ListParagraph"/>
        <w:numPr>
          <w:ilvl w:val="1"/>
          <w:numId w:val="8"/>
        </w:numPr>
        <w:spacing w:after="240"/>
        <w:ind w:left="720" w:hanging="720"/>
        <w:contextualSpacing w:val="0"/>
        <w:rPr>
          <w:rFonts w:eastAsiaTheme="minorEastAsia" w:cstheme="minorHAnsi"/>
          <w:szCs w:val="28"/>
        </w:rPr>
      </w:pPr>
      <w:r w:rsidRPr="00527BED">
        <w:rPr>
          <w:rFonts w:eastAsiaTheme="minorEastAsia" w:cstheme="minorHAnsi"/>
          <w:szCs w:val="28"/>
        </w:rPr>
        <w:t>The Commissions welcome the resumption of negotiations between the UK Government and EU in October 2022</w:t>
      </w:r>
      <w:r w:rsidR="00281A36">
        <w:rPr>
          <w:rFonts w:eastAsiaTheme="minorEastAsia" w:cstheme="minorHAnsi"/>
          <w:szCs w:val="28"/>
        </w:rPr>
        <w:t>. We</w:t>
      </w:r>
      <w:r w:rsidRPr="00527BED">
        <w:rPr>
          <w:rFonts w:eastAsiaTheme="minorEastAsia" w:cstheme="minorHAnsi"/>
          <w:szCs w:val="28"/>
        </w:rPr>
        <w:t xml:space="preserve"> reiterate our call made i</w:t>
      </w:r>
      <w:r w:rsidR="00490DDE" w:rsidRPr="00527BED">
        <w:rPr>
          <w:rFonts w:eastAsiaTheme="minorEastAsia" w:cstheme="minorHAnsi"/>
          <w:szCs w:val="28"/>
        </w:rPr>
        <w:t>n our November 2021 submission</w:t>
      </w:r>
      <w:r w:rsidR="001E2B0F" w:rsidRPr="00527BED">
        <w:rPr>
          <w:rFonts w:eastAsiaTheme="minorEastAsia" w:cstheme="minorHAnsi"/>
          <w:szCs w:val="28"/>
        </w:rPr>
        <w:t xml:space="preserve"> </w:t>
      </w:r>
      <w:r w:rsidR="004E014F" w:rsidRPr="00527BED">
        <w:rPr>
          <w:rFonts w:eastAsiaTheme="minorEastAsia" w:cstheme="minorHAnsi"/>
          <w:szCs w:val="28"/>
        </w:rPr>
        <w:t xml:space="preserve">to the Sub-Committee </w:t>
      </w:r>
      <w:r w:rsidRPr="00527BED">
        <w:rPr>
          <w:rFonts w:eastAsiaTheme="minorEastAsia" w:cstheme="minorHAnsi"/>
          <w:szCs w:val="28"/>
        </w:rPr>
        <w:t>for the</w:t>
      </w:r>
      <w:r w:rsidR="00DC61EF" w:rsidRPr="00527BED">
        <w:rPr>
          <w:rFonts w:eastAsiaTheme="minorEastAsia" w:cstheme="minorHAnsi"/>
          <w:szCs w:val="28"/>
        </w:rPr>
        <w:t xml:space="preserve"> UK Government and EU to continue to undertake constructive engagement to reach timely agreement on sustainable, long-term solutions for all ongoing issues which have the potential to impact the rights of people in living in Northern Ireland</w:t>
      </w:r>
      <w:r w:rsidR="00281A36">
        <w:rPr>
          <w:rFonts w:eastAsiaTheme="minorEastAsia" w:cstheme="minorHAnsi"/>
          <w:szCs w:val="28"/>
        </w:rPr>
        <w:t xml:space="preserve">. This </w:t>
      </w:r>
      <w:r w:rsidR="00844DD9">
        <w:rPr>
          <w:rFonts w:eastAsiaTheme="minorEastAsia" w:cstheme="minorHAnsi"/>
          <w:szCs w:val="28"/>
        </w:rPr>
        <w:t>includ</w:t>
      </w:r>
      <w:r w:rsidR="00281A36">
        <w:rPr>
          <w:rFonts w:eastAsiaTheme="minorEastAsia" w:cstheme="minorHAnsi"/>
          <w:szCs w:val="28"/>
        </w:rPr>
        <w:t>es</w:t>
      </w:r>
      <w:r w:rsidR="00844DD9">
        <w:rPr>
          <w:rFonts w:eastAsiaTheme="minorEastAsia" w:cstheme="minorHAnsi"/>
          <w:szCs w:val="28"/>
        </w:rPr>
        <w:t xml:space="preserve"> </w:t>
      </w:r>
      <w:r w:rsidR="0048012D">
        <w:rPr>
          <w:rFonts w:eastAsiaTheme="minorEastAsia" w:cstheme="minorHAnsi"/>
          <w:szCs w:val="28"/>
        </w:rPr>
        <w:t>those mentioned above on travel with assistance animals and access to halal and kosher food</w:t>
      </w:r>
      <w:r w:rsidR="00F37824">
        <w:rPr>
          <w:rFonts w:eastAsiaTheme="minorEastAsia" w:cstheme="minorHAnsi"/>
          <w:szCs w:val="28"/>
        </w:rPr>
        <w:t>.</w:t>
      </w:r>
      <w:r w:rsidR="001E2B0F" w:rsidRPr="00527BED">
        <w:rPr>
          <w:rFonts w:eastAsiaTheme="minorEastAsia" w:cstheme="minorHAnsi"/>
          <w:szCs w:val="28"/>
          <w:vertAlign w:val="superscript"/>
        </w:rPr>
        <w:footnoteReference w:id="35"/>
      </w:r>
    </w:p>
    <w:p w14:paraId="2F3431B2" w14:textId="6E65E065" w:rsidR="004425D4" w:rsidRDefault="00742C9B" w:rsidP="00527BED">
      <w:pPr>
        <w:pStyle w:val="ListParagraph"/>
        <w:numPr>
          <w:ilvl w:val="1"/>
          <w:numId w:val="8"/>
        </w:numPr>
        <w:spacing w:after="240"/>
        <w:ind w:left="720" w:hanging="720"/>
        <w:contextualSpacing w:val="0"/>
        <w:rPr>
          <w:rFonts w:eastAsiaTheme="minorEastAsia" w:cstheme="minorHAnsi"/>
          <w:szCs w:val="28"/>
        </w:rPr>
      </w:pPr>
      <w:r>
        <w:rPr>
          <w:rFonts w:eastAsiaTheme="minorEastAsia" w:cstheme="minorHAnsi"/>
          <w:szCs w:val="28"/>
        </w:rPr>
        <w:lastRenderedPageBreak/>
        <w:t xml:space="preserve">It is important the UK </w:t>
      </w:r>
      <w:r w:rsidR="00912B34">
        <w:rPr>
          <w:rFonts w:eastAsiaTheme="minorEastAsia" w:cstheme="minorHAnsi"/>
          <w:szCs w:val="28"/>
        </w:rPr>
        <w:t>Government and EU</w:t>
      </w:r>
      <w:r w:rsidR="00666763">
        <w:rPr>
          <w:rFonts w:eastAsiaTheme="minorEastAsia" w:cstheme="minorHAnsi"/>
          <w:szCs w:val="28"/>
        </w:rPr>
        <w:t xml:space="preserve"> continue to engage </w:t>
      </w:r>
      <w:r w:rsidR="00192438">
        <w:rPr>
          <w:rFonts w:eastAsiaTheme="minorEastAsia" w:cstheme="minorHAnsi"/>
          <w:szCs w:val="28"/>
        </w:rPr>
        <w:t xml:space="preserve">with equality and human rights stakeholders including </w:t>
      </w:r>
      <w:r w:rsidR="00384B04">
        <w:rPr>
          <w:rFonts w:eastAsiaTheme="minorEastAsia" w:cstheme="minorHAnsi"/>
          <w:szCs w:val="28"/>
        </w:rPr>
        <w:t>on c</w:t>
      </w:r>
      <w:r w:rsidR="00192438">
        <w:rPr>
          <w:rFonts w:eastAsiaTheme="minorEastAsia" w:cstheme="minorHAnsi"/>
          <w:szCs w:val="28"/>
        </w:rPr>
        <w:t>ross</w:t>
      </w:r>
      <w:r w:rsidR="005E7015">
        <w:rPr>
          <w:rFonts w:eastAsiaTheme="minorEastAsia" w:cstheme="minorHAnsi"/>
          <w:szCs w:val="28"/>
        </w:rPr>
        <w:t>-</w:t>
      </w:r>
      <w:r w:rsidR="00192438">
        <w:rPr>
          <w:rFonts w:eastAsiaTheme="minorEastAsia" w:cstheme="minorHAnsi"/>
          <w:szCs w:val="28"/>
        </w:rPr>
        <w:t>border issues</w:t>
      </w:r>
      <w:r w:rsidR="0018382A">
        <w:rPr>
          <w:rFonts w:eastAsiaTheme="minorEastAsia" w:cstheme="minorHAnsi"/>
          <w:szCs w:val="28"/>
        </w:rPr>
        <w:t>,</w:t>
      </w:r>
      <w:r w:rsidR="00384B04">
        <w:rPr>
          <w:rFonts w:eastAsiaTheme="minorEastAsia" w:cstheme="minorHAnsi"/>
          <w:szCs w:val="28"/>
        </w:rPr>
        <w:t xml:space="preserve"> as they take forward negotiations</w:t>
      </w:r>
      <w:r w:rsidR="00912B34">
        <w:rPr>
          <w:rFonts w:eastAsiaTheme="minorEastAsia" w:cstheme="minorHAnsi"/>
          <w:szCs w:val="28"/>
        </w:rPr>
        <w:t xml:space="preserve"> </w:t>
      </w:r>
    </w:p>
    <w:p w14:paraId="5385007F" w14:textId="0FE14273" w:rsidR="003A0580" w:rsidRPr="00F37824" w:rsidRDefault="00947521" w:rsidP="00FB58C6">
      <w:pPr>
        <w:pStyle w:val="ListParagraph"/>
        <w:numPr>
          <w:ilvl w:val="1"/>
          <w:numId w:val="8"/>
        </w:numPr>
        <w:spacing w:after="240"/>
        <w:ind w:left="709" w:hanging="709"/>
        <w:contextualSpacing w:val="0"/>
      </w:pPr>
      <w:r w:rsidRPr="00260596">
        <w:rPr>
          <w:rFonts w:eastAsiaTheme="minorEastAsia" w:cstheme="minorHAnsi"/>
          <w:b/>
          <w:bCs/>
          <w:szCs w:val="28"/>
        </w:rPr>
        <w:t xml:space="preserve">The Commissions recommend </w:t>
      </w:r>
      <w:r w:rsidR="000501B1" w:rsidRPr="00260596">
        <w:rPr>
          <w:rFonts w:eastAsiaTheme="minorEastAsia" w:cstheme="minorHAnsi"/>
          <w:b/>
          <w:bCs/>
          <w:szCs w:val="28"/>
        </w:rPr>
        <w:t xml:space="preserve">that the UK Government and EU </w:t>
      </w:r>
      <w:r w:rsidR="00F479EF" w:rsidRPr="00260596">
        <w:rPr>
          <w:rFonts w:eastAsiaTheme="minorEastAsia" w:cstheme="minorHAnsi"/>
          <w:b/>
          <w:bCs/>
          <w:szCs w:val="28"/>
        </w:rPr>
        <w:t xml:space="preserve">continue to </w:t>
      </w:r>
      <w:r w:rsidR="000501B1" w:rsidRPr="00260596">
        <w:rPr>
          <w:rFonts w:eastAsiaTheme="minorEastAsia" w:cstheme="minorHAnsi"/>
          <w:b/>
          <w:bCs/>
          <w:szCs w:val="28"/>
        </w:rPr>
        <w:t xml:space="preserve">undertake engagement </w:t>
      </w:r>
      <w:r w:rsidR="00475C55" w:rsidRPr="00260596">
        <w:rPr>
          <w:rFonts w:eastAsiaTheme="minorEastAsia" w:cstheme="minorHAnsi"/>
          <w:b/>
          <w:bCs/>
          <w:szCs w:val="28"/>
        </w:rPr>
        <w:t xml:space="preserve">with </w:t>
      </w:r>
      <w:r w:rsidR="00A727F2" w:rsidRPr="00260596">
        <w:rPr>
          <w:rFonts w:eastAsiaTheme="minorEastAsia" w:cstheme="minorHAnsi"/>
          <w:b/>
          <w:bCs/>
          <w:szCs w:val="28"/>
        </w:rPr>
        <w:t xml:space="preserve">equality and human rights </w:t>
      </w:r>
      <w:r w:rsidR="00FE32BE" w:rsidRPr="00260596">
        <w:rPr>
          <w:rFonts w:eastAsiaTheme="minorEastAsia" w:cstheme="minorHAnsi"/>
          <w:b/>
          <w:bCs/>
          <w:szCs w:val="28"/>
        </w:rPr>
        <w:t>stakeholders</w:t>
      </w:r>
      <w:r w:rsidR="00A727F2" w:rsidRPr="00260596">
        <w:rPr>
          <w:rFonts w:eastAsiaTheme="minorEastAsia" w:cstheme="minorHAnsi"/>
          <w:b/>
          <w:bCs/>
          <w:szCs w:val="28"/>
        </w:rPr>
        <w:t xml:space="preserve"> in NI</w:t>
      </w:r>
      <w:r w:rsidR="00FE32BE" w:rsidRPr="00260596">
        <w:rPr>
          <w:rFonts w:eastAsiaTheme="minorEastAsia" w:cstheme="minorHAnsi"/>
          <w:b/>
          <w:bCs/>
          <w:szCs w:val="28"/>
        </w:rPr>
        <w:t>, including those working on cross</w:t>
      </w:r>
      <w:r w:rsidR="005E7015">
        <w:rPr>
          <w:rFonts w:eastAsiaTheme="minorEastAsia" w:cstheme="minorHAnsi"/>
          <w:b/>
          <w:bCs/>
          <w:szCs w:val="28"/>
        </w:rPr>
        <w:t>-</w:t>
      </w:r>
      <w:r w:rsidR="00FE32BE" w:rsidRPr="00260596">
        <w:rPr>
          <w:rFonts w:eastAsiaTheme="minorEastAsia" w:cstheme="minorHAnsi"/>
          <w:b/>
          <w:bCs/>
          <w:szCs w:val="28"/>
        </w:rPr>
        <w:t>border issues</w:t>
      </w:r>
      <w:r w:rsidR="00A727F2" w:rsidRPr="00260596">
        <w:rPr>
          <w:rFonts w:eastAsiaTheme="minorEastAsia" w:cstheme="minorHAnsi"/>
          <w:b/>
          <w:bCs/>
          <w:szCs w:val="28"/>
        </w:rPr>
        <w:t>.</w:t>
      </w:r>
    </w:p>
    <w:p w14:paraId="4FBEE6DB" w14:textId="71F7EF34" w:rsidR="00F37824" w:rsidRDefault="00F37824" w:rsidP="00F37824">
      <w:pPr>
        <w:spacing w:after="240"/>
      </w:pPr>
    </w:p>
    <w:p w14:paraId="4FA08F7B" w14:textId="5E1B5A7B" w:rsidR="00F37824" w:rsidRDefault="00F37824" w:rsidP="00F37824">
      <w:pPr>
        <w:spacing w:after="240"/>
      </w:pPr>
    </w:p>
    <w:p w14:paraId="5A6B13B2" w14:textId="7BF1595F" w:rsidR="00F37824" w:rsidRDefault="00F37824" w:rsidP="00F37824">
      <w:pPr>
        <w:spacing w:after="240"/>
      </w:pPr>
    </w:p>
    <w:p w14:paraId="74FE9250" w14:textId="1E9B8F33" w:rsidR="00F37824" w:rsidRDefault="00F37824" w:rsidP="00F37824">
      <w:pPr>
        <w:spacing w:after="240"/>
      </w:pPr>
    </w:p>
    <w:p w14:paraId="50D15B56" w14:textId="24CFABCE" w:rsidR="00F37824" w:rsidRDefault="00F37824" w:rsidP="00F37824">
      <w:pPr>
        <w:spacing w:after="240"/>
      </w:pPr>
    </w:p>
    <w:p w14:paraId="37DFBAD7" w14:textId="77777777" w:rsidR="00F37824" w:rsidRDefault="00F37824" w:rsidP="00F37824">
      <w:pPr>
        <w:pStyle w:val="BasicParagraph"/>
        <w:suppressAutoHyphens/>
        <w:jc w:val="center"/>
        <w:rPr>
          <w:rFonts w:asciiTheme="majorHAnsi" w:hAnsiTheme="majorHAnsi" w:cstheme="majorHAnsi"/>
          <w:b/>
          <w:bCs/>
          <w:color w:val="auto"/>
          <w:sz w:val="44"/>
          <w:szCs w:val="44"/>
        </w:rPr>
      </w:pPr>
    </w:p>
    <w:p w14:paraId="37C4A896" w14:textId="77777777" w:rsidR="003372BC" w:rsidRPr="006F6E42" w:rsidRDefault="003372BC" w:rsidP="003372BC">
      <w:pPr>
        <w:pStyle w:val="BasicParagraph"/>
        <w:suppressAutoHyphens/>
        <w:jc w:val="center"/>
        <w:rPr>
          <w:rFonts w:asciiTheme="minorHAnsi" w:hAnsiTheme="minorHAnsi" w:cs="Arial"/>
          <w:b/>
          <w:bCs/>
          <w:color w:val="auto"/>
          <w:sz w:val="36"/>
          <w:szCs w:val="36"/>
        </w:rPr>
      </w:pPr>
    </w:p>
    <w:p w14:paraId="0E844242" w14:textId="77777777" w:rsidR="003372BC" w:rsidRPr="006F6E42" w:rsidRDefault="003372BC" w:rsidP="003372BC">
      <w:pPr>
        <w:pStyle w:val="BasicParagraph"/>
        <w:suppressAutoHyphens/>
        <w:jc w:val="center"/>
        <w:rPr>
          <w:rFonts w:asciiTheme="minorHAnsi" w:hAnsiTheme="minorHAnsi" w:cs="Arial"/>
          <w:b/>
          <w:bCs/>
          <w:color w:val="auto"/>
          <w:sz w:val="36"/>
          <w:szCs w:val="36"/>
        </w:rPr>
      </w:pPr>
      <w:r w:rsidRPr="006F6E42">
        <w:rPr>
          <w:rFonts w:asciiTheme="minorHAnsi" w:hAnsiTheme="minorHAnsi" w:cs="Arial"/>
          <w:b/>
          <w:bCs/>
          <w:color w:val="auto"/>
          <w:sz w:val="36"/>
          <w:szCs w:val="36"/>
        </w:rPr>
        <w:t>Contact us</w:t>
      </w:r>
    </w:p>
    <w:p w14:paraId="02EEA78F" w14:textId="77777777" w:rsidR="003372BC" w:rsidRPr="006F6E42" w:rsidRDefault="003372BC" w:rsidP="003372BC">
      <w:pPr>
        <w:pStyle w:val="BasicParagraph"/>
        <w:suppressAutoHyphens/>
        <w:jc w:val="center"/>
        <w:rPr>
          <w:rFonts w:asciiTheme="minorHAnsi" w:hAnsiTheme="minorHAnsi" w:cs="Arial"/>
          <w:b/>
          <w:bCs/>
          <w:color w:val="77328A"/>
          <w:sz w:val="36"/>
          <w:szCs w:val="36"/>
        </w:rPr>
      </w:pPr>
    </w:p>
    <w:p w14:paraId="189EDAAA" w14:textId="77777777" w:rsidR="003372BC" w:rsidRPr="006F6E42" w:rsidRDefault="003372BC" w:rsidP="003372BC">
      <w:pPr>
        <w:pStyle w:val="BasicParagraph"/>
        <w:suppressAutoHyphens/>
        <w:jc w:val="center"/>
        <w:rPr>
          <w:rFonts w:asciiTheme="minorHAnsi" w:hAnsiTheme="minorHAnsi" w:cs="Arial"/>
          <w:bCs/>
          <w:color w:val="auto"/>
        </w:rPr>
      </w:pPr>
      <w:r w:rsidRPr="006F6E42">
        <w:rPr>
          <w:rFonts w:asciiTheme="minorHAnsi" w:hAnsiTheme="minorHAnsi" w:cs="Arial"/>
          <w:bCs/>
          <w:color w:val="auto"/>
        </w:rPr>
        <w:t xml:space="preserve">For queries, please contact: </w:t>
      </w:r>
    </w:p>
    <w:p w14:paraId="21376AB4" w14:textId="77777777" w:rsidR="003372BC" w:rsidRDefault="00D44D07" w:rsidP="003372BC">
      <w:pPr>
        <w:pStyle w:val="BasicParagraph"/>
        <w:suppressAutoHyphens/>
        <w:jc w:val="center"/>
        <w:rPr>
          <w:rFonts w:asciiTheme="minorHAnsi" w:hAnsiTheme="minorHAnsi" w:cs="Arial"/>
          <w:bCs/>
          <w:color w:val="auto"/>
        </w:rPr>
      </w:pPr>
      <w:hyperlink r:id="rId19" w:history="1">
        <w:r w:rsidR="003372BC" w:rsidRPr="00016869">
          <w:rPr>
            <w:rStyle w:val="Hyperlink"/>
            <w:rFonts w:asciiTheme="minorHAnsi" w:hAnsiTheme="minorHAnsi" w:cs="Arial"/>
            <w:bCs/>
          </w:rPr>
          <w:t>Eilis.Haughey@NIHRC.ORG</w:t>
        </w:r>
      </w:hyperlink>
      <w:r w:rsidR="003372BC">
        <w:rPr>
          <w:rFonts w:asciiTheme="minorHAnsi" w:hAnsiTheme="minorHAnsi" w:cs="Arial"/>
          <w:bCs/>
          <w:color w:val="auto"/>
        </w:rPr>
        <w:t xml:space="preserve"> </w:t>
      </w:r>
    </w:p>
    <w:p w14:paraId="660535AF" w14:textId="77777777" w:rsidR="003372BC" w:rsidRDefault="00D44D07" w:rsidP="003372BC">
      <w:pPr>
        <w:pStyle w:val="BasicParagraph"/>
        <w:suppressAutoHyphens/>
        <w:jc w:val="center"/>
        <w:rPr>
          <w:rFonts w:asciiTheme="minorHAnsi" w:hAnsiTheme="minorHAnsi" w:cs="Arial"/>
          <w:bCs/>
          <w:color w:val="auto"/>
        </w:rPr>
      </w:pPr>
      <w:hyperlink r:id="rId20" w:history="1">
        <w:r w:rsidR="003372BC" w:rsidRPr="00016869">
          <w:rPr>
            <w:rStyle w:val="Hyperlink"/>
            <w:rFonts w:asciiTheme="minorHAnsi" w:hAnsiTheme="minorHAnsi" w:cs="Arial"/>
            <w:bCs/>
          </w:rPr>
          <w:t>RMallon@equalityni.org</w:t>
        </w:r>
      </w:hyperlink>
      <w:r w:rsidR="003372BC">
        <w:rPr>
          <w:rFonts w:asciiTheme="minorHAnsi" w:hAnsiTheme="minorHAnsi" w:cs="Arial"/>
          <w:bCs/>
          <w:color w:val="auto"/>
        </w:rPr>
        <w:t xml:space="preserve"> </w:t>
      </w:r>
    </w:p>
    <w:p w14:paraId="70E9608D" w14:textId="77777777" w:rsidR="003372BC" w:rsidRPr="006F6E42" w:rsidRDefault="003372BC" w:rsidP="003372BC">
      <w:pPr>
        <w:pStyle w:val="BasicParagraph"/>
        <w:suppressAutoHyphens/>
        <w:jc w:val="center"/>
        <w:rPr>
          <w:rFonts w:asciiTheme="minorHAnsi" w:hAnsiTheme="minorHAnsi" w:cs="Arial"/>
          <w:bCs/>
          <w:color w:val="auto"/>
        </w:rPr>
      </w:pPr>
    </w:p>
    <w:tbl>
      <w:tblPr>
        <w:tblStyle w:val="TableGridLight"/>
        <w:tblW w:w="0" w:type="auto"/>
        <w:tblLook w:val="04A0" w:firstRow="1" w:lastRow="0" w:firstColumn="1" w:lastColumn="0" w:noHBand="0" w:noVBand="1"/>
      </w:tblPr>
      <w:tblGrid>
        <w:gridCol w:w="4508"/>
        <w:gridCol w:w="4508"/>
      </w:tblGrid>
      <w:tr w:rsidR="003372BC" w14:paraId="34F45067" w14:textId="77777777" w:rsidTr="000B5192">
        <w:tc>
          <w:tcPr>
            <w:tcW w:w="4508" w:type="dxa"/>
            <w:shd w:val="clear" w:color="auto" w:fill="auto"/>
          </w:tcPr>
          <w:p w14:paraId="4429E33B" w14:textId="77777777" w:rsidR="003372BC"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rPr>
              <w:t xml:space="preserve">Northern Ireland Human Rights Commission </w:t>
            </w:r>
          </w:p>
          <w:p w14:paraId="15FF1864" w14:textId="77777777" w:rsidR="003372BC"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rPr>
              <w:t>4th Floor, Alfred House</w:t>
            </w:r>
          </w:p>
          <w:p w14:paraId="76577284" w14:textId="77777777" w:rsidR="003372BC"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rPr>
              <w:t xml:space="preserve"> 19-21 Alfred Street</w:t>
            </w:r>
          </w:p>
          <w:p w14:paraId="13D12904" w14:textId="77777777" w:rsidR="003372BC" w:rsidRPr="00F26ADD"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rPr>
              <w:t>Belfast, BT2 8ED</w:t>
            </w:r>
          </w:p>
          <w:p w14:paraId="5A1F4A0E" w14:textId="77777777" w:rsidR="003372BC" w:rsidRPr="00F26ADD" w:rsidRDefault="003372BC" w:rsidP="000B5192">
            <w:pPr>
              <w:jc w:val="center"/>
              <w:rPr>
                <w:rFonts w:asciiTheme="minorHAnsi" w:hAnsiTheme="minorHAnsi"/>
                <w:b/>
                <w:color w:val="232120"/>
                <w:sz w:val="22"/>
                <w:szCs w:val="22"/>
              </w:rPr>
            </w:pPr>
          </w:p>
          <w:p w14:paraId="7D68DF7D" w14:textId="77777777" w:rsidR="003372BC" w:rsidRDefault="00D44D07" w:rsidP="000B5192">
            <w:pPr>
              <w:jc w:val="center"/>
              <w:rPr>
                <w:rFonts w:asciiTheme="minorHAnsi" w:hAnsiTheme="minorHAnsi"/>
                <w:color w:val="232120"/>
                <w:sz w:val="22"/>
                <w:szCs w:val="22"/>
                <w:lang w:val="en-US"/>
              </w:rPr>
            </w:pPr>
            <w:hyperlink r:id="rId21" w:history="1">
              <w:r w:rsidR="003372BC" w:rsidRPr="006469D2">
                <w:rPr>
                  <w:rStyle w:val="Hyperlink"/>
                  <w:rFonts w:asciiTheme="minorHAnsi" w:hAnsiTheme="minorHAnsi"/>
                  <w:sz w:val="22"/>
                  <w:szCs w:val="22"/>
                  <w:lang w:val="en-US"/>
                </w:rPr>
                <w:t>www.nihrc.org</w:t>
              </w:r>
              <w:r w:rsidR="003372BC" w:rsidRPr="00694AD1">
                <w:rPr>
                  <w:rStyle w:val="Hyperlink"/>
                  <w:rFonts w:asciiTheme="minorHAnsi" w:hAnsiTheme="minorHAnsi"/>
                  <w:sz w:val="22"/>
                  <w:szCs w:val="22"/>
                  <w:lang w:val="en-US"/>
                </w:rPr>
                <w:t>/brexit</w:t>
              </w:r>
            </w:hyperlink>
            <w:r w:rsidR="003372BC">
              <w:rPr>
                <w:rStyle w:val="Hyperlink"/>
                <w:rFonts w:asciiTheme="minorHAnsi" w:hAnsiTheme="minorHAnsi"/>
                <w:color w:val="232120"/>
                <w:sz w:val="22"/>
                <w:szCs w:val="22"/>
                <w:lang w:val="en-US"/>
              </w:rPr>
              <w:t xml:space="preserve"> </w:t>
            </w:r>
            <w:r w:rsidR="003372BC" w:rsidRPr="00F26ADD">
              <w:rPr>
                <w:rFonts w:asciiTheme="minorHAnsi" w:hAnsiTheme="minorHAnsi"/>
                <w:color w:val="232120"/>
                <w:sz w:val="22"/>
                <w:szCs w:val="22"/>
                <w:lang w:val="en-US"/>
              </w:rPr>
              <w:t xml:space="preserve">  </w:t>
            </w:r>
          </w:p>
          <w:p w14:paraId="3B52A789" w14:textId="77777777" w:rsidR="003372BC" w:rsidRDefault="00D44D07" w:rsidP="000B5192">
            <w:pPr>
              <w:jc w:val="center"/>
              <w:rPr>
                <w:rFonts w:asciiTheme="minorHAnsi" w:hAnsiTheme="minorHAnsi"/>
                <w:color w:val="232120"/>
                <w:sz w:val="22"/>
                <w:szCs w:val="22"/>
                <w:lang w:val="en-US"/>
              </w:rPr>
            </w:pPr>
            <w:hyperlink r:id="rId22" w:history="1">
              <w:r w:rsidR="003372BC" w:rsidRPr="00F26ADD">
                <w:rPr>
                  <w:rStyle w:val="Hyperlink"/>
                  <w:rFonts w:asciiTheme="minorHAnsi" w:hAnsiTheme="minorHAnsi"/>
                  <w:color w:val="232120"/>
                  <w:sz w:val="22"/>
                  <w:szCs w:val="22"/>
                  <w:lang w:val="en-US"/>
                </w:rPr>
                <w:t>info@nihrc.org</w:t>
              </w:r>
            </w:hyperlink>
            <w:r w:rsidR="003372BC" w:rsidRPr="00F26ADD">
              <w:rPr>
                <w:rFonts w:asciiTheme="minorHAnsi" w:hAnsiTheme="minorHAnsi"/>
                <w:color w:val="232120"/>
                <w:sz w:val="22"/>
                <w:szCs w:val="22"/>
                <w:lang w:val="en-US"/>
              </w:rPr>
              <w:t xml:space="preserve">  </w:t>
            </w:r>
          </w:p>
          <w:p w14:paraId="6CF2069D" w14:textId="77777777" w:rsidR="003372BC" w:rsidRPr="00F26ADD"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lang w:val="en-US"/>
              </w:rPr>
              <w:t>+44 (0)28 9024 3987</w:t>
            </w:r>
          </w:p>
          <w:p w14:paraId="1BF498B1" w14:textId="77777777" w:rsidR="003372BC" w:rsidRPr="00F26ADD" w:rsidRDefault="003372BC" w:rsidP="000B5192">
            <w:pPr>
              <w:pStyle w:val="BasicParagraph"/>
              <w:suppressAutoHyphens/>
              <w:jc w:val="center"/>
              <w:rPr>
                <w:rFonts w:asciiTheme="minorHAnsi" w:hAnsiTheme="minorHAnsi" w:cs="Arial"/>
                <w:bCs/>
                <w:color w:val="auto"/>
                <w:sz w:val="22"/>
                <w:szCs w:val="22"/>
              </w:rPr>
            </w:pPr>
          </w:p>
        </w:tc>
        <w:tc>
          <w:tcPr>
            <w:tcW w:w="4508" w:type="dxa"/>
            <w:shd w:val="clear" w:color="auto" w:fill="auto"/>
          </w:tcPr>
          <w:p w14:paraId="1DA974FA" w14:textId="77777777" w:rsidR="003372BC" w:rsidRDefault="003372BC" w:rsidP="000B5192">
            <w:pPr>
              <w:jc w:val="center"/>
              <w:rPr>
                <w:sz w:val="22"/>
                <w:szCs w:val="22"/>
              </w:rPr>
            </w:pPr>
            <w:r w:rsidRPr="00F26ADD">
              <w:rPr>
                <w:sz w:val="22"/>
                <w:szCs w:val="22"/>
              </w:rPr>
              <w:t>Equality Commission for Northern Ireland</w:t>
            </w:r>
          </w:p>
          <w:p w14:paraId="11928842" w14:textId="3533C215" w:rsidR="003372BC" w:rsidRDefault="003372BC" w:rsidP="000B5192">
            <w:pPr>
              <w:jc w:val="center"/>
              <w:rPr>
                <w:sz w:val="22"/>
                <w:szCs w:val="22"/>
              </w:rPr>
            </w:pPr>
            <w:r w:rsidRPr="00F26ADD">
              <w:rPr>
                <w:sz w:val="22"/>
                <w:szCs w:val="22"/>
              </w:rPr>
              <w:t>Equality House</w:t>
            </w:r>
          </w:p>
          <w:p w14:paraId="3D820A2B" w14:textId="77777777" w:rsidR="003372BC" w:rsidRDefault="003372BC" w:rsidP="000B5192">
            <w:pPr>
              <w:jc w:val="center"/>
              <w:rPr>
                <w:sz w:val="22"/>
                <w:szCs w:val="22"/>
              </w:rPr>
            </w:pPr>
            <w:r w:rsidRPr="00F26ADD">
              <w:rPr>
                <w:sz w:val="22"/>
                <w:szCs w:val="22"/>
              </w:rPr>
              <w:t>7-9 Shaftesbury Square</w:t>
            </w:r>
          </w:p>
          <w:p w14:paraId="40CCE452" w14:textId="77777777" w:rsidR="003372BC" w:rsidRPr="00F26ADD" w:rsidRDefault="003372BC" w:rsidP="000B5192">
            <w:pPr>
              <w:jc w:val="center"/>
              <w:rPr>
                <w:sz w:val="22"/>
                <w:szCs w:val="22"/>
              </w:rPr>
            </w:pPr>
            <w:r w:rsidRPr="00F26ADD">
              <w:rPr>
                <w:sz w:val="22"/>
                <w:szCs w:val="22"/>
              </w:rPr>
              <w:t xml:space="preserve"> Belfast, BT2 7DP</w:t>
            </w:r>
          </w:p>
          <w:p w14:paraId="0F5FE952" w14:textId="77777777" w:rsidR="003372BC" w:rsidRPr="00F26ADD" w:rsidRDefault="003372BC" w:rsidP="000B5192">
            <w:pPr>
              <w:jc w:val="center"/>
              <w:rPr>
                <w:sz w:val="22"/>
                <w:szCs w:val="22"/>
              </w:rPr>
            </w:pPr>
          </w:p>
          <w:p w14:paraId="41A387BA" w14:textId="17D4532C" w:rsidR="00B307AC" w:rsidRDefault="00D44D07" w:rsidP="000B5192">
            <w:pPr>
              <w:jc w:val="center"/>
              <w:rPr>
                <w:rStyle w:val="Hyperlink"/>
                <w:rFonts w:asciiTheme="minorHAnsi" w:hAnsiTheme="minorHAnsi"/>
                <w:sz w:val="22"/>
                <w:szCs w:val="22"/>
                <w:lang w:val="en-US"/>
              </w:rPr>
            </w:pPr>
            <w:hyperlink r:id="rId23" w:history="1">
              <w:r w:rsidR="00B307AC" w:rsidRPr="000C2710">
                <w:rPr>
                  <w:rStyle w:val="Hyperlink"/>
                  <w:sz w:val="22"/>
                  <w:szCs w:val="22"/>
                  <w:lang w:val="en-US"/>
                </w:rPr>
                <w:t>www.equalityni.org/Brexit</w:t>
              </w:r>
            </w:hyperlink>
            <w:r w:rsidR="003372BC">
              <w:rPr>
                <w:rStyle w:val="Hyperlink"/>
                <w:rFonts w:asciiTheme="minorHAnsi" w:hAnsiTheme="minorHAnsi"/>
                <w:sz w:val="22"/>
                <w:szCs w:val="22"/>
                <w:lang w:val="en-US"/>
              </w:rPr>
              <w:t xml:space="preserve"> </w:t>
            </w:r>
          </w:p>
          <w:p w14:paraId="6D86A5DC" w14:textId="2DC0344F" w:rsidR="003372BC" w:rsidRDefault="003372BC" w:rsidP="000B5192">
            <w:pPr>
              <w:jc w:val="center"/>
              <w:rPr>
                <w:rFonts w:asciiTheme="minorHAnsi" w:hAnsiTheme="minorHAnsi"/>
                <w:color w:val="232120"/>
                <w:sz w:val="22"/>
                <w:szCs w:val="22"/>
                <w:lang w:val="en-US"/>
              </w:rPr>
            </w:pPr>
            <w:r w:rsidRPr="00F26ADD">
              <w:rPr>
                <w:rFonts w:asciiTheme="minorHAnsi" w:hAnsiTheme="minorHAnsi"/>
                <w:color w:val="232120"/>
                <w:sz w:val="22"/>
                <w:szCs w:val="22"/>
                <w:lang w:val="en-US"/>
              </w:rPr>
              <w:t xml:space="preserve">  </w:t>
            </w:r>
            <w:hyperlink r:id="rId24" w:history="1">
              <w:r>
                <w:rPr>
                  <w:rStyle w:val="Hyperlink"/>
                  <w:rFonts w:asciiTheme="minorHAnsi" w:hAnsiTheme="minorHAnsi"/>
                  <w:sz w:val="22"/>
                  <w:szCs w:val="22"/>
                  <w:lang w:val="en-US"/>
                </w:rPr>
                <w:t>dmu</w:t>
              </w:r>
              <w:r w:rsidRPr="00F26ADD">
                <w:rPr>
                  <w:rStyle w:val="Hyperlink"/>
                  <w:rFonts w:asciiTheme="minorHAnsi" w:hAnsiTheme="minorHAnsi"/>
                  <w:sz w:val="22"/>
                  <w:szCs w:val="22"/>
                  <w:lang w:val="en-US"/>
                </w:rPr>
                <w:t>@equalityni.org</w:t>
              </w:r>
            </w:hyperlink>
            <w:r w:rsidRPr="00F26ADD">
              <w:rPr>
                <w:sz w:val="22"/>
                <w:szCs w:val="22"/>
              </w:rPr>
              <w:t xml:space="preserve"> </w:t>
            </w:r>
          </w:p>
          <w:p w14:paraId="6195D62A" w14:textId="77777777" w:rsidR="003372BC" w:rsidRPr="00F26ADD" w:rsidRDefault="003372BC" w:rsidP="000B5192">
            <w:pPr>
              <w:jc w:val="center"/>
              <w:rPr>
                <w:rFonts w:asciiTheme="minorHAnsi" w:hAnsiTheme="minorHAnsi"/>
                <w:color w:val="232120"/>
                <w:sz w:val="22"/>
                <w:szCs w:val="22"/>
              </w:rPr>
            </w:pPr>
            <w:r w:rsidRPr="00F26ADD">
              <w:rPr>
                <w:rFonts w:asciiTheme="minorHAnsi" w:hAnsiTheme="minorHAnsi"/>
                <w:color w:val="232120"/>
                <w:sz w:val="22"/>
                <w:szCs w:val="22"/>
                <w:lang w:val="en-US"/>
              </w:rPr>
              <w:t xml:space="preserve"> +44 (0)28 90 500 600</w:t>
            </w:r>
          </w:p>
          <w:p w14:paraId="4C46032A" w14:textId="77777777" w:rsidR="003372BC" w:rsidRPr="00F26ADD" w:rsidRDefault="003372BC" w:rsidP="000B5192">
            <w:pPr>
              <w:pStyle w:val="BasicParagraph"/>
              <w:suppressAutoHyphens/>
              <w:jc w:val="center"/>
              <w:rPr>
                <w:rFonts w:asciiTheme="minorHAnsi" w:hAnsiTheme="minorHAnsi" w:cs="Arial"/>
                <w:bCs/>
                <w:color w:val="auto"/>
                <w:sz w:val="22"/>
                <w:szCs w:val="22"/>
              </w:rPr>
            </w:pPr>
          </w:p>
        </w:tc>
      </w:tr>
    </w:tbl>
    <w:p w14:paraId="1BBD59B6" w14:textId="77777777" w:rsidR="003372BC" w:rsidRPr="006F6E42" w:rsidRDefault="003372BC" w:rsidP="003372BC">
      <w:pPr>
        <w:pStyle w:val="BasicParagraph"/>
        <w:suppressAutoHyphens/>
        <w:jc w:val="center"/>
        <w:rPr>
          <w:rFonts w:asciiTheme="minorHAnsi" w:hAnsiTheme="minorHAnsi" w:cs="Arial"/>
          <w:bCs/>
          <w:color w:val="auto"/>
        </w:rPr>
      </w:pPr>
    </w:p>
    <w:p w14:paraId="4A2749DF" w14:textId="77777777" w:rsidR="003372BC" w:rsidRPr="006F6E42" w:rsidRDefault="003372BC" w:rsidP="003372BC">
      <w:pPr>
        <w:jc w:val="center"/>
        <w:rPr>
          <w:b/>
          <w:color w:val="232120"/>
        </w:rPr>
      </w:pPr>
    </w:p>
    <w:p w14:paraId="6049D709" w14:textId="77777777" w:rsidR="003372BC" w:rsidRDefault="003372BC" w:rsidP="003372BC">
      <w:pPr>
        <w:jc w:val="center"/>
        <w:rPr>
          <w:color w:val="232120"/>
          <w:sz w:val="20"/>
          <w:szCs w:val="20"/>
        </w:rPr>
      </w:pPr>
      <w:r w:rsidRPr="006F6E42">
        <w:rPr>
          <w:noProof/>
          <w:color w:val="232120"/>
          <w:lang w:eastAsia="en-GB"/>
        </w:rPr>
        <w:drawing>
          <wp:inline distT="0" distB="0" distL="0" distR="0" wp14:anchorId="3875A08C" wp14:editId="139CE09F">
            <wp:extent cx="1516380" cy="2743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6380" cy="274320"/>
                    </a:xfrm>
                    <a:prstGeom prst="rect">
                      <a:avLst/>
                    </a:prstGeom>
                    <a:noFill/>
                    <a:ln>
                      <a:noFill/>
                    </a:ln>
                  </pic:spPr>
                </pic:pic>
              </a:graphicData>
            </a:graphic>
          </wp:inline>
        </w:drawing>
      </w:r>
    </w:p>
    <w:p w14:paraId="0BCB6B1C" w14:textId="77777777" w:rsidR="003372BC" w:rsidRDefault="003372BC" w:rsidP="003372BC">
      <w:pPr>
        <w:jc w:val="center"/>
        <w:rPr>
          <w:color w:val="232120"/>
          <w:sz w:val="20"/>
          <w:szCs w:val="20"/>
        </w:rPr>
      </w:pPr>
    </w:p>
    <w:p w14:paraId="15D8C7CC" w14:textId="77777777" w:rsidR="003372BC" w:rsidRPr="002118D1" w:rsidRDefault="003372BC" w:rsidP="003372BC">
      <w:pPr>
        <w:ind w:left="720" w:hanging="720"/>
        <w:jc w:val="center"/>
      </w:pPr>
    </w:p>
    <w:p w14:paraId="4DFECC96" w14:textId="77777777" w:rsidR="00F37824" w:rsidRPr="00260596" w:rsidRDefault="00F37824" w:rsidP="003372BC">
      <w:pPr>
        <w:pStyle w:val="BasicParagraph"/>
        <w:suppressAutoHyphens/>
        <w:jc w:val="center"/>
      </w:pPr>
    </w:p>
    <w:sectPr w:rsidR="00F37824" w:rsidRPr="00260596" w:rsidSect="00073A60">
      <w:footerReference w:type="default" r:id="rId26"/>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6A8B0" w14:textId="77777777" w:rsidR="00D44D07" w:rsidRDefault="00D44D07" w:rsidP="008569C5">
      <w:r>
        <w:separator/>
      </w:r>
    </w:p>
  </w:endnote>
  <w:endnote w:type="continuationSeparator" w:id="0">
    <w:p w14:paraId="3A46AAEE" w14:textId="77777777" w:rsidR="00D44D07" w:rsidRDefault="00D44D07" w:rsidP="008569C5">
      <w:r>
        <w:continuationSeparator/>
      </w:r>
    </w:p>
  </w:endnote>
  <w:endnote w:type="continuationNotice" w:id="1">
    <w:p w14:paraId="6E85153A" w14:textId="77777777" w:rsidR="00D44D07" w:rsidRDefault="00D44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7494" w14:textId="77777777" w:rsidR="00E06FA1" w:rsidRDefault="00E06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2D739" w14:textId="55DFDACB" w:rsidR="00BA78B6" w:rsidRDefault="00BA78B6">
    <w:pPr>
      <w:pStyle w:val="Footer"/>
      <w:jc w:val="right"/>
    </w:pPr>
  </w:p>
  <w:p w14:paraId="05564417" w14:textId="77777777" w:rsidR="00BA78B6" w:rsidRDefault="00BA7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4CDC" w14:textId="77777777" w:rsidR="00E06FA1" w:rsidRDefault="00E06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06669"/>
      <w:docPartObj>
        <w:docPartGallery w:val="Page Numbers (Bottom of Page)"/>
        <w:docPartUnique/>
      </w:docPartObj>
    </w:sdtPr>
    <w:sdtEndPr>
      <w:rPr>
        <w:noProof/>
      </w:rPr>
    </w:sdtEndPr>
    <w:sdtContent>
      <w:p w14:paraId="4E27D3B1" w14:textId="47F1C971" w:rsidR="00BA78B6" w:rsidRDefault="00BA78B6">
        <w:pPr>
          <w:pStyle w:val="Footer"/>
          <w:jc w:val="right"/>
        </w:pPr>
        <w:r>
          <w:fldChar w:fldCharType="begin"/>
        </w:r>
        <w:r>
          <w:instrText xml:space="preserve"> PAGE   \* MERGEFORMAT </w:instrText>
        </w:r>
        <w:r>
          <w:fldChar w:fldCharType="separate"/>
        </w:r>
        <w:r w:rsidR="00E06FA1">
          <w:rPr>
            <w:noProof/>
          </w:rPr>
          <w:t>20</w:t>
        </w:r>
        <w:r>
          <w:rPr>
            <w:noProof/>
          </w:rPr>
          <w:fldChar w:fldCharType="end"/>
        </w:r>
      </w:p>
    </w:sdtContent>
  </w:sdt>
  <w:p w14:paraId="68F10C75" w14:textId="77777777" w:rsidR="00BA78B6" w:rsidRDefault="00BA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78DBB" w14:textId="77777777" w:rsidR="00D44D07" w:rsidRDefault="00D44D07" w:rsidP="008569C5">
      <w:r>
        <w:separator/>
      </w:r>
    </w:p>
  </w:footnote>
  <w:footnote w:type="continuationSeparator" w:id="0">
    <w:p w14:paraId="38C70F52" w14:textId="77777777" w:rsidR="00D44D07" w:rsidRDefault="00D44D07" w:rsidP="008569C5">
      <w:r>
        <w:continuationSeparator/>
      </w:r>
    </w:p>
  </w:footnote>
  <w:footnote w:type="continuationNotice" w:id="1">
    <w:p w14:paraId="6AF0237C" w14:textId="77777777" w:rsidR="00D44D07" w:rsidRDefault="00D44D07"/>
  </w:footnote>
  <w:footnote w:id="2">
    <w:p w14:paraId="6C25B0B7" w14:textId="77777777" w:rsidR="002F23A4" w:rsidRPr="008569BB" w:rsidRDefault="002F23A4" w:rsidP="002F23A4">
      <w:pPr>
        <w:pStyle w:val="FootnoteText"/>
        <w:spacing w:after="0"/>
        <w:rPr>
          <w:rFonts w:cstheme="minorHAnsi"/>
        </w:rPr>
      </w:pPr>
      <w:r w:rsidRPr="008569BB">
        <w:rPr>
          <w:rStyle w:val="FootnoteReference"/>
          <w:rFonts w:cstheme="minorHAnsi"/>
        </w:rPr>
        <w:footnoteRef/>
      </w:r>
      <w:r w:rsidRPr="008569BB">
        <w:rPr>
          <w:rFonts w:cstheme="minorHAnsi"/>
        </w:rPr>
        <w:t xml:space="preserve"> See, for example, Clause 22 on the scope of delegated powers under the Bill.</w:t>
      </w:r>
    </w:p>
  </w:footnote>
  <w:footnote w:id="3">
    <w:p w14:paraId="23DA8FCB" w14:textId="138B7CDA" w:rsidR="00F94757" w:rsidRPr="008569BB" w:rsidRDefault="00F94757" w:rsidP="00DA748E">
      <w:pPr>
        <w:pStyle w:val="FootnoteText"/>
        <w:spacing w:after="0"/>
        <w:rPr>
          <w:rFonts w:cstheme="minorHAnsi"/>
        </w:rPr>
      </w:pPr>
      <w:r w:rsidRPr="008569BB">
        <w:rPr>
          <w:rStyle w:val="FootnoteReference"/>
          <w:rFonts w:cstheme="minorHAnsi"/>
        </w:rPr>
        <w:footnoteRef/>
      </w:r>
      <w:r w:rsidRPr="008569BB">
        <w:rPr>
          <w:rFonts w:cstheme="minorHAnsi"/>
        </w:rPr>
        <w:t xml:space="preserve"> Northern Ireland Human Rights Commission and Equality Commission for Northern Ireland, Joint written evidence to the House of Lords Sub-Committee on the Protocol on Ireland/Northern Ireland’s Introductory Inquiry into the operation of the Protocol on Ireland/Northern Ireland, </w:t>
      </w:r>
      <w:hyperlink r:id="rId1" w:history="1">
        <w:r w:rsidRPr="008569BB">
          <w:rPr>
            <w:rStyle w:val="Hyperlink"/>
            <w:rFonts w:cstheme="minorHAnsi"/>
          </w:rPr>
          <w:t>June 2021</w:t>
        </w:r>
      </w:hyperlink>
      <w:r w:rsidR="008569BB">
        <w:rPr>
          <w:rStyle w:val="Hyperlink"/>
          <w:rFonts w:cstheme="minorHAnsi"/>
        </w:rPr>
        <w:t>.</w:t>
      </w:r>
    </w:p>
  </w:footnote>
  <w:footnote w:id="4">
    <w:p w14:paraId="221E310F" w14:textId="3A7E8879" w:rsidR="00CB3CD1" w:rsidRPr="008569BB" w:rsidRDefault="00CB3CD1" w:rsidP="00DA748E">
      <w:pPr>
        <w:pStyle w:val="FootnoteText"/>
        <w:spacing w:after="0"/>
        <w:rPr>
          <w:rFonts w:cstheme="minorHAnsi"/>
        </w:rPr>
      </w:pPr>
      <w:r w:rsidRPr="008569BB">
        <w:rPr>
          <w:rStyle w:val="FootnoteReference"/>
          <w:rFonts w:cstheme="minorHAnsi"/>
        </w:rPr>
        <w:footnoteRef/>
      </w:r>
      <w:r w:rsidRPr="008569BB">
        <w:rPr>
          <w:rFonts w:cstheme="minorHAnsi"/>
        </w:rPr>
        <w:t xml:space="preserve"> </w:t>
      </w:r>
      <w:r w:rsidR="00104071" w:rsidRPr="008569BB">
        <w:rPr>
          <w:rFonts w:cstheme="minorHAnsi"/>
        </w:rPr>
        <w:t xml:space="preserve">Northern Ireland Human Rights Commission and the Equality Commission for Northern Ireland, Submission on the UK and EU proposals and the prospects for Agreement to the House of Lords Sub-Committee on the Protocol on Ireland/Northern Ireland, </w:t>
      </w:r>
      <w:hyperlink r:id="rId2" w:history="1">
        <w:r w:rsidR="00104071" w:rsidRPr="003D1B5A">
          <w:rPr>
            <w:rStyle w:val="Hyperlink"/>
            <w:rFonts w:cstheme="minorHAnsi"/>
          </w:rPr>
          <w:t>12 November 2021</w:t>
        </w:r>
      </w:hyperlink>
      <w:r w:rsidR="008569BB">
        <w:rPr>
          <w:rFonts w:cstheme="minorHAnsi"/>
        </w:rPr>
        <w:t>.</w:t>
      </w:r>
    </w:p>
  </w:footnote>
  <w:footnote w:id="5">
    <w:p w14:paraId="438CC4BF" w14:textId="64CAF9CC" w:rsidR="00F94757" w:rsidRPr="008569BB" w:rsidRDefault="00F94757" w:rsidP="00DA748E">
      <w:pPr>
        <w:pStyle w:val="FootnoteText"/>
        <w:spacing w:after="0"/>
        <w:rPr>
          <w:rFonts w:cstheme="minorHAnsi"/>
        </w:rPr>
      </w:pPr>
      <w:r w:rsidRPr="008569BB">
        <w:rPr>
          <w:rStyle w:val="FootnoteReference"/>
          <w:rFonts w:cstheme="minorHAnsi"/>
        </w:rPr>
        <w:footnoteRef/>
      </w:r>
      <w:r w:rsidRPr="008569BB">
        <w:rPr>
          <w:rFonts w:cstheme="minorHAnsi"/>
        </w:rPr>
        <w:t xml:space="preserve"> Northern Ireland Human Rights Commission and Equality Commission for Northern Ireland, Joint written evidence to the House of Lords Sub-Committee on the Protocol on Ireland/Northern Ireland’s Introductory Inquiry into the operation of the Protocol on Ireland/Northern Ireland, </w:t>
      </w:r>
      <w:hyperlink r:id="rId3" w:history="1">
        <w:r w:rsidRPr="008569BB">
          <w:rPr>
            <w:rStyle w:val="Hyperlink"/>
            <w:rFonts w:cstheme="minorHAnsi"/>
          </w:rPr>
          <w:t>June 2022</w:t>
        </w:r>
      </w:hyperlink>
      <w:r w:rsidR="008569BB">
        <w:rPr>
          <w:rStyle w:val="Hyperlink"/>
          <w:rFonts w:cstheme="minorHAnsi"/>
        </w:rPr>
        <w:t>.</w:t>
      </w:r>
    </w:p>
  </w:footnote>
  <w:footnote w:id="6">
    <w:p w14:paraId="0DE9DBD2" w14:textId="77777777" w:rsidR="00E71685" w:rsidRPr="008569BB" w:rsidRDefault="00E71685" w:rsidP="00DA748E">
      <w:pPr>
        <w:pStyle w:val="FootnoteText"/>
        <w:spacing w:after="0"/>
        <w:rPr>
          <w:rFonts w:cstheme="minorHAnsi"/>
        </w:rPr>
      </w:pPr>
      <w:r w:rsidRPr="008569BB">
        <w:rPr>
          <w:rStyle w:val="FootnoteReference"/>
          <w:rFonts w:cstheme="minorHAnsi"/>
        </w:rPr>
        <w:footnoteRef/>
      </w:r>
      <w:r w:rsidRPr="008569BB">
        <w:rPr>
          <w:rFonts w:cstheme="minorHAnsi"/>
        </w:rPr>
        <w:t xml:space="preserve"> Joint report from the Negotiators of the EU and UK Government progress during Phase 1 of Negotiations under Article 50 TEU on the UK’s Orderly Withdrawal from the EU, 8 December 2017, para 42 and 53.</w:t>
      </w:r>
    </w:p>
  </w:footnote>
  <w:footnote w:id="7">
    <w:p w14:paraId="5FA2C301" w14:textId="77777777" w:rsidR="00E71685" w:rsidRPr="008569BB" w:rsidRDefault="00E71685" w:rsidP="00E71685">
      <w:pPr>
        <w:pStyle w:val="FootnoteText"/>
        <w:rPr>
          <w:rFonts w:cstheme="minorHAnsi"/>
        </w:rPr>
      </w:pPr>
      <w:r w:rsidRPr="008569BB">
        <w:rPr>
          <w:rStyle w:val="FootnoteReference"/>
          <w:rFonts w:cstheme="minorHAnsi"/>
        </w:rPr>
        <w:footnoteRef/>
      </w:r>
      <w:r w:rsidRPr="008569BB">
        <w:rPr>
          <w:rFonts w:cstheme="minorHAnsi"/>
        </w:rPr>
        <w:t xml:space="preserve"> Preamble to the Protocol on Ireland/Northern Ireland to the UK-EU Withdrawal Agreement 2020.</w:t>
      </w:r>
    </w:p>
  </w:footnote>
  <w:footnote w:id="8">
    <w:p w14:paraId="021FF4A7" w14:textId="70905481" w:rsidR="00E71685" w:rsidRPr="008569BB" w:rsidRDefault="00E71685"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Northern Ireland Human Rights Commission and the Equality Commission for Northern Ireland, </w:t>
      </w:r>
      <w:hyperlink r:id="rId4" w:history="1">
        <w:r w:rsidRPr="008569BB">
          <w:rPr>
            <w:rStyle w:val="Hyperlink"/>
            <w:rFonts w:cstheme="minorHAnsi"/>
          </w:rPr>
          <w:t>Submission on the UK and EU proposals and the prospects for Agreement to the House of Lords Sub-Committee on the Protocol on Ireland/Northern Ireland</w:t>
        </w:r>
      </w:hyperlink>
      <w:r w:rsidRPr="008569BB">
        <w:rPr>
          <w:rFonts w:cstheme="minorHAnsi"/>
        </w:rPr>
        <w:t>, 12 November 2021</w:t>
      </w:r>
      <w:r w:rsidR="007E4656">
        <w:rPr>
          <w:rFonts w:cstheme="minorHAnsi"/>
        </w:rPr>
        <w:t>.</w:t>
      </w:r>
    </w:p>
  </w:footnote>
  <w:footnote w:id="9">
    <w:p w14:paraId="1EF964BD" w14:textId="77777777" w:rsidR="00E71685" w:rsidRPr="008569BB" w:rsidRDefault="00E71685" w:rsidP="007E4656">
      <w:pPr>
        <w:pStyle w:val="FootnoteText"/>
        <w:spacing w:after="0"/>
        <w:rPr>
          <w:rFonts w:cstheme="minorHAnsi"/>
        </w:rPr>
      </w:pPr>
      <w:r w:rsidRPr="008569BB">
        <w:rPr>
          <w:rStyle w:val="FootnoteReference"/>
          <w:rFonts w:cstheme="minorHAnsi"/>
        </w:rPr>
        <w:footnoteRef/>
      </w:r>
      <w:r w:rsidRPr="008569BB">
        <w:rPr>
          <w:rFonts w:cstheme="minorHAnsi"/>
        </w:rPr>
        <w:t xml:space="preserve"> Sections 78A-78E, Northern Ireland Act 1998.</w:t>
      </w:r>
    </w:p>
  </w:footnote>
  <w:footnote w:id="10">
    <w:p w14:paraId="586484D5" w14:textId="3907279E" w:rsidR="00492D9B" w:rsidRPr="00CF4E1A" w:rsidRDefault="00492D9B">
      <w:pPr>
        <w:pStyle w:val="FootnoteText"/>
        <w:rPr>
          <w:rFonts w:cstheme="minorHAnsi"/>
        </w:rPr>
      </w:pPr>
      <w:r>
        <w:rPr>
          <w:rStyle w:val="FootnoteReference"/>
        </w:rPr>
        <w:footnoteRef/>
      </w:r>
      <w:r>
        <w:t xml:space="preserve"> </w:t>
      </w:r>
      <w:r w:rsidR="00566F94" w:rsidRPr="008569BB">
        <w:rPr>
          <w:rFonts w:cstheme="minorHAnsi"/>
        </w:rPr>
        <w:t xml:space="preserve">Sections </w:t>
      </w:r>
      <w:proofErr w:type="gramStart"/>
      <w:r w:rsidR="00566F94" w:rsidRPr="008569BB">
        <w:rPr>
          <w:rFonts w:cstheme="minorHAnsi"/>
        </w:rPr>
        <w:t>78A</w:t>
      </w:r>
      <w:r w:rsidR="00566F94">
        <w:rPr>
          <w:rFonts w:cstheme="minorHAnsi"/>
        </w:rPr>
        <w:t>(</w:t>
      </w:r>
      <w:proofErr w:type="gramEnd"/>
      <w:r w:rsidR="00566F94">
        <w:rPr>
          <w:rFonts w:cstheme="minorHAnsi"/>
        </w:rPr>
        <w:t xml:space="preserve">9) and </w:t>
      </w:r>
      <w:r w:rsidR="00566F94" w:rsidRPr="008569BB">
        <w:rPr>
          <w:rFonts w:cstheme="minorHAnsi"/>
        </w:rPr>
        <w:t>78</w:t>
      </w:r>
      <w:r w:rsidR="00566F94">
        <w:rPr>
          <w:rFonts w:cstheme="minorHAnsi"/>
        </w:rPr>
        <w:t>B(9)</w:t>
      </w:r>
      <w:r w:rsidR="00663C48">
        <w:rPr>
          <w:rFonts w:cstheme="minorHAnsi"/>
        </w:rPr>
        <w:t xml:space="preserve">, </w:t>
      </w:r>
      <w:r w:rsidR="00566F94" w:rsidRPr="008569BB">
        <w:rPr>
          <w:rFonts w:cstheme="minorHAnsi"/>
        </w:rPr>
        <w:t>Northern Ireland Act 1998</w:t>
      </w:r>
      <w:r w:rsidR="00566F94">
        <w:rPr>
          <w:rFonts w:cstheme="minorHAnsi"/>
        </w:rPr>
        <w:t>.</w:t>
      </w:r>
    </w:p>
  </w:footnote>
  <w:footnote w:id="11">
    <w:p w14:paraId="41D336E7" w14:textId="0F7F9E41" w:rsidR="00E514AA" w:rsidRPr="008569BB" w:rsidRDefault="00E514AA"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w:t>
      </w:r>
      <w:r w:rsidRPr="008569BB">
        <w:rPr>
          <w:rFonts w:eastAsiaTheme="minorEastAsia" w:cstheme="minorHAnsi"/>
        </w:rPr>
        <w:t>We note the UK Government’s unilateral decision to indefinitely extend the grace period; including on the import of chilled meats from Great Britain</w:t>
      </w:r>
      <w:r w:rsidR="007E4656">
        <w:rPr>
          <w:rFonts w:eastAsiaTheme="minorEastAsia" w:cstheme="minorHAnsi"/>
        </w:rPr>
        <w:t>.</w:t>
      </w:r>
    </w:p>
  </w:footnote>
  <w:footnote w:id="12">
    <w:p w14:paraId="68571A5A" w14:textId="2098F205" w:rsidR="00FC33C8" w:rsidRPr="008569BB" w:rsidRDefault="00FC33C8">
      <w:pPr>
        <w:pStyle w:val="FootnoteText"/>
        <w:rPr>
          <w:rFonts w:cstheme="minorHAnsi"/>
        </w:rPr>
      </w:pPr>
      <w:r w:rsidRPr="008569BB">
        <w:rPr>
          <w:rStyle w:val="FootnoteReference"/>
          <w:rFonts w:cstheme="minorHAnsi"/>
        </w:rPr>
        <w:footnoteRef/>
      </w:r>
      <w:r w:rsidRPr="008569BB">
        <w:rPr>
          <w:rFonts w:cstheme="minorHAnsi"/>
        </w:rPr>
        <w:t xml:space="preserve"> </w:t>
      </w:r>
      <w:r w:rsidR="009717B4" w:rsidRPr="008569BB">
        <w:rPr>
          <w:rFonts w:cstheme="minorHAnsi"/>
        </w:rPr>
        <w:t xml:space="preserve">Northern Ireland Human Rights Commission and the Equality Commission for Northern Ireland, </w:t>
      </w:r>
      <w:hyperlink r:id="rId5" w:history="1">
        <w:r w:rsidR="009717B4" w:rsidRPr="008569BB">
          <w:rPr>
            <w:rStyle w:val="Hyperlink"/>
            <w:rFonts w:cstheme="minorHAnsi"/>
          </w:rPr>
          <w:t>Submission on the UK and EU proposals and the prospects for Agreement to the House of Lords Sub-Committee on the Protocol on Ireland/Northern Ireland</w:t>
        </w:r>
      </w:hyperlink>
      <w:r w:rsidR="009717B4" w:rsidRPr="008569BB">
        <w:rPr>
          <w:rFonts w:cstheme="minorHAnsi"/>
        </w:rPr>
        <w:t>, 12 November 202</w:t>
      </w:r>
      <w:r w:rsidR="00627A15" w:rsidRPr="008569BB">
        <w:rPr>
          <w:rFonts w:cstheme="minorHAnsi"/>
        </w:rPr>
        <w:t>1</w:t>
      </w:r>
      <w:r w:rsidR="00E22277" w:rsidRPr="008569BB">
        <w:rPr>
          <w:rFonts w:cstheme="minorHAnsi"/>
        </w:rPr>
        <w:t xml:space="preserve">, and Northern Ireland Human Rights Commission and Equality Commission for Northern Ireland, Joint written evidence to the House of Lords Sub-Committee on the Protocol on Ireland/Northern Ireland’s Introductory Inquiry into the operation of the Protocol on Ireland/Northern Ireland, </w:t>
      </w:r>
      <w:hyperlink r:id="rId6" w:history="1">
        <w:r w:rsidR="00E22277" w:rsidRPr="008569BB">
          <w:rPr>
            <w:rStyle w:val="Hyperlink"/>
            <w:rFonts w:cstheme="minorHAnsi"/>
          </w:rPr>
          <w:t>June 2022</w:t>
        </w:r>
      </w:hyperlink>
      <w:r w:rsidR="007E4656">
        <w:rPr>
          <w:rStyle w:val="Hyperlink"/>
          <w:rFonts w:cstheme="minorHAnsi"/>
        </w:rPr>
        <w:t>.</w:t>
      </w:r>
    </w:p>
  </w:footnote>
  <w:footnote w:id="13">
    <w:p w14:paraId="66621539" w14:textId="4F895A4E" w:rsidR="00C915FE" w:rsidRPr="008569BB" w:rsidRDefault="00C915FE"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w:t>
      </w:r>
      <w:r w:rsidR="00AF561B" w:rsidRPr="008569BB">
        <w:rPr>
          <w:rFonts w:cstheme="minorHAnsi"/>
        </w:rPr>
        <w:t xml:space="preserve">Northern Ireland Human Rights Commission and Equality Commission for Northern Ireland, Joint written evidence to the House of Lords Sub-Committee on the Protocol on Ireland/Northern Ireland’s Introductory Inquiry into the operation of the Protocol on Ireland/Northern Ireland, </w:t>
      </w:r>
      <w:hyperlink r:id="rId7" w:history="1">
        <w:r w:rsidR="00AF561B" w:rsidRPr="008569BB">
          <w:rPr>
            <w:rStyle w:val="Hyperlink"/>
            <w:rFonts w:cstheme="minorHAnsi"/>
          </w:rPr>
          <w:t>June 2022</w:t>
        </w:r>
      </w:hyperlink>
      <w:r w:rsidR="008569BB">
        <w:rPr>
          <w:rStyle w:val="Hyperlink"/>
          <w:rFonts w:cstheme="minorHAnsi"/>
        </w:rPr>
        <w:t>.</w:t>
      </w:r>
    </w:p>
  </w:footnote>
  <w:footnote w:id="14">
    <w:p w14:paraId="6155EDA1" w14:textId="77777777" w:rsidR="000274A8" w:rsidRPr="008569BB" w:rsidRDefault="000274A8"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NI Human Rights Commission and Equality Commission for NI, ‘</w:t>
      </w:r>
      <w:hyperlink r:id="rId8" w:history="1">
        <w:r w:rsidRPr="008569BB">
          <w:rPr>
            <w:rStyle w:val="Hyperlink"/>
            <w:rFonts w:cstheme="minorHAnsi"/>
          </w:rPr>
          <w:t>Submission of the NIHRC and ECNI on the UK and EU proposals and the prospects for Agreement to the House of Lords Sub-Committee on the Protocol on Ireland/Northern Ireland</w:t>
        </w:r>
      </w:hyperlink>
      <w:r w:rsidRPr="008569BB">
        <w:rPr>
          <w:rFonts w:cstheme="minorHAnsi"/>
        </w:rPr>
        <w:t>’ (NIHRC and ECNI, 2021), at paras 3.1 – 3.8</w:t>
      </w:r>
    </w:p>
  </w:footnote>
  <w:footnote w:id="15">
    <w:p w14:paraId="2C4FBDCD" w14:textId="582957D7" w:rsidR="00AD3765" w:rsidRPr="008569BB" w:rsidRDefault="00AD3765"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The Commissions note that in December 2021, the EU announced that it would act unilaterally to ensure the continued long-term supply of medicines from GB into NI with the grace period extended until the end of 2022 or the finalisation of the legislative procedure. While the UK Government states EU legislation does address some immediate and urgent supply issues it has described the EU’s package as “not comprehensive”</w:t>
      </w:r>
      <w:r w:rsidRPr="008569BB">
        <w:rPr>
          <w:rFonts w:cstheme="minorHAnsi"/>
          <w:vertAlign w:val="superscript"/>
        </w:rPr>
        <w:t xml:space="preserve"> </w:t>
      </w:r>
      <w:r w:rsidRPr="008569BB">
        <w:rPr>
          <w:rFonts w:cstheme="minorHAnsi"/>
        </w:rPr>
        <w:t>with some issues still to be addressed.</w:t>
      </w:r>
    </w:p>
  </w:footnote>
  <w:footnote w:id="16">
    <w:p w14:paraId="2741EDC8" w14:textId="56F3DB93" w:rsidR="002479B4" w:rsidRPr="008569BB" w:rsidRDefault="002479B4">
      <w:pPr>
        <w:pStyle w:val="FootnoteText"/>
        <w:rPr>
          <w:rFonts w:cstheme="minorHAnsi"/>
        </w:rPr>
      </w:pPr>
      <w:r w:rsidRPr="008569BB">
        <w:rPr>
          <w:rStyle w:val="FootnoteReference"/>
          <w:rFonts w:cstheme="minorHAnsi"/>
        </w:rPr>
        <w:footnoteRef/>
      </w:r>
      <w:r w:rsidRPr="008569BB">
        <w:rPr>
          <w:rFonts w:cstheme="minorHAnsi"/>
        </w:rPr>
        <w:t xml:space="preserve"> </w:t>
      </w:r>
      <w:r w:rsidR="00AF561B" w:rsidRPr="008569BB">
        <w:rPr>
          <w:rFonts w:cstheme="minorHAnsi"/>
        </w:rPr>
        <w:t xml:space="preserve">Northern Ireland Human Rights Commission and Equality Commission for Northern Ireland, Joint written evidence to the House of Lords Sub-Committee on the Protocol on Ireland/Northern Ireland’s Introductory Inquiry into the operation of the Protocol on Ireland/Northern Ireland, </w:t>
      </w:r>
      <w:hyperlink r:id="rId9" w:history="1">
        <w:r w:rsidR="00AF561B" w:rsidRPr="008569BB">
          <w:rPr>
            <w:rStyle w:val="Hyperlink"/>
            <w:rFonts w:cstheme="minorHAnsi"/>
          </w:rPr>
          <w:t>June 2022</w:t>
        </w:r>
      </w:hyperlink>
      <w:r w:rsidR="008569BB">
        <w:rPr>
          <w:rStyle w:val="Hyperlink"/>
          <w:rFonts w:cstheme="minorHAnsi"/>
        </w:rPr>
        <w:t>.</w:t>
      </w:r>
    </w:p>
  </w:footnote>
  <w:footnote w:id="17">
    <w:p w14:paraId="56A5D069" w14:textId="77777777" w:rsidR="009E1CCB" w:rsidRPr="008569BB" w:rsidRDefault="009E1CCB" w:rsidP="009E1CCB">
      <w:pPr>
        <w:pStyle w:val="FootnoteText"/>
        <w:spacing w:after="0"/>
        <w:rPr>
          <w:rFonts w:cstheme="minorHAnsi"/>
        </w:rPr>
      </w:pPr>
      <w:r w:rsidRPr="008569BB">
        <w:rPr>
          <w:rStyle w:val="FootnoteReference"/>
          <w:rFonts w:cstheme="minorHAnsi"/>
        </w:rPr>
        <w:footnoteRef/>
      </w:r>
      <w:r w:rsidRPr="008569BB">
        <w:rPr>
          <w:rFonts w:cstheme="minorHAnsi"/>
        </w:rPr>
        <w:t xml:space="preserve"> UK Government, ‘NI Protocol: the way forward’, (UK Gov, 2021), at para 37. See also Letter from Conor Burns MP, Minister of State in the NI Office to Lord Jay of Ewelme, Chair of the House of Lords EU Affairs Committee Sub Committee on the Ireland/ Northern Ireland Protocol, 24 November 2021.</w:t>
      </w:r>
    </w:p>
  </w:footnote>
  <w:footnote w:id="18">
    <w:p w14:paraId="32392B14" w14:textId="77777777" w:rsidR="009E1CCB" w:rsidRPr="008569BB" w:rsidRDefault="009E1CCB" w:rsidP="009E1CCB">
      <w:pPr>
        <w:pStyle w:val="FootnoteText"/>
        <w:spacing w:after="0"/>
        <w:rPr>
          <w:rFonts w:cstheme="minorHAnsi"/>
        </w:rPr>
      </w:pPr>
      <w:r w:rsidRPr="008569BB">
        <w:rPr>
          <w:rStyle w:val="FootnoteReference"/>
          <w:rFonts w:cstheme="minorHAnsi"/>
        </w:rPr>
        <w:footnoteRef/>
      </w:r>
      <w:r w:rsidRPr="008569BB">
        <w:rPr>
          <w:rFonts w:cstheme="minorHAnsi"/>
        </w:rPr>
        <w:t xml:space="preserve"> See also ‘</w:t>
      </w:r>
      <w:hyperlink r:id="rId10" w:history="1">
        <w:r w:rsidRPr="008569BB">
          <w:rPr>
            <w:rStyle w:val="Hyperlink"/>
            <w:rFonts w:cstheme="minorHAnsi"/>
          </w:rPr>
          <w:t>NIHRC/ECNI Briefing on the Northern Ireland Protocol Bill</w:t>
        </w:r>
      </w:hyperlink>
      <w:r w:rsidRPr="008569BB">
        <w:rPr>
          <w:rFonts w:cstheme="minorHAnsi"/>
        </w:rPr>
        <w:t>’, (NIHRC/ECNI, 2022).</w:t>
      </w:r>
    </w:p>
  </w:footnote>
  <w:footnote w:id="19">
    <w:p w14:paraId="56367D6C" w14:textId="77777777" w:rsidR="009E1CCB" w:rsidRPr="008569BB" w:rsidRDefault="009E1CCB" w:rsidP="009E1CCB">
      <w:pPr>
        <w:pStyle w:val="FootnoteText"/>
        <w:spacing w:after="0"/>
        <w:rPr>
          <w:rFonts w:cstheme="minorHAnsi"/>
        </w:rPr>
      </w:pPr>
      <w:r w:rsidRPr="008569BB">
        <w:rPr>
          <w:rStyle w:val="FootnoteReference"/>
          <w:rFonts w:cstheme="minorHAnsi"/>
        </w:rPr>
        <w:footnoteRef/>
      </w:r>
      <w:r w:rsidRPr="008569BB">
        <w:rPr>
          <w:rFonts w:cstheme="minorHAnsi"/>
        </w:rPr>
        <w:t xml:space="preserve"> </w:t>
      </w:r>
      <w:hyperlink r:id="rId11" w:history="1">
        <w:r w:rsidRPr="008569BB">
          <w:rPr>
            <w:rStyle w:val="Hyperlink"/>
            <w:rFonts w:cstheme="minorHAnsi"/>
          </w:rPr>
          <w:t>Letter from Rt Hon Elizabeth Truss MP, Secretary of State for Foreign, Commonwealth and Development Affairs to Rt Hon Harriet Harman MP, Chair of the Joint Committee on Human Rights, 15 June 2022</w:t>
        </w:r>
      </w:hyperlink>
      <w:r w:rsidRPr="008569BB">
        <w:rPr>
          <w:rFonts w:cstheme="minorHAnsi"/>
        </w:rPr>
        <w:t>.</w:t>
      </w:r>
    </w:p>
  </w:footnote>
  <w:footnote w:id="20">
    <w:p w14:paraId="03768C4D" w14:textId="77777777" w:rsidR="009E1CCB" w:rsidRPr="008569BB" w:rsidRDefault="009E1CCB" w:rsidP="009E1CCB">
      <w:pPr>
        <w:pStyle w:val="FootnoteText"/>
        <w:rPr>
          <w:rFonts w:cstheme="minorHAnsi"/>
        </w:rPr>
      </w:pPr>
      <w:r w:rsidRPr="008569BB">
        <w:rPr>
          <w:rStyle w:val="FootnoteReference"/>
          <w:rFonts w:cstheme="minorHAnsi"/>
        </w:rPr>
        <w:footnoteRef/>
      </w:r>
      <w:r w:rsidRPr="008569BB">
        <w:rPr>
          <w:rFonts w:cstheme="minorHAnsi"/>
        </w:rPr>
        <w:t xml:space="preserve"> See also recommendations in ‘Legislative Scrutiny and the Dedicated Mechanism for Monitoring Article 2 of the Ireland/Northern Ireland Protocol’, Paul Evans, Alexander Horne and Tasneem Ghazi (ECNI, 2021).</w:t>
      </w:r>
    </w:p>
  </w:footnote>
  <w:footnote w:id="21">
    <w:p w14:paraId="0AD6DE1C" w14:textId="77777777" w:rsidR="00DA748E" w:rsidRPr="008569BB" w:rsidRDefault="00DA748E" w:rsidP="00FC0EB5">
      <w:pPr>
        <w:pStyle w:val="FootnoteText"/>
        <w:spacing w:after="0"/>
        <w:rPr>
          <w:rFonts w:cstheme="minorHAnsi"/>
        </w:rPr>
      </w:pPr>
      <w:r w:rsidRPr="008569BB">
        <w:rPr>
          <w:rStyle w:val="FootnoteReference"/>
          <w:rFonts w:cstheme="minorHAnsi"/>
        </w:rPr>
        <w:footnoteRef/>
      </w:r>
      <w:r w:rsidRPr="008569BB">
        <w:rPr>
          <w:rFonts w:cstheme="minorHAnsi"/>
        </w:rPr>
        <w:t xml:space="preserve"> Belfast (Good Friday) Agreement 1998, at 19.</w:t>
      </w:r>
    </w:p>
  </w:footnote>
  <w:footnote w:id="22">
    <w:p w14:paraId="70137D1C" w14:textId="77777777" w:rsidR="00DA748E" w:rsidRPr="008569BB" w:rsidRDefault="00DA748E"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NI Office, ‘UK Government Commitment to “No Diminution of Rights, Safeguards and Equality of Opportunity” in Northern Ireland: What does it Mean and How will it be Implemented?’ (NIO, 2020), at para 9.</w:t>
      </w:r>
    </w:p>
  </w:footnote>
  <w:footnote w:id="23">
    <w:p w14:paraId="36B39591" w14:textId="3CB2845F" w:rsidR="00DA748E" w:rsidRPr="008569BB" w:rsidRDefault="00DA748E" w:rsidP="00FC0EB5">
      <w:pPr>
        <w:pStyle w:val="FootnoteText"/>
        <w:spacing w:after="0"/>
        <w:rPr>
          <w:rFonts w:cstheme="minorHAnsi"/>
        </w:rPr>
      </w:pPr>
      <w:r w:rsidRPr="008569BB">
        <w:rPr>
          <w:rStyle w:val="FootnoteReference"/>
          <w:rFonts w:cstheme="minorHAnsi"/>
        </w:rPr>
        <w:footnoteRef/>
      </w:r>
      <w:r w:rsidRPr="008569BB">
        <w:rPr>
          <w:rFonts w:cstheme="minorHAnsi"/>
        </w:rPr>
        <w:t xml:space="preserve"> </w:t>
      </w:r>
      <w:r w:rsidRPr="008569BB">
        <w:rPr>
          <w:rFonts w:cstheme="minorHAnsi"/>
          <w:color w:val="000000" w:themeColor="text1"/>
        </w:rPr>
        <w:t xml:space="preserve">Ibid, </w:t>
      </w:r>
      <w:r w:rsidRPr="008569BB">
        <w:rPr>
          <w:rFonts w:cstheme="minorHAnsi"/>
        </w:rPr>
        <w:t>at para 7</w:t>
      </w:r>
      <w:r w:rsidR="00FC0EB5">
        <w:rPr>
          <w:rFonts w:cstheme="minorHAnsi"/>
        </w:rPr>
        <w:t>.</w:t>
      </w:r>
    </w:p>
  </w:footnote>
  <w:footnote w:id="24">
    <w:p w14:paraId="0077BE51" w14:textId="4A8B6FEA" w:rsidR="00451CBF" w:rsidRPr="00F37824" w:rsidRDefault="00451CBF" w:rsidP="00FC0EB5">
      <w:pPr>
        <w:pStyle w:val="FootnoteText"/>
        <w:spacing w:after="0"/>
        <w:rPr>
          <w:rFonts w:cstheme="minorHAnsi"/>
        </w:rPr>
      </w:pPr>
      <w:r>
        <w:rPr>
          <w:rStyle w:val="FootnoteReference"/>
        </w:rPr>
        <w:footnoteRef/>
      </w:r>
      <w:r>
        <w:t xml:space="preserve"> Protocol Article 2, read in conjunction with Protocol Article 13, includes a commitment to ‘keep pace’ with EU law developments falling within the six EU Equality Directives listed in Annex 1 to the Protocol. That means that if the minimum standards in the Annex 1</w:t>
      </w:r>
      <w:r w:rsidRPr="00451CBF">
        <w:t xml:space="preserve"> </w:t>
      </w:r>
      <w:r>
        <w:t xml:space="preserve">Directives are updated or replaced, the UK Government must ensure that domestic legislation in Northern Ireland reflects any substantive enhancements in relevant </w:t>
      </w:r>
      <w:r w:rsidRPr="00F37824">
        <w:rPr>
          <w:rFonts w:cstheme="minorHAnsi"/>
        </w:rPr>
        <w:t>protections.</w:t>
      </w:r>
    </w:p>
  </w:footnote>
  <w:footnote w:id="25">
    <w:p w14:paraId="292C3FB5" w14:textId="6287B250" w:rsidR="006632BF" w:rsidRDefault="006632BF" w:rsidP="006632BF">
      <w:pPr>
        <w:pStyle w:val="FootnoteText"/>
      </w:pPr>
      <w:r w:rsidRPr="00F37824">
        <w:rPr>
          <w:rStyle w:val="FootnoteReference"/>
          <w:rFonts w:cstheme="minorHAnsi"/>
        </w:rPr>
        <w:footnoteRef/>
      </w:r>
      <w:r w:rsidRPr="00F37824">
        <w:rPr>
          <w:rFonts w:cstheme="minorHAnsi"/>
        </w:rPr>
        <w:t xml:space="preserve"> </w:t>
      </w:r>
      <w:r w:rsidRPr="00F37824">
        <w:rPr>
          <w:rFonts w:cstheme="minorHAnsi"/>
          <w:color w:val="242424"/>
          <w:shd w:val="clear" w:color="auto" w:fill="FFFFFF"/>
        </w:rPr>
        <w:t xml:space="preserve">Protocol Article 2(2) recognises the Belfast (Good Friday) Agreement commitment for a Joint Committee of representatives of the two human rights commissions on the island of Ireland as a forum for the consideration of human rights issues on the island of Ireland. The </w:t>
      </w:r>
      <w:r w:rsidR="00FF3857">
        <w:rPr>
          <w:rFonts w:cstheme="minorHAnsi"/>
          <w:color w:val="242424"/>
          <w:shd w:val="clear" w:color="auto" w:fill="FFFFFF"/>
        </w:rPr>
        <w:t xml:space="preserve">NIHRC, ECNI </w:t>
      </w:r>
      <w:r w:rsidRPr="00F37824">
        <w:rPr>
          <w:rFonts w:cstheme="minorHAnsi"/>
          <w:color w:val="242424"/>
          <w:shd w:val="clear" w:color="auto" w:fill="FFFFFF"/>
        </w:rPr>
        <w:t>and the Irish Human Rights and Equality Commission also work together to provide oversight of, and report on, issues which engage Protocol Article 2 that have an island of Ireland dimension.</w:t>
      </w:r>
    </w:p>
  </w:footnote>
  <w:footnote w:id="26">
    <w:p w14:paraId="1798B694" w14:textId="104D39CB" w:rsidR="00451CBF" w:rsidRDefault="00451CBF" w:rsidP="00F37824">
      <w:pPr>
        <w:pStyle w:val="FootnoteText"/>
        <w:spacing w:after="0"/>
      </w:pPr>
      <w:r>
        <w:rPr>
          <w:rStyle w:val="FootnoteReference"/>
        </w:rPr>
        <w:footnoteRef/>
      </w:r>
      <w:r>
        <w:t xml:space="preserve"> In terms of</w:t>
      </w:r>
      <w:r w:rsidR="003D1B5A">
        <w:t xml:space="preserve"> </w:t>
      </w:r>
      <w:r w:rsidR="003D1B5A" w:rsidRPr="00DA748E">
        <w:rPr>
          <w:rFonts w:cstheme="minorHAnsi"/>
          <w:szCs w:val="28"/>
        </w:rPr>
        <w:t>the</w:t>
      </w:r>
      <w:r w:rsidR="003D1B5A">
        <w:rPr>
          <w:rFonts w:cstheme="minorHAnsi"/>
          <w:szCs w:val="28"/>
        </w:rPr>
        <w:t xml:space="preserve"> implications of these</w:t>
      </w:r>
      <w:r w:rsidR="003D1B5A" w:rsidRPr="00DA748E">
        <w:rPr>
          <w:rFonts w:cstheme="minorHAnsi"/>
          <w:szCs w:val="28"/>
        </w:rPr>
        <w:t xml:space="preserve"> extensive regulation-making powers</w:t>
      </w:r>
      <w:r w:rsidR="003D1B5A">
        <w:rPr>
          <w:rFonts w:cstheme="minorHAnsi"/>
          <w:szCs w:val="28"/>
        </w:rPr>
        <w:t xml:space="preserve">, </w:t>
      </w:r>
      <w:r w:rsidR="003D1B5A">
        <w:t>t</w:t>
      </w:r>
      <w:r>
        <w:t>he Commissions</w:t>
      </w:r>
      <w:r w:rsidR="003D1B5A">
        <w:t>,</w:t>
      </w:r>
      <w:r>
        <w:t xml:space="preserve"> for example, note the strong concerns expressed by the House of Lords Delegated Powers and Regulatory Reform Committee which stated that the Bill “confers on Ministers a licence to legislate in the widest possible terms” and is “unprecedented in its cavalier treatment of Parliament, the EU and the Government’s international obligations”</w:t>
      </w:r>
      <w:r w:rsidR="003D1B5A">
        <w:t>. See, 7th Report of Session 2022-23, HL Paper 40.</w:t>
      </w:r>
    </w:p>
  </w:footnote>
  <w:footnote w:id="27">
    <w:p w14:paraId="227DBD9C" w14:textId="5D7F97C4" w:rsidR="00DA748E" w:rsidRPr="008569BB" w:rsidRDefault="00DA748E" w:rsidP="00DA748E">
      <w:pPr>
        <w:pStyle w:val="FootnoteText"/>
        <w:rPr>
          <w:rFonts w:cstheme="minorHAnsi"/>
        </w:rPr>
      </w:pPr>
      <w:r w:rsidRPr="008569BB">
        <w:rPr>
          <w:rStyle w:val="FootnoteReference"/>
          <w:rFonts w:cstheme="minorHAnsi"/>
        </w:rPr>
        <w:footnoteRef/>
      </w:r>
      <w:r w:rsidRPr="008569BB">
        <w:rPr>
          <w:rFonts w:cstheme="minorHAnsi"/>
        </w:rPr>
        <w:t xml:space="preserve"> 7th Report of Session 2022-23, HL Paper 40</w:t>
      </w:r>
      <w:r w:rsidR="00F37824">
        <w:rPr>
          <w:rFonts w:cstheme="minorHAnsi"/>
        </w:rPr>
        <w:t>.</w:t>
      </w:r>
    </w:p>
  </w:footnote>
  <w:footnote w:id="28">
    <w:p w14:paraId="4CDFCCA8" w14:textId="77777777" w:rsidR="00DA748E" w:rsidRPr="008569BB" w:rsidRDefault="00DA748E" w:rsidP="00DA748E">
      <w:pPr>
        <w:pStyle w:val="FootnoteText"/>
        <w:rPr>
          <w:rFonts w:cstheme="minorHAnsi"/>
        </w:rPr>
      </w:pPr>
      <w:r w:rsidRPr="008569BB">
        <w:rPr>
          <w:rStyle w:val="FootnoteReference"/>
          <w:rFonts w:cstheme="minorHAnsi"/>
        </w:rPr>
        <w:footnoteRef/>
      </w:r>
      <w:r w:rsidRPr="008569BB">
        <w:rPr>
          <w:rFonts w:cstheme="minorHAnsi"/>
        </w:rPr>
        <w:t xml:space="preserve"> For example, Directive (EU) 2016/797 of the European Parliament and of the Council of 11 May 2016 on the interoperability of the rail system within the European Union</w:t>
      </w:r>
    </w:p>
  </w:footnote>
  <w:footnote w:id="29">
    <w:p w14:paraId="40BB31B5" w14:textId="77777777" w:rsidR="00DA748E" w:rsidRPr="008569BB" w:rsidRDefault="00DA748E"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See, for example, Clause 22 on the scope of delegated powers under the Bill.</w:t>
      </w:r>
    </w:p>
  </w:footnote>
  <w:footnote w:id="30">
    <w:p w14:paraId="01F4D730" w14:textId="77777777" w:rsidR="008569BB" w:rsidRPr="008569BB" w:rsidRDefault="008569BB" w:rsidP="008569BB">
      <w:pPr>
        <w:rPr>
          <w:rFonts w:cstheme="minorHAnsi"/>
          <w:sz w:val="20"/>
          <w:szCs w:val="20"/>
        </w:rPr>
      </w:pPr>
      <w:r w:rsidRPr="008569BB">
        <w:rPr>
          <w:rStyle w:val="FootnoteReference"/>
          <w:rFonts w:cstheme="minorHAnsi"/>
          <w:sz w:val="20"/>
          <w:szCs w:val="20"/>
        </w:rPr>
        <w:footnoteRef/>
      </w:r>
      <w:r w:rsidRPr="008569BB">
        <w:rPr>
          <w:rFonts w:cstheme="minorHAnsi"/>
          <w:sz w:val="20"/>
          <w:szCs w:val="20"/>
        </w:rPr>
        <w:t xml:space="preserve"> Council Directive 2004/113/EC, ‘EU Council Directive implementing the principle of equal treatment between men and women in the access to and supply of goods and services’, 13 December 2004; Directive 2006/54/EC, ‘EU Directive on the implementation of the principle of equal opportunities and equal treatment of men and women in matters of employment and occupation’, 5 July 2006; Council Directive 2000/43/EC, ‘EU Council Directive implementing the principle of equal treatment between persons irrespective of racial or ethnic origin’, 29 June 2000; Council Directive 2000/78/EC, ‘EU Council Directive establishing a general framework for equal treatment in employment and occupation’, 27 November 2000; Directive 2010/41/EU, ‘EU Directive on the application of the principle of equal treatment between men and women engaged in an activity in a self-employed capacity and repealing Council Directive 86/613/EEC’, 7 July 2010; Council Directive 79/7/EEC, ‘EU Council Directive on the progressive implementation of the principle of equal treatment for men and women in matters of social security’, 19 December 1978.</w:t>
      </w:r>
    </w:p>
    <w:p w14:paraId="28EFF127" w14:textId="77777777" w:rsidR="008569BB" w:rsidRPr="008569BB" w:rsidRDefault="008569BB" w:rsidP="008569BB">
      <w:pPr>
        <w:pStyle w:val="FootnoteText"/>
        <w:rPr>
          <w:rFonts w:cstheme="minorHAnsi"/>
        </w:rPr>
      </w:pPr>
    </w:p>
  </w:footnote>
  <w:footnote w:id="31">
    <w:p w14:paraId="06EB25A3" w14:textId="1EBAABF9" w:rsidR="00E1291C" w:rsidRPr="008569BB" w:rsidRDefault="00E1291C"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w:t>
      </w:r>
      <w:r w:rsidR="009D652F" w:rsidRPr="008569BB">
        <w:rPr>
          <w:rFonts w:cstheme="minorHAnsi"/>
        </w:rPr>
        <w:t xml:space="preserve">Northern Ireland Human Rights Commission and the Equality Commission for Northern Ireland, </w:t>
      </w:r>
      <w:hyperlink r:id="rId12" w:history="1">
        <w:r w:rsidR="009D652F" w:rsidRPr="008569BB">
          <w:rPr>
            <w:rStyle w:val="Hyperlink"/>
            <w:rFonts w:cstheme="minorHAnsi"/>
          </w:rPr>
          <w:t>Submission on the UK and EU proposals and the prospects for Agreement to the House of Lords Sub-Committee on the Protocol on Ireland/Northern Ireland</w:t>
        </w:r>
      </w:hyperlink>
      <w:r w:rsidR="009D652F" w:rsidRPr="008569BB">
        <w:rPr>
          <w:rFonts w:cstheme="minorHAnsi"/>
        </w:rPr>
        <w:t>, 12 November 2021</w:t>
      </w:r>
    </w:p>
  </w:footnote>
  <w:footnote w:id="32">
    <w:p w14:paraId="59BB7A3A" w14:textId="3F518482" w:rsidR="006F03AE" w:rsidRPr="008569BB" w:rsidRDefault="006F03AE"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w:t>
      </w:r>
      <w:hyperlink r:id="rId13" w:history="1">
        <w:r w:rsidR="008B7BD3" w:rsidRPr="008569BB">
          <w:rPr>
            <w:rStyle w:val="Hyperlink"/>
            <w:rFonts w:cstheme="minorHAnsi"/>
          </w:rPr>
          <w:t>https://ec.europa.eu/info/strategy/relations-non-eu-countries/relations-united-kingdom/eu-uk-withdrawal-agreement/protocol-ireland-and-northern-ireland_en</w:t>
        </w:r>
      </w:hyperlink>
      <w:r w:rsidR="008B7BD3" w:rsidRPr="008569BB">
        <w:rPr>
          <w:rFonts w:cstheme="minorHAnsi"/>
        </w:rPr>
        <w:t xml:space="preserve"> </w:t>
      </w:r>
    </w:p>
  </w:footnote>
  <w:footnote w:id="33">
    <w:p w14:paraId="2FABBCB7" w14:textId="1C9605BD" w:rsidR="002A047F" w:rsidRPr="008569BB" w:rsidRDefault="002A047F" w:rsidP="008569BB">
      <w:pPr>
        <w:pStyle w:val="FootnoteText"/>
        <w:spacing w:after="0"/>
        <w:rPr>
          <w:rFonts w:cstheme="minorHAnsi"/>
        </w:rPr>
      </w:pPr>
      <w:r w:rsidRPr="008569BB">
        <w:rPr>
          <w:rStyle w:val="FootnoteReference"/>
          <w:rFonts w:cstheme="minorHAnsi"/>
        </w:rPr>
        <w:footnoteRef/>
      </w:r>
      <w:r w:rsidRPr="008569BB">
        <w:rPr>
          <w:rFonts w:cstheme="minorHAnsi"/>
        </w:rPr>
        <w:t xml:space="preserve"> </w:t>
      </w:r>
      <w:hyperlink r:id="rId14" w:history="1">
        <w:r w:rsidR="007564BB" w:rsidRPr="008569BB">
          <w:rPr>
            <w:rStyle w:val="Hyperlink"/>
            <w:rFonts w:cstheme="minorHAnsi"/>
          </w:rPr>
          <w:t>UK-EU Trade and Cooperation Agreement Civil Society Forum</w:t>
        </w:r>
      </w:hyperlink>
      <w:r w:rsidR="007564BB" w:rsidRPr="008569BB">
        <w:rPr>
          <w:rFonts w:cstheme="minorHAnsi"/>
        </w:rPr>
        <w:t>, first meeting was held in Brussels on 4 October 2022.</w:t>
      </w:r>
    </w:p>
  </w:footnote>
  <w:footnote w:id="34">
    <w:p w14:paraId="54412F50" w14:textId="77777777" w:rsidR="00AF28E0" w:rsidRDefault="00AF28E0" w:rsidP="00AF28E0">
      <w:pPr>
        <w:pStyle w:val="FootnoteText"/>
      </w:pPr>
      <w:r>
        <w:rPr>
          <w:rStyle w:val="FootnoteReference"/>
        </w:rPr>
        <w:footnoteRef/>
      </w:r>
      <w:r>
        <w:t xml:space="preserve"> </w:t>
      </w:r>
      <w:r w:rsidRPr="008569BB">
        <w:rPr>
          <w:rFonts w:cstheme="minorHAnsi"/>
        </w:rPr>
        <w:t xml:space="preserve">ECNI and NIHRC, </w:t>
      </w:r>
      <w:hyperlink r:id="rId15" w:history="1">
        <w:r w:rsidRPr="008569BB">
          <w:rPr>
            <w:rStyle w:val="Hyperlink"/>
            <w:rFonts w:cstheme="minorHAnsi"/>
          </w:rPr>
          <w:t>Submission of the NIHRC and ECNI on the UK and EU proposals and the prospects for Agreement to the House of Lords Sub-Committee on the Protocol on Ireland/Northern Ireland</w:t>
        </w:r>
      </w:hyperlink>
      <w:r w:rsidRPr="008569BB">
        <w:rPr>
          <w:rFonts w:cstheme="minorHAnsi"/>
        </w:rPr>
        <w:t>, 12 November 2021</w:t>
      </w:r>
    </w:p>
  </w:footnote>
  <w:footnote w:id="35">
    <w:p w14:paraId="097D39F6" w14:textId="77777777" w:rsidR="001E2B0F" w:rsidRPr="008569BB" w:rsidRDefault="001E2B0F" w:rsidP="001E2B0F">
      <w:pPr>
        <w:pStyle w:val="FootnoteText"/>
        <w:rPr>
          <w:rFonts w:cstheme="minorHAnsi"/>
        </w:rPr>
      </w:pPr>
      <w:r w:rsidRPr="008569BB">
        <w:rPr>
          <w:rStyle w:val="FootnoteReference"/>
          <w:rFonts w:cstheme="minorHAnsi"/>
        </w:rPr>
        <w:footnoteRef/>
      </w:r>
      <w:r w:rsidRPr="008569BB">
        <w:rPr>
          <w:rFonts w:cstheme="minorHAnsi"/>
        </w:rPr>
        <w:t xml:space="preserve"> ECNI and NIHRC, </w:t>
      </w:r>
      <w:hyperlink r:id="rId16" w:history="1">
        <w:r w:rsidRPr="008569BB">
          <w:rPr>
            <w:rStyle w:val="Hyperlink"/>
            <w:rFonts w:cstheme="minorHAnsi"/>
          </w:rPr>
          <w:t>Submission of the NIHRC and ECNI on the UK and EU proposals and the prospects for Agreement to the House of Lords Sub-Committee on the Protocol on Ireland/Northern Ireland</w:t>
        </w:r>
      </w:hyperlink>
      <w:r w:rsidRPr="008569BB">
        <w:rPr>
          <w:rFonts w:cstheme="minorHAnsi"/>
        </w:rPr>
        <w:t>, 12 November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6C48" w14:textId="77777777" w:rsidR="00E06FA1" w:rsidRDefault="00E06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47018" w14:textId="77777777" w:rsidR="00E06FA1" w:rsidRDefault="00E06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410CF" w14:textId="77777777" w:rsidR="00E06FA1" w:rsidRDefault="00E06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9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1E69B8"/>
    <w:multiLevelType w:val="hybridMultilevel"/>
    <w:tmpl w:val="EB20C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C3862"/>
    <w:multiLevelType w:val="multilevel"/>
    <w:tmpl w:val="3E92F0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470589"/>
    <w:multiLevelType w:val="multilevel"/>
    <w:tmpl w:val="FFFFFFFF"/>
    <w:lvl w:ilvl="0">
      <w:start w:val="1"/>
      <w:numFmt w:val="decimal"/>
      <w:lvlText w:val="%1.0"/>
      <w:lvlJc w:val="left"/>
      <w:pPr>
        <w:ind w:left="720" w:hanging="72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520" w:hanging="1080"/>
      </w:pPr>
      <w:rPr>
        <w:rFonts w:cs="Times New Roman" w:hint="default"/>
      </w:rPr>
    </w:lvl>
    <w:lvl w:ilvl="3">
      <w:start w:val="1"/>
      <w:numFmt w:val="decimal"/>
      <w:lvlText w:val="%1.%2.%3.%4"/>
      <w:lvlJc w:val="left"/>
      <w:pPr>
        <w:ind w:left="3600" w:hanging="1440"/>
      </w:pPr>
      <w:rPr>
        <w:rFonts w:cs="Times New Roman" w:hint="default"/>
      </w:rPr>
    </w:lvl>
    <w:lvl w:ilvl="4">
      <w:start w:val="1"/>
      <w:numFmt w:val="decimal"/>
      <w:lvlText w:val="%1.%2.%3.%4.%5"/>
      <w:lvlJc w:val="left"/>
      <w:pPr>
        <w:ind w:left="4680" w:hanging="1800"/>
      </w:pPr>
      <w:rPr>
        <w:rFonts w:cs="Times New Roman" w:hint="default"/>
      </w:rPr>
    </w:lvl>
    <w:lvl w:ilvl="5">
      <w:start w:val="1"/>
      <w:numFmt w:val="decimal"/>
      <w:lvlText w:val="%1.%2.%3.%4.%5.%6"/>
      <w:lvlJc w:val="left"/>
      <w:pPr>
        <w:ind w:left="5760" w:hanging="2160"/>
      </w:pPr>
      <w:rPr>
        <w:rFonts w:cs="Times New Roman" w:hint="default"/>
      </w:rPr>
    </w:lvl>
    <w:lvl w:ilvl="6">
      <w:start w:val="1"/>
      <w:numFmt w:val="decimal"/>
      <w:lvlText w:val="%1.%2.%3.%4.%5.%6.%7"/>
      <w:lvlJc w:val="left"/>
      <w:pPr>
        <w:ind w:left="6840" w:hanging="2520"/>
      </w:pPr>
      <w:rPr>
        <w:rFonts w:cs="Times New Roman" w:hint="default"/>
      </w:rPr>
    </w:lvl>
    <w:lvl w:ilvl="7">
      <w:start w:val="1"/>
      <w:numFmt w:val="decimal"/>
      <w:lvlText w:val="%1.%2.%3.%4.%5.%6.%7.%8"/>
      <w:lvlJc w:val="left"/>
      <w:pPr>
        <w:ind w:left="7920" w:hanging="2880"/>
      </w:pPr>
      <w:rPr>
        <w:rFonts w:cs="Times New Roman" w:hint="default"/>
      </w:rPr>
    </w:lvl>
    <w:lvl w:ilvl="8">
      <w:start w:val="1"/>
      <w:numFmt w:val="decimal"/>
      <w:lvlText w:val="%1.%2.%3.%4.%5.%6.%7.%8.%9"/>
      <w:lvlJc w:val="left"/>
      <w:pPr>
        <w:ind w:left="9000" w:hanging="3240"/>
      </w:pPr>
      <w:rPr>
        <w:rFonts w:cs="Times New Roman" w:hint="default"/>
      </w:rPr>
    </w:lvl>
  </w:abstractNum>
  <w:abstractNum w:abstractNumId="4" w15:restartNumberingAfterBreak="0">
    <w:nsid w:val="19E63962"/>
    <w:multiLevelType w:val="hybridMultilevel"/>
    <w:tmpl w:val="815C20B2"/>
    <w:lvl w:ilvl="0" w:tplc="98CAFCEA">
      <w:start w:val="1"/>
      <w:numFmt w:val="bullet"/>
      <w:pStyle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A3F0B6B"/>
    <w:multiLevelType w:val="hybridMultilevel"/>
    <w:tmpl w:val="9014B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27269"/>
    <w:multiLevelType w:val="multilevel"/>
    <w:tmpl w:val="0AA490FC"/>
    <w:lvl w:ilvl="0">
      <w:start w:val="2"/>
      <w:numFmt w:val="decimal"/>
      <w:lvlText w:val="%1"/>
      <w:lvlJc w:val="left"/>
      <w:pPr>
        <w:ind w:left="503" w:hanging="503"/>
      </w:pPr>
      <w:rPr>
        <w:rFonts w:hint="default"/>
      </w:rPr>
    </w:lvl>
    <w:lvl w:ilvl="1">
      <w:start w:val="14"/>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E782704"/>
    <w:multiLevelType w:val="multilevel"/>
    <w:tmpl w:val="ED30C9A0"/>
    <w:lvl w:ilvl="0">
      <w:start w:val="3"/>
      <w:numFmt w:val="decimal"/>
      <w:lvlText w:val="%1"/>
      <w:lvlJc w:val="left"/>
      <w:pPr>
        <w:ind w:left="503" w:hanging="503"/>
      </w:pPr>
      <w:rPr>
        <w:rFonts w:hint="default"/>
      </w:rPr>
    </w:lvl>
    <w:lvl w:ilvl="1">
      <w:start w:val="11"/>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0A87BDB"/>
    <w:multiLevelType w:val="hybridMultilevel"/>
    <w:tmpl w:val="95E85E16"/>
    <w:lvl w:ilvl="0" w:tplc="4DDC4390">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FD10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C1093"/>
    <w:multiLevelType w:val="multilevel"/>
    <w:tmpl w:val="0EA2B2D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275DD7"/>
    <w:multiLevelType w:val="multilevel"/>
    <w:tmpl w:val="8B20C466"/>
    <w:lvl w:ilvl="0">
      <w:start w:val="6"/>
      <w:numFmt w:val="decimal"/>
      <w:lvlText w:val="%1"/>
      <w:lvlJc w:val="left"/>
      <w:pPr>
        <w:ind w:left="360" w:hanging="360"/>
      </w:pPr>
      <w:rPr>
        <w:rFonts w:eastAsiaTheme="minorEastAsia" w:cstheme="minorHAnsi" w:hint="default"/>
        <w:b/>
      </w:rPr>
    </w:lvl>
    <w:lvl w:ilvl="1">
      <w:start w:val="3"/>
      <w:numFmt w:val="decimal"/>
      <w:lvlText w:val="%1.%2"/>
      <w:lvlJc w:val="left"/>
      <w:pPr>
        <w:ind w:left="360" w:hanging="360"/>
      </w:pPr>
      <w:rPr>
        <w:rFonts w:eastAsiaTheme="minorEastAsia" w:cstheme="minorHAnsi" w:hint="default"/>
        <w:b/>
      </w:rPr>
    </w:lvl>
    <w:lvl w:ilvl="2">
      <w:start w:val="1"/>
      <w:numFmt w:val="decimal"/>
      <w:lvlText w:val="%1.%2.%3"/>
      <w:lvlJc w:val="left"/>
      <w:pPr>
        <w:ind w:left="720" w:hanging="720"/>
      </w:pPr>
      <w:rPr>
        <w:rFonts w:eastAsiaTheme="minorEastAsia" w:cstheme="minorHAnsi" w:hint="default"/>
        <w:b/>
      </w:rPr>
    </w:lvl>
    <w:lvl w:ilvl="3">
      <w:start w:val="1"/>
      <w:numFmt w:val="decimal"/>
      <w:lvlText w:val="%1.%2.%3.%4"/>
      <w:lvlJc w:val="left"/>
      <w:pPr>
        <w:ind w:left="1080" w:hanging="1080"/>
      </w:pPr>
      <w:rPr>
        <w:rFonts w:eastAsiaTheme="minorEastAsia" w:cstheme="minorHAnsi" w:hint="default"/>
        <w:b/>
      </w:rPr>
    </w:lvl>
    <w:lvl w:ilvl="4">
      <w:start w:val="1"/>
      <w:numFmt w:val="decimal"/>
      <w:lvlText w:val="%1.%2.%3.%4.%5"/>
      <w:lvlJc w:val="left"/>
      <w:pPr>
        <w:ind w:left="1080" w:hanging="1080"/>
      </w:pPr>
      <w:rPr>
        <w:rFonts w:eastAsiaTheme="minorEastAsia" w:cstheme="minorHAnsi" w:hint="default"/>
        <w:b/>
      </w:rPr>
    </w:lvl>
    <w:lvl w:ilvl="5">
      <w:start w:val="1"/>
      <w:numFmt w:val="decimal"/>
      <w:lvlText w:val="%1.%2.%3.%4.%5.%6"/>
      <w:lvlJc w:val="left"/>
      <w:pPr>
        <w:ind w:left="1440" w:hanging="1440"/>
      </w:pPr>
      <w:rPr>
        <w:rFonts w:eastAsiaTheme="minorEastAsia" w:cstheme="minorHAnsi" w:hint="default"/>
        <w:b/>
      </w:rPr>
    </w:lvl>
    <w:lvl w:ilvl="6">
      <w:start w:val="1"/>
      <w:numFmt w:val="decimal"/>
      <w:lvlText w:val="%1.%2.%3.%4.%5.%6.%7"/>
      <w:lvlJc w:val="left"/>
      <w:pPr>
        <w:ind w:left="1440" w:hanging="1440"/>
      </w:pPr>
      <w:rPr>
        <w:rFonts w:eastAsiaTheme="minorEastAsia" w:cstheme="minorHAnsi" w:hint="default"/>
        <w:b/>
      </w:rPr>
    </w:lvl>
    <w:lvl w:ilvl="7">
      <w:start w:val="1"/>
      <w:numFmt w:val="decimal"/>
      <w:lvlText w:val="%1.%2.%3.%4.%5.%6.%7.%8"/>
      <w:lvlJc w:val="left"/>
      <w:pPr>
        <w:ind w:left="1800" w:hanging="1800"/>
      </w:pPr>
      <w:rPr>
        <w:rFonts w:eastAsiaTheme="minorEastAsia" w:cstheme="minorHAnsi" w:hint="default"/>
        <w:b/>
      </w:rPr>
    </w:lvl>
    <w:lvl w:ilvl="8">
      <w:start w:val="1"/>
      <w:numFmt w:val="decimal"/>
      <w:lvlText w:val="%1.%2.%3.%4.%5.%6.%7.%8.%9"/>
      <w:lvlJc w:val="left"/>
      <w:pPr>
        <w:ind w:left="2160" w:hanging="2160"/>
      </w:pPr>
      <w:rPr>
        <w:rFonts w:eastAsiaTheme="minorEastAsia" w:cstheme="minorHAnsi" w:hint="default"/>
        <w:b/>
      </w:rPr>
    </w:lvl>
  </w:abstractNum>
  <w:abstractNum w:abstractNumId="12" w15:restartNumberingAfterBreak="0">
    <w:nsid w:val="285C1A88"/>
    <w:multiLevelType w:val="hybridMultilevel"/>
    <w:tmpl w:val="29F032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0A2AB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AB67C8"/>
    <w:multiLevelType w:val="hybridMultilevel"/>
    <w:tmpl w:val="E0DAA58C"/>
    <w:lvl w:ilvl="0" w:tplc="D334F66A">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2613A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5F45B2"/>
    <w:multiLevelType w:val="multilevel"/>
    <w:tmpl w:val="06AAF614"/>
    <w:lvl w:ilvl="0">
      <w:start w:val="3"/>
      <w:numFmt w:val="decimal"/>
      <w:lvlText w:val="%1"/>
      <w:lvlJc w:val="left"/>
      <w:pPr>
        <w:ind w:left="503" w:hanging="503"/>
      </w:pPr>
      <w:rPr>
        <w:rFonts w:hint="default"/>
      </w:rPr>
    </w:lvl>
    <w:lvl w:ilvl="1">
      <w:start w:val="16"/>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360A21"/>
    <w:multiLevelType w:val="multilevel"/>
    <w:tmpl w:val="8294E07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Calibri" w:hAnsi="Calibri" w:hint="default"/>
        <w:b w:val="0"/>
        <w:color w:val="auto"/>
        <w:sz w:val="28"/>
        <w:szCs w:val="22"/>
        <w:vertAlign w:val="baseline"/>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8" w15:restartNumberingAfterBreak="0">
    <w:nsid w:val="4B262528"/>
    <w:multiLevelType w:val="multilevel"/>
    <w:tmpl w:val="4B545200"/>
    <w:lvl w:ilvl="0">
      <w:start w:val="3"/>
      <w:numFmt w:val="decimal"/>
      <w:lvlText w:val="%1"/>
      <w:lvlJc w:val="left"/>
      <w:pPr>
        <w:ind w:left="503" w:hanging="503"/>
      </w:pPr>
      <w:rPr>
        <w:rFonts w:hint="default"/>
      </w:rPr>
    </w:lvl>
    <w:lvl w:ilvl="1">
      <w:start w:val="21"/>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F9725B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7D4AB6"/>
    <w:multiLevelType w:val="multilevel"/>
    <w:tmpl w:val="A2507BC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D254D9"/>
    <w:multiLevelType w:val="multilevel"/>
    <w:tmpl w:val="B9CEB4F6"/>
    <w:lvl w:ilvl="0">
      <w:start w:val="1"/>
      <w:numFmt w:val="decimal"/>
      <w:lvlText w:val="%1."/>
      <w:lvlJc w:val="left"/>
      <w:pPr>
        <w:ind w:left="360" w:hanging="360"/>
      </w:pPr>
    </w:lvl>
    <w:lvl w:ilvl="1">
      <w:start w:val="1"/>
      <w:numFmt w:val="decimal"/>
      <w:lvlText w:val="%1.%2."/>
      <w:lvlJc w:val="left"/>
      <w:pPr>
        <w:ind w:left="792" w:hanging="432"/>
      </w:pPr>
      <w:rPr>
        <w:sz w:val="3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D31669"/>
    <w:multiLevelType w:val="hybridMultilevel"/>
    <w:tmpl w:val="CFAE0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CC57B3"/>
    <w:multiLevelType w:val="multilevel"/>
    <w:tmpl w:val="6896D7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1242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4A0F0F"/>
    <w:multiLevelType w:val="multilevel"/>
    <w:tmpl w:val="DE18DF1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B4E5FB7"/>
    <w:multiLevelType w:val="multilevel"/>
    <w:tmpl w:val="5A6408A4"/>
    <w:lvl w:ilvl="0">
      <w:start w:val="2"/>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700D6AED"/>
    <w:multiLevelType w:val="multilevel"/>
    <w:tmpl w:val="9C1A05EC"/>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72AB6852"/>
    <w:multiLevelType w:val="multilevel"/>
    <w:tmpl w:val="9E8AA6A4"/>
    <w:lvl w:ilvl="0">
      <w:start w:val="2"/>
      <w:numFmt w:val="decimal"/>
      <w:lvlText w:val="%1"/>
      <w:lvlJc w:val="left"/>
      <w:pPr>
        <w:ind w:left="503" w:hanging="503"/>
      </w:pPr>
      <w:rPr>
        <w:rFonts w:hint="default"/>
        <w:b/>
      </w:rPr>
    </w:lvl>
    <w:lvl w:ilvl="1">
      <w:start w:val="22"/>
      <w:numFmt w:val="decimal"/>
      <w:lvlText w:val="%1.%2"/>
      <w:lvlJc w:val="left"/>
      <w:pPr>
        <w:ind w:left="503" w:hanging="50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73A729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4D06A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6801C4"/>
    <w:multiLevelType w:val="hybridMultilevel"/>
    <w:tmpl w:val="9F88CCD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2" w15:restartNumberingAfterBreak="0">
    <w:nsid w:val="770A7B25"/>
    <w:multiLevelType w:val="hybridMultilevel"/>
    <w:tmpl w:val="CCAA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9C6C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823A51"/>
    <w:multiLevelType w:val="hybridMultilevel"/>
    <w:tmpl w:val="80A0055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7D382C79"/>
    <w:multiLevelType w:val="multilevel"/>
    <w:tmpl w:val="95F080D0"/>
    <w:lvl w:ilvl="0">
      <w:start w:val="2"/>
      <w:numFmt w:val="decimal"/>
      <w:lvlText w:val="%1"/>
      <w:lvlJc w:val="left"/>
      <w:pPr>
        <w:ind w:left="503" w:hanging="503"/>
      </w:pPr>
      <w:rPr>
        <w:rFonts w:hint="default"/>
        <w:b/>
      </w:rPr>
    </w:lvl>
    <w:lvl w:ilvl="1">
      <w:start w:val="21"/>
      <w:numFmt w:val="decimal"/>
      <w:lvlText w:val="%1.%2"/>
      <w:lvlJc w:val="left"/>
      <w:pPr>
        <w:ind w:left="503" w:hanging="503"/>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4"/>
  </w:num>
  <w:num w:numId="2">
    <w:abstractNumId w:val="34"/>
  </w:num>
  <w:num w:numId="3">
    <w:abstractNumId w:val="20"/>
  </w:num>
  <w:num w:numId="4">
    <w:abstractNumId w:val="33"/>
  </w:num>
  <w:num w:numId="5">
    <w:abstractNumId w:val="9"/>
  </w:num>
  <w:num w:numId="6">
    <w:abstractNumId w:val="5"/>
  </w:num>
  <w:num w:numId="7">
    <w:abstractNumId w:val="32"/>
  </w:num>
  <w:num w:numId="8">
    <w:abstractNumId w:val="2"/>
  </w:num>
  <w:num w:numId="9">
    <w:abstractNumId w:val="3"/>
  </w:num>
  <w:num w:numId="10">
    <w:abstractNumId w:val="29"/>
  </w:num>
  <w:num w:numId="11">
    <w:abstractNumId w:val="24"/>
  </w:num>
  <w:num w:numId="12">
    <w:abstractNumId w:val="1"/>
  </w:num>
  <w:num w:numId="13">
    <w:abstractNumId w:val="22"/>
  </w:num>
  <w:num w:numId="14">
    <w:abstractNumId w:val="20"/>
  </w:num>
  <w:num w:numId="15">
    <w:abstractNumId w:val="20"/>
  </w:num>
  <w:num w:numId="16">
    <w:abstractNumId w:val="20"/>
  </w:num>
  <w:num w:numId="17">
    <w:abstractNumId w:val="19"/>
  </w:num>
  <w:num w:numId="18">
    <w:abstractNumId w:val="15"/>
  </w:num>
  <w:num w:numId="19">
    <w:abstractNumId w:val="13"/>
  </w:num>
  <w:num w:numId="20">
    <w:abstractNumId w:val="0"/>
  </w:num>
  <w:num w:numId="21">
    <w:abstractNumId w:val="31"/>
  </w:num>
  <w:num w:numId="22">
    <w:abstractNumId w:val="30"/>
  </w:num>
  <w:num w:numId="23">
    <w:abstractNumId w:val="4"/>
  </w:num>
  <w:num w:numId="24">
    <w:abstractNumId w:val="26"/>
  </w:num>
  <w:num w:numId="25">
    <w:abstractNumId w:val="17"/>
  </w:num>
  <w:num w:numId="26">
    <w:abstractNumId w:val="21"/>
  </w:num>
  <w:num w:numId="27">
    <w:abstractNumId w:val="8"/>
  </w:num>
  <w:num w:numId="28">
    <w:abstractNumId w:val="12"/>
  </w:num>
  <w:num w:numId="29">
    <w:abstractNumId w:val="27"/>
  </w:num>
  <w:num w:numId="30">
    <w:abstractNumId w:val="6"/>
  </w:num>
  <w:num w:numId="31">
    <w:abstractNumId w:val="28"/>
  </w:num>
  <w:num w:numId="32">
    <w:abstractNumId w:val="35"/>
  </w:num>
  <w:num w:numId="33">
    <w:abstractNumId w:val="10"/>
  </w:num>
  <w:num w:numId="34">
    <w:abstractNumId w:val="7"/>
  </w:num>
  <w:num w:numId="35">
    <w:abstractNumId w:val="16"/>
  </w:num>
  <w:num w:numId="36">
    <w:abstractNumId w:val="18"/>
  </w:num>
  <w:num w:numId="37">
    <w:abstractNumId w:val="23"/>
  </w:num>
  <w:num w:numId="38">
    <w:abstractNumId w:val="2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DE"/>
    <w:rsid w:val="00000FA1"/>
    <w:rsid w:val="00001601"/>
    <w:rsid w:val="00002CFA"/>
    <w:rsid w:val="00005E97"/>
    <w:rsid w:val="0000733E"/>
    <w:rsid w:val="00012F43"/>
    <w:rsid w:val="0001577E"/>
    <w:rsid w:val="00016137"/>
    <w:rsid w:val="000226B7"/>
    <w:rsid w:val="000274A8"/>
    <w:rsid w:val="00031DAA"/>
    <w:rsid w:val="00032051"/>
    <w:rsid w:val="0003268B"/>
    <w:rsid w:val="00034F17"/>
    <w:rsid w:val="00035E6F"/>
    <w:rsid w:val="00040CFE"/>
    <w:rsid w:val="00045CF2"/>
    <w:rsid w:val="00045F19"/>
    <w:rsid w:val="000501B1"/>
    <w:rsid w:val="00050A88"/>
    <w:rsid w:val="0005249E"/>
    <w:rsid w:val="00052DA5"/>
    <w:rsid w:val="0005381A"/>
    <w:rsid w:val="000553E4"/>
    <w:rsid w:val="00063695"/>
    <w:rsid w:val="00073A60"/>
    <w:rsid w:val="000748E0"/>
    <w:rsid w:val="00075080"/>
    <w:rsid w:val="000800E6"/>
    <w:rsid w:val="00081A30"/>
    <w:rsid w:val="00082B40"/>
    <w:rsid w:val="00085EC3"/>
    <w:rsid w:val="0009187E"/>
    <w:rsid w:val="00097E7E"/>
    <w:rsid w:val="000A16FA"/>
    <w:rsid w:val="000A232F"/>
    <w:rsid w:val="000A2FB8"/>
    <w:rsid w:val="000A38B8"/>
    <w:rsid w:val="000A507E"/>
    <w:rsid w:val="000A7AA9"/>
    <w:rsid w:val="000B114D"/>
    <w:rsid w:val="000B3186"/>
    <w:rsid w:val="000B6D0E"/>
    <w:rsid w:val="000C1B82"/>
    <w:rsid w:val="000C2E7F"/>
    <w:rsid w:val="000D19D0"/>
    <w:rsid w:val="000D39FB"/>
    <w:rsid w:val="000E0786"/>
    <w:rsid w:val="000E0B6C"/>
    <w:rsid w:val="000E2196"/>
    <w:rsid w:val="000E337C"/>
    <w:rsid w:val="000F10C2"/>
    <w:rsid w:val="000F74F8"/>
    <w:rsid w:val="00104071"/>
    <w:rsid w:val="0010750D"/>
    <w:rsid w:val="001102B7"/>
    <w:rsid w:val="00114BE8"/>
    <w:rsid w:val="0011753D"/>
    <w:rsid w:val="00124500"/>
    <w:rsid w:val="0012626E"/>
    <w:rsid w:val="00127242"/>
    <w:rsid w:val="0013422F"/>
    <w:rsid w:val="0014363F"/>
    <w:rsid w:val="0014797A"/>
    <w:rsid w:val="00150CDE"/>
    <w:rsid w:val="00153471"/>
    <w:rsid w:val="001566DA"/>
    <w:rsid w:val="00156BAF"/>
    <w:rsid w:val="00157EFE"/>
    <w:rsid w:val="0016394B"/>
    <w:rsid w:val="00166443"/>
    <w:rsid w:val="00167451"/>
    <w:rsid w:val="00182091"/>
    <w:rsid w:val="0018382A"/>
    <w:rsid w:val="00185CD3"/>
    <w:rsid w:val="00186C86"/>
    <w:rsid w:val="00187488"/>
    <w:rsid w:val="0018781C"/>
    <w:rsid w:val="00192438"/>
    <w:rsid w:val="00193DC7"/>
    <w:rsid w:val="001A4CA5"/>
    <w:rsid w:val="001B10FE"/>
    <w:rsid w:val="001B4C41"/>
    <w:rsid w:val="001B7618"/>
    <w:rsid w:val="001C5B2C"/>
    <w:rsid w:val="001C65CD"/>
    <w:rsid w:val="001C781B"/>
    <w:rsid w:val="001D65EA"/>
    <w:rsid w:val="001E15EE"/>
    <w:rsid w:val="001E2B0F"/>
    <w:rsid w:val="001E59A4"/>
    <w:rsid w:val="001E7964"/>
    <w:rsid w:val="00202DC9"/>
    <w:rsid w:val="00204CF1"/>
    <w:rsid w:val="0021396E"/>
    <w:rsid w:val="00213B6C"/>
    <w:rsid w:val="00215F1C"/>
    <w:rsid w:val="00217419"/>
    <w:rsid w:val="0022159A"/>
    <w:rsid w:val="002308A2"/>
    <w:rsid w:val="00232559"/>
    <w:rsid w:val="00233527"/>
    <w:rsid w:val="00237F82"/>
    <w:rsid w:val="00242EEE"/>
    <w:rsid w:val="00243ADC"/>
    <w:rsid w:val="002479B4"/>
    <w:rsid w:val="00251D82"/>
    <w:rsid w:val="002526CE"/>
    <w:rsid w:val="00253C24"/>
    <w:rsid w:val="002573FF"/>
    <w:rsid w:val="00260596"/>
    <w:rsid w:val="00262E18"/>
    <w:rsid w:val="00264C57"/>
    <w:rsid w:val="0026560E"/>
    <w:rsid w:val="002665C0"/>
    <w:rsid w:val="002668F3"/>
    <w:rsid w:val="00270264"/>
    <w:rsid w:val="0027397B"/>
    <w:rsid w:val="00275243"/>
    <w:rsid w:val="002773CC"/>
    <w:rsid w:val="00281A36"/>
    <w:rsid w:val="00286A94"/>
    <w:rsid w:val="00293F7D"/>
    <w:rsid w:val="00296319"/>
    <w:rsid w:val="00296D43"/>
    <w:rsid w:val="00296E4D"/>
    <w:rsid w:val="002A047F"/>
    <w:rsid w:val="002A271C"/>
    <w:rsid w:val="002A45D7"/>
    <w:rsid w:val="002A45F5"/>
    <w:rsid w:val="002C2365"/>
    <w:rsid w:val="002C3AA1"/>
    <w:rsid w:val="002C7077"/>
    <w:rsid w:val="002C7A39"/>
    <w:rsid w:val="002D6669"/>
    <w:rsid w:val="002E06AF"/>
    <w:rsid w:val="002E1E2C"/>
    <w:rsid w:val="002E247E"/>
    <w:rsid w:val="002E30C5"/>
    <w:rsid w:val="002E70BC"/>
    <w:rsid w:val="002F1035"/>
    <w:rsid w:val="002F23A4"/>
    <w:rsid w:val="00300CCC"/>
    <w:rsid w:val="00303AB0"/>
    <w:rsid w:val="00312866"/>
    <w:rsid w:val="00312C34"/>
    <w:rsid w:val="00321CAD"/>
    <w:rsid w:val="00325025"/>
    <w:rsid w:val="00327383"/>
    <w:rsid w:val="00334C2C"/>
    <w:rsid w:val="003372BC"/>
    <w:rsid w:val="00340DBA"/>
    <w:rsid w:val="00346CC8"/>
    <w:rsid w:val="00354117"/>
    <w:rsid w:val="003574BE"/>
    <w:rsid w:val="00364D32"/>
    <w:rsid w:val="00365149"/>
    <w:rsid w:val="003667D7"/>
    <w:rsid w:val="00367121"/>
    <w:rsid w:val="00370993"/>
    <w:rsid w:val="00370CA3"/>
    <w:rsid w:val="00372741"/>
    <w:rsid w:val="00373BF9"/>
    <w:rsid w:val="00375A5C"/>
    <w:rsid w:val="00376299"/>
    <w:rsid w:val="00380922"/>
    <w:rsid w:val="00380DA6"/>
    <w:rsid w:val="00383037"/>
    <w:rsid w:val="00383CE9"/>
    <w:rsid w:val="00384B04"/>
    <w:rsid w:val="00386468"/>
    <w:rsid w:val="00393855"/>
    <w:rsid w:val="00395154"/>
    <w:rsid w:val="003A0580"/>
    <w:rsid w:val="003A1A92"/>
    <w:rsid w:val="003A1DF5"/>
    <w:rsid w:val="003A224E"/>
    <w:rsid w:val="003A277D"/>
    <w:rsid w:val="003A3662"/>
    <w:rsid w:val="003A4D8D"/>
    <w:rsid w:val="003A58EE"/>
    <w:rsid w:val="003A5EC2"/>
    <w:rsid w:val="003A7855"/>
    <w:rsid w:val="003A7FF0"/>
    <w:rsid w:val="003B48B3"/>
    <w:rsid w:val="003B769C"/>
    <w:rsid w:val="003C29DF"/>
    <w:rsid w:val="003C734C"/>
    <w:rsid w:val="003D1B5A"/>
    <w:rsid w:val="003D5313"/>
    <w:rsid w:val="003D5677"/>
    <w:rsid w:val="003E10F7"/>
    <w:rsid w:val="003E344C"/>
    <w:rsid w:val="003E4769"/>
    <w:rsid w:val="003E7A33"/>
    <w:rsid w:val="003F3741"/>
    <w:rsid w:val="003F432A"/>
    <w:rsid w:val="00401B50"/>
    <w:rsid w:val="004027B0"/>
    <w:rsid w:val="0041002F"/>
    <w:rsid w:val="00413725"/>
    <w:rsid w:val="0041397F"/>
    <w:rsid w:val="004160D4"/>
    <w:rsid w:val="0042312C"/>
    <w:rsid w:val="00427E8C"/>
    <w:rsid w:val="0044109A"/>
    <w:rsid w:val="004425D4"/>
    <w:rsid w:val="00451CBF"/>
    <w:rsid w:val="0046084D"/>
    <w:rsid w:val="004671F5"/>
    <w:rsid w:val="0047045A"/>
    <w:rsid w:val="00475C55"/>
    <w:rsid w:val="00477962"/>
    <w:rsid w:val="0048012D"/>
    <w:rsid w:val="00486DC8"/>
    <w:rsid w:val="00490DDE"/>
    <w:rsid w:val="00492D9B"/>
    <w:rsid w:val="00494F92"/>
    <w:rsid w:val="004950DD"/>
    <w:rsid w:val="00495B80"/>
    <w:rsid w:val="004A3071"/>
    <w:rsid w:val="004B0632"/>
    <w:rsid w:val="004B676C"/>
    <w:rsid w:val="004C16B6"/>
    <w:rsid w:val="004C62A2"/>
    <w:rsid w:val="004C70C6"/>
    <w:rsid w:val="004D0CC3"/>
    <w:rsid w:val="004D2CB9"/>
    <w:rsid w:val="004D36B1"/>
    <w:rsid w:val="004D37C5"/>
    <w:rsid w:val="004E014F"/>
    <w:rsid w:val="004E255B"/>
    <w:rsid w:val="004F0689"/>
    <w:rsid w:val="004F7217"/>
    <w:rsid w:val="004F7C1D"/>
    <w:rsid w:val="00502AC7"/>
    <w:rsid w:val="00505C29"/>
    <w:rsid w:val="005135AB"/>
    <w:rsid w:val="005145E2"/>
    <w:rsid w:val="00515DFD"/>
    <w:rsid w:val="00523A38"/>
    <w:rsid w:val="00527BED"/>
    <w:rsid w:val="00533FDF"/>
    <w:rsid w:val="0054605B"/>
    <w:rsid w:val="005543AB"/>
    <w:rsid w:val="0055509B"/>
    <w:rsid w:val="00556702"/>
    <w:rsid w:val="00561A8A"/>
    <w:rsid w:val="00561ECB"/>
    <w:rsid w:val="005664D3"/>
    <w:rsid w:val="00566D36"/>
    <w:rsid w:val="00566F94"/>
    <w:rsid w:val="0056704C"/>
    <w:rsid w:val="00570DC1"/>
    <w:rsid w:val="005752AD"/>
    <w:rsid w:val="0058702F"/>
    <w:rsid w:val="00592E9C"/>
    <w:rsid w:val="00595624"/>
    <w:rsid w:val="005A24A3"/>
    <w:rsid w:val="005A2998"/>
    <w:rsid w:val="005A3A32"/>
    <w:rsid w:val="005A762D"/>
    <w:rsid w:val="005B1976"/>
    <w:rsid w:val="005B1FA6"/>
    <w:rsid w:val="005B4590"/>
    <w:rsid w:val="005B4733"/>
    <w:rsid w:val="005B696E"/>
    <w:rsid w:val="005C01AA"/>
    <w:rsid w:val="005C060C"/>
    <w:rsid w:val="005C21D1"/>
    <w:rsid w:val="005C53F0"/>
    <w:rsid w:val="005D09BD"/>
    <w:rsid w:val="005D0E75"/>
    <w:rsid w:val="005D2D30"/>
    <w:rsid w:val="005D6D28"/>
    <w:rsid w:val="005D7769"/>
    <w:rsid w:val="005E31BF"/>
    <w:rsid w:val="005E7015"/>
    <w:rsid w:val="005E759B"/>
    <w:rsid w:val="005F001B"/>
    <w:rsid w:val="005F3C81"/>
    <w:rsid w:val="00600086"/>
    <w:rsid w:val="00600316"/>
    <w:rsid w:val="0060067D"/>
    <w:rsid w:val="00600F37"/>
    <w:rsid w:val="0060186E"/>
    <w:rsid w:val="00606262"/>
    <w:rsid w:val="00614564"/>
    <w:rsid w:val="0061535A"/>
    <w:rsid w:val="006204EE"/>
    <w:rsid w:val="00624DF9"/>
    <w:rsid w:val="00627991"/>
    <w:rsid w:val="00627A15"/>
    <w:rsid w:val="00632DB2"/>
    <w:rsid w:val="006366FB"/>
    <w:rsid w:val="0064526B"/>
    <w:rsid w:val="0065574C"/>
    <w:rsid w:val="006568DA"/>
    <w:rsid w:val="0066207B"/>
    <w:rsid w:val="006622C7"/>
    <w:rsid w:val="006632BF"/>
    <w:rsid w:val="00663C48"/>
    <w:rsid w:val="00666763"/>
    <w:rsid w:val="00667683"/>
    <w:rsid w:val="006732EC"/>
    <w:rsid w:val="00680F81"/>
    <w:rsid w:val="00681FFF"/>
    <w:rsid w:val="006823EB"/>
    <w:rsid w:val="006837BB"/>
    <w:rsid w:val="0068597F"/>
    <w:rsid w:val="0069202E"/>
    <w:rsid w:val="00695732"/>
    <w:rsid w:val="00697E79"/>
    <w:rsid w:val="006A192D"/>
    <w:rsid w:val="006A3414"/>
    <w:rsid w:val="006A402E"/>
    <w:rsid w:val="006A5727"/>
    <w:rsid w:val="006B2ABA"/>
    <w:rsid w:val="006B399C"/>
    <w:rsid w:val="006B4658"/>
    <w:rsid w:val="006B6AA7"/>
    <w:rsid w:val="006C6209"/>
    <w:rsid w:val="006C660D"/>
    <w:rsid w:val="006D2186"/>
    <w:rsid w:val="006D4634"/>
    <w:rsid w:val="006D4D6C"/>
    <w:rsid w:val="006E0113"/>
    <w:rsid w:val="006E1A7E"/>
    <w:rsid w:val="006E560E"/>
    <w:rsid w:val="006E5A86"/>
    <w:rsid w:val="006E6DF7"/>
    <w:rsid w:val="006F03AE"/>
    <w:rsid w:val="006F5DC1"/>
    <w:rsid w:val="006F6C9A"/>
    <w:rsid w:val="007046D3"/>
    <w:rsid w:val="00720E33"/>
    <w:rsid w:val="00721E55"/>
    <w:rsid w:val="00733C4A"/>
    <w:rsid w:val="00733E73"/>
    <w:rsid w:val="00734F06"/>
    <w:rsid w:val="007360EA"/>
    <w:rsid w:val="00742C9B"/>
    <w:rsid w:val="00743BE2"/>
    <w:rsid w:val="00747FF0"/>
    <w:rsid w:val="0075178C"/>
    <w:rsid w:val="007546D1"/>
    <w:rsid w:val="00755992"/>
    <w:rsid w:val="007564BB"/>
    <w:rsid w:val="00756D9F"/>
    <w:rsid w:val="00757736"/>
    <w:rsid w:val="00757E4B"/>
    <w:rsid w:val="00760595"/>
    <w:rsid w:val="0076378A"/>
    <w:rsid w:val="0076479D"/>
    <w:rsid w:val="00766F58"/>
    <w:rsid w:val="00775466"/>
    <w:rsid w:val="00780D27"/>
    <w:rsid w:val="0078211B"/>
    <w:rsid w:val="00786FB1"/>
    <w:rsid w:val="007903B9"/>
    <w:rsid w:val="00792B1B"/>
    <w:rsid w:val="007A56D8"/>
    <w:rsid w:val="007A60BC"/>
    <w:rsid w:val="007B1D60"/>
    <w:rsid w:val="007B1FC1"/>
    <w:rsid w:val="007B5FF8"/>
    <w:rsid w:val="007B62CC"/>
    <w:rsid w:val="007B79D3"/>
    <w:rsid w:val="007C3DC2"/>
    <w:rsid w:val="007D07CD"/>
    <w:rsid w:val="007D2729"/>
    <w:rsid w:val="007D2D67"/>
    <w:rsid w:val="007E0D17"/>
    <w:rsid w:val="007E2532"/>
    <w:rsid w:val="007E4656"/>
    <w:rsid w:val="007F1EEC"/>
    <w:rsid w:val="007F33C5"/>
    <w:rsid w:val="007F740F"/>
    <w:rsid w:val="0080070C"/>
    <w:rsid w:val="008019A7"/>
    <w:rsid w:val="008126E1"/>
    <w:rsid w:val="008168E4"/>
    <w:rsid w:val="00822CBE"/>
    <w:rsid w:val="00823C92"/>
    <w:rsid w:val="00824A0A"/>
    <w:rsid w:val="00825135"/>
    <w:rsid w:val="008306C5"/>
    <w:rsid w:val="00831149"/>
    <w:rsid w:val="00832B33"/>
    <w:rsid w:val="008337DA"/>
    <w:rsid w:val="00834F54"/>
    <w:rsid w:val="00843B0F"/>
    <w:rsid w:val="00844DD9"/>
    <w:rsid w:val="008478EB"/>
    <w:rsid w:val="00851B84"/>
    <w:rsid w:val="00854BBF"/>
    <w:rsid w:val="008560FA"/>
    <w:rsid w:val="008569BB"/>
    <w:rsid w:val="008569C5"/>
    <w:rsid w:val="00860E08"/>
    <w:rsid w:val="0086296D"/>
    <w:rsid w:val="00867861"/>
    <w:rsid w:val="00875F7C"/>
    <w:rsid w:val="0087669D"/>
    <w:rsid w:val="00883517"/>
    <w:rsid w:val="008929DF"/>
    <w:rsid w:val="008A4431"/>
    <w:rsid w:val="008A5351"/>
    <w:rsid w:val="008B4612"/>
    <w:rsid w:val="008B7BD3"/>
    <w:rsid w:val="008C4E32"/>
    <w:rsid w:val="008D07AE"/>
    <w:rsid w:val="008D09E2"/>
    <w:rsid w:val="008D1ED5"/>
    <w:rsid w:val="008E1AEC"/>
    <w:rsid w:val="008E45F0"/>
    <w:rsid w:val="008E4AF0"/>
    <w:rsid w:val="008E4C78"/>
    <w:rsid w:val="008E5B72"/>
    <w:rsid w:val="008F64F2"/>
    <w:rsid w:val="00900E3B"/>
    <w:rsid w:val="00901E94"/>
    <w:rsid w:val="00902A97"/>
    <w:rsid w:val="00902DEF"/>
    <w:rsid w:val="00904430"/>
    <w:rsid w:val="009065F7"/>
    <w:rsid w:val="00907280"/>
    <w:rsid w:val="00912B34"/>
    <w:rsid w:val="009167B4"/>
    <w:rsid w:val="0092175A"/>
    <w:rsid w:val="00921B40"/>
    <w:rsid w:val="0092281E"/>
    <w:rsid w:val="0092645B"/>
    <w:rsid w:val="00932565"/>
    <w:rsid w:val="00933721"/>
    <w:rsid w:val="00934ED8"/>
    <w:rsid w:val="00937840"/>
    <w:rsid w:val="0094030D"/>
    <w:rsid w:val="009424C7"/>
    <w:rsid w:val="00943CF3"/>
    <w:rsid w:val="00944E82"/>
    <w:rsid w:val="00947521"/>
    <w:rsid w:val="0095140E"/>
    <w:rsid w:val="00952FCB"/>
    <w:rsid w:val="009542ED"/>
    <w:rsid w:val="00954AAD"/>
    <w:rsid w:val="009572A6"/>
    <w:rsid w:val="00957A09"/>
    <w:rsid w:val="00965DBA"/>
    <w:rsid w:val="00965E10"/>
    <w:rsid w:val="00970755"/>
    <w:rsid w:val="00970AB0"/>
    <w:rsid w:val="009717B4"/>
    <w:rsid w:val="00975C44"/>
    <w:rsid w:val="009773EF"/>
    <w:rsid w:val="009808E0"/>
    <w:rsid w:val="009810CA"/>
    <w:rsid w:val="0098138C"/>
    <w:rsid w:val="00986542"/>
    <w:rsid w:val="0099331A"/>
    <w:rsid w:val="009960BC"/>
    <w:rsid w:val="00996AFB"/>
    <w:rsid w:val="00997155"/>
    <w:rsid w:val="009B0839"/>
    <w:rsid w:val="009C09E3"/>
    <w:rsid w:val="009C223A"/>
    <w:rsid w:val="009C6E05"/>
    <w:rsid w:val="009D5BD8"/>
    <w:rsid w:val="009D652F"/>
    <w:rsid w:val="009E1CCB"/>
    <w:rsid w:val="009E7C5D"/>
    <w:rsid w:val="009F0C29"/>
    <w:rsid w:val="009F4EDA"/>
    <w:rsid w:val="009F60E6"/>
    <w:rsid w:val="009F6F6F"/>
    <w:rsid w:val="009F7AB8"/>
    <w:rsid w:val="00A04449"/>
    <w:rsid w:val="00A073A8"/>
    <w:rsid w:val="00A10752"/>
    <w:rsid w:val="00A15AB7"/>
    <w:rsid w:val="00A26639"/>
    <w:rsid w:val="00A32C79"/>
    <w:rsid w:val="00A331C4"/>
    <w:rsid w:val="00A33B8C"/>
    <w:rsid w:val="00A37307"/>
    <w:rsid w:val="00A41A19"/>
    <w:rsid w:val="00A43B95"/>
    <w:rsid w:val="00A457E5"/>
    <w:rsid w:val="00A46C92"/>
    <w:rsid w:val="00A534AB"/>
    <w:rsid w:val="00A55630"/>
    <w:rsid w:val="00A615D7"/>
    <w:rsid w:val="00A65F67"/>
    <w:rsid w:val="00A727F2"/>
    <w:rsid w:val="00A74542"/>
    <w:rsid w:val="00A858B7"/>
    <w:rsid w:val="00A8694E"/>
    <w:rsid w:val="00A92DDC"/>
    <w:rsid w:val="00A9484F"/>
    <w:rsid w:val="00AA065B"/>
    <w:rsid w:val="00AA4C1A"/>
    <w:rsid w:val="00AA53D8"/>
    <w:rsid w:val="00AB276E"/>
    <w:rsid w:val="00AC1365"/>
    <w:rsid w:val="00AC26CA"/>
    <w:rsid w:val="00AC3016"/>
    <w:rsid w:val="00AD3765"/>
    <w:rsid w:val="00AD5109"/>
    <w:rsid w:val="00AE10B3"/>
    <w:rsid w:val="00AE27E1"/>
    <w:rsid w:val="00AE78A2"/>
    <w:rsid w:val="00AF2355"/>
    <w:rsid w:val="00AF28E0"/>
    <w:rsid w:val="00AF561B"/>
    <w:rsid w:val="00AF7AC7"/>
    <w:rsid w:val="00B00A44"/>
    <w:rsid w:val="00B00BFF"/>
    <w:rsid w:val="00B14031"/>
    <w:rsid w:val="00B204B0"/>
    <w:rsid w:val="00B239D2"/>
    <w:rsid w:val="00B2556B"/>
    <w:rsid w:val="00B26230"/>
    <w:rsid w:val="00B262A8"/>
    <w:rsid w:val="00B274BB"/>
    <w:rsid w:val="00B307AC"/>
    <w:rsid w:val="00B3098B"/>
    <w:rsid w:val="00B342DB"/>
    <w:rsid w:val="00B41865"/>
    <w:rsid w:val="00B44453"/>
    <w:rsid w:val="00B4680A"/>
    <w:rsid w:val="00B6552A"/>
    <w:rsid w:val="00B66D25"/>
    <w:rsid w:val="00B67329"/>
    <w:rsid w:val="00B84353"/>
    <w:rsid w:val="00B84FEC"/>
    <w:rsid w:val="00B86B67"/>
    <w:rsid w:val="00B86D68"/>
    <w:rsid w:val="00BA1CE1"/>
    <w:rsid w:val="00BA78B6"/>
    <w:rsid w:val="00BB3E0A"/>
    <w:rsid w:val="00BB5CE1"/>
    <w:rsid w:val="00BC0D01"/>
    <w:rsid w:val="00BC188B"/>
    <w:rsid w:val="00BC6E62"/>
    <w:rsid w:val="00BD194F"/>
    <w:rsid w:val="00BD27A1"/>
    <w:rsid w:val="00BD3794"/>
    <w:rsid w:val="00BE0A56"/>
    <w:rsid w:val="00BE1B31"/>
    <w:rsid w:val="00BE7002"/>
    <w:rsid w:val="00BE797B"/>
    <w:rsid w:val="00BF027C"/>
    <w:rsid w:val="00BF0630"/>
    <w:rsid w:val="00BF5C61"/>
    <w:rsid w:val="00BF659B"/>
    <w:rsid w:val="00C01FB1"/>
    <w:rsid w:val="00C06702"/>
    <w:rsid w:val="00C11E2E"/>
    <w:rsid w:val="00C1541A"/>
    <w:rsid w:val="00C176F9"/>
    <w:rsid w:val="00C17D4D"/>
    <w:rsid w:val="00C2558C"/>
    <w:rsid w:val="00C313B0"/>
    <w:rsid w:val="00C339A9"/>
    <w:rsid w:val="00C35A11"/>
    <w:rsid w:val="00C36561"/>
    <w:rsid w:val="00C41B56"/>
    <w:rsid w:val="00C45FC3"/>
    <w:rsid w:val="00C552E7"/>
    <w:rsid w:val="00C60046"/>
    <w:rsid w:val="00C62742"/>
    <w:rsid w:val="00C6422C"/>
    <w:rsid w:val="00C6570A"/>
    <w:rsid w:val="00C663A9"/>
    <w:rsid w:val="00C7104A"/>
    <w:rsid w:val="00C7242D"/>
    <w:rsid w:val="00C73056"/>
    <w:rsid w:val="00C7372B"/>
    <w:rsid w:val="00C748D7"/>
    <w:rsid w:val="00C820ED"/>
    <w:rsid w:val="00C915FE"/>
    <w:rsid w:val="00C9183B"/>
    <w:rsid w:val="00C927CF"/>
    <w:rsid w:val="00C95CFB"/>
    <w:rsid w:val="00CA017B"/>
    <w:rsid w:val="00CA1017"/>
    <w:rsid w:val="00CB0918"/>
    <w:rsid w:val="00CB3CD1"/>
    <w:rsid w:val="00CB461D"/>
    <w:rsid w:val="00CB47C8"/>
    <w:rsid w:val="00CB6DFB"/>
    <w:rsid w:val="00CC5166"/>
    <w:rsid w:val="00CC5A5B"/>
    <w:rsid w:val="00CD1A98"/>
    <w:rsid w:val="00CE1582"/>
    <w:rsid w:val="00CE2E3D"/>
    <w:rsid w:val="00CE70B6"/>
    <w:rsid w:val="00CF2466"/>
    <w:rsid w:val="00CF2641"/>
    <w:rsid w:val="00CF4E1A"/>
    <w:rsid w:val="00CF53F3"/>
    <w:rsid w:val="00CF5482"/>
    <w:rsid w:val="00CF64C8"/>
    <w:rsid w:val="00CF6CC5"/>
    <w:rsid w:val="00D013E7"/>
    <w:rsid w:val="00D04686"/>
    <w:rsid w:val="00D06AAA"/>
    <w:rsid w:val="00D12590"/>
    <w:rsid w:val="00D146DB"/>
    <w:rsid w:val="00D244A0"/>
    <w:rsid w:val="00D3332C"/>
    <w:rsid w:val="00D37C22"/>
    <w:rsid w:val="00D41F05"/>
    <w:rsid w:val="00D42FBD"/>
    <w:rsid w:val="00D43254"/>
    <w:rsid w:val="00D44D07"/>
    <w:rsid w:val="00D51FA3"/>
    <w:rsid w:val="00D5239A"/>
    <w:rsid w:val="00D52D31"/>
    <w:rsid w:val="00D552DA"/>
    <w:rsid w:val="00D617D5"/>
    <w:rsid w:val="00D6439B"/>
    <w:rsid w:val="00D759EB"/>
    <w:rsid w:val="00D83C28"/>
    <w:rsid w:val="00D850DD"/>
    <w:rsid w:val="00D861B7"/>
    <w:rsid w:val="00D86C35"/>
    <w:rsid w:val="00D90D61"/>
    <w:rsid w:val="00D91DCA"/>
    <w:rsid w:val="00DA050D"/>
    <w:rsid w:val="00DA0A9C"/>
    <w:rsid w:val="00DA4C1C"/>
    <w:rsid w:val="00DA606A"/>
    <w:rsid w:val="00DA748E"/>
    <w:rsid w:val="00DB0215"/>
    <w:rsid w:val="00DB0FA0"/>
    <w:rsid w:val="00DB2B11"/>
    <w:rsid w:val="00DB6D8A"/>
    <w:rsid w:val="00DB79D0"/>
    <w:rsid w:val="00DC2608"/>
    <w:rsid w:val="00DC61EF"/>
    <w:rsid w:val="00DC78DA"/>
    <w:rsid w:val="00DD2EB2"/>
    <w:rsid w:val="00DE1C6A"/>
    <w:rsid w:val="00DF06E6"/>
    <w:rsid w:val="00DF4B23"/>
    <w:rsid w:val="00E018FB"/>
    <w:rsid w:val="00E02271"/>
    <w:rsid w:val="00E02A77"/>
    <w:rsid w:val="00E06518"/>
    <w:rsid w:val="00E06FA1"/>
    <w:rsid w:val="00E07C78"/>
    <w:rsid w:val="00E07DE9"/>
    <w:rsid w:val="00E1291C"/>
    <w:rsid w:val="00E129CF"/>
    <w:rsid w:val="00E16673"/>
    <w:rsid w:val="00E16F16"/>
    <w:rsid w:val="00E17B2E"/>
    <w:rsid w:val="00E22277"/>
    <w:rsid w:val="00E25178"/>
    <w:rsid w:val="00E34993"/>
    <w:rsid w:val="00E34CD7"/>
    <w:rsid w:val="00E37481"/>
    <w:rsid w:val="00E40E33"/>
    <w:rsid w:val="00E438D7"/>
    <w:rsid w:val="00E44540"/>
    <w:rsid w:val="00E47953"/>
    <w:rsid w:val="00E503B8"/>
    <w:rsid w:val="00E514AA"/>
    <w:rsid w:val="00E52989"/>
    <w:rsid w:val="00E56056"/>
    <w:rsid w:val="00E62814"/>
    <w:rsid w:val="00E62A0B"/>
    <w:rsid w:val="00E7121B"/>
    <w:rsid w:val="00E71685"/>
    <w:rsid w:val="00E74D6B"/>
    <w:rsid w:val="00E75652"/>
    <w:rsid w:val="00E83D58"/>
    <w:rsid w:val="00E84805"/>
    <w:rsid w:val="00E848FD"/>
    <w:rsid w:val="00E864FF"/>
    <w:rsid w:val="00E92C1F"/>
    <w:rsid w:val="00E95DAF"/>
    <w:rsid w:val="00EA00CC"/>
    <w:rsid w:val="00EA218E"/>
    <w:rsid w:val="00EA4A8C"/>
    <w:rsid w:val="00EA5A99"/>
    <w:rsid w:val="00EB30D2"/>
    <w:rsid w:val="00EB4F06"/>
    <w:rsid w:val="00EB5271"/>
    <w:rsid w:val="00EB5F5F"/>
    <w:rsid w:val="00EC4BFE"/>
    <w:rsid w:val="00EC550F"/>
    <w:rsid w:val="00ED032D"/>
    <w:rsid w:val="00ED3076"/>
    <w:rsid w:val="00EF3D35"/>
    <w:rsid w:val="00F0132F"/>
    <w:rsid w:val="00F05844"/>
    <w:rsid w:val="00F06B0E"/>
    <w:rsid w:val="00F07162"/>
    <w:rsid w:val="00F12B00"/>
    <w:rsid w:val="00F13BCB"/>
    <w:rsid w:val="00F32F4B"/>
    <w:rsid w:val="00F3440C"/>
    <w:rsid w:val="00F34B5F"/>
    <w:rsid w:val="00F37824"/>
    <w:rsid w:val="00F469B8"/>
    <w:rsid w:val="00F479EF"/>
    <w:rsid w:val="00F51C37"/>
    <w:rsid w:val="00F5796A"/>
    <w:rsid w:val="00F57BDC"/>
    <w:rsid w:val="00F60B9B"/>
    <w:rsid w:val="00F61733"/>
    <w:rsid w:val="00F63634"/>
    <w:rsid w:val="00F63A8F"/>
    <w:rsid w:val="00F642E1"/>
    <w:rsid w:val="00F655B9"/>
    <w:rsid w:val="00F72F09"/>
    <w:rsid w:val="00F751DB"/>
    <w:rsid w:val="00F7567B"/>
    <w:rsid w:val="00F834E9"/>
    <w:rsid w:val="00F85A58"/>
    <w:rsid w:val="00F904D6"/>
    <w:rsid w:val="00F93D98"/>
    <w:rsid w:val="00F94757"/>
    <w:rsid w:val="00FA2EC5"/>
    <w:rsid w:val="00FA4107"/>
    <w:rsid w:val="00FA733D"/>
    <w:rsid w:val="00FB1C9C"/>
    <w:rsid w:val="00FB2CFE"/>
    <w:rsid w:val="00FB6A41"/>
    <w:rsid w:val="00FC0EB5"/>
    <w:rsid w:val="00FC217C"/>
    <w:rsid w:val="00FC281A"/>
    <w:rsid w:val="00FC33C8"/>
    <w:rsid w:val="00FE0D57"/>
    <w:rsid w:val="00FE32BE"/>
    <w:rsid w:val="00FE6FED"/>
    <w:rsid w:val="00FF3857"/>
    <w:rsid w:val="00FF460D"/>
    <w:rsid w:val="4DD2D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5C95A"/>
  <w15:chartTrackingRefBased/>
  <w15:docId w15:val="{91045AFE-3AA1-4344-8A13-39343567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BB"/>
    <w:rPr>
      <w:rFonts w:cs="Arial"/>
      <w:sz w:val="28"/>
      <w:szCs w:val="24"/>
    </w:rPr>
  </w:style>
  <w:style w:type="paragraph" w:styleId="Heading1">
    <w:name w:val="heading 1"/>
    <w:basedOn w:val="ListParagraph"/>
    <w:next w:val="Normal"/>
    <w:link w:val="Heading1Char"/>
    <w:uiPriority w:val="9"/>
    <w:qFormat/>
    <w:rsid w:val="00DA748E"/>
    <w:pPr>
      <w:numPr>
        <w:numId w:val="27"/>
      </w:numPr>
      <w:outlineLvl w:val="0"/>
    </w:pPr>
    <w:rPr>
      <w:b/>
      <w:bCs/>
      <w:sz w:val="40"/>
      <w:szCs w:val="32"/>
    </w:rPr>
  </w:style>
  <w:style w:type="paragraph" w:styleId="Heading2">
    <w:name w:val="heading 2"/>
    <w:basedOn w:val="Normal"/>
    <w:next w:val="Normal"/>
    <w:link w:val="Heading2Char"/>
    <w:uiPriority w:val="9"/>
    <w:unhideWhenUsed/>
    <w:qFormat/>
    <w:rsid w:val="00C2558C"/>
    <w:pPr>
      <w:keepNext/>
      <w:keepLines/>
      <w:spacing w:before="40"/>
      <w:outlineLvl w:val="1"/>
    </w:pPr>
    <w:rPr>
      <w:rFonts w:eastAsiaTheme="majorEastAsia"/>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CDE"/>
    <w:pPr>
      <w:ind w:left="720"/>
      <w:contextualSpacing/>
    </w:pPr>
  </w:style>
  <w:style w:type="character" w:customStyle="1" w:styleId="Heading1Char">
    <w:name w:val="Heading 1 Char"/>
    <w:basedOn w:val="DefaultParagraphFont"/>
    <w:link w:val="Heading1"/>
    <w:uiPriority w:val="9"/>
    <w:rsid w:val="00DA748E"/>
    <w:rPr>
      <w:rFonts w:cs="Arial"/>
      <w:b/>
      <w:bCs/>
      <w:sz w:val="40"/>
      <w:szCs w:val="32"/>
    </w:rPr>
  </w:style>
  <w:style w:type="paragraph" w:styleId="TOCHeading">
    <w:name w:val="TOC Heading"/>
    <w:basedOn w:val="Heading1"/>
    <w:next w:val="Normal"/>
    <w:uiPriority w:val="39"/>
    <w:unhideWhenUsed/>
    <w:qFormat/>
    <w:rsid w:val="00150CDE"/>
    <w:pPr>
      <w:outlineLvl w:val="9"/>
    </w:pPr>
    <w:rPr>
      <w:lang w:val="en-US"/>
    </w:rPr>
  </w:style>
  <w:style w:type="paragraph" w:styleId="NoSpacing">
    <w:name w:val="No Spacing"/>
    <w:uiPriority w:val="1"/>
    <w:qFormat/>
    <w:rsid w:val="00F94757"/>
    <w:pPr>
      <w:spacing w:after="0" w:line="240" w:lineRule="auto"/>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
    <w:basedOn w:val="Normal"/>
    <w:link w:val="FootnoteTextChar"/>
    <w:uiPriority w:val="99"/>
    <w:unhideWhenUsed/>
    <w:qFormat/>
    <w:rsid w:val="00F94757"/>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F94757"/>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
    <w:basedOn w:val="DefaultParagraphFont"/>
    <w:link w:val="4GChar"/>
    <w:uiPriority w:val="99"/>
    <w:unhideWhenUsed/>
    <w:qFormat/>
    <w:rsid w:val="00F94757"/>
    <w:rPr>
      <w:vertAlign w:val="superscript"/>
    </w:rPr>
  </w:style>
  <w:style w:type="character" w:styleId="Hyperlink">
    <w:name w:val="Hyperlink"/>
    <w:basedOn w:val="DefaultParagraphFont"/>
    <w:uiPriority w:val="99"/>
    <w:unhideWhenUsed/>
    <w:rsid w:val="00F94757"/>
    <w:rPr>
      <w:color w:val="0563C1" w:themeColor="hyperlink"/>
      <w:u w:val="single"/>
    </w:rPr>
  </w:style>
  <w:style w:type="character" w:customStyle="1" w:styleId="UnresolvedMention1">
    <w:name w:val="Unresolved Mention1"/>
    <w:basedOn w:val="DefaultParagraphFont"/>
    <w:uiPriority w:val="99"/>
    <w:semiHidden/>
    <w:unhideWhenUsed/>
    <w:rsid w:val="00F94757"/>
    <w:rPr>
      <w:color w:val="605E5C"/>
      <w:shd w:val="clear" w:color="auto" w:fill="E1DFDD"/>
    </w:rPr>
  </w:style>
  <w:style w:type="character" w:customStyle="1" w:styleId="Heading2Char">
    <w:name w:val="Heading 2 Char"/>
    <w:basedOn w:val="DefaultParagraphFont"/>
    <w:link w:val="Heading2"/>
    <w:uiPriority w:val="9"/>
    <w:rsid w:val="00C2558C"/>
    <w:rPr>
      <w:rFonts w:ascii="Arial" w:eastAsiaTheme="majorEastAsia" w:hAnsi="Arial" w:cs="Arial"/>
      <w:sz w:val="24"/>
      <w:szCs w:val="24"/>
      <w:u w:val="single"/>
    </w:rPr>
  </w:style>
  <w:style w:type="character" w:styleId="CommentReference">
    <w:name w:val="annotation reference"/>
    <w:basedOn w:val="DefaultParagraphFont"/>
    <w:uiPriority w:val="99"/>
    <w:semiHidden/>
    <w:unhideWhenUsed/>
    <w:rsid w:val="006732EC"/>
    <w:rPr>
      <w:sz w:val="16"/>
      <w:szCs w:val="16"/>
    </w:rPr>
  </w:style>
  <w:style w:type="paragraph" w:styleId="CommentText">
    <w:name w:val="annotation text"/>
    <w:basedOn w:val="Normal"/>
    <w:link w:val="CommentTextChar"/>
    <w:uiPriority w:val="99"/>
    <w:unhideWhenUsed/>
    <w:rsid w:val="006732EC"/>
    <w:rPr>
      <w:sz w:val="20"/>
      <w:szCs w:val="20"/>
    </w:rPr>
  </w:style>
  <w:style w:type="character" w:customStyle="1" w:styleId="CommentTextChar">
    <w:name w:val="Comment Text Char"/>
    <w:basedOn w:val="DefaultParagraphFont"/>
    <w:link w:val="CommentText"/>
    <w:uiPriority w:val="99"/>
    <w:rsid w:val="006732E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32EC"/>
    <w:rPr>
      <w:b/>
      <w:bCs/>
    </w:rPr>
  </w:style>
  <w:style w:type="character" w:customStyle="1" w:styleId="CommentSubjectChar">
    <w:name w:val="Comment Subject Char"/>
    <w:basedOn w:val="CommentTextChar"/>
    <w:link w:val="CommentSubject"/>
    <w:uiPriority w:val="99"/>
    <w:semiHidden/>
    <w:rsid w:val="006732EC"/>
    <w:rPr>
      <w:rFonts w:ascii="Arial" w:hAnsi="Arial" w:cs="Arial"/>
      <w:b/>
      <w:bCs/>
      <w:sz w:val="20"/>
      <w:szCs w:val="20"/>
    </w:rPr>
  </w:style>
  <w:style w:type="paragraph" w:styleId="Header">
    <w:name w:val="header"/>
    <w:basedOn w:val="Normal"/>
    <w:link w:val="HeaderChar"/>
    <w:uiPriority w:val="99"/>
    <w:unhideWhenUsed/>
    <w:rsid w:val="00B6552A"/>
    <w:pPr>
      <w:tabs>
        <w:tab w:val="center" w:pos="4513"/>
        <w:tab w:val="right" w:pos="9026"/>
      </w:tabs>
    </w:pPr>
  </w:style>
  <w:style w:type="character" w:customStyle="1" w:styleId="HeaderChar">
    <w:name w:val="Header Char"/>
    <w:basedOn w:val="DefaultParagraphFont"/>
    <w:link w:val="Header"/>
    <w:uiPriority w:val="99"/>
    <w:rsid w:val="00B6552A"/>
    <w:rPr>
      <w:rFonts w:ascii="Arial" w:hAnsi="Arial" w:cs="Arial"/>
      <w:sz w:val="24"/>
      <w:szCs w:val="24"/>
    </w:rPr>
  </w:style>
  <w:style w:type="paragraph" w:styleId="Footer">
    <w:name w:val="footer"/>
    <w:basedOn w:val="Normal"/>
    <w:link w:val="FooterChar"/>
    <w:uiPriority w:val="99"/>
    <w:unhideWhenUsed/>
    <w:rsid w:val="00B6552A"/>
    <w:pPr>
      <w:tabs>
        <w:tab w:val="center" w:pos="4513"/>
        <w:tab w:val="right" w:pos="9026"/>
      </w:tabs>
    </w:pPr>
  </w:style>
  <w:style w:type="character" w:customStyle="1" w:styleId="FooterChar">
    <w:name w:val="Footer Char"/>
    <w:basedOn w:val="DefaultParagraphFont"/>
    <w:link w:val="Footer"/>
    <w:uiPriority w:val="99"/>
    <w:rsid w:val="00B6552A"/>
    <w:rPr>
      <w:rFonts w:ascii="Arial" w:hAnsi="Arial" w:cs="Arial"/>
      <w:sz w:val="24"/>
      <w:szCs w:val="24"/>
    </w:rPr>
  </w:style>
  <w:style w:type="paragraph" w:styleId="Revision">
    <w:name w:val="Revision"/>
    <w:hidden/>
    <w:uiPriority w:val="99"/>
    <w:semiHidden/>
    <w:rsid w:val="00B6552A"/>
    <w:pPr>
      <w:spacing w:after="0" w:line="240" w:lineRule="auto"/>
    </w:pPr>
    <w:rPr>
      <w:rFonts w:ascii="Arial" w:hAnsi="Arial" w:cs="Arial"/>
      <w:sz w:val="24"/>
      <w:szCs w:val="24"/>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B6552A"/>
    <w:pPr>
      <w:spacing w:line="240" w:lineRule="exact"/>
      <w:jc w:val="both"/>
    </w:pPr>
    <w:rPr>
      <w:rFonts w:cstheme="minorBidi"/>
      <w:sz w:val="22"/>
      <w:szCs w:val="22"/>
      <w:vertAlign w:val="superscript"/>
    </w:rPr>
  </w:style>
  <w:style w:type="character" w:customStyle="1" w:styleId="ListParagraphChar">
    <w:name w:val="List Paragraph Char"/>
    <w:basedOn w:val="DefaultParagraphFont"/>
    <w:link w:val="ListParagraph"/>
    <w:uiPriority w:val="34"/>
    <w:locked/>
    <w:rsid w:val="00B6552A"/>
    <w:rPr>
      <w:rFonts w:ascii="Arial" w:hAnsi="Arial" w:cs="Arial"/>
      <w:sz w:val="24"/>
      <w:szCs w:val="24"/>
    </w:rPr>
  </w:style>
  <w:style w:type="character" w:styleId="FollowedHyperlink">
    <w:name w:val="FollowedHyperlink"/>
    <w:basedOn w:val="DefaultParagraphFont"/>
    <w:uiPriority w:val="99"/>
    <w:semiHidden/>
    <w:unhideWhenUsed/>
    <w:rsid w:val="0076378A"/>
    <w:rPr>
      <w:color w:val="954F72" w:themeColor="followedHyperlink"/>
      <w:u w:val="single"/>
    </w:rPr>
  </w:style>
  <w:style w:type="paragraph" w:customStyle="1" w:styleId="BasicParagraph">
    <w:name w:val="[Basic Paragraph]"/>
    <w:basedOn w:val="Normal"/>
    <w:uiPriority w:val="99"/>
    <w:rsid w:val="00975C44"/>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customStyle="1" w:styleId="bullet">
    <w:name w:val="bullet"/>
    <w:basedOn w:val="ListParagraph"/>
    <w:link w:val="bulletChar"/>
    <w:qFormat/>
    <w:rsid w:val="00BD27A1"/>
    <w:pPr>
      <w:numPr>
        <w:numId w:val="23"/>
      </w:numPr>
      <w:contextualSpacing w:val="0"/>
    </w:pPr>
    <w:rPr>
      <w:rFonts w:eastAsiaTheme="minorEastAsia" w:cstheme="minorHAnsi"/>
      <w:szCs w:val="28"/>
    </w:rPr>
  </w:style>
  <w:style w:type="character" w:customStyle="1" w:styleId="bulletChar">
    <w:name w:val="bullet Char"/>
    <w:basedOn w:val="DefaultParagraphFont"/>
    <w:link w:val="bullet"/>
    <w:rsid w:val="00BD27A1"/>
    <w:rPr>
      <w:rFonts w:eastAsiaTheme="minorEastAsia" w:cstheme="minorHAnsi"/>
      <w:sz w:val="28"/>
      <w:szCs w:val="28"/>
    </w:rPr>
  </w:style>
  <w:style w:type="paragraph" w:styleId="TOC2">
    <w:name w:val="toc 2"/>
    <w:basedOn w:val="Normal"/>
    <w:next w:val="Normal"/>
    <w:autoRedefine/>
    <w:uiPriority w:val="39"/>
    <w:unhideWhenUsed/>
    <w:rsid w:val="007B5FF8"/>
    <w:pPr>
      <w:spacing w:after="100"/>
      <w:ind w:left="240"/>
    </w:pPr>
  </w:style>
  <w:style w:type="paragraph" w:styleId="TOC1">
    <w:name w:val="toc 1"/>
    <w:basedOn w:val="Normal"/>
    <w:next w:val="Normal"/>
    <w:autoRedefine/>
    <w:uiPriority w:val="39"/>
    <w:unhideWhenUsed/>
    <w:rsid w:val="002573FF"/>
    <w:pPr>
      <w:tabs>
        <w:tab w:val="left" w:pos="660"/>
        <w:tab w:val="right" w:leader="dot" w:pos="9016"/>
      </w:tabs>
      <w:spacing w:after="100"/>
    </w:pPr>
  </w:style>
  <w:style w:type="character" w:customStyle="1" w:styleId="Mention1">
    <w:name w:val="Mention1"/>
    <w:basedOn w:val="DefaultParagraphFont"/>
    <w:uiPriority w:val="99"/>
    <w:unhideWhenUsed/>
    <w:rsid w:val="00E17B2E"/>
    <w:rPr>
      <w:color w:val="2B579A"/>
      <w:shd w:val="clear" w:color="auto" w:fill="E1DFDD"/>
    </w:rPr>
  </w:style>
  <w:style w:type="paragraph" w:styleId="BalloonText">
    <w:name w:val="Balloon Text"/>
    <w:basedOn w:val="Normal"/>
    <w:link w:val="BalloonTextChar"/>
    <w:uiPriority w:val="99"/>
    <w:semiHidden/>
    <w:unhideWhenUsed/>
    <w:rsid w:val="007D07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CD"/>
    <w:rPr>
      <w:rFonts w:ascii="Segoe UI" w:hAnsi="Segoe UI" w:cs="Segoe UI"/>
      <w:sz w:val="18"/>
      <w:szCs w:val="18"/>
    </w:rPr>
  </w:style>
  <w:style w:type="character" w:customStyle="1" w:styleId="UnresolvedMention2">
    <w:name w:val="Unresolved Mention2"/>
    <w:basedOn w:val="DefaultParagraphFont"/>
    <w:uiPriority w:val="99"/>
    <w:semiHidden/>
    <w:unhideWhenUsed/>
    <w:rsid w:val="003D1B5A"/>
    <w:rPr>
      <w:color w:val="605E5C"/>
      <w:shd w:val="clear" w:color="auto" w:fill="E1DFDD"/>
    </w:rPr>
  </w:style>
  <w:style w:type="table" w:styleId="TableGridLight">
    <w:name w:val="Grid Table Light"/>
    <w:basedOn w:val="TableNormal"/>
    <w:uiPriority w:val="40"/>
    <w:rsid w:val="003372BC"/>
    <w:pPr>
      <w:spacing w:after="0" w:line="240" w:lineRule="auto"/>
    </w:pPr>
    <w:rPr>
      <w:rFonts w:ascii="Calibri" w:hAnsi="Calibri"/>
      <w:sz w:val="28"/>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B30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1388">
      <w:bodyDiv w:val="1"/>
      <w:marLeft w:val="0"/>
      <w:marRight w:val="0"/>
      <w:marTop w:val="0"/>
      <w:marBottom w:val="0"/>
      <w:divBdr>
        <w:top w:val="none" w:sz="0" w:space="0" w:color="auto"/>
        <w:left w:val="none" w:sz="0" w:space="0" w:color="auto"/>
        <w:bottom w:val="none" w:sz="0" w:space="0" w:color="auto"/>
        <w:right w:val="none" w:sz="0" w:space="0" w:color="auto"/>
      </w:divBdr>
    </w:div>
    <w:div w:id="430247080">
      <w:bodyDiv w:val="1"/>
      <w:marLeft w:val="0"/>
      <w:marRight w:val="0"/>
      <w:marTop w:val="0"/>
      <w:marBottom w:val="0"/>
      <w:divBdr>
        <w:top w:val="none" w:sz="0" w:space="0" w:color="auto"/>
        <w:left w:val="none" w:sz="0" w:space="0" w:color="auto"/>
        <w:bottom w:val="none" w:sz="0" w:space="0" w:color="auto"/>
        <w:right w:val="none" w:sz="0" w:space="0" w:color="auto"/>
      </w:divBdr>
    </w:div>
    <w:div w:id="954096394">
      <w:bodyDiv w:val="1"/>
      <w:marLeft w:val="0"/>
      <w:marRight w:val="0"/>
      <w:marTop w:val="0"/>
      <w:marBottom w:val="0"/>
      <w:divBdr>
        <w:top w:val="none" w:sz="0" w:space="0" w:color="auto"/>
        <w:left w:val="none" w:sz="0" w:space="0" w:color="auto"/>
        <w:bottom w:val="none" w:sz="0" w:space="0" w:color="auto"/>
        <w:right w:val="none" w:sz="0" w:space="0" w:color="auto"/>
      </w:divBdr>
    </w:div>
    <w:div w:id="202763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nihrc.org/brexi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Mallon@equalityn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rmation@equalityni.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equalityni.org/Brexi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ilis.Haughey@NIHR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info@nihrc.or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qualityni.org/ECNI/media/ECNI/Publications/Delivering%20Equality/DMU/DMU-HoLSubCommitteeSubmission-Nov21.pdf" TargetMode="External"/><Relationship Id="rId13" Type="http://schemas.openxmlformats.org/officeDocument/2006/relationships/hyperlink" Target="https://ec.europa.eu/info/strategy/relations-non-eu-countries/relations-united-kingdom/eu-uk-withdrawal-agreement/protocol-ireland-and-northern-ireland_en" TargetMode="External"/><Relationship Id="rId3" Type="http://schemas.openxmlformats.org/officeDocument/2006/relationships/hyperlink" Target="https://www.equalityni.org/ECNI/media/ECNI/Publications/Delivering%20Equality/DMU/DMU-HoLSubComm-ProtocolInquiry.pdf" TargetMode="External"/><Relationship Id="rId7" Type="http://schemas.openxmlformats.org/officeDocument/2006/relationships/hyperlink" Target="https://www.equalityni.org/ECNI/media/ECNI/Publications/Delivering%20Equality/DMU/DMU-HoLSubComm-ProtocolInquiry.pdf" TargetMode="External"/><Relationship Id="rId12" Type="http://schemas.openxmlformats.org/officeDocument/2006/relationships/hyperlink" Target="https://www.equalityni.org/ECNI/media/ECNI/Publications/Delivering%20Equality/DMU/DMU-HoLSubCommitteeSubmission-Nov21.pdf" TargetMode="External"/><Relationship Id="rId2" Type="http://schemas.openxmlformats.org/officeDocument/2006/relationships/hyperlink" Target="https://www.equalityni.org/ECNI/media/ECNI/Publications/Delivering%20Equality/DMU/DMU-HoLSubCommitteeSubmission-Nov21.pdf" TargetMode="External"/><Relationship Id="rId16" Type="http://schemas.openxmlformats.org/officeDocument/2006/relationships/hyperlink" Target="https://www.equalityni.org/ECNI/media/ECNI/Publications/Delivering%20Equality/DMU/DMU-HoLSubCommitteeSubmission-Nov21.pdf" TargetMode="External"/><Relationship Id="rId1" Type="http://schemas.openxmlformats.org/officeDocument/2006/relationships/hyperlink" Target="https://www.equalityni.org/ECNI/media/ECNI/Publications/Delivering%20Equality/DMU/DMU-HLSCteeSubmission-Protocol.pdf" TargetMode="External"/><Relationship Id="rId6" Type="http://schemas.openxmlformats.org/officeDocument/2006/relationships/hyperlink" Target="https://www.equalityni.org/ECNI/media/ECNI/Publications/Delivering%20Equality/DMU/DMU-HoLSubComm-ProtocolInquiry.pdf" TargetMode="External"/><Relationship Id="rId11" Type="http://schemas.openxmlformats.org/officeDocument/2006/relationships/hyperlink" Target="https://publications.parliament.uk/pa/bills/cbill/58-03/0012/ECHR15062022.pdf" TargetMode="External"/><Relationship Id="rId5" Type="http://schemas.openxmlformats.org/officeDocument/2006/relationships/hyperlink" Target="https://www.equalityni.org/ECNI/media/ECNI/Publications/Delivering%20Equality/DMU/DMU-HoLSubCommitteeSubmission-Nov21.pdf" TargetMode="External"/><Relationship Id="rId15" Type="http://schemas.openxmlformats.org/officeDocument/2006/relationships/hyperlink" Target="https://www.equalityni.org/ECNI/media/ECNI/Publications/Delivering%20Equality/DMU/DMU-HoLSubCommitteeSubmission-Nov21.pdf" TargetMode="External"/><Relationship Id="rId10" Type="http://schemas.openxmlformats.org/officeDocument/2006/relationships/hyperlink" Target="https://nihrc.org/publication/detail/nihrc-and-ecni-briefing-on-the-protocol-bill" TargetMode="External"/><Relationship Id="rId4" Type="http://schemas.openxmlformats.org/officeDocument/2006/relationships/hyperlink" Target="https://www.equalityni.org/ECNI/media/ECNI/Publications/Delivering%20Equality/DMU/DMU-HoLSubCommitteeSubmission-Nov21.pdf" TargetMode="External"/><Relationship Id="rId9" Type="http://schemas.openxmlformats.org/officeDocument/2006/relationships/hyperlink" Target="https://www.equalityni.org/ECNI/media/ECNI/Publications/Delivering%20Equality/DMU/DMU-HoLSubComm-ProtocolInquiry.pdf" TargetMode="External"/><Relationship Id="rId14" Type="http://schemas.openxmlformats.org/officeDocument/2006/relationships/hyperlink" Target="https://www.gov.uk/government/collections/uk-eu-trade-and-cooperation-agreement-civil-society-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626D530323FC40844F905D8FD250CA" ma:contentTypeVersion="13" ma:contentTypeDescription="Create a new document." ma:contentTypeScope="" ma:versionID="8ed8f62415262d26b6b4a0a9c1135e8c">
  <xsd:schema xmlns:xsd="http://www.w3.org/2001/XMLSchema" xmlns:xs="http://www.w3.org/2001/XMLSchema" xmlns:p="http://schemas.microsoft.com/office/2006/metadata/properties" xmlns:ns3="b3264697-f395-4861-9102-1a8254565b3b" xmlns:ns4="22e516a9-023e-4537-bbda-e3cb53eaf7d9" targetNamespace="http://schemas.microsoft.com/office/2006/metadata/properties" ma:root="true" ma:fieldsID="4a928963d5d012c944fa66ffb2090423" ns3:_="" ns4:_="">
    <xsd:import namespace="b3264697-f395-4861-9102-1a8254565b3b"/>
    <xsd:import namespace="22e516a9-023e-4537-bbda-e3cb53eaf7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64697-f395-4861-9102-1a8254565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e516a9-023e-4537-bbda-e3cb53eaf7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30194-165B-46A5-80E4-B2EE62BE98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38418D-8C39-471D-8FBF-6AF7CDF9BF9F}">
  <ds:schemaRefs>
    <ds:schemaRef ds:uri="http://schemas.microsoft.com/sharepoint/v3/contenttype/forms"/>
  </ds:schemaRefs>
</ds:datastoreItem>
</file>

<file path=customXml/itemProps3.xml><?xml version="1.0" encoding="utf-8"?>
<ds:datastoreItem xmlns:ds="http://schemas.openxmlformats.org/officeDocument/2006/customXml" ds:itemID="{6D6B4C0A-67FF-42F4-8AD0-0E62DF65B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64697-f395-4861-9102-1a8254565b3b"/>
    <ds:schemaRef ds:uri="22e516a9-023e-4537-bbda-e3cb53eaf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F7F63-FF8C-4D04-9439-C32B1B44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5334</Words>
  <Characters>30408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35671</CharactersWithSpaces>
  <SharedDoc>false</SharedDoc>
  <HLinks>
    <vt:vector size="132" baseType="variant">
      <vt:variant>
        <vt:i4>1376310</vt:i4>
      </vt:variant>
      <vt:variant>
        <vt:i4>44</vt:i4>
      </vt:variant>
      <vt:variant>
        <vt:i4>0</vt:i4>
      </vt:variant>
      <vt:variant>
        <vt:i4>5</vt:i4>
      </vt:variant>
      <vt:variant>
        <vt:lpwstr/>
      </vt:variant>
      <vt:variant>
        <vt:lpwstr>_Toc117586808</vt:lpwstr>
      </vt:variant>
      <vt:variant>
        <vt:i4>1376310</vt:i4>
      </vt:variant>
      <vt:variant>
        <vt:i4>38</vt:i4>
      </vt:variant>
      <vt:variant>
        <vt:i4>0</vt:i4>
      </vt:variant>
      <vt:variant>
        <vt:i4>5</vt:i4>
      </vt:variant>
      <vt:variant>
        <vt:lpwstr/>
      </vt:variant>
      <vt:variant>
        <vt:lpwstr>_Toc117586807</vt:lpwstr>
      </vt:variant>
      <vt:variant>
        <vt:i4>1376310</vt:i4>
      </vt:variant>
      <vt:variant>
        <vt:i4>32</vt:i4>
      </vt:variant>
      <vt:variant>
        <vt:i4>0</vt:i4>
      </vt:variant>
      <vt:variant>
        <vt:i4>5</vt:i4>
      </vt:variant>
      <vt:variant>
        <vt:lpwstr/>
      </vt:variant>
      <vt:variant>
        <vt:lpwstr>_Toc117586806</vt:lpwstr>
      </vt:variant>
      <vt:variant>
        <vt:i4>1376310</vt:i4>
      </vt:variant>
      <vt:variant>
        <vt:i4>26</vt:i4>
      </vt:variant>
      <vt:variant>
        <vt:i4>0</vt:i4>
      </vt:variant>
      <vt:variant>
        <vt:i4>5</vt:i4>
      </vt:variant>
      <vt:variant>
        <vt:lpwstr/>
      </vt:variant>
      <vt:variant>
        <vt:lpwstr>_Toc117586805</vt:lpwstr>
      </vt:variant>
      <vt:variant>
        <vt:i4>1376310</vt:i4>
      </vt:variant>
      <vt:variant>
        <vt:i4>20</vt:i4>
      </vt:variant>
      <vt:variant>
        <vt:i4>0</vt:i4>
      </vt:variant>
      <vt:variant>
        <vt:i4>5</vt:i4>
      </vt:variant>
      <vt:variant>
        <vt:lpwstr/>
      </vt:variant>
      <vt:variant>
        <vt:lpwstr>_Toc117586804</vt:lpwstr>
      </vt:variant>
      <vt:variant>
        <vt:i4>1376310</vt:i4>
      </vt:variant>
      <vt:variant>
        <vt:i4>14</vt:i4>
      </vt:variant>
      <vt:variant>
        <vt:i4>0</vt:i4>
      </vt:variant>
      <vt:variant>
        <vt:i4>5</vt:i4>
      </vt:variant>
      <vt:variant>
        <vt:lpwstr/>
      </vt:variant>
      <vt:variant>
        <vt:lpwstr>_Toc117586803</vt:lpwstr>
      </vt:variant>
      <vt:variant>
        <vt:i4>1376310</vt:i4>
      </vt:variant>
      <vt:variant>
        <vt:i4>8</vt:i4>
      </vt:variant>
      <vt:variant>
        <vt:i4>0</vt:i4>
      </vt:variant>
      <vt:variant>
        <vt:i4>5</vt:i4>
      </vt:variant>
      <vt:variant>
        <vt:lpwstr/>
      </vt:variant>
      <vt:variant>
        <vt:lpwstr>_Toc117586802</vt:lpwstr>
      </vt:variant>
      <vt:variant>
        <vt:i4>1376310</vt:i4>
      </vt:variant>
      <vt:variant>
        <vt:i4>2</vt:i4>
      </vt:variant>
      <vt:variant>
        <vt:i4>0</vt:i4>
      </vt:variant>
      <vt:variant>
        <vt:i4>5</vt:i4>
      </vt:variant>
      <vt:variant>
        <vt:lpwstr/>
      </vt:variant>
      <vt:variant>
        <vt:lpwstr>_Toc117586801</vt:lpwstr>
      </vt:variant>
      <vt:variant>
        <vt:i4>6750321</vt:i4>
      </vt:variant>
      <vt:variant>
        <vt:i4>66</vt:i4>
      </vt:variant>
      <vt:variant>
        <vt:i4>0</vt:i4>
      </vt:variant>
      <vt:variant>
        <vt:i4>5</vt:i4>
      </vt:variant>
      <vt:variant>
        <vt:lpwstr>https://www.equalityni.org/ECNI/media/ECNI/Publications/Delivering Equality/DMU/DMU-HoLSubCommitteeSubmission-Nov21.pdf</vt:lpwstr>
      </vt:variant>
      <vt:variant>
        <vt:lpwstr/>
      </vt:variant>
      <vt:variant>
        <vt:i4>2162733</vt:i4>
      </vt:variant>
      <vt:variant>
        <vt:i4>63</vt:i4>
      </vt:variant>
      <vt:variant>
        <vt:i4>0</vt:i4>
      </vt:variant>
      <vt:variant>
        <vt:i4>5</vt:i4>
      </vt:variant>
      <vt:variant>
        <vt:lpwstr>https://www.gov.uk/government/collections/uk-eu-trade-and-cooperation-agreement-civil-society-forum</vt:lpwstr>
      </vt:variant>
      <vt:variant>
        <vt:lpwstr/>
      </vt:variant>
      <vt:variant>
        <vt:i4>1310841</vt:i4>
      </vt:variant>
      <vt:variant>
        <vt:i4>60</vt:i4>
      </vt:variant>
      <vt:variant>
        <vt:i4>0</vt:i4>
      </vt:variant>
      <vt:variant>
        <vt:i4>5</vt:i4>
      </vt:variant>
      <vt:variant>
        <vt:lpwstr>https://ec.europa.eu/info/strategy/relations-non-eu-countries/relations-united-kingdom/eu-uk-withdrawal-agreement/protocol-ireland-and-northern-ireland_en</vt:lpwstr>
      </vt:variant>
      <vt:variant>
        <vt:lpwstr/>
      </vt:variant>
      <vt:variant>
        <vt:i4>6750321</vt:i4>
      </vt:variant>
      <vt:variant>
        <vt:i4>57</vt:i4>
      </vt:variant>
      <vt:variant>
        <vt:i4>0</vt:i4>
      </vt:variant>
      <vt:variant>
        <vt:i4>5</vt:i4>
      </vt:variant>
      <vt:variant>
        <vt:lpwstr>https://www.equalityni.org/ECNI/media/ECNI/Publications/Delivering Equality/DMU/DMU-HoLSubCommitteeSubmission-Nov21.pdf</vt:lpwstr>
      </vt:variant>
      <vt:variant>
        <vt:lpwstr/>
      </vt:variant>
      <vt:variant>
        <vt:i4>2687035</vt:i4>
      </vt:variant>
      <vt:variant>
        <vt:i4>54</vt:i4>
      </vt:variant>
      <vt:variant>
        <vt:i4>0</vt:i4>
      </vt:variant>
      <vt:variant>
        <vt:i4>5</vt:i4>
      </vt:variant>
      <vt:variant>
        <vt:lpwstr>https://www.equalityni.org/ECNI/media/ECNI/Publications/Delivering Equality/DMU/DMU-HoLSubComm-ProtocolInquiry.pdf</vt:lpwstr>
      </vt:variant>
      <vt:variant>
        <vt:lpwstr/>
      </vt:variant>
      <vt:variant>
        <vt:i4>6750321</vt:i4>
      </vt:variant>
      <vt:variant>
        <vt:i4>30</vt:i4>
      </vt:variant>
      <vt:variant>
        <vt:i4>0</vt:i4>
      </vt:variant>
      <vt:variant>
        <vt:i4>5</vt:i4>
      </vt:variant>
      <vt:variant>
        <vt:lpwstr>https://www.equalityni.org/ECNI/media/ECNI/Publications/Delivering Equality/DMU/DMU-HoLSubCommitteeSubmission-Nov21.pdf</vt:lpwstr>
      </vt:variant>
      <vt:variant>
        <vt:lpwstr/>
      </vt:variant>
      <vt:variant>
        <vt:i4>2687035</vt:i4>
      </vt:variant>
      <vt:variant>
        <vt:i4>24</vt:i4>
      </vt:variant>
      <vt:variant>
        <vt:i4>0</vt:i4>
      </vt:variant>
      <vt:variant>
        <vt:i4>5</vt:i4>
      </vt:variant>
      <vt:variant>
        <vt:lpwstr>https://www.equalityni.org/ECNI/media/ECNI/Publications/Delivering Equality/DMU/DMU-HoLSubComm-ProtocolInquiry.pdf</vt:lpwstr>
      </vt:variant>
      <vt:variant>
        <vt:lpwstr/>
      </vt:variant>
      <vt:variant>
        <vt:i4>2687035</vt:i4>
      </vt:variant>
      <vt:variant>
        <vt:i4>15</vt:i4>
      </vt:variant>
      <vt:variant>
        <vt:i4>0</vt:i4>
      </vt:variant>
      <vt:variant>
        <vt:i4>5</vt:i4>
      </vt:variant>
      <vt:variant>
        <vt:lpwstr>https://www.equalityni.org/ECNI/media/ECNI/Publications/Delivering Equality/DMU/DMU-HoLSubComm-ProtocolInquiry.pdf</vt:lpwstr>
      </vt:variant>
      <vt:variant>
        <vt:lpwstr/>
      </vt:variant>
      <vt:variant>
        <vt:i4>6750321</vt:i4>
      </vt:variant>
      <vt:variant>
        <vt:i4>12</vt:i4>
      </vt:variant>
      <vt:variant>
        <vt:i4>0</vt:i4>
      </vt:variant>
      <vt:variant>
        <vt:i4>5</vt:i4>
      </vt:variant>
      <vt:variant>
        <vt:lpwstr>https://www.equalityni.org/ECNI/media/ECNI/Publications/Delivering Equality/DMU/DMU-HoLSubCommitteeSubmission-Nov21.pdf</vt:lpwstr>
      </vt:variant>
      <vt:variant>
        <vt:lpwstr/>
      </vt:variant>
      <vt:variant>
        <vt:i4>6750321</vt:i4>
      </vt:variant>
      <vt:variant>
        <vt:i4>9</vt:i4>
      </vt:variant>
      <vt:variant>
        <vt:i4>0</vt:i4>
      </vt:variant>
      <vt:variant>
        <vt:i4>5</vt:i4>
      </vt:variant>
      <vt:variant>
        <vt:lpwstr>https://www.equalityni.org/ECNI/media/ECNI/Publications/Delivering Equality/DMU/DMU-HoLSubCommitteeSubmission-Nov21.pdf</vt:lpwstr>
      </vt:variant>
      <vt:variant>
        <vt:lpwstr/>
      </vt:variant>
      <vt:variant>
        <vt:i4>1507337</vt:i4>
      </vt:variant>
      <vt:variant>
        <vt:i4>6</vt:i4>
      </vt:variant>
      <vt:variant>
        <vt:i4>0</vt:i4>
      </vt:variant>
      <vt:variant>
        <vt:i4>5</vt:i4>
      </vt:variant>
      <vt:variant>
        <vt:lpwstr>https://www.equalityni.org/ECNI/media/ECNI/Publications/Delivering Equality/DMU/DMU-BriefingNIProtocolBill-Oct22.pdf</vt:lpwstr>
      </vt:variant>
      <vt:variant>
        <vt:lpwstr/>
      </vt:variant>
      <vt:variant>
        <vt:i4>2687035</vt:i4>
      </vt:variant>
      <vt:variant>
        <vt:i4>3</vt:i4>
      </vt:variant>
      <vt:variant>
        <vt:i4>0</vt:i4>
      </vt:variant>
      <vt:variant>
        <vt:i4>5</vt:i4>
      </vt:variant>
      <vt:variant>
        <vt:lpwstr>https://www.equalityni.org/ECNI/media/ECNI/Publications/Delivering Equality/DMU/DMU-HoLSubComm-ProtocolInquiry.pdf</vt:lpwstr>
      </vt:variant>
      <vt:variant>
        <vt:lpwstr/>
      </vt:variant>
      <vt:variant>
        <vt:i4>6815856</vt:i4>
      </vt:variant>
      <vt:variant>
        <vt:i4>0</vt:i4>
      </vt:variant>
      <vt:variant>
        <vt:i4>0</vt:i4>
      </vt:variant>
      <vt:variant>
        <vt:i4>5</vt:i4>
      </vt:variant>
      <vt:variant>
        <vt:lpwstr>https://www.equalityni.org/ECNI/media/ECNI/Publications/Delivering Equality/DMU/DMU-HLSCteeSubmission-Protocol.pdf</vt:lpwstr>
      </vt:variant>
      <vt:variant>
        <vt:lpwstr/>
      </vt:variant>
      <vt:variant>
        <vt:i4>5898359</vt:i4>
      </vt:variant>
      <vt:variant>
        <vt:i4>0</vt:i4>
      </vt:variant>
      <vt:variant>
        <vt:i4>0</vt:i4>
      </vt:variant>
      <vt:variant>
        <vt:i4>5</vt:i4>
      </vt:variant>
      <vt:variant>
        <vt:lpwstr>mailto:GDoherty@equalityni.org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Murray</dc:creator>
  <cp:keywords/>
  <dc:description/>
  <cp:lastModifiedBy>Emma Osborne</cp:lastModifiedBy>
  <cp:revision>2</cp:revision>
  <dcterms:created xsi:type="dcterms:W3CDTF">2022-11-04T09:29:00Z</dcterms:created>
  <dcterms:modified xsi:type="dcterms:W3CDTF">2022-11-04T09:29:00Z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0x0101007A626D530323FC40844F905D8FD250CA</vt:lpwstr>
  </property>
</Properties>
</file>