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CA5C7" w14:textId="6CFAF9A8" w:rsidR="00DB0F0C" w:rsidRDefault="00DB0F0C"/>
    <w:p w14:paraId="2F95BC36" w14:textId="388B9035" w:rsidR="005A5333" w:rsidRPr="0026306A" w:rsidRDefault="00EA6B95" w:rsidP="0026306A">
      <w:pPr>
        <w:jc w:val="center"/>
        <w:rPr>
          <w:b/>
          <w:bCs/>
          <w:color w:val="77328A"/>
          <w:sz w:val="32"/>
          <w:szCs w:val="32"/>
        </w:rPr>
      </w:pPr>
      <w:r w:rsidRPr="0026306A">
        <w:rPr>
          <w:b/>
          <w:bCs/>
          <w:color w:val="77328A"/>
          <w:sz w:val="32"/>
          <w:szCs w:val="32"/>
        </w:rPr>
        <w:t>Summary Briefing: NI Troubles (Legacy and Reconciliation) Bill</w:t>
      </w:r>
    </w:p>
    <w:p w14:paraId="5D2808CF" w14:textId="63E6D8F2" w:rsidR="00EA6B95" w:rsidRDefault="00EA6B95" w:rsidP="00EA6B95"/>
    <w:p w14:paraId="55339FF0" w14:textId="2DE1BF51" w:rsidR="00EA6B95" w:rsidRPr="00EA6B95" w:rsidRDefault="0026306A" w:rsidP="00720B92">
      <w:pPr>
        <w:jc w:val="center"/>
      </w:pPr>
      <w:r w:rsidRPr="0026306A">
        <w:rPr>
          <w:b/>
          <w:bCs/>
        </w:rPr>
        <w:t>September 2022</w:t>
      </w:r>
    </w:p>
    <w:p w14:paraId="3FA09D1E" w14:textId="412DA5E8" w:rsidR="00DB0F0C" w:rsidRDefault="00AF1CA3" w:rsidP="005A5333">
      <w:pPr>
        <w:pStyle w:val="Heading1"/>
        <w:numPr>
          <w:ilvl w:val="1"/>
          <w:numId w:val="10"/>
        </w:numPr>
      </w:pPr>
      <w:r>
        <w:t>Overview</w:t>
      </w:r>
    </w:p>
    <w:p w14:paraId="30E42919" w14:textId="6747BEFC" w:rsidR="00F3149C" w:rsidRDefault="00F26F21" w:rsidP="00F3149C">
      <w:pPr>
        <w:pStyle w:val="ListParagraph"/>
        <w:numPr>
          <w:ilvl w:val="1"/>
          <w:numId w:val="10"/>
        </w:numPr>
      </w:pPr>
      <w:r w:rsidRPr="002F2B00">
        <w:t>The N</w:t>
      </w:r>
      <w:r w:rsidR="00706302">
        <w:t xml:space="preserve">orthern Ireland </w:t>
      </w:r>
      <w:r w:rsidRPr="002F2B00">
        <w:t>H</w:t>
      </w:r>
      <w:r w:rsidR="00706302">
        <w:t xml:space="preserve">uman </w:t>
      </w:r>
      <w:r w:rsidRPr="002F2B00">
        <w:t>R</w:t>
      </w:r>
      <w:r w:rsidR="00706302">
        <w:t xml:space="preserve">ights </w:t>
      </w:r>
      <w:r w:rsidRPr="002F2B00">
        <w:t>C</w:t>
      </w:r>
      <w:r w:rsidR="00706302">
        <w:t>ommission (NIHRC)</w:t>
      </w:r>
      <w:r w:rsidR="004F7623">
        <w:rPr>
          <w:rStyle w:val="FootnoteReference"/>
        </w:rPr>
        <w:footnoteReference w:id="1"/>
      </w:r>
      <w:r w:rsidRPr="002F2B00">
        <w:t xml:space="preserve"> is gravely concerned that the current draft of the </w:t>
      </w:r>
      <w:r w:rsidR="008021C0">
        <w:t xml:space="preserve">NI Troubles (Legacy and Reconciliation </w:t>
      </w:r>
      <w:r w:rsidRPr="002F2B00">
        <w:t>Bill, when read as a whole, is incompatible with Articles 2 (right to life) and 3 (freedom from torture) of the European Convention on Human Rights (ECHR).</w:t>
      </w:r>
      <w:r w:rsidRPr="002F2B00">
        <w:rPr>
          <w:rStyle w:val="FootnoteReference"/>
        </w:rPr>
        <w:footnoteReference w:id="2"/>
      </w:r>
      <w:r w:rsidRPr="002F2B00">
        <w:t xml:space="preserve"> </w:t>
      </w:r>
      <w:r w:rsidR="00FA79BD">
        <w:t xml:space="preserve">By extension, </w:t>
      </w:r>
      <w:r w:rsidR="0007645F" w:rsidRPr="002F2B00">
        <w:t>the NIHRC is also concerned that the current draft of the Bill</w:t>
      </w:r>
      <w:r w:rsidR="006B5DAA">
        <w:t xml:space="preserve"> is contrary to the </w:t>
      </w:r>
      <w:r w:rsidR="006B5DAA" w:rsidRPr="002F2B00">
        <w:t>Belfast (Good Friday) Agreement 1998</w:t>
      </w:r>
      <w:r w:rsidR="006B5DAA" w:rsidRPr="002F2B00">
        <w:rPr>
          <w:rStyle w:val="FootnoteReference"/>
        </w:rPr>
        <w:footnoteReference w:id="3"/>
      </w:r>
      <w:r w:rsidR="006B5DAA">
        <w:t xml:space="preserve"> and </w:t>
      </w:r>
      <w:r w:rsidR="005C476E" w:rsidRPr="002F2B00">
        <w:t>the Stormont House Agreement 2014</w:t>
      </w:r>
      <w:r w:rsidR="005C476E">
        <w:t>.</w:t>
      </w:r>
      <w:r w:rsidR="005C476E" w:rsidRPr="002F2B00">
        <w:rPr>
          <w:rStyle w:val="FootnoteReference"/>
        </w:rPr>
        <w:footnoteReference w:id="4"/>
      </w:r>
    </w:p>
    <w:p w14:paraId="17A252B1" w14:textId="76FE1ABA" w:rsidR="00F26F21" w:rsidRDefault="00F26F21" w:rsidP="00F3149C">
      <w:pPr>
        <w:pStyle w:val="ListParagraph"/>
        <w:numPr>
          <w:ilvl w:val="0"/>
          <w:numId w:val="0"/>
        </w:numPr>
        <w:ind w:left="720"/>
      </w:pPr>
    </w:p>
    <w:p w14:paraId="75ACC253" w14:textId="240D2EB9" w:rsidR="00F26F21" w:rsidRDefault="00F26F21" w:rsidP="008B70E2">
      <w:pPr>
        <w:pStyle w:val="ListParagraph"/>
        <w:numPr>
          <w:ilvl w:val="1"/>
          <w:numId w:val="10"/>
        </w:numPr>
      </w:pPr>
      <w:r w:rsidRPr="002F2B00">
        <w:t xml:space="preserve">The current draft of the Bill does not reflect the views of 17,000 consultees who </w:t>
      </w:r>
      <w:r w:rsidR="008021C0">
        <w:t>engaged with the NIO on</w:t>
      </w:r>
      <w:r w:rsidR="008021C0" w:rsidRPr="002F2B00">
        <w:t xml:space="preserve"> </w:t>
      </w:r>
      <w:r w:rsidR="00F3149C">
        <w:t>the</w:t>
      </w:r>
      <w:r w:rsidR="00F3149C" w:rsidRPr="002F2B00">
        <w:t xml:space="preserve"> </w:t>
      </w:r>
      <w:r w:rsidRPr="002F2B00">
        <w:t>previous legacy bill</w:t>
      </w:r>
      <w:r w:rsidRPr="002F2B00">
        <w:rPr>
          <w:rStyle w:val="FootnoteReference"/>
        </w:rPr>
        <w:footnoteReference w:id="5"/>
      </w:r>
      <w:r w:rsidRPr="002F2B00">
        <w:t xml:space="preserve"> and is staunchly opposed within NI, including among victims, survivors </w:t>
      </w:r>
      <w:r w:rsidRPr="00F3149C">
        <w:t>and their families.</w:t>
      </w:r>
      <w:r w:rsidRPr="00F3149C">
        <w:rPr>
          <w:rStyle w:val="FootnoteReference"/>
        </w:rPr>
        <w:footnoteReference w:id="6"/>
      </w:r>
      <w:r w:rsidRPr="00F3149C">
        <w:t xml:space="preserve"> </w:t>
      </w:r>
      <w:r w:rsidR="00720B92" w:rsidRPr="002F2B00">
        <w:t>There are strong indications that public confidence is currently lacking due to the UK Government publishing and forging ahead with the present Bill without meaningful consultation.</w:t>
      </w:r>
      <w:r w:rsidR="00720B92" w:rsidRPr="002F2B00">
        <w:rPr>
          <w:rStyle w:val="FootnoteReference"/>
        </w:rPr>
        <w:footnoteReference w:id="7"/>
      </w:r>
      <w:r w:rsidR="00720B92" w:rsidRPr="002F2B00">
        <w:t xml:space="preserve"> There is also little evidence that expert views on human rights complian</w:t>
      </w:r>
      <w:r w:rsidR="00720B92">
        <w:t>ce</w:t>
      </w:r>
      <w:r w:rsidR="00720B92" w:rsidRPr="002F2B00">
        <w:t xml:space="preserve"> were meaningfully considered when drafting the present Bill.</w:t>
      </w:r>
    </w:p>
    <w:p w14:paraId="2087CA68" w14:textId="77777777" w:rsidR="00020CFC" w:rsidRDefault="00020CFC" w:rsidP="00E91559">
      <w:pPr>
        <w:pStyle w:val="ListParagraph"/>
        <w:numPr>
          <w:ilvl w:val="0"/>
          <w:numId w:val="0"/>
        </w:numPr>
        <w:ind w:left="720"/>
      </w:pPr>
    </w:p>
    <w:p w14:paraId="20560EF0" w14:textId="7ED01FCD" w:rsidR="00020CFC" w:rsidRPr="00F3149C" w:rsidRDefault="0030445C" w:rsidP="008B70E2">
      <w:pPr>
        <w:pStyle w:val="ListParagraph"/>
        <w:numPr>
          <w:ilvl w:val="1"/>
          <w:numId w:val="10"/>
        </w:numPr>
      </w:pPr>
      <w:r w:rsidRPr="0030445C">
        <w:t>As outlined below, the NIHRC is also concerned that the Bill may diminish the rights of victims, in breach of the UK’s obligations under Article 2</w:t>
      </w:r>
      <w:r w:rsidR="00694B47">
        <w:t xml:space="preserve"> of the Ireland/Northern Ireland Protocol to the UK EU Withdrawal Agreement</w:t>
      </w:r>
      <w:r w:rsidR="00491D96">
        <w:t xml:space="preserve"> (‘Protocol Article 2’)</w:t>
      </w:r>
      <w:r w:rsidRPr="0030445C">
        <w:t>.</w:t>
      </w:r>
      <w:r w:rsidR="00E834A1" w:rsidRPr="00E404B8">
        <w:rPr>
          <w:rStyle w:val="FootnoteReference"/>
        </w:rPr>
        <w:footnoteReference w:id="8"/>
      </w:r>
    </w:p>
    <w:p w14:paraId="7FA7D3B9" w14:textId="77777777" w:rsidR="00F26F21" w:rsidRPr="006C0CFE" w:rsidRDefault="00F26F21" w:rsidP="008B70E2">
      <w:pPr>
        <w:pStyle w:val="ListParagraph"/>
        <w:numPr>
          <w:ilvl w:val="0"/>
          <w:numId w:val="0"/>
        </w:numPr>
        <w:ind w:left="720"/>
        <w:rPr>
          <w:b/>
          <w:bCs/>
        </w:rPr>
      </w:pPr>
    </w:p>
    <w:p w14:paraId="32CAF7A7" w14:textId="254D557D" w:rsidR="008B70E2" w:rsidRPr="00F3149C" w:rsidRDefault="00F26F21" w:rsidP="008B70E2">
      <w:pPr>
        <w:pStyle w:val="ListParagraph"/>
        <w:numPr>
          <w:ilvl w:val="1"/>
          <w:numId w:val="10"/>
        </w:numPr>
      </w:pPr>
      <w:r w:rsidRPr="006C0CFE">
        <w:t>The NIHRC concludes that the present Bill require</w:t>
      </w:r>
      <w:r w:rsidR="008021C0" w:rsidRPr="006C0CFE">
        <w:t>s</w:t>
      </w:r>
      <w:r w:rsidRPr="006C0CFE">
        <w:t xml:space="preserve"> immediate and thorough reassessment, which should take place through meaningful engagement. The result should be victim-centred and human rights compliant, the NIHRC is of the view that this is not delivered by the present Bill.</w:t>
      </w:r>
    </w:p>
    <w:p w14:paraId="4022D263" w14:textId="118EEA9B" w:rsidR="008B70E2" w:rsidRPr="006C0CFE" w:rsidRDefault="00F26F21" w:rsidP="008B70E2">
      <w:r w:rsidRPr="006C0CFE">
        <w:t xml:space="preserve"> </w:t>
      </w:r>
    </w:p>
    <w:p w14:paraId="7D0FFC0C" w14:textId="16F08309" w:rsidR="002C1A6B" w:rsidRDefault="00603677" w:rsidP="008B70E2">
      <w:pPr>
        <w:pStyle w:val="ListParagraph"/>
        <w:numPr>
          <w:ilvl w:val="1"/>
          <w:numId w:val="10"/>
        </w:numPr>
      </w:pPr>
      <w:r w:rsidRPr="00F3149C">
        <w:t xml:space="preserve">This </w:t>
      </w:r>
      <w:r w:rsidR="00F26F21" w:rsidRPr="00F3149C">
        <w:t>briefing</w:t>
      </w:r>
      <w:r>
        <w:t xml:space="preserve"> provides an overview of the NIHRC’s comprehensive advice, which is attached and available </w:t>
      </w:r>
      <w:r w:rsidRPr="00141F92">
        <w:t xml:space="preserve">at </w:t>
      </w:r>
      <w:hyperlink r:id="rId11" w:history="1">
        <w:r w:rsidRPr="00141F92">
          <w:rPr>
            <w:rStyle w:val="Hyperlink"/>
          </w:rPr>
          <w:t>www.nihrc.org</w:t>
        </w:r>
      </w:hyperlink>
      <w:r w:rsidRPr="00141F92">
        <w:t>.</w:t>
      </w:r>
    </w:p>
    <w:p w14:paraId="0ADD31A0" w14:textId="77777777" w:rsidR="003E7076" w:rsidRPr="00B70CC6" w:rsidRDefault="003E7076" w:rsidP="00B70CC6">
      <w:pPr>
        <w:pStyle w:val="ListParagraph"/>
        <w:numPr>
          <w:ilvl w:val="0"/>
          <w:numId w:val="0"/>
        </w:numPr>
        <w:spacing w:line="240" w:lineRule="auto"/>
        <w:ind w:left="720"/>
        <w:rPr>
          <w:sz w:val="20"/>
          <w:szCs w:val="20"/>
        </w:rPr>
      </w:pPr>
    </w:p>
    <w:p w14:paraId="492BC4C2" w14:textId="7FCFEA95" w:rsidR="0061207F" w:rsidRDefault="00AB0644" w:rsidP="001A5F15">
      <w:pPr>
        <w:pStyle w:val="Heading1"/>
      </w:pPr>
      <w:bookmarkStart w:id="0" w:name="_Toc107496864"/>
      <w:r>
        <w:t>2.0</w:t>
      </w:r>
      <w:r>
        <w:tab/>
        <w:t>Reviews of Deaths</w:t>
      </w:r>
      <w:bookmarkEnd w:id="0"/>
    </w:p>
    <w:p w14:paraId="66674B77" w14:textId="3466BA63" w:rsidR="00042378" w:rsidRPr="00042378" w:rsidRDefault="00042378" w:rsidP="00042378">
      <w:pPr>
        <w:pStyle w:val="Heading2"/>
      </w:pPr>
      <w:bookmarkStart w:id="1" w:name="_Toc107496865"/>
      <w:r>
        <w:t>Effective investigation</w:t>
      </w:r>
      <w:bookmarkEnd w:id="1"/>
    </w:p>
    <w:p w14:paraId="0A6B4BB5" w14:textId="1BC90718" w:rsidR="000D00D2" w:rsidRPr="000D00D2" w:rsidRDefault="001A5F15" w:rsidP="000D00D2">
      <w:pPr>
        <w:ind w:left="720" w:hanging="720"/>
      </w:pPr>
      <w:r>
        <w:t>2.1</w:t>
      </w:r>
      <w:r>
        <w:tab/>
      </w:r>
      <w:r w:rsidR="000D00D2" w:rsidRPr="000D00D2">
        <w:t xml:space="preserve">The review of cases undertaken by the Independent Commission for Reconciliation and Information Recovery (ICRIR) do not meet the procedural obligations under Articles 2 and 3 ECHR. </w:t>
      </w:r>
      <w:r w:rsidR="00DA6305">
        <w:t xml:space="preserve">Investigations </w:t>
      </w:r>
      <w:r w:rsidR="00DA6305" w:rsidRPr="00DA6305">
        <w:t>must be in line with the rule of law, transparent, ensure accountability and provide an effective remedy.</w:t>
      </w:r>
    </w:p>
    <w:p w14:paraId="5144160D" w14:textId="77777777" w:rsidR="000D00D2" w:rsidRPr="000D00D2" w:rsidRDefault="000D00D2" w:rsidP="000D00D2">
      <w:pPr>
        <w:ind w:left="720" w:hanging="720"/>
      </w:pPr>
    </w:p>
    <w:p w14:paraId="3C0ECC83" w14:textId="6F068AF6" w:rsidR="000D00D2" w:rsidRDefault="000D00D2" w:rsidP="000D00D2">
      <w:pPr>
        <w:ind w:left="720" w:hanging="720"/>
      </w:pPr>
      <w:r>
        <w:t>2.2</w:t>
      </w:r>
      <w:r>
        <w:tab/>
      </w:r>
      <w:r w:rsidR="00B76DC1" w:rsidRPr="00B76DC1">
        <w:t>The</w:t>
      </w:r>
      <w:r w:rsidR="00FC47DE">
        <w:t xml:space="preserve"> proposed role of the</w:t>
      </w:r>
      <w:r w:rsidR="00B76DC1" w:rsidRPr="00B76DC1">
        <w:t xml:space="preserve"> Secretary of State’s influence and involvement across the ICRIR’s operations raises serious concerns as to whether the ICRIR’s work can be sufficiently independent and impartial</w:t>
      </w:r>
      <w:r w:rsidR="004B6AF3" w:rsidRPr="00B76DC1">
        <w:t>.</w:t>
      </w:r>
      <w:r w:rsidR="00393C88" w:rsidRPr="00B76DC1">
        <w:rPr>
          <w:rStyle w:val="FootnoteReference"/>
        </w:rPr>
        <w:footnoteReference w:id="9"/>
      </w:r>
    </w:p>
    <w:p w14:paraId="1EC884A0" w14:textId="77777777" w:rsidR="000D00D2" w:rsidRPr="000D00D2" w:rsidRDefault="000D00D2" w:rsidP="000D00D2">
      <w:pPr>
        <w:ind w:left="720" w:hanging="720"/>
      </w:pPr>
    </w:p>
    <w:p w14:paraId="0D94A919" w14:textId="68731CD2" w:rsidR="000D00D2" w:rsidRPr="000D00D2" w:rsidRDefault="000D00D2" w:rsidP="000D00D2">
      <w:pPr>
        <w:ind w:left="720" w:hanging="720"/>
      </w:pPr>
      <w:r>
        <w:t>2.3</w:t>
      </w:r>
      <w:r>
        <w:tab/>
      </w:r>
      <w:r w:rsidR="00EF05C9" w:rsidRPr="00EF05C9">
        <w:t>A thorough investigation requires that inquiries be capable of establishing the facts, identifying the perpetrator and follow all lines of inquiry.</w:t>
      </w:r>
      <w:r w:rsidR="0033760C" w:rsidRPr="002F2B00">
        <w:rPr>
          <w:rStyle w:val="FootnoteReference"/>
        </w:rPr>
        <w:footnoteReference w:id="10"/>
      </w:r>
      <w:r w:rsidR="00EF05C9" w:rsidRPr="00EF05C9">
        <w:t xml:space="preserve"> It is the NIHRC’s view that this cannot be achieved by a </w:t>
      </w:r>
      <w:r w:rsidR="00EF05C9" w:rsidRPr="00EF05C9">
        <w:lastRenderedPageBreak/>
        <w:t xml:space="preserve">light-touch review or producing a basic historical record as </w:t>
      </w:r>
      <w:r w:rsidR="00FC47DE">
        <w:t xml:space="preserve">is </w:t>
      </w:r>
      <w:r w:rsidR="00EF05C9" w:rsidRPr="00EF05C9">
        <w:t>proposed</w:t>
      </w:r>
      <w:r w:rsidR="00FC47DE">
        <w:t>.</w:t>
      </w:r>
      <w:r w:rsidR="00EF05C9" w:rsidRPr="00EF05C9">
        <w:t xml:space="preserve"> </w:t>
      </w:r>
    </w:p>
    <w:p w14:paraId="6C1207E2" w14:textId="41B1320D" w:rsidR="000D00D2" w:rsidRPr="000D00D2" w:rsidRDefault="000D00D2" w:rsidP="00C51DAA"/>
    <w:p w14:paraId="539C4100" w14:textId="057DCA20" w:rsidR="00931284" w:rsidRDefault="000D00D2" w:rsidP="00720B92">
      <w:pPr>
        <w:ind w:left="720" w:hanging="720"/>
      </w:pPr>
      <w:r>
        <w:t>2.</w:t>
      </w:r>
      <w:r w:rsidR="00410187">
        <w:t>4</w:t>
      </w:r>
      <w:r>
        <w:tab/>
      </w:r>
      <w:r w:rsidRPr="000D00D2">
        <w:t xml:space="preserve">The requirement to conduct reasonably prompt and expeditious investigations is not a reason for this legislation to be rushed through without meaningful consultation or the </w:t>
      </w:r>
      <w:r w:rsidR="00FC47DE">
        <w:t>support</w:t>
      </w:r>
      <w:r w:rsidR="00FC47DE" w:rsidRPr="000D00D2">
        <w:t xml:space="preserve"> </w:t>
      </w:r>
      <w:r w:rsidRPr="000D00D2">
        <w:t xml:space="preserve">of victims and survivors. </w:t>
      </w:r>
      <w:r w:rsidR="002B3479" w:rsidRPr="002F2B00">
        <w:t xml:space="preserve"> </w:t>
      </w:r>
    </w:p>
    <w:p w14:paraId="7EDB3915" w14:textId="3B29C8C6" w:rsidR="002B3479" w:rsidRDefault="002B3479" w:rsidP="000D00D2">
      <w:pPr>
        <w:ind w:left="720" w:hanging="720"/>
      </w:pPr>
    </w:p>
    <w:p w14:paraId="4D082E5E" w14:textId="77CD7BDB" w:rsidR="002B3479" w:rsidRDefault="002B3479" w:rsidP="000D00D2">
      <w:pPr>
        <w:ind w:left="720" w:hanging="720"/>
      </w:pPr>
      <w:r>
        <w:t>2.</w:t>
      </w:r>
      <w:r w:rsidR="002458BC">
        <w:t>5</w:t>
      </w:r>
      <w:r>
        <w:tab/>
      </w:r>
      <w:r w:rsidR="007311DA" w:rsidRPr="007311DA">
        <w:t>T</w:t>
      </w:r>
      <w:r w:rsidR="00803646" w:rsidRPr="007311DA">
        <w:t xml:space="preserve">he ICRIR </w:t>
      </w:r>
      <w:r w:rsidR="007311DA" w:rsidRPr="007311DA">
        <w:t xml:space="preserve">should be required to </w:t>
      </w:r>
      <w:r w:rsidR="00803646" w:rsidRPr="007311DA">
        <w:t>publish all reports, with limited exception. There should be a structured approach towards what is or is not included in a draft and final report. Where exceptions are in place</w:t>
      </w:r>
      <w:r w:rsidR="00282CD4">
        <w:t>,</w:t>
      </w:r>
      <w:r w:rsidR="00803646" w:rsidRPr="007311DA">
        <w:t xml:space="preserve"> they must be lawful and proportionate</w:t>
      </w:r>
      <w:r w:rsidR="00F35D18">
        <w:t>,</w:t>
      </w:r>
      <w:r w:rsidR="00803646" w:rsidRPr="007311DA">
        <w:t xml:space="preserve"> safeguards</w:t>
      </w:r>
      <w:r w:rsidR="00F35D18">
        <w:t xml:space="preserve"> </w:t>
      </w:r>
      <w:r w:rsidR="00282CD4">
        <w:t>should</w:t>
      </w:r>
      <w:r w:rsidR="00282CD4" w:rsidRPr="007311DA">
        <w:t xml:space="preserve"> </w:t>
      </w:r>
      <w:r w:rsidR="00803646" w:rsidRPr="007311DA">
        <w:t>ensure these are not applied arbitrarily</w:t>
      </w:r>
      <w:r w:rsidR="00F35D18">
        <w:t>,</w:t>
      </w:r>
      <w:r w:rsidR="00803646" w:rsidRPr="007311DA">
        <w:t xml:space="preserve"> and the commitment</w:t>
      </w:r>
      <w:r w:rsidR="00F35D18">
        <w:t xml:space="preserve"> of </w:t>
      </w:r>
      <w:r w:rsidR="00803646" w:rsidRPr="007311DA">
        <w:t xml:space="preserve">effective public scrutiny </w:t>
      </w:r>
      <w:r w:rsidR="00F35D18">
        <w:t>is</w:t>
      </w:r>
      <w:r w:rsidR="00F35D18" w:rsidRPr="007311DA">
        <w:t xml:space="preserve"> </w:t>
      </w:r>
      <w:r w:rsidR="00803646" w:rsidRPr="007311DA">
        <w:t>not illusory.</w:t>
      </w:r>
    </w:p>
    <w:p w14:paraId="020B61B5" w14:textId="09AFFC87" w:rsidR="00AD4BE8" w:rsidRDefault="00AD4BE8" w:rsidP="000D00D2">
      <w:pPr>
        <w:ind w:left="720" w:hanging="720"/>
      </w:pPr>
    </w:p>
    <w:p w14:paraId="7C14BC3A" w14:textId="4D28368F" w:rsidR="00E52806" w:rsidRDefault="00AD4BE8" w:rsidP="00282CD4">
      <w:pPr>
        <w:ind w:left="720" w:hanging="720"/>
      </w:pPr>
      <w:r>
        <w:t>2.</w:t>
      </w:r>
      <w:r w:rsidR="002458BC">
        <w:t>6</w:t>
      </w:r>
      <w:r>
        <w:tab/>
      </w:r>
      <w:r w:rsidR="00282CD4">
        <w:t>T</w:t>
      </w:r>
      <w:r w:rsidR="00282CD4" w:rsidRPr="00570CE1">
        <w:t xml:space="preserve">he </w:t>
      </w:r>
      <w:r w:rsidRPr="00570CE1">
        <w:t>proposed definition of ‘close family member’ is too narrow</w:t>
      </w:r>
      <w:r w:rsidR="00F35D18">
        <w:t>, and</w:t>
      </w:r>
      <w:r w:rsidR="00F35D18" w:rsidRPr="00570CE1">
        <w:t xml:space="preserve"> </w:t>
      </w:r>
      <w:r w:rsidRPr="00570CE1">
        <w:t xml:space="preserve">should extend to grandparents, aunts, uncles, </w:t>
      </w:r>
      <w:proofErr w:type="gramStart"/>
      <w:r w:rsidRPr="00570CE1">
        <w:t>nieces</w:t>
      </w:r>
      <w:proofErr w:type="gramEnd"/>
      <w:r w:rsidRPr="00570CE1">
        <w:t xml:space="preserve"> or nephews.</w:t>
      </w:r>
      <w:r w:rsidR="00570CE1" w:rsidRPr="00570CE1">
        <w:t xml:space="preserve"> It should also take account of situations where it may be appropriate for a non-familial person, with close personal links and who provides care for a victim to seek remedy on the victim’s behalf.</w:t>
      </w:r>
    </w:p>
    <w:p w14:paraId="60E636D1" w14:textId="13D85D1D" w:rsidR="00AE158C" w:rsidRDefault="006F4E14" w:rsidP="006F4E14">
      <w:pPr>
        <w:pStyle w:val="Heading1"/>
      </w:pPr>
      <w:r>
        <w:t>3.0</w:t>
      </w:r>
      <w:r>
        <w:tab/>
        <w:t>Scope of the ICRIR</w:t>
      </w:r>
    </w:p>
    <w:p w14:paraId="6E78E7E4" w14:textId="21E50470" w:rsidR="00211FE0" w:rsidRPr="00211FE0" w:rsidRDefault="00410E79" w:rsidP="00410E79">
      <w:pPr>
        <w:pStyle w:val="Heading2"/>
      </w:pPr>
      <w:r>
        <w:t>Definition of offences</w:t>
      </w:r>
    </w:p>
    <w:p w14:paraId="7AD1D41A" w14:textId="79E0A139" w:rsidR="00AE158C" w:rsidRDefault="006F4E14" w:rsidP="00AE158C">
      <w:pPr>
        <w:ind w:left="720" w:hanging="720"/>
      </w:pPr>
      <w:r>
        <w:t>3.1</w:t>
      </w:r>
      <w:r>
        <w:tab/>
      </w:r>
      <w:r w:rsidR="001C2581" w:rsidRPr="002F2B00">
        <w:t xml:space="preserve">The present Bill proposes that </w:t>
      </w:r>
      <w:r w:rsidR="001C2581">
        <w:t>the ICRIR will only consider for review</w:t>
      </w:r>
      <w:r w:rsidR="001C2581" w:rsidRPr="002F2B00">
        <w:t xml:space="preserve"> cases </w:t>
      </w:r>
      <w:r w:rsidR="001C2581">
        <w:t xml:space="preserve">that </w:t>
      </w:r>
      <w:r w:rsidR="001C2581" w:rsidRPr="002F2B00">
        <w:t>fall within two categories.</w:t>
      </w:r>
      <w:r w:rsidR="001C2581">
        <w:rPr>
          <w:rStyle w:val="FootnoteReference"/>
        </w:rPr>
        <w:footnoteReference w:id="11"/>
      </w:r>
      <w:r w:rsidR="001C2581" w:rsidRPr="002F2B00">
        <w:t xml:space="preserve"> The ICRIR </w:t>
      </w:r>
      <w:r w:rsidR="00F35D18">
        <w:t>will</w:t>
      </w:r>
      <w:r w:rsidR="00F35D18" w:rsidRPr="002F2B00">
        <w:t xml:space="preserve"> </w:t>
      </w:r>
      <w:r w:rsidR="001C2581" w:rsidRPr="002F2B00">
        <w:t xml:space="preserve">only </w:t>
      </w:r>
      <w:r w:rsidR="00F35D18">
        <w:t xml:space="preserve">be </w:t>
      </w:r>
      <w:r w:rsidR="001C2581" w:rsidRPr="002F2B00">
        <w:t>mandated to create a historical record for Troubles-related deaths, its mandate does not include creating a historical record for serious physical or mental harm,</w:t>
      </w:r>
      <w:r w:rsidR="001C2581" w:rsidRPr="002F2B00">
        <w:rPr>
          <w:rStyle w:val="FootnoteReference"/>
        </w:rPr>
        <w:footnoteReference w:id="12"/>
      </w:r>
      <w:r w:rsidR="001C2581" w:rsidRPr="002F2B00">
        <w:t xml:space="preserve"> with no alternative mechanism available for such cases.</w:t>
      </w:r>
      <w:r w:rsidR="00757E8F">
        <w:t xml:space="preserve"> </w:t>
      </w:r>
      <w:r w:rsidR="00757E8F" w:rsidRPr="002F2B00">
        <w:t>A prescriptive list</w:t>
      </w:r>
      <w:r w:rsidR="00282CD4">
        <w:t>,</w:t>
      </w:r>
      <w:r w:rsidR="00757E8F" w:rsidRPr="002F2B00">
        <w:t xml:space="preserve"> limited to extreme injuries and not </w:t>
      </w:r>
      <w:r w:rsidR="00282CD4" w:rsidRPr="002F2B00">
        <w:t>accommodat</w:t>
      </w:r>
      <w:r w:rsidR="00282CD4">
        <w:t>ing</w:t>
      </w:r>
      <w:r w:rsidR="00282CD4" w:rsidRPr="002F2B00">
        <w:t xml:space="preserve"> </w:t>
      </w:r>
      <w:r w:rsidR="00757E8F" w:rsidRPr="002F2B00">
        <w:t>rehabilitative injuries</w:t>
      </w:r>
      <w:r w:rsidR="00282CD4">
        <w:t>,</w:t>
      </w:r>
      <w:r w:rsidR="00757E8F">
        <w:t xml:space="preserve"> </w:t>
      </w:r>
      <w:r w:rsidR="00757E8F" w:rsidRPr="002F2B00">
        <w:t>is unlikely to be human rights compliant. It ignores the absolute nature of the right to freedom from torture.</w:t>
      </w:r>
      <w:r w:rsidR="00757E8F" w:rsidRPr="002F2B00">
        <w:rPr>
          <w:vertAlign w:val="superscript"/>
        </w:rPr>
        <w:footnoteReference w:id="13"/>
      </w:r>
      <w:r w:rsidR="007209D8">
        <w:t xml:space="preserve"> </w:t>
      </w:r>
      <w:r w:rsidR="00757E8F" w:rsidRPr="002F2B00">
        <w:t>It is also a notable departure from the Victims and Survivors (NI) Order 2006</w:t>
      </w:r>
      <w:r w:rsidR="008D6DC6">
        <w:t>.</w:t>
      </w:r>
      <w:r w:rsidR="008D6DC6">
        <w:rPr>
          <w:rStyle w:val="FootnoteReference"/>
        </w:rPr>
        <w:footnoteReference w:id="14"/>
      </w:r>
      <w:r w:rsidR="00C63430">
        <w:t xml:space="preserve"> </w:t>
      </w:r>
      <w:r w:rsidR="00C63430" w:rsidRPr="00C63430">
        <w:t xml:space="preserve">The Bill should adopt a broad approach </w:t>
      </w:r>
      <w:r w:rsidR="00C63430" w:rsidRPr="00C63430">
        <w:lastRenderedPageBreak/>
        <w:t xml:space="preserve">to determining what offences fall within the ICRIR’s </w:t>
      </w:r>
      <w:r w:rsidR="00282CD4">
        <w:t>remit</w:t>
      </w:r>
      <w:r w:rsidR="00C63430" w:rsidRPr="00C63430">
        <w:t>. There should be flexibility to ensure the individual circumstances of each potential case and broader human rights commitments can be considered and are used to inform the determination of whether a case should be considered by the ICRIR.</w:t>
      </w:r>
    </w:p>
    <w:p w14:paraId="46EC69B9" w14:textId="5CCB4272" w:rsidR="000B3249" w:rsidRDefault="000B3249" w:rsidP="00AE158C">
      <w:pPr>
        <w:ind w:left="720" w:hanging="720"/>
      </w:pPr>
    </w:p>
    <w:p w14:paraId="7CC102BA" w14:textId="60558C6F" w:rsidR="00502952" w:rsidRDefault="00502952" w:rsidP="00502952">
      <w:pPr>
        <w:pStyle w:val="Heading2"/>
      </w:pPr>
      <w:r>
        <w:t>Non-duplication</w:t>
      </w:r>
    </w:p>
    <w:p w14:paraId="05C6AD81" w14:textId="3D8B811D" w:rsidR="00676F6E" w:rsidRDefault="006F4E14" w:rsidP="00DC0D76">
      <w:pPr>
        <w:ind w:left="720" w:hanging="720"/>
      </w:pPr>
      <w:r>
        <w:t>3.2</w:t>
      </w:r>
      <w:r>
        <w:tab/>
      </w:r>
      <w:r w:rsidR="00E013C5" w:rsidRPr="00E013C5">
        <w:t>There should be an assessment of all previous investigations into Troubles-related offences</w:t>
      </w:r>
      <w:r w:rsidR="00282CD4">
        <w:t>, to determine</w:t>
      </w:r>
      <w:r w:rsidR="00E013C5" w:rsidRPr="00E013C5">
        <w:t xml:space="preserve"> human rights </w:t>
      </w:r>
      <w:r w:rsidR="00282CD4" w:rsidRPr="00E013C5">
        <w:t>complian</w:t>
      </w:r>
      <w:r w:rsidR="00282CD4">
        <w:t>ce</w:t>
      </w:r>
      <w:r w:rsidR="00E013C5" w:rsidRPr="00E013C5">
        <w:t>. The NIHRC is concerned that the</w:t>
      </w:r>
      <w:r w:rsidR="00282CD4">
        <w:t>re</w:t>
      </w:r>
      <w:r w:rsidR="00E013C5" w:rsidRPr="00E013C5">
        <w:t xml:space="preserve"> </w:t>
      </w:r>
      <w:r w:rsidR="00282CD4">
        <w:t xml:space="preserve">is no </w:t>
      </w:r>
      <w:r w:rsidR="00E013C5" w:rsidRPr="00E013C5">
        <w:t xml:space="preserve">mechanism to assess </w:t>
      </w:r>
      <w:r w:rsidR="00282CD4">
        <w:t>the compliance of</w:t>
      </w:r>
      <w:r w:rsidR="00282CD4" w:rsidRPr="00E013C5">
        <w:t xml:space="preserve"> </w:t>
      </w:r>
      <w:r w:rsidR="00E013C5" w:rsidRPr="00E013C5">
        <w:t xml:space="preserve">previous investigations, and </w:t>
      </w:r>
      <w:r w:rsidR="00282CD4">
        <w:t>where</w:t>
      </w:r>
      <w:r w:rsidR="00282CD4" w:rsidRPr="00E013C5">
        <w:t xml:space="preserve"> </w:t>
      </w:r>
      <w:r w:rsidR="00E013C5" w:rsidRPr="00E013C5">
        <w:t>not, to determine that they should fall within the ICRIR’s remit.</w:t>
      </w:r>
    </w:p>
    <w:p w14:paraId="009DD88A" w14:textId="0CE71FA5" w:rsidR="00676F6E" w:rsidRDefault="00676F6E" w:rsidP="00DC0D76">
      <w:pPr>
        <w:ind w:left="720" w:hanging="720"/>
      </w:pPr>
    </w:p>
    <w:p w14:paraId="19B5B0B8" w14:textId="5ED0F25B" w:rsidR="00502952" w:rsidRDefault="00502952" w:rsidP="00502952">
      <w:pPr>
        <w:pStyle w:val="Heading2"/>
      </w:pPr>
      <w:r>
        <w:t>Temporal scope</w:t>
      </w:r>
    </w:p>
    <w:p w14:paraId="5AFBFCC9" w14:textId="683E5AB1" w:rsidR="00AE158C" w:rsidRDefault="00676F6E" w:rsidP="00676F6E">
      <w:pPr>
        <w:ind w:left="720" w:hanging="720"/>
      </w:pPr>
      <w:r>
        <w:t>3.3</w:t>
      </w:r>
      <w:r>
        <w:tab/>
      </w:r>
      <w:r w:rsidR="00C760AB">
        <w:t>T</w:t>
      </w:r>
      <w:r w:rsidR="00C760AB" w:rsidRPr="002F2B00">
        <w:t xml:space="preserve">he current draft of the Bill proposes defining Troubles-related offences as those </w:t>
      </w:r>
      <w:r w:rsidR="004A3464">
        <w:t>between</w:t>
      </w:r>
      <w:r w:rsidR="00C760AB" w:rsidRPr="002F2B00">
        <w:t xml:space="preserve"> 1 January 1966</w:t>
      </w:r>
      <w:r w:rsidR="004A3464">
        <w:t xml:space="preserve"> and 10 April 1998</w:t>
      </w:r>
      <w:r w:rsidR="00C760AB" w:rsidRPr="002F2B00">
        <w:t>.</w:t>
      </w:r>
      <w:r w:rsidR="00C760AB">
        <w:rPr>
          <w:rStyle w:val="FootnoteReference"/>
        </w:rPr>
        <w:footnoteReference w:id="15"/>
      </w:r>
      <w:r w:rsidR="00094A73">
        <w:t xml:space="preserve"> </w:t>
      </w:r>
      <w:r w:rsidR="006A6EF7">
        <w:t>While t</w:t>
      </w:r>
      <w:r w:rsidR="006A6EF7" w:rsidRPr="00AE158C">
        <w:t xml:space="preserve">he </w:t>
      </w:r>
      <w:r w:rsidR="00AE158C" w:rsidRPr="00AE158C">
        <w:t xml:space="preserve">end date </w:t>
      </w:r>
      <w:r w:rsidR="008C34A1">
        <w:t xml:space="preserve">reflects </w:t>
      </w:r>
      <w:r w:rsidR="00AE158C" w:rsidRPr="00AE158C">
        <w:t>the</w:t>
      </w:r>
      <w:r w:rsidR="006A6EF7">
        <w:t xml:space="preserve"> signing of the</w:t>
      </w:r>
      <w:r w:rsidR="00AE158C" w:rsidRPr="00AE158C">
        <w:t xml:space="preserve"> Belfast (Good Friday) Agreement</w:t>
      </w:r>
      <w:r w:rsidR="006A6EF7">
        <w:t>,</w:t>
      </w:r>
      <w:r w:rsidR="00D539FA">
        <w:t xml:space="preserve"> </w:t>
      </w:r>
      <w:r w:rsidR="00AE158C" w:rsidRPr="00AE158C">
        <w:t xml:space="preserve">Troubles-related offences </w:t>
      </w:r>
      <w:r w:rsidR="00371B66">
        <w:t>continue to occur</w:t>
      </w:r>
      <w:r w:rsidR="00AE158C" w:rsidRPr="00AE158C">
        <w:t xml:space="preserve">. </w:t>
      </w:r>
      <w:r w:rsidRPr="00211FE0">
        <w:t>To justify the proposed end date</w:t>
      </w:r>
      <w:r w:rsidR="006A6EF7">
        <w:t>,</w:t>
      </w:r>
      <w:r w:rsidRPr="00211FE0">
        <w:t xml:space="preserve"> a review confirming that offences after this date have been investigated or have the option of being investigated in line with human rights obligations is required.</w:t>
      </w:r>
    </w:p>
    <w:p w14:paraId="101D804B" w14:textId="77777777" w:rsidR="00AE158C" w:rsidRPr="00AE158C" w:rsidRDefault="00AE158C" w:rsidP="00AE158C">
      <w:pPr>
        <w:ind w:left="720" w:hanging="720"/>
      </w:pPr>
    </w:p>
    <w:p w14:paraId="6D750E46" w14:textId="0B1A967C" w:rsidR="00AE158C" w:rsidRPr="00AE158C" w:rsidRDefault="00AE158C" w:rsidP="00F215F8">
      <w:pPr>
        <w:pStyle w:val="Heading2"/>
      </w:pPr>
      <w:bookmarkStart w:id="2" w:name="_Toc107496869"/>
      <w:r w:rsidRPr="00AE158C">
        <w:t>Jurisdictional scope</w:t>
      </w:r>
      <w:bookmarkEnd w:id="2"/>
    </w:p>
    <w:p w14:paraId="5127F6E0" w14:textId="4889CD81" w:rsidR="00C9013A" w:rsidRPr="00C9013A" w:rsidRDefault="00A81B2E" w:rsidP="002458BC">
      <w:pPr>
        <w:pStyle w:val="ListParagraph"/>
        <w:numPr>
          <w:ilvl w:val="1"/>
          <w:numId w:val="15"/>
        </w:numPr>
        <w:jc w:val="left"/>
      </w:pPr>
      <w:r>
        <w:t>R</w:t>
      </w:r>
      <w:r w:rsidR="00C9013A" w:rsidRPr="00C9013A">
        <w:t>ecognition that the NI conflict extended beyond NI</w:t>
      </w:r>
      <w:r w:rsidR="00D27E5A">
        <w:t xml:space="preserve"> is welcomed</w:t>
      </w:r>
      <w:r w:rsidR="00C9013A" w:rsidRPr="00C9013A">
        <w:t>.</w:t>
      </w:r>
      <w:r w:rsidR="00C9013A">
        <w:rPr>
          <w:rStyle w:val="FootnoteReference"/>
        </w:rPr>
        <w:footnoteReference w:id="16"/>
      </w:r>
      <w:r w:rsidR="00C9013A" w:rsidRPr="00C9013A">
        <w:t xml:space="preserve"> However, the NIHRC is concerned that the ICRIR’s mandate and approach to investigations</w:t>
      </w:r>
      <w:r w:rsidR="006A6EF7">
        <w:t>,</w:t>
      </w:r>
      <w:r w:rsidR="00C9013A" w:rsidRPr="00C9013A">
        <w:t xml:space="preserve"> as proposed</w:t>
      </w:r>
      <w:r w:rsidR="006A6EF7">
        <w:t>,</w:t>
      </w:r>
      <w:r w:rsidR="00C9013A" w:rsidRPr="00C9013A">
        <w:t xml:space="preserve"> will significantly hinder the ability for other States to satisfy their procedural obligations regarding the NI conflict. </w:t>
      </w:r>
      <w:r w:rsidR="00905BFA">
        <w:t>T</w:t>
      </w:r>
      <w:r w:rsidR="00905BFA" w:rsidRPr="002F2B00">
        <w:t>he current draft of the Bill includes a list of specified persons or organisations to which disclosure of sensitive information is permitted.</w:t>
      </w:r>
      <w:r w:rsidR="00876D92">
        <w:rPr>
          <w:rStyle w:val="FootnoteReference"/>
        </w:rPr>
        <w:footnoteReference w:id="17"/>
      </w:r>
      <w:r w:rsidR="00905BFA" w:rsidRPr="002F2B00">
        <w:t xml:space="preserve"> It does not provide for such information to be shared with equivalent authorities in other States that may have a duty to investigate Troubles-related offences.</w:t>
      </w:r>
    </w:p>
    <w:p w14:paraId="22073E2F" w14:textId="77777777" w:rsidR="00F35D18" w:rsidRPr="00F35D18" w:rsidRDefault="00F35D18" w:rsidP="00720B92"/>
    <w:p w14:paraId="4F595AAF" w14:textId="77777777" w:rsidR="00842E11" w:rsidRPr="00626A84" w:rsidRDefault="00842E11" w:rsidP="00842E11">
      <w:pPr>
        <w:pStyle w:val="Heading2"/>
      </w:pPr>
      <w:bookmarkStart w:id="3" w:name="_Toc107496870"/>
      <w:r w:rsidRPr="00626A84">
        <w:lastRenderedPageBreak/>
        <w:t>Biometric data</w:t>
      </w:r>
      <w:bookmarkEnd w:id="3"/>
    </w:p>
    <w:p w14:paraId="209CD1C7" w14:textId="086915F4" w:rsidR="007F1913" w:rsidRPr="009444C9" w:rsidRDefault="007F1913" w:rsidP="002458BC">
      <w:pPr>
        <w:pStyle w:val="ListParagraph"/>
        <w:numPr>
          <w:ilvl w:val="1"/>
          <w:numId w:val="15"/>
        </w:numPr>
        <w:jc w:val="left"/>
      </w:pPr>
      <w:r w:rsidRPr="009444C9">
        <w:t>The proposed provisions within the current draft of the Bill relating to the retention and use of biometric data</w:t>
      </w:r>
      <w:r w:rsidR="004C2598" w:rsidRPr="009444C9">
        <w:rPr>
          <w:rStyle w:val="FootnoteReference"/>
        </w:rPr>
        <w:footnoteReference w:id="18"/>
      </w:r>
      <w:r w:rsidRPr="009444C9">
        <w:t xml:space="preserve"> are largely in line with human rights standards. However, to ensure proportionality the Bill should include a</w:t>
      </w:r>
      <w:r w:rsidR="00720B92">
        <w:t xml:space="preserve"> requirement </w:t>
      </w:r>
      <w:r w:rsidRPr="009444C9">
        <w:t xml:space="preserve">that biometric data retained for the purposes of ICRIR’s work must be relevant to that work. </w:t>
      </w:r>
    </w:p>
    <w:p w14:paraId="31F8C4BD" w14:textId="3B287ADD" w:rsidR="00842E11" w:rsidRDefault="00842E11" w:rsidP="00842E11">
      <w:pPr>
        <w:ind w:left="720" w:hanging="720"/>
      </w:pPr>
    </w:p>
    <w:p w14:paraId="29C676D4" w14:textId="66271218" w:rsidR="00AB0644" w:rsidRDefault="00EB2A38" w:rsidP="001A5F15">
      <w:pPr>
        <w:pStyle w:val="Heading1"/>
      </w:pPr>
      <w:bookmarkStart w:id="4" w:name="_Toc107496871"/>
      <w:r>
        <w:t>4</w:t>
      </w:r>
      <w:r w:rsidR="00AB0644">
        <w:t>.0</w:t>
      </w:r>
      <w:r w:rsidR="00AB0644">
        <w:tab/>
      </w:r>
      <w:r w:rsidR="00013FF0">
        <w:t>Conditional Immunity Scheme</w:t>
      </w:r>
      <w:bookmarkEnd w:id="4"/>
    </w:p>
    <w:p w14:paraId="150B75D5" w14:textId="77777777" w:rsidR="00BB2552" w:rsidRDefault="008D0181" w:rsidP="008D0181">
      <w:pPr>
        <w:ind w:left="720" w:hanging="720"/>
      </w:pPr>
      <w:r>
        <w:t>4.1</w:t>
      </w:r>
      <w:r>
        <w:tab/>
      </w:r>
      <w:r w:rsidRPr="002F2B00">
        <w:t>An immunity scheme for gross abuses of human rights, such as those related to Articles 2 and 3, violates the ECHR</w:t>
      </w:r>
      <w:r w:rsidR="00295391">
        <w:t xml:space="preserve"> and other related human rights provisions</w:t>
      </w:r>
      <w:r w:rsidRPr="002F2B00">
        <w:t>.</w:t>
      </w:r>
      <w:r w:rsidRPr="002F2B00">
        <w:rPr>
          <w:vertAlign w:val="superscript"/>
        </w:rPr>
        <w:footnoteReference w:id="19"/>
      </w:r>
      <w:r w:rsidRPr="002F2B00">
        <w:t xml:space="preserve"> This reflects the limited nature of </w:t>
      </w:r>
      <w:r w:rsidR="00295391">
        <w:t>the right to life</w:t>
      </w:r>
      <w:r w:rsidRPr="002F2B00">
        <w:t xml:space="preserve"> and absolute nature of </w:t>
      </w:r>
      <w:r w:rsidR="00295391">
        <w:t>freedom from torture</w:t>
      </w:r>
      <w:r w:rsidRPr="002F2B00">
        <w:t>.</w:t>
      </w:r>
      <w:r w:rsidRPr="002F2B00">
        <w:rPr>
          <w:rStyle w:val="FootnoteReference"/>
        </w:rPr>
        <w:footnoteReference w:id="20"/>
      </w:r>
      <w:r w:rsidR="00BB2552">
        <w:t xml:space="preserve"> </w:t>
      </w:r>
    </w:p>
    <w:p w14:paraId="60C0E005" w14:textId="77777777" w:rsidR="00BB2552" w:rsidRDefault="00BB2552" w:rsidP="008D0181">
      <w:pPr>
        <w:ind w:left="720" w:hanging="720"/>
      </w:pPr>
    </w:p>
    <w:p w14:paraId="2D8E0E23" w14:textId="76FC80C0" w:rsidR="0005312E" w:rsidRDefault="00BB2552" w:rsidP="008D0181">
      <w:pPr>
        <w:ind w:left="720" w:hanging="720"/>
      </w:pPr>
      <w:r>
        <w:t>4.2</w:t>
      </w:r>
      <w:r>
        <w:tab/>
      </w:r>
      <w:r w:rsidR="006A6D83">
        <w:t>A</w:t>
      </w:r>
      <w:r w:rsidRPr="002F2B00">
        <w:t>lternative views expressed within ECtHR jurisprudence rely on the amnesty being in the public interest</w:t>
      </w:r>
      <w:r w:rsidRPr="002F2B00">
        <w:rPr>
          <w:vertAlign w:val="superscript"/>
        </w:rPr>
        <w:footnoteReference w:id="21"/>
      </w:r>
      <w:r w:rsidRPr="002F2B00">
        <w:t xml:space="preserve"> or an existing effective reconciliation process and/or form of compensation to the victims.</w:t>
      </w:r>
      <w:r w:rsidRPr="002F2B00">
        <w:rPr>
          <w:vertAlign w:val="superscript"/>
        </w:rPr>
        <w:footnoteReference w:id="22"/>
      </w:r>
      <w:r w:rsidRPr="002F2B00">
        <w:t xml:space="preserve"> This is not the case in NI.</w:t>
      </w:r>
      <w:r w:rsidR="00530350">
        <w:t xml:space="preserve"> </w:t>
      </w:r>
      <w:r w:rsidR="006A6D83">
        <w:t>There is no</w:t>
      </w:r>
      <w:r w:rsidR="00530350" w:rsidRPr="002F2B00">
        <w:t xml:space="preserve"> buy-in from victims</w:t>
      </w:r>
      <w:r w:rsidR="006A6D83">
        <w:t>,</w:t>
      </w:r>
      <w:r w:rsidR="00530350" w:rsidRPr="002F2B00">
        <w:t xml:space="preserve"> </w:t>
      </w:r>
      <w:proofErr w:type="gramStart"/>
      <w:r w:rsidR="00530350" w:rsidRPr="002F2B00">
        <w:t>survivors</w:t>
      </w:r>
      <w:proofErr w:type="gramEnd"/>
      <w:r w:rsidR="00530350" w:rsidRPr="002F2B00">
        <w:t xml:space="preserve"> and elected representatives. The Victims Payments scheme is a compromise,</w:t>
      </w:r>
      <w:r w:rsidR="00530350" w:rsidRPr="002F2B00">
        <w:rPr>
          <w:rStyle w:val="FootnoteReference"/>
        </w:rPr>
        <w:footnoteReference w:id="23"/>
      </w:r>
      <w:r w:rsidR="00530350" w:rsidRPr="002F2B00">
        <w:t xml:space="preserve"> but is not an all-encompassing form of compensation.</w:t>
      </w:r>
    </w:p>
    <w:p w14:paraId="4FE432C5" w14:textId="77777777" w:rsidR="006A6D83" w:rsidRDefault="006A6D83" w:rsidP="006A6D83"/>
    <w:p w14:paraId="4CF69E53" w14:textId="189844BB" w:rsidR="00DA1151" w:rsidRDefault="00530350" w:rsidP="00F3149C">
      <w:pPr>
        <w:ind w:left="720" w:hanging="720"/>
      </w:pPr>
      <w:r>
        <w:t>4.3</w:t>
      </w:r>
      <w:r>
        <w:tab/>
      </w:r>
      <w:r w:rsidR="00B801D5" w:rsidRPr="002F2B00">
        <w:t>The UK Government frequently highlights the South Africa Truth and Reconciliation Commission as an example of where a conditional immunity scheme has been used.</w:t>
      </w:r>
      <w:r w:rsidR="00B801D5" w:rsidRPr="002F2B00">
        <w:rPr>
          <w:rStyle w:val="FootnoteReference"/>
        </w:rPr>
        <w:footnoteReference w:id="24"/>
      </w:r>
      <w:r w:rsidR="00B801D5" w:rsidRPr="002F2B00">
        <w:t xml:space="preserve"> </w:t>
      </w:r>
      <w:r w:rsidR="00B801D5">
        <w:t>However, t</w:t>
      </w:r>
      <w:r w:rsidR="00B801D5" w:rsidRPr="002F2B00">
        <w:t>here are several differences which mean this comparison is of limited use.</w:t>
      </w:r>
      <w:r w:rsidR="00B801D5">
        <w:rPr>
          <w:rStyle w:val="FootnoteReference"/>
        </w:rPr>
        <w:footnoteReference w:id="25"/>
      </w:r>
    </w:p>
    <w:p w14:paraId="24918264" w14:textId="77777777" w:rsidR="002458BC" w:rsidRDefault="002458BC" w:rsidP="00F3149C">
      <w:pPr>
        <w:ind w:left="720" w:hanging="720"/>
      </w:pPr>
    </w:p>
    <w:p w14:paraId="19661395" w14:textId="00BF6B32" w:rsidR="00DA1151" w:rsidRPr="002458BC" w:rsidRDefault="00DA1151" w:rsidP="002458BC">
      <w:pPr>
        <w:ind w:left="720" w:hanging="720"/>
      </w:pPr>
      <w:r w:rsidRPr="002458BC">
        <w:lastRenderedPageBreak/>
        <w:t>4.4</w:t>
      </w:r>
      <w:r w:rsidRPr="002458BC">
        <w:tab/>
      </w:r>
      <w:r w:rsidR="00665CDA" w:rsidRPr="002458BC">
        <w:t xml:space="preserve">The </w:t>
      </w:r>
      <w:r w:rsidR="00BF58BB" w:rsidRPr="002458BC">
        <w:t xml:space="preserve">proposed </w:t>
      </w:r>
      <w:r w:rsidR="00665CDA" w:rsidRPr="002458BC">
        <w:t>conditional immunity scheme</w:t>
      </w:r>
      <w:r w:rsidR="00BF58BB" w:rsidRPr="002458BC">
        <w:t xml:space="preserve"> </w:t>
      </w:r>
      <w:r w:rsidR="006A6EF7" w:rsidRPr="002458BC">
        <w:t xml:space="preserve">appears </w:t>
      </w:r>
      <w:r w:rsidR="00675B5E" w:rsidRPr="002458BC">
        <w:t xml:space="preserve">to arbitrarily distinguish between </w:t>
      </w:r>
      <w:r w:rsidR="00552CA1" w:rsidRPr="002458BC">
        <w:t xml:space="preserve">those eligible for </w:t>
      </w:r>
      <w:r w:rsidR="00675B5E" w:rsidRPr="002458BC">
        <w:t>immunity.</w:t>
      </w:r>
      <w:r w:rsidR="001B2A11" w:rsidRPr="002458BC">
        <w:rPr>
          <w:rStyle w:val="FootnoteReference"/>
        </w:rPr>
        <w:footnoteReference w:id="26"/>
      </w:r>
      <w:r w:rsidR="00675B5E" w:rsidRPr="002458BC">
        <w:t xml:space="preserve"> This </w:t>
      </w:r>
      <w:r w:rsidR="0049070A" w:rsidRPr="002458BC">
        <w:t>may constitute a violation of the right to freedom from non-discrimination</w:t>
      </w:r>
      <w:r w:rsidR="008D5665" w:rsidRPr="002458BC">
        <w:t xml:space="preserve"> (Article 14 ECHR)</w:t>
      </w:r>
      <w:r w:rsidR="0049070A" w:rsidRPr="002458BC">
        <w:t xml:space="preserve">. </w:t>
      </w:r>
    </w:p>
    <w:p w14:paraId="2A084F92" w14:textId="1BE16723" w:rsidR="004419E1" w:rsidRPr="002458BC" w:rsidRDefault="004419E1" w:rsidP="002458BC">
      <w:pPr>
        <w:ind w:left="720" w:hanging="720"/>
      </w:pPr>
    </w:p>
    <w:p w14:paraId="5C85F3DF" w14:textId="5FDAC062" w:rsidR="00FF73A3" w:rsidRDefault="004419E1" w:rsidP="002458BC">
      <w:pPr>
        <w:ind w:left="720" w:hanging="720"/>
      </w:pPr>
      <w:r w:rsidRPr="002458BC">
        <w:t>4.5</w:t>
      </w:r>
      <w:r w:rsidRPr="002458BC">
        <w:tab/>
      </w:r>
      <w:r w:rsidR="006B429B" w:rsidRPr="002458BC">
        <w:t>Within the present Bill, i</w:t>
      </w:r>
      <w:r w:rsidRPr="002458BC">
        <w:t>mmunity decisions rely solely on information provided by the person requesting immunity.</w:t>
      </w:r>
      <w:r w:rsidRPr="002458BC">
        <w:rPr>
          <w:rStyle w:val="FootnoteReference"/>
        </w:rPr>
        <w:footnoteReference w:id="27"/>
      </w:r>
      <w:r w:rsidR="006B429B" w:rsidRPr="002458BC">
        <w:t xml:space="preserve"> </w:t>
      </w:r>
      <w:r w:rsidR="00F3149C" w:rsidRPr="002458BC">
        <w:t xml:space="preserve">This </w:t>
      </w:r>
      <w:r w:rsidR="006B429B" w:rsidRPr="002458BC">
        <w:t>does not include a</w:t>
      </w:r>
      <w:r w:rsidR="00552CA1" w:rsidRPr="002458BC">
        <w:t>n express</w:t>
      </w:r>
      <w:r w:rsidR="006B429B" w:rsidRPr="002458BC">
        <w:t xml:space="preserve"> requirement that victims or family members are informed </w:t>
      </w:r>
      <w:r w:rsidR="00F3149C" w:rsidRPr="002458BC">
        <w:t>of an application for immunity o</w:t>
      </w:r>
      <w:r w:rsidR="00552CA1" w:rsidRPr="002458BC">
        <w:t>r</w:t>
      </w:r>
      <w:r w:rsidR="00F3149C" w:rsidRPr="002458BC">
        <w:t xml:space="preserve"> the outcome of th</w:t>
      </w:r>
      <w:r w:rsidR="00552CA1" w:rsidRPr="002458BC">
        <w:t>at</w:t>
      </w:r>
      <w:r w:rsidR="00F3149C" w:rsidRPr="002458BC">
        <w:t xml:space="preserve"> request. </w:t>
      </w:r>
      <w:r w:rsidR="000D6999" w:rsidRPr="002458BC">
        <w:t xml:space="preserve"> </w:t>
      </w:r>
      <w:r w:rsidR="00F3149C" w:rsidRPr="002458BC">
        <w:t xml:space="preserve">There is also no </w:t>
      </w:r>
      <w:r w:rsidR="004A2485" w:rsidRPr="002458BC">
        <w:t xml:space="preserve">express </w:t>
      </w:r>
      <w:r w:rsidR="000D6999" w:rsidRPr="002458BC">
        <w:t xml:space="preserve">requirement for the ICRIR to provide reasons </w:t>
      </w:r>
      <w:r w:rsidR="00F3149C" w:rsidRPr="002458BC">
        <w:t xml:space="preserve">on immunity decisions. </w:t>
      </w:r>
    </w:p>
    <w:p w14:paraId="5B3F7DBF" w14:textId="77777777" w:rsidR="00050ECD" w:rsidRDefault="00050ECD" w:rsidP="002458BC">
      <w:pPr>
        <w:ind w:left="720" w:hanging="720"/>
      </w:pPr>
    </w:p>
    <w:p w14:paraId="344DCD2B" w14:textId="6AC77ACE" w:rsidR="00F711C1" w:rsidRDefault="00363A81" w:rsidP="002458BC">
      <w:pPr>
        <w:ind w:left="720" w:hanging="720"/>
      </w:pPr>
      <w:r>
        <w:rPr>
          <w:rFonts w:cs="Verdana"/>
          <w:color w:val="000000"/>
        </w:rPr>
        <w:t>4.6</w:t>
      </w:r>
      <w:r>
        <w:rPr>
          <w:rFonts w:cs="Verdana"/>
          <w:color w:val="000000"/>
        </w:rPr>
        <w:tab/>
      </w:r>
      <w:r w:rsidR="005B3733">
        <w:rPr>
          <w:rFonts w:cs="Verdana"/>
          <w:color w:val="000000"/>
        </w:rPr>
        <w:t xml:space="preserve">The </w:t>
      </w:r>
      <w:r w:rsidR="00866289" w:rsidRPr="00C22F2D">
        <w:rPr>
          <w:rFonts w:cs="Verdana"/>
          <w:color w:val="000000"/>
        </w:rPr>
        <w:t xml:space="preserve">UK Government </w:t>
      </w:r>
      <w:r w:rsidR="005B3733">
        <w:rPr>
          <w:rFonts w:cs="Verdana"/>
          <w:color w:val="000000"/>
        </w:rPr>
        <w:t>has recognised the EU Victims’ Directive</w:t>
      </w:r>
      <w:r w:rsidR="005B3733">
        <w:rPr>
          <w:rStyle w:val="FootnoteReference"/>
          <w:rFonts w:cs="Verdana"/>
          <w:color w:val="000000"/>
        </w:rPr>
        <w:footnoteReference w:id="28"/>
      </w:r>
      <w:r w:rsidR="005B3733">
        <w:rPr>
          <w:rFonts w:cs="Verdana"/>
          <w:color w:val="000000"/>
        </w:rPr>
        <w:t xml:space="preserve"> </w:t>
      </w:r>
      <w:r w:rsidR="00866289" w:rsidRPr="00C22F2D">
        <w:rPr>
          <w:rFonts w:cs="Verdana"/>
          <w:color w:val="000000"/>
        </w:rPr>
        <w:t>as falling within the scope of the ‘no diminution of rights’ commitment in Protocol Article 2.</w:t>
      </w:r>
      <w:r w:rsidR="00866289" w:rsidRPr="004A441E">
        <w:rPr>
          <w:rStyle w:val="FootnoteReference"/>
          <w:rFonts w:cs="Verdana"/>
          <w:color w:val="000000"/>
        </w:rPr>
        <w:footnoteReference w:id="29"/>
      </w:r>
      <w:r w:rsidR="005B3733">
        <w:rPr>
          <w:rFonts w:cs="Verdana"/>
          <w:color w:val="000000"/>
        </w:rPr>
        <w:t xml:space="preserve"> </w:t>
      </w:r>
      <w:r w:rsidR="000B64DA" w:rsidRPr="004A441E">
        <w:t>The right to an effective remedy is recognised as a general principle of EU law</w:t>
      </w:r>
      <w:r w:rsidR="000B64DA" w:rsidRPr="004A441E">
        <w:rPr>
          <w:rStyle w:val="FootnoteReference"/>
        </w:rPr>
        <w:footnoteReference w:id="30"/>
      </w:r>
      <w:r w:rsidR="000B64DA" w:rsidRPr="004A441E">
        <w:t xml:space="preserve">, retained under the EU </w:t>
      </w:r>
      <w:r w:rsidR="00462F9F">
        <w:t>(</w:t>
      </w:r>
      <w:r w:rsidR="000B64DA" w:rsidRPr="004A441E">
        <w:t>Withdrawal</w:t>
      </w:r>
      <w:r w:rsidR="00462F9F">
        <w:t>)</w:t>
      </w:r>
      <w:r w:rsidR="000B64DA" w:rsidRPr="004A441E">
        <w:t xml:space="preserve"> Act 2018</w:t>
      </w:r>
      <w:r w:rsidR="000B64DA" w:rsidRPr="004A441E">
        <w:rPr>
          <w:rStyle w:val="FootnoteReference"/>
        </w:rPr>
        <w:footnoteReference w:id="31"/>
      </w:r>
      <w:r w:rsidR="000B64DA" w:rsidRPr="004A441E">
        <w:t xml:space="preserve"> </w:t>
      </w:r>
      <w:r w:rsidR="00FB07CE">
        <w:t xml:space="preserve">and </w:t>
      </w:r>
      <w:r w:rsidR="000B64DA" w:rsidRPr="004A441E">
        <w:t>relevant to the interpretation of the Victims’ Directive</w:t>
      </w:r>
      <w:r w:rsidR="00FB07CE">
        <w:t>.</w:t>
      </w:r>
      <w:r w:rsidR="000B64DA" w:rsidRPr="004A441E">
        <w:t xml:space="preserve"> </w:t>
      </w:r>
      <w:r w:rsidR="003F6A59">
        <w:t>T</w:t>
      </w:r>
      <w:r w:rsidR="00A26EA4" w:rsidRPr="004A441E">
        <w:t>he mandatory and irrevocable outcome of the immunity decision in preventing prosecutions</w:t>
      </w:r>
      <w:r w:rsidR="00A26EA4" w:rsidRPr="004A441E">
        <w:rPr>
          <w:rStyle w:val="FootnoteReference"/>
        </w:rPr>
        <w:footnoteReference w:id="32"/>
      </w:r>
      <w:r w:rsidR="00A26EA4" w:rsidRPr="004A441E">
        <w:t xml:space="preserve">, leaves no avenue for a victim to </w:t>
      </w:r>
      <w:r w:rsidR="00AC70A3">
        <w:t>be heard</w:t>
      </w:r>
      <w:r w:rsidR="002C1655">
        <w:t>,</w:t>
      </w:r>
      <w:r w:rsidR="00AC70A3">
        <w:t xml:space="preserve"> or </w:t>
      </w:r>
      <w:r w:rsidR="00A26EA4" w:rsidRPr="004A441E">
        <w:t>request a review of a decision not to prosecute, as required under the Directive</w:t>
      </w:r>
      <w:r w:rsidR="006851EE">
        <w:t xml:space="preserve"> and general principles</w:t>
      </w:r>
      <w:r w:rsidR="00A26EA4" w:rsidRPr="004A441E">
        <w:t>.</w:t>
      </w:r>
      <w:r w:rsidR="00630AA0">
        <w:rPr>
          <w:rStyle w:val="FootnoteReference"/>
        </w:rPr>
        <w:footnoteReference w:id="33"/>
      </w:r>
      <w:r w:rsidR="00C96CB8">
        <w:t xml:space="preserve"> This may </w:t>
      </w:r>
      <w:r w:rsidR="00DF780E">
        <w:t xml:space="preserve">therefore breach </w:t>
      </w:r>
      <w:r w:rsidR="00C96CB8">
        <w:t>Protocol Article 2</w:t>
      </w:r>
      <w:r w:rsidR="00D111C8">
        <w:t>.</w:t>
      </w:r>
    </w:p>
    <w:p w14:paraId="300017DC" w14:textId="77777777" w:rsidR="00FF73A3" w:rsidRDefault="00FF73A3" w:rsidP="008D0181">
      <w:pPr>
        <w:ind w:left="720" w:hanging="720"/>
      </w:pPr>
    </w:p>
    <w:p w14:paraId="51635E8C" w14:textId="7E0A0E6B" w:rsidR="000071A8" w:rsidRDefault="000071A8" w:rsidP="0091120A">
      <w:pPr>
        <w:pStyle w:val="ListParagraph"/>
        <w:numPr>
          <w:ilvl w:val="1"/>
          <w:numId w:val="17"/>
        </w:numPr>
      </w:pPr>
      <w:r w:rsidRPr="000071A8">
        <w:t>The welcomed exclusion of Troubles-related sexual offences from the immunity scheme is insufficient to overcome these broader concerns about the immunity scheme proposed by the present Bill.</w:t>
      </w:r>
    </w:p>
    <w:p w14:paraId="056343AA" w14:textId="77777777" w:rsidR="00850DA4" w:rsidRPr="00850DA4" w:rsidRDefault="00850DA4" w:rsidP="00850DA4">
      <w:pPr>
        <w:pStyle w:val="ListParagraph"/>
        <w:numPr>
          <w:ilvl w:val="0"/>
          <w:numId w:val="0"/>
        </w:numPr>
        <w:spacing w:before="0" w:after="0" w:line="240" w:lineRule="auto"/>
        <w:ind w:left="720"/>
        <w:rPr>
          <w:sz w:val="20"/>
          <w:szCs w:val="20"/>
        </w:rPr>
      </w:pPr>
    </w:p>
    <w:p w14:paraId="719D1FFE" w14:textId="6E727405" w:rsidR="00013FF0" w:rsidRDefault="000071A8" w:rsidP="001A5F15">
      <w:pPr>
        <w:pStyle w:val="Heading1"/>
      </w:pPr>
      <w:bookmarkStart w:id="5" w:name="_Toc107496872"/>
      <w:r>
        <w:lastRenderedPageBreak/>
        <w:t>5.0</w:t>
      </w:r>
      <w:r>
        <w:tab/>
      </w:r>
      <w:r w:rsidR="001A5F15">
        <w:t>Cessation of Proceedings</w:t>
      </w:r>
      <w:bookmarkEnd w:id="5"/>
    </w:p>
    <w:p w14:paraId="39D18813" w14:textId="04B30D2A" w:rsidR="00D31706" w:rsidRDefault="002458BC" w:rsidP="00712F71">
      <w:pPr>
        <w:ind w:left="720" w:hanging="720"/>
      </w:pPr>
      <w:r>
        <w:t>5</w:t>
      </w:r>
      <w:r w:rsidR="00267C0B">
        <w:t>.1</w:t>
      </w:r>
      <w:r w:rsidR="00267C0B">
        <w:tab/>
      </w:r>
      <w:r w:rsidR="00C465C3">
        <w:t>The present Bill proposes to i</w:t>
      </w:r>
      <w:r w:rsidR="00267C0B" w:rsidRPr="00267C0B">
        <w:t>mmediately ceas</w:t>
      </w:r>
      <w:r w:rsidR="00C465C3">
        <w:t>e</w:t>
      </w:r>
      <w:r w:rsidR="00267C0B" w:rsidRPr="00267C0B">
        <w:t xml:space="preserve"> criminal investigations (other than those referred by the ICRIR to the prosecutor), police complaints, civil </w:t>
      </w:r>
      <w:proofErr w:type="gramStart"/>
      <w:r w:rsidR="00267C0B" w:rsidRPr="00267C0B">
        <w:t>proceedings</w:t>
      </w:r>
      <w:proofErr w:type="gramEnd"/>
      <w:r w:rsidR="00267C0B" w:rsidRPr="00267C0B">
        <w:t xml:space="preserve"> and inquests/inquiries</w:t>
      </w:r>
      <w:r w:rsidR="00712F71">
        <w:t>.</w:t>
      </w:r>
      <w:r w:rsidR="00850DA4">
        <w:t xml:space="preserve"> T</w:t>
      </w:r>
      <w:r w:rsidR="00712F71" w:rsidRPr="00712F71">
        <w:t>he immediacy of the proposed changes to a victim’s access to justice within the current draft of the Bill closes off any pursuit of justice outside of the ICRIR and is therefore incompatible with human rights and the Belfast (Good Friday) Agreement</w:t>
      </w:r>
      <w:r w:rsidR="00850DA4">
        <w:t>.</w:t>
      </w:r>
      <w:r w:rsidR="00980B03">
        <w:t xml:space="preserve"> </w:t>
      </w:r>
    </w:p>
    <w:p w14:paraId="69880A1D" w14:textId="77777777" w:rsidR="00D31706" w:rsidRPr="002F2B00" w:rsidRDefault="00D31706" w:rsidP="00D31706">
      <w:pPr>
        <w:pStyle w:val="BasicParagraph"/>
        <w:suppressAutoHyphens/>
        <w:jc w:val="center"/>
        <w:rPr>
          <w:rFonts w:ascii="Verdana" w:hAnsi="Verdana" w:cs="Arial"/>
          <w:b/>
          <w:bCs/>
          <w:color w:val="77328A"/>
          <w:sz w:val="44"/>
          <w:szCs w:val="44"/>
        </w:rPr>
      </w:pPr>
    </w:p>
    <w:p w14:paraId="22F8E0BD" w14:textId="77777777" w:rsidR="00D31706" w:rsidRPr="00743229" w:rsidRDefault="00D31706" w:rsidP="00743229">
      <w:pPr>
        <w:pStyle w:val="BasicParagraph"/>
        <w:suppressAutoHyphens/>
        <w:jc w:val="center"/>
        <w:rPr>
          <w:rFonts w:ascii="Verdana" w:hAnsi="Verdana" w:cs="Arial"/>
          <w:b/>
          <w:bCs/>
          <w:color w:val="auto"/>
        </w:rPr>
      </w:pPr>
      <w:r w:rsidRPr="00743229">
        <w:rPr>
          <w:rFonts w:ascii="Verdana" w:hAnsi="Verdana" w:cs="Arial"/>
          <w:b/>
          <w:bCs/>
          <w:color w:val="auto"/>
        </w:rPr>
        <w:t xml:space="preserve">For queries please contact: </w:t>
      </w:r>
      <w:hyperlink r:id="rId12" w:history="1">
        <w:r w:rsidRPr="00743229">
          <w:rPr>
            <w:rStyle w:val="Hyperlink"/>
            <w:rFonts w:ascii="Verdana" w:hAnsi="Verdana" w:cs="Arial"/>
            <w:b/>
            <w:bCs/>
          </w:rPr>
          <w:t>Rhyannon.Blythe@nihrc.org</w:t>
        </w:r>
      </w:hyperlink>
    </w:p>
    <w:p w14:paraId="40D28335" w14:textId="77777777" w:rsidR="00D31706" w:rsidRPr="002F2B00" w:rsidRDefault="00D31706" w:rsidP="00D31706">
      <w:pPr>
        <w:rPr>
          <w:rFonts w:cs="Arial"/>
          <w:b/>
          <w:color w:val="232120"/>
          <w:sz w:val="30"/>
          <w:szCs w:val="30"/>
        </w:rPr>
      </w:pPr>
    </w:p>
    <w:p w14:paraId="22E9F6F0" w14:textId="77777777" w:rsidR="001A5F15" w:rsidRDefault="001A5F15" w:rsidP="00712F71">
      <w:pPr>
        <w:ind w:left="720" w:hanging="720"/>
      </w:pPr>
    </w:p>
    <w:sectPr w:rsidR="001A5F15" w:rsidSect="00706302">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3F7B0" w14:textId="77777777" w:rsidR="00C72BBA" w:rsidRDefault="00C72BBA" w:rsidP="00DB0F0C">
      <w:pPr>
        <w:spacing w:line="240" w:lineRule="auto"/>
      </w:pPr>
      <w:r>
        <w:separator/>
      </w:r>
    </w:p>
  </w:endnote>
  <w:endnote w:type="continuationSeparator" w:id="0">
    <w:p w14:paraId="783B78B4" w14:textId="77777777" w:rsidR="00C72BBA" w:rsidRDefault="00C72BBA" w:rsidP="00DB0F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30A0"/>
      </w:rPr>
      <w:id w:val="-1505899142"/>
      <w:docPartObj>
        <w:docPartGallery w:val="Page Numbers (Bottom of Page)"/>
        <w:docPartUnique/>
      </w:docPartObj>
    </w:sdtPr>
    <w:sdtEndPr>
      <w:rPr>
        <w:noProof/>
      </w:rPr>
    </w:sdtEndPr>
    <w:sdtContent>
      <w:p w14:paraId="33502343" w14:textId="11A71D62" w:rsidR="00BE2AF8" w:rsidRPr="00BE2AF8" w:rsidRDefault="00BE2AF8">
        <w:pPr>
          <w:pStyle w:val="Footer"/>
          <w:jc w:val="right"/>
          <w:rPr>
            <w:color w:val="7030A0"/>
          </w:rPr>
        </w:pPr>
        <w:r w:rsidRPr="00BE2AF8">
          <w:rPr>
            <w:color w:val="7030A0"/>
          </w:rPr>
          <w:fldChar w:fldCharType="begin"/>
        </w:r>
        <w:r w:rsidRPr="00BE2AF8">
          <w:rPr>
            <w:color w:val="7030A0"/>
          </w:rPr>
          <w:instrText xml:space="preserve"> PAGE   \* MERGEFORMAT </w:instrText>
        </w:r>
        <w:r w:rsidRPr="00BE2AF8">
          <w:rPr>
            <w:color w:val="7030A0"/>
          </w:rPr>
          <w:fldChar w:fldCharType="separate"/>
        </w:r>
        <w:r w:rsidRPr="00BE2AF8">
          <w:rPr>
            <w:noProof/>
            <w:color w:val="7030A0"/>
          </w:rPr>
          <w:t>2</w:t>
        </w:r>
        <w:r w:rsidRPr="00BE2AF8">
          <w:rPr>
            <w:noProof/>
            <w:color w:val="7030A0"/>
          </w:rPr>
          <w:fldChar w:fldCharType="end"/>
        </w:r>
      </w:p>
    </w:sdtContent>
  </w:sdt>
  <w:p w14:paraId="291072B2" w14:textId="77777777" w:rsidR="00BE2AF8" w:rsidRDefault="00BE2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4E83" w14:textId="77777777" w:rsidR="00C72BBA" w:rsidRDefault="00C72BBA" w:rsidP="00DB0F0C">
      <w:pPr>
        <w:spacing w:line="240" w:lineRule="auto"/>
      </w:pPr>
      <w:r>
        <w:separator/>
      </w:r>
    </w:p>
  </w:footnote>
  <w:footnote w:type="continuationSeparator" w:id="0">
    <w:p w14:paraId="2FBB1767" w14:textId="77777777" w:rsidR="00C72BBA" w:rsidRDefault="00C72BBA" w:rsidP="00DB0F0C">
      <w:pPr>
        <w:spacing w:line="240" w:lineRule="auto"/>
      </w:pPr>
      <w:r>
        <w:continuationSeparator/>
      </w:r>
    </w:p>
  </w:footnote>
  <w:footnote w:id="1">
    <w:p w14:paraId="7519821D" w14:textId="3063D38D" w:rsidR="004F7623" w:rsidRPr="001D7270" w:rsidRDefault="004F7623" w:rsidP="0034378D">
      <w:pPr>
        <w:pStyle w:val="NIHRCFootnotes"/>
      </w:pPr>
      <w:r w:rsidRPr="001D7270">
        <w:rPr>
          <w:rStyle w:val="FootnoteReference"/>
        </w:rPr>
        <w:footnoteRef/>
      </w:r>
      <w:r w:rsidRPr="001D7270">
        <w:t xml:space="preserve"> </w:t>
      </w:r>
      <w:r w:rsidR="0034378D" w:rsidRPr="001D7270">
        <w:t>The NIHRC, pursuant to section 69(1) of the Northern Ireland (NI) Act 1998, reviews the adequacy and effectiveness of law and practice relating to the protection of human rights in NI. The NIHRC is also required, under section 78</w:t>
      </w:r>
      <w:proofErr w:type="gramStart"/>
      <w:r w:rsidR="0034378D" w:rsidRPr="001D7270">
        <w:t>A(</w:t>
      </w:r>
      <w:proofErr w:type="gramEnd"/>
      <w:r w:rsidR="0034378D" w:rsidRPr="001D7270">
        <w:t>1), to monitor the implementation of Article 2(1) of the Protocol on Ireland/NI of the UK-EU Withdrawal Agreement (Protocol Article 2).</w:t>
      </w:r>
    </w:p>
  </w:footnote>
  <w:footnote w:id="2">
    <w:p w14:paraId="3831E5B0" w14:textId="77777777" w:rsidR="00F26F21" w:rsidRPr="001D7270" w:rsidRDefault="00F26F21" w:rsidP="0034378D">
      <w:pPr>
        <w:pStyle w:val="NIHRCFootnotes"/>
      </w:pPr>
      <w:r w:rsidRPr="001D7270">
        <w:rPr>
          <w:rStyle w:val="FootnoteReference"/>
        </w:rPr>
        <w:footnoteRef/>
      </w:r>
      <w:r w:rsidRPr="001D7270">
        <w:t xml:space="preserve"> It is also incompatible with provisions that provide for these rights within the UN human rights treaties that the UK has ratified and is bound by the obligations contained within as a result. For example, Articles 6 and 7, UN International Covenant on Civil and Political Rights 1966; Article 2(1), UN Convention against Torture 1984; Articles 6 and 37(a), UN Convention on the Rights of the Child 1989; Articles 10 and 15, UN Convention on the Rights of Persons with Disabilities 2006.</w:t>
      </w:r>
    </w:p>
  </w:footnote>
  <w:footnote w:id="3">
    <w:p w14:paraId="328E955C" w14:textId="77777777" w:rsidR="006B5DAA" w:rsidRPr="001D7270" w:rsidRDefault="006B5DAA" w:rsidP="006B5DAA">
      <w:pPr>
        <w:pStyle w:val="NIHRCFootnotes"/>
      </w:pPr>
      <w:r w:rsidRPr="001D7270">
        <w:rPr>
          <w:rStyle w:val="FootnoteReference"/>
        </w:rPr>
        <w:footnoteRef/>
      </w:r>
      <w:r w:rsidRPr="001D7270">
        <w:t xml:space="preserve"> Belfast (Good Friday) Agreement, 10 April 1998, at 5.</w:t>
      </w:r>
    </w:p>
  </w:footnote>
  <w:footnote w:id="4">
    <w:p w14:paraId="3A184272" w14:textId="77777777" w:rsidR="005C476E" w:rsidRPr="001D7270" w:rsidRDefault="005C476E" w:rsidP="005C476E">
      <w:pPr>
        <w:pStyle w:val="NIHRCFootnotes"/>
      </w:pPr>
      <w:r w:rsidRPr="001D7270">
        <w:rPr>
          <w:rStyle w:val="FootnoteReference"/>
        </w:rPr>
        <w:footnoteRef/>
      </w:r>
      <w:r w:rsidRPr="001D7270">
        <w:t xml:space="preserve"> The Stormont House Agreement committed to separate mechanisms that included a Historical Investigations Unit, Independent Commission on Information Retrieval, Oral History Archive, and an Implementation and Reconciliation Group.</w:t>
      </w:r>
    </w:p>
  </w:footnote>
  <w:footnote w:id="5">
    <w:p w14:paraId="4C858BCF" w14:textId="77777777" w:rsidR="00F26F21" w:rsidRPr="001D7270" w:rsidRDefault="00F26F21" w:rsidP="0034378D">
      <w:pPr>
        <w:pStyle w:val="NIHRCFootnotes"/>
      </w:pPr>
      <w:r w:rsidRPr="001D7270">
        <w:rPr>
          <w:rStyle w:val="FootnoteReference"/>
        </w:rPr>
        <w:footnoteRef/>
      </w:r>
      <w:r w:rsidRPr="001D7270">
        <w:t xml:space="preserve"> NI Office, ‘Addressing the Legacy of NI’s Past: Analysis of the Consultation Responses’ (NIO, 2019), at 4.</w:t>
      </w:r>
    </w:p>
  </w:footnote>
  <w:footnote w:id="6">
    <w:p w14:paraId="3A5151E7" w14:textId="77777777" w:rsidR="00F26F21" w:rsidRPr="001D7270" w:rsidRDefault="00F26F21" w:rsidP="0034378D">
      <w:pPr>
        <w:pStyle w:val="NIHRCFootnotes"/>
      </w:pPr>
      <w:r w:rsidRPr="001D7270">
        <w:rPr>
          <w:rStyle w:val="FootnoteReference"/>
        </w:rPr>
        <w:footnoteRef/>
      </w:r>
      <w:r w:rsidRPr="001D7270">
        <w:t xml:space="preserve"> NI Affairs Committee, ‘Oral Evidence: Addressing the Legacy of NI’s Past – The UK Government’s Proposals – Oral Evidence’, 7 June 2022.</w:t>
      </w:r>
    </w:p>
  </w:footnote>
  <w:footnote w:id="7">
    <w:p w14:paraId="28C6247C" w14:textId="77777777" w:rsidR="00720B92" w:rsidRPr="001D7270" w:rsidRDefault="00720B92" w:rsidP="00720B92">
      <w:pPr>
        <w:pStyle w:val="NIHRCFootnotes"/>
      </w:pPr>
      <w:r w:rsidRPr="001D7270">
        <w:rPr>
          <w:rStyle w:val="FootnoteReference"/>
        </w:rPr>
        <w:footnoteRef/>
      </w:r>
      <w:r w:rsidRPr="001D7270">
        <w:t xml:space="preserve"> </w:t>
      </w:r>
      <w:proofErr w:type="spellStart"/>
      <w:r w:rsidRPr="001D7270">
        <w:t>CoE</w:t>
      </w:r>
      <w:proofErr w:type="spellEnd"/>
      <w:r w:rsidRPr="001D7270">
        <w:t xml:space="preserve"> Commissioner for Human Rights, ‘Press Release: UK – Backsliding on human rights must be prevented’, 4 July 2022.</w:t>
      </w:r>
    </w:p>
  </w:footnote>
  <w:footnote w:id="8">
    <w:p w14:paraId="061B86D5" w14:textId="1806306D" w:rsidR="00E834A1" w:rsidRPr="001D7270" w:rsidRDefault="00E834A1" w:rsidP="00E834A1">
      <w:pPr>
        <w:pStyle w:val="NIHRCFootnotes"/>
      </w:pPr>
      <w:r w:rsidRPr="001D7270">
        <w:rPr>
          <w:rStyle w:val="FootnoteReference"/>
        </w:rPr>
        <w:footnoteRef/>
      </w:r>
      <w:r w:rsidRPr="001D7270">
        <w:t xml:space="preserve"> </w:t>
      </w:r>
      <w:r w:rsidR="00C874D7" w:rsidRPr="001D7270">
        <w:t xml:space="preserve">In </w:t>
      </w:r>
      <w:r w:rsidRPr="001D7270">
        <w:t xml:space="preserve">Protocol Article </w:t>
      </w:r>
      <w:r w:rsidR="003A7C8D" w:rsidRPr="001D7270">
        <w:t xml:space="preserve">2 </w:t>
      </w:r>
      <w:r w:rsidR="00C874D7" w:rsidRPr="001D7270">
        <w:t xml:space="preserve">the UK Government undertakes to “ensure that no diminution of rights, </w:t>
      </w:r>
      <w:proofErr w:type="gramStart"/>
      <w:r w:rsidR="00C874D7" w:rsidRPr="001D7270">
        <w:t>safeguards</w:t>
      </w:r>
      <w:proofErr w:type="gramEnd"/>
      <w:r w:rsidR="00C874D7" w:rsidRPr="001D7270">
        <w:t xml:space="preserve"> or equality of opportunity, as set out in that part of the 1998 Agreement entitled Rights, Safeguards and Equality of Opportunity results from its withdrawal from the Union…”</w:t>
      </w:r>
      <w:r w:rsidRPr="001D7270">
        <w:t>.</w:t>
      </w:r>
    </w:p>
  </w:footnote>
  <w:footnote w:id="9">
    <w:p w14:paraId="457BF850" w14:textId="50E256D6" w:rsidR="00393C88" w:rsidRPr="001D7270" w:rsidRDefault="00393C88" w:rsidP="0034378D">
      <w:pPr>
        <w:pStyle w:val="NIHRCFootnotes"/>
      </w:pPr>
      <w:r w:rsidRPr="001D7270">
        <w:rPr>
          <w:rStyle w:val="FootnoteReference"/>
        </w:rPr>
        <w:footnoteRef/>
      </w:r>
      <w:r w:rsidRPr="001D7270">
        <w:t xml:space="preserve"> </w:t>
      </w:r>
      <w:r w:rsidR="00715D90" w:rsidRPr="001D7270">
        <w:t xml:space="preserve">The Secretary of State is involved in making the rules/guidance, proposing cases for review, determining </w:t>
      </w:r>
      <w:proofErr w:type="gramStart"/>
      <w:r w:rsidR="00715D90" w:rsidRPr="001D7270">
        <w:t>resources</w:t>
      </w:r>
      <w:proofErr w:type="gramEnd"/>
      <w:r w:rsidR="00715D90" w:rsidRPr="001D7270">
        <w:t xml:space="preserve"> and monitoring the ICRIR. ICRIR’s work can be concluded when the “Secretary of State is satisfied that the need for ICRIR” to exercise its functions “has ceased”, as opposed to completion of the ICRIR’s mandate. </w:t>
      </w:r>
      <w:r w:rsidR="00832A96" w:rsidRPr="001D7270">
        <w:t xml:space="preserve">See </w:t>
      </w:r>
      <w:r w:rsidRPr="001D7270">
        <w:t xml:space="preserve">Clauses </w:t>
      </w:r>
      <w:r w:rsidR="00715D90" w:rsidRPr="001D7270">
        <w:t xml:space="preserve">2(1), </w:t>
      </w:r>
      <w:r w:rsidRPr="001D7270">
        <w:t>9(3), 10(2)</w:t>
      </w:r>
      <w:r w:rsidR="00715D90" w:rsidRPr="001D7270">
        <w:t>, 3</w:t>
      </w:r>
      <w:r w:rsidR="002409C5" w:rsidRPr="001D7270">
        <w:t>2</w:t>
      </w:r>
      <w:r w:rsidR="00715D90" w:rsidRPr="001D7270">
        <w:t xml:space="preserve"> and 3</w:t>
      </w:r>
      <w:r w:rsidR="002409C5" w:rsidRPr="001D7270">
        <w:t>3</w:t>
      </w:r>
      <w:r w:rsidR="00715D90" w:rsidRPr="001D7270">
        <w:t>(1), NI Troubles (Legacy and Reconciliation) Bill.</w:t>
      </w:r>
    </w:p>
  </w:footnote>
  <w:footnote w:id="10">
    <w:p w14:paraId="5A4D88C6" w14:textId="3E4B5B77" w:rsidR="0033760C" w:rsidRPr="001D7270" w:rsidRDefault="0033760C" w:rsidP="0034378D">
      <w:pPr>
        <w:pStyle w:val="NIHRCFootnotes"/>
      </w:pPr>
      <w:r w:rsidRPr="001D7270">
        <w:rPr>
          <w:rStyle w:val="FootnoteReference"/>
        </w:rPr>
        <w:footnoteRef/>
      </w:r>
      <w:r w:rsidRPr="001D7270">
        <w:t xml:space="preserve"> </w:t>
      </w:r>
      <w:proofErr w:type="spellStart"/>
      <w:r w:rsidR="00BB6384" w:rsidRPr="001D7270">
        <w:rPr>
          <w:i/>
        </w:rPr>
        <w:t>Ramsahai</w:t>
      </w:r>
      <w:proofErr w:type="spellEnd"/>
      <w:r w:rsidR="00BB6384" w:rsidRPr="001D7270">
        <w:rPr>
          <w:i/>
        </w:rPr>
        <w:t xml:space="preserve"> and Others v Netherlands</w:t>
      </w:r>
      <w:r w:rsidR="00BB6384" w:rsidRPr="001D7270">
        <w:t xml:space="preserve"> (2007) ECHR 393, at para 324; </w:t>
      </w:r>
      <w:proofErr w:type="spellStart"/>
      <w:r w:rsidRPr="001D7270">
        <w:rPr>
          <w:i/>
        </w:rPr>
        <w:t>Kolevi</w:t>
      </w:r>
      <w:proofErr w:type="spellEnd"/>
      <w:r w:rsidRPr="001D7270">
        <w:rPr>
          <w:i/>
        </w:rPr>
        <w:t xml:space="preserve"> v Bulgaria</w:t>
      </w:r>
      <w:r w:rsidRPr="001D7270">
        <w:t xml:space="preserve"> (2009) ECHR 1838, at para 201; </w:t>
      </w:r>
      <w:r w:rsidRPr="001D7270">
        <w:rPr>
          <w:i/>
        </w:rPr>
        <w:t>Armani da Silva v UK</w:t>
      </w:r>
      <w:r w:rsidRPr="001D7270">
        <w:t xml:space="preserve"> (2016), Application No 5878/08, Judgment of 30 March 2016, at para 234.</w:t>
      </w:r>
    </w:p>
  </w:footnote>
  <w:footnote w:id="11">
    <w:p w14:paraId="140FC738" w14:textId="7761EEA8" w:rsidR="001C2581" w:rsidRPr="001D7270" w:rsidRDefault="001C2581" w:rsidP="0034378D">
      <w:pPr>
        <w:pStyle w:val="NIHRCFootnotes"/>
      </w:pPr>
      <w:r w:rsidRPr="001D7270">
        <w:rPr>
          <w:rStyle w:val="FootnoteReference"/>
        </w:rPr>
        <w:footnoteRef/>
      </w:r>
      <w:r w:rsidRPr="001D7270">
        <w:t xml:space="preserve"> </w:t>
      </w:r>
      <w:r w:rsidR="00F02F46" w:rsidRPr="001D7270">
        <w:t xml:space="preserve">The current draft of the Bill proposes recognising someone who has died or someone who has suffered very specific serious physical or mental harm (as defined by clause 1(6) of the Bill) due to a Troubles-related offence as a direct victim for the purposes of the ICRIR’s work. See </w:t>
      </w:r>
      <w:r w:rsidR="00F93DB2" w:rsidRPr="001D7270">
        <w:t>Clauses 1(6), 9 and 10, NI Troubles (Legacy and Reconciliation) Bill.</w:t>
      </w:r>
    </w:p>
  </w:footnote>
  <w:footnote w:id="12">
    <w:p w14:paraId="054D4D29" w14:textId="76A1BFE3" w:rsidR="001C2581" w:rsidRPr="001D7270" w:rsidRDefault="001C2581" w:rsidP="0034378D">
      <w:pPr>
        <w:pStyle w:val="NIHRCFootnotes"/>
      </w:pPr>
      <w:r w:rsidRPr="001D7270">
        <w:rPr>
          <w:rStyle w:val="FootnoteReference"/>
        </w:rPr>
        <w:footnoteRef/>
      </w:r>
      <w:r w:rsidRPr="001D7270">
        <w:t xml:space="preserve"> Clauses 2</w:t>
      </w:r>
      <w:r w:rsidR="002409C5" w:rsidRPr="001D7270">
        <w:t>5</w:t>
      </w:r>
      <w:r w:rsidRPr="001D7270">
        <w:t xml:space="preserve"> and 2</w:t>
      </w:r>
      <w:r w:rsidR="002409C5" w:rsidRPr="001D7270">
        <w:t>6</w:t>
      </w:r>
      <w:r w:rsidRPr="001D7270">
        <w:t>, NI Troubles (Legacy and Reconciliation) Bill.</w:t>
      </w:r>
    </w:p>
  </w:footnote>
  <w:footnote w:id="13">
    <w:p w14:paraId="7B1D9FC2" w14:textId="77777777" w:rsidR="00757E8F" w:rsidRPr="001D7270" w:rsidRDefault="00757E8F" w:rsidP="0034378D">
      <w:pPr>
        <w:pStyle w:val="NIHRCFootnotes"/>
      </w:pPr>
      <w:r w:rsidRPr="001D7270">
        <w:rPr>
          <w:rStyle w:val="FootnoteReference"/>
        </w:rPr>
        <w:footnoteRef/>
      </w:r>
      <w:r w:rsidRPr="001D7270">
        <w:t xml:space="preserve"> Article 15(2), ECHR.</w:t>
      </w:r>
    </w:p>
  </w:footnote>
  <w:footnote w:id="14">
    <w:p w14:paraId="02B83EFB" w14:textId="40C9DB08" w:rsidR="008D6DC6" w:rsidRPr="001D7270" w:rsidRDefault="008D6DC6" w:rsidP="0034378D">
      <w:pPr>
        <w:pStyle w:val="NIHRCFootnotes"/>
      </w:pPr>
      <w:r w:rsidRPr="001D7270">
        <w:rPr>
          <w:rStyle w:val="FootnoteReference"/>
        </w:rPr>
        <w:footnoteRef/>
      </w:r>
      <w:r w:rsidRPr="001D7270">
        <w:t xml:space="preserve"> </w:t>
      </w:r>
      <w:r w:rsidR="0009536C" w:rsidRPr="001D7270">
        <w:t>Article 3 of t</w:t>
      </w:r>
      <w:r w:rsidR="003B3193" w:rsidRPr="001D7270">
        <w:t xml:space="preserve">he Victims and Survivors (NI) Order 2006 broadly defines a victim and survivor as “someone who has been physically or psychologically injured </w:t>
      </w:r>
      <w:proofErr w:type="gramStart"/>
      <w:r w:rsidR="003B3193" w:rsidRPr="001D7270">
        <w:t>as a result of</w:t>
      </w:r>
      <w:proofErr w:type="gramEnd"/>
      <w:r w:rsidR="003B3193" w:rsidRPr="001D7270">
        <w:t xml:space="preserve"> or in consequence of a conflict-related incident”, “someone who provides substantial amount of care on a regular basis for” such an individual, or “someone who has been bereaved as a result of or in consequence of a conflict-related incident”</w:t>
      </w:r>
      <w:r w:rsidR="0009536C" w:rsidRPr="001D7270">
        <w:t>.</w:t>
      </w:r>
    </w:p>
  </w:footnote>
  <w:footnote w:id="15">
    <w:p w14:paraId="58B5A8B8" w14:textId="08C6DADC" w:rsidR="00C760AB" w:rsidRPr="001D7270" w:rsidRDefault="00C760AB" w:rsidP="0034378D">
      <w:pPr>
        <w:pStyle w:val="NIHRCFootnotes"/>
      </w:pPr>
      <w:r w:rsidRPr="001D7270">
        <w:rPr>
          <w:rStyle w:val="FootnoteReference"/>
        </w:rPr>
        <w:footnoteRef/>
      </w:r>
      <w:r w:rsidRPr="001D7270">
        <w:t xml:space="preserve"> Clause 5</w:t>
      </w:r>
      <w:r w:rsidR="00125F75" w:rsidRPr="001D7270">
        <w:t>2</w:t>
      </w:r>
      <w:r w:rsidRPr="001D7270">
        <w:t>(2), NI Troubles (Legacy and Reconciliation) Bill.</w:t>
      </w:r>
    </w:p>
  </w:footnote>
  <w:footnote w:id="16">
    <w:p w14:paraId="26E2100B" w14:textId="2267554C" w:rsidR="00C9013A" w:rsidRPr="001D7270" w:rsidRDefault="00C9013A" w:rsidP="0034378D">
      <w:pPr>
        <w:pStyle w:val="NIHRCFootnotes"/>
      </w:pPr>
      <w:r w:rsidRPr="001D7270">
        <w:rPr>
          <w:rStyle w:val="FootnoteReference"/>
        </w:rPr>
        <w:footnoteRef/>
      </w:r>
      <w:r w:rsidRPr="001D7270">
        <w:t xml:space="preserve"> </w:t>
      </w:r>
      <w:r w:rsidR="00122609" w:rsidRPr="001D7270">
        <w:t>Clause 1(7), NI Troubles (Legacy and Reconciliation) Bill.</w:t>
      </w:r>
    </w:p>
  </w:footnote>
  <w:footnote w:id="17">
    <w:p w14:paraId="1DC80540" w14:textId="5412AA40" w:rsidR="00876D92" w:rsidRPr="001D7270" w:rsidRDefault="00876D92" w:rsidP="0034378D">
      <w:pPr>
        <w:pStyle w:val="NIHRCFootnotes"/>
      </w:pPr>
      <w:r w:rsidRPr="001D7270">
        <w:rPr>
          <w:rStyle w:val="FootnoteReference"/>
        </w:rPr>
        <w:footnoteRef/>
      </w:r>
      <w:r w:rsidRPr="001D7270">
        <w:t xml:space="preserve"> Clause 3(2) of Schedule 5, NI Troubles (Legacy and Reconciliation) Bill.</w:t>
      </w:r>
    </w:p>
  </w:footnote>
  <w:footnote w:id="18">
    <w:p w14:paraId="1FA32985" w14:textId="1AE086F6" w:rsidR="004C2598" w:rsidRPr="001D7270" w:rsidRDefault="004C2598" w:rsidP="0034378D">
      <w:pPr>
        <w:pStyle w:val="NIHRCFootnotes"/>
      </w:pPr>
      <w:r w:rsidRPr="001D7270">
        <w:rPr>
          <w:rStyle w:val="FootnoteReference"/>
        </w:rPr>
        <w:footnoteRef/>
      </w:r>
      <w:r w:rsidRPr="001D7270">
        <w:t xml:space="preserve"> </w:t>
      </w:r>
      <w:r w:rsidR="009410C9" w:rsidRPr="001D7270">
        <w:t>Clause 3</w:t>
      </w:r>
      <w:r w:rsidR="00125F75" w:rsidRPr="001D7270">
        <w:t>2</w:t>
      </w:r>
      <w:r w:rsidR="009410C9" w:rsidRPr="001D7270">
        <w:t>, NI Troubles (Legacy and Reconciliation) Bill.</w:t>
      </w:r>
    </w:p>
  </w:footnote>
  <w:footnote w:id="19">
    <w:p w14:paraId="4D25EE48" w14:textId="75EB0074" w:rsidR="008D0181" w:rsidRPr="001D7270" w:rsidRDefault="008D0181" w:rsidP="0034378D">
      <w:pPr>
        <w:pStyle w:val="NIHRCFootnotes"/>
      </w:pPr>
      <w:r w:rsidRPr="001D7270">
        <w:rPr>
          <w:rStyle w:val="FootnoteReference"/>
        </w:rPr>
        <w:footnoteRef/>
      </w:r>
      <w:r w:rsidRPr="001D7270">
        <w:t xml:space="preserve"> </w:t>
      </w:r>
      <w:proofErr w:type="spellStart"/>
      <w:r w:rsidRPr="001D7270">
        <w:rPr>
          <w:i/>
          <w:iCs/>
        </w:rPr>
        <w:t>Margus</w:t>
      </w:r>
      <w:proofErr w:type="spellEnd"/>
      <w:r w:rsidRPr="001D7270">
        <w:rPr>
          <w:i/>
          <w:iCs/>
        </w:rPr>
        <w:t xml:space="preserve"> v Croatia</w:t>
      </w:r>
      <w:r w:rsidRPr="001D7270">
        <w:t xml:space="preserve"> (2014) ECHR 523, at para 126; </w:t>
      </w:r>
      <w:proofErr w:type="spellStart"/>
      <w:r w:rsidRPr="001D7270">
        <w:rPr>
          <w:i/>
          <w:iCs/>
        </w:rPr>
        <w:t>Abdülsamet</w:t>
      </w:r>
      <w:proofErr w:type="spellEnd"/>
      <w:r w:rsidRPr="001D7270">
        <w:rPr>
          <w:i/>
          <w:iCs/>
        </w:rPr>
        <w:t xml:space="preserve"> </w:t>
      </w:r>
      <w:proofErr w:type="spellStart"/>
      <w:r w:rsidRPr="001D7270">
        <w:rPr>
          <w:i/>
          <w:iCs/>
        </w:rPr>
        <w:t>Yamana</w:t>
      </w:r>
      <w:proofErr w:type="spellEnd"/>
      <w:r w:rsidRPr="001D7270">
        <w:rPr>
          <w:i/>
          <w:iCs/>
        </w:rPr>
        <w:t xml:space="preserve"> v Turkey</w:t>
      </w:r>
      <w:r w:rsidRPr="001D7270">
        <w:t xml:space="preserve"> (2004) ECHR 572, at para 55; </w:t>
      </w:r>
      <w:r w:rsidRPr="001D7270">
        <w:rPr>
          <w:i/>
          <w:iCs/>
        </w:rPr>
        <w:t xml:space="preserve">Ali and </w:t>
      </w:r>
      <w:proofErr w:type="spellStart"/>
      <w:r w:rsidRPr="001D7270">
        <w:rPr>
          <w:i/>
          <w:iCs/>
        </w:rPr>
        <w:t>Ayse</w:t>
      </w:r>
      <w:proofErr w:type="spellEnd"/>
      <w:r w:rsidRPr="001D7270">
        <w:rPr>
          <w:i/>
          <w:iCs/>
        </w:rPr>
        <w:t xml:space="preserve"> Duran v Turkey</w:t>
      </w:r>
      <w:r w:rsidRPr="001D7270">
        <w:t xml:space="preserve"> (2008) ECHR 289, at para 69; </w:t>
      </w:r>
      <w:proofErr w:type="spellStart"/>
      <w:r w:rsidRPr="001D7270">
        <w:rPr>
          <w:i/>
          <w:iCs/>
        </w:rPr>
        <w:t>Okkali</w:t>
      </w:r>
      <w:proofErr w:type="spellEnd"/>
      <w:r w:rsidRPr="001D7270">
        <w:rPr>
          <w:i/>
          <w:iCs/>
        </w:rPr>
        <w:t xml:space="preserve"> v Turkey</w:t>
      </w:r>
      <w:r w:rsidRPr="001D7270">
        <w:t xml:space="preserve">, Application No 52067/99, Judgment of 17 October 2006, at para 76; </w:t>
      </w:r>
      <w:proofErr w:type="spellStart"/>
      <w:r w:rsidRPr="001D7270">
        <w:rPr>
          <w:i/>
          <w:iCs/>
        </w:rPr>
        <w:t>Yesil</w:t>
      </w:r>
      <w:proofErr w:type="spellEnd"/>
      <w:r w:rsidRPr="001D7270">
        <w:rPr>
          <w:i/>
          <w:iCs/>
        </w:rPr>
        <w:t xml:space="preserve"> and </w:t>
      </w:r>
      <w:proofErr w:type="spellStart"/>
      <w:r w:rsidRPr="001D7270">
        <w:rPr>
          <w:i/>
          <w:iCs/>
        </w:rPr>
        <w:t>Sevim</w:t>
      </w:r>
      <w:proofErr w:type="spellEnd"/>
      <w:r w:rsidRPr="001D7270">
        <w:rPr>
          <w:i/>
          <w:iCs/>
        </w:rPr>
        <w:t xml:space="preserve"> v Turkey</w:t>
      </w:r>
      <w:r w:rsidRPr="001D7270">
        <w:t>, Application No 34738/04, Judgment of 5 June 2007, at para 38</w:t>
      </w:r>
      <w:r w:rsidR="00295391" w:rsidRPr="001D7270">
        <w:t xml:space="preserve">; </w:t>
      </w:r>
      <w:r w:rsidR="005557B0" w:rsidRPr="001D7270">
        <w:t>CAT/C/GBR/CO/6, ‘UN CAT Committee Concluding Observations on the Sixth Periodic Report of the UK of Great Britain and NI’, 7 June 2019, at para 41(f).</w:t>
      </w:r>
    </w:p>
  </w:footnote>
  <w:footnote w:id="20">
    <w:p w14:paraId="43332AA1" w14:textId="77777777" w:rsidR="008D0181" w:rsidRPr="001D7270" w:rsidRDefault="008D0181" w:rsidP="0034378D">
      <w:pPr>
        <w:pStyle w:val="NIHRCFootnotes"/>
      </w:pPr>
      <w:r w:rsidRPr="001D7270">
        <w:rPr>
          <w:rStyle w:val="FootnoteReference"/>
        </w:rPr>
        <w:footnoteRef/>
      </w:r>
      <w:r w:rsidRPr="001D7270">
        <w:t xml:space="preserve"> Articles 2, 3 and 15(2), European Convention on Human Rights 1950.</w:t>
      </w:r>
    </w:p>
  </w:footnote>
  <w:footnote w:id="21">
    <w:p w14:paraId="6E4C39AB" w14:textId="77777777" w:rsidR="00BB2552" w:rsidRPr="001D7270" w:rsidRDefault="00BB2552" w:rsidP="0034378D">
      <w:pPr>
        <w:pStyle w:val="NIHRCFootnotes"/>
      </w:pPr>
      <w:r w:rsidRPr="001D7270">
        <w:rPr>
          <w:rStyle w:val="FootnoteReference"/>
        </w:rPr>
        <w:footnoteRef/>
      </w:r>
      <w:r w:rsidRPr="001D7270">
        <w:t xml:space="preserve"> </w:t>
      </w:r>
      <w:proofErr w:type="spellStart"/>
      <w:r w:rsidRPr="001D7270">
        <w:rPr>
          <w:i/>
          <w:iCs/>
        </w:rPr>
        <w:t>Duarjdin</w:t>
      </w:r>
      <w:proofErr w:type="spellEnd"/>
      <w:r w:rsidRPr="001D7270">
        <w:rPr>
          <w:i/>
          <w:iCs/>
        </w:rPr>
        <w:t xml:space="preserve"> v France</w:t>
      </w:r>
      <w:r w:rsidRPr="001D7270">
        <w:t xml:space="preserve">, Application No 16734/90, Judgment of 2 September 1991; </w:t>
      </w:r>
      <w:proofErr w:type="spellStart"/>
      <w:r w:rsidRPr="001D7270">
        <w:rPr>
          <w:i/>
          <w:iCs/>
        </w:rPr>
        <w:t>Tarbuk</w:t>
      </w:r>
      <w:proofErr w:type="spellEnd"/>
      <w:r w:rsidRPr="001D7270">
        <w:rPr>
          <w:i/>
          <w:iCs/>
        </w:rPr>
        <w:t xml:space="preserve"> v Croatia</w:t>
      </w:r>
      <w:r w:rsidRPr="001D7270">
        <w:t xml:space="preserve"> (2012) ECHR 2049, at para 50.</w:t>
      </w:r>
    </w:p>
  </w:footnote>
  <w:footnote w:id="22">
    <w:p w14:paraId="7D4D5146" w14:textId="77777777" w:rsidR="00BB2552" w:rsidRPr="001D7270" w:rsidRDefault="00BB2552" w:rsidP="0034378D">
      <w:pPr>
        <w:pStyle w:val="NIHRCFootnotes"/>
      </w:pPr>
      <w:r w:rsidRPr="001D7270">
        <w:rPr>
          <w:rStyle w:val="FootnoteReference"/>
        </w:rPr>
        <w:footnoteRef/>
      </w:r>
      <w:r w:rsidRPr="001D7270">
        <w:t xml:space="preserve"> </w:t>
      </w:r>
      <w:proofErr w:type="spellStart"/>
      <w:r w:rsidRPr="001D7270">
        <w:rPr>
          <w:i/>
          <w:iCs/>
        </w:rPr>
        <w:t>Ould</w:t>
      </w:r>
      <w:proofErr w:type="spellEnd"/>
      <w:r w:rsidRPr="001D7270">
        <w:rPr>
          <w:i/>
          <w:iCs/>
        </w:rPr>
        <w:t xml:space="preserve"> Dah v France</w:t>
      </w:r>
      <w:r w:rsidRPr="001D7270">
        <w:t xml:space="preserve"> (2009) ECHR 532; </w:t>
      </w:r>
      <w:r w:rsidRPr="001D7270">
        <w:rPr>
          <w:i/>
          <w:iCs/>
        </w:rPr>
        <w:t>Association 21 December 1989 and Others v Romania</w:t>
      </w:r>
      <w:r w:rsidRPr="001D7270">
        <w:t xml:space="preserve"> (2012), Application Nos 33810/07 and 18817/08, Judgment of 24 May 2011.</w:t>
      </w:r>
    </w:p>
  </w:footnote>
  <w:footnote w:id="23">
    <w:p w14:paraId="67082005" w14:textId="77777777" w:rsidR="00530350" w:rsidRPr="001D7270" w:rsidRDefault="00530350" w:rsidP="0034378D">
      <w:pPr>
        <w:pStyle w:val="NIHRCFootnotes"/>
      </w:pPr>
      <w:r w:rsidRPr="001D7270">
        <w:rPr>
          <w:rStyle w:val="FootnoteReference"/>
        </w:rPr>
        <w:footnoteRef/>
      </w:r>
      <w:r w:rsidRPr="001D7270">
        <w:t xml:space="preserve"> Victims’ Payments Regulations 2020.</w:t>
      </w:r>
    </w:p>
  </w:footnote>
  <w:footnote w:id="24">
    <w:p w14:paraId="1BDD484E" w14:textId="77777777" w:rsidR="00B801D5" w:rsidRPr="001D7270" w:rsidRDefault="00B801D5" w:rsidP="0034378D">
      <w:pPr>
        <w:pStyle w:val="NIHRCFootnotes"/>
      </w:pPr>
      <w:r w:rsidRPr="001D7270">
        <w:rPr>
          <w:rStyle w:val="FootnoteReference"/>
        </w:rPr>
        <w:footnoteRef/>
      </w:r>
      <w:r w:rsidRPr="001D7270">
        <w:t xml:space="preserve"> UK Government, ‘NI Troubles (Legacy and Reconciliation) Bill: ECHR Memorandum’ (UK Gov, 2022), at paras 48-50.</w:t>
      </w:r>
    </w:p>
  </w:footnote>
  <w:footnote w:id="25">
    <w:p w14:paraId="32246567" w14:textId="0DA8471B" w:rsidR="00B801D5" w:rsidRPr="001D7270" w:rsidRDefault="00B801D5" w:rsidP="0034378D">
      <w:pPr>
        <w:pStyle w:val="NIHRCFootnotes"/>
      </w:pPr>
      <w:r w:rsidRPr="001D7270">
        <w:rPr>
          <w:rStyle w:val="FootnoteReference"/>
        </w:rPr>
        <w:footnoteRef/>
      </w:r>
      <w:r w:rsidRPr="001D7270">
        <w:t xml:space="preserve"> </w:t>
      </w:r>
      <w:r w:rsidR="00041C3D" w:rsidRPr="001D7270">
        <w:t xml:space="preserve">Unlike the UK, South Africa is not a High Contracting State to the ECHR and thus not bound by it. Second, the South Africa Commission was established after an extensive consultation process that put victims and political representatives at the heart of the process. </w:t>
      </w:r>
      <w:r w:rsidR="00041C3D" w:rsidRPr="001D7270">
        <w:rPr>
          <w:rFonts w:eastAsia="Times New Roman"/>
        </w:rPr>
        <w:t>A consultation process that focused on civil society was conducted for a full year and the results of this formed the legislation on which the South Africa Truth and Reconciliation Commission was based. The South African Commission came as part of a broader reconciliation process. Furthermore, the immunity process was fully transparent with public hearings held before decisions were reached.</w:t>
      </w:r>
    </w:p>
  </w:footnote>
  <w:footnote w:id="26">
    <w:p w14:paraId="4A0640B6" w14:textId="32A56986" w:rsidR="001B2A11" w:rsidRPr="001D7270" w:rsidRDefault="001B2A11" w:rsidP="0034378D">
      <w:pPr>
        <w:pStyle w:val="NIHRCFootnotes"/>
      </w:pPr>
      <w:r w:rsidRPr="001D7270">
        <w:rPr>
          <w:rStyle w:val="FootnoteReference"/>
        </w:rPr>
        <w:footnoteRef/>
      </w:r>
      <w:r w:rsidRPr="001D7270">
        <w:t xml:space="preserve"> </w:t>
      </w:r>
      <w:r w:rsidR="00A427AC" w:rsidRPr="001D7270">
        <w:t>Clauses 18 and 2</w:t>
      </w:r>
      <w:r w:rsidR="00125F75" w:rsidRPr="001D7270">
        <w:t>1</w:t>
      </w:r>
      <w:r w:rsidR="00A427AC" w:rsidRPr="001D7270">
        <w:t>(1), NI Troubles (Legacy and Reconciliation) Bill.</w:t>
      </w:r>
    </w:p>
  </w:footnote>
  <w:footnote w:id="27">
    <w:p w14:paraId="53AB7884" w14:textId="1B9C8E7D" w:rsidR="004419E1" w:rsidRPr="001D7270" w:rsidRDefault="004419E1" w:rsidP="0034378D">
      <w:pPr>
        <w:pStyle w:val="NIHRCFootnotes"/>
      </w:pPr>
      <w:r w:rsidRPr="001D7270">
        <w:rPr>
          <w:rStyle w:val="FootnoteReference"/>
        </w:rPr>
        <w:footnoteRef/>
      </w:r>
      <w:r w:rsidRPr="001D7270">
        <w:t xml:space="preserve"> Clause 18, NI Troubles (Legacy and Reconciliation) Bill.</w:t>
      </w:r>
    </w:p>
  </w:footnote>
  <w:footnote w:id="28">
    <w:p w14:paraId="487251D7" w14:textId="33BDBD8E" w:rsidR="005B3733" w:rsidRPr="001D7270" w:rsidRDefault="005B3733">
      <w:pPr>
        <w:pStyle w:val="FootnoteText"/>
        <w:rPr>
          <w:rFonts w:cs="Arial"/>
          <w:color w:val="77328A"/>
          <w:sz w:val="16"/>
          <w:szCs w:val="16"/>
        </w:rPr>
      </w:pPr>
      <w:r w:rsidRPr="001D7270">
        <w:rPr>
          <w:rStyle w:val="FootnoteReference"/>
          <w:rFonts w:cs="Arial"/>
          <w:color w:val="77328A"/>
          <w:sz w:val="16"/>
          <w:szCs w:val="16"/>
        </w:rPr>
        <w:footnoteRef/>
      </w:r>
      <w:r w:rsidRPr="001D7270">
        <w:rPr>
          <w:color w:val="77328A"/>
        </w:rPr>
        <w:t xml:space="preserve"> </w:t>
      </w:r>
      <w:r w:rsidR="004B755A" w:rsidRPr="001D7270">
        <w:rPr>
          <w:rFonts w:cs="Arial"/>
          <w:color w:val="77328A"/>
          <w:sz w:val="16"/>
          <w:szCs w:val="16"/>
        </w:rPr>
        <w:t xml:space="preserve">Directive 2012/29/EU of the European Parliament and of the Council of 25 October 2012 establishing minimum standards on the rights, </w:t>
      </w:r>
      <w:proofErr w:type="gramStart"/>
      <w:r w:rsidR="004B755A" w:rsidRPr="001D7270">
        <w:rPr>
          <w:rFonts w:cs="Arial"/>
          <w:color w:val="77328A"/>
          <w:sz w:val="16"/>
          <w:szCs w:val="16"/>
        </w:rPr>
        <w:t>support</w:t>
      </w:r>
      <w:proofErr w:type="gramEnd"/>
      <w:r w:rsidR="004B755A" w:rsidRPr="001D7270">
        <w:rPr>
          <w:rFonts w:cs="Arial"/>
          <w:color w:val="77328A"/>
          <w:sz w:val="16"/>
          <w:szCs w:val="16"/>
        </w:rPr>
        <w:t xml:space="preserve"> and protection of victims of crime, and replacing Council Framework Decision 2001/220/JHA</w:t>
      </w:r>
    </w:p>
  </w:footnote>
  <w:footnote w:id="29">
    <w:p w14:paraId="393BEBBB" w14:textId="6BF1DF9D" w:rsidR="00866289" w:rsidRPr="001D7270" w:rsidRDefault="00866289" w:rsidP="00866289">
      <w:pPr>
        <w:pStyle w:val="FootnoteText"/>
        <w:rPr>
          <w:rFonts w:cs="Arial"/>
          <w:color w:val="77328A"/>
          <w:sz w:val="16"/>
          <w:szCs w:val="16"/>
        </w:rPr>
      </w:pPr>
      <w:r w:rsidRPr="001D7270">
        <w:rPr>
          <w:rStyle w:val="FootnoteReference"/>
          <w:rFonts w:cs="Arial"/>
          <w:color w:val="77328A"/>
          <w:sz w:val="16"/>
          <w:szCs w:val="16"/>
        </w:rPr>
        <w:footnoteRef/>
      </w:r>
      <w:r w:rsidRPr="001D7270">
        <w:rPr>
          <w:rStyle w:val="FootnoteReference"/>
          <w:rFonts w:cs="Arial"/>
          <w:color w:val="77328A"/>
          <w:sz w:val="16"/>
          <w:szCs w:val="16"/>
        </w:rPr>
        <w:t xml:space="preserve"> </w:t>
      </w:r>
      <w:r w:rsidR="00E47AB4" w:rsidRPr="001D7270">
        <w:rPr>
          <w:rFonts w:cs="Arial"/>
          <w:color w:val="77328A"/>
          <w:sz w:val="16"/>
          <w:szCs w:val="16"/>
        </w:rPr>
        <w:t>NI Office, ‘UK Government Commitment to “No Diminution of Rights, Safeguards and Equality of Opportunity” in Northern Ireland: What does it Mean and How will it be Implemented?’ (NIO, 2020), at para</w:t>
      </w:r>
      <w:r w:rsidR="00592361" w:rsidRPr="001D7270">
        <w:rPr>
          <w:rFonts w:cs="Arial"/>
          <w:color w:val="77328A"/>
          <w:sz w:val="16"/>
          <w:szCs w:val="16"/>
        </w:rPr>
        <w:t>. 13</w:t>
      </w:r>
      <w:r w:rsidR="00363A81" w:rsidRPr="001D7270">
        <w:rPr>
          <w:rFonts w:cs="Arial"/>
          <w:color w:val="77328A"/>
          <w:sz w:val="16"/>
          <w:szCs w:val="16"/>
        </w:rPr>
        <w:t>.</w:t>
      </w:r>
      <w:r w:rsidR="00985B55" w:rsidRPr="001D7270">
        <w:rPr>
          <w:rFonts w:cs="Arial"/>
          <w:color w:val="77328A"/>
          <w:sz w:val="16"/>
          <w:szCs w:val="16"/>
        </w:rPr>
        <w:t xml:space="preserve"> See also footnote 8</w:t>
      </w:r>
      <w:r w:rsidR="00172513" w:rsidRPr="001D7270">
        <w:rPr>
          <w:rFonts w:cs="Arial"/>
          <w:color w:val="77328A"/>
          <w:sz w:val="16"/>
          <w:szCs w:val="16"/>
        </w:rPr>
        <w:t xml:space="preserve"> for a summary of Protocol Article 2.</w:t>
      </w:r>
    </w:p>
  </w:footnote>
  <w:footnote w:id="30">
    <w:p w14:paraId="43122C77" w14:textId="77777777" w:rsidR="000B64DA" w:rsidRPr="001D7270" w:rsidRDefault="000B64DA" w:rsidP="000B64DA">
      <w:pPr>
        <w:pStyle w:val="FootnoteText"/>
        <w:rPr>
          <w:rFonts w:cs="Arial"/>
          <w:color w:val="77328A"/>
          <w:sz w:val="16"/>
          <w:szCs w:val="16"/>
        </w:rPr>
      </w:pPr>
      <w:r w:rsidRPr="001D7270">
        <w:rPr>
          <w:rStyle w:val="FootnoteReference"/>
          <w:color w:val="77328A"/>
        </w:rPr>
        <w:footnoteRef/>
      </w:r>
      <w:r w:rsidRPr="001D7270">
        <w:rPr>
          <w:color w:val="77328A"/>
        </w:rPr>
        <w:t xml:space="preserve"> </w:t>
      </w:r>
      <w:r w:rsidRPr="001D7270">
        <w:rPr>
          <w:rFonts w:cs="Arial"/>
          <w:color w:val="77328A"/>
          <w:sz w:val="16"/>
          <w:szCs w:val="16"/>
        </w:rPr>
        <w:t xml:space="preserve">See for example, </w:t>
      </w:r>
      <w:proofErr w:type="spellStart"/>
      <w:r w:rsidRPr="001D7270">
        <w:rPr>
          <w:rFonts w:cs="Arial"/>
          <w:color w:val="77328A"/>
          <w:sz w:val="16"/>
          <w:szCs w:val="16"/>
        </w:rPr>
        <w:t>Gaviero</w:t>
      </w:r>
      <w:proofErr w:type="spellEnd"/>
      <w:r w:rsidRPr="001D7270">
        <w:rPr>
          <w:rFonts w:cs="Arial"/>
          <w:color w:val="77328A"/>
          <w:sz w:val="16"/>
          <w:szCs w:val="16"/>
        </w:rPr>
        <w:t xml:space="preserve"> Joined Cases C-444/09 and C-456/09.</w:t>
      </w:r>
    </w:p>
  </w:footnote>
  <w:footnote w:id="31">
    <w:p w14:paraId="2B40AD78" w14:textId="77777777" w:rsidR="000B64DA" w:rsidRPr="001D7270" w:rsidRDefault="000B64DA" w:rsidP="000B64DA">
      <w:pPr>
        <w:pStyle w:val="FootnoteText"/>
        <w:rPr>
          <w:rFonts w:cs="Arial"/>
          <w:color w:val="77328A"/>
          <w:sz w:val="16"/>
          <w:szCs w:val="16"/>
        </w:rPr>
      </w:pPr>
      <w:r w:rsidRPr="001D7270">
        <w:rPr>
          <w:rStyle w:val="FootnoteReference"/>
          <w:color w:val="77328A"/>
        </w:rPr>
        <w:footnoteRef/>
      </w:r>
      <w:r w:rsidRPr="001D7270">
        <w:rPr>
          <w:color w:val="77328A"/>
        </w:rPr>
        <w:t xml:space="preserve"> </w:t>
      </w:r>
      <w:r w:rsidRPr="001D7270">
        <w:rPr>
          <w:rFonts w:cs="Arial"/>
          <w:color w:val="77328A"/>
          <w:sz w:val="16"/>
          <w:szCs w:val="16"/>
        </w:rPr>
        <w:t>Section 5(5), EU Withdrawal Act 2018.</w:t>
      </w:r>
    </w:p>
  </w:footnote>
  <w:footnote w:id="32">
    <w:p w14:paraId="79C46926" w14:textId="77777777" w:rsidR="00A26EA4" w:rsidRPr="001D7270" w:rsidRDefault="00A26EA4" w:rsidP="00A26EA4">
      <w:pPr>
        <w:pStyle w:val="FootnoteText"/>
        <w:rPr>
          <w:rFonts w:cs="Arial"/>
          <w:color w:val="77328A"/>
          <w:sz w:val="16"/>
          <w:szCs w:val="16"/>
        </w:rPr>
      </w:pPr>
      <w:r w:rsidRPr="001D7270">
        <w:rPr>
          <w:rStyle w:val="FootnoteReference"/>
          <w:rFonts w:cs="Arial"/>
          <w:color w:val="77328A"/>
          <w:sz w:val="16"/>
          <w:szCs w:val="16"/>
        </w:rPr>
        <w:footnoteRef/>
      </w:r>
      <w:r w:rsidRPr="001D7270">
        <w:rPr>
          <w:color w:val="77328A"/>
        </w:rPr>
        <w:t xml:space="preserve"> </w:t>
      </w:r>
      <w:r w:rsidRPr="001D7270">
        <w:rPr>
          <w:rFonts w:cs="Arial"/>
          <w:color w:val="77328A"/>
          <w:sz w:val="16"/>
          <w:szCs w:val="16"/>
        </w:rPr>
        <w:t>Clauses 36 and 37, NI Troubles (Legacy and Reconciliation) Bill.</w:t>
      </w:r>
    </w:p>
  </w:footnote>
  <w:footnote w:id="33">
    <w:p w14:paraId="4EEEDE1E" w14:textId="77777777" w:rsidR="00630AA0" w:rsidRPr="001D7270" w:rsidRDefault="00630AA0" w:rsidP="00630AA0">
      <w:pPr>
        <w:pStyle w:val="FootnoteText"/>
        <w:rPr>
          <w:color w:val="77328A"/>
        </w:rPr>
      </w:pPr>
      <w:r w:rsidRPr="001D7270">
        <w:rPr>
          <w:rStyle w:val="FootnoteReference"/>
          <w:rFonts w:cs="Arial"/>
          <w:color w:val="77328A"/>
          <w:sz w:val="16"/>
          <w:szCs w:val="16"/>
        </w:rPr>
        <w:footnoteRef/>
      </w:r>
      <w:r w:rsidRPr="001D7270">
        <w:rPr>
          <w:color w:val="77328A"/>
        </w:rPr>
        <w:t xml:space="preserve"> </w:t>
      </w:r>
      <w:r w:rsidRPr="001D7270">
        <w:rPr>
          <w:rFonts w:cs="Arial"/>
          <w:color w:val="77328A"/>
          <w:sz w:val="16"/>
          <w:szCs w:val="16"/>
        </w:rPr>
        <w:t xml:space="preserve">Articles 6 and 11 of Directive 2012/29/EU of the European Parliament and of the Council of 25 October 2012 establishing minimum standards on the rights, </w:t>
      </w:r>
      <w:proofErr w:type="gramStart"/>
      <w:r w:rsidRPr="001D7270">
        <w:rPr>
          <w:rFonts w:cs="Arial"/>
          <w:color w:val="77328A"/>
          <w:sz w:val="16"/>
          <w:szCs w:val="16"/>
        </w:rPr>
        <w:t>support</w:t>
      </w:r>
      <w:proofErr w:type="gramEnd"/>
      <w:r w:rsidRPr="001D7270">
        <w:rPr>
          <w:rFonts w:cs="Arial"/>
          <w:color w:val="77328A"/>
          <w:sz w:val="16"/>
          <w:szCs w:val="16"/>
        </w:rPr>
        <w:t xml:space="preserve"> and protection of victims of crime, and replacing Council Framework Decision 2001/220/JHA.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8BD8" w14:textId="2222BB71" w:rsidR="0026306A" w:rsidRDefault="0026306A" w:rsidP="0026306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759B" w14:textId="297D90DB" w:rsidR="00706302" w:rsidRDefault="00C83512" w:rsidP="00C83512">
    <w:pPr>
      <w:pStyle w:val="Header"/>
      <w:jc w:val="center"/>
    </w:pPr>
    <w:r w:rsidRPr="00EA12CE">
      <w:rPr>
        <w:rFonts w:cs="Arial"/>
        <w:b/>
        <w:bCs/>
        <w:noProof/>
        <w:color w:val="734791"/>
        <w:sz w:val="36"/>
        <w:szCs w:val="36"/>
        <w:lang w:eastAsia="en-GB"/>
      </w:rPr>
      <w:drawing>
        <wp:inline distT="0" distB="0" distL="0" distR="0" wp14:anchorId="512ADAE1" wp14:editId="741BC1DA">
          <wp:extent cx="869950" cy="1162517"/>
          <wp:effectExtent l="0" t="0" r="0" b="0"/>
          <wp:docPr id="1" name="Picture 1"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873" cy="11931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454D"/>
    <w:multiLevelType w:val="multilevel"/>
    <w:tmpl w:val="9830F332"/>
    <w:lvl w:ilvl="0">
      <w:start w:val="4"/>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BFA2841"/>
    <w:multiLevelType w:val="hybridMultilevel"/>
    <w:tmpl w:val="02E0ACD4"/>
    <w:lvl w:ilvl="0" w:tplc="D7C683A6">
      <w:numFmt w:val="bullet"/>
      <w:lvlText w:val="-"/>
      <w:lvlJc w:val="left"/>
      <w:pPr>
        <w:ind w:left="72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72294"/>
    <w:multiLevelType w:val="hybridMultilevel"/>
    <w:tmpl w:val="E3D03D5E"/>
    <w:lvl w:ilvl="0" w:tplc="BC7C6458">
      <w:start w:val="1"/>
      <w:numFmt w:val="decimal"/>
      <w:lvlText w:val="1.%1"/>
      <w:lvlJc w:val="left"/>
      <w:pPr>
        <w:ind w:left="1440" w:hanging="360"/>
      </w:pPr>
      <w:rPr>
        <w:rFonts w:hint="default"/>
        <w:vanish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6863844"/>
    <w:multiLevelType w:val="multilevel"/>
    <w:tmpl w:val="F118DF08"/>
    <w:lvl w:ilvl="0">
      <w:start w:val="1"/>
      <w:numFmt w:val="decimal"/>
      <w:lvlText w:val="%1"/>
      <w:lvlJc w:val="left"/>
      <w:pPr>
        <w:ind w:left="420" w:hanging="420"/>
      </w:pPr>
      <w:rPr>
        <w:rFonts w:hint="default"/>
      </w:rPr>
    </w:lvl>
    <w:lvl w:ilvl="1">
      <w:start w:val="1"/>
      <w:numFmt w:val="decimal"/>
      <w:lvlText w:val="%1.%2"/>
      <w:lvlJc w:val="left"/>
      <w:pPr>
        <w:ind w:left="720" w:hanging="720"/>
      </w:p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1879177B"/>
    <w:multiLevelType w:val="multilevel"/>
    <w:tmpl w:val="1B04B180"/>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33A04BCE"/>
    <w:multiLevelType w:val="hybridMultilevel"/>
    <w:tmpl w:val="D7F46F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4862D8E"/>
    <w:multiLevelType w:val="multilevel"/>
    <w:tmpl w:val="C91EFA90"/>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3AC00691"/>
    <w:multiLevelType w:val="multilevel"/>
    <w:tmpl w:val="1C6CB624"/>
    <w:lvl w:ilvl="0">
      <w:start w:val="3"/>
      <w:numFmt w:val="decimal"/>
      <w:lvlText w:val="%1"/>
      <w:lvlJc w:val="left"/>
      <w:pPr>
        <w:ind w:left="430" w:hanging="43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41506B39"/>
    <w:multiLevelType w:val="hybridMultilevel"/>
    <w:tmpl w:val="7CA4FE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473D3AAD"/>
    <w:multiLevelType w:val="multilevel"/>
    <w:tmpl w:val="8C3442A6"/>
    <w:lvl w:ilvl="0">
      <w:start w:val="3"/>
      <w:numFmt w:val="decimal"/>
      <w:lvlText w:val="%1"/>
      <w:lvlJc w:val="left"/>
      <w:pPr>
        <w:ind w:left="600" w:hanging="600"/>
      </w:pPr>
      <w:rPr>
        <w:rFonts w:hint="default"/>
      </w:rPr>
    </w:lvl>
    <w:lvl w:ilvl="1">
      <w:start w:val="3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5B9C391E"/>
    <w:multiLevelType w:val="hybridMultilevel"/>
    <w:tmpl w:val="76C01A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2384EED"/>
    <w:multiLevelType w:val="multilevel"/>
    <w:tmpl w:val="1E5C0DF0"/>
    <w:lvl w:ilvl="0">
      <w:start w:val="1"/>
      <w:numFmt w:val="decimal"/>
      <w:lvlText w:val="%1"/>
      <w:lvlJc w:val="left"/>
      <w:pPr>
        <w:ind w:left="530" w:hanging="530"/>
      </w:pPr>
      <w:rPr>
        <w:rFonts w:eastAsiaTheme="minorEastAsia" w:cstheme="minorBidi" w:hint="default"/>
        <w:b w:val="0"/>
        <w:color w:val="auto"/>
        <w:sz w:val="24"/>
      </w:rPr>
    </w:lvl>
    <w:lvl w:ilvl="1">
      <w:start w:val="1"/>
      <w:numFmt w:val="decimal"/>
      <w:lvlText w:val="%1.%2"/>
      <w:lvlJc w:val="left"/>
      <w:pPr>
        <w:ind w:left="720" w:hanging="720"/>
      </w:pPr>
      <w:rPr>
        <w:rFonts w:eastAsiaTheme="minorEastAsia" w:cstheme="minorBidi" w:hint="default"/>
        <w:b w:val="0"/>
        <w:color w:val="auto"/>
        <w:sz w:val="24"/>
      </w:rPr>
    </w:lvl>
    <w:lvl w:ilvl="2">
      <w:start w:val="1"/>
      <w:numFmt w:val="decimal"/>
      <w:lvlText w:val="%1.%2.%3"/>
      <w:lvlJc w:val="left"/>
      <w:pPr>
        <w:ind w:left="1080" w:hanging="1080"/>
      </w:pPr>
      <w:rPr>
        <w:rFonts w:eastAsiaTheme="minorEastAsia" w:cstheme="minorBidi" w:hint="default"/>
        <w:b w:val="0"/>
        <w:color w:val="auto"/>
        <w:sz w:val="24"/>
      </w:rPr>
    </w:lvl>
    <w:lvl w:ilvl="3">
      <w:start w:val="1"/>
      <w:numFmt w:val="decimal"/>
      <w:lvlText w:val="%1.%2.%3.%4"/>
      <w:lvlJc w:val="left"/>
      <w:pPr>
        <w:ind w:left="1080" w:hanging="1080"/>
      </w:pPr>
      <w:rPr>
        <w:rFonts w:eastAsiaTheme="minorEastAsia" w:cstheme="minorBidi" w:hint="default"/>
        <w:b w:val="0"/>
        <w:color w:val="auto"/>
        <w:sz w:val="24"/>
      </w:rPr>
    </w:lvl>
    <w:lvl w:ilvl="4">
      <w:start w:val="1"/>
      <w:numFmt w:val="decimal"/>
      <w:lvlText w:val="%1.%2.%3.%4.%5"/>
      <w:lvlJc w:val="left"/>
      <w:pPr>
        <w:ind w:left="1440" w:hanging="1440"/>
      </w:pPr>
      <w:rPr>
        <w:rFonts w:eastAsiaTheme="minorEastAsia" w:cstheme="minorBidi" w:hint="default"/>
        <w:b w:val="0"/>
        <w:color w:val="auto"/>
        <w:sz w:val="24"/>
      </w:rPr>
    </w:lvl>
    <w:lvl w:ilvl="5">
      <w:start w:val="1"/>
      <w:numFmt w:val="decimal"/>
      <w:lvlText w:val="%1.%2.%3.%4.%5.%6"/>
      <w:lvlJc w:val="left"/>
      <w:pPr>
        <w:ind w:left="1800" w:hanging="1800"/>
      </w:pPr>
      <w:rPr>
        <w:rFonts w:eastAsiaTheme="minorEastAsia" w:cstheme="minorBidi" w:hint="default"/>
        <w:b w:val="0"/>
        <w:color w:val="auto"/>
        <w:sz w:val="24"/>
      </w:rPr>
    </w:lvl>
    <w:lvl w:ilvl="6">
      <w:start w:val="1"/>
      <w:numFmt w:val="decimal"/>
      <w:lvlText w:val="%1.%2.%3.%4.%5.%6.%7"/>
      <w:lvlJc w:val="left"/>
      <w:pPr>
        <w:ind w:left="2160" w:hanging="2160"/>
      </w:pPr>
      <w:rPr>
        <w:rFonts w:eastAsiaTheme="minorEastAsia" w:cstheme="minorBidi" w:hint="default"/>
        <w:b w:val="0"/>
        <w:color w:val="auto"/>
        <w:sz w:val="24"/>
      </w:rPr>
    </w:lvl>
    <w:lvl w:ilvl="7">
      <w:start w:val="1"/>
      <w:numFmt w:val="decimal"/>
      <w:lvlText w:val="%1.%2.%3.%4.%5.%6.%7.%8"/>
      <w:lvlJc w:val="left"/>
      <w:pPr>
        <w:ind w:left="2520" w:hanging="2520"/>
      </w:pPr>
      <w:rPr>
        <w:rFonts w:eastAsiaTheme="minorEastAsia" w:cstheme="minorBidi" w:hint="default"/>
        <w:b w:val="0"/>
        <w:color w:val="auto"/>
        <w:sz w:val="24"/>
      </w:rPr>
    </w:lvl>
    <w:lvl w:ilvl="8">
      <w:start w:val="1"/>
      <w:numFmt w:val="decimal"/>
      <w:lvlText w:val="%1.%2.%3.%4.%5.%6.%7.%8.%9"/>
      <w:lvlJc w:val="left"/>
      <w:pPr>
        <w:ind w:left="2520" w:hanging="2520"/>
      </w:pPr>
      <w:rPr>
        <w:rFonts w:eastAsiaTheme="minorEastAsia" w:cstheme="minorBidi" w:hint="default"/>
        <w:b w:val="0"/>
        <w:color w:val="auto"/>
        <w:sz w:val="24"/>
      </w:rPr>
    </w:lvl>
  </w:abstractNum>
  <w:abstractNum w:abstractNumId="12" w15:restartNumberingAfterBreak="0">
    <w:nsid w:val="6BA02647"/>
    <w:multiLevelType w:val="multilevel"/>
    <w:tmpl w:val="6FA81AE2"/>
    <w:lvl w:ilvl="0">
      <w:start w:val="4"/>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6F474B45"/>
    <w:multiLevelType w:val="multilevel"/>
    <w:tmpl w:val="CEC2836E"/>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0636851"/>
    <w:multiLevelType w:val="multilevel"/>
    <w:tmpl w:val="95C4FEA2"/>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71BC7688"/>
    <w:multiLevelType w:val="multilevel"/>
    <w:tmpl w:val="47028E3A"/>
    <w:lvl w:ilvl="0">
      <w:start w:val="1"/>
      <w:numFmt w:val="decimal"/>
      <w:lvlText w:val="%1.0"/>
      <w:lvlJc w:val="left"/>
      <w:pPr>
        <w:ind w:left="720" w:hanging="720"/>
      </w:pPr>
      <w:rPr>
        <w:rFonts w:hint="default"/>
      </w:rPr>
    </w:lvl>
    <w:lvl w:ilvl="1">
      <w:start w:val="1"/>
      <w:numFmt w:val="decimal"/>
      <w:pStyle w:val="ListParagraph"/>
      <w:lvlText w:val="%1.%2"/>
      <w:lvlJc w:val="left"/>
      <w:pPr>
        <w:ind w:left="9084" w:hanging="720"/>
      </w:pPr>
      <w:rPr>
        <w:rFonts w:hint="default"/>
        <w:b w:val="0"/>
        <w:bCs w:val="0"/>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35628073">
    <w:abstractNumId w:val="2"/>
  </w:num>
  <w:num w:numId="2" w16cid:durableId="1051156181">
    <w:abstractNumId w:val="15"/>
  </w:num>
  <w:num w:numId="3" w16cid:durableId="319701950">
    <w:abstractNumId w:val="8"/>
  </w:num>
  <w:num w:numId="4" w16cid:durableId="875847277">
    <w:abstractNumId w:val="5"/>
  </w:num>
  <w:num w:numId="5" w16cid:durableId="1370254760">
    <w:abstractNumId w:val="10"/>
  </w:num>
  <w:num w:numId="6" w16cid:durableId="1433282998">
    <w:abstractNumId w:val="1"/>
  </w:num>
  <w:num w:numId="7" w16cid:durableId="92091360">
    <w:abstractNumId w:val="16"/>
  </w:num>
  <w:num w:numId="8" w16cid:durableId="854031223">
    <w:abstractNumId w:val="3"/>
  </w:num>
  <w:num w:numId="9" w16cid:durableId="376971546">
    <w:abstractNumId w:val="11"/>
  </w:num>
  <w:num w:numId="10" w16cid:durableId="319045330">
    <w:abstractNumId w:val="4"/>
  </w:num>
  <w:num w:numId="11" w16cid:durableId="299923006">
    <w:abstractNumId w:val="6"/>
  </w:num>
  <w:num w:numId="12" w16cid:durableId="227306108">
    <w:abstractNumId w:val="14"/>
  </w:num>
  <w:num w:numId="13" w16cid:durableId="186800124">
    <w:abstractNumId w:val="7"/>
  </w:num>
  <w:num w:numId="14" w16cid:durableId="7099190">
    <w:abstractNumId w:val="9"/>
  </w:num>
  <w:num w:numId="15" w16cid:durableId="1284191325">
    <w:abstractNumId w:val="13"/>
  </w:num>
  <w:num w:numId="16" w16cid:durableId="1282763506">
    <w:abstractNumId w:val="12"/>
  </w:num>
  <w:num w:numId="17" w16cid:durableId="91424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0C"/>
    <w:rsid w:val="00000EC7"/>
    <w:rsid w:val="000021B3"/>
    <w:rsid w:val="00002A03"/>
    <w:rsid w:val="000071A8"/>
    <w:rsid w:val="00010787"/>
    <w:rsid w:val="00013FF0"/>
    <w:rsid w:val="00020CFC"/>
    <w:rsid w:val="00025FC8"/>
    <w:rsid w:val="00032349"/>
    <w:rsid w:val="00032CEE"/>
    <w:rsid w:val="0003758B"/>
    <w:rsid w:val="00041C3D"/>
    <w:rsid w:val="00042378"/>
    <w:rsid w:val="000437CB"/>
    <w:rsid w:val="00044A17"/>
    <w:rsid w:val="00050ECD"/>
    <w:rsid w:val="0005118D"/>
    <w:rsid w:val="0005312E"/>
    <w:rsid w:val="000573DF"/>
    <w:rsid w:val="000641FC"/>
    <w:rsid w:val="000751EE"/>
    <w:rsid w:val="0007645F"/>
    <w:rsid w:val="000876F2"/>
    <w:rsid w:val="0009493B"/>
    <w:rsid w:val="00094A73"/>
    <w:rsid w:val="0009536C"/>
    <w:rsid w:val="000A1068"/>
    <w:rsid w:val="000A29A4"/>
    <w:rsid w:val="000A4BAB"/>
    <w:rsid w:val="000B0339"/>
    <w:rsid w:val="000B1B3A"/>
    <w:rsid w:val="000B3249"/>
    <w:rsid w:val="000B64DA"/>
    <w:rsid w:val="000C260F"/>
    <w:rsid w:val="000D00D2"/>
    <w:rsid w:val="000D6999"/>
    <w:rsid w:val="000E051C"/>
    <w:rsid w:val="000E431A"/>
    <w:rsid w:val="000F5A60"/>
    <w:rsid w:val="00104133"/>
    <w:rsid w:val="0010467A"/>
    <w:rsid w:val="00105F1B"/>
    <w:rsid w:val="00110A65"/>
    <w:rsid w:val="0011108C"/>
    <w:rsid w:val="00122609"/>
    <w:rsid w:val="00125F75"/>
    <w:rsid w:val="00130EDE"/>
    <w:rsid w:val="001320AA"/>
    <w:rsid w:val="00141F92"/>
    <w:rsid w:val="0015395F"/>
    <w:rsid w:val="00162399"/>
    <w:rsid w:val="00164CD7"/>
    <w:rsid w:val="00172513"/>
    <w:rsid w:val="00173F2D"/>
    <w:rsid w:val="0018015E"/>
    <w:rsid w:val="001822EC"/>
    <w:rsid w:val="00186CE1"/>
    <w:rsid w:val="00192DFD"/>
    <w:rsid w:val="001A0B1B"/>
    <w:rsid w:val="001A5F15"/>
    <w:rsid w:val="001B2A11"/>
    <w:rsid w:val="001C2581"/>
    <w:rsid w:val="001D3508"/>
    <w:rsid w:val="001D7270"/>
    <w:rsid w:val="001E1057"/>
    <w:rsid w:val="001E160A"/>
    <w:rsid w:val="001F0F03"/>
    <w:rsid w:val="0020669E"/>
    <w:rsid w:val="00206F3C"/>
    <w:rsid w:val="00211FE0"/>
    <w:rsid w:val="0021205C"/>
    <w:rsid w:val="00217917"/>
    <w:rsid w:val="00220CEA"/>
    <w:rsid w:val="00221C6C"/>
    <w:rsid w:val="002406B3"/>
    <w:rsid w:val="002409C5"/>
    <w:rsid w:val="002434A4"/>
    <w:rsid w:val="00244D26"/>
    <w:rsid w:val="002458BC"/>
    <w:rsid w:val="0026306A"/>
    <w:rsid w:val="00266992"/>
    <w:rsid w:val="00267C0B"/>
    <w:rsid w:val="002710C6"/>
    <w:rsid w:val="0027375D"/>
    <w:rsid w:val="0027719E"/>
    <w:rsid w:val="00277817"/>
    <w:rsid w:val="00282247"/>
    <w:rsid w:val="00282CD4"/>
    <w:rsid w:val="00287DA5"/>
    <w:rsid w:val="002913CB"/>
    <w:rsid w:val="00295391"/>
    <w:rsid w:val="002A1D63"/>
    <w:rsid w:val="002B3479"/>
    <w:rsid w:val="002B351D"/>
    <w:rsid w:val="002B5CF7"/>
    <w:rsid w:val="002C0AC9"/>
    <w:rsid w:val="002C1655"/>
    <w:rsid w:val="002C1A6B"/>
    <w:rsid w:val="002C3225"/>
    <w:rsid w:val="002C4B28"/>
    <w:rsid w:val="002D2D91"/>
    <w:rsid w:val="002E3509"/>
    <w:rsid w:val="002E543D"/>
    <w:rsid w:val="002E5DB5"/>
    <w:rsid w:val="0030445C"/>
    <w:rsid w:val="0032264D"/>
    <w:rsid w:val="0032558C"/>
    <w:rsid w:val="00330E34"/>
    <w:rsid w:val="0033760C"/>
    <w:rsid w:val="0034378D"/>
    <w:rsid w:val="00343AF8"/>
    <w:rsid w:val="003550BF"/>
    <w:rsid w:val="00356FEA"/>
    <w:rsid w:val="00361D0E"/>
    <w:rsid w:val="0036205B"/>
    <w:rsid w:val="00363A81"/>
    <w:rsid w:val="003669BF"/>
    <w:rsid w:val="0036729C"/>
    <w:rsid w:val="00367776"/>
    <w:rsid w:val="003711FD"/>
    <w:rsid w:val="00371B66"/>
    <w:rsid w:val="003812C1"/>
    <w:rsid w:val="00384FA1"/>
    <w:rsid w:val="0038514E"/>
    <w:rsid w:val="00392217"/>
    <w:rsid w:val="00393C88"/>
    <w:rsid w:val="0039744B"/>
    <w:rsid w:val="003A46C5"/>
    <w:rsid w:val="003A69AD"/>
    <w:rsid w:val="003A6B0A"/>
    <w:rsid w:val="003A73E2"/>
    <w:rsid w:val="003A7C8D"/>
    <w:rsid w:val="003B3193"/>
    <w:rsid w:val="003B3605"/>
    <w:rsid w:val="003B3E1A"/>
    <w:rsid w:val="003C0FD0"/>
    <w:rsid w:val="003C519F"/>
    <w:rsid w:val="003D02B5"/>
    <w:rsid w:val="003D1F9A"/>
    <w:rsid w:val="003E3620"/>
    <w:rsid w:val="003E7076"/>
    <w:rsid w:val="003F1CEC"/>
    <w:rsid w:val="003F6A59"/>
    <w:rsid w:val="00405F43"/>
    <w:rsid w:val="00410187"/>
    <w:rsid w:val="00410E79"/>
    <w:rsid w:val="00412D84"/>
    <w:rsid w:val="00417098"/>
    <w:rsid w:val="004307D2"/>
    <w:rsid w:val="004419E1"/>
    <w:rsid w:val="004428B4"/>
    <w:rsid w:val="0044337E"/>
    <w:rsid w:val="004437F3"/>
    <w:rsid w:val="00443D45"/>
    <w:rsid w:val="00444048"/>
    <w:rsid w:val="004444DB"/>
    <w:rsid w:val="004559E7"/>
    <w:rsid w:val="00462F9F"/>
    <w:rsid w:val="004738E7"/>
    <w:rsid w:val="00474923"/>
    <w:rsid w:val="00476565"/>
    <w:rsid w:val="0049070A"/>
    <w:rsid w:val="00491D96"/>
    <w:rsid w:val="00497ECA"/>
    <w:rsid w:val="004A0644"/>
    <w:rsid w:val="004A1A19"/>
    <w:rsid w:val="004A2485"/>
    <w:rsid w:val="004A2935"/>
    <w:rsid w:val="004A3464"/>
    <w:rsid w:val="004A3F80"/>
    <w:rsid w:val="004B05F6"/>
    <w:rsid w:val="004B241C"/>
    <w:rsid w:val="004B6AF3"/>
    <w:rsid w:val="004B755A"/>
    <w:rsid w:val="004C1EE8"/>
    <w:rsid w:val="004C2598"/>
    <w:rsid w:val="004C570A"/>
    <w:rsid w:val="004D09C2"/>
    <w:rsid w:val="004E515E"/>
    <w:rsid w:val="004E5DC7"/>
    <w:rsid w:val="004F1036"/>
    <w:rsid w:val="004F1658"/>
    <w:rsid w:val="004F48AD"/>
    <w:rsid w:val="004F7623"/>
    <w:rsid w:val="00500560"/>
    <w:rsid w:val="00501108"/>
    <w:rsid w:val="00502952"/>
    <w:rsid w:val="00506FB3"/>
    <w:rsid w:val="005108AE"/>
    <w:rsid w:val="0051179E"/>
    <w:rsid w:val="00511B70"/>
    <w:rsid w:val="0052508F"/>
    <w:rsid w:val="00530350"/>
    <w:rsid w:val="005310DD"/>
    <w:rsid w:val="005321DD"/>
    <w:rsid w:val="005332B2"/>
    <w:rsid w:val="00533703"/>
    <w:rsid w:val="00552CA1"/>
    <w:rsid w:val="005557B0"/>
    <w:rsid w:val="00561F5A"/>
    <w:rsid w:val="005679E5"/>
    <w:rsid w:val="00570CE1"/>
    <w:rsid w:val="00573A5B"/>
    <w:rsid w:val="005758AA"/>
    <w:rsid w:val="005762AE"/>
    <w:rsid w:val="0058068A"/>
    <w:rsid w:val="00592361"/>
    <w:rsid w:val="0059554A"/>
    <w:rsid w:val="00596AEA"/>
    <w:rsid w:val="005A3569"/>
    <w:rsid w:val="005A4F96"/>
    <w:rsid w:val="005A5333"/>
    <w:rsid w:val="005B3733"/>
    <w:rsid w:val="005C2F7E"/>
    <w:rsid w:val="005C391B"/>
    <w:rsid w:val="005C476E"/>
    <w:rsid w:val="005C5654"/>
    <w:rsid w:val="005D01D8"/>
    <w:rsid w:val="005E64EC"/>
    <w:rsid w:val="005F28FB"/>
    <w:rsid w:val="005F42BB"/>
    <w:rsid w:val="00602B63"/>
    <w:rsid w:val="00603677"/>
    <w:rsid w:val="0060631C"/>
    <w:rsid w:val="0061207F"/>
    <w:rsid w:val="006223FF"/>
    <w:rsid w:val="00626751"/>
    <w:rsid w:val="00626A84"/>
    <w:rsid w:val="00630AA0"/>
    <w:rsid w:val="0064006C"/>
    <w:rsid w:val="006448AC"/>
    <w:rsid w:val="00665CDA"/>
    <w:rsid w:val="00666A42"/>
    <w:rsid w:val="006726C3"/>
    <w:rsid w:val="00675B5E"/>
    <w:rsid w:val="00676F6E"/>
    <w:rsid w:val="006851EE"/>
    <w:rsid w:val="0068547A"/>
    <w:rsid w:val="00685A08"/>
    <w:rsid w:val="00692225"/>
    <w:rsid w:val="00694B47"/>
    <w:rsid w:val="00695FCD"/>
    <w:rsid w:val="006962B6"/>
    <w:rsid w:val="006A6D83"/>
    <w:rsid w:val="006A6EF7"/>
    <w:rsid w:val="006B429B"/>
    <w:rsid w:val="006B5DAA"/>
    <w:rsid w:val="006B6FB1"/>
    <w:rsid w:val="006C0CFE"/>
    <w:rsid w:val="006E2922"/>
    <w:rsid w:val="006E58E3"/>
    <w:rsid w:val="006E7648"/>
    <w:rsid w:val="006F39BF"/>
    <w:rsid w:val="006F4E14"/>
    <w:rsid w:val="006F733E"/>
    <w:rsid w:val="00706302"/>
    <w:rsid w:val="00712F71"/>
    <w:rsid w:val="00715D90"/>
    <w:rsid w:val="007209D8"/>
    <w:rsid w:val="00720B92"/>
    <w:rsid w:val="00721F34"/>
    <w:rsid w:val="00724172"/>
    <w:rsid w:val="00726B48"/>
    <w:rsid w:val="007311DA"/>
    <w:rsid w:val="00732D09"/>
    <w:rsid w:val="00736F0C"/>
    <w:rsid w:val="00740C4F"/>
    <w:rsid w:val="00743229"/>
    <w:rsid w:val="00754D66"/>
    <w:rsid w:val="00757E8F"/>
    <w:rsid w:val="007660AF"/>
    <w:rsid w:val="00771531"/>
    <w:rsid w:val="0077514B"/>
    <w:rsid w:val="007A3177"/>
    <w:rsid w:val="007B014D"/>
    <w:rsid w:val="007B2D3C"/>
    <w:rsid w:val="007D7330"/>
    <w:rsid w:val="007E3A82"/>
    <w:rsid w:val="007E559A"/>
    <w:rsid w:val="007E664E"/>
    <w:rsid w:val="007F09D6"/>
    <w:rsid w:val="007F1913"/>
    <w:rsid w:val="007F401D"/>
    <w:rsid w:val="007F4282"/>
    <w:rsid w:val="00800026"/>
    <w:rsid w:val="00800AF0"/>
    <w:rsid w:val="008021C0"/>
    <w:rsid w:val="00803646"/>
    <w:rsid w:val="008172D1"/>
    <w:rsid w:val="0083149C"/>
    <w:rsid w:val="00832A96"/>
    <w:rsid w:val="008412FF"/>
    <w:rsid w:val="00842E11"/>
    <w:rsid w:val="00843E32"/>
    <w:rsid w:val="0084502F"/>
    <w:rsid w:val="008452BD"/>
    <w:rsid w:val="00850DA4"/>
    <w:rsid w:val="00851D90"/>
    <w:rsid w:val="00853593"/>
    <w:rsid w:val="008576B7"/>
    <w:rsid w:val="00862463"/>
    <w:rsid w:val="00866289"/>
    <w:rsid w:val="0086794A"/>
    <w:rsid w:val="00870EEB"/>
    <w:rsid w:val="00876D92"/>
    <w:rsid w:val="008820A6"/>
    <w:rsid w:val="00887991"/>
    <w:rsid w:val="008923B0"/>
    <w:rsid w:val="00895E04"/>
    <w:rsid w:val="008A089D"/>
    <w:rsid w:val="008B70E2"/>
    <w:rsid w:val="008B71FA"/>
    <w:rsid w:val="008C34A1"/>
    <w:rsid w:val="008D0181"/>
    <w:rsid w:val="008D2FDD"/>
    <w:rsid w:val="008D5665"/>
    <w:rsid w:val="008D6DC6"/>
    <w:rsid w:val="008D741F"/>
    <w:rsid w:val="008E1FF1"/>
    <w:rsid w:val="008E3C9D"/>
    <w:rsid w:val="008E7F05"/>
    <w:rsid w:val="008F2F5E"/>
    <w:rsid w:val="008F4D6B"/>
    <w:rsid w:val="008F550B"/>
    <w:rsid w:val="008F5630"/>
    <w:rsid w:val="008F610E"/>
    <w:rsid w:val="009012C6"/>
    <w:rsid w:val="00905BFA"/>
    <w:rsid w:val="0091120A"/>
    <w:rsid w:val="009275F6"/>
    <w:rsid w:val="00931284"/>
    <w:rsid w:val="0093573F"/>
    <w:rsid w:val="009410C9"/>
    <w:rsid w:val="009444C9"/>
    <w:rsid w:val="00945B2C"/>
    <w:rsid w:val="00945C38"/>
    <w:rsid w:val="00970883"/>
    <w:rsid w:val="00970A87"/>
    <w:rsid w:val="00971167"/>
    <w:rsid w:val="0097201B"/>
    <w:rsid w:val="00972C05"/>
    <w:rsid w:val="00980B03"/>
    <w:rsid w:val="00985B55"/>
    <w:rsid w:val="00987BBD"/>
    <w:rsid w:val="00987DDD"/>
    <w:rsid w:val="00990833"/>
    <w:rsid w:val="009A5921"/>
    <w:rsid w:val="009B2CA1"/>
    <w:rsid w:val="009C4375"/>
    <w:rsid w:val="009D2A24"/>
    <w:rsid w:val="009D3487"/>
    <w:rsid w:val="009D7EB5"/>
    <w:rsid w:val="009E269C"/>
    <w:rsid w:val="009E4C79"/>
    <w:rsid w:val="009E4D01"/>
    <w:rsid w:val="009E741B"/>
    <w:rsid w:val="009F1D0A"/>
    <w:rsid w:val="00A03AC8"/>
    <w:rsid w:val="00A047DE"/>
    <w:rsid w:val="00A058F3"/>
    <w:rsid w:val="00A1294A"/>
    <w:rsid w:val="00A2329D"/>
    <w:rsid w:val="00A26EA4"/>
    <w:rsid w:val="00A3454F"/>
    <w:rsid w:val="00A345B6"/>
    <w:rsid w:val="00A362F4"/>
    <w:rsid w:val="00A37482"/>
    <w:rsid w:val="00A377D1"/>
    <w:rsid w:val="00A427AC"/>
    <w:rsid w:val="00A44778"/>
    <w:rsid w:val="00A46D1A"/>
    <w:rsid w:val="00A4785C"/>
    <w:rsid w:val="00A5152F"/>
    <w:rsid w:val="00A62F74"/>
    <w:rsid w:val="00A71581"/>
    <w:rsid w:val="00A81B2E"/>
    <w:rsid w:val="00A82289"/>
    <w:rsid w:val="00A833E5"/>
    <w:rsid w:val="00A84850"/>
    <w:rsid w:val="00A85B7E"/>
    <w:rsid w:val="00A968BD"/>
    <w:rsid w:val="00A97359"/>
    <w:rsid w:val="00AA41DB"/>
    <w:rsid w:val="00AA65FE"/>
    <w:rsid w:val="00AA6CC9"/>
    <w:rsid w:val="00AB0644"/>
    <w:rsid w:val="00AB5563"/>
    <w:rsid w:val="00AC1E98"/>
    <w:rsid w:val="00AC70A3"/>
    <w:rsid w:val="00AD274E"/>
    <w:rsid w:val="00AD4BE8"/>
    <w:rsid w:val="00AE158C"/>
    <w:rsid w:val="00AE5035"/>
    <w:rsid w:val="00AF1CA3"/>
    <w:rsid w:val="00AF5CEA"/>
    <w:rsid w:val="00AF6DBB"/>
    <w:rsid w:val="00B020F7"/>
    <w:rsid w:val="00B042D7"/>
    <w:rsid w:val="00B30644"/>
    <w:rsid w:val="00B30AC7"/>
    <w:rsid w:val="00B47CA0"/>
    <w:rsid w:val="00B50049"/>
    <w:rsid w:val="00B61DB9"/>
    <w:rsid w:val="00B70CC6"/>
    <w:rsid w:val="00B71C4C"/>
    <w:rsid w:val="00B76DC1"/>
    <w:rsid w:val="00B801D5"/>
    <w:rsid w:val="00B8791C"/>
    <w:rsid w:val="00B90FD5"/>
    <w:rsid w:val="00B94AC8"/>
    <w:rsid w:val="00BA05C4"/>
    <w:rsid w:val="00BA1E6A"/>
    <w:rsid w:val="00BA453A"/>
    <w:rsid w:val="00BA72C9"/>
    <w:rsid w:val="00BB2552"/>
    <w:rsid w:val="00BB5A72"/>
    <w:rsid w:val="00BB6384"/>
    <w:rsid w:val="00BD4ED3"/>
    <w:rsid w:val="00BD7CD7"/>
    <w:rsid w:val="00BD7E9A"/>
    <w:rsid w:val="00BE2AF8"/>
    <w:rsid w:val="00BF4A4E"/>
    <w:rsid w:val="00BF58BB"/>
    <w:rsid w:val="00BF6056"/>
    <w:rsid w:val="00C000C3"/>
    <w:rsid w:val="00C0087F"/>
    <w:rsid w:val="00C02CDE"/>
    <w:rsid w:val="00C04C23"/>
    <w:rsid w:val="00C0511F"/>
    <w:rsid w:val="00C0550B"/>
    <w:rsid w:val="00C05600"/>
    <w:rsid w:val="00C12361"/>
    <w:rsid w:val="00C13123"/>
    <w:rsid w:val="00C15AF4"/>
    <w:rsid w:val="00C163BB"/>
    <w:rsid w:val="00C170EC"/>
    <w:rsid w:val="00C17C80"/>
    <w:rsid w:val="00C21DB9"/>
    <w:rsid w:val="00C2217A"/>
    <w:rsid w:val="00C23575"/>
    <w:rsid w:val="00C42D19"/>
    <w:rsid w:val="00C465C3"/>
    <w:rsid w:val="00C51DAA"/>
    <w:rsid w:val="00C52148"/>
    <w:rsid w:val="00C547B4"/>
    <w:rsid w:val="00C60347"/>
    <w:rsid w:val="00C63430"/>
    <w:rsid w:val="00C724E8"/>
    <w:rsid w:val="00C72BBA"/>
    <w:rsid w:val="00C73942"/>
    <w:rsid w:val="00C760AB"/>
    <w:rsid w:val="00C80B26"/>
    <w:rsid w:val="00C83512"/>
    <w:rsid w:val="00C84A57"/>
    <w:rsid w:val="00C850BA"/>
    <w:rsid w:val="00C874D7"/>
    <w:rsid w:val="00C9013A"/>
    <w:rsid w:val="00C94B7C"/>
    <w:rsid w:val="00C96CB8"/>
    <w:rsid w:val="00CA005E"/>
    <w:rsid w:val="00CA26FC"/>
    <w:rsid w:val="00CA74E1"/>
    <w:rsid w:val="00CB1DF1"/>
    <w:rsid w:val="00CB7D42"/>
    <w:rsid w:val="00CC461F"/>
    <w:rsid w:val="00CD3B5F"/>
    <w:rsid w:val="00CD54E5"/>
    <w:rsid w:val="00CE2F81"/>
    <w:rsid w:val="00CE4267"/>
    <w:rsid w:val="00CE6AA6"/>
    <w:rsid w:val="00CF2D5A"/>
    <w:rsid w:val="00D00A3B"/>
    <w:rsid w:val="00D111C8"/>
    <w:rsid w:val="00D11472"/>
    <w:rsid w:val="00D237F0"/>
    <w:rsid w:val="00D25AA1"/>
    <w:rsid w:val="00D27E5A"/>
    <w:rsid w:val="00D31706"/>
    <w:rsid w:val="00D41BCC"/>
    <w:rsid w:val="00D52A74"/>
    <w:rsid w:val="00D539FA"/>
    <w:rsid w:val="00D558A4"/>
    <w:rsid w:val="00D565BA"/>
    <w:rsid w:val="00D567BE"/>
    <w:rsid w:val="00D56A73"/>
    <w:rsid w:val="00D56DE2"/>
    <w:rsid w:val="00D5764E"/>
    <w:rsid w:val="00D61AEF"/>
    <w:rsid w:val="00D62822"/>
    <w:rsid w:val="00D64688"/>
    <w:rsid w:val="00D67872"/>
    <w:rsid w:val="00D73170"/>
    <w:rsid w:val="00D7383A"/>
    <w:rsid w:val="00D76135"/>
    <w:rsid w:val="00D82045"/>
    <w:rsid w:val="00DA1151"/>
    <w:rsid w:val="00DA18C3"/>
    <w:rsid w:val="00DA526B"/>
    <w:rsid w:val="00DA6305"/>
    <w:rsid w:val="00DB0290"/>
    <w:rsid w:val="00DB0F0C"/>
    <w:rsid w:val="00DB32C3"/>
    <w:rsid w:val="00DC0D76"/>
    <w:rsid w:val="00DE1C0A"/>
    <w:rsid w:val="00DE2119"/>
    <w:rsid w:val="00DE365B"/>
    <w:rsid w:val="00DF576B"/>
    <w:rsid w:val="00DF780E"/>
    <w:rsid w:val="00E013C5"/>
    <w:rsid w:val="00E06A03"/>
    <w:rsid w:val="00E1433A"/>
    <w:rsid w:val="00E22965"/>
    <w:rsid w:val="00E22CFE"/>
    <w:rsid w:val="00E31176"/>
    <w:rsid w:val="00E36577"/>
    <w:rsid w:val="00E367BA"/>
    <w:rsid w:val="00E404B8"/>
    <w:rsid w:val="00E40603"/>
    <w:rsid w:val="00E40B60"/>
    <w:rsid w:val="00E4514F"/>
    <w:rsid w:val="00E47AB4"/>
    <w:rsid w:val="00E50F8E"/>
    <w:rsid w:val="00E52806"/>
    <w:rsid w:val="00E6701A"/>
    <w:rsid w:val="00E70060"/>
    <w:rsid w:val="00E834A1"/>
    <w:rsid w:val="00E851CE"/>
    <w:rsid w:val="00E85663"/>
    <w:rsid w:val="00E87DC0"/>
    <w:rsid w:val="00E91559"/>
    <w:rsid w:val="00E91BED"/>
    <w:rsid w:val="00E97701"/>
    <w:rsid w:val="00EA6912"/>
    <w:rsid w:val="00EA6B95"/>
    <w:rsid w:val="00EA7FC8"/>
    <w:rsid w:val="00EB18D7"/>
    <w:rsid w:val="00EB2A38"/>
    <w:rsid w:val="00EC169C"/>
    <w:rsid w:val="00EE54EA"/>
    <w:rsid w:val="00EF05C9"/>
    <w:rsid w:val="00EF5107"/>
    <w:rsid w:val="00F02F46"/>
    <w:rsid w:val="00F07EC8"/>
    <w:rsid w:val="00F215F8"/>
    <w:rsid w:val="00F2623D"/>
    <w:rsid w:val="00F26F21"/>
    <w:rsid w:val="00F3149C"/>
    <w:rsid w:val="00F31C9A"/>
    <w:rsid w:val="00F35D18"/>
    <w:rsid w:val="00F47CBC"/>
    <w:rsid w:val="00F5698A"/>
    <w:rsid w:val="00F67931"/>
    <w:rsid w:val="00F7116A"/>
    <w:rsid w:val="00F711C1"/>
    <w:rsid w:val="00F73433"/>
    <w:rsid w:val="00F850DF"/>
    <w:rsid w:val="00F92C0B"/>
    <w:rsid w:val="00F9357D"/>
    <w:rsid w:val="00F93DB2"/>
    <w:rsid w:val="00FA57D5"/>
    <w:rsid w:val="00FA60F9"/>
    <w:rsid w:val="00FA683C"/>
    <w:rsid w:val="00FA79BD"/>
    <w:rsid w:val="00FB07CE"/>
    <w:rsid w:val="00FB6885"/>
    <w:rsid w:val="00FC023E"/>
    <w:rsid w:val="00FC37CD"/>
    <w:rsid w:val="00FC47DE"/>
    <w:rsid w:val="00FC4B1B"/>
    <w:rsid w:val="00FC5097"/>
    <w:rsid w:val="00FC5298"/>
    <w:rsid w:val="00FD5F24"/>
    <w:rsid w:val="00FD75B3"/>
    <w:rsid w:val="00FE0807"/>
    <w:rsid w:val="00FE49AC"/>
    <w:rsid w:val="00FE553A"/>
    <w:rsid w:val="00FF7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96AE7"/>
  <w15:chartTrackingRefBased/>
  <w15:docId w15:val="{607E4B70-B065-4469-8580-5F1AB7C1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0E2"/>
    <w:pPr>
      <w:spacing w:line="288" w:lineRule="auto"/>
    </w:pPr>
    <w:rPr>
      <w:rFonts w:ascii="Verdana" w:eastAsiaTheme="minorEastAsia" w:hAnsi="Verdana"/>
      <w:sz w:val="24"/>
      <w:szCs w:val="24"/>
    </w:rPr>
  </w:style>
  <w:style w:type="paragraph" w:styleId="Heading1">
    <w:name w:val="heading 1"/>
    <w:basedOn w:val="Normal"/>
    <w:next w:val="Normal"/>
    <w:link w:val="Heading1Char"/>
    <w:uiPriority w:val="9"/>
    <w:qFormat/>
    <w:rsid w:val="006962B6"/>
    <w:pPr>
      <w:keepNext/>
      <w:keepLines/>
      <w:spacing w:before="240" w:line="360" w:lineRule="auto"/>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6962B6"/>
    <w:pPr>
      <w:keepNext/>
      <w:keepLines/>
      <w:spacing w:before="40" w:line="360"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62B6"/>
    <w:rPr>
      <w:rFonts w:ascii="Verdana" w:eastAsiaTheme="majorEastAsia" w:hAnsi="Verdana" w:cstheme="majorBidi"/>
      <w:b/>
      <w:sz w:val="24"/>
      <w:szCs w:val="26"/>
    </w:rPr>
  </w:style>
  <w:style w:type="paragraph" w:customStyle="1" w:styleId="BasicParagraph">
    <w:name w:val="[Basic Paragraph]"/>
    <w:basedOn w:val="Normal"/>
    <w:uiPriority w:val="99"/>
    <w:rsid w:val="00DB0F0C"/>
    <w:pPr>
      <w:widowControl w:val="0"/>
      <w:autoSpaceDE w:val="0"/>
      <w:autoSpaceDN w:val="0"/>
      <w:adjustRightInd w:val="0"/>
      <w:textAlignment w:val="center"/>
    </w:pPr>
    <w:rPr>
      <w:rFonts w:ascii="MinionPro-Regular" w:hAnsi="MinionPro-Regular" w:cs="MinionPro-Regular"/>
      <w:color w:val="000000"/>
    </w:rPr>
  </w:style>
  <w:style w:type="paragraph" w:customStyle="1" w:styleId="Default">
    <w:name w:val="Default"/>
    <w:rsid w:val="00DB0F0C"/>
    <w:pPr>
      <w:widowControl w:val="0"/>
      <w:autoSpaceDE w:val="0"/>
      <w:autoSpaceDN w:val="0"/>
      <w:adjustRightInd w:val="0"/>
    </w:pPr>
    <w:rPr>
      <w:rFonts w:ascii="Verdana" w:eastAsiaTheme="minorEastAsia" w:hAnsi="Verdana" w:cs="Verdana"/>
      <w:color w:val="000000"/>
      <w:sz w:val="24"/>
      <w:szCs w:val="24"/>
      <w:lang w:val="en-US"/>
    </w:rPr>
  </w:style>
  <w:style w:type="character" w:customStyle="1" w:styleId="Heading1Char">
    <w:name w:val="Heading 1 Char"/>
    <w:basedOn w:val="DefaultParagraphFont"/>
    <w:link w:val="Heading1"/>
    <w:uiPriority w:val="9"/>
    <w:rsid w:val="006962B6"/>
    <w:rPr>
      <w:rFonts w:ascii="Verdana" w:eastAsiaTheme="majorEastAsia" w:hAnsi="Verdana" w:cstheme="majorBidi"/>
      <w:b/>
      <w:color w:val="77328A"/>
      <w:sz w:val="30"/>
      <w:szCs w:val="32"/>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DB0F0C"/>
    <w:rPr>
      <w:vertAlign w:val="superscript"/>
    </w:rPr>
  </w:style>
  <w:style w:type="paragraph" w:customStyle="1" w:styleId="NIHRCFootnotes">
    <w:name w:val="NIHRC Footnotes"/>
    <w:basedOn w:val="Normal"/>
    <w:qFormat/>
    <w:rsid w:val="00DB0F0C"/>
    <w:pPr>
      <w:tabs>
        <w:tab w:val="left" w:pos="284"/>
      </w:tabs>
      <w:spacing w:line="240" w:lineRule="auto"/>
    </w:pPr>
    <w:rPr>
      <w:rFonts w:cs="Arial"/>
      <w:color w:val="77328A"/>
      <w:sz w:val="16"/>
      <w:szCs w:val="16"/>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
    <w:basedOn w:val="Normal"/>
    <w:link w:val="ListParagraphChar"/>
    <w:uiPriority w:val="34"/>
    <w:qFormat/>
    <w:rsid w:val="00DB0F0C"/>
    <w:pPr>
      <w:numPr>
        <w:ilvl w:val="1"/>
        <w:numId w:val="2"/>
      </w:numPr>
      <w:spacing w:before="24" w:after="24"/>
      <w:ind w:left="720"/>
      <w:contextualSpacing/>
    </w:pPr>
    <w:rPr>
      <w:rFonts w:eastAsia="Verdana" w:cs="Times New Roman"/>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DB0F0C"/>
    <w:pPr>
      <w:spacing w:after="160" w:line="240" w:lineRule="exact"/>
    </w:pPr>
    <w:rPr>
      <w:rFonts w:asciiTheme="minorHAnsi" w:eastAsiaTheme="minorHAnsi" w:hAnsiTheme="minorHAnsi"/>
      <w:sz w:val="22"/>
      <w:szCs w:val="22"/>
      <w:vertAlign w:val="superscript"/>
    </w:rPr>
  </w:style>
  <w:style w:type="paragraph" w:styleId="Quote">
    <w:name w:val="Quote"/>
    <w:basedOn w:val="Normal"/>
    <w:next w:val="Normal"/>
    <w:link w:val="QuoteChar"/>
    <w:uiPriority w:val="29"/>
    <w:qFormat/>
    <w:rsid w:val="00945C38"/>
    <w:pPr>
      <w:ind w:left="862" w:right="862"/>
    </w:pPr>
    <w:rPr>
      <w:iCs/>
    </w:rPr>
  </w:style>
  <w:style w:type="character" w:customStyle="1" w:styleId="QuoteChar">
    <w:name w:val="Quote Char"/>
    <w:basedOn w:val="DefaultParagraphFont"/>
    <w:link w:val="Quote"/>
    <w:uiPriority w:val="29"/>
    <w:rsid w:val="00945C38"/>
    <w:rPr>
      <w:rFonts w:ascii="Verdana" w:eastAsiaTheme="minorEastAsia" w:hAnsi="Verdana"/>
      <w:iCs/>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FB6885"/>
    <w:rPr>
      <w:rFonts w:ascii="Verdana" w:eastAsia="Verdana" w:hAnsi="Verdana" w:cs="Times New Roman"/>
      <w:sz w:val="24"/>
      <w:szCs w:val="24"/>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
    <w:basedOn w:val="Normal"/>
    <w:link w:val="FootnoteTextChar"/>
    <w:uiPriority w:val="99"/>
    <w:unhideWhenUsed/>
    <w:qFormat/>
    <w:rsid w:val="00800026"/>
    <w:pPr>
      <w:spacing w:line="240" w:lineRule="auto"/>
    </w:pPr>
    <w:rPr>
      <w:sz w:val="20"/>
      <w:szCs w:val="20"/>
    </w:rPr>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
    <w:basedOn w:val="DefaultParagraphFont"/>
    <w:link w:val="FootnoteText"/>
    <w:uiPriority w:val="99"/>
    <w:rsid w:val="00800026"/>
    <w:rPr>
      <w:rFonts w:ascii="Verdana" w:eastAsiaTheme="minorEastAsia" w:hAnsi="Verdana"/>
      <w:sz w:val="20"/>
      <w:szCs w:val="20"/>
    </w:rPr>
  </w:style>
  <w:style w:type="character" w:styleId="Hyperlink">
    <w:name w:val="Hyperlink"/>
    <w:basedOn w:val="DefaultParagraphFont"/>
    <w:uiPriority w:val="99"/>
    <w:unhideWhenUsed/>
    <w:rsid w:val="002913CB"/>
    <w:rPr>
      <w:color w:val="0563C1" w:themeColor="hyperlink"/>
      <w:u w:val="single"/>
    </w:rPr>
  </w:style>
  <w:style w:type="character" w:styleId="UnresolvedMention">
    <w:name w:val="Unresolved Mention"/>
    <w:basedOn w:val="DefaultParagraphFont"/>
    <w:uiPriority w:val="99"/>
    <w:semiHidden/>
    <w:unhideWhenUsed/>
    <w:rsid w:val="002913CB"/>
    <w:rPr>
      <w:color w:val="605E5C"/>
      <w:shd w:val="clear" w:color="auto" w:fill="E1DFDD"/>
    </w:rPr>
  </w:style>
  <w:style w:type="character" w:styleId="CommentReference">
    <w:name w:val="annotation reference"/>
    <w:basedOn w:val="DefaultParagraphFont"/>
    <w:uiPriority w:val="99"/>
    <w:semiHidden/>
    <w:unhideWhenUsed/>
    <w:rsid w:val="00AE158C"/>
    <w:rPr>
      <w:sz w:val="16"/>
      <w:szCs w:val="16"/>
    </w:rPr>
  </w:style>
  <w:style w:type="paragraph" w:styleId="CommentText">
    <w:name w:val="annotation text"/>
    <w:basedOn w:val="Normal"/>
    <w:link w:val="CommentTextChar"/>
    <w:uiPriority w:val="99"/>
    <w:unhideWhenUsed/>
    <w:rsid w:val="00AE158C"/>
    <w:pPr>
      <w:spacing w:line="240" w:lineRule="auto"/>
      <w:jc w:val="left"/>
    </w:pPr>
    <w:rPr>
      <w:rFonts w:asciiTheme="minorHAnsi" w:hAnsiTheme="minorHAnsi"/>
      <w:sz w:val="20"/>
      <w:szCs w:val="20"/>
    </w:rPr>
  </w:style>
  <w:style w:type="character" w:customStyle="1" w:styleId="CommentTextChar">
    <w:name w:val="Comment Text Char"/>
    <w:basedOn w:val="DefaultParagraphFont"/>
    <w:link w:val="CommentText"/>
    <w:uiPriority w:val="99"/>
    <w:rsid w:val="00AE158C"/>
    <w:rPr>
      <w:rFonts w:eastAsiaTheme="minorEastAsia"/>
      <w:sz w:val="20"/>
      <w:szCs w:val="20"/>
    </w:rPr>
  </w:style>
  <w:style w:type="paragraph" w:styleId="Header">
    <w:name w:val="header"/>
    <w:basedOn w:val="Normal"/>
    <w:link w:val="HeaderChar"/>
    <w:uiPriority w:val="99"/>
    <w:unhideWhenUsed/>
    <w:rsid w:val="00BE2AF8"/>
    <w:pPr>
      <w:tabs>
        <w:tab w:val="center" w:pos="4513"/>
        <w:tab w:val="right" w:pos="9026"/>
      </w:tabs>
      <w:spacing w:line="240" w:lineRule="auto"/>
    </w:pPr>
  </w:style>
  <w:style w:type="character" w:customStyle="1" w:styleId="HeaderChar">
    <w:name w:val="Header Char"/>
    <w:basedOn w:val="DefaultParagraphFont"/>
    <w:link w:val="Header"/>
    <w:uiPriority w:val="99"/>
    <w:rsid w:val="00BE2AF8"/>
    <w:rPr>
      <w:rFonts w:ascii="Verdana" w:eastAsiaTheme="minorEastAsia" w:hAnsi="Verdana"/>
      <w:sz w:val="24"/>
      <w:szCs w:val="24"/>
    </w:rPr>
  </w:style>
  <w:style w:type="paragraph" w:styleId="Footer">
    <w:name w:val="footer"/>
    <w:basedOn w:val="Normal"/>
    <w:link w:val="FooterChar"/>
    <w:uiPriority w:val="99"/>
    <w:unhideWhenUsed/>
    <w:rsid w:val="00BE2AF8"/>
    <w:pPr>
      <w:tabs>
        <w:tab w:val="center" w:pos="4513"/>
        <w:tab w:val="right" w:pos="9026"/>
      </w:tabs>
      <w:spacing w:line="240" w:lineRule="auto"/>
    </w:pPr>
  </w:style>
  <w:style w:type="character" w:customStyle="1" w:styleId="FooterChar">
    <w:name w:val="Footer Char"/>
    <w:basedOn w:val="DefaultParagraphFont"/>
    <w:link w:val="Footer"/>
    <w:uiPriority w:val="99"/>
    <w:rsid w:val="00BE2AF8"/>
    <w:rPr>
      <w:rFonts w:ascii="Verdana" w:eastAsiaTheme="minorEastAsia" w:hAnsi="Verdana"/>
      <w:sz w:val="24"/>
      <w:szCs w:val="24"/>
    </w:rPr>
  </w:style>
  <w:style w:type="paragraph" w:styleId="CommentSubject">
    <w:name w:val="annotation subject"/>
    <w:basedOn w:val="CommentText"/>
    <w:next w:val="CommentText"/>
    <w:link w:val="CommentSubjectChar"/>
    <w:uiPriority w:val="99"/>
    <w:semiHidden/>
    <w:unhideWhenUsed/>
    <w:rsid w:val="00A1294A"/>
    <w:pPr>
      <w:jc w:val="both"/>
    </w:pPr>
    <w:rPr>
      <w:rFonts w:ascii="Verdana" w:hAnsi="Verdana"/>
      <w:b/>
      <w:bCs/>
    </w:rPr>
  </w:style>
  <w:style w:type="character" w:customStyle="1" w:styleId="CommentSubjectChar">
    <w:name w:val="Comment Subject Char"/>
    <w:basedOn w:val="CommentTextChar"/>
    <w:link w:val="CommentSubject"/>
    <w:uiPriority w:val="99"/>
    <w:semiHidden/>
    <w:rsid w:val="00A1294A"/>
    <w:rPr>
      <w:rFonts w:ascii="Verdana" w:eastAsiaTheme="minorEastAsia" w:hAnsi="Verdana"/>
      <w:b/>
      <w:bCs/>
      <w:sz w:val="20"/>
      <w:szCs w:val="20"/>
    </w:rPr>
  </w:style>
  <w:style w:type="paragraph" w:styleId="TOCHeading">
    <w:name w:val="TOC Heading"/>
    <w:basedOn w:val="Heading1"/>
    <w:next w:val="Normal"/>
    <w:uiPriority w:val="39"/>
    <w:unhideWhenUsed/>
    <w:qFormat/>
    <w:rsid w:val="00A1294A"/>
    <w:pPr>
      <w:spacing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A4785C"/>
    <w:pPr>
      <w:tabs>
        <w:tab w:val="left" w:pos="660"/>
        <w:tab w:val="right" w:leader="dot" w:pos="9016"/>
      </w:tabs>
      <w:spacing w:after="100"/>
    </w:pPr>
    <w:rPr>
      <w:b/>
      <w:bCs/>
      <w:noProof/>
    </w:rPr>
  </w:style>
  <w:style w:type="paragraph" w:styleId="TOC2">
    <w:name w:val="toc 2"/>
    <w:basedOn w:val="Normal"/>
    <w:next w:val="Normal"/>
    <w:autoRedefine/>
    <w:uiPriority w:val="39"/>
    <w:unhideWhenUsed/>
    <w:rsid w:val="00A1294A"/>
    <w:pPr>
      <w:spacing w:after="100"/>
      <w:ind w:left="240"/>
    </w:pPr>
  </w:style>
  <w:style w:type="paragraph" w:styleId="Revision">
    <w:name w:val="Revision"/>
    <w:hidden/>
    <w:uiPriority w:val="99"/>
    <w:semiHidden/>
    <w:rsid w:val="0039744B"/>
    <w:pPr>
      <w:spacing w:line="240" w:lineRule="auto"/>
      <w:jc w:val="left"/>
    </w:pPr>
    <w:rPr>
      <w:rFonts w:ascii="Verdana" w:eastAsiaTheme="minorEastAsi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hyannon.Blythe@nihr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ihrc.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4" ma:contentTypeDescription="Create a new document." ma:contentTypeScope="" ma:versionID="a32f3742638c558602377fbd59ea548d">
  <xsd:schema xmlns:xsd="http://www.w3.org/2001/XMLSchema" xmlns:xs="http://www.w3.org/2001/XMLSchema" xmlns:p="http://schemas.microsoft.com/office/2006/metadata/properties" xmlns:ns2="12479bdc-b58c-44ab-9f0f-fa5baefb3da2" targetNamespace="http://schemas.microsoft.com/office/2006/metadata/properties" ma:root="true" ma:fieldsID="06a1b9543d9b42e10c898227a0b60052" ns2:_="">
    <xsd:import namespace="12479bdc-b58c-44ab-9f0f-fa5baefb3d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826B4-6186-4081-BE0C-D0EFF0A104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F1CC1D-3A81-4524-A331-DF02AB9AE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D0839-AB11-41B4-8BC0-351A3C671308}">
  <ds:schemaRefs>
    <ds:schemaRef ds:uri="http://schemas.microsoft.com/sharepoint/v3/contenttype/forms"/>
  </ds:schemaRefs>
</ds:datastoreItem>
</file>

<file path=customXml/itemProps4.xml><?xml version="1.0" encoding="utf-8"?>
<ds:datastoreItem xmlns:ds="http://schemas.openxmlformats.org/officeDocument/2006/customXml" ds:itemID="{8CF07FAD-1C18-47C0-B54C-3F168B806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Hannah Russell</cp:lastModifiedBy>
  <cp:revision>7</cp:revision>
  <cp:lastPrinted>2022-06-23T09:33:00Z</cp:lastPrinted>
  <dcterms:created xsi:type="dcterms:W3CDTF">2022-09-08T07:26:00Z</dcterms:created>
  <dcterms:modified xsi:type="dcterms:W3CDTF">2022-09-08T07:32:00Z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ies>
</file>