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A5C7" w14:textId="6CFAF9A8" w:rsidR="00DB0F0C" w:rsidRDefault="00DB0F0C"/>
    <w:p w14:paraId="2F95BC36" w14:textId="1996E2FE" w:rsidR="005A5333" w:rsidRPr="0026306A" w:rsidRDefault="00EA6B95" w:rsidP="0026306A">
      <w:pPr>
        <w:jc w:val="center"/>
        <w:rPr>
          <w:b/>
          <w:bCs/>
          <w:color w:val="77328A"/>
          <w:sz w:val="32"/>
          <w:szCs w:val="32"/>
        </w:rPr>
      </w:pPr>
      <w:r w:rsidRPr="0026306A">
        <w:rPr>
          <w:b/>
          <w:bCs/>
          <w:color w:val="77328A"/>
          <w:sz w:val="32"/>
          <w:szCs w:val="32"/>
        </w:rPr>
        <w:t>Su</w:t>
      </w:r>
      <w:r w:rsidR="00675F60">
        <w:rPr>
          <w:b/>
          <w:bCs/>
          <w:color w:val="77328A"/>
          <w:sz w:val="32"/>
          <w:szCs w:val="32"/>
        </w:rPr>
        <w:t>pplementary</w:t>
      </w:r>
      <w:r w:rsidRPr="0026306A">
        <w:rPr>
          <w:b/>
          <w:bCs/>
          <w:color w:val="77328A"/>
          <w:sz w:val="32"/>
          <w:szCs w:val="32"/>
        </w:rPr>
        <w:t xml:space="preserve"> Briefing: </w:t>
      </w:r>
      <w:r w:rsidR="00675F60">
        <w:rPr>
          <w:b/>
          <w:bCs/>
          <w:color w:val="77328A"/>
          <w:sz w:val="32"/>
          <w:szCs w:val="32"/>
        </w:rPr>
        <w:t xml:space="preserve">UK Government’s Proposed Amendments to </w:t>
      </w:r>
      <w:r w:rsidRPr="0026306A">
        <w:rPr>
          <w:b/>
          <w:bCs/>
          <w:color w:val="77328A"/>
          <w:sz w:val="32"/>
          <w:szCs w:val="32"/>
        </w:rPr>
        <w:t>NI Troubles (Legacy and Reconciliation) Bill</w:t>
      </w:r>
    </w:p>
    <w:p w14:paraId="5D2808CF" w14:textId="63E6D8F2" w:rsidR="00EA6B95" w:rsidRDefault="00EA6B95" w:rsidP="00EA6B95"/>
    <w:p w14:paraId="55339FF0" w14:textId="61B21D32" w:rsidR="00EA6B95" w:rsidRPr="00EA6B95" w:rsidRDefault="00675F60" w:rsidP="00720B92">
      <w:pPr>
        <w:jc w:val="center"/>
      </w:pPr>
      <w:r>
        <w:rPr>
          <w:b/>
          <w:bCs/>
        </w:rPr>
        <w:t>January</w:t>
      </w:r>
      <w:r w:rsidR="0026306A" w:rsidRPr="0026306A">
        <w:rPr>
          <w:b/>
          <w:bCs/>
        </w:rPr>
        <w:t xml:space="preserve"> 202</w:t>
      </w:r>
      <w:r>
        <w:rPr>
          <w:b/>
          <w:bCs/>
        </w:rPr>
        <w:t>3</w:t>
      </w:r>
    </w:p>
    <w:p w14:paraId="3FA09D1E" w14:textId="412DA5E8" w:rsidR="00DB0F0C" w:rsidRDefault="00AF1CA3" w:rsidP="005A5333">
      <w:pPr>
        <w:pStyle w:val="Heading1"/>
        <w:numPr>
          <w:ilvl w:val="1"/>
          <w:numId w:val="10"/>
        </w:numPr>
      </w:pPr>
      <w:r>
        <w:t>Overview</w:t>
      </w:r>
    </w:p>
    <w:p w14:paraId="46431CB1" w14:textId="787E49AC" w:rsidR="0092455A" w:rsidRDefault="0046210D" w:rsidP="009F7D99">
      <w:pPr>
        <w:pStyle w:val="ListParagraph"/>
        <w:numPr>
          <w:ilvl w:val="1"/>
          <w:numId w:val="10"/>
        </w:numPr>
      </w:pPr>
      <w:r>
        <w:t>Several amend</w:t>
      </w:r>
      <w:r w:rsidR="0070361C">
        <w:t>ment</w:t>
      </w:r>
      <w:r>
        <w:t xml:space="preserve">s have been </w:t>
      </w:r>
      <w:r w:rsidR="00EB1CE7">
        <w:t>announced</w:t>
      </w:r>
      <w:r>
        <w:t xml:space="preserve"> by the UK Government </w:t>
      </w:r>
      <w:r w:rsidR="00742D9F">
        <w:t>regarding</w:t>
      </w:r>
      <w:r>
        <w:t xml:space="preserve"> the NI Troubles (Legacy and Reconciliation</w:t>
      </w:r>
      <w:r w:rsidR="00EB1CE7">
        <w:t>)</w:t>
      </w:r>
      <w:r>
        <w:t xml:space="preserve"> </w:t>
      </w:r>
      <w:r w:rsidRPr="002F2B00">
        <w:t>Bill</w:t>
      </w:r>
      <w:r w:rsidR="00EB1CE7">
        <w:t>.</w:t>
      </w:r>
      <w:r w:rsidR="000E1F08">
        <w:rPr>
          <w:rStyle w:val="FootnoteReference"/>
        </w:rPr>
        <w:footnoteReference w:id="1"/>
      </w:r>
      <w:r w:rsidR="00EB1CE7">
        <w:t xml:space="preserve"> The UK Government’s openness to making amend</w:t>
      </w:r>
      <w:r w:rsidR="0070361C">
        <w:t>ment</w:t>
      </w:r>
      <w:r w:rsidR="00EB1CE7">
        <w:t>s</w:t>
      </w:r>
      <w:r>
        <w:t xml:space="preserve"> is welcomed. </w:t>
      </w:r>
      <w:r w:rsidR="009F7D99">
        <w:t xml:space="preserve">However, </w:t>
      </w:r>
      <w:r w:rsidR="00EB1CE7">
        <w:t xml:space="preserve">even with the UK Government’s announced amendments, </w:t>
      </w:r>
      <w:r w:rsidR="009F7D99">
        <w:t>the Northern Ireland Human Rights Commission’s (NIHRC)</w:t>
      </w:r>
      <w:r w:rsidR="009F7D99">
        <w:rPr>
          <w:rStyle w:val="FootnoteReference"/>
        </w:rPr>
        <w:footnoteReference w:id="2"/>
      </w:r>
      <w:r w:rsidR="009F7D99">
        <w:t xml:space="preserve"> </w:t>
      </w:r>
      <w:r w:rsidR="00103B19">
        <w:t>remains gravely concerned that</w:t>
      </w:r>
      <w:r w:rsidR="009F7D99">
        <w:t xml:space="preserve"> the NI Troubles (Legacy and Reconciliation) Bill </w:t>
      </w:r>
      <w:r w:rsidR="00103B19">
        <w:t>is not compliant with human rights</w:t>
      </w:r>
      <w:r w:rsidR="009F7D99">
        <w:t xml:space="preserve">. </w:t>
      </w:r>
      <w:r w:rsidR="009F7D99" w:rsidRPr="00764FA7">
        <w:t xml:space="preserve">The </w:t>
      </w:r>
      <w:r w:rsidR="009F7D99">
        <w:t>NIHRC also</w:t>
      </w:r>
      <w:r w:rsidR="009F7D99" w:rsidRPr="00764FA7">
        <w:t xml:space="preserve"> remains concerned</w:t>
      </w:r>
      <w:r w:rsidR="009F7D99">
        <w:t>, that in light if its earlier advice, the UK Government has not taken the opportunity to specifically address compliance with Protocol Article 2.</w:t>
      </w:r>
    </w:p>
    <w:p w14:paraId="6FCD426B" w14:textId="77777777" w:rsidR="0092455A" w:rsidRDefault="0092455A" w:rsidP="0092455A">
      <w:pPr>
        <w:pStyle w:val="ListParagraph"/>
        <w:numPr>
          <w:ilvl w:val="0"/>
          <w:numId w:val="0"/>
        </w:numPr>
        <w:ind w:left="720"/>
      </w:pPr>
    </w:p>
    <w:p w14:paraId="41779964" w14:textId="2114612E" w:rsidR="0092455A" w:rsidRDefault="00103B19" w:rsidP="0092455A">
      <w:pPr>
        <w:pStyle w:val="ListParagraph"/>
        <w:numPr>
          <w:ilvl w:val="1"/>
          <w:numId w:val="10"/>
        </w:numPr>
      </w:pPr>
      <w:r>
        <w:t>Victims and survivors need to be</w:t>
      </w:r>
      <w:r w:rsidR="0092455A">
        <w:t xml:space="preserve"> genuinely at the centre of </w:t>
      </w:r>
      <w:r>
        <w:t xml:space="preserve">the NI Troubles (Legacy and Reconciliation) </w:t>
      </w:r>
      <w:r w:rsidRPr="002F2B00">
        <w:t>Bill</w:t>
      </w:r>
      <w:r w:rsidR="0092455A">
        <w:t xml:space="preserve">, including ensuring that any resulting legislation has broad community support. </w:t>
      </w:r>
      <w:r>
        <w:t xml:space="preserve">The NIHRC </w:t>
      </w:r>
      <w:r w:rsidR="00342D91">
        <w:t>remains</w:t>
      </w:r>
      <w:r>
        <w:t xml:space="preserve"> concerned that this </w:t>
      </w:r>
      <w:r w:rsidR="00342D91">
        <w:t>is not the case</w:t>
      </w:r>
      <w:r>
        <w:t>.</w:t>
      </w:r>
    </w:p>
    <w:p w14:paraId="52D6917E" w14:textId="735236F0" w:rsidR="0092455A" w:rsidRDefault="009F7D99" w:rsidP="0092455A">
      <w:pPr>
        <w:pStyle w:val="ListParagraph"/>
        <w:numPr>
          <w:ilvl w:val="0"/>
          <w:numId w:val="0"/>
        </w:numPr>
        <w:ind w:left="720"/>
      </w:pPr>
      <w:r>
        <w:t xml:space="preserve"> </w:t>
      </w:r>
    </w:p>
    <w:p w14:paraId="7D0FFC0C" w14:textId="3DD848B0" w:rsidR="002C1A6B" w:rsidRDefault="00603677" w:rsidP="0092455A">
      <w:pPr>
        <w:pStyle w:val="ListParagraph"/>
        <w:numPr>
          <w:ilvl w:val="1"/>
          <w:numId w:val="10"/>
        </w:numPr>
      </w:pPr>
      <w:r w:rsidRPr="00F3149C">
        <w:t xml:space="preserve">This </w:t>
      </w:r>
      <w:r w:rsidR="00675F60">
        <w:t xml:space="preserve">supplementary </w:t>
      </w:r>
      <w:r w:rsidR="00F26F21" w:rsidRPr="00F3149C">
        <w:t>briefing</w:t>
      </w:r>
      <w:r>
        <w:t xml:space="preserve"> </w:t>
      </w:r>
      <w:r w:rsidR="00675F60">
        <w:t xml:space="preserve">focuses on a direct response to the UK Government’s </w:t>
      </w:r>
      <w:r w:rsidR="0070361C">
        <w:t>announced</w:t>
      </w:r>
      <w:r w:rsidR="00675F60">
        <w:t xml:space="preserve"> amend</w:t>
      </w:r>
      <w:r w:rsidR="0070361C">
        <w:t>ments</w:t>
      </w:r>
      <w:r w:rsidR="00675F60">
        <w:t xml:space="preserve">. </w:t>
      </w:r>
      <w:r w:rsidR="0070361C">
        <w:t>E</w:t>
      </w:r>
      <w:r w:rsidR="001A6ECA">
        <w:t>ven with the proposed amend</w:t>
      </w:r>
      <w:r w:rsidR="0070361C">
        <w:t>ment</w:t>
      </w:r>
      <w:r w:rsidR="001A6ECA">
        <w:t>s much of the NIHRC’s initial advice remains valid. Thus, this supplementary briefing</w:t>
      </w:r>
      <w:r w:rsidR="00406034">
        <w:t xml:space="preserve"> is to be viewed as complementary to </w:t>
      </w:r>
      <w:r w:rsidR="00162F87">
        <w:t xml:space="preserve">and read in conjunction with </w:t>
      </w:r>
      <w:r>
        <w:t xml:space="preserve">the NIHRC’s </w:t>
      </w:r>
      <w:r w:rsidR="00406034">
        <w:t xml:space="preserve">initial </w:t>
      </w:r>
      <w:r>
        <w:t>advice</w:t>
      </w:r>
      <w:r w:rsidR="00406034">
        <w:t xml:space="preserve"> on the</w:t>
      </w:r>
      <w:r w:rsidR="001A6ECA">
        <w:t xml:space="preserve"> Bill</w:t>
      </w:r>
      <w:r>
        <w:t xml:space="preserve">, which is </w:t>
      </w:r>
      <w:r w:rsidR="00406034">
        <w:t>re-</w:t>
      </w:r>
      <w:r>
        <w:t xml:space="preserve">attached and available </w:t>
      </w:r>
      <w:r w:rsidRPr="00141F92">
        <w:t xml:space="preserve">at </w:t>
      </w:r>
      <w:hyperlink r:id="rId11" w:history="1">
        <w:r w:rsidRPr="00141F92">
          <w:rPr>
            <w:rStyle w:val="Hyperlink"/>
          </w:rPr>
          <w:t>www.nihrc.org</w:t>
        </w:r>
      </w:hyperlink>
      <w:r w:rsidRPr="00141F92">
        <w:t>.</w:t>
      </w:r>
    </w:p>
    <w:p w14:paraId="39E7CC01" w14:textId="2B68C01B" w:rsidR="00406034" w:rsidRDefault="00406034" w:rsidP="000E1F08">
      <w:pPr>
        <w:pStyle w:val="Heading1"/>
      </w:pPr>
      <w:r>
        <w:lastRenderedPageBreak/>
        <w:t>2.0</w:t>
      </w:r>
      <w:r>
        <w:tab/>
        <w:t>Conducting Reviews</w:t>
      </w:r>
    </w:p>
    <w:p w14:paraId="2760E3D6" w14:textId="56F7E151" w:rsidR="00406034" w:rsidRDefault="00406034" w:rsidP="00406034">
      <w:pPr>
        <w:ind w:left="720" w:hanging="720"/>
      </w:pPr>
      <w:r>
        <w:t>2.1</w:t>
      </w:r>
      <w:r>
        <w:tab/>
      </w:r>
      <w:r w:rsidR="00312FCC">
        <w:t xml:space="preserve">The UK Government has </w:t>
      </w:r>
      <w:r w:rsidR="00B95F69">
        <w:t>stated</w:t>
      </w:r>
      <w:r w:rsidR="00312FCC">
        <w:t xml:space="preserve"> that</w:t>
      </w:r>
      <w:r w:rsidR="00B95F69">
        <w:t xml:space="preserve"> it</w:t>
      </w:r>
      <w:r>
        <w:t xml:space="preserve"> intend</w:t>
      </w:r>
      <w:r w:rsidR="00B95F69">
        <w:t>s</w:t>
      </w:r>
      <w:r>
        <w:t xml:space="preserve"> to confirm </w:t>
      </w:r>
      <w:r w:rsidR="003916D6">
        <w:t xml:space="preserve">within Clause 13 </w:t>
      </w:r>
      <w:r>
        <w:t>that the Independent Commission for Reconciliation and Information Recovery</w:t>
      </w:r>
      <w:r w:rsidR="2BE88BD9">
        <w:t xml:space="preserve"> (ICRIR)</w:t>
      </w:r>
      <w:r>
        <w:t xml:space="preserve"> established by the legislation will be able to conduct criminal investigations where it judges that to be appropriate.</w:t>
      </w:r>
      <w:r w:rsidR="000E1F08">
        <w:rPr>
          <w:rStyle w:val="FootnoteReference"/>
        </w:rPr>
        <w:footnoteReference w:id="3"/>
      </w:r>
      <w:r>
        <w:t xml:space="preserve"> </w:t>
      </w:r>
    </w:p>
    <w:p w14:paraId="5444052A" w14:textId="77777777" w:rsidR="008E45B4" w:rsidRDefault="008E45B4" w:rsidP="00406034">
      <w:pPr>
        <w:ind w:left="720" w:hanging="720"/>
      </w:pPr>
    </w:p>
    <w:p w14:paraId="5E409C7D" w14:textId="2F9E19B3" w:rsidR="00B95F69" w:rsidRDefault="00B95F69" w:rsidP="00B95F69">
      <w:pPr>
        <w:pStyle w:val="Heading2"/>
      </w:pPr>
      <w:r>
        <w:t>Human rights compliant assessment</w:t>
      </w:r>
    </w:p>
    <w:p w14:paraId="10B122B6" w14:textId="77777777" w:rsidR="00B95F69" w:rsidRDefault="00E34094" w:rsidP="00406034">
      <w:pPr>
        <w:ind w:left="720" w:hanging="720"/>
      </w:pPr>
      <w:r>
        <w:t>2.2</w:t>
      </w:r>
      <w:r>
        <w:tab/>
      </w:r>
      <w:r w:rsidR="00312FCC">
        <w:t>Such an amendment should</w:t>
      </w:r>
      <w:r>
        <w:t xml:space="preserve"> </w:t>
      </w:r>
      <w:r w:rsidR="00312FCC">
        <w:t>ensure that decisions are</w:t>
      </w:r>
      <w:r>
        <w:t xml:space="preserve"> based on a human rights compliant assessment of all Troubles-related cases engaging Articles 2 and 3 of the ECHR</w:t>
      </w:r>
      <w:r w:rsidR="00312FCC">
        <w:t xml:space="preserve">. </w:t>
      </w:r>
      <w:r w:rsidR="00B95F69">
        <w:t>Yet, contrarily</w:t>
      </w:r>
      <w:r w:rsidR="00312FCC">
        <w:t>, it is the NIHRC’s understanding that the initial approach of an onus on specific individuals to ‘request’ reviews</w:t>
      </w:r>
      <w:r w:rsidR="00B95F69">
        <w:t xml:space="preserve"> is to continue</w:t>
      </w:r>
      <w:r>
        <w:t xml:space="preserve">. </w:t>
      </w:r>
    </w:p>
    <w:p w14:paraId="28DAC83A" w14:textId="77777777" w:rsidR="00B95F69" w:rsidRDefault="00B95F69" w:rsidP="00406034">
      <w:pPr>
        <w:ind w:left="720" w:hanging="720"/>
      </w:pPr>
    </w:p>
    <w:p w14:paraId="33381A79" w14:textId="7666BC65" w:rsidR="00B95F69" w:rsidRDefault="00B95F69" w:rsidP="00406034">
      <w:pPr>
        <w:ind w:left="720" w:hanging="720"/>
      </w:pPr>
      <w:r>
        <w:t>2.3</w:t>
      </w:r>
      <w:r>
        <w:tab/>
      </w:r>
      <w:r w:rsidR="227B8065">
        <w:t>The starting point for the ICRIR should be a</w:t>
      </w:r>
      <w:r w:rsidR="003916D6">
        <w:t xml:space="preserve"> </w:t>
      </w:r>
      <w:r w:rsidR="00FC2A5A">
        <w:t>full assessment of whether an independent, thorough, objective, impartial analysis of all relevant elements and that follows an obvious line of inquiry has been conducted for each Troubles-related case engaging Articles 2 and 3 of the ECHR.</w:t>
      </w:r>
      <w:r w:rsidR="00FC2A5A">
        <w:rPr>
          <w:rStyle w:val="FootnoteReference"/>
        </w:rPr>
        <w:footnoteReference w:id="4"/>
      </w:r>
      <w:r w:rsidR="00E34094">
        <w:rPr>
          <w:rStyle w:val="FootnoteReference"/>
        </w:rPr>
        <w:footnoteReference w:id="5"/>
      </w:r>
      <w:r w:rsidR="00E34094">
        <w:t xml:space="preserve"> </w:t>
      </w:r>
    </w:p>
    <w:p w14:paraId="13666565" w14:textId="77777777" w:rsidR="00B95F69" w:rsidRDefault="00B95F69" w:rsidP="00406034">
      <w:pPr>
        <w:ind w:left="720" w:hanging="720"/>
      </w:pPr>
    </w:p>
    <w:p w14:paraId="3A2D095D" w14:textId="77777777" w:rsidR="00B95F69" w:rsidRDefault="00B95F69" w:rsidP="00406034">
      <w:pPr>
        <w:ind w:left="720" w:hanging="720"/>
      </w:pPr>
      <w:r>
        <w:t>2.4</w:t>
      </w:r>
      <w:r>
        <w:tab/>
        <w:t>The ECHR does not prohibit victims and survivors and their family members from seeking or being provided with additional information beyond the minimum requirements, but t</w:t>
      </w:r>
      <w:r w:rsidR="00E34094">
        <w:t>his process should be initiated of the State’s own motion</w:t>
      </w:r>
      <w:r>
        <w:t>.</w:t>
      </w:r>
      <w:r w:rsidR="00E34094">
        <w:rPr>
          <w:rStyle w:val="FootnoteReference"/>
        </w:rPr>
        <w:footnoteReference w:id="6"/>
      </w:r>
      <w:r>
        <w:t xml:space="preserve"> </w:t>
      </w:r>
    </w:p>
    <w:p w14:paraId="0DE58DC5" w14:textId="77777777" w:rsidR="00B95F69" w:rsidRDefault="00B95F69" w:rsidP="00406034">
      <w:pPr>
        <w:ind w:left="720" w:hanging="720"/>
      </w:pPr>
    </w:p>
    <w:p w14:paraId="751C7E81" w14:textId="5E565E55" w:rsidR="00E34094" w:rsidRDefault="00B95F69" w:rsidP="00406034">
      <w:pPr>
        <w:ind w:left="720" w:hanging="720"/>
      </w:pPr>
      <w:r>
        <w:t>2.5</w:t>
      </w:r>
      <w:r>
        <w:tab/>
      </w:r>
      <w:r w:rsidR="00E34094">
        <w:t>The nature and degree of scrutiny which satisfies this minimum threshold, including whether a criminal investigation is required, should be determined by the surrounding circumstances of the particular case.</w:t>
      </w:r>
      <w:r w:rsidR="00E34094">
        <w:rPr>
          <w:rStyle w:val="FootnoteReference"/>
        </w:rPr>
        <w:footnoteReference w:id="7"/>
      </w:r>
      <w:r w:rsidR="00E34094">
        <w:t xml:space="preserve"> This includes ensuring that an assessment of already undertaken investigations is conducted to confirm that such investigations were human rights compliant, and where they were not, steps are taken to remedy this.</w:t>
      </w:r>
      <w:r w:rsidR="00E34094">
        <w:rPr>
          <w:rStyle w:val="FootnoteReference"/>
        </w:rPr>
        <w:footnoteReference w:id="8"/>
      </w:r>
      <w:r w:rsidR="00E34094">
        <w:t xml:space="preserve"> Such an assessment is required for the </w:t>
      </w:r>
      <w:r w:rsidR="05FB5589">
        <w:t>ICRIR</w:t>
      </w:r>
      <w:r w:rsidR="00E34094">
        <w:t xml:space="preserve"> to determine if duplication is necessary</w:t>
      </w:r>
      <w:r>
        <w:t>.</w:t>
      </w:r>
    </w:p>
    <w:p w14:paraId="797CFAD8" w14:textId="3A0C0FD4" w:rsidR="00E34094" w:rsidRDefault="00E34094" w:rsidP="00406034">
      <w:pPr>
        <w:ind w:left="720" w:hanging="720"/>
      </w:pPr>
    </w:p>
    <w:p w14:paraId="7BC817FF" w14:textId="05607A81" w:rsidR="00B95F69" w:rsidRDefault="00B95F69" w:rsidP="00B95F69">
      <w:pPr>
        <w:pStyle w:val="Heading2"/>
      </w:pPr>
      <w:r>
        <w:t>Necessary steps</w:t>
      </w:r>
    </w:p>
    <w:p w14:paraId="060ADA9B" w14:textId="3E70B76C" w:rsidR="005C513B" w:rsidRDefault="00E34094" w:rsidP="00406034">
      <w:pPr>
        <w:ind w:left="720" w:hanging="720"/>
      </w:pPr>
      <w:r>
        <w:t>2.</w:t>
      </w:r>
      <w:r w:rsidR="003916D6">
        <w:t>6</w:t>
      </w:r>
      <w:r w:rsidR="003916D6">
        <w:tab/>
      </w:r>
      <w:r w:rsidR="005C513B">
        <w:t>There should be an express requirement to consider key ECHR principles in the</w:t>
      </w:r>
      <w:r>
        <w:t xml:space="preserve"> list of matters that should be considered when deciding what steps are necessary in conducting a review, including whether a criminal investigation should take place. This could be </w:t>
      </w:r>
      <w:r w:rsidR="005C513B">
        <w:t>implemented</w:t>
      </w:r>
      <w:r>
        <w:t xml:space="preserve"> by including a specific requirement that the ECHR must be taken into account. Alternatively, </w:t>
      </w:r>
      <w:r w:rsidR="005C513B">
        <w:t>a form of words could be drafted that</w:t>
      </w:r>
      <w:r>
        <w:t xml:space="preserve"> </w:t>
      </w:r>
      <w:r w:rsidR="005C513B">
        <w:t xml:space="preserve">reflects </w:t>
      </w:r>
      <w:r>
        <w:t>established ECHR investigatory principles</w:t>
      </w:r>
      <w:r w:rsidR="005C513B">
        <w:t>.</w:t>
      </w:r>
      <w:r>
        <w:t xml:space="preserve"> </w:t>
      </w:r>
      <w:r w:rsidR="005C513B">
        <w:t>For example, the Bill</w:t>
      </w:r>
      <w:r>
        <w:t xml:space="preserve"> could state that the Commissioner for Investigations must consider whether an independent, thorough, objective, impartial analysis of all relevant elements and that follows an obvious line of inquiry has been conducted into each Troubles-related case that falls within the scope of this legislation. Also, where a review is required, the Commissioner for Investigations must consider the surrounding circumstances of the particular case to determine the nature and degree of scrutiny which satisfies this minimum threshold. </w:t>
      </w:r>
    </w:p>
    <w:p w14:paraId="5E5DE007" w14:textId="7CC2EB3A" w:rsidR="00E34094" w:rsidRDefault="00E34094" w:rsidP="00406034">
      <w:pPr>
        <w:ind w:left="720" w:hanging="720"/>
      </w:pPr>
    </w:p>
    <w:p w14:paraId="5CC70F26" w14:textId="2C4DCE4E" w:rsidR="005C513B" w:rsidRPr="00742D9F" w:rsidRDefault="00742D9F" w:rsidP="005C513B">
      <w:pPr>
        <w:pStyle w:val="Heading2"/>
      </w:pPr>
      <w:r w:rsidRPr="00742D9F">
        <w:t>Protocol Article 2</w:t>
      </w:r>
    </w:p>
    <w:p w14:paraId="08D087B4" w14:textId="6D8B2407" w:rsidR="00E34094" w:rsidRPr="00742D9F" w:rsidRDefault="00E34094" w:rsidP="00406034">
      <w:pPr>
        <w:ind w:left="720" w:hanging="720"/>
      </w:pPr>
      <w:r w:rsidRPr="00742D9F">
        <w:t>2.</w:t>
      </w:r>
      <w:r w:rsidR="003916D6">
        <w:t>7</w:t>
      </w:r>
      <w:r w:rsidRPr="00742D9F">
        <w:tab/>
      </w:r>
      <w:r w:rsidR="00742D9F" w:rsidRPr="00742D9F">
        <w:t>T</w:t>
      </w:r>
      <w:r w:rsidRPr="00742D9F">
        <w:t xml:space="preserve">he </w:t>
      </w:r>
      <w:r w:rsidR="00742D9F" w:rsidRPr="00742D9F">
        <w:t>NIHRC</w:t>
      </w:r>
      <w:r w:rsidRPr="00742D9F">
        <w:t>’s concerns in respect of compliance with Protocol Article 2 and the EU Victims’ Directive persist.</w:t>
      </w:r>
      <w:r w:rsidRPr="00742D9F">
        <w:rPr>
          <w:rStyle w:val="FootnoteReference"/>
        </w:rPr>
        <w:footnoteReference w:id="9"/>
      </w:r>
      <w:r w:rsidRPr="00742D9F">
        <w:t xml:space="preserve"> The </w:t>
      </w:r>
      <w:r w:rsidR="007D41DD" w:rsidRPr="00742D9F">
        <w:t>NIHRC</w:t>
      </w:r>
      <w:r w:rsidRPr="00742D9F">
        <w:t xml:space="preserve"> reiterates </w:t>
      </w:r>
      <w:r w:rsidR="007D41DD" w:rsidRPr="00742D9F">
        <w:t>its</w:t>
      </w:r>
      <w:r w:rsidRPr="00742D9F">
        <w:t xml:space="preserve"> concern that there is no explicit provision for interested persons to provide information to inform the </w:t>
      </w:r>
      <w:r w:rsidR="409A7CD8" w:rsidRPr="00742D9F">
        <w:t>ICRIR</w:t>
      </w:r>
      <w:r w:rsidRPr="00742D9F">
        <w:t>’s immunity decisions, nor is there a requirement for victims and their family members to be informed of a request for immunity or the outcome of such an immunity request. Given that the outcome of the immunity decision is to prevent prosecutions, this leaves no avenue for a victim to request a review, as required under the EU Victims’ Directive.</w:t>
      </w:r>
    </w:p>
    <w:p w14:paraId="6C2CC2F2" w14:textId="0C3FC0D1" w:rsidR="00E34094" w:rsidRPr="00742D9F" w:rsidRDefault="00E34094" w:rsidP="00406034">
      <w:pPr>
        <w:ind w:left="720" w:hanging="720"/>
      </w:pPr>
    </w:p>
    <w:p w14:paraId="63B97A4E" w14:textId="524CEB73" w:rsidR="00E34094" w:rsidRDefault="00E34094" w:rsidP="00E34094">
      <w:pPr>
        <w:ind w:left="720" w:hanging="720"/>
      </w:pPr>
      <w:r w:rsidRPr="00742D9F">
        <w:t>2.</w:t>
      </w:r>
      <w:r w:rsidR="003916D6">
        <w:t>8</w:t>
      </w:r>
      <w:r w:rsidR="003916D6">
        <w:tab/>
      </w:r>
      <w:r w:rsidR="009341CA">
        <w:t>W</w:t>
      </w:r>
      <w:r w:rsidR="007D41DD" w:rsidRPr="00742D9F">
        <w:t>here</w:t>
      </w:r>
      <w:r w:rsidRPr="00742D9F">
        <w:t xml:space="preserve"> a decision is taken for a criminal investigation to form part of the review process, additional guidance on the procedures around this investigation concerning the rights of victims and their families</w:t>
      </w:r>
      <w:r w:rsidR="009341CA">
        <w:t xml:space="preserve"> is required</w:t>
      </w:r>
      <w:r w:rsidRPr="00742D9F">
        <w:t>.</w:t>
      </w:r>
      <w:r w:rsidR="009341CA">
        <w:t xml:space="preserve"> This </w:t>
      </w:r>
      <w:r w:rsidR="001D044A">
        <w:t xml:space="preserve">does not </w:t>
      </w:r>
      <w:r w:rsidR="009341CA">
        <w:t xml:space="preserve">appear to </w:t>
      </w:r>
      <w:r w:rsidR="001D044A">
        <w:t xml:space="preserve">be addressed in </w:t>
      </w:r>
      <w:r w:rsidR="009341CA">
        <w:t>amendments announced by the UK Government.</w:t>
      </w:r>
    </w:p>
    <w:p w14:paraId="51000D6A" w14:textId="77777777" w:rsidR="009341CA" w:rsidRDefault="009341CA" w:rsidP="00E34094">
      <w:pPr>
        <w:ind w:left="720" w:hanging="720"/>
      </w:pPr>
    </w:p>
    <w:p w14:paraId="7F45B7E1" w14:textId="4898B7BE" w:rsidR="00E34094" w:rsidRDefault="00E34094" w:rsidP="00162F87">
      <w:pPr>
        <w:pStyle w:val="Heading1"/>
      </w:pPr>
      <w:r>
        <w:lastRenderedPageBreak/>
        <w:t>3.0</w:t>
      </w:r>
      <w:r>
        <w:tab/>
        <w:t>Commissioners Appointments</w:t>
      </w:r>
    </w:p>
    <w:p w14:paraId="30953E48" w14:textId="508C6C2A" w:rsidR="00635A67" w:rsidRDefault="00635A67" w:rsidP="00635A67">
      <w:pPr>
        <w:pStyle w:val="Heading2"/>
      </w:pPr>
      <w:r>
        <w:t>Consultation</w:t>
      </w:r>
    </w:p>
    <w:p w14:paraId="2B7A979E" w14:textId="6BF1773D" w:rsidR="00070D32" w:rsidRDefault="00162F87" w:rsidP="00764B83">
      <w:pPr>
        <w:ind w:left="720" w:hanging="720"/>
      </w:pPr>
      <w:r>
        <w:t>3.1</w:t>
      </w:r>
      <w:r>
        <w:tab/>
      </w:r>
      <w:r w:rsidR="00764B83">
        <w:t xml:space="preserve">The </w:t>
      </w:r>
      <w:r w:rsidR="00070D32">
        <w:t>UK Government has stated that it intend</w:t>
      </w:r>
      <w:r w:rsidR="00764B83">
        <w:t xml:space="preserve">s to strengthen the Independent Commission’s independence by making clear that the Secretary of State should consult individuals before appointing the Chief Commissioner to the </w:t>
      </w:r>
      <w:r w:rsidR="2226234A">
        <w:t>ICRIR</w:t>
      </w:r>
      <w:r w:rsidR="00764B83">
        <w:t>.</w:t>
      </w:r>
      <w:r w:rsidR="000E1F08">
        <w:rPr>
          <w:rStyle w:val="FootnoteReference"/>
        </w:rPr>
        <w:footnoteReference w:id="10"/>
      </w:r>
      <w:r w:rsidR="00764B83">
        <w:t xml:space="preserve"> </w:t>
      </w:r>
    </w:p>
    <w:p w14:paraId="2DBC76E4" w14:textId="77777777" w:rsidR="00070D32" w:rsidRDefault="00070D32" w:rsidP="00764B83">
      <w:pPr>
        <w:ind w:left="720" w:hanging="720"/>
      </w:pPr>
    </w:p>
    <w:p w14:paraId="116A471C" w14:textId="35EBE3C3" w:rsidR="00764B83" w:rsidRDefault="00070D32" w:rsidP="00764B83">
      <w:pPr>
        <w:ind w:left="720" w:hanging="720"/>
      </w:pPr>
      <w:r>
        <w:t>3.2</w:t>
      </w:r>
      <w:r>
        <w:tab/>
      </w:r>
      <w:r w:rsidR="00764B83">
        <w:t xml:space="preserve">The </w:t>
      </w:r>
      <w:r w:rsidR="007D41DD">
        <w:t>NIHRC</w:t>
      </w:r>
      <w:r w:rsidR="00764B83">
        <w:t xml:space="preserve"> welcomes this safeguard. However, it would be beneficial to have some indication of the persons who may be consulted in this regard. For example, the NI Judicial Appointments Commission has been suggested as one such body.</w:t>
      </w:r>
    </w:p>
    <w:p w14:paraId="0FD5AE74" w14:textId="46440E68" w:rsidR="00764B83" w:rsidRDefault="00764B83" w:rsidP="00764B83">
      <w:pPr>
        <w:ind w:left="720" w:hanging="720"/>
      </w:pPr>
    </w:p>
    <w:p w14:paraId="3BE9895E" w14:textId="15B893E3" w:rsidR="00070D32" w:rsidRDefault="00070D32" w:rsidP="00070D32">
      <w:pPr>
        <w:pStyle w:val="Heading2"/>
      </w:pPr>
      <w:r>
        <w:t>Independence</w:t>
      </w:r>
    </w:p>
    <w:p w14:paraId="61DC82BD" w14:textId="29783E8C" w:rsidR="00764B83" w:rsidRDefault="00764B83" w:rsidP="00764B83">
      <w:pPr>
        <w:ind w:left="720" w:hanging="720"/>
      </w:pPr>
      <w:r>
        <w:t>3.2</w:t>
      </w:r>
      <w:r>
        <w:tab/>
      </w:r>
      <w:r w:rsidR="00635A67">
        <w:t>The UK Government’s</w:t>
      </w:r>
      <w:r>
        <w:t xml:space="preserve"> proposed amendment </w:t>
      </w:r>
      <w:r w:rsidR="00635A67">
        <w:t>aimed at enhancing the I</w:t>
      </w:r>
      <w:r w:rsidR="42B87504">
        <w:t>CRIR</w:t>
      </w:r>
      <w:r w:rsidR="00635A67">
        <w:t xml:space="preserve">’s independence </w:t>
      </w:r>
      <w:r w:rsidR="00070D32">
        <w:t xml:space="preserve">would </w:t>
      </w:r>
      <w:r>
        <w:t xml:space="preserve">only provide a safeguard for one aspect of the Secretary of State’s intended role. </w:t>
      </w:r>
      <w:r w:rsidR="00635A67">
        <w:t>T</w:t>
      </w:r>
      <w:r w:rsidR="00070D32">
        <w:t>he NIHRC</w:t>
      </w:r>
      <w:r w:rsidR="00635A67">
        <w:t xml:space="preserve">’s initial advice on the Bill </w:t>
      </w:r>
      <w:r>
        <w:t>raised concerns about the extent of the Secretary of State’s influence and involvement across the Independent Commission’s operations.</w:t>
      </w:r>
      <w:r>
        <w:rPr>
          <w:rStyle w:val="FootnoteReference"/>
        </w:rPr>
        <w:footnoteReference w:id="11"/>
      </w:r>
      <w:r>
        <w:t xml:space="preserve"> The Secretary of State is to be involved in: making the rules/guidance, proposing cases for review,</w:t>
      </w:r>
      <w:r w:rsidR="00070D32">
        <w:t xml:space="preserve"> </w:t>
      </w:r>
      <w:r>
        <w:t>determining resources, monitoring the Independent Commission, and deciding when the Independent Commission’s work should cease. It is not unreasonable for the Secretary of State to have a high-level role regarding the Independent Commission; however, the proposed amendment does not address our concerns regarding the ‘extent’ of this role.</w:t>
      </w:r>
    </w:p>
    <w:p w14:paraId="399301D0" w14:textId="77777777" w:rsidR="00764B83" w:rsidRDefault="00764B83" w:rsidP="00764B83"/>
    <w:p w14:paraId="04D4D1FE" w14:textId="24F01429" w:rsidR="00E34094" w:rsidRDefault="00764B83" w:rsidP="00764B83">
      <w:pPr>
        <w:ind w:left="720" w:hanging="720"/>
      </w:pPr>
      <w:r>
        <w:t>3.3</w:t>
      </w:r>
      <w:r>
        <w:tab/>
      </w:r>
      <w:r w:rsidR="00070D32">
        <w:t>It has also been suggested</w:t>
      </w:r>
      <w:r>
        <w:t xml:space="preserve"> that </w:t>
      </w:r>
      <w:r w:rsidR="00070D32">
        <w:t xml:space="preserve">the Bill should be amended to include the requirement that </w:t>
      </w:r>
      <w:r>
        <w:t>one or more Commissioners must have experience gained outside the UK that is relevant to the work of the Independent Commission is welcomed.</w:t>
      </w:r>
      <w:r w:rsidR="00AF56B2">
        <w:t xml:space="preserve"> </w:t>
      </w:r>
      <w:r>
        <w:t>However, given the established incompatibilities of previous bodies tasked with investigating Troubles-related offences, additional steps are required to ensure independence.</w:t>
      </w:r>
      <w:r>
        <w:rPr>
          <w:rStyle w:val="FootnoteReference"/>
        </w:rPr>
        <w:footnoteReference w:id="12"/>
      </w:r>
      <w:r>
        <w:t xml:space="preserve"> For example, it would be beneficial to have a list of who cannot be appointed as a Commissioner. This approach </w:t>
      </w:r>
      <w:r>
        <w:lastRenderedPageBreak/>
        <w:t>has been adopted with Operation Kenova, which does not permit “personnel who are serving in or have previously served in the Royal Ulster Constabulary, Police Service of NI, Ministry of Defence or Security Services”.</w:t>
      </w:r>
      <w:r>
        <w:rPr>
          <w:rStyle w:val="FootnoteReference"/>
        </w:rPr>
        <w:footnoteReference w:id="13"/>
      </w:r>
    </w:p>
    <w:p w14:paraId="4F377FDB" w14:textId="77777777" w:rsidR="00A61646" w:rsidRDefault="00A61646" w:rsidP="00A61646"/>
    <w:p w14:paraId="39D18813" w14:textId="14E4B377" w:rsidR="00D31706" w:rsidRDefault="00764B83" w:rsidP="00764B83">
      <w:pPr>
        <w:pStyle w:val="Heading1"/>
      </w:pPr>
      <w:r>
        <w:t>4.0</w:t>
      </w:r>
      <w:r>
        <w:tab/>
        <w:t>False Information</w:t>
      </w:r>
    </w:p>
    <w:p w14:paraId="3DD816A8" w14:textId="05043D2E" w:rsidR="00A61646" w:rsidRDefault="00764B83" w:rsidP="00764B83">
      <w:pPr>
        <w:ind w:left="720" w:hanging="720"/>
      </w:pPr>
      <w:r>
        <w:t>4.1</w:t>
      </w:r>
      <w:r>
        <w:tab/>
      </w:r>
      <w:r w:rsidR="00635A67">
        <w:t>T</w:t>
      </w:r>
      <w:r>
        <w:t xml:space="preserve">he UK Government </w:t>
      </w:r>
      <w:r w:rsidR="00635A67">
        <w:t xml:space="preserve">has stated that it </w:t>
      </w:r>
      <w:r>
        <w:t xml:space="preserve">intends to introduce an amendment that aims to ensure that individuals who knowingly or recklessly provide false information to the </w:t>
      </w:r>
      <w:r w:rsidR="1C43BF08">
        <w:t>ICRIR</w:t>
      </w:r>
      <w:r>
        <w:t xml:space="preserve"> can be prosecuted and have their immunity revoked.</w:t>
      </w:r>
      <w:r w:rsidR="000E1F08">
        <w:rPr>
          <w:rStyle w:val="FootnoteReference"/>
        </w:rPr>
        <w:footnoteReference w:id="14"/>
      </w:r>
      <w:r>
        <w:t xml:space="preserve"> </w:t>
      </w:r>
    </w:p>
    <w:p w14:paraId="1F9B5BBC" w14:textId="77777777" w:rsidR="00A61646" w:rsidRDefault="00A61646" w:rsidP="00764B83">
      <w:pPr>
        <w:ind w:left="720" w:hanging="720"/>
      </w:pPr>
    </w:p>
    <w:p w14:paraId="42553C22" w14:textId="3DB4E89A" w:rsidR="00A61646" w:rsidRDefault="00A61646" w:rsidP="00764B83">
      <w:pPr>
        <w:ind w:left="720" w:hanging="720"/>
      </w:pPr>
      <w:r>
        <w:t>4.2</w:t>
      </w:r>
      <w:r>
        <w:tab/>
      </w:r>
      <w:r w:rsidR="00764B83">
        <w:t xml:space="preserve">The </w:t>
      </w:r>
      <w:r w:rsidR="007817F9">
        <w:t>NIHRC</w:t>
      </w:r>
      <w:r w:rsidR="00764B83">
        <w:t xml:space="preserve"> welcomes this safeguard. However, the proposed immunity scheme </w:t>
      </w:r>
      <w:r w:rsidR="58AF7060">
        <w:t>will remain non-compliant</w:t>
      </w:r>
      <w:r w:rsidR="00764B83">
        <w:t xml:space="preserve"> if it continues to cover gross abuses of human rights, such as those related to Articles 2 and 3 of the ECHR, and without an existing effective reconciliation process and/or effective form of compensation in place, which do not exist in the NI context.</w:t>
      </w:r>
      <w:r w:rsidR="00764B83">
        <w:rPr>
          <w:rStyle w:val="FootnoteReference"/>
        </w:rPr>
        <w:footnoteReference w:id="15"/>
      </w:r>
      <w:r w:rsidR="00764B83">
        <w:t xml:space="preserve"> </w:t>
      </w:r>
    </w:p>
    <w:p w14:paraId="5FD459F2" w14:textId="77777777" w:rsidR="00A61646" w:rsidRDefault="00A61646" w:rsidP="00764B83">
      <w:pPr>
        <w:ind w:left="720" w:hanging="720"/>
      </w:pPr>
    </w:p>
    <w:p w14:paraId="3A4F7766" w14:textId="4EE0A169" w:rsidR="00764B83" w:rsidRDefault="00A61646" w:rsidP="00764B83">
      <w:pPr>
        <w:ind w:left="720" w:hanging="720"/>
      </w:pPr>
      <w:r>
        <w:t>4.3</w:t>
      </w:r>
      <w:r>
        <w:tab/>
      </w:r>
      <w:r w:rsidR="007817F9">
        <w:t>Such a</w:t>
      </w:r>
      <w:r w:rsidR="00764B83">
        <w:t xml:space="preserve"> safeguard on its own is also insufficient for addressing the </w:t>
      </w:r>
      <w:r w:rsidR="007817F9">
        <w:t>NIHRC</w:t>
      </w:r>
      <w:r w:rsidR="00764B83">
        <w:t>’s concerns around accountability, equality and public scrutiny, as set out in our initial advice.</w:t>
      </w:r>
      <w:r w:rsidR="00764B83">
        <w:rPr>
          <w:rStyle w:val="FootnoteReference"/>
        </w:rPr>
        <w:footnoteReference w:id="16"/>
      </w:r>
    </w:p>
    <w:p w14:paraId="49D3882D" w14:textId="531C0428" w:rsidR="00764B83" w:rsidRDefault="00764B83" w:rsidP="00764B83">
      <w:pPr>
        <w:ind w:left="720" w:hanging="720"/>
      </w:pPr>
    </w:p>
    <w:p w14:paraId="74D85C41" w14:textId="106DC646" w:rsidR="00764B83" w:rsidRDefault="00764B83" w:rsidP="00764B83">
      <w:pPr>
        <w:pStyle w:val="Heading1"/>
      </w:pPr>
      <w:r>
        <w:t>5.0</w:t>
      </w:r>
      <w:r>
        <w:tab/>
        <w:t>Non-compliance Fine</w:t>
      </w:r>
    </w:p>
    <w:p w14:paraId="6079CE88" w14:textId="51EDDDAE" w:rsidR="00764B83" w:rsidRDefault="00764B83" w:rsidP="00764B83">
      <w:pPr>
        <w:ind w:left="720" w:hanging="720"/>
      </w:pPr>
      <w:r>
        <w:t>5.1</w:t>
      </w:r>
      <w:r>
        <w:tab/>
      </w:r>
      <w:r w:rsidR="000E1F08">
        <w:t>T</w:t>
      </w:r>
      <w:r>
        <w:t>he UK Government</w:t>
      </w:r>
      <w:r w:rsidR="000E1F08">
        <w:t xml:space="preserve"> has stated that it</w:t>
      </w:r>
      <w:r>
        <w:t xml:space="preserve"> intends to introduce an amendment that aims to increase the fine for non-compliance with the </w:t>
      </w:r>
      <w:r w:rsidR="785BC9E1">
        <w:t>ICRIR</w:t>
      </w:r>
      <w:r>
        <w:t>.</w:t>
      </w:r>
      <w:r w:rsidR="000E1F08">
        <w:rPr>
          <w:rStyle w:val="FootnoteReference"/>
        </w:rPr>
        <w:footnoteReference w:id="17"/>
      </w:r>
      <w:r w:rsidR="000E1F08">
        <w:t xml:space="preserve"> </w:t>
      </w:r>
      <w:r>
        <w:t xml:space="preserve">The </w:t>
      </w:r>
      <w:r w:rsidR="007817F9">
        <w:t>NIHRC</w:t>
      </w:r>
      <w:r>
        <w:t xml:space="preserve"> welcomes such an amendment, but it is insufficient to address our fundamental concerns with the Bill’s human rights compliance.</w:t>
      </w:r>
    </w:p>
    <w:p w14:paraId="19B5A7A6" w14:textId="68ED3C61" w:rsidR="00764B83" w:rsidRDefault="00764B83" w:rsidP="00764B83">
      <w:pPr>
        <w:ind w:left="720" w:hanging="720"/>
      </w:pPr>
    </w:p>
    <w:p w14:paraId="70325477" w14:textId="2E1CA3F9" w:rsidR="00764B83" w:rsidRDefault="00764B83" w:rsidP="00764B83">
      <w:pPr>
        <w:pStyle w:val="Heading1"/>
      </w:pPr>
      <w:r>
        <w:lastRenderedPageBreak/>
        <w:t>6.0</w:t>
      </w:r>
      <w:r>
        <w:tab/>
        <w:t>Cessation of Criminal Proceedings</w:t>
      </w:r>
    </w:p>
    <w:p w14:paraId="3C30F4FB" w14:textId="2D5E4111" w:rsidR="00764B83" w:rsidRDefault="00764B83" w:rsidP="00764B83">
      <w:pPr>
        <w:ind w:left="720" w:hanging="720"/>
      </w:pPr>
      <w:r>
        <w:t>6.1</w:t>
      </w:r>
      <w:r>
        <w:tab/>
        <w:t xml:space="preserve">The </w:t>
      </w:r>
      <w:r w:rsidR="007817F9">
        <w:t xml:space="preserve">UK Government’s </w:t>
      </w:r>
      <w:r w:rsidR="007D41DD">
        <w:t>announced amendments</w:t>
      </w:r>
      <w:r>
        <w:t xml:space="preserve"> do not address </w:t>
      </w:r>
      <w:r w:rsidR="007817F9">
        <w:t>the NIHRC’s</w:t>
      </w:r>
      <w:r>
        <w:t xml:space="preserve"> grave concerns </w:t>
      </w:r>
      <w:r w:rsidR="007817F9">
        <w:t xml:space="preserve">raised in our initial advice </w:t>
      </w:r>
      <w:r>
        <w:t xml:space="preserve">regarding the immediate cessation of criminal investigations (other than those referred by the </w:t>
      </w:r>
      <w:r w:rsidR="704031C6">
        <w:t>ICRIR</w:t>
      </w:r>
      <w:r>
        <w:t xml:space="preserve"> to the prosecutor), police complaints, civil proceedings and inquests/inquiries linked to Troubles-related offences.</w:t>
      </w:r>
      <w:r>
        <w:rPr>
          <w:rStyle w:val="FootnoteReference"/>
        </w:rPr>
        <w:footnoteReference w:id="18"/>
      </w:r>
      <w:r>
        <w:t xml:space="preserve"> </w:t>
      </w:r>
      <w:r w:rsidR="007D41DD">
        <w:t>Thus, the NIHRC’s previous concerns remain</w:t>
      </w:r>
      <w:r>
        <w:t xml:space="preserve">. </w:t>
      </w:r>
    </w:p>
    <w:p w14:paraId="3D3313E8" w14:textId="51CAE726" w:rsidR="000E1F08" w:rsidRDefault="000E1F08">
      <w:pPr>
        <w:spacing w:line="360" w:lineRule="auto"/>
      </w:pPr>
      <w:r>
        <w:br w:type="page"/>
      </w:r>
    </w:p>
    <w:p w14:paraId="667AA05E" w14:textId="77777777" w:rsidR="00074940" w:rsidRPr="002F2B00" w:rsidRDefault="00074940" w:rsidP="00074940">
      <w:pPr>
        <w:pStyle w:val="BasicParagraph"/>
        <w:suppressAutoHyphens/>
        <w:jc w:val="center"/>
        <w:rPr>
          <w:rFonts w:ascii="Verdana" w:hAnsi="Verdana" w:cs="Arial"/>
          <w:b/>
          <w:bCs/>
          <w:color w:val="77328A"/>
          <w:sz w:val="44"/>
          <w:szCs w:val="44"/>
        </w:rPr>
      </w:pPr>
    </w:p>
    <w:p w14:paraId="09672FB0" w14:textId="77777777" w:rsidR="00074940" w:rsidRPr="002F2B00" w:rsidRDefault="00074940" w:rsidP="00074940">
      <w:pPr>
        <w:pStyle w:val="BasicParagraph"/>
        <w:suppressAutoHyphens/>
        <w:jc w:val="center"/>
        <w:rPr>
          <w:rFonts w:ascii="Verdana" w:hAnsi="Verdana" w:cs="Arial"/>
          <w:b/>
          <w:bCs/>
          <w:color w:val="77328A"/>
          <w:sz w:val="44"/>
          <w:szCs w:val="44"/>
        </w:rPr>
      </w:pPr>
    </w:p>
    <w:p w14:paraId="569D17E0" w14:textId="77777777" w:rsidR="00074940" w:rsidRPr="002F2B00" w:rsidRDefault="00074940" w:rsidP="00074940">
      <w:pPr>
        <w:pStyle w:val="BasicParagraph"/>
        <w:suppressAutoHyphens/>
        <w:jc w:val="center"/>
        <w:rPr>
          <w:rFonts w:ascii="Verdana" w:hAnsi="Verdana" w:cs="Arial"/>
          <w:b/>
          <w:bCs/>
          <w:color w:val="77328A"/>
          <w:sz w:val="44"/>
          <w:szCs w:val="44"/>
        </w:rPr>
      </w:pPr>
    </w:p>
    <w:p w14:paraId="63A9DB44" w14:textId="77777777" w:rsidR="00074940" w:rsidRPr="002F2B00" w:rsidRDefault="00074940" w:rsidP="00074940">
      <w:pPr>
        <w:pStyle w:val="BasicParagraph"/>
        <w:suppressAutoHyphens/>
        <w:jc w:val="center"/>
        <w:rPr>
          <w:rFonts w:ascii="Verdana" w:hAnsi="Verdana" w:cs="Arial"/>
          <w:b/>
          <w:bCs/>
          <w:color w:val="77328A"/>
          <w:sz w:val="44"/>
          <w:szCs w:val="44"/>
        </w:rPr>
      </w:pPr>
    </w:p>
    <w:p w14:paraId="064DB951" w14:textId="77777777" w:rsidR="00074940" w:rsidRPr="002F2B00" w:rsidRDefault="00074940" w:rsidP="00074940">
      <w:pPr>
        <w:pStyle w:val="BasicParagraph"/>
        <w:suppressAutoHyphens/>
        <w:jc w:val="center"/>
        <w:rPr>
          <w:rFonts w:ascii="Verdana" w:hAnsi="Verdana" w:cs="Arial"/>
          <w:b/>
          <w:bCs/>
          <w:color w:val="77328A"/>
          <w:sz w:val="44"/>
          <w:szCs w:val="44"/>
        </w:rPr>
      </w:pPr>
      <w:r w:rsidRPr="002F2B00">
        <w:rPr>
          <w:rFonts w:ascii="Verdana" w:hAnsi="Verdana" w:cs="Arial"/>
          <w:b/>
          <w:bCs/>
          <w:color w:val="77328A"/>
          <w:sz w:val="44"/>
          <w:szCs w:val="44"/>
        </w:rPr>
        <w:t xml:space="preserve">Contact Us </w:t>
      </w:r>
    </w:p>
    <w:p w14:paraId="6ECB0455" w14:textId="77777777" w:rsidR="00074940" w:rsidRPr="002F2B00" w:rsidRDefault="00074940" w:rsidP="00074940">
      <w:pPr>
        <w:pStyle w:val="BasicParagraph"/>
        <w:suppressAutoHyphens/>
        <w:jc w:val="center"/>
        <w:rPr>
          <w:rFonts w:ascii="Verdana" w:hAnsi="Verdana" w:cs="Arial"/>
          <w:b/>
          <w:bCs/>
          <w:color w:val="77328A"/>
          <w:sz w:val="44"/>
          <w:szCs w:val="44"/>
        </w:rPr>
      </w:pPr>
    </w:p>
    <w:p w14:paraId="7D721BA6" w14:textId="25014C49" w:rsidR="00074940" w:rsidRPr="002F2B00" w:rsidRDefault="00074940" w:rsidP="00074940">
      <w:pPr>
        <w:pStyle w:val="BasicParagraph"/>
        <w:suppressAutoHyphens/>
        <w:jc w:val="center"/>
        <w:rPr>
          <w:rFonts w:ascii="Verdana" w:hAnsi="Verdana" w:cs="Arial"/>
          <w:b/>
          <w:bCs/>
          <w:color w:val="auto"/>
          <w:sz w:val="28"/>
          <w:szCs w:val="28"/>
        </w:rPr>
      </w:pPr>
      <w:r w:rsidRPr="002F2B00">
        <w:rPr>
          <w:rFonts w:ascii="Verdana" w:hAnsi="Verdana" w:cs="Arial"/>
          <w:b/>
          <w:bCs/>
          <w:color w:val="auto"/>
          <w:sz w:val="28"/>
          <w:szCs w:val="28"/>
        </w:rPr>
        <w:t xml:space="preserve">For queries please contact: </w:t>
      </w:r>
      <w:hyperlink r:id="rId12" w:history="1">
        <w:r w:rsidR="00AF7894" w:rsidRPr="008526B4">
          <w:rPr>
            <w:rStyle w:val="Hyperlink"/>
            <w:rFonts w:ascii="Verdana" w:hAnsi="Verdana" w:cs="Arial"/>
            <w:b/>
            <w:bCs/>
            <w:sz w:val="28"/>
            <w:szCs w:val="28"/>
          </w:rPr>
          <w:t>Colin.Caughey@nihrc.org</w:t>
        </w:r>
      </w:hyperlink>
    </w:p>
    <w:p w14:paraId="1D9BA95E" w14:textId="77777777" w:rsidR="00074940" w:rsidRPr="002F2B00" w:rsidRDefault="00074940" w:rsidP="00074940">
      <w:pPr>
        <w:rPr>
          <w:rFonts w:cs="Arial"/>
          <w:b/>
          <w:color w:val="232120"/>
          <w:sz w:val="30"/>
          <w:szCs w:val="30"/>
        </w:rPr>
      </w:pPr>
    </w:p>
    <w:p w14:paraId="77BD2A93" w14:textId="77777777" w:rsidR="00074940" w:rsidRPr="002F2B00" w:rsidRDefault="00074940" w:rsidP="00074940">
      <w:pPr>
        <w:jc w:val="center"/>
        <w:rPr>
          <w:rFonts w:cs="Arial"/>
          <w:b/>
          <w:color w:val="232120"/>
          <w:sz w:val="30"/>
          <w:szCs w:val="30"/>
        </w:rPr>
      </w:pPr>
    </w:p>
    <w:p w14:paraId="2F1748C8" w14:textId="77777777" w:rsidR="00074940" w:rsidRPr="002F2B00" w:rsidRDefault="00000000" w:rsidP="00074940">
      <w:pPr>
        <w:jc w:val="center"/>
        <w:rPr>
          <w:rFonts w:cs="Arial"/>
          <w:color w:val="232120"/>
          <w:sz w:val="28"/>
          <w:szCs w:val="28"/>
        </w:rPr>
      </w:pPr>
      <w:hyperlink r:id="rId13" w:history="1">
        <w:r w:rsidR="00074940" w:rsidRPr="002F2B00">
          <w:rPr>
            <w:rStyle w:val="Hyperlink"/>
            <w:rFonts w:cs="Arial"/>
            <w:color w:val="232120"/>
            <w:sz w:val="28"/>
            <w:szCs w:val="28"/>
            <w:lang w:val="en-US"/>
          </w:rPr>
          <w:t>www.nihrc.org</w:t>
        </w:r>
      </w:hyperlink>
      <w:r w:rsidR="00074940" w:rsidRPr="002F2B00">
        <w:rPr>
          <w:rFonts w:cs="Arial"/>
          <w:color w:val="232120"/>
          <w:sz w:val="28"/>
          <w:szCs w:val="28"/>
          <w:lang w:val="en-US"/>
        </w:rPr>
        <w:t xml:space="preserve">  |  </w:t>
      </w:r>
      <w:hyperlink r:id="rId14" w:history="1">
        <w:r w:rsidR="00074940" w:rsidRPr="002F2B00">
          <w:rPr>
            <w:rStyle w:val="Hyperlink"/>
            <w:rFonts w:cs="Arial"/>
            <w:color w:val="232120"/>
            <w:sz w:val="28"/>
            <w:szCs w:val="28"/>
            <w:lang w:val="en-US"/>
          </w:rPr>
          <w:t>info@nihrc.org</w:t>
        </w:r>
      </w:hyperlink>
      <w:r w:rsidR="00074940" w:rsidRPr="002F2B00">
        <w:rPr>
          <w:rFonts w:cs="Arial"/>
          <w:color w:val="232120"/>
          <w:sz w:val="28"/>
          <w:szCs w:val="28"/>
          <w:lang w:val="en-US"/>
        </w:rPr>
        <w:t xml:space="preserve">  |  +44 (0)28 9024 3987</w:t>
      </w:r>
    </w:p>
    <w:p w14:paraId="2B4FF268" w14:textId="77777777" w:rsidR="00074940" w:rsidRPr="002F2B00" w:rsidRDefault="00074940" w:rsidP="00074940">
      <w:pPr>
        <w:jc w:val="center"/>
        <w:rPr>
          <w:rFonts w:cs="Arial"/>
          <w:color w:val="232120"/>
          <w:sz w:val="28"/>
          <w:szCs w:val="28"/>
        </w:rPr>
      </w:pPr>
      <w:r w:rsidRPr="002F2B00">
        <w:rPr>
          <w:rFonts w:cs="Arial"/>
          <w:color w:val="232120"/>
          <w:sz w:val="28"/>
          <w:szCs w:val="28"/>
          <w:lang w:val="en-US"/>
        </w:rPr>
        <w:t>Temple Court, 39 North Street, Belfast, BT1NA</w:t>
      </w:r>
    </w:p>
    <w:p w14:paraId="351339C7" w14:textId="77777777" w:rsidR="00074940" w:rsidRPr="002F2B00" w:rsidRDefault="00074940" w:rsidP="00074940">
      <w:pPr>
        <w:jc w:val="center"/>
        <w:rPr>
          <w:rFonts w:cs="Arial"/>
          <w:b/>
          <w:color w:val="232120"/>
          <w:sz w:val="28"/>
          <w:szCs w:val="28"/>
        </w:rPr>
      </w:pPr>
    </w:p>
    <w:p w14:paraId="3D9C5166" w14:textId="77777777" w:rsidR="00074940" w:rsidRPr="002F2B00" w:rsidRDefault="00074940" w:rsidP="00074940">
      <w:pPr>
        <w:jc w:val="center"/>
        <w:rPr>
          <w:rFonts w:cs="Arial"/>
          <w:color w:val="232120"/>
          <w:sz w:val="20"/>
          <w:szCs w:val="20"/>
        </w:rPr>
      </w:pPr>
    </w:p>
    <w:p w14:paraId="30EB822F" w14:textId="77777777" w:rsidR="00074940" w:rsidRPr="00860A9B" w:rsidRDefault="00074940" w:rsidP="00074940">
      <w:pPr>
        <w:pStyle w:val="BasicParagraph"/>
        <w:suppressAutoHyphens/>
        <w:spacing w:line="240" w:lineRule="auto"/>
        <w:jc w:val="center"/>
        <w:rPr>
          <w:rFonts w:ascii="Verdana" w:hAnsi="Verdana" w:cs="Arial"/>
          <w:color w:val="232120"/>
          <w:sz w:val="28"/>
          <w:szCs w:val="28"/>
        </w:rPr>
      </w:pPr>
      <w:r w:rsidRPr="002F2B00">
        <w:rPr>
          <w:rFonts w:ascii="Verdana" w:hAnsi="Verdana" w:cs="Arial"/>
          <w:noProof/>
          <w:color w:val="232120"/>
          <w:sz w:val="28"/>
          <w:szCs w:val="28"/>
          <w:lang w:eastAsia="en-GB"/>
        </w:rPr>
        <w:drawing>
          <wp:inline distT="0" distB="0" distL="0" distR="0" wp14:anchorId="55EE0D87" wp14:editId="2889E6AF">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6BAF8A16" w14:textId="77777777" w:rsidR="00764B83" w:rsidRDefault="00764B83" w:rsidP="00764B83"/>
    <w:p w14:paraId="5E5C2619" w14:textId="7940E6F8" w:rsidR="00764B83" w:rsidRPr="00764B83" w:rsidRDefault="00764B83" w:rsidP="00764B83"/>
    <w:p w14:paraId="0D1BF26D" w14:textId="15A4683D" w:rsidR="00764B83" w:rsidRDefault="00764B83" w:rsidP="00712F71">
      <w:pPr>
        <w:ind w:left="720" w:hanging="720"/>
      </w:pPr>
    </w:p>
    <w:p w14:paraId="69880A1D" w14:textId="77777777" w:rsidR="00D31706" w:rsidRPr="002F2B00" w:rsidRDefault="00D31706" w:rsidP="00D31706">
      <w:pPr>
        <w:pStyle w:val="BasicParagraph"/>
        <w:suppressAutoHyphens/>
        <w:jc w:val="center"/>
        <w:rPr>
          <w:rFonts w:ascii="Verdana" w:hAnsi="Verdana" w:cs="Arial"/>
          <w:b/>
          <w:bCs/>
          <w:color w:val="77328A"/>
          <w:sz w:val="44"/>
          <w:szCs w:val="44"/>
        </w:rPr>
      </w:pPr>
    </w:p>
    <w:p w14:paraId="40D28335" w14:textId="77777777" w:rsidR="00D31706" w:rsidRPr="002F2B00" w:rsidRDefault="00D31706" w:rsidP="00D31706">
      <w:pPr>
        <w:rPr>
          <w:rFonts w:cs="Arial"/>
          <w:b/>
          <w:color w:val="232120"/>
          <w:sz w:val="30"/>
          <w:szCs w:val="30"/>
        </w:rPr>
      </w:pPr>
    </w:p>
    <w:p w14:paraId="22E9F6F0" w14:textId="77777777" w:rsidR="001A5F15" w:rsidRDefault="001A5F15" w:rsidP="00712F71">
      <w:pPr>
        <w:ind w:left="720" w:hanging="720"/>
      </w:pPr>
    </w:p>
    <w:sectPr w:rsidR="001A5F15" w:rsidSect="00706302">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A1AE" w14:textId="77777777" w:rsidR="00E43649" w:rsidRDefault="00E43649" w:rsidP="00DB0F0C">
      <w:pPr>
        <w:spacing w:line="240" w:lineRule="auto"/>
      </w:pPr>
      <w:r>
        <w:separator/>
      </w:r>
    </w:p>
  </w:endnote>
  <w:endnote w:type="continuationSeparator" w:id="0">
    <w:p w14:paraId="2A0C3B04" w14:textId="77777777" w:rsidR="00E43649" w:rsidRDefault="00E43649" w:rsidP="00DB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rPr>
      <w:id w:val="-1505899142"/>
      <w:docPartObj>
        <w:docPartGallery w:val="Page Numbers (Bottom of Page)"/>
        <w:docPartUnique/>
      </w:docPartObj>
    </w:sdtPr>
    <w:sdtEndPr>
      <w:rPr>
        <w:noProof/>
      </w:rPr>
    </w:sdtEndPr>
    <w:sdtContent>
      <w:p w14:paraId="33502343" w14:textId="11A71D62" w:rsidR="00BE2AF8" w:rsidRPr="00BE2AF8" w:rsidRDefault="00BE2AF8">
        <w:pPr>
          <w:pStyle w:val="Footer"/>
          <w:jc w:val="right"/>
          <w:rPr>
            <w:color w:val="7030A0"/>
          </w:rPr>
        </w:pPr>
        <w:r w:rsidRPr="00BE2AF8">
          <w:rPr>
            <w:color w:val="7030A0"/>
          </w:rPr>
          <w:fldChar w:fldCharType="begin"/>
        </w:r>
        <w:r w:rsidRPr="00BE2AF8">
          <w:rPr>
            <w:color w:val="7030A0"/>
          </w:rPr>
          <w:instrText xml:space="preserve"> PAGE   \* MERGEFORMAT </w:instrText>
        </w:r>
        <w:r w:rsidRPr="00BE2AF8">
          <w:rPr>
            <w:color w:val="7030A0"/>
          </w:rPr>
          <w:fldChar w:fldCharType="separate"/>
        </w:r>
        <w:r w:rsidRPr="00BE2AF8">
          <w:rPr>
            <w:noProof/>
            <w:color w:val="7030A0"/>
          </w:rPr>
          <w:t>2</w:t>
        </w:r>
        <w:r w:rsidRPr="00BE2AF8">
          <w:rPr>
            <w:noProof/>
            <w:color w:val="7030A0"/>
          </w:rPr>
          <w:fldChar w:fldCharType="end"/>
        </w:r>
      </w:p>
    </w:sdtContent>
  </w:sdt>
  <w:p w14:paraId="291072B2" w14:textId="77777777" w:rsidR="00BE2AF8" w:rsidRDefault="00BE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91D6" w14:textId="77777777" w:rsidR="00E43649" w:rsidRDefault="00E43649" w:rsidP="00DB0F0C">
      <w:pPr>
        <w:spacing w:line="240" w:lineRule="auto"/>
      </w:pPr>
      <w:r>
        <w:separator/>
      </w:r>
    </w:p>
  </w:footnote>
  <w:footnote w:type="continuationSeparator" w:id="0">
    <w:p w14:paraId="2D52049A" w14:textId="77777777" w:rsidR="00E43649" w:rsidRDefault="00E43649" w:rsidP="00DB0F0C">
      <w:pPr>
        <w:spacing w:line="240" w:lineRule="auto"/>
      </w:pPr>
      <w:r>
        <w:continuationSeparator/>
      </w:r>
    </w:p>
  </w:footnote>
  <w:footnote w:id="1">
    <w:p w14:paraId="1FDD3356" w14:textId="1AB0CDAB" w:rsidR="000E1F08" w:rsidRDefault="000E1F08" w:rsidP="000E1F08">
      <w:pPr>
        <w:pStyle w:val="NIHRCFootnotes"/>
      </w:pPr>
      <w:r>
        <w:rPr>
          <w:rStyle w:val="FootnoteReference"/>
        </w:rPr>
        <w:footnoteRef/>
      </w:r>
      <w:r>
        <w:t xml:space="preserve"> NI Office, ‘Press Release: Government to bring forward amendments to Legacy Bill following months of engagement’, 23 November 2022.</w:t>
      </w:r>
    </w:p>
  </w:footnote>
  <w:footnote w:id="2">
    <w:p w14:paraId="514A5204" w14:textId="77777777" w:rsidR="009F7D99" w:rsidRPr="001D7270" w:rsidRDefault="009F7D99" w:rsidP="000E1F08">
      <w:pPr>
        <w:pStyle w:val="NIHRCFootnotes"/>
      </w:pPr>
      <w:r w:rsidRPr="001D7270">
        <w:rPr>
          <w:rStyle w:val="FootnoteReference"/>
        </w:rPr>
        <w:footnoteRef/>
      </w:r>
      <w:r w:rsidRPr="001D7270">
        <w:t xml:space="preserve"> The NIHRC, pursuant to section 69(1) of the Northern Ireland (NI) Act 1998, reviews the adequacy and effectiveness of law and practice relating to the protection of human rights in NI. The NIHRC is also required, under section 78A(1), to monitor the implementation of Article 2(1) of the Protocol on Ireland/NI of the UK-EU Withdrawal Agreement (Protocol Article 2).</w:t>
      </w:r>
    </w:p>
  </w:footnote>
  <w:footnote w:id="3">
    <w:p w14:paraId="18B9775B" w14:textId="77777777" w:rsidR="000E1F08" w:rsidRDefault="000E1F08" w:rsidP="000E1F08">
      <w:pPr>
        <w:pStyle w:val="NIHRCFootnotes"/>
      </w:pPr>
      <w:r>
        <w:rPr>
          <w:rStyle w:val="FootnoteReference"/>
        </w:rPr>
        <w:footnoteRef/>
      </w:r>
      <w:r>
        <w:t xml:space="preserve"> NI Office, ‘Press Release: Government to bring forward amendments to Legacy Bill following months of engagement’, 23 November 2022.</w:t>
      </w:r>
    </w:p>
  </w:footnote>
  <w:footnote w:id="4">
    <w:p w14:paraId="29B065B5" w14:textId="77777777" w:rsidR="00FC2A5A" w:rsidRPr="00192B0E" w:rsidRDefault="00FC2A5A" w:rsidP="00FC2A5A">
      <w:pPr>
        <w:pStyle w:val="NIHRCFootnotes"/>
      </w:pPr>
      <w:r w:rsidRPr="00192B0E">
        <w:rPr>
          <w:rStyle w:val="FootnoteReference"/>
        </w:rPr>
        <w:footnoteRef/>
      </w:r>
      <w:r w:rsidRPr="00192B0E">
        <w:t xml:space="preserve"> </w:t>
      </w:r>
      <w:r w:rsidRPr="00192B0E">
        <w:rPr>
          <w:i/>
          <w:iCs/>
        </w:rPr>
        <w:t>Kolevi v Bulgaria</w:t>
      </w:r>
      <w:r w:rsidRPr="00192B0E">
        <w:t xml:space="preserve"> (2009), at para 201; </w:t>
      </w:r>
      <w:r w:rsidRPr="00192B0E">
        <w:rPr>
          <w:i/>
          <w:iCs/>
        </w:rPr>
        <w:t>Armani da Silva v UK</w:t>
      </w:r>
      <w:r w:rsidRPr="00192B0E">
        <w:t xml:space="preserve"> (2016), at para 234.</w:t>
      </w:r>
    </w:p>
  </w:footnote>
  <w:footnote w:id="5">
    <w:p w14:paraId="3FA2668E" w14:textId="6C648E6D" w:rsidR="00E34094" w:rsidRPr="00192B0E" w:rsidRDefault="00E34094" w:rsidP="000E1F08">
      <w:pPr>
        <w:pStyle w:val="NIHRCFootnotes"/>
      </w:pPr>
      <w:r w:rsidRPr="00192B0E">
        <w:rPr>
          <w:rStyle w:val="FootnoteReference"/>
        </w:rPr>
        <w:footnoteRef/>
      </w:r>
      <w:r w:rsidRPr="00192B0E">
        <w:t xml:space="preserve"> </w:t>
      </w:r>
      <w:r w:rsidR="009D2710">
        <w:t>Ibid</w:t>
      </w:r>
      <w:r w:rsidRPr="00192B0E">
        <w:t>.</w:t>
      </w:r>
    </w:p>
  </w:footnote>
  <w:footnote w:id="6">
    <w:p w14:paraId="54453D10" w14:textId="77777777" w:rsidR="00E34094" w:rsidRPr="00192B0E" w:rsidRDefault="00E34094" w:rsidP="000E1F08">
      <w:pPr>
        <w:pStyle w:val="NIHRCFootnotes"/>
      </w:pPr>
      <w:r w:rsidRPr="00192B0E">
        <w:rPr>
          <w:rStyle w:val="FootnoteReference"/>
        </w:rPr>
        <w:footnoteRef/>
      </w:r>
      <w:r w:rsidRPr="00192B0E">
        <w:t xml:space="preserve"> </w:t>
      </w:r>
      <w:r w:rsidRPr="00192B0E">
        <w:rPr>
          <w:i/>
        </w:rPr>
        <w:t>McCann v UK</w:t>
      </w:r>
      <w:r w:rsidRPr="00192B0E">
        <w:t xml:space="preserve"> (1995) 21 EHRR 97, at para 173; </w:t>
      </w:r>
      <w:r w:rsidRPr="00192B0E">
        <w:rPr>
          <w:i/>
        </w:rPr>
        <w:t>McKerr v UK</w:t>
      </w:r>
      <w:r w:rsidRPr="00192B0E">
        <w:t xml:space="preserve"> (2001) ECHR 329, at para 111; </w:t>
      </w:r>
      <w:r w:rsidRPr="00192B0E">
        <w:rPr>
          <w:i/>
        </w:rPr>
        <w:t>Hugh Jordan v UK</w:t>
      </w:r>
      <w:r w:rsidRPr="00192B0E">
        <w:t xml:space="preserve"> (2001) ECHR 327, at para 105.</w:t>
      </w:r>
    </w:p>
  </w:footnote>
  <w:footnote w:id="7">
    <w:p w14:paraId="7F4462BB" w14:textId="77777777" w:rsidR="00E34094" w:rsidRPr="00192B0E" w:rsidRDefault="00E34094" w:rsidP="000E1F08">
      <w:pPr>
        <w:pStyle w:val="NIHRCFootnotes"/>
      </w:pPr>
      <w:r w:rsidRPr="00192B0E">
        <w:rPr>
          <w:rStyle w:val="FootnoteReference"/>
        </w:rPr>
        <w:footnoteRef/>
      </w:r>
      <w:r w:rsidRPr="00192B0E">
        <w:t xml:space="preserve"> </w:t>
      </w:r>
      <w:r w:rsidRPr="00192B0E">
        <w:rPr>
          <w:i/>
        </w:rPr>
        <w:t>McCann v UK</w:t>
      </w:r>
      <w:r w:rsidRPr="00192B0E">
        <w:t xml:space="preserve"> (1995) 21 EHRR 97, at para 79.193.</w:t>
      </w:r>
    </w:p>
  </w:footnote>
  <w:footnote w:id="8">
    <w:p w14:paraId="7D8C8A8E" w14:textId="77777777" w:rsidR="00E34094" w:rsidRPr="00192B0E" w:rsidRDefault="00E34094" w:rsidP="000E1F08">
      <w:pPr>
        <w:pStyle w:val="NIHRCFootnotes"/>
      </w:pPr>
      <w:r w:rsidRPr="00192B0E">
        <w:rPr>
          <w:rStyle w:val="FootnoteReference"/>
        </w:rPr>
        <w:footnoteRef/>
      </w:r>
      <w:r w:rsidRPr="00192B0E">
        <w:t xml:space="preserve"> </w:t>
      </w:r>
      <w:r w:rsidRPr="00192B0E">
        <w:rPr>
          <w:i/>
        </w:rPr>
        <w:t xml:space="preserve">Hemsworth v UK </w:t>
      </w:r>
      <w:r w:rsidRPr="00192B0E">
        <w:t>(2013) ECHR 683; CoE Committee of Ministers</w:t>
      </w:r>
      <w:r>
        <w:t>,</w:t>
      </w:r>
      <w:r w:rsidRPr="00192B0E">
        <w:t xml:space="preserve"> </w:t>
      </w:r>
      <w:r>
        <w:t>‘</w:t>
      </w:r>
      <w:r w:rsidRPr="00192B0E">
        <w:t>Item H46-42 McKerr Group v UK (Application No 28883/95)’, 7-8 June 2016; CM/Notes/1436/H46-35, ‘CoE Committee of Ministers Decision on McKerr Group v UK (Application No 28883/95), 10 June 2022, at para 4; UN Economic and Social Council, ‘Resolution 1989/65: Principles on the Effective Prevention and Investigation of Extra-legal, Arbitrary and Summary Executions’, 24 May 1989, at para 11.</w:t>
      </w:r>
    </w:p>
  </w:footnote>
  <w:footnote w:id="9">
    <w:p w14:paraId="7BBC0A17" w14:textId="77777777" w:rsidR="00E34094" w:rsidRPr="00551CED" w:rsidRDefault="00E34094" w:rsidP="000E1F08">
      <w:pPr>
        <w:pStyle w:val="NIHRCFootnotes"/>
      </w:pPr>
      <w:r w:rsidRPr="00551CED">
        <w:rPr>
          <w:rStyle w:val="FootnoteReference"/>
        </w:rPr>
        <w:footnoteRef/>
      </w:r>
      <w:r w:rsidRPr="00551CED">
        <w:t xml:space="preserve"> Directive 2012/29/EU, ‘Directive of European Parliament and the Council establishing minimum standards on the rights, support and protection of victims of crime’, 25 October 2012.</w:t>
      </w:r>
    </w:p>
  </w:footnote>
  <w:footnote w:id="10">
    <w:p w14:paraId="2439AEDB" w14:textId="77777777" w:rsidR="000E1F08" w:rsidRDefault="000E1F08" w:rsidP="000E1F08">
      <w:pPr>
        <w:pStyle w:val="NIHRCFootnotes"/>
      </w:pPr>
      <w:r>
        <w:rPr>
          <w:rStyle w:val="FootnoteReference"/>
        </w:rPr>
        <w:footnoteRef/>
      </w:r>
      <w:r>
        <w:t xml:space="preserve"> NI Office, ‘Press Release: Government to bring forward amendments to Legacy Bill following months of engagement’, 23 November 2022.</w:t>
      </w:r>
    </w:p>
  </w:footnote>
  <w:footnote w:id="11">
    <w:p w14:paraId="5617AB75" w14:textId="77777777" w:rsidR="00764B83" w:rsidRPr="00192B0E" w:rsidRDefault="00764B83" w:rsidP="000E1F08">
      <w:pPr>
        <w:pStyle w:val="NIHRCFootnotes"/>
      </w:pPr>
      <w:r w:rsidRPr="00192B0E">
        <w:rPr>
          <w:rStyle w:val="FootnoteReference"/>
        </w:rPr>
        <w:footnoteRef/>
      </w:r>
      <w:r w:rsidRPr="00192B0E">
        <w:t xml:space="preserve"> NI Human Rights Commission, ‘Advice on NI Troubles (Legacy and Reconciliation) Bill’ (NIHRC, 2022), at paras 2.26-2.34.</w:t>
      </w:r>
    </w:p>
  </w:footnote>
  <w:footnote w:id="12">
    <w:p w14:paraId="65198D54" w14:textId="77777777" w:rsidR="00764B83" w:rsidRPr="00192B0E" w:rsidRDefault="00764B83" w:rsidP="000E1F08">
      <w:pPr>
        <w:pStyle w:val="NIHRCFootnotes"/>
      </w:pPr>
      <w:r w:rsidRPr="00192B0E">
        <w:rPr>
          <w:rStyle w:val="FootnoteReference"/>
        </w:rPr>
        <w:footnoteRef/>
      </w:r>
      <w:r w:rsidRPr="00192B0E">
        <w:t xml:space="preserve"> </w:t>
      </w:r>
      <w:r w:rsidRPr="00192B0E">
        <w:rPr>
          <w:i/>
        </w:rPr>
        <w:t>Hugh Jordan v UK</w:t>
      </w:r>
      <w:r w:rsidRPr="00192B0E">
        <w:t xml:space="preserve"> (2001) ECHR 327, at para 120; </w:t>
      </w:r>
      <w:r w:rsidRPr="00192B0E">
        <w:rPr>
          <w:i/>
        </w:rPr>
        <w:t>McKerr v UK</w:t>
      </w:r>
      <w:r w:rsidRPr="00192B0E">
        <w:t xml:space="preserve"> (2001) ECHR 329, at para 128.</w:t>
      </w:r>
    </w:p>
  </w:footnote>
  <w:footnote w:id="13">
    <w:p w14:paraId="204FC9F3" w14:textId="77777777" w:rsidR="00764B83" w:rsidRPr="00192B0E" w:rsidRDefault="00764B83" w:rsidP="000E1F08">
      <w:pPr>
        <w:pStyle w:val="NIHRCFootnotes"/>
      </w:pPr>
      <w:r w:rsidRPr="00192B0E">
        <w:rPr>
          <w:rStyle w:val="FootnoteReference"/>
        </w:rPr>
        <w:footnoteRef/>
      </w:r>
      <w:r w:rsidRPr="00192B0E">
        <w:t xml:space="preserve"> Operation Kenova, ‘ECHR: Fundamental Freedoms Compliance – Version 3’ (OK, Date Unknown), at 9.</w:t>
      </w:r>
    </w:p>
  </w:footnote>
  <w:footnote w:id="14">
    <w:p w14:paraId="5187CE7B" w14:textId="77777777" w:rsidR="000E1F08" w:rsidRDefault="000E1F08" w:rsidP="000E1F08">
      <w:pPr>
        <w:pStyle w:val="NIHRCFootnotes"/>
      </w:pPr>
      <w:r>
        <w:rPr>
          <w:rStyle w:val="FootnoteReference"/>
        </w:rPr>
        <w:footnoteRef/>
      </w:r>
      <w:r>
        <w:t xml:space="preserve"> NI Office, ‘Press Release: Government to bring forward amendments to Legacy Bill following months of engagement’, 23 November 2022.</w:t>
      </w:r>
    </w:p>
  </w:footnote>
  <w:footnote w:id="15">
    <w:p w14:paraId="5F3F9A04" w14:textId="77777777" w:rsidR="00764B83" w:rsidRPr="00192B0E" w:rsidRDefault="00764B83" w:rsidP="000E1F08">
      <w:pPr>
        <w:pStyle w:val="NIHRCFootnotes"/>
      </w:pPr>
      <w:r w:rsidRPr="00192B0E">
        <w:rPr>
          <w:rStyle w:val="FootnoteReference"/>
        </w:rPr>
        <w:footnoteRef/>
      </w:r>
      <w:r w:rsidRPr="00192B0E">
        <w:t xml:space="preserve"> </w:t>
      </w:r>
      <w:r w:rsidRPr="00192B0E">
        <w:rPr>
          <w:i/>
          <w:iCs/>
        </w:rPr>
        <w:t>Margus v Croatia</w:t>
      </w:r>
      <w:r w:rsidRPr="00192B0E">
        <w:t xml:space="preserve"> (2014) ECHR 523, at para 126; </w:t>
      </w:r>
      <w:r w:rsidRPr="00192B0E">
        <w:rPr>
          <w:i/>
          <w:iCs/>
        </w:rPr>
        <w:t>Abdülsamet Yamana v Turkey</w:t>
      </w:r>
      <w:r w:rsidRPr="00192B0E">
        <w:t xml:space="preserve"> (2004) ECHR 572, at para 55; </w:t>
      </w:r>
      <w:r w:rsidRPr="00192B0E">
        <w:rPr>
          <w:i/>
          <w:iCs/>
        </w:rPr>
        <w:t>Ali and Ayse Duran v Turkey</w:t>
      </w:r>
      <w:r w:rsidRPr="00192B0E">
        <w:t xml:space="preserve"> (2008) ECHR 289, at para 69; </w:t>
      </w:r>
      <w:r w:rsidRPr="00192B0E">
        <w:rPr>
          <w:i/>
          <w:iCs/>
        </w:rPr>
        <w:t>Okkali v Turkey</w:t>
      </w:r>
      <w:r w:rsidRPr="00192B0E">
        <w:t xml:space="preserve">, Application No 52067/99, Judgment of 17 October 2006, at para 76; </w:t>
      </w:r>
      <w:r w:rsidRPr="00192B0E">
        <w:rPr>
          <w:i/>
          <w:iCs/>
        </w:rPr>
        <w:t>Yesil and Sevim v Turkey</w:t>
      </w:r>
      <w:r w:rsidRPr="00192B0E">
        <w:t xml:space="preserve">, Application No 34738/04, Judgment of 5 June 2007, at para 38; </w:t>
      </w:r>
      <w:r w:rsidRPr="00192B0E">
        <w:rPr>
          <w:i/>
          <w:iCs/>
        </w:rPr>
        <w:t>Ould Dah v France</w:t>
      </w:r>
      <w:r w:rsidRPr="00192B0E">
        <w:t xml:space="preserve"> (2009) ECHR 532; </w:t>
      </w:r>
      <w:r w:rsidRPr="00192B0E">
        <w:rPr>
          <w:i/>
          <w:iCs/>
        </w:rPr>
        <w:t>Association 21 December 1989 and Others v Romania</w:t>
      </w:r>
      <w:r w:rsidRPr="00192B0E">
        <w:t xml:space="preserve"> (2012), Application Nos 33810/07 and 18817/08, Judgment of 24 May 2011.</w:t>
      </w:r>
    </w:p>
  </w:footnote>
  <w:footnote w:id="16">
    <w:p w14:paraId="26046B97" w14:textId="77777777" w:rsidR="00764B83" w:rsidRPr="00192B0E" w:rsidRDefault="00764B83" w:rsidP="000E1F08">
      <w:pPr>
        <w:pStyle w:val="NIHRCFootnotes"/>
      </w:pPr>
      <w:r w:rsidRPr="00192B0E">
        <w:rPr>
          <w:rStyle w:val="FootnoteReference"/>
        </w:rPr>
        <w:footnoteRef/>
      </w:r>
      <w:r w:rsidRPr="00192B0E">
        <w:t xml:space="preserve"> NI Human Rights Commission, ‘Advice on NI Troubles (Legacy and Reconciliation) Bill’ (NIHRC, 2022), at paras 4.6-4.16.</w:t>
      </w:r>
    </w:p>
  </w:footnote>
  <w:footnote w:id="17">
    <w:p w14:paraId="4BED8B89" w14:textId="77777777" w:rsidR="000E1F08" w:rsidRDefault="000E1F08" w:rsidP="000E1F08">
      <w:pPr>
        <w:pStyle w:val="NIHRCFootnotes"/>
      </w:pPr>
      <w:r>
        <w:rPr>
          <w:rStyle w:val="FootnoteReference"/>
        </w:rPr>
        <w:footnoteRef/>
      </w:r>
      <w:r>
        <w:t xml:space="preserve"> NI Office, ‘Press Release: Government to bring forward amendments to Legacy Bill following months of engagement’, 23 November 2022.</w:t>
      </w:r>
    </w:p>
  </w:footnote>
  <w:footnote w:id="18">
    <w:p w14:paraId="49E9AF9B" w14:textId="77777777" w:rsidR="00764B83" w:rsidRPr="00192B0E" w:rsidRDefault="00764B83" w:rsidP="000E1F08">
      <w:pPr>
        <w:pStyle w:val="NIHRCFootnotes"/>
      </w:pPr>
      <w:r w:rsidRPr="00192B0E">
        <w:rPr>
          <w:rStyle w:val="FootnoteReference"/>
        </w:rPr>
        <w:footnoteRef/>
      </w:r>
      <w:r w:rsidRPr="00192B0E">
        <w:t xml:space="preserve"> NI Human Rights Commission, ‘Advice on NI Troubles (Legacy and Reconciliation) Bill’ (NIHRC, 2022), at paras 5.1-5.9.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8BD8" w14:textId="2222BB71" w:rsidR="0026306A" w:rsidRDefault="0026306A" w:rsidP="002630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759B" w14:textId="297D90DB" w:rsidR="00706302" w:rsidRDefault="00C83512" w:rsidP="00C83512">
    <w:pPr>
      <w:pStyle w:val="Header"/>
      <w:jc w:val="center"/>
    </w:pPr>
    <w:r w:rsidRPr="00EA12CE">
      <w:rPr>
        <w:rFonts w:cs="Arial"/>
        <w:b/>
        <w:bCs/>
        <w:noProof/>
        <w:color w:val="734791"/>
        <w:sz w:val="36"/>
        <w:szCs w:val="36"/>
        <w:lang w:eastAsia="en-GB"/>
      </w:rPr>
      <w:drawing>
        <wp:inline distT="0" distB="0" distL="0" distR="0" wp14:anchorId="512ADAE1" wp14:editId="741BC1DA">
          <wp:extent cx="869950" cy="1162517"/>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73" cy="1193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54D"/>
    <w:multiLevelType w:val="multilevel"/>
    <w:tmpl w:val="9830F332"/>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BFA2841"/>
    <w:multiLevelType w:val="hybridMultilevel"/>
    <w:tmpl w:val="02E0ACD4"/>
    <w:lvl w:ilvl="0" w:tplc="D7C683A6">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879177B"/>
    <w:multiLevelType w:val="multilevel"/>
    <w:tmpl w:val="1B04B18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3A04BCE"/>
    <w:multiLevelType w:val="hybridMultilevel"/>
    <w:tmpl w:val="D7F46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4862D8E"/>
    <w:multiLevelType w:val="multilevel"/>
    <w:tmpl w:val="C91EFA9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AC00691"/>
    <w:multiLevelType w:val="multilevel"/>
    <w:tmpl w:val="1C6CB624"/>
    <w:lvl w:ilvl="0">
      <w:start w:val="3"/>
      <w:numFmt w:val="decimal"/>
      <w:lvlText w:val="%1"/>
      <w:lvlJc w:val="left"/>
      <w:pPr>
        <w:ind w:left="430" w:hanging="4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73D3AAD"/>
    <w:multiLevelType w:val="multilevel"/>
    <w:tmpl w:val="8C3442A6"/>
    <w:lvl w:ilvl="0">
      <w:start w:val="3"/>
      <w:numFmt w:val="decimal"/>
      <w:lvlText w:val="%1"/>
      <w:lvlJc w:val="left"/>
      <w:pPr>
        <w:ind w:left="600" w:hanging="60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B9C391E"/>
    <w:multiLevelType w:val="hybridMultilevel"/>
    <w:tmpl w:val="76C01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384EED"/>
    <w:multiLevelType w:val="multilevel"/>
    <w:tmpl w:val="1E5C0DF0"/>
    <w:lvl w:ilvl="0">
      <w:start w:val="1"/>
      <w:numFmt w:val="decimal"/>
      <w:lvlText w:val="%1"/>
      <w:lvlJc w:val="left"/>
      <w:pPr>
        <w:ind w:left="530" w:hanging="530"/>
      </w:pPr>
      <w:rPr>
        <w:rFonts w:eastAsiaTheme="minorEastAsia" w:cstheme="minorBidi" w:hint="default"/>
        <w:b w:val="0"/>
        <w:color w:val="auto"/>
        <w:sz w:val="24"/>
      </w:rPr>
    </w:lvl>
    <w:lvl w:ilvl="1">
      <w:start w:val="1"/>
      <w:numFmt w:val="decimal"/>
      <w:lvlText w:val="%1.%2"/>
      <w:lvlJc w:val="left"/>
      <w:pPr>
        <w:ind w:left="720" w:hanging="720"/>
      </w:pPr>
      <w:rPr>
        <w:rFonts w:eastAsiaTheme="minorEastAsia" w:cstheme="minorBidi" w:hint="default"/>
        <w:b w:val="0"/>
        <w:color w:val="auto"/>
        <w:sz w:val="24"/>
      </w:rPr>
    </w:lvl>
    <w:lvl w:ilvl="2">
      <w:start w:val="1"/>
      <w:numFmt w:val="decimal"/>
      <w:lvlText w:val="%1.%2.%3"/>
      <w:lvlJc w:val="left"/>
      <w:pPr>
        <w:ind w:left="1080" w:hanging="1080"/>
      </w:pPr>
      <w:rPr>
        <w:rFonts w:eastAsiaTheme="minorEastAsia" w:cstheme="minorBidi" w:hint="default"/>
        <w:b w:val="0"/>
        <w:color w:val="auto"/>
        <w:sz w:val="24"/>
      </w:rPr>
    </w:lvl>
    <w:lvl w:ilvl="3">
      <w:start w:val="1"/>
      <w:numFmt w:val="decimal"/>
      <w:lvlText w:val="%1.%2.%3.%4"/>
      <w:lvlJc w:val="left"/>
      <w:pPr>
        <w:ind w:left="1080" w:hanging="1080"/>
      </w:pPr>
      <w:rPr>
        <w:rFonts w:eastAsiaTheme="minorEastAsia" w:cstheme="minorBidi" w:hint="default"/>
        <w:b w:val="0"/>
        <w:color w:val="auto"/>
        <w:sz w:val="24"/>
      </w:rPr>
    </w:lvl>
    <w:lvl w:ilvl="4">
      <w:start w:val="1"/>
      <w:numFmt w:val="decimal"/>
      <w:lvlText w:val="%1.%2.%3.%4.%5"/>
      <w:lvlJc w:val="left"/>
      <w:pPr>
        <w:ind w:left="1440" w:hanging="1440"/>
      </w:pPr>
      <w:rPr>
        <w:rFonts w:eastAsiaTheme="minorEastAsia" w:cstheme="minorBidi" w:hint="default"/>
        <w:b w:val="0"/>
        <w:color w:val="auto"/>
        <w:sz w:val="24"/>
      </w:rPr>
    </w:lvl>
    <w:lvl w:ilvl="5">
      <w:start w:val="1"/>
      <w:numFmt w:val="decimal"/>
      <w:lvlText w:val="%1.%2.%3.%4.%5.%6"/>
      <w:lvlJc w:val="left"/>
      <w:pPr>
        <w:ind w:left="1800" w:hanging="1800"/>
      </w:pPr>
      <w:rPr>
        <w:rFonts w:eastAsiaTheme="minorEastAsia" w:cstheme="minorBidi" w:hint="default"/>
        <w:b w:val="0"/>
        <w:color w:val="auto"/>
        <w:sz w:val="24"/>
      </w:rPr>
    </w:lvl>
    <w:lvl w:ilvl="6">
      <w:start w:val="1"/>
      <w:numFmt w:val="decimal"/>
      <w:lvlText w:val="%1.%2.%3.%4.%5.%6.%7"/>
      <w:lvlJc w:val="left"/>
      <w:pPr>
        <w:ind w:left="2160" w:hanging="2160"/>
      </w:pPr>
      <w:rPr>
        <w:rFonts w:eastAsiaTheme="minorEastAsia" w:cstheme="minorBidi" w:hint="default"/>
        <w:b w:val="0"/>
        <w:color w:val="auto"/>
        <w:sz w:val="24"/>
      </w:rPr>
    </w:lvl>
    <w:lvl w:ilvl="7">
      <w:start w:val="1"/>
      <w:numFmt w:val="decimal"/>
      <w:lvlText w:val="%1.%2.%3.%4.%5.%6.%7.%8"/>
      <w:lvlJc w:val="left"/>
      <w:pPr>
        <w:ind w:left="2520" w:hanging="2520"/>
      </w:pPr>
      <w:rPr>
        <w:rFonts w:eastAsiaTheme="minorEastAsia" w:cstheme="minorBidi" w:hint="default"/>
        <w:b w:val="0"/>
        <w:color w:val="auto"/>
        <w:sz w:val="24"/>
      </w:rPr>
    </w:lvl>
    <w:lvl w:ilvl="8">
      <w:start w:val="1"/>
      <w:numFmt w:val="decimal"/>
      <w:lvlText w:val="%1.%2.%3.%4.%5.%6.%7.%8.%9"/>
      <w:lvlJc w:val="left"/>
      <w:pPr>
        <w:ind w:left="2520" w:hanging="2520"/>
      </w:pPr>
      <w:rPr>
        <w:rFonts w:eastAsiaTheme="minorEastAsia" w:cstheme="minorBidi" w:hint="default"/>
        <w:b w:val="0"/>
        <w:color w:val="auto"/>
        <w:sz w:val="24"/>
      </w:rPr>
    </w:lvl>
  </w:abstractNum>
  <w:abstractNum w:abstractNumId="12" w15:restartNumberingAfterBreak="0">
    <w:nsid w:val="6BA02647"/>
    <w:multiLevelType w:val="multilevel"/>
    <w:tmpl w:val="6FA81AE2"/>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F474B45"/>
    <w:multiLevelType w:val="multilevel"/>
    <w:tmpl w:val="CEC2836E"/>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pStyle w:val="ListParagraph"/>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628073">
    <w:abstractNumId w:val="2"/>
  </w:num>
  <w:num w:numId="2" w16cid:durableId="1051156181">
    <w:abstractNumId w:val="15"/>
  </w:num>
  <w:num w:numId="3" w16cid:durableId="319701950">
    <w:abstractNumId w:val="8"/>
  </w:num>
  <w:num w:numId="4" w16cid:durableId="875847277">
    <w:abstractNumId w:val="5"/>
  </w:num>
  <w:num w:numId="5" w16cid:durableId="1370254760">
    <w:abstractNumId w:val="10"/>
  </w:num>
  <w:num w:numId="6" w16cid:durableId="1433282998">
    <w:abstractNumId w:val="1"/>
  </w:num>
  <w:num w:numId="7" w16cid:durableId="92091360">
    <w:abstractNumId w:val="16"/>
  </w:num>
  <w:num w:numId="8" w16cid:durableId="854031223">
    <w:abstractNumId w:val="3"/>
  </w:num>
  <w:num w:numId="9" w16cid:durableId="376971546">
    <w:abstractNumId w:val="11"/>
  </w:num>
  <w:num w:numId="10" w16cid:durableId="319045330">
    <w:abstractNumId w:val="4"/>
  </w:num>
  <w:num w:numId="11" w16cid:durableId="299923006">
    <w:abstractNumId w:val="6"/>
  </w:num>
  <w:num w:numId="12" w16cid:durableId="227306108">
    <w:abstractNumId w:val="14"/>
  </w:num>
  <w:num w:numId="13" w16cid:durableId="186800124">
    <w:abstractNumId w:val="7"/>
  </w:num>
  <w:num w:numId="14" w16cid:durableId="7099190">
    <w:abstractNumId w:val="9"/>
  </w:num>
  <w:num w:numId="15" w16cid:durableId="1284191325">
    <w:abstractNumId w:val="13"/>
  </w:num>
  <w:num w:numId="16" w16cid:durableId="1282763506">
    <w:abstractNumId w:val="12"/>
  </w:num>
  <w:num w:numId="17" w16cid:durableId="91424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0C"/>
    <w:rsid w:val="00000EC7"/>
    <w:rsid w:val="000021B3"/>
    <w:rsid w:val="00002A03"/>
    <w:rsid w:val="000071A8"/>
    <w:rsid w:val="00010787"/>
    <w:rsid w:val="00013FF0"/>
    <w:rsid w:val="00020CFC"/>
    <w:rsid w:val="00025FC8"/>
    <w:rsid w:val="00032349"/>
    <w:rsid w:val="00032CEE"/>
    <w:rsid w:val="0003758B"/>
    <w:rsid w:val="00041C3D"/>
    <w:rsid w:val="00042378"/>
    <w:rsid w:val="000437CB"/>
    <w:rsid w:val="00044A17"/>
    <w:rsid w:val="00050ECD"/>
    <w:rsid w:val="0005118D"/>
    <w:rsid w:val="0005312E"/>
    <w:rsid w:val="000573DF"/>
    <w:rsid w:val="000641FC"/>
    <w:rsid w:val="00070D32"/>
    <w:rsid w:val="00074940"/>
    <w:rsid w:val="000751EE"/>
    <w:rsid w:val="0007645F"/>
    <w:rsid w:val="000876F2"/>
    <w:rsid w:val="0009493B"/>
    <w:rsid w:val="00094A73"/>
    <w:rsid w:val="0009536C"/>
    <w:rsid w:val="000A1068"/>
    <w:rsid w:val="000A29A4"/>
    <w:rsid w:val="000A4BAB"/>
    <w:rsid w:val="000B0339"/>
    <w:rsid w:val="000B1B3A"/>
    <w:rsid w:val="000B3249"/>
    <w:rsid w:val="000B64DA"/>
    <w:rsid w:val="000C260F"/>
    <w:rsid w:val="000D00D2"/>
    <w:rsid w:val="000D6999"/>
    <w:rsid w:val="000E051C"/>
    <w:rsid w:val="000E1F08"/>
    <w:rsid w:val="000E431A"/>
    <w:rsid w:val="000F3960"/>
    <w:rsid w:val="000F5A60"/>
    <w:rsid w:val="00103B19"/>
    <w:rsid w:val="00104133"/>
    <w:rsid w:val="0010467A"/>
    <w:rsid w:val="00105F1B"/>
    <w:rsid w:val="00110A65"/>
    <w:rsid w:val="0011108C"/>
    <w:rsid w:val="00122609"/>
    <w:rsid w:val="00125F75"/>
    <w:rsid w:val="00130EDE"/>
    <w:rsid w:val="001320AA"/>
    <w:rsid w:val="00141F92"/>
    <w:rsid w:val="0015395F"/>
    <w:rsid w:val="00162399"/>
    <w:rsid w:val="00162F87"/>
    <w:rsid w:val="00164CD7"/>
    <w:rsid w:val="00172513"/>
    <w:rsid w:val="00173F2D"/>
    <w:rsid w:val="0018015E"/>
    <w:rsid w:val="001822EC"/>
    <w:rsid w:val="00186CE1"/>
    <w:rsid w:val="00192DFD"/>
    <w:rsid w:val="001A0B1B"/>
    <w:rsid w:val="001A5F15"/>
    <w:rsid w:val="001A6ECA"/>
    <w:rsid w:val="001B2A11"/>
    <w:rsid w:val="001C2581"/>
    <w:rsid w:val="001C41DB"/>
    <w:rsid w:val="001D044A"/>
    <w:rsid w:val="001D3508"/>
    <w:rsid w:val="001D7270"/>
    <w:rsid w:val="001E1057"/>
    <w:rsid w:val="001E160A"/>
    <w:rsid w:val="001F0F03"/>
    <w:rsid w:val="0020669E"/>
    <w:rsid w:val="00206F3C"/>
    <w:rsid w:val="00211FE0"/>
    <w:rsid w:val="0021205C"/>
    <w:rsid w:val="00217917"/>
    <w:rsid w:val="00220CEA"/>
    <w:rsid w:val="00221C6C"/>
    <w:rsid w:val="002406B3"/>
    <w:rsid w:val="002409C5"/>
    <w:rsid w:val="002434A4"/>
    <w:rsid w:val="00244D26"/>
    <w:rsid w:val="002458BC"/>
    <w:rsid w:val="0026306A"/>
    <w:rsid w:val="00266992"/>
    <w:rsid w:val="00267C0B"/>
    <w:rsid w:val="002710C6"/>
    <w:rsid w:val="0027375D"/>
    <w:rsid w:val="0027719E"/>
    <w:rsid w:val="00277817"/>
    <w:rsid w:val="00282247"/>
    <w:rsid w:val="00282CD4"/>
    <w:rsid w:val="00287DA5"/>
    <w:rsid w:val="002913CB"/>
    <w:rsid w:val="00295391"/>
    <w:rsid w:val="002A1D63"/>
    <w:rsid w:val="002B3479"/>
    <w:rsid w:val="002B351D"/>
    <w:rsid w:val="002B5CF7"/>
    <w:rsid w:val="002C0AC9"/>
    <w:rsid w:val="002C1655"/>
    <w:rsid w:val="002C1A6B"/>
    <w:rsid w:val="002C3225"/>
    <w:rsid w:val="002C4B28"/>
    <w:rsid w:val="002D2D91"/>
    <w:rsid w:val="002E3509"/>
    <w:rsid w:val="002E543D"/>
    <w:rsid w:val="002E5DB5"/>
    <w:rsid w:val="002F54A8"/>
    <w:rsid w:val="0030445C"/>
    <w:rsid w:val="00312FCC"/>
    <w:rsid w:val="0032264D"/>
    <w:rsid w:val="0032558C"/>
    <w:rsid w:val="00330E34"/>
    <w:rsid w:val="0033760C"/>
    <w:rsid w:val="00342D91"/>
    <w:rsid w:val="0034378D"/>
    <w:rsid w:val="00343AF8"/>
    <w:rsid w:val="003550BF"/>
    <w:rsid w:val="00356FEA"/>
    <w:rsid w:val="00361D0E"/>
    <w:rsid w:val="0036205B"/>
    <w:rsid w:val="00363A81"/>
    <w:rsid w:val="003669BF"/>
    <w:rsid w:val="0036729C"/>
    <w:rsid w:val="00367776"/>
    <w:rsid w:val="003711FD"/>
    <w:rsid w:val="00371B66"/>
    <w:rsid w:val="003812C1"/>
    <w:rsid w:val="00384FA1"/>
    <w:rsid w:val="0038514E"/>
    <w:rsid w:val="003916D6"/>
    <w:rsid w:val="00392217"/>
    <w:rsid w:val="00393C88"/>
    <w:rsid w:val="0039744B"/>
    <w:rsid w:val="003A46C5"/>
    <w:rsid w:val="003A69AD"/>
    <w:rsid w:val="003A6B0A"/>
    <w:rsid w:val="003A73E2"/>
    <w:rsid w:val="003A7C8D"/>
    <w:rsid w:val="003B3193"/>
    <w:rsid w:val="003B3605"/>
    <w:rsid w:val="003B3E1A"/>
    <w:rsid w:val="003C0FD0"/>
    <w:rsid w:val="003C519F"/>
    <w:rsid w:val="003D02B5"/>
    <w:rsid w:val="003D1F9A"/>
    <w:rsid w:val="003E3620"/>
    <w:rsid w:val="003E7076"/>
    <w:rsid w:val="003F1CEC"/>
    <w:rsid w:val="003F6A59"/>
    <w:rsid w:val="00405F43"/>
    <w:rsid w:val="00406034"/>
    <w:rsid w:val="00410187"/>
    <w:rsid w:val="00410E79"/>
    <w:rsid w:val="00412D84"/>
    <w:rsid w:val="00417098"/>
    <w:rsid w:val="00427DC1"/>
    <w:rsid w:val="004307D2"/>
    <w:rsid w:val="004419E1"/>
    <w:rsid w:val="004428B4"/>
    <w:rsid w:val="0044337E"/>
    <w:rsid w:val="004437F3"/>
    <w:rsid w:val="00443D45"/>
    <w:rsid w:val="00444048"/>
    <w:rsid w:val="004444DB"/>
    <w:rsid w:val="004559E7"/>
    <w:rsid w:val="0046210D"/>
    <w:rsid w:val="00462F9F"/>
    <w:rsid w:val="004738E7"/>
    <w:rsid w:val="00474923"/>
    <w:rsid w:val="00476565"/>
    <w:rsid w:val="0049070A"/>
    <w:rsid w:val="00491D96"/>
    <w:rsid w:val="00497ECA"/>
    <w:rsid w:val="004A0644"/>
    <w:rsid w:val="004A1A19"/>
    <w:rsid w:val="004A2485"/>
    <w:rsid w:val="004A2935"/>
    <w:rsid w:val="004A3464"/>
    <w:rsid w:val="004A3F80"/>
    <w:rsid w:val="004B05F6"/>
    <w:rsid w:val="004B241C"/>
    <w:rsid w:val="004B6AF3"/>
    <w:rsid w:val="004B755A"/>
    <w:rsid w:val="004C1EE8"/>
    <w:rsid w:val="004C2598"/>
    <w:rsid w:val="004C570A"/>
    <w:rsid w:val="004D09C2"/>
    <w:rsid w:val="004E515E"/>
    <w:rsid w:val="004E5DC7"/>
    <w:rsid w:val="004F1036"/>
    <w:rsid w:val="004F1658"/>
    <w:rsid w:val="004F48AD"/>
    <w:rsid w:val="004F7623"/>
    <w:rsid w:val="00500560"/>
    <w:rsid w:val="00501108"/>
    <w:rsid w:val="00502952"/>
    <w:rsid w:val="00506FB3"/>
    <w:rsid w:val="005108AE"/>
    <w:rsid w:val="0051179E"/>
    <w:rsid w:val="00511B70"/>
    <w:rsid w:val="0052508F"/>
    <w:rsid w:val="00530350"/>
    <w:rsid w:val="005310DD"/>
    <w:rsid w:val="005321DD"/>
    <w:rsid w:val="005332B2"/>
    <w:rsid w:val="00533703"/>
    <w:rsid w:val="00552CA1"/>
    <w:rsid w:val="005557B0"/>
    <w:rsid w:val="00561F5A"/>
    <w:rsid w:val="005679E5"/>
    <w:rsid w:val="00570CE1"/>
    <w:rsid w:val="00573A5B"/>
    <w:rsid w:val="005758AA"/>
    <w:rsid w:val="005762AE"/>
    <w:rsid w:val="0058068A"/>
    <w:rsid w:val="00592361"/>
    <w:rsid w:val="0059554A"/>
    <w:rsid w:val="00596AEA"/>
    <w:rsid w:val="005A3569"/>
    <w:rsid w:val="005A4F96"/>
    <w:rsid w:val="005A5333"/>
    <w:rsid w:val="005B3733"/>
    <w:rsid w:val="005C2F7E"/>
    <w:rsid w:val="005C391B"/>
    <w:rsid w:val="005C476E"/>
    <w:rsid w:val="005C513B"/>
    <w:rsid w:val="005C5654"/>
    <w:rsid w:val="005D01D8"/>
    <w:rsid w:val="005E64EC"/>
    <w:rsid w:val="005F28FB"/>
    <w:rsid w:val="005F42BB"/>
    <w:rsid w:val="00602B63"/>
    <w:rsid w:val="00603677"/>
    <w:rsid w:val="0060631C"/>
    <w:rsid w:val="0061207F"/>
    <w:rsid w:val="006223FF"/>
    <w:rsid w:val="00626751"/>
    <w:rsid w:val="00626A84"/>
    <w:rsid w:val="00630AA0"/>
    <w:rsid w:val="00635A67"/>
    <w:rsid w:val="0064006C"/>
    <w:rsid w:val="006448AC"/>
    <w:rsid w:val="00665CDA"/>
    <w:rsid w:val="00666A42"/>
    <w:rsid w:val="006726C3"/>
    <w:rsid w:val="00675B5E"/>
    <w:rsid w:val="00675F60"/>
    <w:rsid w:val="00676F6E"/>
    <w:rsid w:val="006851EE"/>
    <w:rsid w:val="0068547A"/>
    <w:rsid w:val="00685A08"/>
    <w:rsid w:val="00692225"/>
    <w:rsid w:val="00694B47"/>
    <w:rsid w:val="00695FCD"/>
    <w:rsid w:val="006962B6"/>
    <w:rsid w:val="006A6D83"/>
    <w:rsid w:val="006A6EF7"/>
    <w:rsid w:val="006B429B"/>
    <w:rsid w:val="006B5DAA"/>
    <w:rsid w:val="006B6FB1"/>
    <w:rsid w:val="006C0CFE"/>
    <w:rsid w:val="006E2922"/>
    <w:rsid w:val="006E58E3"/>
    <w:rsid w:val="006E7648"/>
    <w:rsid w:val="006F39BF"/>
    <w:rsid w:val="006F4E14"/>
    <w:rsid w:val="006F733E"/>
    <w:rsid w:val="0070361C"/>
    <w:rsid w:val="00706302"/>
    <w:rsid w:val="00712F71"/>
    <w:rsid w:val="00715D90"/>
    <w:rsid w:val="007209D8"/>
    <w:rsid w:val="00720B92"/>
    <w:rsid w:val="00721F34"/>
    <w:rsid w:val="00724172"/>
    <w:rsid w:val="00726B48"/>
    <w:rsid w:val="007311DA"/>
    <w:rsid w:val="00732D09"/>
    <w:rsid w:val="00736F0C"/>
    <w:rsid w:val="00740C4F"/>
    <w:rsid w:val="00742D9F"/>
    <w:rsid w:val="00743229"/>
    <w:rsid w:val="00754D66"/>
    <w:rsid w:val="00757E8F"/>
    <w:rsid w:val="00764B83"/>
    <w:rsid w:val="007660AF"/>
    <w:rsid w:val="00771531"/>
    <w:rsid w:val="0077514B"/>
    <w:rsid w:val="007817F9"/>
    <w:rsid w:val="007A3177"/>
    <w:rsid w:val="007B014D"/>
    <w:rsid w:val="007B2D3C"/>
    <w:rsid w:val="007B33A8"/>
    <w:rsid w:val="007D41DD"/>
    <w:rsid w:val="007D7330"/>
    <w:rsid w:val="007E3A82"/>
    <w:rsid w:val="007E559A"/>
    <w:rsid w:val="007E664E"/>
    <w:rsid w:val="007F09D6"/>
    <w:rsid w:val="007F1913"/>
    <w:rsid w:val="007F401D"/>
    <w:rsid w:val="007F4282"/>
    <w:rsid w:val="00800026"/>
    <w:rsid w:val="00800AF0"/>
    <w:rsid w:val="008021C0"/>
    <w:rsid w:val="00803646"/>
    <w:rsid w:val="008172D1"/>
    <w:rsid w:val="0083149C"/>
    <w:rsid w:val="00832A96"/>
    <w:rsid w:val="008412FF"/>
    <w:rsid w:val="00842E11"/>
    <w:rsid w:val="00843E32"/>
    <w:rsid w:val="0084502F"/>
    <w:rsid w:val="008452BD"/>
    <w:rsid w:val="00850DA4"/>
    <w:rsid w:val="00851D90"/>
    <w:rsid w:val="00853593"/>
    <w:rsid w:val="008576B7"/>
    <w:rsid w:val="00862463"/>
    <w:rsid w:val="00866289"/>
    <w:rsid w:val="0086794A"/>
    <w:rsid w:val="00870EEB"/>
    <w:rsid w:val="00876D92"/>
    <w:rsid w:val="008820A6"/>
    <w:rsid w:val="00887991"/>
    <w:rsid w:val="008923B0"/>
    <w:rsid w:val="00895E04"/>
    <w:rsid w:val="008A089D"/>
    <w:rsid w:val="008B70E2"/>
    <w:rsid w:val="008B71FA"/>
    <w:rsid w:val="008C34A1"/>
    <w:rsid w:val="008D0181"/>
    <w:rsid w:val="008D2FDD"/>
    <w:rsid w:val="008D5665"/>
    <w:rsid w:val="008D6DC6"/>
    <w:rsid w:val="008D741F"/>
    <w:rsid w:val="008E1FF1"/>
    <w:rsid w:val="008E3C9D"/>
    <w:rsid w:val="008E45B4"/>
    <w:rsid w:val="008E7F05"/>
    <w:rsid w:val="008F2F5E"/>
    <w:rsid w:val="008F4D6B"/>
    <w:rsid w:val="008F550B"/>
    <w:rsid w:val="008F5630"/>
    <w:rsid w:val="008F610E"/>
    <w:rsid w:val="009012C6"/>
    <w:rsid w:val="00905BFA"/>
    <w:rsid w:val="0091120A"/>
    <w:rsid w:val="0092455A"/>
    <w:rsid w:val="009275F6"/>
    <w:rsid w:val="00931284"/>
    <w:rsid w:val="009341CA"/>
    <w:rsid w:val="0093573F"/>
    <w:rsid w:val="009410C9"/>
    <w:rsid w:val="009444C9"/>
    <w:rsid w:val="00945B2C"/>
    <w:rsid w:val="00945C38"/>
    <w:rsid w:val="00970883"/>
    <w:rsid w:val="00970A87"/>
    <w:rsid w:val="00971167"/>
    <w:rsid w:val="0097201B"/>
    <w:rsid w:val="00972C05"/>
    <w:rsid w:val="00980B03"/>
    <w:rsid w:val="00985B55"/>
    <w:rsid w:val="00987BBD"/>
    <w:rsid w:val="00987DDD"/>
    <w:rsid w:val="00990833"/>
    <w:rsid w:val="009A5921"/>
    <w:rsid w:val="009B2CA1"/>
    <w:rsid w:val="009C4375"/>
    <w:rsid w:val="009D2710"/>
    <w:rsid w:val="009D2A24"/>
    <w:rsid w:val="009D3487"/>
    <w:rsid w:val="009D7EB5"/>
    <w:rsid w:val="009E252C"/>
    <w:rsid w:val="009E269C"/>
    <w:rsid w:val="009E4C79"/>
    <w:rsid w:val="009E4D01"/>
    <w:rsid w:val="009E741B"/>
    <w:rsid w:val="009F1D0A"/>
    <w:rsid w:val="009F7D99"/>
    <w:rsid w:val="00A03AC8"/>
    <w:rsid w:val="00A047DE"/>
    <w:rsid w:val="00A058F3"/>
    <w:rsid w:val="00A1294A"/>
    <w:rsid w:val="00A2329D"/>
    <w:rsid w:val="00A26EA4"/>
    <w:rsid w:val="00A3454F"/>
    <w:rsid w:val="00A345B6"/>
    <w:rsid w:val="00A362F4"/>
    <w:rsid w:val="00A37482"/>
    <w:rsid w:val="00A377D1"/>
    <w:rsid w:val="00A427AC"/>
    <w:rsid w:val="00A44778"/>
    <w:rsid w:val="00A46D1A"/>
    <w:rsid w:val="00A4785C"/>
    <w:rsid w:val="00A5152F"/>
    <w:rsid w:val="00A61646"/>
    <w:rsid w:val="00A62F74"/>
    <w:rsid w:val="00A70491"/>
    <w:rsid w:val="00A71581"/>
    <w:rsid w:val="00A81B2E"/>
    <w:rsid w:val="00A82289"/>
    <w:rsid w:val="00A833E5"/>
    <w:rsid w:val="00A84850"/>
    <w:rsid w:val="00A85B7E"/>
    <w:rsid w:val="00A968BD"/>
    <w:rsid w:val="00A97359"/>
    <w:rsid w:val="00AA41DB"/>
    <w:rsid w:val="00AA65FE"/>
    <w:rsid w:val="00AA6CC9"/>
    <w:rsid w:val="00AB0644"/>
    <w:rsid w:val="00AB5563"/>
    <w:rsid w:val="00AC1E98"/>
    <w:rsid w:val="00AC70A3"/>
    <w:rsid w:val="00AD274E"/>
    <w:rsid w:val="00AD4BE8"/>
    <w:rsid w:val="00AE158C"/>
    <w:rsid w:val="00AE5035"/>
    <w:rsid w:val="00AF1CA3"/>
    <w:rsid w:val="00AF56B2"/>
    <w:rsid w:val="00AF5CEA"/>
    <w:rsid w:val="00AF6DBB"/>
    <w:rsid w:val="00AF7894"/>
    <w:rsid w:val="00B020F7"/>
    <w:rsid w:val="00B042D7"/>
    <w:rsid w:val="00B30644"/>
    <w:rsid w:val="00B30AC7"/>
    <w:rsid w:val="00B47CA0"/>
    <w:rsid w:val="00B50049"/>
    <w:rsid w:val="00B61DB9"/>
    <w:rsid w:val="00B70CC6"/>
    <w:rsid w:val="00B71C4C"/>
    <w:rsid w:val="00B76DC1"/>
    <w:rsid w:val="00B801D5"/>
    <w:rsid w:val="00B8791C"/>
    <w:rsid w:val="00B90FD5"/>
    <w:rsid w:val="00B94AC8"/>
    <w:rsid w:val="00B95F69"/>
    <w:rsid w:val="00BA05C4"/>
    <w:rsid w:val="00BA1E6A"/>
    <w:rsid w:val="00BA453A"/>
    <w:rsid w:val="00BA72C9"/>
    <w:rsid w:val="00BB2552"/>
    <w:rsid w:val="00BB5A72"/>
    <w:rsid w:val="00BB6384"/>
    <w:rsid w:val="00BD4ED3"/>
    <w:rsid w:val="00BD7CD7"/>
    <w:rsid w:val="00BD7E9A"/>
    <w:rsid w:val="00BE2AF8"/>
    <w:rsid w:val="00BF4A4E"/>
    <w:rsid w:val="00BF58BB"/>
    <w:rsid w:val="00BF6056"/>
    <w:rsid w:val="00C000C3"/>
    <w:rsid w:val="00C0087F"/>
    <w:rsid w:val="00C02CDE"/>
    <w:rsid w:val="00C04C23"/>
    <w:rsid w:val="00C0511F"/>
    <w:rsid w:val="00C0550B"/>
    <w:rsid w:val="00C05600"/>
    <w:rsid w:val="00C12361"/>
    <w:rsid w:val="00C13123"/>
    <w:rsid w:val="00C15AF4"/>
    <w:rsid w:val="00C163BB"/>
    <w:rsid w:val="00C170EC"/>
    <w:rsid w:val="00C17C80"/>
    <w:rsid w:val="00C21DB9"/>
    <w:rsid w:val="00C2217A"/>
    <w:rsid w:val="00C23575"/>
    <w:rsid w:val="00C42D19"/>
    <w:rsid w:val="00C465C3"/>
    <w:rsid w:val="00C51DAA"/>
    <w:rsid w:val="00C52148"/>
    <w:rsid w:val="00C547B4"/>
    <w:rsid w:val="00C60347"/>
    <w:rsid w:val="00C63430"/>
    <w:rsid w:val="00C724E8"/>
    <w:rsid w:val="00C72BBA"/>
    <w:rsid w:val="00C73942"/>
    <w:rsid w:val="00C760AB"/>
    <w:rsid w:val="00C80B26"/>
    <w:rsid w:val="00C83512"/>
    <w:rsid w:val="00C84A57"/>
    <w:rsid w:val="00C850BA"/>
    <w:rsid w:val="00C874D7"/>
    <w:rsid w:val="00C9013A"/>
    <w:rsid w:val="00C94B7C"/>
    <w:rsid w:val="00C96CB8"/>
    <w:rsid w:val="00CA005E"/>
    <w:rsid w:val="00CA26FC"/>
    <w:rsid w:val="00CA74E1"/>
    <w:rsid w:val="00CB1DF1"/>
    <w:rsid w:val="00CB7D42"/>
    <w:rsid w:val="00CC461F"/>
    <w:rsid w:val="00CD3B5F"/>
    <w:rsid w:val="00CD54E5"/>
    <w:rsid w:val="00CE2F81"/>
    <w:rsid w:val="00CE4267"/>
    <w:rsid w:val="00CE6AA6"/>
    <w:rsid w:val="00CF2D5A"/>
    <w:rsid w:val="00D00A3B"/>
    <w:rsid w:val="00D111C8"/>
    <w:rsid w:val="00D11472"/>
    <w:rsid w:val="00D237F0"/>
    <w:rsid w:val="00D25AA1"/>
    <w:rsid w:val="00D27E5A"/>
    <w:rsid w:val="00D31706"/>
    <w:rsid w:val="00D41BCC"/>
    <w:rsid w:val="00D52A74"/>
    <w:rsid w:val="00D539FA"/>
    <w:rsid w:val="00D558A4"/>
    <w:rsid w:val="00D565BA"/>
    <w:rsid w:val="00D567BE"/>
    <w:rsid w:val="00D56A73"/>
    <w:rsid w:val="00D56DE2"/>
    <w:rsid w:val="00D5764E"/>
    <w:rsid w:val="00D61AEF"/>
    <w:rsid w:val="00D62822"/>
    <w:rsid w:val="00D64688"/>
    <w:rsid w:val="00D67872"/>
    <w:rsid w:val="00D73170"/>
    <w:rsid w:val="00D7383A"/>
    <w:rsid w:val="00D76135"/>
    <w:rsid w:val="00D82045"/>
    <w:rsid w:val="00DA1151"/>
    <w:rsid w:val="00DA18C3"/>
    <w:rsid w:val="00DA526B"/>
    <w:rsid w:val="00DA6305"/>
    <w:rsid w:val="00DB0290"/>
    <w:rsid w:val="00DB0F0C"/>
    <w:rsid w:val="00DB32C3"/>
    <w:rsid w:val="00DC0D76"/>
    <w:rsid w:val="00DE1C0A"/>
    <w:rsid w:val="00DE2119"/>
    <w:rsid w:val="00DE365B"/>
    <w:rsid w:val="00DF576B"/>
    <w:rsid w:val="00DF780E"/>
    <w:rsid w:val="00E013C5"/>
    <w:rsid w:val="00E06A03"/>
    <w:rsid w:val="00E1433A"/>
    <w:rsid w:val="00E22965"/>
    <w:rsid w:val="00E22CFE"/>
    <w:rsid w:val="00E31176"/>
    <w:rsid w:val="00E34094"/>
    <w:rsid w:val="00E36577"/>
    <w:rsid w:val="00E367BA"/>
    <w:rsid w:val="00E404B8"/>
    <w:rsid w:val="00E40603"/>
    <w:rsid w:val="00E40B60"/>
    <w:rsid w:val="00E43649"/>
    <w:rsid w:val="00E4514F"/>
    <w:rsid w:val="00E47AB4"/>
    <w:rsid w:val="00E50F8E"/>
    <w:rsid w:val="00E52806"/>
    <w:rsid w:val="00E55DD3"/>
    <w:rsid w:val="00E6701A"/>
    <w:rsid w:val="00E70060"/>
    <w:rsid w:val="00E834A1"/>
    <w:rsid w:val="00E851CE"/>
    <w:rsid w:val="00E85663"/>
    <w:rsid w:val="00E87DC0"/>
    <w:rsid w:val="00E91559"/>
    <w:rsid w:val="00E91BED"/>
    <w:rsid w:val="00E97701"/>
    <w:rsid w:val="00EA6912"/>
    <w:rsid w:val="00EA6B95"/>
    <w:rsid w:val="00EA7FC8"/>
    <w:rsid w:val="00EB18D7"/>
    <w:rsid w:val="00EB1CE7"/>
    <w:rsid w:val="00EB2A38"/>
    <w:rsid w:val="00EC169C"/>
    <w:rsid w:val="00EE54EA"/>
    <w:rsid w:val="00EF05C9"/>
    <w:rsid w:val="00EF5107"/>
    <w:rsid w:val="00F02F46"/>
    <w:rsid w:val="00F07EC8"/>
    <w:rsid w:val="00F215F8"/>
    <w:rsid w:val="00F2623D"/>
    <w:rsid w:val="00F26F21"/>
    <w:rsid w:val="00F3149C"/>
    <w:rsid w:val="00F31C9A"/>
    <w:rsid w:val="00F35D18"/>
    <w:rsid w:val="00F47CBC"/>
    <w:rsid w:val="00F5698A"/>
    <w:rsid w:val="00F67931"/>
    <w:rsid w:val="00F7116A"/>
    <w:rsid w:val="00F711C1"/>
    <w:rsid w:val="00F73433"/>
    <w:rsid w:val="00F850DF"/>
    <w:rsid w:val="00F92C0B"/>
    <w:rsid w:val="00F9357D"/>
    <w:rsid w:val="00F93DB2"/>
    <w:rsid w:val="00FA57D5"/>
    <w:rsid w:val="00FA60F9"/>
    <w:rsid w:val="00FA683C"/>
    <w:rsid w:val="00FA79BD"/>
    <w:rsid w:val="00FB07CE"/>
    <w:rsid w:val="00FB6885"/>
    <w:rsid w:val="00FC023E"/>
    <w:rsid w:val="00FC2A5A"/>
    <w:rsid w:val="00FC37CD"/>
    <w:rsid w:val="00FC47DE"/>
    <w:rsid w:val="00FC4B1B"/>
    <w:rsid w:val="00FC5097"/>
    <w:rsid w:val="00FC5298"/>
    <w:rsid w:val="00FD5F24"/>
    <w:rsid w:val="00FD75B3"/>
    <w:rsid w:val="00FE0807"/>
    <w:rsid w:val="00FE49AC"/>
    <w:rsid w:val="00FE553A"/>
    <w:rsid w:val="00FF73A3"/>
    <w:rsid w:val="05FB5589"/>
    <w:rsid w:val="1876E546"/>
    <w:rsid w:val="1BAE8608"/>
    <w:rsid w:val="1C43BF08"/>
    <w:rsid w:val="1E1D0379"/>
    <w:rsid w:val="22049F2F"/>
    <w:rsid w:val="2226234A"/>
    <w:rsid w:val="227B8065"/>
    <w:rsid w:val="2ADBA089"/>
    <w:rsid w:val="2BE88BD9"/>
    <w:rsid w:val="2F3343B5"/>
    <w:rsid w:val="409A7CD8"/>
    <w:rsid w:val="42B87504"/>
    <w:rsid w:val="48FB55B7"/>
    <w:rsid w:val="4F41F6F3"/>
    <w:rsid w:val="58AF7060"/>
    <w:rsid w:val="5CB08EF7"/>
    <w:rsid w:val="5E96E4F2"/>
    <w:rsid w:val="6751F1CB"/>
    <w:rsid w:val="704031C6"/>
    <w:rsid w:val="72EE3ACF"/>
    <w:rsid w:val="748A0B30"/>
    <w:rsid w:val="785BC9E1"/>
    <w:rsid w:val="7A7FD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96AE7"/>
  <w15:chartTrackingRefBased/>
  <w15:docId w15:val="{607E4B70-B065-4469-8580-5F1AB7C1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E2"/>
    <w:pPr>
      <w:spacing w:line="288"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6962B6"/>
    <w:pPr>
      <w:keepNext/>
      <w:keepLines/>
      <w:spacing w:before="240" w:line="36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6962B6"/>
    <w:pPr>
      <w:keepNext/>
      <w:keepLines/>
      <w:spacing w:before="4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2B6"/>
    <w:rPr>
      <w:rFonts w:ascii="Verdana" w:eastAsiaTheme="majorEastAsia" w:hAnsi="Verdana" w:cstheme="majorBidi"/>
      <w:b/>
      <w:sz w:val="24"/>
      <w:szCs w:val="26"/>
    </w:rPr>
  </w:style>
  <w:style w:type="paragraph" w:customStyle="1" w:styleId="BasicParagraph">
    <w:name w:val="[Basic Paragraph]"/>
    <w:basedOn w:val="Normal"/>
    <w:uiPriority w:val="99"/>
    <w:rsid w:val="00DB0F0C"/>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DB0F0C"/>
    <w:pPr>
      <w:widowControl w:val="0"/>
      <w:autoSpaceDE w:val="0"/>
      <w:autoSpaceDN w:val="0"/>
      <w:adjustRightInd w:val="0"/>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6962B6"/>
    <w:rPr>
      <w:rFonts w:ascii="Verdana" w:eastAsiaTheme="majorEastAsia" w:hAnsi="Verdana" w:cstheme="majorBidi"/>
      <w:b/>
      <w:color w:val="77328A"/>
      <w:sz w:val="30"/>
      <w:szCs w:val="3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B0F0C"/>
    <w:rPr>
      <w:vertAlign w:val="superscript"/>
    </w:rPr>
  </w:style>
  <w:style w:type="paragraph" w:customStyle="1" w:styleId="NIHRCFootnotes">
    <w:name w:val="NIHRC Footnotes"/>
    <w:basedOn w:val="Normal"/>
    <w:qFormat/>
    <w:rsid w:val="00DB0F0C"/>
    <w:pPr>
      <w:tabs>
        <w:tab w:val="left" w:pos="284"/>
      </w:tabs>
      <w:spacing w:line="240" w:lineRule="auto"/>
    </w:pPr>
    <w:rPr>
      <w:rFonts w:cs="Arial"/>
      <w:color w:val="77328A"/>
      <w:sz w:val="16"/>
      <w:szCs w:val="16"/>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DB0F0C"/>
    <w:pPr>
      <w:numPr>
        <w:ilvl w:val="1"/>
        <w:numId w:val="2"/>
      </w:numPr>
      <w:spacing w:before="24" w:after="24"/>
      <w:ind w:left="720"/>
      <w:contextualSpacing/>
    </w:pPr>
    <w:rPr>
      <w:rFonts w:eastAsia="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B0F0C"/>
    <w:pPr>
      <w:spacing w:after="160" w:line="240" w:lineRule="exact"/>
    </w:pPr>
    <w:rPr>
      <w:rFonts w:asciiTheme="minorHAnsi" w:eastAsiaTheme="minorHAnsi" w:hAnsiTheme="minorHAnsi"/>
      <w:sz w:val="22"/>
      <w:szCs w:val="22"/>
      <w:vertAlign w:val="superscript"/>
    </w:rPr>
  </w:style>
  <w:style w:type="paragraph" w:styleId="Quote">
    <w:name w:val="Quote"/>
    <w:basedOn w:val="Normal"/>
    <w:next w:val="Normal"/>
    <w:link w:val="QuoteChar"/>
    <w:uiPriority w:val="29"/>
    <w:qFormat/>
    <w:rsid w:val="00945C38"/>
    <w:pPr>
      <w:ind w:left="862" w:right="862"/>
    </w:pPr>
    <w:rPr>
      <w:iCs/>
    </w:rPr>
  </w:style>
  <w:style w:type="character" w:customStyle="1" w:styleId="QuoteChar">
    <w:name w:val="Quote Char"/>
    <w:basedOn w:val="DefaultParagraphFont"/>
    <w:link w:val="Quote"/>
    <w:uiPriority w:val="29"/>
    <w:rsid w:val="00945C38"/>
    <w:rPr>
      <w:rFonts w:ascii="Verdana" w:eastAsiaTheme="minorEastAsia" w:hAnsi="Verdana"/>
      <w:iCs/>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FB6885"/>
    <w:rPr>
      <w:rFonts w:ascii="Verdana" w:eastAsia="Verdana" w:hAnsi="Verdana" w:cs="Times New Roman"/>
      <w:sz w:val="24"/>
      <w:szCs w:val="24"/>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800026"/>
    <w:pPr>
      <w:spacing w:line="240" w:lineRule="auto"/>
    </w:pPr>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800026"/>
    <w:rPr>
      <w:rFonts w:ascii="Verdana" w:eastAsiaTheme="minorEastAsia" w:hAnsi="Verdana"/>
      <w:sz w:val="20"/>
      <w:szCs w:val="20"/>
    </w:rPr>
  </w:style>
  <w:style w:type="character" w:styleId="Hyperlink">
    <w:name w:val="Hyperlink"/>
    <w:basedOn w:val="DefaultParagraphFont"/>
    <w:uiPriority w:val="99"/>
    <w:unhideWhenUsed/>
    <w:rsid w:val="002913CB"/>
    <w:rPr>
      <w:color w:val="0563C1" w:themeColor="hyperlink"/>
      <w:u w:val="single"/>
    </w:rPr>
  </w:style>
  <w:style w:type="character" w:styleId="UnresolvedMention">
    <w:name w:val="Unresolved Mention"/>
    <w:basedOn w:val="DefaultParagraphFont"/>
    <w:uiPriority w:val="99"/>
    <w:semiHidden/>
    <w:unhideWhenUsed/>
    <w:rsid w:val="002913CB"/>
    <w:rPr>
      <w:color w:val="605E5C"/>
      <w:shd w:val="clear" w:color="auto" w:fill="E1DFDD"/>
    </w:rPr>
  </w:style>
  <w:style w:type="character" w:styleId="CommentReference">
    <w:name w:val="annotation reference"/>
    <w:basedOn w:val="DefaultParagraphFont"/>
    <w:uiPriority w:val="99"/>
    <w:semiHidden/>
    <w:unhideWhenUsed/>
    <w:rsid w:val="00AE158C"/>
    <w:rPr>
      <w:sz w:val="16"/>
      <w:szCs w:val="16"/>
    </w:rPr>
  </w:style>
  <w:style w:type="paragraph" w:styleId="CommentText">
    <w:name w:val="annotation text"/>
    <w:basedOn w:val="Normal"/>
    <w:link w:val="CommentTextChar"/>
    <w:uiPriority w:val="99"/>
    <w:unhideWhenUsed/>
    <w:rsid w:val="00AE158C"/>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AE158C"/>
    <w:rPr>
      <w:rFonts w:eastAsiaTheme="minorEastAsia"/>
      <w:sz w:val="20"/>
      <w:szCs w:val="20"/>
    </w:rPr>
  </w:style>
  <w:style w:type="paragraph" w:styleId="Header">
    <w:name w:val="header"/>
    <w:basedOn w:val="Normal"/>
    <w:link w:val="HeaderChar"/>
    <w:uiPriority w:val="99"/>
    <w:unhideWhenUsed/>
    <w:rsid w:val="00BE2AF8"/>
    <w:pPr>
      <w:tabs>
        <w:tab w:val="center" w:pos="4513"/>
        <w:tab w:val="right" w:pos="9026"/>
      </w:tabs>
      <w:spacing w:line="240" w:lineRule="auto"/>
    </w:pPr>
  </w:style>
  <w:style w:type="character" w:customStyle="1" w:styleId="HeaderChar">
    <w:name w:val="Header Char"/>
    <w:basedOn w:val="DefaultParagraphFont"/>
    <w:link w:val="Header"/>
    <w:uiPriority w:val="99"/>
    <w:rsid w:val="00BE2AF8"/>
    <w:rPr>
      <w:rFonts w:ascii="Verdana" w:eastAsiaTheme="minorEastAsia" w:hAnsi="Verdana"/>
      <w:sz w:val="24"/>
      <w:szCs w:val="24"/>
    </w:rPr>
  </w:style>
  <w:style w:type="paragraph" w:styleId="Footer">
    <w:name w:val="footer"/>
    <w:basedOn w:val="Normal"/>
    <w:link w:val="FooterChar"/>
    <w:uiPriority w:val="99"/>
    <w:unhideWhenUsed/>
    <w:rsid w:val="00BE2AF8"/>
    <w:pPr>
      <w:tabs>
        <w:tab w:val="center" w:pos="4513"/>
        <w:tab w:val="right" w:pos="9026"/>
      </w:tabs>
      <w:spacing w:line="240" w:lineRule="auto"/>
    </w:pPr>
  </w:style>
  <w:style w:type="character" w:customStyle="1" w:styleId="FooterChar">
    <w:name w:val="Footer Char"/>
    <w:basedOn w:val="DefaultParagraphFont"/>
    <w:link w:val="Footer"/>
    <w:uiPriority w:val="99"/>
    <w:rsid w:val="00BE2AF8"/>
    <w:rPr>
      <w:rFonts w:ascii="Verdana" w:eastAsiaTheme="minorEastAsia" w:hAnsi="Verdana"/>
      <w:sz w:val="24"/>
      <w:szCs w:val="24"/>
    </w:rPr>
  </w:style>
  <w:style w:type="paragraph" w:styleId="CommentSubject">
    <w:name w:val="annotation subject"/>
    <w:basedOn w:val="CommentText"/>
    <w:next w:val="CommentText"/>
    <w:link w:val="CommentSubjectChar"/>
    <w:uiPriority w:val="99"/>
    <w:semiHidden/>
    <w:unhideWhenUsed/>
    <w:rsid w:val="00A1294A"/>
    <w:pPr>
      <w:jc w:val="both"/>
    </w:pPr>
    <w:rPr>
      <w:rFonts w:ascii="Verdana" w:hAnsi="Verdana"/>
      <w:b/>
      <w:bCs/>
    </w:rPr>
  </w:style>
  <w:style w:type="character" w:customStyle="1" w:styleId="CommentSubjectChar">
    <w:name w:val="Comment Subject Char"/>
    <w:basedOn w:val="CommentTextChar"/>
    <w:link w:val="CommentSubject"/>
    <w:uiPriority w:val="99"/>
    <w:semiHidden/>
    <w:rsid w:val="00A1294A"/>
    <w:rPr>
      <w:rFonts w:ascii="Verdana" w:eastAsiaTheme="minorEastAsia" w:hAnsi="Verdana"/>
      <w:b/>
      <w:bCs/>
      <w:sz w:val="20"/>
      <w:szCs w:val="20"/>
    </w:rPr>
  </w:style>
  <w:style w:type="paragraph" w:styleId="TOCHeading">
    <w:name w:val="TOC Heading"/>
    <w:basedOn w:val="Heading1"/>
    <w:next w:val="Normal"/>
    <w:uiPriority w:val="39"/>
    <w:unhideWhenUsed/>
    <w:qFormat/>
    <w:rsid w:val="00A1294A"/>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A4785C"/>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1294A"/>
    <w:pPr>
      <w:spacing w:after="100"/>
      <w:ind w:left="240"/>
    </w:pPr>
  </w:style>
  <w:style w:type="paragraph" w:styleId="Revision">
    <w:name w:val="Revision"/>
    <w:hidden/>
    <w:uiPriority w:val="99"/>
    <w:semiHidden/>
    <w:rsid w:val="0039744B"/>
    <w:pPr>
      <w:spacing w:line="240" w:lineRule="auto"/>
      <w:jc w:val="left"/>
    </w:pPr>
    <w:rPr>
      <w:rFonts w:ascii="Verdana" w:eastAsiaTheme="minorEastAsi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hrc.org"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6" ma:contentTypeDescription="Create a new document." ma:contentTypeScope="" ma:versionID="3ba56c4172e140a3b08fad018e3f479d">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40395f25741d40b7fffcfa094237fac8"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826B4-6186-4081-BE0C-D0EFF0A10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F07FAD-1C18-47C0-B54C-3F168B80613F}">
  <ds:schemaRefs>
    <ds:schemaRef ds:uri="http://schemas.openxmlformats.org/officeDocument/2006/bibliography"/>
  </ds:schemaRefs>
</ds:datastoreItem>
</file>

<file path=customXml/itemProps3.xml><?xml version="1.0" encoding="utf-8"?>
<ds:datastoreItem xmlns:ds="http://schemas.openxmlformats.org/officeDocument/2006/customXml" ds:itemID="{3C2D0839-AB11-41B4-8BC0-351A3C671308}">
  <ds:schemaRefs>
    <ds:schemaRef ds:uri="http://schemas.microsoft.com/sharepoint/v3/contenttype/forms"/>
  </ds:schemaRefs>
</ds:datastoreItem>
</file>

<file path=customXml/itemProps4.xml><?xml version="1.0" encoding="utf-8"?>
<ds:datastoreItem xmlns:ds="http://schemas.openxmlformats.org/officeDocument/2006/customXml" ds:itemID="{FC4CA9FC-4210-4CA6-9E38-AD8DECDD4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4</cp:revision>
  <cp:lastPrinted>2022-06-23T09:33:00Z</cp:lastPrinted>
  <dcterms:created xsi:type="dcterms:W3CDTF">2023-01-19T10:23:00Z</dcterms:created>
  <dcterms:modified xsi:type="dcterms:W3CDTF">2023-01-19T10:31:00Z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