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0A36F" w14:textId="49A21BAB" w:rsidR="0067791B" w:rsidRDefault="0067791B" w:rsidP="00C217B5">
      <w:pPr>
        <w:pStyle w:val="BasicParagraph"/>
        <w:suppressAutoHyphens/>
        <w:jc w:val="center"/>
        <w:rPr>
          <w:rFonts w:ascii="Verdana" w:hAnsi="Verdana" w:cs="Arial"/>
          <w:b/>
          <w:bCs/>
          <w:color w:val="734791"/>
          <w:sz w:val="36"/>
          <w:szCs w:val="36"/>
        </w:rPr>
      </w:pPr>
    </w:p>
    <w:p w14:paraId="584ABD81" w14:textId="77777777" w:rsidR="00611963" w:rsidRPr="002F2B00" w:rsidRDefault="00611963" w:rsidP="00C217B5">
      <w:pPr>
        <w:pStyle w:val="BasicParagraph"/>
        <w:suppressAutoHyphens/>
        <w:jc w:val="center"/>
        <w:rPr>
          <w:rFonts w:ascii="Verdana" w:hAnsi="Verdana" w:cs="Arial"/>
          <w:b/>
          <w:bCs/>
          <w:color w:val="734791"/>
          <w:sz w:val="36"/>
          <w:szCs w:val="36"/>
        </w:rPr>
      </w:pPr>
      <w:r w:rsidRPr="002F2B00">
        <w:rPr>
          <w:rFonts w:ascii="Verdana" w:hAnsi="Verdana" w:cs="Arial"/>
          <w:b/>
          <w:bCs/>
          <w:noProof/>
          <w:color w:val="734791"/>
          <w:sz w:val="36"/>
          <w:szCs w:val="36"/>
          <w:lang w:eastAsia="en-GB"/>
        </w:rPr>
        <w:drawing>
          <wp:inline distT="0" distB="0" distL="0" distR="0" wp14:anchorId="15E4087B" wp14:editId="68260BBB">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4654D228" w14:textId="77777777" w:rsidR="00395DFD" w:rsidRPr="002F2B00" w:rsidRDefault="00395DFD" w:rsidP="00C217B5">
      <w:pPr>
        <w:pStyle w:val="Default"/>
        <w:spacing w:line="288" w:lineRule="auto"/>
        <w:jc w:val="center"/>
        <w:rPr>
          <w:rFonts w:cs="Arial"/>
          <w:b/>
          <w:bCs/>
          <w:color w:val="77328A"/>
          <w:sz w:val="36"/>
          <w:szCs w:val="36"/>
          <w:lang w:val="en-GB"/>
        </w:rPr>
      </w:pPr>
    </w:p>
    <w:p w14:paraId="3F0F2FA2" w14:textId="3A3271C3" w:rsidR="00395DFD" w:rsidRPr="002F2B00" w:rsidRDefault="004E478C" w:rsidP="00C217B5">
      <w:pPr>
        <w:pStyle w:val="Default"/>
        <w:spacing w:line="288" w:lineRule="auto"/>
        <w:jc w:val="center"/>
        <w:rPr>
          <w:rFonts w:cs="Arial"/>
          <w:b/>
          <w:bCs/>
          <w:color w:val="77328A"/>
          <w:sz w:val="36"/>
          <w:szCs w:val="36"/>
          <w:lang w:val="en-GB"/>
        </w:rPr>
      </w:pPr>
      <w:r w:rsidRPr="002F2B00">
        <w:rPr>
          <w:rFonts w:cs="Arial"/>
          <w:b/>
          <w:bCs/>
          <w:color w:val="77328A"/>
          <w:sz w:val="36"/>
          <w:szCs w:val="36"/>
          <w:lang w:val="en-GB"/>
        </w:rPr>
        <w:t xml:space="preserve">Advice on </w:t>
      </w:r>
      <w:r w:rsidR="00FF5C15" w:rsidRPr="002F2B00">
        <w:rPr>
          <w:rFonts w:cs="Arial"/>
          <w:b/>
          <w:bCs/>
          <w:color w:val="77328A"/>
          <w:sz w:val="36"/>
          <w:szCs w:val="36"/>
          <w:lang w:val="en-GB"/>
        </w:rPr>
        <w:t xml:space="preserve">NI Troubles (Legacy and Reconciliation) Bill </w:t>
      </w:r>
    </w:p>
    <w:p w14:paraId="44A3314B" w14:textId="77777777" w:rsidR="00611963" w:rsidRPr="002F2B00" w:rsidRDefault="00611963" w:rsidP="00C217B5">
      <w:pPr>
        <w:pStyle w:val="Default"/>
        <w:spacing w:line="288" w:lineRule="auto"/>
        <w:jc w:val="center"/>
        <w:rPr>
          <w:rFonts w:cs="Arial"/>
          <w:color w:val="232120"/>
          <w:sz w:val="36"/>
          <w:szCs w:val="36"/>
        </w:rPr>
      </w:pPr>
    </w:p>
    <w:p w14:paraId="43A6E31C" w14:textId="77777777" w:rsidR="00395DFD" w:rsidRPr="002F2B00" w:rsidRDefault="00395DFD" w:rsidP="00C217B5">
      <w:pPr>
        <w:pStyle w:val="Default"/>
        <w:spacing w:line="288" w:lineRule="auto"/>
        <w:jc w:val="center"/>
        <w:rPr>
          <w:rFonts w:cs="Arial"/>
          <w:color w:val="232120"/>
          <w:sz w:val="36"/>
          <w:szCs w:val="36"/>
        </w:rPr>
      </w:pPr>
    </w:p>
    <w:p w14:paraId="55FAEE46" w14:textId="77777777" w:rsidR="0057576E" w:rsidRPr="002F2B00" w:rsidRDefault="0057576E" w:rsidP="00C217B5">
      <w:pPr>
        <w:jc w:val="center"/>
        <w:rPr>
          <w:rFonts w:cs="Arial"/>
          <w:b/>
          <w:color w:val="232120"/>
          <w:sz w:val="30"/>
          <w:szCs w:val="30"/>
        </w:rPr>
      </w:pPr>
    </w:p>
    <w:p w14:paraId="43023607" w14:textId="77777777" w:rsidR="0057576E" w:rsidRPr="002F2B00" w:rsidRDefault="0057576E" w:rsidP="00C217B5">
      <w:pPr>
        <w:jc w:val="center"/>
        <w:rPr>
          <w:rFonts w:cs="Arial"/>
          <w:b/>
          <w:color w:val="232120"/>
          <w:sz w:val="30"/>
          <w:szCs w:val="30"/>
        </w:rPr>
      </w:pPr>
    </w:p>
    <w:p w14:paraId="060F0A7D" w14:textId="77777777" w:rsidR="0057576E" w:rsidRPr="002F2B00" w:rsidRDefault="0057576E" w:rsidP="00C217B5">
      <w:pPr>
        <w:jc w:val="center"/>
        <w:rPr>
          <w:rFonts w:cs="Arial"/>
          <w:b/>
          <w:color w:val="232120"/>
          <w:sz w:val="30"/>
          <w:szCs w:val="30"/>
        </w:rPr>
      </w:pPr>
    </w:p>
    <w:p w14:paraId="6FDA0042" w14:textId="77777777" w:rsidR="0057576E" w:rsidRPr="002F2B00" w:rsidRDefault="0057576E" w:rsidP="00C217B5">
      <w:pPr>
        <w:jc w:val="center"/>
        <w:rPr>
          <w:rFonts w:cs="Arial"/>
          <w:b/>
          <w:color w:val="232120"/>
          <w:sz w:val="30"/>
          <w:szCs w:val="30"/>
        </w:rPr>
      </w:pPr>
    </w:p>
    <w:p w14:paraId="74639358" w14:textId="28922E1E" w:rsidR="00611963" w:rsidRPr="002F2B00" w:rsidRDefault="0040575B" w:rsidP="00C217B5">
      <w:pPr>
        <w:jc w:val="center"/>
        <w:rPr>
          <w:rFonts w:cs="Arial"/>
          <w:b/>
          <w:color w:val="232120"/>
          <w:sz w:val="30"/>
          <w:szCs w:val="30"/>
        </w:rPr>
      </w:pPr>
      <w:r>
        <w:rPr>
          <w:rFonts w:cs="Arial"/>
          <w:b/>
          <w:color w:val="232120"/>
          <w:sz w:val="30"/>
          <w:szCs w:val="30"/>
        </w:rPr>
        <w:t>September</w:t>
      </w:r>
      <w:r w:rsidR="00FF5C15" w:rsidRPr="002F2B00">
        <w:rPr>
          <w:rFonts w:cs="Arial"/>
          <w:b/>
          <w:color w:val="232120"/>
          <w:sz w:val="30"/>
          <w:szCs w:val="30"/>
        </w:rPr>
        <w:t xml:space="preserve"> 2022</w:t>
      </w:r>
    </w:p>
    <w:p w14:paraId="2B187F92" w14:textId="77777777" w:rsidR="00611963" w:rsidRPr="002F2B00" w:rsidRDefault="00611963" w:rsidP="00C217B5">
      <w:pPr>
        <w:jc w:val="center"/>
        <w:rPr>
          <w:rFonts w:cs="Arial"/>
          <w:b/>
          <w:color w:val="232120"/>
          <w:sz w:val="28"/>
          <w:szCs w:val="28"/>
        </w:rPr>
      </w:pPr>
    </w:p>
    <w:p w14:paraId="65E2CD64" w14:textId="77777777" w:rsidR="00611963" w:rsidRPr="002F2B00" w:rsidRDefault="00611963" w:rsidP="00C217B5">
      <w:pPr>
        <w:jc w:val="center"/>
        <w:rPr>
          <w:rFonts w:eastAsiaTheme="majorEastAsia" w:cstheme="majorBidi"/>
          <w:b/>
          <w:color w:val="77328A"/>
          <w:sz w:val="30"/>
          <w:szCs w:val="32"/>
        </w:rPr>
      </w:pPr>
      <w:r w:rsidRPr="002F2B00">
        <w:br w:type="page"/>
      </w:r>
    </w:p>
    <w:sdt>
      <w:sdtPr>
        <w:rPr>
          <w:rFonts w:ascii="Verdana" w:eastAsiaTheme="minorHAnsi" w:hAnsi="Verdana" w:cstheme="minorBidi"/>
          <w:color w:val="auto"/>
          <w:sz w:val="24"/>
          <w:szCs w:val="22"/>
          <w:lang w:val="en-GB"/>
        </w:rPr>
        <w:id w:val="-1046601470"/>
        <w:docPartObj>
          <w:docPartGallery w:val="Table of Contents"/>
          <w:docPartUnique/>
        </w:docPartObj>
      </w:sdtPr>
      <w:sdtEndPr>
        <w:rPr>
          <w:b/>
          <w:bCs/>
          <w:noProof/>
        </w:rPr>
      </w:sdtEndPr>
      <w:sdtContent>
        <w:p w14:paraId="2B024B4F" w14:textId="4259D779" w:rsidR="00FF5C15" w:rsidRPr="002F2B00" w:rsidRDefault="00FF5C15">
          <w:pPr>
            <w:pStyle w:val="TOCHeading"/>
            <w:rPr>
              <w:rFonts w:ascii="Verdana" w:hAnsi="Verdana"/>
              <w:b/>
              <w:bCs/>
              <w:color w:val="7030A0"/>
              <w:sz w:val="30"/>
              <w:szCs w:val="30"/>
            </w:rPr>
          </w:pPr>
          <w:r w:rsidRPr="002F2B00">
            <w:rPr>
              <w:rFonts w:ascii="Verdana" w:hAnsi="Verdana"/>
              <w:b/>
              <w:bCs/>
              <w:color w:val="7030A0"/>
              <w:sz w:val="30"/>
              <w:szCs w:val="30"/>
            </w:rPr>
            <w:t>Table of Contents</w:t>
          </w:r>
        </w:p>
        <w:p w14:paraId="0BAC051E" w14:textId="77777777" w:rsidR="00FF5C15" w:rsidRPr="002F2B00" w:rsidRDefault="00FF5C15" w:rsidP="00FF5C15">
          <w:pPr>
            <w:rPr>
              <w:lang w:val="en-US"/>
            </w:rPr>
          </w:pPr>
        </w:p>
        <w:p w14:paraId="26F1558C" w14:textId="449BC475" w:rsidR="00AE18A6" w:rsidRDefault="00FF5C15">
          <w:pPr>
            <w:pStyle w:val="TOC1"/>
            <w:rPr>
              <w:rFonts w:asciiTheme="minorHAnsi" w:eastAsiaTheme="minorEastAsia" w:hAnsiTheme="minorHAnsi"/>
              <w:b w:val="0"/>
              <w:sz w:val="22"/>
              <w:lang w:eastAsia="en-GB"/>
            </w:rPr>
          </w:pPr>
          <w:r w:rsidRPr="002F2B00">
            <w:fldChar w:fldCharType="begin"/>
          </w:r>
          <w:r w:rsidRPr="002F2B00">
            <w:instrText xml:space="preserve"> TOC \o "1-3" \h \z \u </w:instrText>
          </w:r>
          <w:r w:rsidRPr="002F2B00">
            <w:fldChar w:fldCharType="separate"/>
          </w:r>
          <w:hyperlink w:anchor="_Toc113517942" w:history="1">
            <w:r w:rsidR="00AE18A6" w:rsidRPr="005E569A">
              <w:rPr>
                <w:rStyle w:val="Hyperlink"/>
              </w:rPr>
              <w:t>1.0</w:t>
            </w:r>
            <w:r w:rsidR="00AE18A6">
              <w:rPr>
                <w:rFonts w:asciiTheme="minorHAnsi" w:eastAsiaTheme="minorEastAsia" w:hAnsiTheme="minorHAnsi"/>
                <w:b w:val="0"/>
                <w:sz w:val="22"/>
                <w:lang w:eastAsia="en-GB"/>
              </w:rPr>
              <w:tab/>
            </w:r>
            <w:r w:rsidR="00AE18A6" w:rsidRPr="005E569A">
              <w:rPr>
                <w:rStyle w:val="Hyperlink"/>
              </w:rPr>
              <w:t>Introduction</w:t>
            </w:r>
            <w:r w:rsidR="00AE18A6">
              <w:rPr>
                <w:webHidden/>
              </w:rPr>
              <w:tab/>
            </w:r>
            <w:r w:rsidR="00AE18A6">
              <w:rPr>
                <w:webHidden/>
              </w:rPr>
              <w:fldChar w:fldCharType="begin"/>
            </w:r>
            <w:r w:rsidR="00AE18A6">
              <w:rPr>
                <w:webHidden/>
              </w:rPr>
              <w:instrText xml:space="preserve"> PAGEREF _Toc113517942 \h </w:instrText>
            </w:r>
            <w:r w:rsidR="00AE18A6">
              <w:rPr>
                <w:webHidden/>
              </w:rPr>
            </w:r>
            <w:r w:rsidR="00AE18A6">
              <w:rPr>
                <w:webHidden/>
              </w:rPr>
              <w:fldChar w:fldCharType="separate"/>
            </w:r>
            <w:r w:rsidR="00367395">
              <w:rPr>
                <w:webHidden/>
              </w:rPr>
              <w:t>4</w:t>
            </w:r>
            <w:r w:rsidR="00AE18A6">
              <w:rPr>
                <w:webHidden/>
              </w:rPr>
              <w:fldChar w:fldCharType="end"/>
            </w:r>
          </w:hyperlink>
        </w:p>
        <w:p w14:paraId="136BAAD6" w14:textId="40791563" w:rsidR="00AE18A6" w:rsidRDefault="00AE18A6">
          <w:pPr>
            <w:pStyle w:val="TOC1"/>
            <w:rPr>
              <w:rFonts w:asciiTheme="minorHAnsi" w:eastAsiaTheme="minorEastAsia" w:hAnsiTheme="minorHAnsi"/>
              <w:b w:val="0"/>
              <w:sz w:val="22"/>
              <w:lang w:eastAsia="en-GB"/>
            </w:rPr>
          </w:pPr>
          <w:hyperlink w:anchor="_Toc113517943" w:history="1">
            <w:r w:rsidRPr="005E569A">
              <w:rPr>
                <w:rStyle w:val="Hyperlink"/>
              </w:rPr>
              <w:t>2.0</w:t>
            </w:r>
            <w:r>
              <w:rPr>
                <w:rFonts w:asciiTheme="minorHAnsi" w:eastAsiaTheme="minorEastAsia" w:hAnsiTheme="minorHAnsi"/>
                <w:b w:val="0"/>
                <w:sz w:val="22"/>
                <w:lang w:eastAsia="en-GB"/>
              </w:rPr>
              <w:tab/>
            </w:r>
            <w:r w:rsidRPr="005E569A">
              <w:rPr>
                <w:rStyle w:val="Hyperlink"/>
              </w:rPr>
              <w:t>Investigations</w:t>
            </w:r>
            <w:r>
              <w:rPr>
                <w:webHidden/>
              </w:rPr>
              <w:tab/>
            </w:r>
            <w:r>
              <w:rPr>
                <w:webHidden/>
              </w:rPr>
              <w:fldChar w:fldCharType="begin"/>
            </w:r>
            <w:r>
              <w:rPr>
                <w:webHidden/>
              </w:rPr>
              <w:instrText xml:space="preserve"> PAGEREF _Toc113517943 \h </w:instrText>
            </w:r>
            <w:r>
              <w:rPr>
                <w:webHidden/>
              </w:rPr>
            </w:r>
            <w:r>
              <w:rPr>
                <w:webHidden/>
              </w:rPr>
              <w:fldChar w:fldCharType="separate"/>
            </w:r>
            <w:r w:rsidR="00367395">
              <w:rPr>
                <w:webHidden/>
              </w:rPr>
              <w:t>5</w:t>
            </w:r>
            <w:r>
              <w:rPr>
                <w:webHidden/>
              </w:rPr>
              <w:fldChar w:fldCharType="end"/>
            </w:r>
          </w:hyperlink>
        </w:p>
        <w:p w14:paraId="24859874" w14:textId="3F9B76F0" w:rsidR="00AE18A6" w:rsidRDefault="00AE18A6">
          <w:pPr>
            <w:pStyle w:val="TOC2"/>
            <w:rPr>
              <w:rFonts w:asciiTheme="minorHAnsi" w:eastAsiaTheme="minorEastAsia" w:hAnsiTheme="minorHAnsi"/>
              <w:noProof/>
              <w:sz w:val="22"/>
              <w:lang w:eastAsia="en-GB"/>
            </w:rPr>
          </w:pPr>
          <w:hyperlink w:anchor="_Toc113517944" w:history="1">
            <w:r w:rsidRPr="005E569A">
              <w:rPr>
                <w:rStyle w:val="Hyperlink"/>
                <w:noProof/>
              </w:rPr>
              <w:t>Purpose of an investigation</w:t>
            </w:r>
            <w:r>
              <w:rPr>
                <w:noProof/>
                <w:webHidden/>
              </w:rPr>
              <w:tab/>
            </w:r>
            <w:r>
              <w:rPr>
                <w:noProof/>
                <w:webHidden/>
              </w:rPr>
              <w:fldChar w:fldCharType="begin"/>
            </w:r>
            <w:r>
              <w:rPr>
                <w:noProof/>
                <w:webHidden/>
              </w:rPr>
              <w:instrText xml:space="preserve"> PAGEREF _Toc113517944 \h </w:instrText>
            </w:r>
            <w:r>
              <w:rPr>
                <w:noProof/>
                <w:webHidden/>
              </w:rPr>
            </w:r>
            <w:r>
              <w:rPr>
                <w:noProof/>
                <w:webHidden/>
              </w:rPr>
              <w:fldChar w:fldCharType="separate"/>
            </w:r>
            <w:r w:rsidR="00367395">
              <w:rPr>
                <w:noProof/>
                <w:webHidden/>
              </w:rPr>
              <w:t>7</w:t>
            </w:r>
            <w:r>
              <w:rPr>
                <w:noProof/>
                <w:webHidden/>
              </w:rPr>
              <w:fldChar w:fldCharType="end"/>
            </w:r>
          </w:hyperlink>
        </w:p>
        <w:p w14:paraId="34366346" w14:textId="7C36FD03" w:rsidR="00AE18A6" w:rsidRDefault="00AE18A6">
          <w:pPr>
            <w:pStyle w:val="TOC2"/>
            <w:rPr>
              <w:rFonts w:asciiTheme="minorHAnsi" w:eastAsiaTheme="minorEastAsia" w:hAnsiTheme="minorHAnsi"/>
              <w:noProof/>
              <w:sz w:val="22"/>
              <w:lang w:eastAsia="en-GB"/>
            </w:rPr>
          </w:pPr>
          <w:hyperlink w:anchor="_Toc113517945" w:history="1">
            <w:r w:rsidRPr="005E569A">
              <w:rPr>
                <w:rStyle w:val="Hyperlink"/>
                <w:noProof/>
              </w:rPr>
              <w:t>Independent and impartial investigations</w:t>
            </w:r>
            <w:r>
              <w:rPr>
                <w:noProof/>
                <w:webHidden/>
              </w:rPr>
              <w:tab/>
            </w:r>
            <w:r>
              <w:rPr>
                <w:noProof/>
                <w:webHidden/>
              </w:rPr>
              <w:fldChar w:fldCharType="begin"/>
            </w:r>
            <w:r>
              <w:rPr>
                <w:noProof/>
                <w:webHidden/>
              </w:rPr>
              <w:instrText xml:space="preserve"> PAGEREF _Toc113517945 \h </w:instrText>
            </w:r>
            <w:r>
              <w:rPr>
                <w:noProof/>
                <w:webHidden/>
              </w:rPr>
            </w:r>
            <w:r>
              <w:rPr>
                <w:noProof/>
                <w:webHidden/>
              </w:rPr>
              <w:fldChar w:fldCharType="separate"/>
            </w:r>
            <w:r w:rsidR="00367395">
              <w:rPr>
                <w:noProof/>
                <w:webHidden/>
              </w:rPr>
              <w:t>13</w:t>
            </w:r>
            <w:r>
              <w:rPr>
                <w:noProof/>
                <w:webHidden/>
              </w:rPr>
              <w:fldChar w:fldCharType="end"/>
            </w:r>
          </w:hyperlink>
        </w:p>
        <w:p w14:paraId="258B32B2" w14:textId="4F5ECDE0" w:rsidR="00AE18A6" w:rsidRDefault="00AE18A6">
          <w:pPr>
            <w:pStyle w:val="TOC2"/>
            <w:rPr>
              <w:rFonts w:asciiTheme="minorHAnsi" w:eastAsiaTheme="minorEastAsia" w:hAnsiTheme="minorHAnsi"/>
              <w:noProof/>
              <w:sz w:val="22"/>
              <w:lang w:eastAsia="en-GB"/>
            </w:rPr>
          </w:pPr>
          <w:hyperlink w:anchor="_Toc113517946" w:history="1">
            <w:r w:rsidRPr="005E569A">
              <w:rPr>
                <w:rStyle w:val="Hyperlink"/>
                <w:noProof/>
              </w:rPr>
              <w:t>Thorough investigations</w:t>
            </w:r>
            <w:r>
              <w:rPr>
                <w:noProof/>
                <w:webHidden/>
              </w:rPr>
              <w:tab/>
            </w:r>
            <w:r>
              <w:rPr>
                <w:noProof/>
                <w:webHidden/>
              </w:rPr>
              <w:fldChar w:fldCharType="begin"/>
            </w:r>
            <w:r>
              <w:rPr>
                <w:noProof/>
                <w:webHidden/>
              </w:rPr>
              <w:instrText xml:space="preserve"> PAGEREF _Toc113517946 \h </w:instrText>
            </w:r>
            <w:r>
              <w:rPr>
                <w:noProof/>
                <w:webHidden/>
              </w:rPr>
            </w:r>
            <w:r>
              <w:rPr>
                <w:noProof/>
                <w:webHidden/>
              </w:rPr>
              <w:fldChar w:fldCharType="separate"/>
            </w:r>
            <w:r w:rsidR="00367395">
              <w:rPr>
                <w:noProof/>
                <w:webHidden/>
              </w:rPr>
              <w:t>16</w:t>
            </w:r>
            <w:r>
              <w:rPr>
                <w:noProof/>
                <w:webHidden/>
              </w:rPr>
              <w:fldChar w:fldCharType="end"/>
            </w:r>
          </w:hyperlink>
        </w:p>
        <w:p w14:paraId="6824AE54" w14:textId="1FC44D5B" w:rsidR="00AE18A6" w:rsidRDefault="00AE18A6">
          <w:pPr>
            <w:pStyle w:val="TOC2"/>
            <w:rPr>
              <w:rFonts w:asciiTheme="minorHAnsi" w:eastAsiaTheme="minorEastAsia" w:hAnsiTheme="minorHAnsi"/>
              <w:noProof/>
              <w:sz w:val="22"/>
              <w:lang w:eastAsia="en-GB"/>
            </w:rPr>
          </w:pPr>
          <w:hyperlink w:anchor="_Toc113517947" w:history="1">
            <w:r w:rsidRPr="005E569A">
              <w:rPr>
                <w:rStyle w:val="Hyperlink"/>
                <w:noProof/>
              </w:rPr>
              <w:t>State’s own motion</w:t>
            </w:r>
            <w:r>
              <w:rPr>
                <w:noProof/>
                <w:webHidden/>
              </w:rPr>
              <w:tab/>
            </w:r>
            <w:r>
              <w:rPr>
                <w:noProof/>
                <w:webHidden/>
              </w:rPr>
              <w:fldChar w:fldCharType="begin"/>
            </w:r>
            <w:r>
              <w:rPr>
                <w:noProof/>
                <w:webHidden/>
              </w:rPr>
              <w:instrText xml:space="preserve"> PAGEREF _Toc113517947 \h </w:instrText>
            </w:r>
            <w:r>
              <w:rPr>
                <w:noProof/>
                <w:webHidden/>
              </w:rPr>
            </w:r>
            <w:r>
              <w:rPr>
                <w:noProof/>
                <w:webHidden/>
              </w:rPr>
              <w:fldChar w:fldCharType="separate"/>
            </w:r>
            <w:r w:rsidR="00367395">
              <w:rPr>
                <w:noProof/>
                <w:webHidden/>
              </w:rPr>
              <w:t>20</w:t>
            </w:r>
            <w:r>
              <w:rPr>
                <w:noProof/>
                <w:webHidden/>
              </w:rPr>
              <w:fldChar w:fldCharType="end"/>
            </w:r>
          </w:hyperlink>
        </w:p>
        <w:p w14:paraId="6240BA49" w14:textId="2DB24079" w:rsidR="00AE18A6" w:rsidRDefault="00AE18A6">
          <w:pPr>
            <w:pStyle w:val="TOC2"/>
            <w:rPr>
              <w:rFonts w:asciiTheme="minorHAnsi" w:eastAsiaTheme="minorEastAsia" w:hAnsiTheme="minorHAnsi"/>
              <w:noProof/>
              <w:sz w:val="22"/>
              <w:lang w:eastAsia="en-GB"/>
            </w:rPr>
          </w:pPr>
          <w:hyperlink w:anchor="_Toc113517948" w:history="1">
            <w:r w:rsidRPr="005E569A">
              <w:rPr>
                <w:rStyle w:val="Hyperlink"/>
                <w:noProof/>
              </w:rPr>
              <w:t>Prompt commencement and expedition</w:t>
            </w:r>
            <w:r>
              <w:rPr>
                <w:noProof/>
                <w:webHidden/>
              </w:rPr>
              <w:tab/>
            </w:r>
            <w:r>
              <w:rPr>
                <w:noProof/>
                <w:webHidden/>
              </w:rPr>
              <w:fldChar w:fldCharType="begin"/>
            </w:r>
            <w:r>
              <w:rPr>
                <w:noProof/>
                <w:webHidden/>
              </w:rPr>
              <w:instrText xml:space="preserve"> PAGEREF _Toc113517948 \h </w:instrText>
            </w:r>
            <w:r>
              <w:rPr>
                <w:noProof/>
                <w:webHidden/>
              </w:rPr>
            </w:r>
            <w:r>
              <w:rPr>
                <w:noProof/>
                <w:webHidden/>
              </w:rPr>
              <w:fldChar w:fldCharType="separate"/>
            </w:r>
            <w:r w:rsidR="00367395">
              <w:rPr>
                <w:noProof/>
                <w:webHidden/>
              </w:rPr>
              <w:t>22</w:t>
            </w:r>
            <w:r>
              <w:rPr>
                <w:noProof/>
                <w:webHidden/>
              </w:rPr>
              <w:fldChar w:fldCharType="end"/>
            </w:r>
          </w:hyperlink>
        </w:p>
        <w:p w14:paraId="68376054" w14:textId="44C10260" w:rsidR="00AE18A6" w:rsidRDefault="00AE18A6">
          <w:pPr>
            <w:pStyle w:val="TOC2"/>
            <w:rPr>
              <w:rFonts w:asciiTheme="minorHAnsi" w:eastAsiaTheme="minorEastAsia" w:hAnsiTheme="minorHAnsi"/>
              <w:noProof/>
              <w:sz w:val="22"/>
              <w:lang w:eastAsia="en-GB"/>
            </w:rPr>
          </w:pPr>
          <w:hyperlink w:anchor="_Toc113517949" w:history="1">
            <w:r w:rsidRPr="005E569A">
              <w:rPr>
                <w:rStyle w:val="Hyperlink"/>
                <w:noProof/>
              </w:rPr>
              <w:t>Public Scrutiny</w:t>
            </w:r>
            <w:r>
              <w:rPr>
                <w:noProof/>
                <w:webHidden/>
              </w:rPr>
              <w:tab/>
            </w:r>
            <w:r>
              <w:rPr>
                <w:noProof/>
                <w:webHidden/>
              </w:rPr>
              <w:fldChar w:fldCharType="begin"/>
            </w:r>
            <w:r>
              <w:rPr>
                <w:noProof/>
                <w:webHidden/>
              </w:rPr>
              <w:instrText xml:space="preserve"> PAGEREF _Toc113517949 \h </w:instrText>
            </w:r>
            <w:r>
              <w:rPr>
                <w:noProof/>
                <w:webHidden/>
              </w:rPr>
            </w:r>
            <w:r>
              <w:rPr>
                <w:noProof/>
                <w:webHidden/>
              </w:rPr>
              <w:fldChar w:fldCharType="separate"/>
            </w:r>
            <w:r w:rsidR="00367395">
              <w:rPr>
                <w:noProof/>
                <w:webHidden/>
              </w:rPr>
              <w:t>25</w:t>
            </w:r>
            <w:r>
              <w:rPr>
                <w:noProof/>
                <w:webHidden/>
              </w:rPr>
              <w:fldChar w:fldCharType="end"/>
            </w:r>
          </w:hyperlink>
        </w:p>
        <w:p w14:paraId="2F77603E" w14:textId="74367BF7" w:rsidR="00AE18A6" w:rsidRDefault="00AE18A6">
          <w:pPr>
            <w:pStyle w:val="TOC3"/>
            <w:tabs>
              <w:tab w:val="right" w:leader="dot" w:pos="9016"/>
            </w:tabs>
            <w:rPr>
              <w:rFonts w:asciiTheme="minorHAnsi" w:eastAsiaTheme="minorEastAsia" w:hAnsiTheme="minorHAnsi"/>
              <w:noProof/>
              <w:sz w:val="22"/>
              <w:lang w:eastAsia="en-GB"/>
            </w:rPr>
          </w:pPr>
          <w:hyperlink w:anchor="_Toc113517950" w:history="1">
            <w:r w:rsidRPr="005E569A">
              <w:rPr>
                <w:rStyle w:val="Hyperlink"/>
                <w:noProof/>
              </w:rPr>
              <w:t>Non-disclosure</w:t>
            </w:r>
            <w:r>
              <w:rPr>
                <w:noProof/>
                <w:webHidden/>
              </w:rPr>
              <w:tab/>
            </w:r>
            <w:r>
              <w:rPr>
                <w:noProof/>
                <w:webHidden/>
              </w:rPr>
              <w:fldChar w:fldCharType="begin"/>
            </w:r>
            <w:r>
              <w:rPr>
                <w:noProof/>
                <w:webHidden/>
              </w:rPr>
              <w:instrText xml:space="preserve"> PAGEREF _Toc113517950 \h </w:instrText>
            </w:r>
            <w:r>
              <w:rPr>
                <w:noProof/>
                <w:webHidden/>
              </w:rPr>
            </w:r>
            <w:r>
              <w:rPr>
                <w:noProof/>
                <w:webHidden/>
              </w:rPr>
              <w:fldChar w:fldCharType="separate"/>
            </w:r>
            <w:r w:rsidR="00367395">
              <w:rPr>
                <w:noProof/>
                <w:webHidden/>
              </w:rPr>
              <w:t>25</w:t>
            </w:r>
            <w:r>
              <w:rPr>
                <w:noProof/>
                <w:webHidden/>
              </w:rPr>
              <w:fldChar w:fldCharType="end"/>
            </w:r>
          </w:hyperlink>
        </w:p>
        <w:p w14:paraId="11B3E951" w14:textId="2204F35F" w:rsidR="00AE18A6" w:rsidRDefault="00AE18A6">
          <w:pPr>
            <w:pStyle w:val="TOC3"/>
            <w:tabs>
              <w:tab w:val="right" w:leader="dot" w:pos="9016"/>
            </w:tabs>
            <w:rPr>
              <w:rFonts w:asciiTheme="minorHAnsi" w:eastAsiaTheme="minorEastAsia" w:hAnsiTheme="minorHAnsi"/>
              <w:noProof/>
              <w:sz w:val="22"/>
              <w:lang w:eastAsia="en-GB"/>
            </w:rPr>
          </w:pPr>
          <w:hyperlink w:anchor="_Toc113517951" w:history="1">
            <w:r w:rsidRPr="005E569A">
              <w:rPr>
                <w:rStyle w:val="Hyperlink"/>
                <w:noProof/>
              </w:rPr>
              <w:t>Family Members</w:t>
            </w:r>
            <w:r>
              <w:rPr>
                <w:noProof/>
                <w:webHidden/>
              </w:rPr>
              <w:tab/>
            </w:r>
            <w:r>
              <w:rPr>
                <w:noProof/>
                <w:webHidden/>
              </w:rPr>
              <w:fldChar w:fldCharType="begin"/>
            </w:r>
            <w:r>
              <w:rPr>
                <w:noProof/>
                <w:webHidden/>
              </w:rPr>
              <w:instrText xml:space="preserve"> PAGEREF _Toc113517951 \h </w:instrText>
            </w:r>
            <w:r>
              <w:rPr>
                <w:noProof/>
                <w:webHidden/>
              </w:rPr>
            </w:r>
            <w:r>
              <w:rPr>
                <w:noProof/>
                <w:webHidden/>
              </w:rPr>
              <w:fldChar w:fldCharType="separate"/>
            </w:r>
            <w:r w:rsidR="00367395">
              <w:rPr>
                <w:noProof/>
                <w:webHidden/>
              </w:rPr>
              <w:t>30</w:t>
            </w:r>
            <w:r>
              <w:rPr>
                <w:noProof/>
                <w:webHidden/>
              </w:rPr>
              <w:fldChar w:fldCharType="end"/>
            </w:r>
          </w:hyperlink>
        </w:p>
        <w:p w14:paraId="3E0A8425" w14:textId="2006DF55" w:rsidR="00AE18A6" w:rsidRDefault="00AE18A6">
          <w:pPr>
            <w:pStyle w:val="TOC1"/>
            <w:rPr>
              <w:rFonts w:asciiTheme="minorHAnsi" w:eastAsiaTheme="minorEastAsia" w:hAnsiTheme="minorHAnsi"/>
              <w:b w:val="0"/>
              <w:sz w:val="22"/>
              <w:lang w:eastAsia="en-GB"/>
            </w:rPr>
          </w:pPr>
          <w:hyperlink w:anchor="_Toc113517952" w:history="1">
            <w:r w:rsidRPr="005E569A">
              <w:rPr>
                <w:rStyle w:val="Hyperlink"/>
              </w:rPr>
              <w:t>3.0</w:t>
            </w:r>
            <w:r>
              <w:rPr>
                <w:rFonts w:asciiTheme="minorHAnsi" w:eastAsiaTheme="minorEastAsia" w:hAnsiTheme="minorHAnsi"/>
                <w:b w:val="0"/>
                <w:sz w:val="22"/>
                <w:lang w:eastAsia="en-GB"/>
              </w:rPr>
              <w:tab/>
            </w:r>
            <w:r w:rsidRPr="005E569A">
              <w:rPr>
                <w:rStyle w:val="Hyperlink"/>
              </w:rPr>
              <w:t>Scope of the ICRIR</w:t>
            </w:r>
            <w:r>
              <w:rPr>
                <w:webHidden/>
              </w:rPr>
              <w:tab/>
            </w:r>
            <w:r>
              <w:rPr>
                <w:webHidden/>
              </w:rPr>
              <w:fldChar w:fldCharType="begin"/>
            </w:r>
            <w:r>
              <w:rPr>
                <w:webHidden/>
              </w:rPr>
              <w:instrText xml:space="preserve"> PAGEREF _Toc113517952 \h </w:instrText>
            </w:r>
            <w:r>
              <w:rPr>
                <w:webHidden/>
              </w:rPr>
            </w:r>
            <w:r>
              <w:rPr>
                <w:webHidden/>
              </w:rPr>
              <w:fldChar w:fldCharType="separate"/>
            </w:r>
            <w:r w:rsidR="00367395">
              <w:rPr>
                <w:webHidden/>
              </w:rPr>
              <w:t>34</w:t>
            </w:r>
            <w:r>
              <w:rPr>
                <w:webHidden/>
              </w:rPr>
              <w:fldChar w:fldCharType="end"/>
            </w:r>
          </w:hyperlink>
        </w:p>
        <w:p w14:paraId="347C505D" w14:textId="540B8FB4" w:rsidR="00AE18A6" w:rsidRDefault="00AE18A6">
          <w:pPr>
            <w:pStyle w:val="TOC2"/>
            <w:rPr>
              <w:rFonts w:asciiTheme="minorHAnsi" w:eastAsiaTheme="minorEastAsia" w:hAnsiTheme="minorHAnsi"/>
              <w:noProof/>
              <w:sz w:val="22"/>
              <w:lang w:eastAsia="en-GB"/>
            </w:rPr>
          </w:pPr>
          <w:hyperlink w:anchor="_Toc113517953" w:history="1">
            <w:r w:rsidRPr="005E569A">
              <w:rPr>
                <w:rStyle w:val="Hyperlink"/>
                <w:noProof/>
              </w:rPr>
              <w:t>Definition of offences</w:t>
            </w:r>
            <w:r>
              <w:rPr>
                <w:noProof/>
                <w:webHidden/>
              </w:rPr>
              <w:tab/>
            </w:r>
            <w:r>
              <w:rPr>
                <w:noProof/>
                <w:webHidden/>
              </w:rPr>
              <w:fldChar w:fldCharType="begin"/>
            </w:r>
            <w:r>
              <w:rPr>
                <w:noProof/>
                <w:webHidden/>
              </w:rPr>
              <w:instrText xml:space="preserve"> PAGEREF _Toc113517953 \h </w:instrText>
            </w:r>
            <w:r>
              <w:rPr>
                <w:noProof/>
                <w:webHidden/>
              </w:rPr>
            </w:r>
            <w:r>
              <w:rPr>
                <w:noProof/>
                <w:webHidden/>
              </w:rPr>
              <w:fldChar w:fldCharType="separate"/>
            </w:r>
            <w:r w:rsidR="00367395">
              <w:rPr>
                <w:noProof/>
                <w:webHidden/>
              </w:rPr>
              <w:t>34</w:t>
            </w:r>
            <w:r>
              <w:rPr>
                <w:noProof/>
                <w:webHidden/>
              </w:rPr>
              <w:fldChar w:fldCharType="end"/>
            </w:r>
          </w:hyperlink>
        </w:p>
        <w:p w14:paraId="2023E038" w14:textId="1882B73D" w:rsidR="00AE18A6" w:rsidRDefault="00AE18A6">
          <w:pPr>
            <w:pStyle w:val="TOC2"/>
            <w:rPr>
              <w:rFonts w:asciiTheme="minorHAnsi" w:eastAsiaTheme="minorEastAsia" w:hAnsiTheme="minorHAnsi"/>
              <w:noProof/>
              <w:sz w:val="22"/>
              <w:lang w:eastAsia="en-GB"/>
            </w:rPr>
          </w:pPr>
          <w:hyperlink w:anchor="_Toc113517954" w:history="1">
            <w:r w:rsidRPr="005E569A">
              <w:rPr>
                <w:rStyle w:val="Hyperlink"/>
                <w:noProof/>
              </w:rPr>
              <w:t>Non-duplication</w:t>
            </w:r>
            <w:r>
              <w:rPr>
                <w:noProof/>
                <w:webHidden/>
              </w:rPr>
              <w:tab/>
            </w:r>
            <w:r>
              <w:rPr>
                <w:noProof/>
                <w:webHidden/>
              </w:rPr>
              <w:fldChar w:fldCharType="begin"/>
            </w:r>
            <w:r>
              <w:rPr>
                <w:noProof/>
                <w:webHidden/>
              </w:rPr>
              <w:instrText xml:space="preserve"> PAGEREF _Toc113517954 \h </w:instrText>
            </w:r>
            <w:r>
              <w:rPr>
                <w:noProof/>
                <w:webHidden/>
              </w:rPr>
            </w:r>
            <w:r>
              <w:rPr>
                <w:noProof/>
                <w:webHidden/>
              </w:rPr>
              <w:fldChar w:fldCharType="separate"/>
            </w:r>
            <w:r w:rsidR="00367395">
              <w:rPr>
                <w:noProof/>
                <w:webHidden/>
              </w:rPr>
              <w:t>35</w:t>
            </w:r>
            <w:r>
              <w:rPr>
                <w:noProof/>
                <w:webHidden/>
              </w:rPr>
              <w:fldChar w:fldCharType="end"/>
            </w:r>
          </w:hyperlink>
        </w:p>
        <w:p w14:paraId="1B5D956B" w14:textId="7947E28C" w:rsidR="00AE18A6" w:rsidRDefault="00AE18A6">
          <w:pPr>
            <w:pStyle w:val="TOC2"/>
            <w:rPr>
              <w:rFonts w:asciiTheme="minorHAnsi" w:eastAsiaTheme="minorEastAsia" w:hAnsiTheme="minorHAnsi"/>
              <w:noProof/>
              <w:sz w:val="22"/>
              <w:lang w:eastAsia="en-GB"/>
            </w:rPr>
          </w:pPr>
          <w:hyperlink w:anchor="_Toc113517955" w:history="1">
            <w:r w:rsidRPr="005E569A">
              <w:rPr>
                <w:rStyle w:val="Hyperlink"/>
                <w:noProof/>
              </w:rPr>
              <w:t>Temporal scope</w:t>
            </w:r>
            <w:r>
              <w:rPr>
                <w:noProof/>
                <w:webHidden/>
              </w:rPr>
              <w:tab/>
            </w:r>
            <w:r>
              <w:rPr>
                <w:noProof/>
                <w:webHidden/>
              </w:rPr>
              <w:fldChar w:fldCharType="begin"/>
            </w:r>
            <w:r>
              <w:rPr>
                <w:noProof/>
                <w:webHidden/>
              </w:rPr>
              <w:instrText xml:space="preserve"> PAGEREF _Toc113517955 \h </w:instrText>
            </w:r>
            <w:r>
              <w:rPr>
                <w:noProof/>
                <w:webHidden/>
              </w:rPr>
            </w:r>
            <w:r>
              <w:rPr>
                <w:noProof/>
                <w:webHidden/>
              </w:rPr>
              <w:fldChar w:fldCharType="separate"/>
            </w:r>
            <w:r w:rsidR="00367395">
              <w:rPr>
                <w:noProof/>
                <w:webHidden/>
              </w:rPr>
              <w:t>37</w:t>
            </w:r>
            <w:r>
              <w:rPr>
                <w:noProof/>
                <w:webHidden/>
              </w:rPr>
              <w:fldChar w:fldCharType="end"/>
            </w:r>
          </w:hyperlink>
        </w:p>
        <w:p w14:paraId="7039F1E0" w14:textId="695E8ADE" w:rsidR="00AE18A6" w:rsidRDefault="00AE18A6">
          <w:pPr>
            <w:pStyle w:val="TOC2"/>
            <w:rPr>
              <w:rFonts w:asciiTheme="minorHAnsi" w:eastAsiaTheme="minorEastAsia" w:hAnsiTheme="minorHAnsi"/>
              <w:noProof/>
              <w:sz w:val="22"/>
              <w:lang w:eastAsia="en-GB"/>
            </w:rPr>
          </w:pPr>
          <w:hyperlink w:anchor="_Toc113517956" w:history="1">
            <w:r w:rsidRPr="005E569A">
              <w:rPr>
                <w:rStyle w:val="Hyperlink"/>
                <w:noProof/>
              </w:rPr>
              <w:t>Jurisdictional scope</w:t>
            </w:r>
            <w:r>
              <w:rPr>
                <w:noProof/>
                <w:webHidden/>
              </w:rPr>
              <w:tab/>
            </w:r>
            <w:r>
              <w:rPr>
                <w:noProof/>
                <w:webHidden/>
              </w:rPr>
              <w:fldChar w:fldCharType="begin"/>
            </w:r>
            <w:r>
              <w:rPr>
                <w:noProof/>
                <w:webHidden/>
              </w:rPr>
              <w:instrText xml:space="preserve"> PAGEREF _Toc113517956 \h </w:instrText>
            </w:r>
            <w:r>
              <w:rPr>
                <w:noProof/>
                <w:webHidden/>
              </w:rPr>
            </w:r>
            <w:r>
              <w:rPr>
                <w:noProof/>
                <w:webHidden/>
              </w:rPr>
              <w:fldChar w:fldCharType="separate"/>
            </w:r>
            <w:r w:rsidR="00367395">
              <w:rPr>
                <w:noProof/>
                <w:webHidden/>
              </w:rPr>
              <w:t>40</w:t>
            </w:r>
            <w:r>
              <w:rPr>
                <w:noProof/>
                <w:webHidden/>
              </w:rPr>
              <w:fldChar w:fldCharType="end"/>
            </w:r>
          </w:hyperlink>
        </w:p>
        <w:p w14:paraId="7A010D91" w14:textId="534DCC1A" w:rsidR="00AE18A6" w:rsidRDefault="00AE18A6">
          <w:pPr>
            <w:pStyle w:val="TOC2"/>
            <w:rPr>
              <w:rFonts w:asciiTheme="minorHAnsi" w:eastAsiaTheme="minorEastAsia" w:hAnsiTheme="minorHAnsi"/>
              <w:noProof/>
              <w:sz w:val="22"/>
              <w:lang w:eastAsia="en-GB"/>
            </w:rPr>
          </w:pPr>
          <w:hyperlink w:anchor="_Toc113517957" w:history="1">
            <w:r w:rsidRPr="005E569A">
              <w:rPr>
                <w:rStyle w:val="Hyperlink"/>
                <w:noProof/>
              </w:rPr>
              <w:t>Biometric data</w:t>
            </w:r>
            <w:r>
              <w:rPr>
                <w:noProof/>
                <w:webHidden/>
              </w:rPr>
              <w:tab/>
            </w:r>
            <w:r>
              <w:rPr>
                <w:noProof/>
                <w:webHidden/>
              </w:rPr>
              <w:fldChar w:fldCharType="begin"/>
            </w:r>
            <w:r>
              <w:rPr>
                <w:noProof/>
                <w:webHidden/>
              </w:rPr>
              <w:instrText xml:space="preserve"> PAGEREF _Toc113517957 \h </w:instrText>
            </w:r>
            <w:r>
              <w:rPr>
                <w:noProof/>
                <w:webHidden/>
              </w:rPr>
            </w:r>
            <w:r>
              <w:rPr>
                <w:noProof/>
                <w:webHidden/>
              </w:rPr>
              <w:fldChar w:fldCharType="separate"/>
            </w:r>
            <w:r w:rsidR="00367395">
              <w:rPr>
                <w:noProof/>
                <w:webHidden/>
              </w:rPr>
              <w:t>42</w:t>
            </w:r>
            <w:r>
              <w:rPr>
                <w:noProof/>
                <w:webHidden/>
              </w:rPr>
              <w:fldChar w:fldCharType="end"/>
            </w:r>
          </w:hyperlink>
        </w:p>
        <w:p w14:paraId="157262CC" w14:textId="7BA7E99D" w:rsidR="00AE18A6" w:rsidRDefault="00AE18A6">
          <w:pPr>
            <w:pStyle w:val="TOC1"/>
            <w:rPr>
              <w:rFonts w:asciiTheme="minorHAnsi" w:eastAsiaTheme="minorEastAsia" w:hAnsiTheme="minorHAnsi"/>
              <w:b w:val="0"/>
              <w:sz w:val="22"/>
              <w:lang w:eastAsia="en-GB"/>
            </w:rPr>
          </w:pPr>
          <w:hyperlink w:anchor="_Toc113517958" w:history="1">
            <w:r w:rsidRPr="005E569A">
              <w:rPr>
                <w:rStyle w:val="Hyperlink"/>
              </w:rPr>
              <w:t>4.0</w:t>
            </w:r>
            <w:r>
              <w:rPr>
                <w:rFonts w:asciiTheme="minorHAnsi" w:eastAsiaTheme="minorEastAsia" w:hAnsiTheme="minorHAnsi"/>
                <w:b w:val="0"/>
                <w:sz w:val="22"/>
                <w:lang w:eastAsia="en-GB"/>
              </w:rPr>
              <w:tab/>
            </w:r>
            <w:r w:rsidRPr="005E569A">
              <w:rPr>
                <w:rStyle w:val="Hyperlink"/>
              </w:rPr>
              <w:t>Conditional Immunity Scheme</w:t>
            </w:r>
            <w:r>
              <w:rPr>
                <w:webHidden/>
              </w:rPr>
              <w:tab/>
            </w:r>
            <w:r>
              <w:rPr>
                <w:webHidden/>
              </w:rPr>
              <w:fldChar w:fldCharType="begin"/>
            </w:r>
            <w:r>
              <w:rPr>
                <w:webHidden/>
              </w:rPr>
              <w:instrText xml:space="preserve"> PAGEREF _Toc113517958 \h </w:instrText>
            </w:r>
            <w:r>
              <w:rPr>
                <w:webHidden/>
              </w:rPr>
            </w:r>
            <w:r>
              <w:rPr>
                <w:webHidden/>
              </w:rPr>
              <w:fldChar w:fldCharType="separate"/>
            </w:r>
            <w:r w:rsidR="00367395">
              <w:rPr>
                <w:webHidden/>
              </w:rPr>
              <w:t>45</w:t>
            </w:r>
            <w:r>
              <w:rPr>
                <w:webHidden/>
              </w:rPr>
              <w:fldChar w:fldCharType="end"/>
            </w:r>
          </w:hyperlink>
        </w:p>
        <w:p w14:paraId="6044EDF8" w14:textId="48EC6A26" w:rsidR="00AE18A6" w:rsidRDefault="00AE18A6">
          <w:pPr>
            <w:pStyle w:val="TOC1"/>
            <w:rPr>
              <w:rFonts w:asciiTheme="minorHAnsi" w:eastAsiaTheme="minorEastAsia" w:hAnsiTheme="minorHAnsi"/>
              <w:b w:val="0"/>
              <w:sz w:val="22"/>
              <w:lang w:eastAsia="en-GB"/>
            </w:rPr>
          </w:pPr>
          <w:hyperlink w:anchor="_Toc113517959" w:history="1">
            <w:r w:rsidRPr="005E569A">
              <w:rPr>
                <w:rStyle w:val="Hyperlink"/>
              </w:rPr>
              <w:t xml:space="preserve">5.0 </w:t>
            </w:r>
            <w:r>
              <w:rPr>
                <w:rFonts w:asciiTheme="minorHAnsi" w:eastAsiaTheme="minorEastAsia" w:hAnsiTheme="minorHAnsi"/>
                <w:b w:val="0"/>
                <w:sz w:val="22"/>
                <w:lang w:eastAsia="en-GB"/>
              </w:rPr>
              <w:tab/>
            </w:r>
            <w:r w:rsidRPr="005E569A">
              <w:rPr>
                <w:rStyle w:val="Hyperlink"/>
              </w:rPr>
              <w:t>Cessation of Proceedings</w:t>
            </w:r>
            <w:r>
              <w:rPr>
                <w:webHidden/>
              </w:rPr>
              <w:tab/>
            </w:r>
            <w:r>
              <w:rPr>
                <w:webHidden/>
              </w:rPr>
              <w:fldChar w:fldCharType="begin"/>
            </w:r>
            <w:r>
              <w:rPr>
                <w:webHidden/>
              </w:rPr>
              <w:instrText xml:space="preserve"> PAGEREF _Toc113517959 \h </w:instrText>
            </w:r>
            <w:r>
              <w:rPr>
                <w:webHidden/>
              </w:rPr>
            </w:r>
            <w:r>
              <w:rPr>
                <w:webHidden/>
              </w:rPr>
              <w:fldChar w:fldCharType="separate"/>
            </w:r>
            <w:r w:rsidR="00367395">
              <w:rPr>
                <w:webHidden/>
              </w:rPr>
              <w:t>51</w:t>
            </w:r>
            <w:r>
              <w:rPr>
                <w:webHidden/>
              </w:rPr>
              <w:fldChar w:fldCharType="end"/>
            </w:r>
          </w:hyperlink>
        </w:p>
        <w:p w14:paraId="4F6A3655" w14:textId="11D2D6B9" w:rsidR="00AE18A6" w:rsidRDefault="00AE18A6">
          <w:pPr>
            <w:pStyle w:val="TOC1"/>
            <w:rPr>
              <w:rFonts w:asciiTheme="minorHAnsi" w:eastAsiaTheme="minorEastAsia" w:hAnsiTheme="minorHAnsi"/>
              <w:b w:val="0"/>
              <w:sz w:val="22"/>
              <w:lang w:eastAsia="en-GB"/>
            </w:rPr>
          </w:pPr>
          <w:hyperlink w:anchor="_Toc113517960" w:history="1">
            <w:r w:rsidRPr="005E569A">
              <w:rPr>
                <w:rStyle w:val="Hyperlink"/>
              </w:rPr>
              <w:t>Annex 1: Summary of Recommendations</w:t>
            </w:r>
            <w:r>
              <w:rPr>
                <w:webHidden/>
              </w:rPr>
              <w:tab/>
            </w:r>
            <w:r>
              <w:rPr>
                <w:webHidden/>
              </w:rPr>
              <w:fldChar w:fldCharType="begin"/>
            </w:r>
            <w:r>
              <w:rPr>
                <w:webHidden/>
              </w:rPr>
              <w:instrText xml:space="preserve"> PAGEREF _Toc113517960 \h </w:instrText>
            </w:r>
            <w:r>
              <w:rPr>
                <w:webHidden/>
              </w:rPr>
            </w:r>
            <w:r>
              <w:rPr>
                <w:webHidden/>
              </w:rPr>
              <w:fldChar w:fldCharType="separate"/>
            </w:r>
            <w:r w:rsidR="00367395">
              <w:rPr>
                <w:webHidden/>
              </w:rPr>
              <w:t>55</w:t>
            </w:r>
            <w:r>
              <w:rPr>
                <w:webHidden/>
              </w:rPr>
              <w:fldChar w:fldCharType="end"/>
            </w:r>
          </w:hyperlink>
        </w:p>
        <w:p w14:paraId="38B342A8" w14:textId="498E8B6F" w:rsidR="00AE18A6" w:rsidRDefault="00AE18A6">
          <w:pPr>
            <w:pStyle w:val="TOC1"/>
            <w:rPr>
              <w:rFonts w:asciiTheme="minorHAnsi" w:eastAsiaTheme="minorEastAsia" w:hAnsiTheme="minorHAnsi"/>
              <w:b w:val="0"/>
              <w:sz w:val="22"/>
              <w:lang w:eastAsia="en-GB"/>
            </w:rPr>
          </w:pPr>
          <w:hyperlink w:anchor="_Toc113517961" w:history="1">
            <w:r w:rsidRPr="005E569A">
              <w:rPr>
                <w:rStyle w:val="Hyperlink"/>
              </w:rPr>
              <w:t>Annex 2: List of Human Rights Standards</w:t>
            </w:r>
            <w:r>
              <w:rPr>
                <w:webHidden/>
              </w:rPr>
              <w:tab/>
            </w:r>
            <w:r>
              <w:rPr>
                <w:webHidden/>
              </w:rPr>
              <w:fldChar w:fldCharType="begin"/>
            </w:r>
            <w:r>
              <w:rPr>
                <w:webHidden/>
              </w:rPr>
              <w:instrText xml:space="preserve"> PAGEREF _Toc113517961 \h </w:instrText>
            </w:r>
            <w:r>
              <w:rPr>
                <w:webHidden/>
              </w:rPr>
            </w:r>
            <w:r>
              <w:rPr>
                <w:webHidden/>
              </w:rPr>
              <w:fldChar w:fldCharType="separate"/>
            </w:r>
            <w:r w:rsidR="00367395">
              <w:rPr>
                <w:webHidden/>
              </w:rPr>
              <w:t>59</w:t>
            </w:r>
            <w:r>
              <w:rPr>
                <w:webHidden/>
              </w:rPr>
              <w:fldChar w:fldCharType="end"/>
            </w:r>
          </w:hyperlink>
        </w:p>
        <w:p w14:paraId="5010F076" w14:textId="0A842BDC" w:rsidR="00AE18A6" w:rsidRDefault="00AE18A6">
          <w:pPr>
            <w:pStyle w:val="TOC1"/>
            <w:rPr>
              <w:rFonts w:asciiTheme="minorHAnsi" w:eastAsiaTheme="minorEastAsia" w:hAnsiTheme="minorHAnsi"/>
              <w:b w:val="0"/>
              <w:sz w:val="22"/>
              <w:lang w:eastAsia="en-GB"/>
            </w:rPr>
          </w:pPr>
          <w:hyperlink w:anchor="_Toc113517962" w:history="1">
            <w:r w:rsidRPr="005E569A">
              <w:rPr>
                <w:rStyle w:val="Hyperlink"/>
              </w:rPr>
              <w:t>Annex 3: UK Government Commitments on Legacy Issues</w:t>
            </w:r>
            <w:r>
              <w:rPr>
                <w:webHidden/>
              </w:rPr>
              <w:tab/>
            </w:r>
            <w:r>
              <w:rPr>
                <w:webHidden/>
              </w:rPr>
              <w:fldChar w:fldCharType="begin"/>
            </w:r>
            <w:r>
              <w:rPr>
                <w:webHidden/>
              </w:rPr>
              <w:instrText xml:space="preserve"> PAGEREF _Toc113517962 \h </w:instrText>
            </w:r>
            <w:r>
              <w:rPr>
                <w:webHidden/>
              </w:rPr>
            </w:r>
            <w:r>
              <w:rPr>
                <w:webHidden/>
              </w:rPr>
              <w:fldChar w:fldCharType="separate"/>
            </w:r>
            <w:r w:rsidR="00367395">
              <w:rPr>
                <w:webHidden/>
              </w:rPr>
              <w:t>62</w:t>
            </w:r>
            <w:r>
              <w:rPr>
                <w:webHidden/>
              </w:rPr>
              <w:fldChar w:fldCharType="end"/>
            </w:r>
          </w:hyperlink>
        </w:p>
        <w:p w14:paraId="34E5B902" w14:textId="2E9F6573" w:rsidR="00AE18A6" w:rsidRDefault="00AE18A6">
          <w:pPr>
            <w:pStyle w:val="TOC2"/>
            <w:rPr>
              <w:rFonts w:asciiTheme="minorHAnsi" w:eastAsiaTheme="minorEastAsia" w:hAnsiTheme="minorHAnsi"/>
              <w:noProof/>
              <w:sz w:val="22"/>
              <w:lang w:eastAsia="en-GB"/>
            </w:rPr>
          </w:pPr>
          <w:hyperlink w:anchor="_Toc113517963" w:history="1">
            <w:r w:rsidRPr="005E569A">
              <w:rPr>
                <w:rStyle w:val="Hyperlink"/>
                <w:noProof/>
              </w:rPr>
              <w:t>Belfast (Good Friday) Agreement</w:t>
            </w:r>
            <w:r>
              <w:rPr>
                <w:noProof/>
                <w:webHidden/>
              </w:rPr>
              <w:tab/>
            </w:r>
            <w:r>
              <w:rPr>
                <w:noProof/>
                <w:webHidden/>
              </w:rPr>
              <w:fldChar w:fldCharType="begin"/>
            </w:r>
            <w:r>
              <w:rPr>
                <w:noProof/>
                <w:webHidden/>
              </w:rPr>
              <w:instrText xml:space="preserve"> PAGEREF _Toc113517963 \h </w:instrText>
            </w:r>
            <w:r>
              <w:rPr>
                <w:noProof/>
                <w:webHidden/>
              </w:rPr>
            </w:r>
            <w:r>
              <w:rPr>
                <w:noProof/>
                <w:webHidden/>
              </w:rPr>
              <w:fldChar w:fldCharType="separate"/>
            </w:r>
            <w:r w:rsidR="00367395">
              <w:rPr>
                <w:noProof/>
                <w:webHidden/>
              </w:rPr>
              <w:t>62</w:t>
            </w:r>
            <w:r>
              <w:rPr>
                <w:noProof/>
                <w:webHidden/>
              </w:rPr>
              <w:fldChar w:fldCharType="end"/>
            </w:r>
          </w:hyperlink>
        </w:p>
        <w:p w14:paraId="6BF748E8" w14:textId="0DE7C418" w:rsidR="00AE18A6" w:rsidRDefault="00AE18A6">
          <w:pPr>
            <w:pStyle w:val="TOC2"/>
            <w:rPr>
              <w:rFonts w:asciiTheme="minorHAnsi" w:eastAsiaTheme="minorEastAsia" w:hAnsiTheme="minorHAnsi"/>
              <w:noProof/>
              <w:sz w:val="22"/>
              <w:lang w:eastAsia="en-GB"/>
            </w:rPr>
          </w:pPr>
          <w:hyperlink w:anchor="_Toc113517964" w:history="1">
            <w:r w:rsidRPr="005E569A">
              <w:rPr>
                <w:rStyle w:val="Hyperlink"/>
                <w:noProof/>
              </w:rPr>
              <w:t>NI Act 1998</w:t>
            </w:r>
            <w:r>
              <w:rPr>
                <w:noProof/>
                <w:webHidden/>
              </w:rPr>
              <w:tab/>
            </w:r>
            <w:r>
              <w:rPr>
                <w:noProof/>
                <w:webHidden/>
              </w:rPr>
              <w:fldChar w:fldCharType="begin"/>
            </w:r>
            <w:r>
              <w:rPr>
                <w:noProof/>
                <w:webHidden/>
              </w:rPr>
              <w:instrText xml:space="preserve"> PAGEREF _Toc113517964 \h </w:instrText>
            </w:r>
            <w:r>
              <w:rPr>
                <w:noProof/>
                <w:webHidden/>
              </w:rPr>
            </w:r>
            <w:r>
              <w:rPr>
                <w:noProof/>
                <w:webHidden/>
              </w:rPr>
              <w:fldChar w:fldCharType="separate"/>
            </w:r>
            <w:r w:rsidR="00367395">
              <w:rPr>
                <w:noProof/>
                <w:webHidden/>
              </w:rPr>
              <w:t>63</w:t>
            </w:r>
            <w:r>
              <w:rPr>
                <w:noProof/>
                <w:webHidden/>
              </w:rPr>
              <w:fldChar w:fldCharType="end"/>
            </w:r>
          </w:hyperlink>
        </w:p>
        <w:p w14:paraId="08B4DB8E" w14:textId="1E95C899" w:rsidR="00AE18A6" w:rsidRDefault="00AE18A6">
          <w:pPr>
            <w:pStyle w:val="TOC2"/>
            <w:rPr>
              <w:rFonts w:asciiTheme="minorHAnsi" w:eastAsiaTheme="minorEastAsia" w:hAnsiTheme="minorHAnsi"/>
              <w:noProof/>
              <w:sz w:val="22"/>
              <w:lang w:eastAsia="en-GB"/>
            </w:rPr>
          </w:pPr>
          <w:hyperlink w:anchor="_Toc113517965" w:history="1">
            <w:r w:rsidRPr="005E569A">
              <w:rPr>
                <w:rStyle w:val="Hyperlink"/>
                <w:noProof/>
              </w:rPr>
              <w:t>Human Rights Act 1998</w:t>
            </w:r>
            <w:r>
              <w:rPr>
                <w:noProof/>
                <w:webHidden/>
              </w:rPr>
              <w:tab/>
            </w:r>
            <w:r>
              <w:rPr>
                <w:noProof/>
                <w:webHidden/>
              </w:rPr>
              <w:fldChar w:fldCharType="begin"/>
            </w:r>
            <w:r>
              <w:rPr>
                <w:noProof/>
                <w:webHidden/>
              </w:rPr>
              <w:instrText xml:space="preserve"> PAGEREF _Toc113517965 \h </w:instrText>
            </w:r>
            <w:r>
              <w:rPr>
                <w:noProof/>
                <w:webHidden/>
              </w:rPr>
            </w:r>
            <w:r>
              <w:rPr>
                <w:noProof/>
                <w:webHidden/>
              </w:rPr>
              <w:fldChar w:fldCharType="separate"/>
            </w:r>
            <w:r w:rsidR="00367395">
              <w:rPr>
                <w:noProof/>
                <w:webHidden/>
              </w:rPr>
              <w:t>63</w:t>
            </w:r>
            <w:r>
              <w:rPr>
                <w:noProof/>
                <w:webHidden/>
              </w:rPr>
              <w:fldChar w:fldCharType="end"/>
            </w:r>
          </w:hyperlink>
        </w:p>
        <w:p w14:paraId="1D578006" w14:textId="110057EF" w:rsidR="00AE18A6" w:rsidRDefault="00AE18A6">
          <w:pPr>
            <w:pStyle w:val="TOC2"/>
            <w:rPr>
              <w:rFonts w:asciiTheme="minorHAnsi" w:eastAsiaTheme="minorEastAsia" w:hAnsiTheme="minorHAnsi"/>
              <w:noProof/>
              <w:sz w:val="22"/>
              <w:lang w:eastAsia="en-GB"/>
            </w:rPr>
          </w:pPr>
          <w:hyperlink w:anchor="_Toc113517966" w:history="1">
            <w:r w:rsidRPr="005E569A">
              <w:rPr>
                <w:rStyle w:val="Hyperlink"/>
                <w:noProof/>
              </w:rPr>
              <w:t>Protocol Article 2</w:t>
            </w:r>
            <w:r>
              <w:rPr>
                <w:noProof/>
                <w:webHidden/>
              </w:rPr>
              <w:tab/>
            </w:r>
            <w:r>
              <w:rPr>
                <w:noProof/>
                <w:webHidden/>
              </w:rPr>
              <w:fldChar w:fldCharType="begin"/>
            </w:r>
            <w:r>
              <w:rPr>
                <w:noProof/>
                <w:webHidden/>
              </w:rPr>
              <w:instrText xml:space="preserve"> PAGEREF _Toc113517966 \h </w:instrText>
            </w:r>
            <w:r>
              <w:rPr>
                <w:noProof/>
                <w:webHidden/>
              </w:rPr>
            </w:r>
            <w:r>
              <w:rPr>
                <w:noProof/>
                <w:webHidden/>
              </w:rPr>
              <w:fldChar w:fldCharType="separate"/>
            </w:r>
            <w:r w:rsidR="00367395">
              <w:rPr>
                <w:noProof/>
                <w:webHidden/>
              </w:rPr>
              <w:t>64</w:t>
            </w:r>
            <w:r>
              <w:rPr>
                <w:noProof/>
                <w:webHidden/>
              </w:rPr>
              <w:fldChar w:fldCharType="end"/>
            </w:r>
          </w:hyperlink>
        </w:p>
        <w:p w14:paraId="40D72AD0" w14:textId="34A3FE0E" w:rsidR="00AE18A6" w:rsidRDefault="00AE18A6">
          <w:pPr>
            <w:pStyle w:val="TOC2"/>
            <w:rPr>
              <w:rFonts w:asciiTheme="minorHAnsi" w:eastAsiaTheme="minorEastAsia" w:hAnsiTheme="minorHAnsi"/>
              <w:noProof/>
              <w:sz w:val="22"/>
              <w:lang w:eastAsia="en-GB"/>
            </w:rPr>
          </w:pPr>
          <w:hyperlink w:anchor="_Toc113517967" w:history="1">
            <w:r w:rsidRPr="005E569A">
              <w:rPr>
                <w:rStyle w:val="Hyperlink"/>
                <w:noProof/>
              </w:rPr>
              <w:t>Stormont House Agreement 2014</w:t>
            </w:r>
            <w:r>
              <w:rPr>
                <w:noProof/>
                <w:webHidden/>
              </w:rPr>
              <w:tab/>
            </w:r>
            <w:r>
              <w:rPr>
                <w:noProof/>
                <w:webHidden/>
              </w:rPr>
              <w:fldChar w:fldCharType="begin"/>
            </w:r>
            <w:r>
              <w:rPr>
                <w:noProof/>
                <w:webHidden/>
              </w:rPr>
              <w:instrText xml:space="preserve"> PAGEREF _Toc113517967 \h </w:instrText>
            </w:r>
            <w:r>
              <w:rPr>
                <w:noProof/>
                <w:webHidden/>
              </w:rPr>
            </w:r>
            <w:r>
              <w:rPr>
                <w:noProof/>
                <w:webHidden/>
              </w:rPr>
              <w:fldChar w:fldCharType="separate"/>
            </w:r>
            <w:r w:rsidR="00367395">
              <w:rPr>
                <w:noProof/>
                <w:webHidden/>
              </w:rPr>
              <w:t>64</w:t>
            </w:r>
            <w:r>
              <w:rPr>
                <w:noProof/>
                <w:webHidden/>
              </w:rPr>
              <w:fldChar w:fldCharType="end"/>
            </w:r>
          </w:hyperlink>
        </w:p>
        <w:p w14:paraId="19925617" w14:textId="1059F334" w:rsidR="00AE18A6" w:rsidRDefault="00AE18A6">
          <w:pPr>
            <w:pStyle w:val="TOC2"/>
            <w:rPr>
              <w:rFonts w:asciiTheme="minorHAnsi" w:eastAsiaTheme="minorEastAsia" w:hAnsiTheme="minorHAnsi"/>
              <w:noProof/>
              <w:sz w:val="22"/>
              <w:lang w:eastAsia="en-GB"/>
            </w:rPr>
          </w:pPr>
          <w:hyperlink w:anchor="_Toc113517968" w:history="1">
            <w:r w:rsidRPr="005E569A">
              <w:rPr>
                <w:rStyle w:val="Hyperlink"/>
                <w:noProof/>
              </w:rPr>
              <w:t>A Fresh Start – Stormont Agreement and Implementation Plan 2015</w:t>
            </w:r>
            <w:r>
              <w:rPr>
                <w:noProof/>
                <w:webHidden/>
              </w:rPr>
              <w:tab/>
            </w:r>
            <w:r>
              <w:rPr>
                <w:noProof/>
                <w:webHidden/>
              </w:rPr>
              <w:fldChar w:fldCharType="begin"/>
            </w:r>
            <w:r>
              <w:rPr>
                <w:noProof/>
                <w:webHidden/>
              </w:rPr>
              <w:instrText xml:space="preserve"> PAGEREF _Toc113517968 \h </w:instrText>
            </w:r>
            <w:r>
              <w:rPr>
                <w:noProof/>
                <w:webHidden/>
              </w:rPr>
            </w:r>
            <w:r>
              <w:rPr>
                <w:noProof/>
                <w:webHidden/>
              </w:rPr>
              <w:fldChar w:fldCharType="separate"/>
            </w:r>
            <w:r w:rsidR="00367395">
              <w:rPr>
                <w:noProof/>
                <w:webHidden/>
              </w:rPr>
              <w:t>66</w:t>
            </w:r>
            <w:r>
              <w:rPr>
                <w:noProof/>
                <w:webHidden/>
              </w:rPr>
              <w:fldChar w:fldCharType="end"/>
            </w:r>
          </w:hyperlink>
        </w:p>
        <w:p w14:paraId="1DFD72BF" w14:textId="0B2757B7" w:rsidR="00AE18A6" w:rsidRDefault="00AE18A6">
          <w:pPr>
            <w:pStyle w:val="TOC2"/>
            <w:rPr>
              <w:rFonts w:asciiTheme="minorHAnsi" w:eastAsiaTheme="minorEastAsia" w:hAnsiTheme="minorHAnsi"/>
              <w:noProof/>
              <w:sz w:val="22"/>
              <w:lang w:eastAsia="en-GB"/>
            </w:rPr>
          </w:pPr>
          <w:hyperlink w:anchor="_Toc113517969" w:history="1">
            <w:r w:rsidRPr="005E569A">
              <w:rPr>
                <w:rStyle w:val="Hyperlink"/>
                <w:noProof/>
              </w:rPr>
              <w:t>Public consultation</w:t>
            </w:r>
            <w:r>
              <w:rPr>
                <w:noProof/>
                <w:webHidden/>
              </w:rPr>
              <w:tab/>
            </w:r>
            <w:r>
              <w:rPr>
                <w:noProof/>
                <w:webHidden/>
              </w:rPr>
              <w:fldChar w:fldCharType="begin"/>
            </w:r>
            <w:r>
              <w:rPr>
                <w:noProof/>
                <w:webHidden/>
              </w:rPr>
              <w:instrText xml:space="preserve"> PAGEREF _Toc113517969 \h </w:instrText>
            </w:r>
            <w:r>
              <w:rPr>
                <w:noProof/>
                <w:webHidden/>
              </w:rPr>
            </w:r>
            <w:r>
              <w:rPr>
                <w:noProof/>
                <w:webHidden/>
              </w:rPr>
              <w:fldChar w:fldCharType="separate"/>
            </w:r>
            <w:r w:rsidR="00367395">
              <w:rPr>
                <w:noProof/>
                <w:webHidden/>
              </w:rPr>
              <w:t>67</w:t>
            </w:r>
            <w:r>
              <w:rPr>
                <w:noProof/>
                <w:webHidden/>
              </w:rPr>
              <w:fldChar w:fldCharType="end"/>
            </w:r>
          </w:hyperlink>
        </w:p>
        <w:p w14:paraId="1F27BA51" w14:textId="264BBA59" w:rsidR="00AE18A6" w:rsidRDefault="00AE18A6">
          <w:pPr>
            <w:pStyle w:val="TOC2"/>
            <w:rPr>
              <w:rFonts w:asciiTheme="minorHAnsi" w:eastAsiaTheme="minorEastAsia" w:hAnsiTheme="minorHAnsi"/>
              <w:noProof/>
              <w:sz w:val="22"/>
              <w:lang w:eastAsia="en-GB"/>
            </w:rPr>
          </w:pPr>
          <w:hyperlink w:anchor="_Toc113517970" w:history="1">
            <w:r w:rsidRPr="005E569A">
              <w:rPr>
                <w:rStyle w:val="Hyperlink"/>
                <w:noProof/>
              </w:rPr>
              <w:t>Consultation Responses Analysis</w:t>
            </w:r>
            <w:r>
              <w:rPr>
                <w:noProof/>
                <w:webHidden/>
              </w:rPr>
              <w:tab/>
            </w:r>
            <w:r>
              <w:rPr>
                <w:noProof/>
                <w:webHidden/>
              </w:rPr>
              <w:fldChar w:fldCharType="begin"/>
            </w:r>
            <w:r>
              <w:rPr>
                <w:noProof/>
                <w:webHidden/>
              </w:rPr>
              <w:instrText xml:space="preserve"> PAGEREF _Toc113517970 \h </w:instrText>
            </w:r>
            <w:r>
              <w:rPr>
                <w:noProof/>
                <w:webHidden/>
              </w:rPr>
            </w:r>
            <w:r>
              <w:rPr>
                <w:noProof/>
                <w:webHidden/>
              </w:rPr>
              <w:fldChar w:fldCharType="separate"/>
            </w:r>
            <w:r w:rsidR="00367395">
              <w:rPr>
                <w:noProof/>
                <w:webHidden/>
              </w:rPr>
              <w:t>69</w:t>
            </w:r>
            <w:r>
              <w:rPr>
                <w:noProof/>
                <w:webHidden/>
              </w:rPr>
              <w:fldChar w:fldCharType="end"/>
            </w:r>
          </w:hyperlink>
        </w:p>
        <w:p w14:paraId="5223805A" w14:textId="11819D14" w:rsidR="00AE18A6" w:rsidRDefault="00AE18A6">
          <w:pPr>
            <w:pStyle w:val="TOC2"/>
            <w:rPr>
              <w:rFonts w:asciiTheme="minorHAnsi" w:eastAsiaTheme="minorEastAsia" w:hAnsiTheme="minorHAnsi"/>
              <w:noProof/>
              <w:sz w:val="22"/>
              <w:lang w:eastAsia="en-GB"/>
            </w:rPr>
          </w:pPr>
          <w:hyperlink w:anchor="_Toc113517971" w:history="1">
            <w:r w:rsidRPr="005E569A">
              <w:rPr>
                <w:rStyle w:val="Hyperlink"/>
                <w:noProof/>
              </w:rPr>
              <w:t>New Decade, New Approach</w:t>
            </w:r>
            <w:r>
              <w:rPr>
                <w:noProof/>
                <w:webHidden/>
              </w:rPr>
              <w:tab/>
            </w:r>
            <w:r>
              <w:rPr>
                <w:noProof/>
                <w:webHidden/>
              </w:rPr>
              <w:fldChar w:fldCharType="begin"/>
            </w:r>
            <w:r>
              <w:rPr>
                <w:noProof/>
                <w:webHidden/>
              </w:rPr>
              <w:instrText xml:space="preserve"> PAGEREF _Toc113517971 \h </w:instrText>
            </w:r>
            <w:r>
              <w:rPr>
                <w:noProof/>
                <w:webHidden/>
              </w:rPr>
            </w:r>
            <w:r>
              <w:rPr>
                <w:noProof/>
                <w:webHidden/>
              </w:rPr>
              <w:fldChar w:fldCharType="separate"/>
            </w:r>
            <w:r w:rsidR="00367395">
              <w:rPr>
                <w:noProof/>
                <w:webHidden/>
              </w:rPr>
              <w:t>70</w:t>
            </w:r>
            <w:r>
              <w:rPr>
                <w:noProof/>
                <w:webHidden/>
              </w:rPr>
              <w:fldChar w:fldCharType="end"/>
            </w:r>
          </w:hyperlink>
        </w:p>
        <w:p w14:paraId="36FFEF1D" w14:textId="5AE44C6E" w:rsidR="00AE18A6" w:rsidRDefault="00AE18A6">
          <w:pPr>
            <w:pStyle w:val="TOC2"/>
            <w:rPr>
              <w:rFonts w:asciiTheme="minorHAnsi" w:eastAsiaTheme="minorEastAsia" w:hAnsiTheme="minorHAnsi"/>
              <w:noProof/>
              <w:sz w:val="22"/>
              <w:lang w:eastAsia="en-GB"/>
            </w:rPr>
          </w:pPr>
          <w:hyperlink w:anchor="_Toc113517972" w:history="1">
            <w:r w:rsidRPr="005E569A">
              <w:rPr>
                <w:rStyle w:val="Hyperlink"/>
                <w:noProof/>
              </w:rPr>
              <w:t>Ministerial Statement 2020</w:t>
            </w:r>
            <w:r>
              <w:rPr>
                <w:noProof/>
                <w:webHidden/>
              </w:rPr>
              <w:tab/>
            </w:r>
            <w:r>
              <w:rPr>
                <w:noProof/>
                <w:webHidden/>
              </w:rPr>
              <w:fldChar w:fldCharType="begin"/>
            </w:r>
            <w:r>
              <w:rPr>
                <w:noProof/>
                <w:webHidden/>
              </w:rPr>
              <w:instrText xml:space="preserve"> PAGEREF _Toc113517972 \h </w:instrText>
            </w:r>
            <w:r>
              <w:rPr>
                <w:noProof/>
                <w:webHidden/>
              </w:rPr>
            </w:r>
            <w:r>
              <w:rPr>
                <w:noProof/>
                <w:webHidden/>
              </w:rPr>
              <w:fldChar w:fldCharType="separate"/>
            </w:r>
            <w:r w:rsidR="00367395">
              <w:rPr>
                <w:noProof/>
                <w:webHidden/>
              </w:rPr>
              <w:t>72</w:t>
            </w:r>
            <w:r>
              <w:rPr>
                <w:noProof/>
                <w:webHidden/>
              </w:rPr>
              <w:fldChar w:fldCharType="end"/>
            </w:r>
          </w:hyperlink>
        </w:p>
        <w:p w14:paraId="1384ED07" w14:textId="6F0BFD47" w:rsidR="00AE18A6" w:rsidRDefault="00AE18A6">
          <w:pPr>
            <w:pStyle w:val="TOC2"/>
            <w:rPr>
              <w:rFonts w:asciiTheme="minorHAnsi" w:eastAsiaTheme="minorEastAsia" w:hAnsiTheme="minorHAnsi"/>
              <w:noProof/>
              <w:sz w:val="22"/>
              <w:lang w:eastAsia="en-GB"/>
            </w:rPr>
          </w:pPr>
          <w:hyperlink w:anchor="_Toc113517973" w:history="1">
            <w:r w:rsidRPr="005E569A">
              <w:rPr>
                <w:rStyle w:val="Hyperlink"/>
                <w:noProof/>
              </w:rPr>
              <w:t>Queen’s Speech 2021</w:t>
            </w:r>
            <w:r>
              <w:rPr>
                <w:noProof/>
                <w:webHidden/>
              </w:rPr>
              <w:tab/>
            </w:r>
            <w:r>
              <w:rPr>
                <w:noProof/>
                <w:webHidden/>
              </w:rPr>
              <w:fldChar w:fldCharType="begin"/>
            </w:r>
            <w:r>
              <w:rPr>
                <w:noProof/>
                <w:webHidden/>
              </w:rPr>
              <w:instrText xml:space="preserve"> PAGEREF _Toc113517973 \h </w:instrText>
            </w:r>
            <w:r>
              <w:rPr>
                <w:noProof/>
                <w:webHidden/>
              </w:rPr>
            </w:r>
            <w:r>
              <w:rPr>
                <w:noProof/>
                <w:webHidden/>
              </w:rPr>
              <w:fldChar w:fldCharType="separate"/>
            </w:r>
            <w:r w:rsidR="00367395">
              <w:rPr>
                <w:noProof/>
                <w:webHidden/>
              </w:rPr>
              <w:t>73</w:t>
            </w:r>
            <w:r>
              <w:rPr>
                <w:noProof/>
                <w:webHidden/>
              </w:rPr>
              <w:fldChar w:fldCharType="end"/>
            </w:r>
          </w:hyperlink>
        </w:p>
        <w:p w14:paraId="6D85CF93" w14:textId="3F53DC29" w:rsidR="00AE18A6" w:rsidRDefault="00AE18A6">
          <w:pPr>
            <w:pStyle w:val="TOC2"/>
            <w:rPr>
              <w:rFonts w:asciiTheme="minorHAnsi" w:eastAsiaTheme="minorEastAsia" w:hAnsiTheme="minorHAnsi"/>
              <w:noProof/>
              <w:sz w:val="22"/>
              <w:lang w:eastAsia="en-GB"/>
            </w:rPr>
          </w:pPr>
          <w:hyperlink w:anchor="_Toc113517974" w:history="1">
            <w:r w:rsidRPr="005E569A">
              <w:rPr>
                <w:rStyle w:val="Hyperlink"/>
                <w:noProof/>
              </w:rPr>
              <w:t>Command Paper on Addressing Legacy of the NI’s Past</w:t>
            </w:r>
            <w:r>
              <w:rPr>
                <w:noProof/>
                <w:webHidden/>
              </w:rPr>
              <w:tab/>
            </w:r>
            <w:r>
              <w:rPr>
                <w:noProof/>
                <w:webHidden/>
              </w:rPr>
              <w:fldChar w:fldCharType="begin"/>
            </w:r>
            <w:r>
              <w:rPr>
                <w:noProof/>
                <w:webHidden/>
              </w:rPr>
              <w:instrText xml:space="preserve"> PAGEREF _Toc113517974 \h </w:instrText>
            </w:r>
            <w:r>
              <w:rPr>
                <w:noProof/>
                <w:webHidden/>
              </w:rPr>
            </w:r>
            <w:r>
              <w:rPr>
                <w:noProof/>
                <w:webHidden/>
              </w:rPr>
              <w:fldChar w:fldCharType="separate"/>
            </w:r>
            <w:r w:rsidR="00367395">
              <w:rPr>
                <w:noProof/>
                <w:webHidden/>
              </w:rPr>
              <w:t>73</w:t>
            </w:r>
            <w:r>
              <w:rPr>
                <w:noProof/>
                <w:webHidden/>
              </w:rPr>
              <w:fldChar w:fldCharType="end"/>
            </w:r>
          </w:hyperlink>
        </w:p>
        <w:p w14:paraId="417936C9" w14:textId="093D9D84" w:rsidR="00AE18A6" w:rsidRDefault="00AE18A6">
          <w:pPr>
            <w:pStyle w:val="TOC2"/>
            <w:rPr>
              <w:rFonts w:asciiTheme="minorHAnsi" w:eastAsiaTheme="minorEastAsia" w:hAnsiTheme="minorHAnsi"/>
              <w:noProof/>
              <w:sz w:val="22"/>
              <w:lang w:eastAsia="en-GB"/>
            </w:rPr>
          </w:pPr>
          <w:hyperlink w:anchor="_Toc113517975" w:history="1">
            <w:r w:rsidRPr="005E569A">
              <w:rPr>
                <w:rStyle w:val="Hyperlink"/>
                <w:noProof/>
              </w:rPr>
              <w:t>NI Troubles (Legacy and Reconciliation) Bill</w:t>
            </w:r>
            <w:r>
              <w:rPr>
                <w:noProof/>
                <w:webHidden/>
              </w:rPr>
              <w:tab/>
            </w:r>
            <w:r>
              <w:rPr>
                <w:noProof/>
                <w:webHidden/>
              </w:rPr>
              <w:fldChar w:fldCharType="begin"/>
            </w:r>
            <w:r>
              <w:rPr>
                <w:noProof/>
                <w:webHidden/>
              </w:rPr>
              <w:instrText xml:space="preserve"> PAGEREF _Toc113517975 \h </w:instrText>
            </w:r>
            <w:r>
              <w:rPr>
                <w:noProof/>
                <w:webHidden/>
              </w:rPr>
            </w:r>
            <w:r>
              <w:rPr>
                <w:noProof/>
                <w:webHidden/>
              </w:rPr>
              <w:fldChar w:fldCharType="separate"/>
            </w:r>
            <w:r w:rsidR="00367395">
              <w:rPr>
                <w:noProof/>
                <w:webHidden/>
              </w:rPr>
              <w:t>74</w:t>
            </w:r>
            <w:r>
              <w:rPr>
                <w:noProof/>
                <w:webHidden/>
              </w:rPr>
              <w:fldChar w:fldCharType="end"/>
            </w:r>
          </w:hyperlink>
        </w:p>
        <w:p w14:paraId="62378493" w14:textId="2927A520" w:rsidR="00AE18A6" w:rsidRDefault="00AE18A6">
          <w:pPr>
            <w:pStyle w:val="TOC2"/>
            <w:rPr>
              <w:rFonts w:asciiTheme="minorHAnsi" w:eastAsiaTheme="minorEastAsia" w:hAnsiTheme="minorHAnsi"/>
              <w:noProof/>
              <w:sz w:val="22"/>
              <w:lang w:eastAsia="en-GB"/>
            </w:rPr>
          </w:pPr>
          <w:hyperlink w:anchor="_Toc113517976" w:history="1">
            <w:r w:rsidRPr="005E569A">
              <w:rPr>
                <w:rStyle w:val="Hyperlink"/>
                <w:noProof/>
              </w:rPr>
              <w:t>Equality Impact Assessment of NI Troubles (Legacy and Reconciliation) Bill</w:t>
            </w:r>
            <w:r>
              <w:rPr>
                <w:noProof/>
                <w:webHidden/>
              </w:rPr>
              <w:tab/>
            </w:r>
            <w:r>
              <w:rPr>
                <w:noProof/>
                <w:webHidden/>
              </w:rPr>
              <w:fldChar w:fldCharType="begin"/>
            </w:r>
            <w:r>
              <w:rPr>
                <w:noProof/>
                <w:webHidden/>
              </w:rPr>
              <w:instrText xml:space="preserve"> PAGEREF _Toc113517976 \h </w:instrText>
            </w:r>
            <w:r>
              <w:rPr>
                <w:noProof/>
                <w:webHidden/>
              </w:rPr>
            </w:r>
            <w:r>
              <w:rPr>
                <w:noProof/>
                <w:webHidden/>
              </w:rPr>
              <w:fldChar w:fldCharType="separate"/>
            </w:r>
            <w:r w:rsidR="00367395">
              <w:rPr>
                <w:noProof/>
                <w:webHidden/>
              </w:rPr>
              <w:t>74</w:t>
            </w:r>
            <w:r>
              <w:rPr>
                <w:noProof/>
                <w:webHidden/>
              </w:rPr>
              <w:fldChar w:fldCharType="end"/>
            </w:r>
          </w:hyperlink>
        </w:p>
        <w:p w14:paraId="06E5E727" w14:textId="3E534C46" w:rsidR="00AE18A6" w:rsidRDefault="00AE18A6">
          <w:pPr>
            <w:pStyle w:val="TOC2"/>
            <w:rPr>
              <w:rFonts w:asciiTheme="minorHAnsi" w:eastAsiaTheme="minorEastAsia" w:hAnsiTheme="minorHAnsi"/>
              <w:noProof/>
              <w:sz w:val="22"/>
              <w:lang w:eastAsia="en-GB"/>
            </w:rPr>
          </w:pPr>
          <w:hyperlink w:anchor="_Toc113517977" w:history="1">
            <w:r w:rsidRPr="005E569A">
              <w:rPr>
                <w:rStyle w:val="Hyperlink"/>
                <w:noProof/>
              </w:rPr>
              <w:t>Second Reading of NI Troubles (Legacy and Reconciliation) Bill</w:t>
            </w:r>
            <w:r>
              <w:rPr>
                <w:noProof/>
                <w:webHidden/>
              </w:rPr>
              <w:tab/>
            </w:r>
            <w:r>
              <w:rPr>
                <w:noProof/>
                <w:webHidden/>
              </w:rPr>
              <w:fldChar w:fldCharType="begin"/>
            </w:r>
            <w:r>
              <w:rPr>
                <w:noProof/>
                <w:webHidden/>
              </w:rPr>
              <w:instrText xml:space="preserve"> PAGEREF _Toc113517977 \h </w:instrText>
            </w:r>
            <w:r>
              <w:rPr>
                <w:noProof/>
                <w:webHidden/>
              </w:rPr>
            </w:r>
            <w:r>
              <w:rPr>
                <w:noProof/>
                <w:webHidden/>
              </w:rPr>
              <w:fldChar w:fldCharType="separate"/>
            </w:r>
            <w:r w:rsidR="00367395">
              <w:rPr>
                <w:noProof/>
                <w:webHidden/>
              </w:rPr>
              <w:t>75</w:t>
            </w:r>
            <w:r>
              <w:rPr>
                <w:noProof/>
                <w:webHidden/>
              </w:rPr>
              <w:fldChar w:fldCharType="end"/>
            </w:r>
          </w:hyperlink>
        </w:p>
        <w:p w14:paraId="120FDF0F" w14:textId="3CE17E49" w:rsidR="00FF5C15" w:rsidRPr="002F2B00" w:rsidRDefault="00FF5C15">
          <w:r w:rsidRPr="002F2B00">
            <w:rPr>
              <w:b/>
              <w:bCs/>
              <w:noProof/>
            </w:rPr>
            <w:fldChar w:fldCharType="end"/>
          </w:r>
        </w:p>
      </w:sdtContent>
    </w:sdt>
    <w:p w14:paraId="35B76620" w14:textId="5C913116" w:rsidR="00395DFD" w:rsidRPr="002F2B00" w:rsidRDefault="00395DFD" w:rsidP="00FF5C15">
      <w:pPr>
        <w:pStyle w:val="TOCHeading"/>
      </w:pPr>
    </w:p>
    <w:p w14:paraId="57D5A321" w14:textId="77777777" w:rsidR="00395DFD" w:rsidRPr="002F2B00" w:rsidRDefault="00395DFD" w:rsidP="00C217B5">
      <w:pPr>
        <w:rPr>
          <w:rFonts w:eastAsiaTheme="majorEastAsia" w:cstheme="majorBidi"/>
          <w:b/>
          <w:color w:val="77328A"/>
          <w:sz w:val="30"/>
          <w:szCs w:val="32"/>
        </w:rPr>
      </w:pPr>
      <w:r w:rsidRPr="002F2B00">
        <w:br w:type="page"/>
      </w:r>
    </w:p>
    <w:p w14:paraId="39367E24" w14:textId="16D7CA14" w:rsidR="00395DFD" w:rsidRPr="002F2B00" w:rsidRDefault="00395DFD" w:rsidP="00C217B5">
      <w:pPr>
        <w:pStyle w:val="Heading1"/>
        <w:numPr>
          <w:ilvl w:val="0"/>
          <w:numId w:val="13"/>
        </w:numPr>
      </w:pPr>
      <w:bookmarkStart w:id="0" w:name="_Toc523318854"/>
      <w:bookmarkStart w:id="1" w:name="_Toc113517942"/>
      <w:r w:rsidRPr="002F2B00">
        <w:lastRenderedPageBreak/>
        <w:t>Introduction</w:t>
      </w:r>
      <w:bookmarkEnd w:id="0"/>
      <w:bookmarkEnd w:id="1"/>
    </w:p>
    <w:p w14:paraId="0C4EA0A4" w14:textId="7B76D200" w:rsidR="00D72BA8" w:rsidRPr="002F2B00" w:rsidRDefault="00D72BA8" w:rsidP="00D72BA8">
      <w:pPr>
        <w:pStyle w:val="ListParagraph"/>
        <w:numPr>
          <w:ilvl w:val="1"/>
          <w:numId w:val="27"/>
        </w:numPr>
        <w:ind w:left="720"/>
        <w:jc w:val="both"/>
      </w:pPr>
      <w:r w:rsidRPr="002F2B00">
        <w:t xml:space="preserve">The Northern Ireland Human Rights Commission (NIHRC), pursuant to section 69(1) of the Northern Ireland (NI) Act 1998, reviews the adequacy and effectiveness of law and practice relating to the protection of human rights in NI. The NIHRC is also </w:t>
      </w:r>
      <w:r w:rsidR="00CB5D96" w:rsidRPr="002F2B00">
        <w:t>required</w:t>
      </w:r>
      <w:r w:rsidRPr="002F2B00">
        <w:t>, under section 78</w:t>
      </w:r>
      <w:proofErr w:type="gramStart"/>
      <w:r w:rsidRPr="002F2B00">
        <w:t>A(</w:t>
      </w:r>
      <w:proofErr w:type="gramEnd"/>
      <w:r w:rsidRPr="002F2B00">
        <w:t>1)</w:t>
      </w:r>
      <w:r w:rsidR="00CB5D96" w:rsidRPr="002F2B00">
        <w:t>,</w:t>
      </w:r>
      <w:r w:rsidRPr="002F2B00">
        <w:t xml:space="preserve"> to monitor the implementation of Article 2(1) of the Protocol on Ireland/NI of the </w:t>
      </w:r>
      <w:r w:rsidR="00933983" w:rsidRPr="002F2B00">
        <w:t>UK-EU</w:t>
      </w:r>
      <w:r w:rsidRPr="002F2B00">
        <w:t xml:space="preserve"> Withdrawal Agreement</w:t>
      </w:r>
      <w:r w:rsidR="00933983" w:rsidRPr="002F2B00">
        <w:t xml:space="preserve"> (Protocol Article 2)</w:t>
      </w:r>
      <w:r w:rsidR="00CB5D96" w:rsidRPr="002F2B00">
        <w:t>.</w:t>
      </w:r>
      <w:r w:rsidR="00A528AE" w:rsidRPr="002F2B00">
        <w:rPr>
          <w:rStyle w:val="FootnoteReference"/>
        </w:rPr>
        <w:footnoteReference w:id="2"/>
      </w:r>
      <w:r w:rsidR="00CB5D96" w:rsidRPr="002F2B00">
        <w:t xml:space="preserve"> </w:t>
      </w:r>
      <w:r w:rsidR="00A528AE" w:rsidRPr="002F2B00">
        <w:t>Protocol Article 2 requires the U</w:t>
      </w:r>
      <w:r w:rsidR="0032088F" w:rsidRPr="002F2B00">
        <w:t xml:space="preserve">nited </w:t>
      </w:r>
      <w:r w:rsidR="00A528AE" w:rsidRPr="002F2B00">
        <w:t>K</w:t>
      </w:r>
      <w:r w:rsidR="0032088F" w:rsidRPr="002F2B00">
        <w:t>ingdom</w:t>
      </w:r>
      <w:r w:rsidR="00455A78" w:rsidRPr="002F2B00">
        <w:t xml:space="preserve"> </w:t>
      </w:r>
      <w:r w:rsidR="0032088F" w:rsidRPr="002F2B00">
        <w:t>(UK)</w:t>
      </w:r>
      <w:r w:rsidR="00A528AE" w:rsidRPr="002F2B00">
        <w:t xml:space="preserve"> Government to </w:t>
      </w:r>
      <w:r w:rsidR="00CB5D96" w:rsidRPr="002F2B00">
        <w:t>ensure</w:t>
      </w:r>
      <w:r w:rsidRPr="002F2B00">
        <w:t xml:space="preserve"> there is no diminution of rights protected in the ‘Rights, Safeguards and Equality of Opportunity’ chapter of the Belfast (Good Friday) Agreement 1998 as a result of the </w:t>
      </w:r>
      <w:r w:rsidR="00455A78" w:rsidRPr="002F2B00">
        <w:t>UK</w:t>
      </w:r>
      <w:r w:rsidRPr="002F2B00">
        <w:t xml:space="preserve">’s withdrawal from the </w:t>
      </w:r>
      <w:r w:rsidR="002D2057" w:rsidRPr="002F2B00">
        <w:t>EU</w:t>
      </w:r>
      <w:r w:rsidRPr="002F2B00">
        <w:t xml:space="preserve">. In accordance with these functions the following </w:t>
      </w:r>
      <w:r w:rsidR="009068A2" w:rsidRPr="002F2B00">
        <w:t>advice is provided on t</w:t>
      </w:r>
      <w:r w:rsidRPr="002F2B00">
        <w:t>he NI Troubles (Legacy and Reconciliation) Bill</w:t>
      </w:r>
      <w:r w:rsidR="00344F36" w:rsidRPr="002F2B00">
        <w:t xml:space="preserve"> (the Bill)</w:t>
      </w:r>
      <w:r w:rsidRPr="002F2B00">
        <w:t>.</w:t>
      </w:r>
    </w:p>
    <w:p w14:paraId="063B65CC" w14:textId="77777777" w:rsidR="00632672" w:rsidRPr="002F2B00" w:rsidRDefault="00632672" w:rsidP="00632672">
      <w:pPr>
        <w:pStyle w:val="ListParagraph"/>
        <w:jc w:val="both"/>
      </w:pPr>
    </w:p>
    <w:p w14:paraId="5A03C6EE" w14:textId="45ADD735" w:rsidR="003709B1" w:rsidRPr="002F2B00" w:rsidRDefault="00BF4148" w:rsidP="00074F1D">
      <w:pPr>
        <w:ind w:left="709" w:hanging="709"/>
      </w:pPr>
      <w:r w:rsidRPr="002F2B00">
        <w:t>1.2</w:t>
      </w:r>
      <w:r w:rsidRPr="002F2B00">
        <w:tab/>
        <w:t xml:space="preserve">The </w:t>
      </w:r>
      <w:r w:rsidR="0047035A" w:rsidRPr="002F2B00">
        <w:t>NIHRC</w:t>
      </w:r>
      <w:r w:rsidR="00D705CF" w:rsidRPr="002F2B00">
        <w:t xml:space="preserve"> is gravely concern</w:t>
      </w:r>
      <w:r w:rsidR="00EA4C60" w:rsidRPr="002F2B00">
        <w:t>ed</w:t>
      </w:r>
      <w:r w:rsidR="00D705CF" w:rsidRPr="002F2B00">
        <w:t xml:space="preserve"> that the </w:t>
      </w:r>
      <w:r w:rsidR="0040385C" w:rsidRPr="002F2B00">
        <w:t xml:space="preserve">current draft of the </w:t>
      </w:r>
      <w:r w:rsidRPr="002F2B00">
        <w:t>Bill</w:t>
      </w:r>
      <w:r w:rsidR="00CB5D96" w:rsidRPr="002F2B00">
        <w:t>, when read as a whole,</w:t>
      </w:r>
      <w:r w:rsidRPr="002F2B00">
        <w:t xml:space="preserve"> is incompatible with Articles 2 (right to life) and 3 (freedom from torture) of the European Convention on Human Rights (ECHR).</w:t>
      </w:r>
      <w:r w:rsidRPr="002F2B00">
        <w:rPr>
          <w:rStyle w:val="FootnoteReference"/>
        </w:rPr>
        <w:footnoteReference w:id="3"/>
      </w:r>
      <w:r w:rsidRPr="002F2B00">
        <w:t xml:space="preserve"> </w:t>
      </w:r>
      <w:r w:rsidR="00A14E73" w:rsidRPr="002F2B00">
        <w:t xml:space="preserve">By extension, the </w:t>
      </w:r>
      <w:r w:rsidR="0047035A" w:rsidRPr="002F2B00">
        <w:t>NIHRC</w:t>
      </w:r>
      <w:r w:rsidR="00A14E73" w:rsidRPr="002F2B00">
        <w:t xml:space="preserve"> is also concerned that the </w:t>
      </w:r>
      <w:r w:rsidR="00005879" w:rsidRPr="002F2B00">
        <w:t xml:space="preserve">current draft of the </w:t>
      </w:r>
      <w:r w:rsidR="00A14E73" w:rsidRPr="002F2B00">
        <w:t xml:space="preserve">Bill </w:t>
      </w:r>
      <w:r w:rsidR="00CB5D96" w:rsidRPr="002F2B00">
        <w:t>is incompatible with the Human Rights Act 1998</w:t>
      </w:r>
      <w:r w:rsidR="00074F1D" w:rsidRPr="002F2B00">
        <w:t>,</w:t>
      </w:r>
      <w:r w:rsidR="00074F1D" w:rsidRPr="002F2B00">
        <w:rPr>
          <w:rStyle w:val="FootnoteReference"/>
        </w:rPr>
        <w:footnoteReference w:id="4"/>
      </w:r>
      <w:r w:rsidR="00074F1D" w:rsidRPr="002F2B00">
        <w:t xml:space="preserve"> which </w:t>
      </w:r>
      <w:r w:rsidR="00D57740" w:rsidRPr="002F2B00">
        <w:t>embed</w:t>
      </w:r>
      <w:r w:rsidR="00074F1D" w:rsidRPr="002F2B00">
        <w:t>s</w:t>
      </w:r>
      <w:r w:rsidR="00A46457" w:rsidRPr="002F2B00">
        <w:t xml:space="preserve"> the ECHR within domestic law</w:t>
      </w:r>
      <w:r w:rsidR="00074F1D" w:rsidRPr="002F2B00">
        <w:t xml:space="preserve"> and with</w:t>
      </w:r>
      <w:r w:rsidR="00A46457" w:rsidRPr="002F2B00">
        <w:t xml:space="preserve"> the Belfast (Good Friday) Agreement</w:t>
      </w:r>
      <w:r w:rsidR="00F126C1" w:rsidRPr="002F2B00">
        <w:t xml:space="preserve"> 1998</w:t>
      </w:r>
      <w:r w:rsidR="00074F1D" w:rsidRPr="002F2B00">
        <w:t>.</w:t>
      </w:r>
      <w:r w:rsidR="00F126C1" w:rsidRPr="002F2B00">
        <w:rPr>
          <w:rStyle w:val="FootnoteReference"/>
        </w:rPr>
        <w:footnoteReference w:id="5"/>
      </w:r>
      <w:r w:rsidR="00DD09C0" w:rsidRPr="002F2B00">
        <w:t xml:space="preserve"> </w:t>
      </w:r>
      <w:r w:rsidR="00074F1D" w:rsidRPr="002F2B00">
        <w:t xml:space="preserve">Furthermore, the </w:t>
      </w:r>
      <w:r w:rsidR="0047035A" w:rsidRPr="002F2B00">
        <w:t>NIHRC</w:t>
      </w:r>
      <w:r w:rsidR="006C518C" w:rsidRPr="002F2B00">
        <w:t xml:space="preserve"> </w:t>
      </w:r>
      <w:r w:rsidR="009C3A9B" w:rsidRPr="002F2B00">
        <w:t>is of the view that</w:t>
      </w:r>
      <w:r w:rsidR="006C518C" w:rsidRPr="002F2B00">
        <w:t xml:space="preserve"> the </w:t>
      </w:r>
      <w:r w:rsidR="00005879" w:rsidRPr="002F2B00">
        <w:t xml:space="preserve">current draft of the </w:t>
      </w:r>
      <w:r w:rsidR="00074F1D" w:rsidRPr="002F2B00">
        <w:t xml:space="preserve">Bill </w:t>
      </w:r>
      <w:r w:rsidR="0047035A" w:rsidRPr="002F2B00">
        <w:t>is</w:t>
      </w:r>
      <w:r w:rsidR="00074F1D" w:rsidRPr="002F2B00">
        <w:t xml:space="preserve"> contrary to </w:t>
      </w:r>
      <w:r w:rsidR="006D17AF" w:rsidRPr="002F2B00">
        <w:t>the Stormont House Agreement 2014,</w:t>
      </w:r>
      <w:r w:rsidR="00F126C1" w:rsidRPr="002F2B00">
        <w:rPr>
          <w:rStyle w:val="FootnoteReference"/>
        </w:rPr>
        <w:footnoteReference w:id="6"/>
      </w:r>
      <w:r w:rsidR="006D17AF" w:rsidRPr="002F2B00">
        <w:t xml:space="preserve"> </w:t>
      </w:r>
      <w:r w:rsidR="00074F1D" w:rsidRPr="002F2B00">
        <w:t xml:space="preserve">the </w:t>
      </w:r>
      <w:r w:rsidR="008330BC" w:rsidRPr="002F2B00">
        <w:t>Fresh Start Agreement 2015</w:t>
      </w:r>
      <w:r w:rsidR="00F126C1" w:rsidRPr="002F2B00">
        <w:rPr>
          <w:rStyle w:val="FootnoteReference"/>
        </w:rPr>
        <w:footnoteReference w:id="7"/>
      </w:r>
      <w:r w:rsidR="001F559A" w:rsidRPr="002F2B00">
        <w:t xml:space="preserve"> and </w:t>
      </w:r>
      <w:r w:rsidR="00074F1D" w:rsidRPr="002F2B00">
        <w:t xml:space="preserve">the </w:t>
      </w:r>
      <w:r w:rsidR="001F559A" w:rsidRPr="002F2B00">
        <w:t>New Decade, New Approach 2020</w:t>
      </w:r>
      <w:r w:rsidR="00074F1D" w:rsidRPr="002F2B00">
        <w:t xml:space="preserve"> agreement</w:t>
      </w:r>
      <w:r w:rsidR="001F559A" w:rsidRPr="002F2B00">
        <w:t>.</w:t>
      </w:r>
      <w:r w:rsidR="00F126C1" w:rsidRPr="002F2B00">
        <w:rPr>
          <w:rStyle w:val="FootnoteReference"/>
        </w:rPr>
        <w:footnoteReference w:id="8"/>
      </w:r>
      <w:r w:rsidR="001F559A" w:rsidRPr="002F2B00">
        <w:t xml:space="preserve"> </w:t>
      </w:r>
    </w:p>
    <w:p w14:paraId="1ECCEB96" w14:textId="77777777" w:rsidR="003709B1" w:rsidRPr="002F2B00" w:rsidRDefault="003709B1" w:rsidP="00074F1D">
      <w:pPr>
        <w:ind w:left="709" w:hanging="709"/>
      </w:pPr>
    </w:p>
    <w:p w14:paraId="3B253211" w14:textId="70E75AE0" w:rsidR="00192F42" w:rsidRPr="002F2B00" w:rsidRDefault="003709B1" w:rsidP="00074F1D">
      <w:pPr>
        <w:ind w:left="709" w:hanging="709"/>
      </w:pPr>
      <w:r w:rsidRPr="002F2B00">
        <w:t>1.3</w:t>
      </w:r>
      <w:r w:rsidRPr="002F2B00">
        <w:tab/>
      </w:r>
      <w:r w:rsidR="00AE7B99" w:rsidRPr="002F2B00">
        <w:t xml:space="preserve">The </w:t>
      </w:r>
      <w:r w:rsidR="00005879" w:rsidRPr="002F2B00">
        <w:t>current draft of the</w:t>
      </w:r>
      <w:r w:rsidR="0040385C" w:rsidRPr="002F2B00">
        <w:t xml:space="preserve"> </w:t>
      </w:r>
      <w:r w:rsidR="00AE7B99" w:rsidRPr="002F2B00">
        <w:t xml:space="preserve">Bill </w:t>
      </w:r>
      <w:r w:rsidR="00AF3EAB" w:rsidRPr="002F2B00">
        <w:t>does not reflect</w:t>
      </w:r>
      <w:r w:rsidR="00526094" w:rsidRPr="002F2B00">
        <w:t xml:space="preserve"> the views of 17,000 consultees who considered a previous legacy bill in 2018</w:t>
      </w:r>
      <w:r w:rsidR="001659B9" w:rsidRPr="002F2B00">
        <w:rPr>
          <w:rStyle w:val="FootnoteReference"/>
        </w:rPr>
        <w:footnoteReference w:id="9"/>
      </w:r>
      <w:r w:rsidR="00526094" w:rsidRPr="002F2B00">
        <w:t xml:space="preserve"> and </w:t>
      </w:r>
      <w:r w:rsidR="00AE7B99" w:rsidRPr="002F2B00">
        <w:t xml:space="preserve">is </w:t>
      </w:r>
      <w:r w:rsidR="00AE7B99" w:rsidRPr="002F2B00">
        <w:lastRenderedPageBreak/>
        <w:t xml:space="preserve">staunchly </w:t>
      </w:r>
      <w:r w:rsidR="005D3EAA" w:rsidRPr="002F2B00">
        <w:t xml:space="preserve">opposed </w:t>
      </w:r>
      <w:r w:rsidR="00E77112" w:rsidRPr="002F2B00">
        <w:t xml:space="preserve">within NI, </w:t>
      </w:r>
      <w:r w:rsidR="00526094" w:rsidRPr="002F2B00">
        <w:t xml:space="preserve">including among victims, </w:t>
      </w:r>
      <w:proofErr w:type="gramStart"/>
      <w:r w:rsidR="00526094" w:rsidRPr="002F2B00">
        <w:t>survivors</w:t>
      </w:r>
      <w:proofErr w:type="gramEnd"/>
      <w:r w:rsidR="00526094" w:rsidRPr="002F2B00">
        <w:t xml:space="preserve"> and their families</w:t>
      </w:r>
      <w:r w:rsidR="001659B9" w:rsidRPr="002F2B00">
        <w:t>.</w:t>
      </w:r>
      <w:r w:rsidR="008E75CD" w:rsidRPr="002F2B00">
        <w:rPr>
          <w:rStyle w:val="FootnoteReference"/>
        </w:rPr>
        <w:footnoteReference w:id="10"/>
      </w:r>
      <w:r w:rsidR="00E54303" w:rsidRPr="002F2B00">
        <w:t xml:space="preserve"> </w:t>
      </w:r>
    </w:p>
    <w:p w14:paraId="15F07992" w14:textId="77777777" w:rsidR="00192F42" w:rsidRPr="002F2B00" w:rsidRDefault="00192F42" w:rsidP="00913936"/>
    <w:p w14:paraId="0472A89A" w14:textId="77777777" w:rsidR="00510F93" w:rsidRPr="002F2B00" w:rsidRDefault="00192F42" w:rsidP="00913936">
      <w:pPr>
        <w:ind w:left="709" w:hanging="709"/>
        <w:rPr>
          <w:b/>
          <w:bCs/>
          <w:sz w:val="23"/>
          <w:szCs w:val="23"/>
        </w:rPr>
      </w:pPr>
      <w:r w:rsidRPr="002F2B00">
        <w:rPr>
          <w:b/>
          <w:bCs/>
        </w:rPr>
        <w:t>1.</w:t>
      </w:r>
      <w:r w:rsidR="003709B1" w:rsidRPr="002F2B00">
        <w:rPr>
          <w:b/>
          <w:bCs/>
        </w:rPr>
        <w:t>4</w:t>
      </w:r>
      <w:r w:rsidRPr="002F2B00">
        <w:rPr>
          <w:b/>
          <w:bCs/>
        </w:rPr>
        <w:tab/>
      </w:r>
      <w:r w:rsidR="007D2583" w:rsidRPr="002F2B00">
        <w:rPr>
          <w:b/>
          <w:bCs/>
          <w:sz w:val="23"/>
          <w:szCs w:val="23"/>
        </w:rPr>
        <w:t xml:space="preserve">The NIHRC concludes that the fundamentals of the </w:t>
      </w:r>
      <w:r w:rsidR="00A256CB" w:rsidRPr="002F2B00">
        <w:rPr>
          <w:b/>
          <w:bCs/>
          <w:sz w:val="23"/>
          <w:szCs w:val="23"/>
        </w:rPr>
        <w:t xml:space="preserve">entire </w:t>
      </w:r>
      <w:r w:rsidR="00D6629E" w:rsidRPr="002F2B00">
        <w:rPr>
          <w:b/>
          <w:bCs/>
          <w:sz w:val="23"/>
          <w:szCs w:val="23"/>
        </w:rPr>
        <w:t xml:space="preserve">draft of the </w:t>
      </w:r>
      <w:r w:rsidR="005D4E48" w:rsidRPr="002F2B00">
        <w:rPr>
          <w:b/>
          <w:bCs/>
          <w:sz w:val="23"/>
          <w:szCs w:val="23"/>
        </w:rPr>
        <w:t xml:space="preserve">present </w:t>
      </w:r>
      <w:r w:rsidR="007D2583" w:rsidRPr="002F2B00">
        <w:rPr>
          <w:b/>
          <w:bCs/>
          <w:sz w:val="23"/>
          <w:szCs w:val="23"/>
        </w:rPr>
        <w:t xml:space="preserve">Bill require immediate </w:t>
      </w:r>
      <w:r w:rsidR="00306143" w:rsidRPr="002F2B00">
        <w:rPr>
          <w:b/>
          <w:bCs/>
          <w:sz w:val="23"/>
          <w:szCs w:val="23"/>
        </w:rPr>
        <w:t xml:space="preserve">and thorough </w:t>
      </w:r>
      <w:r w:rsidR="007D2583" w:rsidRPr="002F2B00">
        <w:rPr>
          <w:b/>
          <w:bCs/>
          <w:sz w:val="23"/>
          <w:szCs w:val="23"/>
        </w:rPr>
        <w:t xml:space="preserve">reassessment, which should take place through meaningful engagement. The result should be victim-centred and human rights compliant, </w:t>
      </w:r>
      <w:r w:rsidR="002925AF" w:rsidRPr="002F2B00">
        <w:rPr>
          <w:b/>
          <w:bCs/>
          <w:sz w:val="23"/>
          <w:szCs w:val="23"/>
        </w:rPr>
        <w:t>the NIHRC is of the view that this is not</w:t>
      </w:r>
      <w:r w:rsidR="007D2583" w:rsidRPr="002F2B00">
        <w:rPr>
          <w:b/>
          <w:bCs/>
          <w:sz w:val="23"/>
          <w:szCs w:val="23"/>
        </w:rPr>
        <w:t xml:space="preserve"> delivered by the </w:t>
      </w:r>
      <w:r w:rsidR="00D6629E" w:rsidRPr="002F2B00">
        <w:rPr>
          <w:b/>
          <w:bCs/>
          <w:sz w:val="23"/>
          <w:szCs w:val="23"/>
        </w:rPr>
        <w:t>present</w:t>
      </w:r>
      <w:r w:rsidR="007D2583" w:rsidRPr="002F2B00">
        <w:rPr>
          <w:b/>
          <w:bCs/>
          <w:sz w:val="23"/>
          <w:szCs w:val="23"/>
        </w:rPr>
        <w:t xml:space="preserve"> Bill. </w:t>
      </w:r>
    </w:p>
    <w:p w14:paraId="4246F8D2" w14:textId="77777777" w:rsidR="00510F93" w:rsidRPr="002F2B00" w:rsidRDefault="00510F93" w:rsidP="00913936">
      <w:pPr>
        <w:ind w:left="709" w:hanging="709"/>
        <w:rPr>
          <w:b/>
          <w:bCs/>
        </w:rPr>
      </w:pPr>
    </w:p>
    <w:p w14:paraId="00A243E2" w14:textId="16D6B108" w:rsidR="00AB45C1" w:rsidRPr="002F2B00" w:rsidRDefault="00510F93" w:rsidP="00510F93">
      <w:pPr>
        <w:ind w:left="709" w:hanging="709"/>
        <w:rPr>
          <w:sz w:val="23"/>
          <w:szCs w:val="23"/>
        </w:rPr>
      </w:pPr>
      <w:r w:rsidRPr="002F2B00">
        <w:t>1.5</w:t>
      </w:r>
      <w:r w:rsidRPr="002F2B00">
        <w:tab/>
      </w:r>
      <w:r w:rsidR="001718E1" w:rsidRPr="002F2B00">
        <w:t>A</w:t>
      </w:r>
      <w:r w:rsidR="001718E1" w:rsidRPr="002F2B00">
        <w:rPr>
          <w:sz w:val="23"/>
          <w:szCs w:val="23"/>
        </w:rPr>
        <w:t xml:space="preserve">s currently drafted, the proposed investigative body is not independent in practice and its mandate does not satisfy procedural </w:t>
      </w:r>
      <w:r w:rsidR="00226512" w:rsidRPr="002F2B00">
        <w:rPr>
          <w:sz w:val="23"/>
          <w:szCs w:val="23"/>
        </w:rPr>
        <w:t xml:space="preserve">human rights </w:t>
      </w:r>
      <w:r w:rsidR="001718E1" w:rsidRPr="002F2B00">
        <w:rPr>
          <w:sz w:val="23"/>
          <w:szCs w:val="23"/>
        </w:rPr>
        <w:t xml:space="preserve">obligations. The proposed </w:t>
      </w:r>
      <w:r w:rsidR="00C415E2" w:rsidRPr="002F2B00">
        <w:rPr>
          <w:sz w:val="23"/>
          <w:szCs w:val="23"/>
        </w:rPr>
        <w:t xml:space="preserve">conditional </w:t>
      </w:r>
      <w:r w:rsidR="001718E1" w:rsidRPr="002F2B00">
        <w:rPr>
          <w:sz w:val="23"/>
          <w:szCs w:val="23"/>
        </w:rPr>
        <w:t xml:space="preserve">immunity </w:t>
      </w:r>
      <w:r w:rsidR="00C415E2" w:rsidRPr="002F2B00">
        <w:rPr>
          <w:sz w:val="23"/>
          <w:szCs w:val="23"/>
        </w:rPr>
        <w:t>scheme</w:t>
      </w:r>
      <w:r w:rsidR="001718E1" w:rsidRPr="002F2B00">
        <w:rPr>
          <w:sz w:val="23"/>
          <w:szCs w:val="23"/>
        </w:rPr>
        <w:t xml:space="preserve"> applies to offences where immunity should not be an option.</w:t>
      </w:r>
      <w:r w:rsidR="00C415E2" w:rsidRPr="002F2B00">
        <w:rPr>
          <w:sz w:val="23"/>
          <w:szCs w:val="23"/>
        </w:rPr>
        <w:t xml:space="preserve"> The </w:t>
      </w:r>
      <w:r w:rsidR="00492546" w:rsidRPr="002F2B00">
        <w:rPr>
          <w:sz w:val="23"/>
          <w:szCs w:val="23"/>
        </w:rPr>
        <w:t xml:space="preserve">proposed </w:t>
      </w:r>
      <w:r w:rsidR="004F5281" w:rsidRPr="002F2B00">
        <w:rPr>
          <w:sz w:val="23"/>
          <w:szCs w:val="23"/>
        </w:rPr>
        <w:t xml:space="preserve">immediate cessation of </w:t>
      </w:r>
      <w:r w:rsidR="004F5281" w:rsidRPr="002F2B00">
        <w:t xml:space="preserve">criminal investigations (other than those referred by the ICRIR to the prosecutor), police complaints, civil proceedings and inquests/inquiries linked to Troubles-related offences </w:t>
      </w:r>
      <w:r w:rsidR="00E44753" w:rsidRPr="002F2B00">
        <w:t xml:space="preserve">is </w:t>
      </w:r>
      <w:r w:rsidR="00BE3A1D" w:rsidRPr="002F2B00">
        <w:t xml:space="preserve">likely </w:t>
      </w:r>
      <w:r w:rsidR="00E44753" w:rsidRPr="002F2B00">
        <w:t>contrary to the right to an effective remedy.</w:t>
      </w:r>
      <w:r w:rsidR="00C415E2" w:rsidRPr="002F2B00">
        <w:rPr>
          <w:sz w:val="23"/>
          <w:szCs w:val="23"/>
        </w:rPr>
        <w:t xml:space="preserve"> </w:t>
      </w:r>
      <w:r w:rsidR="00BF4148" w:rsidRPr="002F2B00">
        <w:t xml:space="preserve">This advice highlights </w:t>
      </w:r>
      <w:r w:rsidR="002B0E18" w:rsidRPr="002F2B00">
        <w:t xml:space="preserve">the main reasons for </w:t>
      </w:r>
      <w:r w:rsidR="00E8163B" w:rsidRPr="002F2B00">
        <w:t xml:space="preserve">these </w:t>
      </w:r>
      <w:r w:rsidR="00700FDE" w:rsidRPr="002F2B00">
        <w:t>conclusion</w:t>
      </w:r>
      <w:r w:rsidR="00E8163B" w:rsidRPr="002F2B00">
        <w:t>s</w:t>
      </w:r>
      <w:r w:rsidR="002B0E18" w:rsidRPr="002F2B00">
        <w:t>.</w:t>
      </w:r>
      <w:r w:rsidR="00700FDE" w:rsidRPr="002F2B00">
        <w:rPr>
          <w:rStyle w:val="FootnoteReference"/>
        </w:rPr>
        <w:footnoteReference w:id="11"/>
      </w:r>
      <w:r w:rsidR="003F0704" w:rsidRPr="002F2B00">
        <w:t xml:space="preserve"> In an effort to keep the advice manageable, </w:t>
      </w:r>
      <w:r w:rsidR="007B2310" w:rsidRPr="002F2B00">
        <w:t xml:space="preserve">this advice provides an overview of the </w:t>
      </w:r>
      <w:r w:rsidR="00306143" w:rsidRPr="002F2B00">
        <w:t>key issues,</w:t>
      </w:r>
      <w:r w:rsidR="003F0704" w:rsidRPr="002F2B00">
        <w:t xml:space="preserve"> but the </w:t>
      </w:r>
      <w:r w:rsidR="0018049C" w:rsidRPr="002F2B00">
        <w:t>NIHRC</w:t>
      </w:r>
      <w:r w:rsidR="003F0704" w:rsidRPr="002F2B00">
        <w:t xml:space="preserve"> is ready and willing to provide additional assistance that may be required.</w:t>
      </w:r>
    </w:p>
    <w:p w14:paraId="64ED263E" w14:textId="2839EFDA" w:rsidR="004E6377" w:rsidRPr="002F2B00" w:rsidRDefault="003F0704" w:rsidP="00913936">
      <w:pPr>
        <w:ind w:left="709" w:hanging="709"/>
      </w:pPr>
      <w:r w:rsidRPr="002F2B00">
        <w:t xml:space="preserve"> </w:t>
      </w:r>
    </w:p>
    <w:p w14:paraId="1B2E87AF" w14:textId="6DBB98D2" w:rsidR="0051464F" w:rsidRPr="002F2B00" w:rsidRDefault="00662D63" w:rsidP="00662D63">
      <w:pPr>
        <w:ind w:left="709" w:hanging="709"/>
      </w:pPr>
      <w:r>
        <w:rPr>
          <w:b/>
          <w:bCs/>
          <w:szCs w:val="24"/>
        </w:rPr>
        <w:t>1.6</w:t>
      </w:r>
      <w:r>
        <w:rPr>
          <w:b/>
          <w:bCs/>
          <w:szCs w:val="24"/>
        </w:rPr>
        <w:tab/>
      </w:r>
      <w:r w:rsidR="00B24040" w:rsidRPr="00662D63">
        <w:rPr>
          <w:b/>
          <w:bCs/>
          <w:szCs w:val="24"/>
        </w:rPr>
        <w:t xml:space="preserve">As outlined below, the </w:t>
      </w:r>
      <w:r w:rsidR="00822E44" w:rsidRPr="00662D63">
        <w:rPr>
          <w:b/>
          <w:bCs/>
          <w:szCs w:val="24"/>
        </w:rPr>
        <w:t>NIHRC</w:t>
      </w:r>
      <w:r w:rsidR="00882E29" w:rsidRPr="00662D63">
        <w:rPr>
          <w:b/>
          <w:bCs/>
          <w:szCs w:val="24"/>
        </w:rPr>
        <w:t xml:space="preserve"> is </w:t>
      </w:r>
      <w:r w:rsidR="00D83112" w:rsidRPr="00662D63">
        <w:rPr>
          <w:b/>
          <w:bCs/>
          <w:szCs w:val="24"/>
        </w:rPr>
        <w:t xml:space="preserve">also </w:t>
      </w:r>
      <w:r w:rsidR="00882E29" w:rsidRPr="00662D63">
        <w:rPr>
          <w:b/>
          <w:bCs/>
          <w:szCs w:val="24"/>
        </w:rPr>
        <w:t xml:space="preserve">concerned that the Bill may </w:t>
      </w:r>
      <w:r w:rsidR="00CD19AE" w:rsidRPr="00662D63">
        <w:rPr>
          <w:b/>
          <w:bCs/>
          <w:szCs w:val="24"/>
        </w:rPr>
        <w:t xml:space="preserve">diminish the rights of victims, in breach of the </w:t>
      </w:r>
      <w:r w:rsidR="00D02858" w:rsidRPr="00662D63">
        <w:rPr>
          <w:b/>
          <w:bCs/>
          <w:szCs w:val="24"/>
        </w:rPr>
        <w:t xml:space="preserve">UK’s </w:t>
      </w:r>
      <w:r w:rsidR="00882E29" w:rsidRPr="00662D63">
        <w:rPr>
          <w:b/>
          <w:bCs/>
          <w:szCs w:val="24"/>
        </w:rPr>
        <w:t xml:space="preserve">obligations under </w:t>
      </w:r>
      <w:r w:rsidR="006C1BF2" w:rsidRPr="00662D63">
        <w:rPr>
          <w:b/>
          <w:bCs/>
          <w:szCs w:val="24"/>
        </w:rPr>
        <w:t>Protocol Article 2</w:t>
      </w:r>
      <w:r w:rsidR="00CD19AE" w:rsidRPr="00662D63">
        <w:rPr>
          <w:b/>
          <w:bCs/>
          <w:szCs w:val="24"/>
        </w:rPr>
        <w:t>.</w:t>
      </w:r>
      <w:r w:rsidR="00CF4BDA" w:rsidRPr="00422AFE">
        <w:rPr>
          <w:rStyle w:val="FootnoteReference"/>
          <w:b/>
          <w:bCs/>
          <w:szCs w:val="24"/>
        </w:rPr>
        <w:footnoteReference w:id="12"/>
      </w:r>
      <w:r w:rsidR="006C1BF2" w:rsidRPr="00662D63">
        <w:rPr>
          <w:b/>
          <w:bCs/>
          <w:szCs w:val="24"/>
        </w:rPr>
        <w:t xml:space="preserve"> </w:t>
      </w:r>
    </w:p>
    <w:p w14:paraId="2B19B070" w14:textId="77777777" w:rsidR="00BF78AB" w:rsidRPr="002F2B00" w:rsidRDefault="00BF78AB" w:rsidP="00BF78AB"/>
    <w:p w14:paraId="000B12FF" w14:textId="41ABD3EC" w:rsidR="0036278C" w:rsidRPr="002F2B00" w:rsidRDefault="009713BC" w:rsidP="00CD7FF5">
      <w:pPr>
        <w:pStyle w:val="Heading1"/>
      </w:pPr>
      <w:bookmarkStart w:id="2" w:name="_Toc113517943"/>
      <w:r w:rsidRPr="002F2B00">
        <w:t>2.0</w:t>
      </w:r>
      <w:r w:rsidRPr="002F2B00">
        <w:tab/>
      </w:r>
      <w:r w:rsidR="00AE7A15" w:rsidRPr="002F2B00">
        <w:t>Investigations</w:t>
      </w:r>
      <w:bookmarkEnd w:id="2"/>
    </w:p>
    <w:p w14:paraId="26477C49" w14:textId="0E3AEEA7" w:rsidR="00A0104B" w:rsidRPr="002F2B00" w:rsidRDefault="00E451C0" w:rsidP="00854135">
      <w:pPr>
        <w:ind w:left="720" w:hanging="720"/>
        <w:rPr>
          <w:szCs w:val="24"/>
        </w:rPr>
      </w:pPr>
      <w:r w:rsidRPr="002F2B00">
        <w:t>2.</w:t>
      </w:r>
      <w:r w:rsidR="00B1273E" w:rsidRPr="002F2B00">
        <w:t>1</w:t>
      </w:r>
      <w:r w:rsidRPr="002F2B00">
        <w:tab/>
      </w:r>
      <w:r w:rsidR="00EB7B6E" w:rsidRPr="002F2B00">
        <w:t>Article 1 of the ECHR</w:t>
      </w:r>
      <w:r w:rsidR="00AB45C1" w:rsidRPr="002F2B00">
        <w:t xml:space="preserve">, which is incorporated directly into UK law, requires that the UK </w:t>
      </w:r>
      <w:r w:rsidR="00EB7B6E" w:rsidRPr="002F2B00">
        <w:t>“secure to everyone within their jurisdiction the rights and freedoms defined in… [the ECHR]”</w:t>
      </w:r>
      <w:r w:rsidR="00AB45C1" w:rsidRPr="002F2B00">
        <w:t>. This means there must be</w:t>
      </w:r>
      <w:r w:rsidR="00EB7B6E" w:rsidRPr="002F2B00">
        <w:t xml:space="preserve"> an effective official investigation</w:t>
      </w:r>
      <w:r w:rsidR="0052576A" w:rsidRPr="002F2B00">
        <w:t xml:space="preserve"> </w:t>
      </w:r>
      <w:r w:rsidR="006F1DE8" w:rsidRPr="002F2B00">
        <w:t xml:space="preserve">conducted whenever </w:t>
      </w:r>
      <w:r w:rsidR="00226A82" w:rsidRPr="002F2B00">
        <w:t>“</w:t>
      </w:r>
      <w:r w:rsidR="00226A82" w:rsidRPr="002F2B00">
        <w:rPr>
          <w:szCs w:val="24"/>
        </w:rPr>
        <w:t>there is reason to believe that an individual has died in suspicious circumstances”</w:t>
      </w:r>
      <w:r w:rsidR="009351B7" w:rsidRPr="002F2B00">
        <w:rPr>
          <w:szCs w:val="24"/>
        </w:rPr>
        <w:t xml:space="preserve"> and/or </w:t>
      </w:r>
      <w:r w:rsidR="00F33C12" w:rsidRPr="002F2B00">
        <w:rPr>
          <w:szCs w:val="24"/>
        </w:rPr>
        <w:t xml:space="preserve">it is </w:t>
      </w:r>
      <w:r w:rsidR="00EF1631" w:rsidRPr="002F2B00">
        <w:rPr>
          <w:szCs w:val="24"/>
        </w:rPr>
        <w:t>“</w:t>
      </w:r>
      <w:r w:rsidR="00F33C12" w:rsidRPr="002F2B00">
        <w:rPr>
          <w:szCs w:val="24"/>
        </w:rPr>
        <w:t>arguable</w:t>
      </w:r>
      <w:r w:rsidR="00EF1631" w:rsidRPr="002F2B00">
        <w:rPr>
          <w:szCs w:val="24"/>
        </w:rPr>
        <w:t>”</w:t>
      </w:r>
      <w:r w:rsidR="00F33C12" w:rsidRPr="002F2B00">
        <w:rPr>
          <w:szCs w:val="24"/>
        </w:rPr>
        <w:t xml:space="preserve"> </w:t>
      </w:r>
      <w:r w:rsidR="00EF1631" w:rsidRPr="002F2B00">
        <w:rPr>
          <w:szCs w:val="24"/>
        </w:rPr>
        <w:t xml:space="preserve">and “raises reasonable </w:t>
      </w:r>
      <w:r w:rsidR="00EF1631" w:rsidRPr="002F2B00">
        <w:rPr>
          <w:szCs w:val="24"/>
        </w:rPr>
        <w:lastRenderedPageBreak/>
        <w:t xml:space="preserve">suspicion” </w:t>
      </w:r>
      <w:r w:rsidR="00F33C12" w:rsidRPr="002F2B00">
        <w:rPr>
          <w:szCs w:val="24"/>
        </w:rPr>
        <w:t xml:space="preserve">that </w:t>
      </w:r>
      <w:r w:rsidR="005E01F3" w:rsidRPr="002F2B00">
        <w:rPr>
          <w:szCs w:val="24"/>
        </w:rPr>
        <w:t>an unlawful breach of Article 3 of the ECHR</w:t>
      </w:r>
      <w:r w:rsidR="005F5137" w:rsidRPr="002F2B00">
        <w:rPr>
          <w:szCs w:val="24"/>
        </w:rPr>
        <w:t xml:space="preserve"> has occurred</w:t>
      </w:r>
      <w:r w:rsidR="005E01F3" w:rsidRPr="002F2B00">
        <w:rPr>
          <w:szCs w:val="24"/>
        </w:rPr>
        <w:t>.</w:t>
      </w:r>
      <w:r w:rsidR="00EB7B6E" w:rsidRPr="002F2B00">
        <w:rPr>
          <w:rStyle w:val="FootnoteReference"/>
          <w:szCs w:val="24"/>
        </w:rPr>
        <w:footnoteReference w:id="13"/>
      </w:r>
      <w:r w:rsidR="005E01F3" w:rsidRPr="002F2B00">
        <w:rPr>
          <w:szCs w:val="24"/>
        </w:rPr>
        <w:t xml:space="preserve"> </w:t>
      </w:r>
      <w:r w:rsidR="00114C5D" w:rsidRPr="002F2B00">
        <w:rPr>
          <w:szCs w:val="24"/>
        </w:rPr>
        <w:t xml:space="preserve">Such investigations are not limited to State action or inaction, </w:t>
      </w:r>
      <w:r w:rsidR="006F1DE8" w:rsidRPr="002F2B00">
        <w:rPr>
          <w:szCs w:val="24"/>
        </w:rPr>
        <w:t xml:space="preserve">but </w:t>
      </w:r>
      <w:r w:rsidR="00114C5D" w:rsidRPr="002F2B00">
        <w:rPr>
          <w:szCs w:val="24"/>
        </w:rPr>
        <w:t>extend to the resulting actions of non-State actors</w:t>
      </w:r>
      <w:r w:rsidR="0051275C" w:rsidRPr="002F2B00">
        <w:rPr>
          <w:szCs w:val="24"/>
        </w:rPr>
        <w:t xml:space="preserve"> that the State </w:t>
      </w:r>
      <w:r w:rsidR="006F1DE8" w:rsidRPr="002F2B00">
        <w:rPr>
          <w:szCs w:val="24"/>
        </w:rPr>
        <w:t xml:space="preserve">knew </w:t>
      </w:r>
      <w:r w:rsidR="0051275C" w:rsidRPr="002F2B00">
        <w:rPr>
          <w:szCs w:val="24"/>
        </w:rPr>
        <w:t xml:space="preserve">or ought to </w:t>
      </w:r>
      <w:r w:rsidR="00A0104B" w:rsidRPr="002F2B00">
        <w:rPr>
          <w:szCs w:val="24"/>
        </w:rPr>
        <w:t>have known</w:t>
      </w:r>
      <w:r w:rsidR="0051275C" w:rsidRPr="002F2B00">
        <w:rPr>
          <w:szCs w:val="24"/>
        </w:rPr>
        <w:t xml:space="preserve"> about</w:t>
      </w:r>
      <w:r w:rsidR="00114C5D" w:rsidRPr="002F2B00">
        <w:rPr>
          <w:szCs w:val="24"/>
        </w:rPr>
        <w:t>.</w:t>
      </w:r>
      <w:r w:rsidR="00114C5D" w:rsidRPr="002F2B00">
        <w:rPr>
          <w:rStyle w:val="FootnoteReference"/>
          <w:szCs w:val="24"/>
        </w:rPr>
        <w:footnoteReference w:id="14"/>
      </w:r>
      <w:r w:rsidR="00114C5D" w:rsidRPr="002F2B00">
        <w:rPr>
          <w:szCs w:val="24"/>
        </w:rPr>
        <w:t xml:space="preserve"> </w:t>
      </w:r>
      <w:r w:rsidR="008921DA" w:rsidRPr="002F2B00">
        <w:rPr>
          <w:szCs w:val="24"/>
        </w:rPr>
        <w:t>S</w:t>
      </w:r>
      <w:r w:rsidR="006F1DE8" w:rsidRPr="002F2B00">
        <w:rPr>
          <w:szCs w:val="24"/>
        </w:rPr>
        <w:t xml:space="preserve">imilar </w:t>
      </w:r>
      <w:r w:rsidR="00B37B7B" w:rsidRPr="002F2B00">
        <w:rPr>
          <w:szCs w:val="24"/>
        </w:rPr>
        <w:t>obligation</w:t>
      </w:r>
      <w:r w:rsidR="005B04E6" w:rsidRPr="002F2B00">
        <w:rPr>
          <w:szCs w:val="24"/>
        </w:rPr>
        <w:t xml:space="preserve">s </w:t>
      </w:r>
      <w:r w:rsidR="006F1DE8" w:rsidRPr="002F2B00">
        <w:rPr>
          <w:szCs w:val="24"/>
        </w:rPr>
        <w:t>also arise under</w:t>
      </w:r>
      <w:r w:rsidR="005B04E6" w:rsidRPr="002F2B00">
        <w:rPr>
          <w:szCs w:val="24"/>
        </w:rPr>
        <w:t xml:space="preserve"> international human rights standards.</w:t>
      </w:r>
      <w:r w:rsidR="005B04E6" w:rsidRPr="002F2B00">
        <w:rPr>
          <w:rStyle w:val="FootnoteReference"/>
        </w:rPr>
        <w:footnoteReference w:id="15"/>
      </w:r>
      <w:r w:rsidR="00854135" w:rsidRPr="002F2B00">
        <w:rPr>
          <w:szCs w:val="24"/>
        </w:rPr>
        <w:t xml:space="preserve"> </w:t>
      </w:r>
    </w:p>
    <w:p w14:paraId="77B689DC" w14:textId="30D3B901" w:rsidR="00A741D9" w:rsidRPr="002F2B00" w:rsidRDefault="00A741D9" w:rsidP="00854135">
      <w:pPr>
        <w:ind w:left="720" w:hanging="720"/>
        <w:rPr>
          <w:szCs w:val="24"/>
        </w:rPr>
      </w:pPr>
    </w:p>
    <w:p w14:paraId="151B68CF" w14:textId="20571E10" w:rsidR="00941699" w:rsidRPr="002F2B00" w:rsidRDefault="00A0104B" w:rsidP="00854135">
      <w:pPr>
        <w:ind w:left="720" w:hanging="720"/>
      </w:pPr>
      <w:r w:rsidRPr="002F2B00">
        <w:rPr>
          <w:szCs w:val="24"/>
        </w:rPr>
        <w:t>2.2</w:t>
      </w:r>
      <w:r w:rsidRPr="002F2B00">
        <w:rPr>
          <w:szCs w:val="24"/>
        </w:rPr>
        <w:tab/>
      </w:r>
      <w:r w:rsidR="003921AC" w:rsidRPr="002F2B00">
        <w:rPr>
          <w:szCs w:val="24"/>
        </w:rPr>
        <w:t xml:space="preserve">The same </w:t>
      </w:r>
      <w:r w:rsidR="00976675" w:rsidRPr="002F2B00">
        <w:rPr>
          <w:szCs w:val="24"/>
        </w:rPr>
        <w:t xml:space="preserve">investigation-based procedural obligations apply to </w:t>
      </w:r>
      <w:r w:rsidR="008C2717" w:rsidRPr="002F2B00">
        <w:rPr>
          <w:szCs w:val="24"/>
        </w:rPr>
        <w:t xml:space="preserve">both </w:t>
      </w:r>
      <w:r w:rsidR="00976675" w:rsidRPr="002F2B00">
        <w:rPr>
          <w:szCs w:val="24"/>
        </w:rPr>
        <w:t xml:space="preserve">the right to life and </w:t>
      </w:r>
      <w:r w:rsidR="008C2717" w:rsidRPr="002F2B00">
        <w:rPr>
          <w:szCs w:val="24"/>
        </w:rPr>
        <w:t xml:space="preserve">to </w:t>
      </w:r>
      <w:r w:rsidR="00976675" w:rsidRPr="002F2B00">
        <w:rPr>
          <w:szCs w:val="24"/>
        </w:rPr>
        <w:t>freedom from torture.</w:t>
      </w:r>
      <w:r w:rsidR="00976675" w:rsidRPr="002F2B00">
        <w:rPr>
          <w:rStyle w:val="FootnoteReference"/>
          <w:szCs w:val="24"/>
        </w:rPr>
        <w:footnoteReference w:id="16"/>
      </w:r>
      <w:r w:rsidR="00976675" w:rsidRPr="002F2B00">
        <w:rPr>
          <w:szCs w:val="24"/>
        </w:rPr>
        <w:t xml:space="preserve"> Under these rights, f</w:t>
      </w:r>
      <w:r w:rsidRPr="002F2B00">
        <w:rPr>
          <w:szCs w:val="24"/>
        </w:rPr>
        <w:t xml:space="preserve">or an investigation to be effective it must </w:t>
      </w:r>
      <w:r w:rsidR="00F971C1" w:rsidRPr="002F2B00">
        <w:rPr>
          <w:szCs w:val="24"/>
        </w:rPr>
        <w:t xml:space="preserve">satisfy the required purpose, </w:t>
      </w:r>
      <w:r w:rsidRPr="002F2B00">
        <w:rPr>
          <w:szCs w:val="24"/>
        </w:rPr>
        <w:t xml:space="preserve">be independent and impartial, </w:t>
      </w:r>
      <w:r w:rsidR="004C08D9" w:rsidRPr="002F2B00">
        <w:rPr>
          <w:szCs w:val="24"/>
        </w:rPr>
        <w:t xml:space="preserve">be </w:t>
      </w:r>
      <w:r w:rsidRPr="002F2B00">
        <w:rPr>
          <w:szCs w:val="24"/>
        </w:rPr>
        <w:t>thorough, of the State’s own motion, commence promptly</w:t>
      </w:r>
      <w:r w:rsidR="00F971C1" w:rsidRPr="002F2B00">
        <w:rPr>
          <w:szCs w:val="24"/>
        </w:rPr>
        <w:t>, progress with reasonable expedition and be subject to public scrutiny.</w:t>
      </w:r>
      <w:r w:rsidR="00F971C1" w:rsidRPr="002F2B00">
        <w:rPr>
          <w:rStyle w:val="FootnoteReference"/>
          <w:szCs w:val="24"/>
        </w:rPr>
        <w:footnoteReference w:id="17"/>
      </w:r>
      <w:r w:rsidR="00F971C1" w:rsidRPr="002F2B00">
        <w:rPr>
          <w:szCs w:val="24"/>
        </w:rPr>
        <w:t xml:space="preserve"> </w:t>
      </w:r>
      <w:r w:rsidR="00CE12AC" w:rsidRPr="002F2B00">
        <w:rPr>
          <w:szCs w:val="24"/>
        </w:rPr>
        <w:t xml:space="preserve">These are the minimum standards. </w:t>
      </w:r>
      <w:r w:rsidR="00007572" w:rsidRPr="002F2B00">
        <w:t xml:space="preserve">The Explanatory Memorandum purports that the </w:t>
      </w:r>
      <w:r w:rsidR="000A5B10" w:rsidRPr="002F2B00">
        <w:t>Independent Commission for Reconciliation and Information Recovery (ICRIR)</w:t>
      </w:r>
      <w:r w:rsidR="00B920FA" w:rsidRPr="002F2B00">
        <w:t xml:space="preserve"> “will conduct investigations into deaths and very serious injuries which resulted from conduct forming part of the Troubles”</w:t>
      </w:r>
      <w:r w:rsidR="00CE12AC" w:rsidRPr="002F2B00">
        <w:t>.</w:t>
      </w:r>
      <w:r w:rsidR="00A1648D" w:rsidRPr="002F2B00">
        <w:rPr>
          <w:rStyle w:val="FootnoteReference"/>
        </w:rPr>
        <w:footnoteReference w:id="18"/>
      </w:r>
      <w:r w:rsidR="00CE12AC" w:rsidRPr="002F2B00">
        <w:t xml:space="preserve"> </w:t>
      </w:r>
      <w:r w:rsidR="00757F06" w:rsidRPr="002F2B00">
        <w:t>Yet</w:t>
      </w:r>
      <w:r w:rsidR="00CE12AC" w:rsidRPr="002F2B00">
        <w:t xml:space="preserve">, </w:t>
      </w:r>
      <w:r w:rsidR="00AA4905" w:rsidRPr="002F2B00">
        <w:t xml:space="preserve">the </w:t>
      </w:r>
      <w:r w:rsidR="00FB37C0" w:rsidRPr="002F2B00">
        <w:t xml:space="preserve">current draft of the </w:t>
      </w:r>
      <w:r w:rsidR="00E451C0" w:rsidRPr="002F2B00">
        <w:t>Bill</w:t>
      </w:r>
      <w:r w:rsidR="00AA4905" w:rsidRPr="002F2B00">
        <w:t xml:space="preserve"> does not </w:t>
      </w:r>
      <w:r w:rsidR="000B7543" w:rsidRPr="002F2B00">
        <w:t>include the term</w:t>
      </w:r>
      <w:r w:rsidR="00AA4905" w:rsidRPr="002F2B00">
        <w:t xml:space="preserve"> ‘investigation’ and, instead,</w:t>
      </w:r>
      <w:r w:rsidR="00E451C0" w:rsidRPr="002F2B00">
        <w:t xml:space="preserve"> </w:t>
      </w:r>
      <w:r w:rsidR="00CE12AC" w:rsidRPr="002F2B00">
        <w:t xml:space="preserve">proposes a type of </w:t>
      </w:r>
      <w:r w:rsidR="00E451C0" w:rsidRPr="002F2B00">
        <w:t>review</w:t>
      </w:r>
      <w:r w:rsidR="00CE12AC" w:rsidRPr="002F2B00">
        <w:t xml:space="preserve"> in some individual cases and the production of </w:t>
      </w:r>
      <w:r w:rsidR="00E451C0" w:rsidRPr="002F2B00">
        <w:t xml:space="preserve">a </w:t>
      </w:r>
      <w:r w:rsidR="00CE12AC" w:rsidRPr="002F2B00">
        <w:t>‘</w:t>
      </w:r>
      <w:r w:rsidR="00E451C0" w:rsidRPr="002F2B00">
        <w:t>historical record</w:t>
      </w:r>
      <w:r w:rsidR="00CE12AC" w:rsidRPr="002F2B00">
        <w:t xml:space="preserve">’. The </w:t>
      </w:r>
      <w:r w:rsidR="00F55AAC" w:rsidRPr="002F2B00">
        <w:t>NIHRC</w:t>
      </w:r>
      <w:r w:rsidR="00CE12AC" w:rsidRPr="002F2B00">
        <w:t xml:space="preserve"> has </w:t>
      </w:r>
      <w:r w:rsidR="00AA4905" w:rsidRPr="002F2B00">
        <w:t xml:space="preserve">grave concerns that </w:t>
      </w:r>
      <w:r w:rsidR="003B0872" w:rsidRPr="002F2B00">
        <w:t>the mandate of the ICRIR</w:t>
      </w:r>
      <w:r w:rsidR="00AD6C91" w:rsidRPr="002F2B00">
        <w:t xml:space="preserve"> proposed by the present Bill</w:t>
      </w:r>
      <w:r w:rsidR="003B0872" w:rsidRPr="002F2B00">
        <w:t xml:space="preserve"> do</w:t>
      </w:r>
      <w:r w:rsidR="000B7543" w:rsidRPr="002F2B00">
        <w:t>es</w:t>
      </w:r>
      <w:r w:rsidR="003B0872" w:rsidRPr="002F2B00">
        <w:t xml:space="preserve"> not</w:t>
      </w:r>
      <w:r w:rsidR="00D3053A" w:rsidRPr="002F2B00">
        <w:t>, in practice,</w:t>
      </w:r>
      <w:r w:rsidR="00CE12AC" w:rsidRPr="002F2B00">
        <w:t xml:space="preserve"> meet the minimum standards </w:t>
      </w:r>
      <w:r w:rsidR="003B0872" w:rsidRPr="002F2B00">
        <w:t xml:space="preserve">for investigation </w:t>
      </w:r>
      <w:r w:rsidR="00CE12AC" w:rsidRPr="002F2B00">
        <w:t xml:space="preserve">set by law. </w:t>
      </w:r>
      <w:r w:rsidR="00D3053A" w:rsidRPr="002F2B00">
        <w:t>As</w:t>
      </w:r>
      <w:r w:rsidR="00D3053A" w:rsidRPr="002F2B00">
        <w:rPr>
          <w:szCs w:val="24"/>
        </w:rPr>
        <w:t xml:space="preserve"> former UN Independent Expert on Combating Impunity, Diane </w:t>
      </w:r>
      <w:proofErr w:type="spellStart"/>
      <w:r w:rsidR="00D3053A" w:rsidRPr="002F2B00">
        <w:rPr>
          <w:szCs w:val="24"/>
        </w:rPr>
        <w:t>Orentlicher</w:t>
      </w:r>
      <w:proofErr w:type="spellEnd"/>
      <w:r w:rsidR="00D3053A" w:rsidRPr="002F2B00">
        <w:rPr>
          <w:szCs w:val="24"/>
        </w:rPr>
        <w:t>, warned “impunity arises from a failure by States to meet their obligations to investigate violations”.</w:t>
      </w:r>
      <w:r w:rsidR="00D3053A" w:rsidRPr="002F2B00">
        <w:rPr>
          <w:rStyle w:val="FootnoteReference"/>
          <w:szCs w:val="24"/>
        </w:rPr>
        <w:footnoteReference w:id="19"/>
      </w:r>
      <w:r w:rsidR="00D3053A" w:rsidRPr="002F2B00">
        <w:rPr>
          <w:szCs w:val="24"/>
        </w:rPr>
        <w:t xml:space="preserve"> </w:t>
      </w:r>
      <w:r w:rsidR="00324CD4" w:rsidRPr="002F2B00">
        <w:t>The NIHRC is concerned that this will result in impunity</w:t>
      </w:r>
      <w:r w:rsidR="003648EC" w:rsidRPr="002F2B00">
        <w:t xml:space="preserve"> through the current draft of the Bill</w:t>
      </w:r>
      <w:r w:rsidR="00324CD4" w:rsidRPr="002F2B00">
        <w:t xml:space="preserve">. </w:t>
      </w:r>
    </w:p>
    <w:p w14:paraId="5D68E13C" w14:textId="77777777" w:rsidR="00941699" w:rsidRPr="002F2B00" w:rsidRDefault="00941699" w:rsidP="00854135">
      <w:pPr>
        <w:ind w:left="720" w:hanging="720"/>
      </w:pPr>
    </w:p>
    <w:p w14:paraId="20305F7D" w14:textId="64353169" w:rsidR="00FF5233" w:rsidRPr="002F2B00" w:rsidRDefault="00941699" w:rsidP="00854135">
      <w:pPr>
        <w:ind w:left="720" w:hanging="720"/>
      </w:pPr>
      <w:r w:rsidRPr="002F2B00">
        <w:lastRenderedPageBreak/>
        <w:t>2.3</w:t>
      </w:r>
      <w:r w:rsidRPr="002F2B00">
        <w:tab/>
      </w:r>
      <w:r w:rsidR="00324CD4" w:rsidRPr="002F2B00">
        <w:t>The following sets out a</w:t>
      </w:r>
      <w:r w:rsidR="000C046A" w:rsidRPr="002F2B00">
        <w:t xml:space="preserve"> summary analysis</w:t>
      </w:r>
      <w:r w:rsidR="00AD2D70" w:rsidRPr="002F2B00">
        <w:t xml:space="preserve"> of </w:t>
      </w:r>
      <w:r w:rsidR="000C046A" w:rsidRPr="002F2B00">
        <w:t xml:space="preserve">the minimum aspects required for </w:t>
      </w:r>
      <w:r w:rsidR="0036628C" w:rsidRPr="002F2B00">
        <w:t>effective investigation</w:t>
      </w:r>
      <w:r w:rsidR="000C046A" w:rsidRPr="002F2B00">
        <w:t>s</w:t>
      </w:r>
      <w:r w:rsidR="00AD2A5C" w:rsidRPr="002F2B00">
        <w:t xml:space="preserve"> and concerns specific to the Bill</w:t>
      </w:r>
      <w:r w:rsidR="000C046A" w:rsidRPr="002F2B00">
        <w:t>.</w:t>
      </w:r>
      <w:r w:rsidR="003553FB" w:rsidRPr="002F2B00">
        <w:t xml:space="preserve"> </w:t>
      </w:r>
    </w:p>
    <w:p w14:paraId="64DD2B8E" w14:textId="2E3077A7" w:rsidR="00F20651" w:rsidRPr="002F2B00" w:rsidRDefault="00F20651">
      <w:pPr>
        <w:rPr>
          <w:rFonts w:eastAsiaTheme="majorEastAsia" w:cstheme="majorBidi"/>
          <w:b/>
          <w:color w:val="77328A"/>
          <w:sz w:val="30"/>
          <w:szCs w:val="32"/>
        </w:rPr>
      </w:pPr>
    </w:p>
    <w:p w14:paraId="76120F16" w14:textId="68B9AA75" w:rsidR="00732479" w:rsidRPr="002F2B00" w:rsidRDefault="00732479" w:rsidP="00732479">
      <w:pPr>
        <w:pStyle w:val="Heading2"/>
      </w:pPr>
      <w:bookmarkStart w:id="3" w:name="_Toc523318870"/>
      <w:bookmarkStart w:id="4" w:name="_Toc113517944"/>
      <w:r w:rsidRPr="002F2B00">
        <w:t xml:space="preserve">Purpose of </w:t>
      </w:r>
      <w:r w:rsidR="00B857A6" w:rsidRPr="002F2B00">
        <w:t xml:space="preserve">an </w:t>
      </w:r>
      <w:r w:rsidRPr="002F2B00">
        <w:t>investigation</w:t>
      </w:r>
      <w:bookmarkEnd w:id="4"/>
    </w:p>
    <w:p w14:paraId="0FEF442B" w14:textId="77777777" w:rsidR="00941699" w:rsidRPr="002F2B00" w:rsidRDefault="00941699" w:rsidP="00941699">
      <w:pPr>
        <w:pStyle w:val="ListParagraph"/>
        <w:numPr>
          <w:ilvl w:val="0"/>
          <w:numId w:val="4"/>
        </w:numPr>
        <w:rPr>
          <w:vanish/>
          <w:szCs w:val="24"/>
        </w:rPr>
      </w:pPr>
    </w:p>
    <w:p w14:paraId="2ED24BE4" w14:textId="77777777" w:rsidR="00941699" w:rsidRPr="002F2B00" w:rsidRDefault="00941699" w:rsidP="00941699">
      <w:pPr>
        <w:pStyle w:val="ListParagraph"/>
        <w:numPr>
          <w:ilvl w:val="0"/>
          <w:numId w:val="4"/>
        </w:numPr>
        <w:rPr>
          <w:vanish/>
          <w:szCs w:val="24"/>
        </w:rPr>
      </w:pPr>
    </w:p>
    <w:p w14:paraId="6C74A9A4" w14:textId="77777777" w:rsidR="00941699" w:rsidRPr="002F2B00" w:rsidRDefault="00941699" w:rsidP="00941699">
      <w:pPr>
        <w:pStyle w:val="ListParagraph"/>
        <w:numPr>
          <w:ilvl w:val="1"/>
          <w:numId w:val="4"/>
        </w:numPr>
        <w:rPr>
          <w:vanish/>
          <w:szCs w:val="24"/>
        </w:rPr>
      </w:pPr>
    </w:p>
    <w:p w14:paraId="66D39283" w14:textId="77777777" w:rsidR="00941699" w:rsidRPr="002F2B00" w:rsidRDefault="00941699" w:rsidP="00941699">
      <w:pPr>
        <w:pStyle w:val="ListParagraph"/>
        <w:numPr>
          <w:ilvl w:val="1"/>
          <w:numId w:val="4"/>
        </w:numPr>
        <w:rPr>
          <w:vanish/>
          <w:szCs w:val="24"/>
        </w:rPr>
      </w:pPr>
    </w:p>
    <w:p w14:paraId="25D435F8" w14:textId="77777777" w:rsidR="00941699" w:rsidRPr="002F2B00" w:rsidRDefault="00941699" w:rsidP="00941699">
      <w:pPr>
        <w:pStyle w:val="ListParagraph"/>
        <w:numPr>
          <w:ilvl w:val="1"/>
          <w:numId w:val="4"/>
        </w:numPr>
        <w:rPr>
          <w:vanish/>
          <w:szCs w:val="24"/>
        </w:rPr>
      </w:pPr>
    </w:p>
    <w:p w14:paraId="117821BB" w14:textId="1540F377" w:rsidR="00732479" w:rsidRPr="002F2B00" w:rsidRDefault="000C046A" w:rsidP="7758E19B">
      <w:pPr>
        <w:pStyle w:val="ListParagraph"/>
        <w:numPr>
          <w:ilvl w:val="1"/>
          <w:numId w:val="4"/>
        </w:numPr>
      </w:pPr>
      <w:r w:rsidRPr="002F2B00">
        <w:t xml:space="preserve">As a fundamental starting point, it is important to recall the purpose of the investigations that are required by law. </w:t>
      </w:r>
      <w:r w:rsidR="68D5FF97" w:rsidRPr="002F2B00">
        <w:t>The purpose of an investigation is to secure:</w:t>
      </w:r>
    </w:p>
    <w:p w14:paraId="48B2B895" w14:textId="77777777" w:rsidR="00732479" w:rsidRPr="002F2B00" w:rsidRDefault="00732479" w:rsidP="00732479">
      <w:pPr>
        <w:pStyle w:val="ListParagraph"/>
        <w:ind w:left="1080"/>
        <w:rPr>
          <w:szCs w:val="24"/>
        </w:rPr>
      </w:pPr>
    </w:p>
    <w:p w14:paraId="0B600812" w14:textId="353ADC91" w:rsidR="00732479" w:rsidRPr="002F2B00" w:rsidRDefault="00732479" w:rsidP="00732479">
      <w:pPr>
        <w:pStyle w:val="Quote"/>
      </w:pPr>
      <w:r w:rsidRPr="002F2B00">
        <w:t>the accountability of agents of the State for their use of lethal force by subjecting their actions to some form of independent and public scrutiny capable of leading to a determination of whether the force used was or was not justified in a particular set of circumstances.</w:t>
      </w:r>
      <w:r w:rsidRPr="002F2B00">
        <w:rPr>
          <w:rStyle w:val="FootnoteReference"/>
        </w:rPr>
        <w:footnoteReference w:id="20"/>
      </w:r>
    </w:p>
    <w:p w14:paraId="7E224924" w14:textId="77777777" w:rsidR="00732479" w:rsidRPr="002F2B00" w:rsidRDefault="00732479" w:rsidP="00732479"/>
    <w:p w14:paraId="045CE989" w14:textId="30E919DE" w:rsidR="00732479" w:rsidRPr="002F2B00" w:rsidRDefault="00B857A6" w:rsidP="00AE7DB3">
      <w:pPr>
        <w:pStyle w:val="ListParagraph"/>
        <w:numPr>
          <w:ilvl w:val="1"/>
          <w:numId w:val="4"/>
        </w:numPr>
      </w:pPr>
      <w:r w:rsidRPr="002F2B00">
        <w:t>Moreover, when read with the</w:t>
      </w:r>
      <w:r w:rsidR="008169DE" w:rsidRPr="002F2B00">
        <w:t xml:space="preserve"> right to an effective remedy (Article 13 of the ECHR)</w:t>
      </w:r>
      <w:r w:rsidR="00732479" w:rsidRPr="002F2B00">
        <w:t xml:space="preserve">, </w:t>
      </w:r>
      <w:r w:rsidRPr="002F2B00">
        <w:t xml:space="preserve">it </w:t>
      </w:r>
      <w:r w:rsidR="00732479" w:rsidRPr="002F2B00">
        <w:t>necessitate</w:t>
      </w:r>
      <w:r w:rsidRPr="002F2B00">
        <w:t>s</w:t>
      </w:r>
      <w:r w:rsidR="00732479" w:rsidRPr="002F2B00">
        <w:t xml:space="preserve"> “in addition to the payment of compensation where appropriate, a thorough and effective investigation capable of leading to the identification and punishment of those responsible and including effective access for the relatives to the investigatory procedure”.</w:t>
      </w:r>
      <w:r w:rsidR="00732479" w:rsidRPr="002F2B00">
        <w:rPr>
          <w:rStyle w:val="FootnoteReference"/>
        </w:rPr>
        <w:footnoteReference w:id="21"/>
      </w:r>
      <w:r w:rsidR="00732479" w:rsidRPr="002F2B00">
        <w:t xml:space="preserve"> A similar approach applies to </w:t>
      </w:r>
      <w:r w:rsidR="008169DE" w:rsidRPr="002F2B00">
        <w:t>remedy for torture or ill-treatment</w:t>
      </w:r>
      <w:r w:rsidR="00732479" w:rsidRPr="002F2B00">
        <w:rPr>
          <w:szCs w:val="24"/>
        </w:rPr>
        <w:t>.</w:t>
      </w:r>
      <w:r w:rsidR="00732479" w:rsidRPr="002F2B00">
        <w:rPr>
          <w:rStyle w:val="FootnoteReference"/>
        </w:rPr>
        <w:footnoteReference w:id="22"/>
      </w:r>
    </w:p>
    <w:p w14:paraId="7B77DF31" w14:textId="77777777" w:rsidR="00732479" w:rsidRPr="002F2B00" w:rsidRDefault="00732479" w:rsidP="00732479">
      <w:pPr>
        <w:pStyle w:val="ListParagraph"/>
        <w:rPr>
          <w:szCs w:val="24"/>
        </w:rPr>
      </w:pPr>
    </w:p>
    <w:p w14:paraId="40BA645F" w14:textId="77777777" w:rsidR="00732479" w:rsidRPr="002F2B00" w:rsidRDefault="00732479" w:rsidP="00732479">
      <w:pPr>
        <w:pStyle w:val="ListParagraph"/>
        <w:numPr>
          <w:ilvl w:val="1"/>
          <w:numId w:val="4"/>
        </w:numPr>
        <w:rPr>
          <w:szCs w:val="24"/>
        </w:rPr>
      </w:pPr>
      <w:r w:rsidRPr="002F2B00">
        <w:rPr>
          <w:szCs w:val="24"/>
        </w:rPr>
        <w:t>An investigation must honour the rule of law, be transparent and provide effective accountability.</w:t>
      </w:r>
      <w:r w:rsidRPr="002F2B00">
        <w:rPr>
          <w:rStyle w:val="FootnoteReference"/>
          <w:szCs w:val="24"/>
        </w:rPr>
        <w:footnoteReference w:id="23"/>
      </w:r>
      <w:r w:rsidRPr="002F2B00">
        <w:rPr>
          <w:szCs w:val="24"/>
        </w:rPr>
        <w:t xml:space="preserve"> The available criminal law remedies must be capable of altering the course of an investigation.</w:t>
      </w:r>
      <w:r w:rsidRPr="002F2B00">
        <w:rPr>
          <w:rStyle w:val="FootnoteReference"/>
          <w:szCs w:val="24"/>
        </w:rPr>
        <w:footnoteReference w:id="24"/>
      </w:r>
      <w:r w:rsidRPr="002F2B00">
        <w:rPr>
          <w:szCs w:val="24"/>
        </w:rPr>
        <w:t xml:space="preserve"> </w:t>
      </w:r>
    </w:p>
    <w:p w14:paraId="49A956DE" w14:textId="77777777" w:rsidR="00732479" w:rsidRPr="002F2B00" w:rsidRDefault="00732479" w:rsidP="00732479">
      <w:pPr>
        <w:pStyle w:val="ListParagraph"/>
        <w:rPr>
          <w:szCs w:val="24"/>
        </w:rPr>
      </w:pPr>
    </w:p>
    <w:p w14:paraId="007671FF" w14:textId="67B56A66" w:rsidR="00732479" w:rsidRPr="002F2B00" w:rsidRDefault="00B857A6" w:rsidP="00732479">
      <w:pPr>
        <w:pStyle w:val="ListParagraph"/>
        <w:numPr>
          <w:ilvl w:val="1"/>
          <w:numId w:val="4"/>
        </w:numPr>
        <w:rPr>
          <w:szCs w:val="24"/>
        </w:rPr>
      </w:pPr>
      <w:r w:rsidRPr="002F2B00">
        <w:rPr>
          <w:szCs w:val="24"/>
        </w:rPr>
        <w:t>While t</w:t>
      </w:r>
      <w:r w:rsidR="00732479" w:rsidRPr="002F2B00">
        <w:rPr>
          <w:szCs w:val="24"/>
        </w:rPr>
        <w:t>he nature and degree of scrutiny required by an investigation is determined by the circumstances of each case</w:t>
      </w:r>
      <w:r w:rsidRPr="002F2B00">
        <w:rPr>
          <w:szCs w:val="24"/>
        </w:rPr>
        <w:t>,</w:t>
      </w:r>
      <w:r w:rsidR="00732479" w:rsidRPr="002F2B00">
        <w:rPr>
          <w:szCs w:val="24"/>
        </w:rPr>
        <w:t xml:space="preserve"> </w:t>
      </w:r>
      <w:r w:rsidRPr="002F2B00">
        <w:rPr>
          <w:szCs w:val="24"/>
        </w:rPr>
        <w:t xml:space="preserve">for example </w:t>
      </w:r>
      <w:r w:rsidR="00732479" w:rsidRPr="002F2B00">
        <w:rPr>
          <w:szCs w:val="24"/>
        </w:rPr>
        <w:t xml:space="preserve">undisputed cases </w:t>
      </w:r>
      <w:r w:rsidRPr="002F2B00">
        <w:rPr>
          <w:szCs w:val="24"/>
        </w:rPr>
        <w:t xml:space="preserve">may require </w:t>
      </w:r>
      <w:r w:rsidR="00732479" w:rsidRPr="002F2B00">
        <w:rPr>
          <w:szCs w:val="24"/>
        </w:rPr>
        <w:t xml:space="preserve">a </w:t>
      </w:r>
      <w:r w:rsidR="00067C5F" w:rsidRPr="002F2B00">
        <w:rPr>
          <w:szCs w:val="24"/>
        </w:rPr>
        <w:t>simple investigation</w:t>
      </w:r>
      <w:r w:rsidR="00732479" w:rsidRPr="002F2B00">
        <w:rPr>
          <w:szCs w:val="24"/>
        </w:rPr>
        <w:t xml:space="preserve">, but </w:t>
      </w:r>
      <w:r w:rsidRPr="002F2B00">
        <w:rPr>
          <w:szCs w:val="24"/>
        </w:rPr>
        <w:t xml:space="preserve">disputed or suspicious cases will require </w:t>
      </w:r>
      <w:r w:rsidR="00732479" w:rsidRPr="002F2B00">
        <w:rPr>
          <w:szCs w:val="24"/>
        </w:rPr>
        <w:t>additional scrutiny</w:t>
      </w:r>
      <w:r w:rsidRPr="002F2B00">
        <w:rPr>
          <w:szCs w:val="24"/>
        </w:rPr>
        <w:t>.</w:t>
      </w:r>
      <w:r w:rsidR="00732479" w:rsidRPr="002F2B00">
        <w:rPr>
          <w:rStyle w:val="FootnoteReference"/>
          <w:szCs w:val="24"/>
        </w:rPr>
        <w:footnoteReference w:id="25"/>
      </w:r>
      <w:r w:rsidRPr="002F2B00">
        <w:rPr>
          <w:szCs w:val="24"/>
        </w:rPr>
        <w:t xml:space="preserve"> Importantly, those potentially implicated must not </w:t>
      </w:r>
      <w:r w:rsidR="00467E6B" w:rsidRPr="002F2B00">
        <w:rPr>
          <w:szCs w:val="24"/>
        </w:rPr>
        <w:t xml:space="preserve">be investigated </w:t>
      </w:r>
      <w:r w:rsidRPr="002F2B00">
        <w:rPr>
          <w:szCs w:val="24"/>
        </w:rPr>
        <w:t>by the ones who also determine what is required by way of investigation.</w:t>
      </w:r>
    </w:p>
    <w:p w14:paraId="5AFFF3F7" w14:textId="77777777" w:rsidR="00732479" w:rsidRPr="002F2B00" w:rsidRDefault="00732479" w:rsidP="00732479">
      <w:pPr>
        <w:pStyle w:val="ListParagraph"/>
        <w:rPr>
          <w:szCs w:val="24"/>
        </w:rPr>
      </w:pPr>
    </w:p>
    <w:p w14:paraId="283F2AA4" w14:textId="77777777" w:rsidR="00732479" w:rsidRPr="002F2B00" w:rsidRDefault="00732479" w:rsidP="00732479">
      <w:pPr>
        <w:pStyle w:val="ListParagraph"/>
        <w:numPr>
          <w:ilvl w:val="1"/>
          <w:numId w:val="4"/>
        </w:numPr>
        <w:rPr>
          <w:szCs w:val="24"/>
        </w:rPr>
      </w:pPr>
      <w:r w:rsidRPr="002F2B00">
        <w:rPr>
          <w:szCs w:val="24"/>
        </w:rPr>
        <w:t>The UN Human Rights Committee reiterates:</w:t>
      </w:r>
    </w:p>
    <w:p w14:paraId="1A53A7B4" w14:textId="77777777" w:rsidR="00732479" w:rsidRPr="002F2B00" w:rsidRDefault="00732479" w:rsidP="00732479">
      <w:pPr>
        <w:pStyle w:val="ListParagraph"/>
        <w:rPr>
          <w:szCs w:val="24"/>
        </w:rPr>
      </w:pPr>
    </w:p>
    <w:p w14:paraId="16555ADE" w14:textId="77777777" w:rsidR="00732479" w:rsidRPr="002F2B00" w:rsidRDefault="00732479" w:rsidP="00732479">
      <w:pPr>
        <w:pStyle w:val="Quote"/>
      </w:pPr>
      <w:r w:rsidRPr="002F2B00">
        <w:t>investigations and prosecutions of potentially unlawful deprivations of life should be undertaken in accordance with relevant international standards, including the Minnesota Protocol on the Investigation of Potentially Unlawful Death (2016), and must be aimed at ensuring that those responsible are brought to justice, at promoting accountability and preventing impunity, at avoiding denial of justice and at drawing necessary lessons on revising practices and policies with a view to avoiding repeated violations.</w:t>
      </w:r>
      <w:r w:rsidRPr="002F2B00">
        <w:rPr>
          <w:rStyle w:val="FootnoteReference"/>
        </w:rPr>
        <w:footnoteReference w:id="26"/>
      </w:r>
    </w:p>
    <w:p w14:paraId="638BAC25" w14:textId="77777777" w:rsidR="00732479" w:rsidRPr="002F2B00" w:rsidRDefault="00732479" w:rsidP="00732479"/>
    <w:p w14:paraId="0057FBCF" w14:textId="77777777" w:rsidR="00732479" w:rsidRPr="002F2B00" w:rsidRDefault="00732479" w:rsidP="00732479">
      <w:pPr>
        <w:pStyle w:val="ListParagraph"/>
        <w:numPr>
          <w:ilvl w:val="1"/>
          <w:numId w:val="4"/>
        </w:numPr>
        <w:rPr>
          <w:szCs w:val="24"/>
        </w:rPr>
      </w:pPr>
      <w:r w:rsidRPr="002F2B00">
        <w:rPr>
          <w:szCs w:val="24"/>
        </w:rPr>
        <w:t>The UN Human Rights Committee continues:</w:t>
      </w:r>
    </w:p>
    <w:p w14:paraId="4A63EB0C" w14:textId="77777777" w:rsidR="00732479" w:rsidRPr="002F2B00" w:rsidRDefault="00732479" w:rsidP="00732479">
      <w:pPr>
        <w:rPr>
          <w:szCs w:val="24"/>
        </w:rPr>
      </w:pPr>
    </w:p>
    <w:p w14:paraId="763D03B3" w14:textId="77777777" w:rsidR="00732479" w:rsidRPr="002F2B00" w:rsidRDefault="00732479" w:rsidP="00732479">
      <w:pPr>
        <w:pStyle w:val="Quote"/>
      </w:pPr>
      <w:r w:rsidRPr="002F2B00">
        <w:t>given the importance of the right to life, State parties must generally refrain from addressing violations of Article 6 [of the ICCPR] merely through administrative or disciplinary measures, and a criminal investigation is normally required, which should lead, if enough incriminating evidence is gathered, to a criminal prosecution.</w:t>
      </w:r>
      <w:r w:rsidRPr="002F2B00">
        <w:rPr>
          <w:rStyle w:val="FootnoteReference"/>
        </w:rPr>
        <w:footnoteReference w:id="27"/>
      </w:r>
    </w:p>
    <w:p w14:paraId="1DC3D82D" w14:textId="77777777" w:rsidR="00732479" w:rsidRPr="002F2B00" w:rsidRDefault="00732479" w:rsidP="00732479"/>
    <w:p w14:paraId="7D48EA6B" w14:textId="2A950B07" w:rsidR="00732479" w:rsidRPr="002F2B00" w:rsidRDefault="68D5FF97" w:rsidP="3B893269">
      <w:pPr>
        <w:pStyle w:val="ListParagraph"/>
        <w:numPr>
          <w:ilvl w:val="1"/>
          <w:numId w:val="4"/>
        </w:numPr>
      </w:pPr>
      <w:r w:rsidRPr="002F2B00">
        <w:t xml:space="preserve">It further </w:t>
      </w:r>
      <w:r w:rsidR="00DB4C29" w:rsidRPr="002F2B00">
        <w:t>provides</w:t>
      </w:r>
      <w:r w:rsidRPr="002F2B00">
        <w:t xml:space="preserve"> that “States parties are also under an obligation to take steps to prevent the occurrence of similar violations in the future”.</w:t>
      </w:r>
      <w:r w:rsidR="00732479" w:rsidRPr="002F2B00">
        <w:rPr>
          <w:rStyle w:val="FootnoteReference"/>
        </w:rPr>
        <w:footnoteReference w:id="28"/>
      </w:r>
      <w:r w:rsidR="5D269DD9" w:rsidRPr="002F2B00">
        <w:rPr>
          <w:szCs w:val="24"/>
        </w:rPr>
        <w:t xml:space="preserve"> </w:t>
      </w:r>
      <w:r w:rsidR="08496EA1" w:rsidRPr="002F2B00">
        <w:t>The right to life is a limited right, which can only be interfered with when “absolutely necessary”</w:t>
      </w:r>
      <w:r w:rsidR="0AB111C3" w:rsidRPr="002F2B00">
        <w:t xml:space="preserve"> and proportionate</w:t>
      </w:r>
      <w:r w:rsidR="08496EA1" w:rsidRPr="002F2B00">
        <w:t xml:space="preserve"> in three very specific scenarios </w:t>
      </w:r>
      <w:r w:rsidR="5548528E" w:rsidRPr="002F2B00">
        <w:rPr>
          <w:szCs w:val="24"/>
        </w:rPr>
        <w:t>–</w:t>
      </w:r>
      <w:r w:rsidR="08496EA1" w:rsidRPr="002F2B00">
        <w:rPr>
          <w:szCs w:val="24"/>
        </w:rPr>
        <w:t xml:space="preserve"> </w:t>
      </w:r>
      <w:r w:rsidR="5548528E" w:rsidRPr="002F2B00">
        <w:t xml:space="preserve">in defence from unlawful violence, </w:t>
      </w:r>
      <w:r w:rsidR="500893F9" w:rsidRPr="002F2B00">
        <w:t>to effect a lawful arrest or prevent escape of a person lawfully detained, or to lawfully quell a riot or insurrection.</w:t>
      </w:r>
      <w:r w:rsidR="00517797" w:rsidRPr="002F2B00">
        <w:rPr>
          <w:rStyle w:val="FootnoteReference"/>
        </w:rPr>
        <w:footnoteReference w:id="29"/>
      </w:r>
      <w:r w:rsidR="2D70271B" w:rsidRPr="002F2B00">
        <w:t xml:space="preserve"> Freedom from torture or ill-treatment is an absolute right, which should not be interfered with </w:t>
      </w:r>
      <w:r w:rsidR="59D49F41" w:rsidRPr="002F2B00">
        <w:t>under</w:t>
      </w:r>
      <w:r w:rsidR="2D70271B" w:rsidRPr="002F2B00">
        <w:t xml:space="preserve"> any circumstances.</w:t>
      </w:r>
      <w:r w:rsidR="00014ACD" w:rsidRPr="002F2B00">
        <w:rPr>
          <w:rStyle w:val="FootnoteReference"/>
        </w:rPr>
        <w:footnoteReference w:id="30"/>
      </w:r>
      <w:r w:rsidR="732FBFD7" w:rsidRPr="002F2B00">
        <w:t xml:space="preserve"> On that basis it is imperative that the procedural obligation to investigate is taken seriously</w:t>
      </w:r>
      <w:r w:rsidR="00A63598" w:rsidRPr="002F2B00">
        <w:t>. This is not</w:t>
      </w:r>
      <w:r w:rsidR="22286D9F" w:rsidRPr="002F2B00">
        <w:t xml:space="preserve"> only </w:t>
      </w:r>
      <w:r w:rsidR="00A63598" w:rsidRPr="002F2B00">
        <w:t xml:space="preserve">essential </w:t>
      </w:r>
      <w:r w:rsidR="22286D9F" w:rsidRPr="002F2B00">
        <w:t xml:space="preserve">from the perspective of dealing </w:t>
      </w:r>
      <w:r w:rsidR="22286D9F" w:rsidRPr="002F2B00">
        <w:lastRenderedPageBreak/>
        <w:t>with the past, but to ensure that similar violations do not occur in the future.</w:t>
      </w:r>
    </w:p>
    <w:p w14:paraId="71561449" w14:textId="77777777" w:rsidR="00732479" w:rsidRPr="002F2B00" w:rsidRDefault="00732479" w:rsidP="00732479">
      <w:pPr>
        <w:pStyle w:val="ListParagraph"/>
        <w:rPr>
          <w:szCs w:val="24"/>
        </w:rPr>
      </w:pPr>
    </w:p>
    <w:p w14:paraId="3C658790" w14:textId="03D51792" w:rsidR="00732479" w:rsidRPr="002F2B00" w:rsidRDefault="68D5FF97" w:rsidP="005B3E7F">
      <w:pPr>
        <w:pStyle w:val="ListParagraph"/>
        <w:numPr>
          <w:ilvl w:val="1"/>
          <w:numId w:val="4"/>
        </w:numPr>
      </w:pPr>
      <w:r w:rsidRPr="002F2B00">
        <w:t xml:space="preserve">The UN Revised Minnesota Protocol </w:t>
      </w:r>
      <w:r w:rsidR="7B35CAA9" w:rsidRPr="002F2B00">
        <w:t>provides that the duty to investigate “gives practical effect to the duties to respect and protect the right to life, and promotes accountability and remedy where the substantive right may have been violated”.</w:t>
      </w:r>
      <w:r w:rsidR="00692626" w:rsidRPr="002F2B00">
        <w:rPr>
          <w:rStyle w:val="FootnoteReference"/>
        </w:rPr>
        <w:footnoteReference w:id="31"/>
      </w:r>
      <w:r w:rsidR="7B35CAA9" w:rsidRPr="002F2B00">
        <w:t xml:space="preserve"> It continues that</w:t>
      </w:r>
      <w:r w:rsidR="005B3E7F" w:rsidRPr="002F2B00">
        <w:rPr>
          <w:szCs w:val="24"/>
        </w:rPr>
        <w:t xml:space="preserve"> “</w:t>
      </w:r>
      <w:r w:rsidR="00732479" w:rsidRPr="002F2B00">
        <w:t xml:space="preserve">investigations must be capable </w:t>
      </w:r>
      <w:r w:rsidR="006A42F6" w:rsidRPr="002F2B00">
        <w:t>of</w:t>
      </w:r>
      <w:r w:rsidR="00732479" w:rsidRPr="002F2B00">
        <w:t xml:space="preserve"> ensuring accountability for unlawful death; leading to the identification and, if justified by the evidence and seriousness of the case, the prosecution and punishment of all those responsible; and preventing future unlawful death</w:t>
      </w:r>
      <w:r w:rsidR="005B3E7F" w:rsidRPr="002F2B00">
        <w:t>”</w:t>
      </w:r>
      <w:r w:rsidR="00732479" w:rsidRPr="002F2B00">
        <w:t>.</w:t>
      </w:r>
      <w:r w:rsidR="00732479" w:rsidRPr="002F2B00">
        <w:rPr>
          <w:rStyle w:val="FootnoteReference"/>
        </w:rPr>
        <w:footnoteReference w:id="32"/>
      </w:r>
    </w:p>
    <w:p w14:paraId="1E0E830B" w14:textId="77777777" w:rsidR="00732479" w:rsidRPr="002F2B00" w:rsidRDefault="00732479" w:rsidP="00732479">
      <w:pPr>
        <w:rPr>
          <w:szCs w:val="24"/>
        </w:rPr>
      </w:pPr>
    </w:p>
    <w:p w14:paraId="3D9B4695" w14:textId="118B9B3A" w:rsidR="00F422AA" w:rsidRPr="002F2B00" w:rsidRDefault="00732479" w:rsidP="00732479">
      <w:pPr>
        <w:pStyle w:val="ListParagraph"/>
        <w:numPr>
          <w:ilvl w:val="1"/>
          <w:numId w:val="4"/>
        </w:numPr>
        <w:rPr>
          <w:szCs w:val="24"/>
        </w:rPr>
      </w:pPr>
      <w:r w:rsidRPr="002F2B00">
        <w:rPr>
          <w:szCs w:val="24"/>
        </w:rPr>
        <w:t>The UN</w:t>
      </w:r>
      <w:r w:rsidRPr="002F2B00">
        <w:t xml:space="preserve"> Principles on the Effective Prevention and Investigation of Extra-legal, Arbitrary and Summary Executions states “t</w:t>
      </w:r>
      <w:r w:rsidRPr="002F2B00">
        <w:rPr>
          <w:szCs w:val="24"/>
        </w:rPr>
        <w:t>he purpose of the investigation shall be to determine the cause, manner and time of death, the person responsible, and any pattern or practice which may have brought about the death”.</w:t>
      </w:r>
      <w:r w:rsidRPr="002F2B00">
        <w:rPr>
          <w:rStyle w:val="FootnoteReference"/>
          <w:szCs w:val="24"/>
        </w:rPr>
        <w:footnoteReference w:id="33"/>
      </w:r>
    </w:p>
    <w:p w14:paraId="33CEB7E5" w14:textId="77777777" w:rsidR="00F422AA" w:rsidRPr="002F2B00" w:rsidRDefault="00F422AA" w:rsidP="00F422AA">
      <w:pPr>
        <w:pStyle w:val="ListParagraph"/>
        <w:rPr>
          <w:szCs w:val="24"/>
        </w:rPr>
      </w:pPr>
    </w:p>
    <w:p w14:paraId="1C71A309" w14:textId="77777777" w:rsidR="00F422AA" w:rsidRPr="002F2B00" w:rsidRDefault="00F422AA" w:rsidP="00F422AA">
      <w:pPr>
        <w:pStyle w:val="ListParagraph"/>
        <w:numPr>
          <w:ilvl w:val="1"/>
          <w:numId w:val="4"/>
        </w:numPr>
        <w:rPr>
          <w:szCs w:val="24"/>
        </w:rPr>
      </w:pPr>
      <w:r w:rsidRPr="002F2B00">
        <w:rPr>
          <w:szCs w:val="24"/>
        </w:rPr>
        <w:t>The UN Office of the High Commissioner for Human Rights highlights that:</w:t>
      </w:r>
    </w:p>
    <w:p w14:paraId="4E8857C0" w14:textId="77777777" w:rsidR="00F422AA" w:rsidRPr="002F2B00" w:rsidRDefault="00F422AA" w:rsidP="00F422AA">
      <w:pPr>
        <w:pStyle w:val="Quote"/>
      </w:pPr>
    </w:p>
    <w:p w14:paraId="5F9B4587" w14:textId="77777777" w:rsidR="00F422AA" w:rsidRPr="002F2B00" w:rsidRDefault="00F422AA" w:rsidP="00F422AA">
      <w:pPr>
        <w:pStyle w:val="Quote"/>
      </w:pPr>
      <w:r w:rsidRPr="002F2B00">
        <w:t>the right to the truth about gross violations and serious violations of human rights law is an inalienable and autonomous right, linked to the duty and obligation of the State to protect and guarantee human rights, to conduct effective investigations and to guarantee effective remedy and reparations. This right is closely linked with other rights and has both an individual and a societal dimension and should be considered as a non-</w:t>
      </w:r>
      <w:proofErr w:type="spellStart"/>
      <w:r w:rsidRPr="002F2B00">
        <w:t>derogable</w:t>
      </w:r>
      <w:proofErr w:type="spellEnd"/>
      <w:r w:rsidRPr="002F2B00">
        <w:t xml:space="preserve"> right and not be subject to limitations.</w:t>
      </w:r>
      <w:r w:rsidRPr="002F2B00">
        <w:rPr>
          <w:rStyle w:val="FootnoteReference"/>
        </w:rPr>
        <w:footnoteReference w:id="34"/>
      </w:r>
    </w:p>
    <w:p w14:paraId="62C731A5" w14:textId="77777777" w:rsidR="00F422AA" w:rsidRPr="002F2B00" w:rsidRDefault="00F422AA" w:rsidP="00F422AA">
      <w:pPr>
        <w:pStyle w:val="ListParagraph"/>
        <w:rPr>
          <w:szCs w:val="24"/>
        </w:rPr>
      </w:pPr>
    </w:p>
    <w:p w14:paraId="0EC86C79" w14:textId="51221417" w:rsidR="00F422AA" w:rsidRPr="002F2B00" w:rsidRDefault="00F422AA" w:rsidP="00F422AA">
      <w:pPr>
        <w:pStyle w:val="ListParagraph"/>
        <w:numPr>
          <w:ilvl w:val="1"/>
          <w:numId w:val="4"/>
        </w:numPr>
        <w:rPr>
          <w:szCs w:val="24"/>
        </w:rPr>
      </w:pPr>
      <w:r w:rsidRPr="002F2B00">
        <w:rPr>
          <w:szCs w:val="24"/>
        </w:rPr>
        <w:t xml:space="preserve">The </w:t>
      </w:r>
      <w:r w:rsidR="005B7F78" w:rsidRPr="002F2B00">
        <w:rPr>
          <w:szCs w:val="24"/>
        </w:rPr>
        <w:t xml:space="preserve">former </w:t>
      </w:r>
      <w:r w:rsidRPr="002F2B00">
        <w:rPr>
          <w:szCs w:val="24"/>
        </w:rPr>
        <w:t xml:space="preserve">UN Special Rapporteur on </w:t>
      </w:r>
      <w:r w:rsidR="008B73A7" w:rsidRPr="002F2B00">
        <w:rPr>
          <w:szCs w:val="24"/>
        </w:rPr>
        <w:t>the promotion of t</w:t>
      </w:r>
      <w:r w:rsidRPr="002F2B00">
        <w:rPr>
          <w:szCs w:val="24"/>
        </w:rPr>
        <w:t>ruth</w:t>
      </w:r>
      <w:r w:rsidR="005B7F78" w:rsidRPr="002F2B00">
        <w:rPr>
          <w:szCs w:val="24"/>
        </w:rPr>
        <w:t xml:space="preserve">, Pablo de </w:t>
      </w:r>
      <w:proofErr w:type="spellStart"/>
      <w:r w:rsidR="005B7F78" w:rsidRPr="002F2B00">
        <w:rPr>
          <w:szCs w:val="24"/>
        </w:rPr>
        <w:t>Greiff</w:t>
      </w:r>
      <w:proofErr w:type="spellEnd"/>
      <w:r w:rsidR="005B7F78" w:rsidRPr="002F2B00">
        <w:rPr>
          <w:szCs w:val="24"/>
        </w:rPr>
        <w:t>,</w:t>
      </w:r>
      <w:r w:rsidRPr="002F2B00">
        <w:rPr>
          <w:szCs w:val="24"/>
        </w:rPr>
        <w:t xml:space="preserve"> recommends that “the structural and systemic dimension of violence and rights violations and abuses should be examined. A </w:t>
      </w:r>
      <w:r w:rsidRPr="002F2B00">
        <w:rPr>
          <w:szCs w:val="24"/>
        </w:rPr>
        <w:lastRenderedPageBreak/>
        <w:t>comprehensive understanding of the past requires instruments that do not treat it merely as a series of unconnected events”.</w:t>
      </w:r>
      <w:r w:rsidRPr="002F2B00">
        <w:rPr>
          <w:rStyle w:val="FootnoteReference"/>
          <w:szCs w:val="24"/>
        </w:rPr>
        <w:footnoteReference w:id="35"/>
      </w:r>
    </w:p>
    <w:p w14:paraId="1520205F" w14:textId="77777777" w:rsidR="00DF14AF" w:rsidRPr="002F2B00" w:rsidRDefault="00DF14AF" w:rsidP="008E2E39">
      <w:pPr>
        <w:rPr>
          <w:szCs w:val="24"/>
        </w:rPr>
      </w:pPr>
    </w:p>
    <w:p w14:paraId="2345F3A2" w14:textId="506077CE" w:rsidR="00DC601B" w:rsidRPr="002F2B00" w:rsidRDefault="00DF14AF" w:rsidP="00DC601B">
      <w:pPr>
        <w:numPr>
          <w:ilvl w:val="1"/>
          <w:numId w:val="4"/>
        </w:numPr>
        <w:contextualSpacing/>
      </w:pPr>
      <w:r w:rsidRPr="002F2B00">
        <w:rPr>
          <w:szCs w:val="24"/>
        </w:rPr>
        <w:t xml:space="preserve">It should also be noted that the Stormont House Agreement </w:t>
      </w:r>
      <w:r w:rsidR="00DC601B" w:rsidRPr="002F2B00">
        <w:rPr>
          <w:szCs w:val="24"/>
        </w:rPr>
        <w:t xml:space="preserve">2014 </w:t>
      </w:r>
      <w:r w:rsidR="00DC601B" w:rsidRPr="002F2B00">
        <w:t>provides that:</w:t>
      </w:r>
    </w:p>
    <w:p w14:paraId="4DA041A0" w14:textId="77777777" w:rsidR="00DC601B" w:rsidRPr="002F2B00" w:rsidRDefault="00DC601B" w:rsidP="00DC601B">
      <w:pPr>
        <w:ind w:left="720"/>
        <w:contextualSpacing/>
      </w:pPr>
    </w:p>
    <w:p w14:paraId="004C526F" w14:textId="77777777" w:rsidR="00422D89" w:rsidRPr="002F2B00" w:rsidRDefault="00DC601B" w:rsidP="00DC601B">
      <w:pPr>
        <w:pStyle w:val="Quote"/>
      </w:pPr>
      <w:r w:rsidRPr="002F2B00">
        <w:t xml:space="preserve">the UK and Irish Governments recognise that there are outstanding investigations and allegations into Troubles-related incidents, including </w:t>
      </w:r>
      <w:proofErr w:type="gramStart"/>
      <w:r w:rsidRPr="002F2B00">
        <w:t>a number of</w:t>
      </w:r>
      <w:proofErr w:type="gramEnd"/>
      <w:r w:rsidRPr="002F2B00">
        <w:t xml:space="preserve"> cross-border incidents. They commit to co-operation with all bodies involved to enable their effective operation, recognising their distinctive functions, and to bring forward legislation where necessary.</w:t>
      </w:r>
      <w:r w:rsidRPr="002F2B00">
        <w:rPr>
          <w:vertAlign w:val="superscript"/>
        </w:rPr>
        <w:footnoteReference w:id="36"/>
      </w:r>
    </w:p>
    <w:p w14:paraId="01BED8B0" w14:textId="15B1EC28" w:rsidR="00F422AA" w:rsidRPr="002F2B00" w:rsidRDefault="00DC601B" w:rsidP="002F44B9">
      <w:pPr>
        <w:pStyle w:val="Quote"/>
      </w:pPr>
      <w:r w:rsidRPr="002F2B00">
        <w:t xml:space="preserve"> </w:t>
      </w:r>
    </w:p>
    <w:p w14:paraId="41FCA4EF" w14:textId="582B8F7A" w:rsidR="00321106" w:rsidRPr="002F2B00" w:rsidRDefault="00321106" w:rsidP="00B1273E">
      <w:pPr>
        <w:pStyle w:val="ListParagraph"/>
        <w:numPr>
          <w:ilvl w:val="1"/>
          <w:numId w:val="4"/>
        </w:numPr>
      </w:pPr>
      <w:r w:rsidRPr="002F2B00">
        <w:t>The UN Human Rights Committee,</w:t>
      </w:r>
      <w:r w:rsidRPr="002F2B00">
        <w:rPr>
          <w:rStyle w:val="FootnoteReference"/>
        </w:rPr>
        <w:footnoteReference w:id="37"/>
      </w:r>
      <w:r w:rsidRPr="002F2B00">
        <w:t xml:space="preserve"> </w:t>
      </w:r>
      <w:r w:rsidR="002F0472" w:rsidRPr="002F2B00">
        <w:t>UN Committee against Torture (UN CAT Committee),</w:t>
      </w:r>
      <w:r w:rsidR="002F0472" w:rsidRPr="002F2B00">
        <w:rPr>
          <w:rStyle w:val="FootnoteReference"/>
        </w:rPr>
        <w:footnoteReference w:id="38"/>
      </w:r>
      <w:r w:rsidR="002F0472" w:rsidRPr="002F2B00">
        <w:t xml:space="preserve"> UN Special Rapporteurs</w:t>
      </w:r>
      <w:r w:rsidRPr="002F2B00">
        <w:rPr>
          <w:rStyle w:val="FootnoteReference"/>
        </w:rPr>
        <w:footnoteReference w:id="39"/>
      </w:r>
      <w:r w:rsidRPr="002F2B00">
        <w:t xml:space="preserve"> </w:t>
      </w:r>
      <w:r w:rsidR="002F0472" w:rsidRPr="002F2B00">
        <w:t>and the</w:t>
      </w:r>
      <w:r w:rsidR="005B0D8D" w:rsidRPr="002F2B00">
        <w:t xml:space="preserve"> </w:t>
      </w:r>
      <w:proofErr w:type="spellStart"/>
      <w:r w:rsidR="005B0D8D" w:rsidRPr="002F2B00">
        <w:t>CoE</w:t>
      </w:r>
      <w:proofErr w:type="spellEnd"/>
      <w:r w:rsidR="005B0D8D" w:rsidRPr="002F2B00">
        <w:t xml:space="preserve"> Commissioner for Human Rights</w:t>
      </w:r>
      <w:r w:rsidR="005B0D8D" w:rsidRPr="002F2B00">
        <w:rPr>
          <w:rStyle w:val="FootnoteReference"/>
        </w:rPr>
        <w:footnoteReference w:id="40"/>
      </w:r>
      <w:r w:rsidRPr="002F2B00">
        <w:t xml:space="preserve"> </w:t>
      </w:r>
      <w:r w:rsidR="00501724" w:rsidRPr="002F2B00">
        <w:t xml:space="preserve">have </w:t>
      </w:r>
      <w:r w:rsidR="00347905" w:rsidRPr="002F2B00">
        <w:t>stressed the need for</w:t>
      </w:r>
      <w:r w:rsidR="00501724" w:rsidRPr="002F2B00">
        <w:t xml:space="preserve"> </w:t>
      </w:r>
      <w:r w:rsidRPr="002F2B00">
        <w:t>the UK Government</w:t>
      </w:r>
      <w:r w:rsidR="00347905" w:rsidRPr="002F2B00">
        <w:t xml:space="preserve"> to </w:t>
      </w:r>
      <w:r w:rsidRPr="002F2B00">
        <w:t>take urgent measures to advance and implement the Stormont House Agreement</w:t>
      </w:r>
      <w:r w:rsidR="00347905" w:rsidRPr="002F2B00">
        <w:t xml:space="preserve">, particularly in relation to </w:t>
      </w:r>
      <w:r w:rsidRPr="002F2B00">
        <w:t>investigating conflict-related violations.</w:t>
      </w:r>
      <w:r w:rsidR="008E2E39" w:rsidRPr="002F2B00">
        <w:t xml:space="preserve"> </w:t>
      </w:r>
      <w:r w:rsidR="008E2E39" w:rsidRPr="002F2B00">
        <w:rPr>
          <w:szCs w:val="24"/>
        </w:rPr>
        <w:t>The UN CAT Committee has stressed that the UK Government should “ensure that effective and independent investigations are conducted into outstanding allegations of torture, ill-treatment and conflict-related killings to establish the truth and identify, prosecute and punish perpetrators”.</w:t>
      </w:r>
      <w:r w:rsidR="008E2E39" w:rsidRPr="002F2B00">
        <w:rPr>
          <w:rStyle w:val="FootnoteReference"/>
          <w:szCs w:val="24"/>
        </w:rPr>
        <w:footnoteReference w:id="41"/>
      </w:r>
      <w:r w:rsidR="00DB4A20" w:rsidRPr="002F2B00">
        <w:rPr>
          <w:szCs w:val="24"/>
        </w:rPr>
        <w:t xml:space="preserve"> M</w:t>
      </w:r>
      <w:r w:rsidR="00E27C87" w:rsidRPr="002F2B00">
        <w:rPr>
          <w:szCs w:val="24"/>
        </w:rPr>
        <w:t xml:space="preserve">ultiple </w:t>
      </w:r>
      <w:r w:rsidR="00DB4A20" w:rsidRPr="002F2B00">
        <w:rPr>
          <w:szCs w:val="24"/>
        </w:rPr>
        <w:t xml:space="preserve">independent human rights experts have </w:t>
      </w:r>
      <w:r w:rsidR="00643715" w:rsidRPr="002F2B00">
        <w:rPr>
          <w:szCs w:val="24"/>
        </w:rPr>
        <w:t>publicly raised</w:t>
      </w:r>
      <w:r w:rsidR="00DB4A20" w:rsidRPr="002F2B00">
        <w:rPr>
          <w:szCs w:val="24"/>
        </w:rPr>
        <w:t xml:space="preserve"> </w:t>
      </w:r>
      <w:proofErr w:type="gramStart"/>
      <w:r w:rsidR="00D257E1" w:rsidRPr="002F2B00">
        <w:rPr>
          <w:szCs w:val="24"/>
        </w:rPr>
        <w:t xml:space="preserve">particular </w:t>
      </w:r>
      <w:r w:rsidR="00DB4A20" w:rsidRPr="002F2B00">
        <w:rPr>
          <w:szCs w:val="24"/>
        </w:rPr>
        <w:t>concerns</w:t>
      </w:r>
      <w:proofErr w:type="gramEnd"/>
      <w:r w:rsidR="00DB4A20" w:rsidRPr="002F2B00">
        <w:rPr>
          <w:szCs w:val="24"/>
        </w:rPr>
        <w:t xml:space="preserve"> with the UK Government’s approach to legacy since March 2020.</w:t>
      </w:r>
      <w:r w:rsidR="00DB4A20" w:rsidRPr="002F2B00">
        <w:rPr>
          <w:rStyle w:val="FootnoteReference"/>
          <w:szCs w:val="24"/>
        </w:rPr>
        <w:footnoteReference w:id="42"/>
      </w:r>
    </w:p>
    <w:p w14:paraId="088A731D" w14:textId="77777777" w:rsidR="002F44B9" w:rsidRPr="002F2B00" w:rsidRDefault="002F44B9" w:rsidP="002F44B9">
      <w:pPr>
        <w:pStyle w:val="ListParagraph"/>
      </w:pPr>
    </w:p>
    <w:p w14:paraId="500760E2" w14:textId="50390D69" w:rsidR="00B1273E" w:rsidRPr="002F2B00" w:rsidRDefault="00B1273E" w:rsidP="00B1273E">
      <w:pPr>
        <w:pStyle w:val="ListParagraph"/>
        <w:numPr>
          <w:ilvl w:val="1"/>
          <w:numId w:val="4"/>
        </w:numPr>
      </w:pPr>
      <w:r w:rsidRPr="002F2B00">
        <w:lastRenderedPageBreak/>
        <w:t xml:space="preserve">The </w:t>
      </w:r>
      <w:r w:rsidR="007C2751" w:rsidRPr="002F2B00">
        <w:t xml:space="preserve">present </w:t>
      </w:r>
      <w:r w:rsidRPr="002F2B00">
        <w:t xml:space="preserve">Bill </w:t>
      </w:r>
      <w:r w:rsidR="0040385C" w:rsidRPr="002F2B00">
        <w:t>propose</w:t>
      </w:r>
      <w:r w:rsidR="007C2751" w:rsidRPr="002F2B00">
        <w:t>s</w:t>
      </w:r>
      <w:r w:rsidR="0040385C" w:rsidRPr="002F2B00">
        <w:t xml:space="preserve"> </w:t>
      </w:r>
      <w:r w:rsidRPr="002F2B00">
        <w:t>establish</w:t>
      </w:r>
      <w:r w:rsidR="0040385C" w:rsidRPr="002F2B00">
        <w:t>ing</w:t>
      </w:r>
      <w:r w:rsidRPr="002F2B00">
        <w:t xml:space="preserve"> a body called the ICRIR</w:t>
      </w:r>
      <w:r w:rsidR="003025EE" w:rsidRPr="002F2B00">
        <w:t>, which is to</w:t>
      </w:r>
      <w:r w:rsidR="003166EB" w:rsidRPr="002F2B00">
        <w:t xml:space="preserve"> consist of a Chief Commissioner, Commissioner for investigations</w:t>
      </w:r>
      <w:r w:rsidR="007E173D" w:rsidRPr="002F2B00">
        <w:t xml:space="preserve"> and up to three other Commissioners, who will be supported by </w:t>
      </w:r>
      <w:r w:rsidR="00F93966" w:rsidRPr="002F2B00">
        <w:t xml:space="preserve">an undisclosed number of </w:t>
      </w:r>
      <w:r w:rsidR="00931871" w:rsidRPr="002F2B00">
        <w:t>ICRIR officers.</w:t>
      </w:r>
      <w:r w:rsidRPr="002F2B00">
        <w:rPr>
          <w:rStyle w:val="FootnoteReference"/>
        </w:rPr>
        <w:footnoteReference w:id="43"/>
      </w:r>
      <w:r w:rsidRPr="002F2B00">
        <w:t xml:space="preserve"> </w:t>
      </w:r>
      <w:r w:rsidR="007C2751" w:rsidRPr="002F2B00">
        <w:t>The present Bill</w:t>
      </w:r>
      <w:r w:rsidR="003025EE" w:rsidRPr="002F2B00">
        <w:t xml:space="preserve"> propose</w:t>
      </w:r>
      <w:r w:rsidR="007C2751" w:rsidRPr="002F2B00">
        <w:t>s</w:t>
      </w:r>
      <w:r w:rsidR="003025EE" w:rsidRPr="002F2B00">
        <w:t xml:space="preserve"> that t</w:t>
      </w:r>
      <w:r w:rsidR="00931871" w:rsidRPr="002F2B00">
        <w:t>he ICRIR</w:t>
      </w:r>
      <w:r w:rsidRPr="002F2B00">
        <w:t xml:space="preserve"> will conduct reviews, upon request, into deaths and serious injuries resulting from or connected with conduct during the Troubles.</w:t>
      </w:r>
      <w:r w:rsidRPr="002F2B00">
        <w:rPr>
          <w:rStyle w:val="FootnoteReference"/>
        </w:rPr>
        <w:footnoteReference w:id="44"/>
      </w:r>
      <w:r w:rsidRPr="002F2B00">
        <w:t xml:space="preserve"> </w:t>
      </w:r>
      <w:r w:rsidR="003025EE" w:rsidRPr="002F2B00">
        <w:t>It also propose</w:t>
      </w:r>
      <w:r w:rsidR="007C2751" w:rsidRPr="002F2B00">
        <w:t>s</w:t>
      </w:r>
      <w:r w:rsidR="003025EE" w:rsidRPr="002F2B00">
        <w:t xml:space="preserve"> that t</w:t>
      </w:r>
      <w:r w:rsidRPr="002F2B00">
        <w:t>he ICRIR will produce a historical record of all remaining deaths that occurred during the Troubles (</w:t>
      </w:r>
      <w:r w:rsidR="00F65DEC" w:rsidRPr="002F2B00">
        <w:t>i.e.</w:t>
      </w:r>
      <w:r w:rsidRPr="002F2B00">
        <w:t xml:space="preserve"> </w:t>
      </w:r>
      <w:r w:rsidR="00500425" w:rsidRPr="002F2B00">
        <w:t>Troubles-related deaths that are</w:t>
      </w:r>
      <w:r w:rsidRPr="002F2B00">
        <w:t xml:space="preserve"> not subject to a review by the ICRIR).</w:t>
      </w:r>
      <w:r w:rsidRPr="002F2B00">
        <w:rPr>
          <w:rStyle w:val="FootnoteReference"/>
        </w:rPr>
        <w:footnoteReference w:id="45"/>
      </w:r>
      <w:r w:rsidRPr="002F2B00">
        <w:t xml:space="preserve"> </w:t>
      </w:r>
    </w:p>
    <w:p w14:paraId="0FCBEF26" w14:textId="77777777" w:rsidR="00B1273E" w:rsidRPr="002F2B00" w:rsidRDefault="00B1273E" w:rsidP="00B1273E">
      <w:pPr>
        <w:pStyle w:val="ListParagraph"/>
        <w:rPr>
          <w:rFonts w:cs="Arial"/>
          <w:szCs w:val="24"/>
        </w:rPr>
      </w:pPr>
    </w:p>
    <w:p w14:paraId="66C8D688" w14:textId="77777777" w:rsidR="005E36B2" w:rsidRPr="005E36B2" w:rsidRDefault="00871425" w:rsidP="00B1273E">
      <w:pPr>
        <w:pStyle w:val="ListParagraph"/>
        <w:numPr>
          <w:ilvl w:val="1"/>
          <w:numId w:val="4"/>
        </w:numPr>
      </w:pPr>
      <w:r w:rsidRPr="002F2B00">
        <w:rPr>
          <w:rFonts w:cs="Arial"/>
          <w:szCs w:val="24"/>
        </w:rPr>
        <w:t>The Explan</w:t>
      </w:r>
      <w:r w:rsidR="0024605B" w:rsidRPr="002F2B00">
        <w:rPr>
          <w:rFonts w:cs="Arial"/>
          <w:szCs w:val="24"/>
        </w:rPr>
        <w:t>a</w:t>
      </w:r>
      <w:r w:rsidRPr="002F2B00">
        <w:rPr>
          <w:rFonts w:cs="Arial"/>
          <w:szCs w:val="24"/>
        </w:rPr>
        <w:t xml:space="preserve">tory Memorandum </w:t>
      </w:r>
      <w:r w:rsidR="0024605B" w:rsidRPr="002F2B00">
        <w:rPr>
          <w:rFonts w:cs="Arial"/>
          <w:szCs w:val="24"/>
        </w:rPr>
        <w:t xml:space="preserve">to the </w:t>
      </w:r>
      <w:r w:rsidR="004748C3" w:rsidRPr="002F2B00">
        <w:rPr>
          <w:rFonts w:cs="Arial"/>
          <w:szCs w:val="24"/>
        </w:rPr>
        <w:t xml:space="preserve">present </w:t>
      </w:r>
      <w:r w:rsidR="0024605B" w:rsidRPr="002F2B00">
        <w:rPr>
          <w:rFonts w:cs="Arial"/>
          <w:szCs w:val="24"/>
        </w:rPr>
        <w:t>Bill equates an ICRIR review to an investigation.</w:t>
      </w:r>
      <w:r w:rsidR="00873F37" w:rsidRPr="002F2B00">
        <w:rPr>
          <w:rStyle w:val="FootnoteReference"/>
          <w:rFonts w:cs="Arial"/>
          <w:szCs w:val="24"/>
        </w:rPr>
        <w:footnoteReference w:id="46"/>
      </w:r>
      <w:r w:rsidR="005F1907" w:rsidRPr="002F2B00">
        <w:rPr>
          <w:rFonts w:cs="Arial"/>
          <w:szCs w:val="24"/>
        </w:rPr>
        <w:t xml:space="preserve"> </w:t>
      </w:r>
      <w:r w:rsidR="001717C8" w:rsidRPr="002F2B00">
        <w:rPr>
          <w:rFonts w:cs="Arial"/>
          <w:szCs w:val="24"/>
        </w:rPr>
        <w:t>It is notable that t</w:t>
      </w:r>
      <w:r w:rsidR="005F1907" w:rsidRPr="002F2B00">
        <w:rPr>
          <w:rFonts w:cs="Arial"/>
          <w:szCs w:val="24"/>
        </w:rPr>
        <w:t xml:space="preserve">he same language is not applied to </w:t>
      </w:r>
      <w:r w:rsidR="00206C1A" w:rsidRPr="002F2B00">
        <w:rPr>
          <w:rFonts w:cs="Arial"/>
          <w:szCs w:val="24"/>
        </w:rPr>
        <w:t xml:space="preserve">the </w:t>
      </w:r>
      <w:r w:rsidR="005F1907" w:rsidRPr="002F2B00">
        <w:rPr>
          <w:rFonts w:cs="Arial"/>
          <w:szCs w:val="24"/>
        </w:rPr>
        <w:t>historical record.</w:t>
      </w:r>
      <w:r w:rsidR="001717C8" w:rsidRPr="002F2B00">
        <w:rPr>
          <w:rStyle w:val="FootnoteReference"/>
          <w:rFonts w:cs="Arial"/>
          <w:szCs w:val="24"/>
        </w:rPr>
        <w:footnoteReference w:id="47"/>
      </w:r>
      <w:r w:rsidR="0024605B" w:rsidRPr="002F2B00">
        <w:rPr>
          <w:rFonts w:cs="Arial"/>
          <w:szCs w:val="24"/>
        </w:rPr>
        <w:t xml:space="preserve"> </w:t>
      </w:r>
      <w:r w:rsidR="00C21F5C">
        <w:rPr>
          <w:rFonts w:cs="Arial"/>
          <w:szCs w:val="24"/>
        </w:rPr>
        <w:t xml:space="preserve">The UK Government in its response to the </w:t>
      </w:r>
      <w:proofErr w:type="spellStart"/>
      <w:r w:rsidR="00C21F5C">
        <w:rPr>
          <w:rFonts w:cs="Arial"/>
          <w:szCs w:val="24"/>
        </w:rPr>
        <w:t>CoE</w:t>
      </w:r>
      <w:proofErr w:type="spellEnd"/>
      <w:r w:rsidR="00C21F5C">
        <w:rPr>
          <w:rFonts w:cs="Arial"/>
          <w:szCs w:val="24"/>
        </w:rPr>
        <w:t xml:space="preserve"> Committee of Ministers states that “the term ‘review’ is broad, and encompasses a full, policy-equivalent criminal investigation – which may be needed in some case</w:t>
      </w:r>
      <w:r w:rsidR="00704C34">
        <w:rPr>
          <w:rFonts w:cs="Arial"/>
          <w:szCs w:val="24"/>
        </w:rPr>
        <w:t>s</w:t>
      </w:r>
      <w:r w:rsidR="00C21F5C">
        <w:rPr>
          <w:rFonts w:cs="Arial"/>
          <w:szCs w:val="24"/>
        </w:rPr>
        <w:t xml:space="preserve"> to satisfy the Article 2 and 3 procedural obligation”.</w:t>
      </w:r>
      <w:r w:rsidR="00C21F5C">
        <w:rPr>
          <w:rStyle w:val="FootnoteReference"/>
          <w:rFonts w:cs="Arial"/>
          <w:szCs w:val="24"/>
        </w:rPr>
        <w:footnoteReference w:id="48"/>
      </w:r>
      <w:r w:rsidR="00C21F5C">
        <w:rPr>
          <w:rFonts w:cs="Arial"/>
          <w:szCs w:val="24"/>
        </w:rPr>
        <w:t xml:space="preserve"> </w:t>
      </w:r>
      <w:r w:rsidR="0091035E">
        <w:rPr>
          <w:rFonts w:cs="Arial"/>
          <w:szCs w:val="24"/>
        </w:rPr>
        <w:t xml:space="preserve">This is not clear from the legislation. </w:t>
      </w:r>
    </w:p>
    <w:p w14:paraId="41DB199D" w14:textId="77777777" w:rsidR="005E36B2" w:rsidRPr="005E36B2" w:rsidRDefault="005E36B2" w:rsidP="005E36B2">
      <w:pPr>
        <w:pStyle w:val="ListParagraph"/>
        <w:rPr>
          <w:rFonts w:cs="Arial"/>
          <w:szCs w:val="24"/>
        </w:rPr>
      </w:pPr>
    </w:p>
    <w:p w14:paraId="1AE5E4A8" w14:textId="767FC6F2" w:rsidR="00332907" w:rsidRPr="00332907" w:rsidRDefault="00332907" w:rsidP="00B1273E">
      <w:pPr>
        <w:pStyle w:val="ListParagraph"/>
        <w:numPr>
          <w:ilvl w:val="1"/>
          <w:numId w:val="4"/>
        </w:numPr>
      </w:pPr>
      <w:r>
        <w:rPr>
          <w:rFonts w:cs="Arial"/>
          <w:szCs w:val="24"/>
        </w:rPr>
        <w:t>T</w:t>
      </w:r>
      <w:r w:rsidR="001C026F">
        <w:rPr>
          <w:rFonts w:cs="Arial"/>
          <w:szCs w:val="24"/>
        </w:rPr>
        <w:t xml:space="preserve">he UK Government’s </w:t>
      </w:r>
      <w:r w:rsidR="00771E79">
        <w:rPr>
          <w:rFonts w:cs="Arial"/>
          <w:szCs w:val="24"/>
        </w:rPr>
        <w:t xml:space="preserve">interpretation of procedural </w:t>
      </w:r>
      <w:r w:rsidR="002B7D2A">
        <w:rPr>
          <w:rFonts w:cs="Arial"/>
          <w:szCs w:val="24"/>
        </w:rPr>
        <w:t>obligations</w:t>
      </w:r>
      <w:r w:rsidR="00771E79">
        <w:rPr>
          <w:rFonts w:cs="Arial"/>
          <w:szCs w:val="24"/>
        </w:rPr>
        <w:t xml:space="preserve"> and when they apply raises concerns as to whether </w:t>
      </w:r>
      <w:r w:rsidR="002B7D2A">
        <w:rPr>
          <w:rFonts w:cs="Arial"/>
          <w:szCs w:val="24"/>
        </w:rPr>
        <w:t xml:space="preserve">the broad approach referred to will be utilised in practice. For example, </w:t>
      </w:r>
      <w:r w:rsidR="00C21F5C">
        <w:rPr>
          <w:rFonts w:cs="Arial"/>
          <w:szCs w:val="24"/>
        </w:rPr>
        <w:t>the UK Government erroneously states that cases which require a simpler investigation have “no procedural obligation”.</w:t>
      </w:r>
      <w:r w:rsidR="00152389">
        <w:rPr>
          <w:rStyle w:val="FootnoteReference"/>
          <w:rFonts w:cs="Arial"/>
          <w:szCs w:val="24"/>
        </w:rPr>
        <w:footnoteReference w:id="49"/>
      </w:r>
      <w:r w:rsidR="002B7D2A">
        <w:rPr>
          <w:rFonts w:cs="Arial"/>
          <w:szCs w:val="24"/>
        </w:rPr>
        <w:t xml:space="preserve"> </w:t>
      </w:r>
      <w:r w:rsidR="008E1960">
        <w:rPr>
          <w:rFonts w:cs="Arial"/>
          <w:szCs w:val="24"/>
        </w:rPr>
        <w:t>A</w:t>
      </w:r>
      <w:r w:rsidR="0047486A">
        <w:rPr>
          <w:rFonts w:cs="Arial"/>
          <w:szCs w:val="24"/>
        </w:rPr>
        <w:t xml:space="preserve"> procedural obligation always applies for </w:t>
      </w:r>
      <w:r w:rsidR="004C2CFF">
        <w:rPr>
          <w:rFonts w:cs="Arial"/>
          <w:szCs w:val="24"/>
        </w:rPr>
        <w:t>cases related to Articles 2 and Article 3 of the ECHR,</w:t>
      </w:r>
      <w:r w:rsidR="00F1445C">
        <w:rPr>
          <w:rFonts w:cs="Arial"/>
          <w:szCs w:val="24"/>
        </w:rPr>
        <w:t xml:space="preserve"> the question </w:t>
      </w:r>
      <w:r w:rsidR="008E1960">
        <w:rPr>
          <w:rFonts w:cs="Arial"/>
          <w:szCs w:val="24"/>
        </w:rPr>
        <w:t>to determine is</w:t>
      </w:r>
      <w:r w:rsidR="00F1445C">
        <w:rPr>
          <w:rFonts w:cs="Arial"/>
          <w:szCs w:val="24"/>
        </w:rPr>
        <w:t xml:space="preserve"> whether this obligation has been fulfilled.</w:t>
      </w:r>
    </w:p>
    <w:p w14:paraId="0081BB68" w14:textId="77777777" w:rsidR="00332907" w:rsidRPr="00332907" w:rsidRDefault="00332907" w:rsidP="00332907">
      <w:pPr>
        <w:pStyle w:val="ListParagraph"/>
        <w:rPr>
          <w:rFonts w:cs="Arial"/>
          <w:szCs w:val="24"/>
        </w:rPr>
      </w:pPr>
    </w:p>
    <w:p w14:paraId="2DCC11B4" w14:textId="185A15EA" w:rsidR="00C32303" w:rsidRPr="002F2B00" w:rsidRDefault="004C2CFF" w:rsidP="00B1273E">
      <w:pPr>
        <w:pStyle w:val="ListParagraph"/>
        <w:numPr>
          <w:ilvl w:val="1"/>
          <w:numId w:val="4"/>
        </w:numPr>
      </w:pPr>
      <w:r w:rsidRPr="0AB51537">
        <w:rPr>
          <w:rFonts w:cs="Arial"/>
        </w:rPr>
        <w:t xml:space="preserve"> </w:t>
      </w:r>
      <w:r w:rsidR="00332907" w:rsidRPr="0AB51537">
        <w:rPr>
          <w:rFonts w:cs="Arial"/>
        </w:rPr>
        <w:t>Furthermore, the UK Government has stated that “it is right that the ICRIR has the flexibility to determine how it can best fulfil the needs of victims and survivors in terms of the provision of information in each specific case”.</w:t>
      </w:r>
      <w:r w:rsidR="009D1E7B">
        <w:rPr>
          <w:rStyle w:val="FootnoteReference"/>
          <w:rFonts w:cs="Arial"/>
          <w:szCs w:val="24"/>
        </w:rPr>
        <w:footnoteReference w:id="50"/>
      </w:r>
      <w:r w:rsidR="00332907" w:rsidRPr="0AB51537">
        <w:rPr>
          <w:rFonts w:cs="Arial"/>
        </w:rPr>
        <w:t xml:space="preserve"> </w:t>
      </w:r>
      <w:r w:rsidR="00740D3F" w:rsidRPr="0AB51537">
        <w:rPr>
          <w:rFonts w:cs="Arial"/>
        </w:rPr>
        <w:t xml:space="preserve">The NIHRC strongly advocates </w:t>
      </w:r>
      <w:r w:rsidR="00740D3F" w:rsidRPr="0AB51537">
        <w:rPr>
          <w:rFonts w:cs="Arial"/>
        </w:rPr>
        <w:lastRenderedPageBreak/>
        <w:t>that</w:t>
      </w:r>
      <w:r w:rsidR="004C349B" w:rsidRPr="0AB51537">
        <w:rPr>
          <w:rFonts w:cs="Arial"/>
        </w:rPr>
        <w:t xml:space="preserve"> a victim-centred approach should be taken</w:t>
      </w:r>
      <w:r w:rsidR="009D6E10" w:rsidRPr="0AB51537">
        <w:rPr>
          <w:rFonts w:cs="Arial"/>
        </w:rPr>
        <w:t>. H</w:t>
      </w:r>
      <w:r w:rsidR="004C349B" w:rsidRPr="0AB51537">
        <w:rPr>
          <w:rFonts w:cs="Arial"/>
        </w:rPr>
        <w:t>owever</w:t>
      </w:r>
      <w:r w:rsidR="009D6E10" w:rsidRPr="0AB51537">
        <w:rPr>
          <w:rFonts w:cs="Arial"/>
        </w:rPr>
        <w:t>,</w:t>
      </w:r>
      <w:r w:rsidR="004C349B" w:rsidRPr="0AB51537">
        <w:rPr>
          <w:rFonts w:cs="Arial"/>
        </w:rPr>
        <w:t xml:space="preserve"> </w:t>
      </w:r>
      <w:r w:rsidR="009D1E7B" w:rsidRPr="0AB51537">
        <w:rPr>
          <w:rFonts w:cs="Arial"/>
        </w:rPr>
        <w:t xml:space="preserve">this should be grounded in </w:t>
      </w:r>
      <w:r w:rsidR="001C319D" w:rsidRPr="0AB51537">
        <w:rPr>
          <w:rFonts w:cs="Arial"/>
        </w:rPr>
        <w:t>a human rights compliant approach</w:t>
      </w:r>
      <w:r w:rsidR="00D65196" w:rsidRPr="0AB51537">
        <w:rPr>
          <w:rFonts w:cs="Arial"/>
        </w:rPr>
        <w:t xml:space="preserve">, which </w:t>
      </w:r>
      <w:r w:rsidR="00C77002" w:rsidRPr="0AB51537">
        <w:rPr>
          <w:rFonts w:cs="Arial"/>
        </w:rPr>
        <w:t xml:space="preserve">at minimum </w:t>
      </w:r>
      <w:r w:rsidR="00D65196" w:rsidRPr="0AB51537">
        <w:rPr>
          <w:rFonts w:cs="Arial"/>
        </w:rPr>
        <w:t xml:space="preserve">requires </w:t>
      </w:r>
      <w:r w:rsidR="00D06D64" w:rsidRPr="0AB51537">
        <w:rPr>
          <w:rFonts w:cs="Arial"/>
        </w:rPr>
        <w:t xml:space="preserve">that </w:t>
      </w:r>
      <w:r w:rsidR="00D65196" w:rsidRPr="0AB51537">
        <w:rPr>
          <w:rFonts w:cs="Arial"/>
        </w:rPr>
        <w:t xml:space="preserve">procedural obligations </w:t>
      </w:r>
      <w:proofErr w:type="gramStart"/>
      <w:r w:rsidR="00D06D64" w:rsidRPr="0AB51537">
        <w:rPr>
          <w:rFonts w:cs="Arial"/>
        </w:rPr>
        <w:t>are</w:t>
      </w:r>
      <w:proofErr w:type="gramEnd"/>
      <w:r w:rsidR="00D06D64" w:rsidRPr="0AB51537">
        <w:rPr>
          <w:rFonts w:cs="Arial"/>
        </w:rPr>
        <w:t xml:space="preserve"> effectively</w:t>
      </w:r>
      <w:r w:rsidR="00D65196" w:rsidRPr="0AB51537">
        <w:rPr>
          <w:rFonts w:cs="Arial"/>
        </w:rPr>
        <w:t xml:space="preserve"> fulfilled</w:t>
      </w:r>
      <w:r w:rsidR="00D06D64" w:rsidRPr="0AB51537">
        <w:rPr>
          <w:rFonts w:cs="Arial"/>
        </w:rPr>
        <w:t>.</w:t>
      </w:r>
    </w:p>
    <w:p w14:paraId="08D000C2" w14:textId="77777777" w:rsidR="00C32303" w:rsidRPr="002F2B00" w:rsidRDefault="00C32303" w:rsidP="00C32303">
      <w:pPr>
        <w:pStyle w:val="ListParagraph"/>
        <w:rPr>
          <w:rFonts w:cs="Arial"/>
          <w:szCs w:val="24"/>
        </w:rPr>
      </w:pPr>
    </w:p>
    <w:p w14:paraId="01383419" w14:textId="5BDC2CBB" w:rsidR="0003783D" w:rsidRPr="002F2B00" w:rsidRDefault="005464D2" w:rsidP="3B893269">
      <w:pPr>
        <w:pStyle w:val="ListParagraph"/>
        <w:numPr>
          <w:ilvl w:val="1"/>
          <w:numId w:val="4"/>
        </w:numPr>
        <w:rPr>
          <w:rFonts w:cs="Arial"/>
        </w:rPr>
      </w:pPr>
      <w:r w:rsidRPr="002F2B00">
        <w:rPr>
          <w:rFonts w:cs="Arial"/>
        </w:rPr>
        <w:t>Anecdotally</w:t>
      </w:r>
      <w:r w:rsidR="005D36F7" w:rsidRPr="002F2B00">
        <w:rPr>
          <w:rFonts w:cs="Arial"/>
        </w:rPr>
        <w:t>, t</w:t>
      </w:r>
      <w:r w:rsidR="11F9C5E3" w:rsidRPr="002F2B00">
        <w:rPr>
          <w:rFonts w:cs="Arial"/>
        </w:rPr>
        <w:t xml:space="preserve">he word review is commonly used by crime enforcement to mean an evaluation of the conduct of an enquiry. An investigation requires significantly more than this to satisfy procedural </w:t>
      </w:r>
      <w:r w:rsidR="18101F7C" w:rsidRPr="002F2B00">
        <w:rPr>
          <w:rFonts w:cs="Arial"/>
        </w:rPr>
        <w:t xml:space="preserve">human rights </w:t>
      </w:r>
      <w:r w:rsidR="11F9C5E3" w:rsidRPr="002F2B00">
        <w:rPr>
          <w:rFonts w:cs="Arial"/>
        </w:rPr>
        <w:t xml:space="preserve">obligations. </w:t>
      </w:r>
      <w:r w:rsidR="006C45C0" w:rsidRPr="002F2B00">
        <w:rPr>
          <w:rFonts w:cs="Arial"/>
        </w:rPr>
        <w:t xml:space="preserve">It merits repetition – an </w:t>
      </w:r>
      <w:r w:rsidR="11F9C5E3" w:rsidRPr="002F2B00">
        <w:t>investigation must be independent and impartial, thorough, be of the State’s own motion, commence promptly, be conducted with reasonable expedition, and be subject to public scrutiny.</w:t>
      </w:r>
      <w:r w:rsidR="00B1273E" w:rsidRPr="002F2B00">
        <w:rPr>
          <w:rStyle w:val="FootnoteReference"/>
          <w:rFonts w:cs="Arial"/>
        </w:rPr>
        <w:footnoteReference w:id="51"/>
      </w:r>
      <w:r w:rsidR="11F9C5E3" w:rsidRPr="002F2B00">
        <w:rPr>
          <w:rFonts w:cs="Arial"/>
        </w:rPr>
        <w:t xml:space="preserve"> An investigation’s conclusions “must be based on thorough, objective and impartial analysis of all relevant elements” and follow “an obvious line of inquiry”.</w:t>
      </w:r>
      <w:r w:rsidR="00B1273E" w:rsidRPr="002F2B00">
        <w:rPr>
          <w:rStyle w:val="FootnoteReference"/>
          <w:rFonts w:cs="Arial"/>
        </w:rPr>
        <w:footnoteReference w:id="52"/>
      </w:r>
      <w:r w:rsidR="11F9C5E3" w:rsidRPr="002F2B00">
        <w:rPr>
          <w:rFonts w:cs="Arial"/>
        </w:rPr>
        <w:t xml:space="preserve"> </w:t>
      </w:r>
      <w:r w:rsidR="00681623">
        <w:rPr>
          <w:rFonts w:cs="Arial"/>
        </w:rPr>
        <w:t xml:space="preserve">Depending on the investigation that has gone before, if any, there may be more </w:t>
      </w:r>
      <w:r w:rsidR="00453DF1">
        <w:rPr>
          <w:rFonts w:cs="Arial"/>
        </w:rPr>
        <w:t>examination</w:t>
      </w:r>
      <w:r w:rsidR="00B673F7">
        <w:rPr>
          <w:rFonts w:cs="Arial"/>
        </w:rPr>
        <w:t xml:space="preserve"> and inquiry</w:t>
      </w:r>
      <w:r w:rsidR="00681623">
        <w:rPr>
          <w:rFonts w:cs="Arial"/>
        </w:rPr>
        <w:t xml:space="preserve"> required for one case than another, but the end goal remains the same. </w:t>
      </w:r>
      <w:r w:rsidR="11F9C5E3" w:rsidRPr="002F2B00">
        <w:rPr>
          <w:rFonts w:cs="Arial"/>
        </w:rPr>
        <w:t>The investigation should seek to establish what happened,</w:t>
      </w:r>
      <w:r w:rsidR="00B1273E" w:rsidRPr="002F2B00">
        <w:rPr>
          <w:rStyle w:val="FootnoteReference"/>
          <w:rFonts w:cs="Arial"/>
        </w:rPr>
        <w:footnoteReference w:id="53"/>
      </w:r>
      <w:r w:rsidR="11F9C5E3" w:rsidRPr="002F2B00">
        <w:rPr>
          <w:rFonts w:cs="Arial"/>
        </w:rPr>
        <w:t xml:space="preserve"> identify the perpetrator and hold the perpetrator to account,</w:t>
      </w:r>
      <w:r w:rsidR="00B1273E" w:rsidRPr="002F2B00">
        <w:rPr>
          <w:rStyle w:val="FootnoteReference"/>
          <w:rFonts w:cs="Arial"/>
        </w:rPr>
        <w:footnoteReference w:id="54"/>
      </w:r>
      <w:r w:rsidR="11F9C5E3" w:rsidRPr="002F2B00">
        <w:rPr>
          <w:rFonts w:cs="Arial"/>
        </w:rPr>
        <w:t xml:space="preserve"> with a view to preventing future violations.</w:t>
      </w:r>
      <w:r w:rsidR="00B1273E" w:rsidRPr="002F2B00">
        <w:rPr>
          <w:rStyle w:val="FootnoteReference"/>
          <w:rFonts w:cs="Arial"/>
        </w:rPr>
        <w:footnoteReference w:id="55"/>
      </w:r>
      <w:r w:rsidR="4D3D6F16" w:rsidRPr="002F2B00">
        <w:rPr>
          <w:rFonts w:cs="Arial"/>
        </w:rPr>
        <w:t xml:space="preserve"> </w:t>
      </w:r>
    </w:p>
    <w:p w14:paraId="64334D91" w14:textId="77777777" w:rsidR="0003783D" w:rsidRPr="002F2B00" w:rsidRDefault="0003783D" w:rsidP="0003783D">
      <w:pPr>
        <w:pStyle w:val="ListParagraph"/>
        <w:rPr>
          <w:rFonts w:cs="Arial"/>
          <w:szCs w:val="24"/>
        </w:rPr>
      </w:pPr>
    </w:p>
    <w:p w14:paraId="08C66E70" w14:textId="21E23520" w:rsidR="00B1273E" w:rsidRPr="002F2B00" w:rsidRDefault="004748C3" w:rsidP="3B893269">
      <w:pPr>
        <w:pStyle w:val="ListParagraph"/>
        <w:numPr>
          <w:ilvl w:val="1"/>
          <w:numId w:val="4"/>
        </w:numPr>
        <w:rPr>
          <w:rFonts w:cs="Arial"/>
        </w:rPr>
      </w:pPr>
      <w:r w:rsidRPr="002F2B00">
        <w:rPr>
          <w:rFonts w:cs="Arial"/>
        </w:rPr>
        <w:t>T</w:t>
      </w:r>
      <w:r w:rsidR="4D3D6F16" w:rsidRPr="002F2B00">
        <w:rPr>
          <w:rFonts w:cs="Arial"/>
        </w:rPr>
        <w:t xml:space="preserve">he intergenerational </w:t>
      </w:r>
      <w:r w:rsidR="005E0AC4" w:rsidRPr="002F2B00">
        <w:rPr>
          <w:rFonts w:cs="Arial"/>
        </w:rPr>
        <w:t xml:space="preserve">and transgenerational </w:t>
      </w:r>
      <w:r w:rsidR="4D3D6F16" w:rsidRPr="002F2B00">
        <w:rPr>
          <w:rFonts w:cs="Arial"/>
        </w:rPr>
        <w:t>aspect</w:t>
      </w:r>
      <w:r w:rsidR="005E0AC4" w:rsidRPr="002F2B00">
        <w:rPr>
          <w:rFonts w:cs="Arial"/>
        </w:rPr>
        <w:t>s</w:t>
      </w:r>
      <w:r w:rsidR="4D3D6F16" w:rsidRPr="002F2B00">
        <w:rPr>
          <w:rFonts w:cs="Arial"/>
        </w:rPr>
        <w:t xml:space="preserve"> of conflict</w:t>
      </w:r>
      <w:r w:rsidR="679DE8AB" w:rsidRPr="002F2B00">
        <w:rPr>
          <w:rFonts w:cs="Arial"/>
        </w:rPr>
        <w:t>, both in terms of its effects and potential replications, is an added factor that</w:t>
      </w:r>
      <w:r w:rsidR="45F6415B" w:rsidRPr="002F2B00">
        <w:rPr>
          <w:rFonts w:cs="Arial"/>
        </w:rPr>
        <w:t xml:space="preserve"> enhances the importance of</w:t>
      </w:r>
      <w:r w:rsidR="679DE8AB" w:rsidRPr="002F2B00">
        <w:rPr>
          <w:rFonts w:cs="Arial"/>
        </w:rPr>
        <w:t xml:space="preserve"> establishing the truth</w:t>
      </w:r>
      <w:r w:rsidR="20F32467" w:rsidRPr="002F2B00">
        <w:rPr>
          <w:rFonts w:cs="Arial"/>
        </w:rPr>
        <w:t xml:space="preserve">, ensuring </w:t>
      </w:r>
      <w:proofErr w:type="gramStart"/>
      <w:r w:rsidR="20F32467" w:rsidRPr="002F2B00">
        <w:rPr>
          <w:rFonts w:cs="Arial"/>
        </w:rPr>
        <w:t>accountability</w:t>
      </w:r>
      <w:proofErr w:type="gramEnd"/>
      <w:r w:rsidR="679DE8AB" w:rsidRPr="002F2B00">
        <w:rPr>
          <w:rFonts w:cs="Arial"/>
        </w:rPr>
        <w:t xml:space="preserve"> and preventing future violations.</w:t>
      </w:r>
      <w:r w:rsidR="6E78259C" w:rsidRPr="002F2B00">
        <w:rPr>
          <w:rFonts w:cs="Arial"/>
        </w:rPr>
        <w:t xml:space="preserve"> A study by Queen’s University Belfast has found that:</w:t>
      </w:r>
    </w:p>
    <w:p w14:paraId="14487942" w14:textId="77777777" w:rsidR="0097197E" w:rsidRPr="002F2B00" w:rsidRDefault="0097197E" w:rsidP="0097197E">
      <w:pPr>
        <w:pStyle w:val="ListParagraph"/>
      </w:pPr>
    </w:p>
    <w:p w14:paraId="5DFED544" w14:textId="7004AFFC" w:rsidR="0097197E" w:rsidRPr="002F2B00" w:rsidRDefault="0097197E" w:rsidP="00F51D6C">
      <w:pPr>
        <w:pStyle w:val="Quote"/>
      </w:pPr>
      <w:r w:rsidRPr="002F2B00">
        <w:t xml:space="preserve">the effects of harm (broadly defined) and the experience of injustice carried by a particular generation can, if not addressed or resolved, be passed on to the next generation to produce a range of social and psychological pathologies, such as </w:t>
      </w:r>
      <w:proofErr w:type="spellStart"/>
      <w:r w:rsidRPr="002F2B00">
        <w:t>self harm</w:t>
      </w:r>
      <w:proofErr w:type="spellEnd"/>
      <w:r w:rsidRPr="002F2B00">
        <w:t xml:space="preserve">, suicide, anti-social behaviour, </w:t>
      </w:r>
      <w:proofErr w:type="gramStart"/>
      <w:r w:rsidRPr="002F2B00">
        <w:t>anomie</w:t>
      </w:r>
      <w:proofErr w:type="gramEnd"/>
      <w:r w:rsidRPr="002F2B00">
        <w:t xml:space="preserve"> and inter-personal violence.</w:t>
      </w:r>
      <w:r w:rsidR="00F51D6C" w:rsidRPr="002F2B00">
        <w:rPr>
          <w:rStyle w:val="FootnoteReference"/>
        </w:rPr>
        <w:footnoteReference w:id="56"/>
      </w:r>
    </w:p>
    <w:p w14:paraId="7D3B25A4" w14:textId="77777777" w:rsidR="009E6B91" w:rsidRPr="002F2B00" w:rsidRDefault="009E6B91" w:rsidP="009E6B91">
      <w:pPr>
        <w:pStyle w:val="ListParagraph"/>
      </w:pPr>
    </w:p>
    <w:p w14:paraId="67435684" w14:textId="6E3F834F" w:rsidR="00B77C6B" w:rsidRPr="002F2B00" w:rsidRDefault="006C45C0" w:rsidP="000F52BA">
      <w:pPr>
        <w:pStyle w:val="ListParagraph"/>
        <w:numPr>
          <w:ilvl w:val="1"/>
          <w:numId w:val="4"/>
        </w:numPr>
      </w:pPr>
      <w:r w:rsidRPr="002F2B00">
        <w:lastRenderedPageBreak/>
        <w:t xml:space="preserve">The </w:t>
      </w:r>
      <w:r w:rsidR="00D8040E" w:rsidRPr="002F2B00">
        <w:t>NIHRC</w:t>
      </w:r>
      <w:r w:rsidRPr="002F2B00">
        <w:t xml:space="preserve"> is aware of the evidence</w:t>
      </w:r>
      <w:r w:rsidR="00EF6325" w:rsidRPr="002F2B00">
        <w:t xml:space="preserve"> that truth and accountability is just as important for </w:t>
      </w:r>
      <w:r w:rsidR="00453162" w:rsidRPr="002F2B00">
        <w:t>family members from later generations</w:t>
      </w:r>
      <w:r w:rsidR="00512524" w:rsidRPr="002F2B00">
        <w:t xml:space="preserve"> </w:t>
      </w:r>
      <w:r w:rsidR="004029EB" w:rsidRPr="002F2B00">
        <w:t>and</w:t>
      </w:r>
      <w:r w:rsidR="00512524" w:rsidRPr="002F2B00">
        <w:t xml:space="preserve"> family members who were born after a victim died</w:t>
      </w:r>
      <w:r w:rsidR="00E87FC0" w:rsidRPr="002F2B00">
        <w:t>, as those who were directly or indirectly affected at the time of the offence</w:t>
      </w:r>
      <w:r w:rsidR="00AF2C6D" w:rsidRPr="002F2B00">
        <w:t>.</w:t>
      </w:r>
      <w:r w:rsidR="00A4732C" w:rsidRPr="002F2B00">
        <w:rPr>
          <w:rStyle w:val="FootnoteReference"/>
        </w:rPr>
        <w:footnoteReference w:id="57"/>
      </w:r>
      <w:r w:rsidR="001658C0" w:rsidRPr="002F2B00">
        <w:t xml:space="preserve"> It has been stated </w:t>
      </w:r>
      <w:r w:rsidR="00620872" w:rsidRPr="002F2B00">
        <w:t xml:space="preserve">from a </w:t>
      </w:r>
      <w:r w:rsidR="0010415F" w:rsidRPr="002F2B00">
        <w:t xml:space="preserve">victims and survivors </w:t>
      </w:r>
      <w:r w:rsidR="00620872" w:rsidRPr="002F2B00">
        <w:t xml:space="preserve">perspective </w:t>
      </w:r>
      <w:r w:rsidR="001658C0" w:rsidRPr="002F2B00">
        <w:t xml:space="preserve">that </w:t>
      </w:r>
      <w:r w:rsidR="00620872" w:rsidRPr="002F2B00">
        <w:t>“</w:t>
      </w:r>
      <w:r w:rsidR="0010415F" w:rsidRPr="002F2B00">
        <w:t xml:space="preserve">legacy should be addressed appropriately and properly, and that we should </w:t>
      </w:r>
      <w:r w:rsidR="001658C0" w:rsidRPr="002F2B00">
        <w:t>free our next generation from carrying the injustice of the past by having a properly resourced and fully independent process</w:t>
      </w:r>
      <w:r w:rsidR="00620872" w:rsidRPr="002F2B00">
        <w:t>”.</w:t>
      </w:r>
      <w:r w:rsidR="00620872" w:rsidRPr="002F2B00">
        <w:rPr>
          <w:rStyle w:val="FootnoteReference"/>
        </w:rPr>
        <w:footnoteReference w:id="58"/>
      </w:r>
    </w:p>
    <w:p w14:paraId="666ADA30" w14:textId="77777777" w:rsidR="00B77C6B" w:rsidRPr="002F2B00" w:rsidRDefault="00B77C6B" w:rsidP="00B77C6B">
      <w:pPr>
        <w:pStyle w:val="ListParagraph"/>
      </w:pPr>
    </w:p>
    <w:p w14:paraId="15D09043" w14:textId="06BDCDEC" w:rsidR="009E6B91" w:rsidRPr="002F2B00" w:rsidRDefault="009E6B91" w:rsidP="000F52BA">
      <w:pPr>
        <w:pStyle w:val="ListParagraph"/>
        <w:numPr>
          <w:ilvl w:val="1"/>
          <w:numId w:val="4"/>
        </w:numPr>
      </w:pPr>
      <w:r w:rsidRPr="002F2B00">
        <w:t xml:space="preserve">The immunity aspect of the Bill raises concerns regarding accountability and preventing future violations, which is discussed </w:t>
      </w:r>
      <w:r w:rsidR="00E23B85" w:rsidRPr="002F2B00">
        <w:t xml:space="preserve">further </w:t>
      </w:r>
      <w:r w:rsidR="008A373C" w:rsidRPr="002F2B00">
        <w:t>in Section 4.0.</w:t>
      </w:r>
    </w:p>
    <w:p w14:paraId="2475F8E4" w14:textId="77777777" w:rsidR="00DE50BF" w:rsidRPr="002F2B00" w:rsidRDefault="00DE50BF" w:rsidP="00DE50BF">
      <w:pPr>
        <w:pStyle w:val="ListParagraph"/>
      </w:pPr>
    </w:p>
    <w:p w14:paraId="0F5C88EE" w14:textId="456DAAD2" w:rsidR="00E50822" w:rsidRPr="002F2B00" w:rsidRDefault="4FFBF3BA" w:rsidP="00B1273E">
      <w:pPr>
        <w:pStyle w:val="ListParagraph"/>
        <w:numPr>
          <w:ilvl w:val="1"/>
          <w:numId w:val="4"/>
        </w:numPr>
        <w:rPr>
          <w:b/>
          <w:bCs/>
        </w:rPr>
      </w:pPr>
      <w:r w:rsidRPr="002F2B00">
        <w:rPr>
          <w:b/>
          <w:bCs/>
        </w:rPr>
        <w:t xml:space="preserve">The NIHRC </w:t>
      </w:r>
      <w:r w:rsidR="00CE77ED" w:rsidRPr="002F2B00">
        <w:rPr>
          <w:b/>
          <w:bCs/>
        </w:rPr>
        <w:t xml:space="preserve">is gravely concerned that the current draft of the Bill </w:t>
      </w:r>
      <w:r w:rsidR="00A74341" w:rsidRPr="002F2B00">
        <w:rPr>
          <w:b/>
          <w:bCs/>
        </w:rPr>
        <w:t>render</w:t>
      </w:r>
      <w:r w:rsidR="007E73AF" w:rsidRPr="002F2B00">
        <w:rPr>
          <w:b/>
          <w:bCs/>
        </w:rPr>
        <w:t xml:space="preserve">s </w:t>
      </w:r>
      <w:r w:rsidRPr="002F2B00">
        <w:rPr>
          <w:b/>
          <w:bCs/>
        </w:rPr>
        <w:t xml:space="preserve">the </w:t>
      </w:r>
      <w:r w:rsidR="00E23B85" w:rsidRPr="002F2B00">
        <w:rPr>
          <w:b/>
          <w:bCs/>
        </w:rPr>
        <w:t xml:space="preserve">ICRIR </w:t>
      </w:r>
      <w:r w:rsidR="007E73AF" w:rsidRPr="002F2B00">
        <w:rPr>
          <w:b/>
          <w:bCs/>
        </w:rPr>
        <w:t>in</w:t>
      </w:r>
      <w:r w:rsidR="00E23B85" w:rsidRPr="002F2B00">
        <w:rPr>
          <w:b/>
          <w:bCs/>
        </w:rPr>
        <w:t xml:space="preserve">capable of discharging the State’s </w:t>
      </w:r>
      <w:r w:rsidR="008142D6" w:rsidRPr="002F2B00">
        <w:rPr>
          <w:b/>
          <w:bCs/>
        </w:rPr>
        <w:t>obligations to undertake investigations that are in line with the rule of law, transparent</w:t>
      </w:r>
      <w:r w:rsidR="007E4F88" w:rsidRPr="002F2B00">
        <w:rPr>
          <w:b/>
          <w:bCs/>
        </w:rPr>
        <w:t>, ensure accountability and provide an effective remedy</w:t>
      </w:r>
      <w:r w:rsidR="00E23B85" w:rsidRPr="002F2B00">
        <w:rPr>
          <w:b/>
          <w:bCs/>
        </w:rPr>
        <w:t xml:space="preserve">. </w:t>
      </w:r>
    </w:p>
    <w:p w14:paraId="4129772D" w14:textId="27EE70C2" w:rsidR="00CD7FF5" w:rsidRPr="002F2B00" w:rsidRDefault="00CD7FF5" w:rsidP="00CD7FF5">
      <w:pPr>
        <w:pStyle w:val="ListParagraph"/>
        <w:rPr>
          <w:b/>
          <w:bCs/>
        </w:rPr>
      </w:pPr>
    </w:p>
    <w:p w14:paraId="016892F4" w14:textId="082F05A0" w:rsidR="00CD7FF5" w:rsidRPr="002F2B00" w:rsidRDefault="00CD7FF5" w:rsidP="004E7977">
      <w:pPr>
        <w:pStyle w:val="Heading2"/>
      </w:pPr>
      <w:bookmarkStart w:id="5" w:name="_Toc113517945"/>
      <w:r w:rsidRPr="002F2B00">
        <w:t>Independent and impartial investigations</w:t>
      </w:r>
      <w:bookmarkEnd w:id="5"/>
    </w:p>
    <w:p w14:paraId="0232B9F2" w14:textId="2FAE4A70" w:rsidR="00CD7FF5" w:rsidRPr="002F2B00" w:rsidRDefault="00CD7FF5" w:rsidP="00CD7FF5">
      <w:pPr>
        <w:pStyle w:val="ListParagraph"/>
        <w:numPr>
          <w:ilvl w:val="1"/>
          <w:numId w:val="4"/>
        </w:numPr>
        <w:rPr>
          <w:szCs w:val="24"/>
        </w:rPr>
      </w:pPr>
      <w:r w:rsidRPr="002F2B00">
        <w:t xml:space="preserve">It is imperative that </w:t>
      </w:r>
      <w:r w:rsidR="00A17E8C" w:rsidRPr="002F2B00">
        <w:t xml:space="preserve">rights protections </w:t>
      </w:r>
      <w:r w:rsidRPr="002F2B00">
        <w:t>are not “theoretical and illusory”.</w:t>
      </w:r>
      <w:r w:rsidRPr="002F2B00">
        <w:rPr>
          <w:rStyle w:val="FootnoteReference"/>
        </w:rPr>
        <w:footnoteReference w:id="59"/>
      </w:r>
      <w:r w:rsidRPr="002F2B00">
        <w:t xml:space="preserve"> This </w:t>
      </w:r>
      <w:r w:rsidR="00A17E8C" w:rsidRPr="002F2B00">
        <w:t>is especially so when the right</w:t>
      </w:r>
      <w:r w:rsidR="00A468B5" w:rsidRPr="002F2B00">
        <w:t>s</w:t>
      </w:r>
      <w:r w:rsidR="00A17E8C" w:rsidRPr="002F2B00">
        <w:t xml:space="preserve"> </w:t>
      </w:r>
      <w:r w:rsidR="00A468B5" w:rsidRPr="002F2B00">
        <w:t>involved are</w:t>
      </w:r>
      <w:r w:rsidR="00A17E8C" w:rsidRPr="002F2B00">
        <w:t xml:space="preserve"> the most fundamental - right to life</w:t>
      </w:r>
      <w:r w:rsidR="00A468B5" w:rsidRPr="002F2B00">
        <w:t xml:space="preserve"> and freedom from torture</w:t>
      </w:r>
      <w:r w:rsidR="00A17E8C" w:rsidRPr="002F2B00">
        <w:t xml:space="preserve">. As a bare minimum, </w:t>
      </w:r>
      <w:r w:rsidRPr="002F2B00">
        <w:t xml:space="preserve">investigations </w:t>
      </w:r>
      <w:r w:rsidR="00A17E8C" w:rsidRPr="002F2B00">
        <w:t xml:space="preserve">must </w:t>
      </w:r>
      <w:r w:rsidRPr="002F2B00">
        <w:t>be “independent and impartial”.</w:t>
      </w:r>
      <w:r w:rsidRPr="002F2B00">
        <w:rPr>
          <w:rStyle w:val="FootnoteReference"/>
        </w:rPr>
        <w:footnoteReference w:id="60"/>
      </w:r>
      <w:r w:rsidRPr="002F2B00">
        <w:t xml:space="preserve"> For an investigation to be independent it is “necessary for the persons responsible for and carrying out the investigation to be independent from those implicated in the events”.</w:t>
      </w:r>
      <w:r w:rsidRPr="002F2B00">
        <w:rPr>
          <w:rStyle w:val="FootnoteReference"/>
        </w:rPr>
        <w:footnoteReference w:id="61"/>
      </w:r>
      <w:r w:rsidRPr="002F2B00">
        <w:t xml:space="preserve"> This requires a “lack of hierarchical or institutional connection, but also a practical independence”.</w:t>
      </w:r>
      <w:r w:rsidRPr="002F2B00">
        <w:rPr>
          <w:rStyle w:val="FootnoteReference"/>
        </w:rPr>
        <w:footnoteReference w:id="62"/>
      </w:r>
    </w:p>
    <w:p w14:paraId="0B38B45A" w14:textId="77777777" w:rsidR="00CD7FF5" w:rsidRPr="002F2B00" w:rsidRDefault="00CD7FF5" w:rsidP="00CD7FF5">
      <w:pPr>
        <w:pStyle w:val="ListParagraph"/>
        <w:rPr>
          <w:szCs w:val="24"/>
        </w:rPr>
      </w:pPr>
    </w:p>
    <w:p w14:paraId="43F57A73" w14:textId="62676E09" w:rsidR="00CD7FF5" w:rsidRPr="002F2B00" w:rsidRDefault="00CD7FF5" w:rsidP="00CD7FF5">
      <w:pPr>
        <w:pStyle w:val="ListParagraph"/>
        <w:numPr>
          <w:ilvl w:val="1"/>
          <w:numId w:val="4"/>
        </w:numPr>
        <w:rPr>
          <w:szCs w:val="24"/>
        </w:rPr>
      </w:pPr>
      <w:r w:rsidRPr="002F2B00">
        <w:lastRenderedPageBreak/>
        <w:t>For example, in</w:t>
      </w:r>
      <w:r w:rsidR="00A17E8C" w:rsidRPr="002F2B00">
        <w:t xml:space="preserve"> the seminal NI cases of</w:t>
      </w:r>
      <w:r w:rsidRPr="002F2B00">
        <w:t xml:space="preserve"> </w:t>
      </w:r>
      <w:proofErr w:type="spellStart"/>
      <w:r w:rsidRPr="002F2B00">
        <w:rPr>
          <w:i/>
          <w:iCs/>
        </w:rPr>
        <w:t>McKerr</w:t>
      </w:r>
      <w:proofErr w:type="spellEnd"/>
      <w:r w:rsidRPr="002F2B00">
        <w:rPr>
          <w:i/>
          <w:iCs/>
        </w:rPr>
        <w:t xml:space="preserve"> v UK</w:t>
      </w:r>
      <w:r w:rsidRPr="002F2B00">
        <w:t xml:space="preserve"> (2001) and </w:t>
      </w:r>
      <w:r w:rsidRPr="002F2B00">
        <w:rPr>
          <w:i/>
          <w:iCs/>
        </w:rPr>
        <w:t>Hugh Jordan v UK</w:t>
      </w:r>
      <w:r w:rsidRPr="002F2B00">
        <w:t xml:space="preserve"> (2001)</w:t>
      </w:r>
      <w:r w:rsidR="00A17E8C" w:rsidRPr="002F2B00">
        <w:t>,</w:t>
      </w:r>
      <w:r w:rsidRPr="002F2B00">
        <w:t xml:space="preserve"> the E</w:t>
      </w:r>
      <w:r w:rsidR="00A17E8C" w:rsidRPr="002F2B00">
        <w:t xml:space="preserve">uropean </w:t>
      </w:r>
      <w:r w:rsidRPr="002F2B00">
        <w:t>C</w:t>
      </w:r>
      <w:r w:rsidR="00A17E8C" w:rsidRPr="002F2B00">
        <w:t>our</w:t>
      </w:r>
      <w:r w:rsidRPr="002F2B00">
        <w:t>t</w:t>
      </w:r>
      <w:r w:rsidR="00A17E8C" w:rsidRPr="002F2B00">
        <w:t xml:space="preserve"> of Human Rights (ECtHR)</w:t>
      </w:r>
      <w:r w:rsidRPr="002F2B00">
        <w:t xml:space="preserve"> considered situations where Royal Ulster Constabulary officers were responsible for investigating </w:t>
      </w:r>
      <w:r w:rsidR="00A17E8C" w:rsidRPr="002F2B00">
        <w:t xml:space="preserve">other </w:t>
      </w:r>
      <w:r w:rsidR="00685DF9" w:rsidRPr="002F2B00">
        <w:t>Royal Ulster Constabulary</w:t>
      </w:r>
      <w:r w:rsidRPr="002F2B00">
        <w:t xml:space="preserve"> officers’ behaviour, with the </w:t>
      </w:r>
      <w:r w:rsidR="00685DF9" w:rsidRPr="002F2B00">
        <w:t>Royal Ulster Constabulary</w:t>
      </w:r>
      <w:r w:rsidRPr="002F2B00">
        <w:t xml:space="preserve"> Chief Constable </w:t>
      </w:r>
      <w:r w:rsidR="00A17E8C" w:rsidRPr="002F2B00">
        <w:t xml:space="preserve">in </w:t>
      </w:r>
      <w:r w:rsidRPr="002F2B00">
        <w:t xml:space="preserve">a monitoring role. </w:t>
      </w:r>
      <w:r w:rsidR="00A17E8C" w:rsidRPr="002F2B00">
        <w:t>In addition, t</w:t>
      </w:r>
      <w:r w:rsidRPr="002F2B00">
        <w:t xml:space="preserve">he former Independent Commission for Police Complaints could require the Chief Constable to refer the investigating report to the Director of Public Prosecutions for a decision on prosecution or to initiate disciplinary proceedings, which the ECtHR </w:t>
      </w:r>
      <w:r w:rsidR="00A17E8C" w:rsidRPr="002F2B00">
        <w:t xml:space="preserve">acknowledged was </w:t>
      </w:r>
      <w:r w:rsidRPr="002F2B00">
        <w:t>an independent element</w:t>
      </w:r>
      <w:r w:rsidR="00A17E8C" w:rsidRPr="002F2B00">
        <w:t xml:space="preserve"> but that</w:t>
      </w:r>
      <w:r w:rsidRPr="002F2B00">
        <w:t xml:space="preserve"> it was not sufficiently independent</w:t>
      </w:r>
      <w:r w:rsidR="00A17E8C" w:rsidRPr="002F2B00">
        <w:t>.</w:t>
      </w:r>
      <w:r w:rsidRPr="002F2B00">
        <w:rPr>
          <w:rStyle w:val="FootnoteReference"/>
        </w:rPr>
        <w:footnoteReference w:id="63"/>
      </w:r>
    </w:p>
    <w:p w14:paraId="0FAD3CFF" w14:textId="77777777" w:rsidR="00CD7FF5" w:rsidRPr="002F2B00" w:rsidRDefault="00CD7FF5" w:rsidP="00CD7FF5">
      <w:pPr>
        <w:rPr>
          <w:szCs w:val="24"/>
        </w:rPr>
      </w:pPr>
    </w:p>
    <w:p w14:paraId="72FC68B5" w14:textId="77777777" w:rsidR="00CD7FF5" w:rsidRPr="002F2B00" w:rsidRDefault="00CD7FF5" w:rsidP="00CD7FF5">
      <w:pPr>
        <w:pStyle w:val="ListParagraph"/>
        <w:numPr>
          <w:ilvl w:val="1"/>
          <w:numId w:val="4"/>
        </w:numPr>
      </w:pPr>
      <w:r w:rsidRPr="002F2B00">
        <w:t>The UN Revised Minnesota Protocol provides investigators must be qualified and relevant experts.</w:t>
      </w:r>
      <w:r w:rsidRPr="002F2B00">
        <w:rPr>
          <w:rStyle w:val="FootnoteReference"/>
        </w:rPr>
        <w:footnoteReference w:id="64"/>
      </w:r>
      <w:r w:rsidRPr="002F2B00">
        <w:t xml:space="preserve"> It elaborates that:</w:t>
      </w:r>
    </w:p>
    <w:p w14:paraId="5849CC15" w14:textId="77777777" w:rsidR="00CD7FF5" w:rsidRPr="002F2B00" w:rsidRDefault="00CD7FF5" w:rsidP="00CD7FF5">
      <w:pPr>
        <w:pStyle w:val="ListParagraph"/>
        <w:spacing w:line="24" w:lineRule="atLeast"/>
      </w:pPr>
    </w:p>
    <w:p w14:paraId="11C74935" w14:textId="6D7794E5" w:rsidR="00CD7FF5" w:rsidRPr="002F2B00" w:rsidRDefault="00CD7FF5" w:rsidP="00CD7FF5">
      <w:pPr>
        <w:pStyle w:val="Quote"/>
      </w:pPr>
      <w:r w:rsidRPr="002F2B00">
        <w:t xml:space="preserve">investigators and investigative mechanisms must be, and must be seen to be, independent of undue influence. They must be independent institutionally and formally, as well as in practice and perception, at all stages. Investigations must be independent of any suspected perpetrators and the units, </w:t>
      </w:r>
      <w:proofErr w:type="gramStart"/>
      <w:r w:rsidRPr="002F2B00">
        <w:t>institutions</w:t>
      </w:r>
      <w:proofErr w:type="gramEnd"/>
      <w:r w:rsidRPr="002F2B00">
        <w:t xml:space="preserve"> or agencies to which they belong. Investigations of law enforcement killings, for example, must be capable of being carried out free from undue influence that may arise from institutional hierarchies and chains of command.</w:t>
      </w:r>
      <w:r w:rsidRPr="002F2B00">
        <w:rPr>
          <w:rStyle w:val="FootnoteReference"/>
        </w:rPr>
        <w:footnoteReference w:id="65"/>
      </w:r>
    </w:p>
    <w:p w14:paraId="1F980FDA" w14:textId="77777777" w:rsidR="00CD7FF5" w:rsidRPr="002F2B00" w:rsidRDefault="00CD7FF5" w:rsidP="00CD7FF5"/>
    <w:p w14:paraId="2683A0F8" w14:textId="3C4A0FD0" w:rsidR="00CD7FF5" w:rsidRPr="002F2B00" w:rsidRDefault="00CD7FF5" w:rsidP="00CD7FF5">
      <w:pPr>
        <w:pStyle w:val="ListParagraph"/>
        <w:numPr>
          <w:ilvl w:val="1"/>
          <w:numId w:val="4"/>
        </w:numPr>
        <w:rPr>
          <w:szCs w:val="24"/>
        </w:rPr>
      </w:pPr>
      <w:r w:rsidRPr="002F2B00">
        <w:t>The UN Revised Minnesota Protocol continues “investigations must also be free from undue external influence, such as the interests of political parties or powerful social groups”.</w:t>
      </w:r>
      <w:r w:rsidRPr="002F2B00">
        <w:rPr>
          <w:rStyle w:val="FootnoteReference"/>
        </w:rPr>
        <w:footnoteReference w:id="66"/>
      </w:r>
    </w:p>
    <w:p w14:paraId="004D7D80" w14:textId="77777777" w:rsidR="00CD7FF5" w:rsidRPr="002F2B00" w:rsidRDefault="00CD7FF5" w:rsidP="00CD7FF5">
      <w:pPr>
        <w:pStyle w:val="ListParagraph"/>
        <w:rPr>
          <w:szCs w:val="24"/>
        </w:rPr>
      </w:pPr>
    </w:p>
    <w:p w14:paraId="5D585D6E" w14:textId="7828EC62" w:rsidR="00CD7FF5" w:rsidRPr="002F2B00" w:rsidRDefault="00CD7FF5" w:rsidP="00CD7FF5">
      <w:pPr>
        <w:pStyle w:val="ListParagraph"/>
        <w:numPr>
          <w:ilvl w:val="1"/>
          <w:numId w:val="4"/>
        </w:numPr>
        <w:rPr>
          <w:szCs w:val="24"/>
        </w:rPr>
      </w:pPr>
      <w:r w:rsidRPr="002F2B00">
        <w:t xml:space="preserve">The UN Revised Minnesota Protocol also refers to impartiality. It states “investigators must be impartial and must </w:t>
      </w:r>
      <w:proofErr w:type="gramStart"/>
      <w:r w:rsidRPr="002F2B00">
        <w:t>act at all times</w:t>
      </w:r>
      <w:proofErr w:type="gramEnd"/>
      <w:r w:rsidRPr="002F2B00">
        <w:t xml:space="preserve"> without bias. They must analyse all evidence objectively. They must consider and appropriately pursue exculpatory as well inculpatory evidence”.</w:t>
      </w:r>
      <w:r w:rsidRPr="002F2B00">
        <w:rPr>
          <w:rStyle w:val="FootnoteReference"/>
        </w:rPr>
        <w:footnoteReference w:id="67"/>
      </w:r>
    </w:p>
    <w:p w14:paraId="5501516E" w14:textId="77777777" w:rsidR="00CD7FF5" w:rsidRPr="002F2B00" w:rsidRDefault="00CD7FF5" w:rsidP="00CD7FF5">
      <w:pPr>
        <w:rPr>
          <w:szCs w:val="24"/>
        </w:rPr>
      </w:pPr>
    </w:p>
    <w:p w14:paraId="56D249B4" w14:textId="77777777" w:rsidR="00CD7FF5" w:rsidRPr="002F2B00" w:rsidRDefault="00CD7FF5" w:rsidP="00CD7FF5">
      <w:pPr>
        <w:pStyle w:val="ListParagraph"/>
        <w:numPr>
          <w:ilvl w:val="1"/>
          <w:numId w:val="4"/>
        </w:numPr>
        <w:rPr>
          <w:szCs w:val="24"/>
        </w:rPr>
      </w:pPr>
      <w:r w:rsidRPr="002F2B00">
        <w:lastRenderedPageBreak/>
        <w:t>To ensure independence and impartiality, the UN Revised Minnesota Protocol provides:</w:t>
      </w:r>
    </w:p>
    <w:p w14:paraId="5C6263EB" w14:textId="77777777" w:rsidR="00CD7FF5" w:rsidRPr="002F2B00" w:rsidRDefault="00CD7FF5" w:rsidP="00CD7FF5">
      <w:pPr>
        <w:pStyle w:val="ListParagraph"/>
        <w:spacing w:line="24" w:lineRule="atLeast"/>
        <w:rPr>
          <w:szCs w:val="24"/>
        </w:rPr>
      </w:pPr>
    </w:p>
    <w:p w14:paraId="53EBAFCB" w14:textId="5AB6BEE6" w:rsidR="00CD7FF5" w:rsidRPr="002F2B00" w:rsidRDefault="00CD7FF5" w:rsidP="00CD7FF5">
      <w:pPr>
        <w:pStyle w:val="Quote"/>
      </w:pPr>
      <w:r w:rsidRPr="002F2B00">
        <w:t xml:space="preserve">investigators must be able to perform </w:t>
      </w:r>
      <w:proofErr w:type="gramStart"/>
      <w:r w:rsidRPr="002F2B00">
        <w:t>all of</w:t>
      </w:r>
      <w:proofErr w:type="gramEnd"/>
      <w:r w:rsidRPr="002F2B00">
        <w:t xml:space="preserve"> their professional functions without intimidation, hindrance, harassment or improper interference, and must be able to operate free from the threat of prosecution or other sanctions for any action taken in accordance with recognised professional duties, standards and ethics. This applies equally to lawyers, whatever their relationship to the investigation.</w:t>
      </w:r>
      <w:r w:rsidRPr="002F2B00">
        <w:rPr>
          <w:rStyle w:val="FootnoteReference"/>
        </w:rPr>
        <w:footnoteReference w:id="68"/>
      </w:r>
    </w:p>
    <w:p w14:paraId="2FC65BBE" w14:textId="77777777" w:rsidR="00CD7FF5" w:rsidRPr="002F2B00" w:rsidRDefault="00CD7FF5" w:rsidP="00CD7FF5"/>
    <w:p w14:paraId="40284DCF" w14:textId="653DCFA5" w:rsidR="00CD7FF5" w:rsidRPr="002F2B00" w:rsidRDefault="00CD7FF5" w:rsidP="00CD7FF5">
      <w:pPr>
        <w:pStyle w:val="ListParagraph"/>
        <w:numPr>
          <w:ilvl w:val="1"/>
          <w:numId w:val="4"/>
        </w:numPr>
        <w:rPr>
          <w:szCs w:val="24"/>
        </w:rPr>
      </w:pPr>
      <w:r w:rsidRPr="002F2B00">
        <w:t xml:space="preserve">The UN Principles on the Effective Prevention and Investigation of Extra-legal, Arbitrary and Summary Executions states members of an investigatory body “shall be chosen for their recognised impartiality, </w:t>
      </w:r>
      <w:proofErr w:type="gramStart"/>
      <w:r w:rsidRPr="002F2B00">
        <w:t>competence</w:t>
      </w:r>
      <w:proofErr w:type="gramEnd"/>
      <w:r w:rsidRPr="002F2B00">
        <w:t xml:space="preserve"> and independence as individuals. </w:t>
      </w:r>
      <w:proofErr w:type="gramStart"/>
      <w:r w:rsidRPr="002F2B00">
        <w:t>In particular, they</w:t>
      </w:r>
      <w:proofErr w:type="gramEnd"/>
      <w:r w:rsidRPr="002F2B00">
        <w:t xml:space="preserve"> shall be independent of any institution, agency or person that may be the subject of the inquiry”.</w:t>
      </w:r>
      <w:r w:rsidRPr="002F2B00">
        <w:rPr>
          <w:rStyle w:val="FootnoteReference"/>
        </w:rPr>
        <w:footnoteReference w:id="69"/>
      </w:r>
    </w:p>
    <w:p w14:paraId="0F53D7CB" w14:textId="77777777" w:rsidR="00CD7FF5" w:rsidRPr="002F2B00" w:rsidRDefault="00CD7FF5" w:rsidP="00CD7FF5">
      <w:pPr>
        <w:pStyle w:val="ListParagraph"/>
        <w:rPr>
          <w:szCs w:val="24"/>
        </w:rPr>
      </w:pPr>
    </w:p>
    <w:p w14:paraId="3B315AB0" w14:textId="45D99E11" w:rsidR="00CD7FF5" w:rsidRPr="002F2B00" w:rsidRDefault="00987EAB" w:rsidP="00CD7FF5">
      <w:pPr>
        <w:pStyle w:val="ListParagraph"/>
        <w:numPr>
          <w:ilvl w:val="1"/>
          <w:numId w:val="4"/>
        </w:numPr>
        <w:rPr>
          <w:szCs w:val="24"/>
        </w:rPr>
      </w:pPr>
      <w:r w:rsidRPr="002F2B00">
        <w:t>T</w:t>
      </w:r>
      <w:r w:rsidR="00A50000" w:rsidRPr="002F2B00">
        <w:t xml:space="preserve">he NIHRC is gravely concerned that </w:t>
      </w:r>
      <w:r w:rsidR="00A17E8C" w:rsidRPr="002F2B00">
        <w:t xml:space="preserve">there </w:t>
      </w:r>
      <w:r w:rsidR="0056293B" w:rsidRPr="002F2B00">
        <w:t>are several</w:t>
      </w:r>
      <w:r w:rsidR="00A17E8C" w:rsidRPr="002F2B00">
        <w:t xml:space="preserve"> provisions </w:t>
      </w:r>
      <w:r w:rsidRPr="002F2B00">
        <w:t>within the current draft of the Bill t</w:t>
      </w:r>
      <w:r w:rsidR="00A17E8C" w:rsidRPr="002F2B00">
        <w:t xml:space="preserve">hat prevent </w:t>
      </w:r>
      <w:r w:rsidR="007E2DB5" w:rsidRPr="002F2B00">
        <w:t xml:space="preserve">the ICRIR from being </w:t>
      </w:r>
      <w:r w:rsidRPr="002F2B00">
        <w:t xml:space="preserve">operationally </w:t>
      </w:r>
      <w:r w:rsidR="007E2DB5" w:rsidRPr="002F2B00">
        <w:t xml:space="preserve">independent. By way of example, </w:t>
      </w:r>
      <w:r w:rsidR="003E0802" w:rsidRPr="002F2B00">
        <w:t xml:space="preserve">how it is proposed that the </w:t>
      </w:r>
      <w:r w:rsidR="00CD7FF5" w:rsidRPr="002F2B00">
        <w:t xml:space="preserve">Secretary of State is involved </w:t>
      </w:r>
      <w:proofErr w:type="gramStart"/>
      <w:r w:rsidR="00CD7FF5" w:rsidRPr="002F2B00">
        <w:t>in</w:t>
      </w:r>
      <w:r w:rsidR="007E2DB5" w:rsidRPr="002F2B00">
        <w:t>:</w:t>
      </w:r>
      <w:proofErr w:type="gramEnd"/>
      <w:r w:rsidR="00CD7FF5" w:rsidRPr="002F2B00">
        <w:t xml:space="preserve"> making the rules/guidance,</w:t>
      </w:r>
      <w:r w:rsidR="00CD7FF5" w:rsidRPr="002F2B00">
        <w:rPr>
          <w:vertAlign w:val="superscript"/>
        </w:rPr>
        <w:footnoteReference w:id="70"/>
      </w:r>
      <w:r w:rsidR="00CD7FF5" w:rsidRPr="002F2B00">
        <w:t xml:space="preserve"> proposing cases for review,</w:t>
      </w:r>
      <w:r w:rsidR="00CD7FF5" w:rsidRPr="002F2B00">
        <w:rPr>
          <w:vertAlign w:val="superscript"/>
        </w:rPr>
        <w:footnoteReference w:id="71"/>
      </w:r>
      <w:r w:rsidR="00CD7FF5" w:rsidRPr="002F2B00">
        <w:t xml:space="preserve"> determining resources</w:t>
      </w:r>
      <w:r w:rsidR="00CD7FF5" w:rsidRPr="002F2B00">
        <w:rPr>
          <w:vertAlign w:val="superscript"/>
        </w:rPr>
        <w:footnoteReference w:id="72"/>
      </w:r>
      <w:r w:rsidR="00CD7FF5" w:rsidRPr="002F2B00">
        <w:t xml:space="preserve"> and monitoring</w:t>
      </w:r>
      <w:r w:rsidR="00CD7FF5" w:rsidRPr="002F2B00">
        <w:rPr>
          <w:vertAlign w:val="superscript"/>
        </w:rPr>
        <w:footnoteReference w:id="73"/>
      </w:r>
      <w:r w:rsidR="00CD7FF5" w:rsidRPr="002F2B00">
        <w:t xml:space="preserve"> the ICRIR. </w:t>
      </w:r>
      <w:r w:rsidR="007E2DB5" w:rsidRPr="002F2B00">
        <w:t xml:space="preserve">Critically, </w:t>
      </w:r>
      <w:r w:rsidR="003E0802" w:rsidRPr="002F2B00">
        <w:t xml:space="preserve">the present Bill proposes that </w:t>
      </w:r>
      <w:r w:rsidR="007E2DB5" w:rsidRPr="002F2B00">
        <w:t xml:space="preserve">the </w:t>
      </w:r>
      <w:r w:rsidR="00CD7FF5" w:rsidRPr="002F2B00">
        <w:t>ICRIR’s work can be concluded</w:t>
      </w:r>
      <w:r w:rsidR="007E2DB5" w:rsidRPr="002F2B00">
        <w:t xml:space="preserve">, or shut down, </w:t>
      </w:r>
      <w:r w:rsidR="00CD7FF5" w:rsidRPr="002F2B00">
        <w:t xml:space="preserve">when the “Secretary of State is satisfied that </w:t>
      </w:r>
      <w:r w:rsidR="00CD7FF5" w:rsidRPr="002F2B00">
        <w:rPr>
          <w:i/>
          <w:iCs/>
        </w:rPr>
        <w:t>the need</w:t>
      </w:r>
      <w:r w:rsidR="00CD7FF5" w:rsidRPr="002F2B00">
        <w:t xml:space="preserve"> for ICRIR” to exercise its functions “has ceased”</w:t>
      </w:r>
      <w:r w:rsidR="007E2DB5" w:rsidRPr="002F2B00">
        <w:t xml:space="preserve">. </w:t>
      </w:r>
      <w:r w:rsidR="00432F3D">
        <w:t>As currently drafted, it could be read that t</w:t>
      </w:r>
      <w:r w:rsidR="007E2DB5" w:rsidRPr="002F2B00">
        <w:t>his means the Secretary of State can stop the ICRIR from completing its work generally or in respect of individual cases.</w:t>
      </w:r>
      <w:r w:rsidR="00CD7FF5" w:rsidRPr="002F2B00">
        <w:rPr>
          <w:rStyle w:val="FootnoteReference"/>
        </w:rPr>
        <w:footnoteReference w:id="74"/>
      </w:r>
      <w:r w:rsidR="00CD7FF5" w:rsidRPr="002F2B00">
        <w:t xml:space="preserve"> The extent of the Secretary of State’s involvement in ICRIR’s operations and monitoring </w:t>
      </w:r>
      <w:r w:rsidR="00C40CCC" w:rsidRPr="002F2B00">
        <w:t xml:space="preserve">proposed by the present Bill </w:t>
      </w:r>
      <w:r w:rsidR="00CD7FF5" w:rsidRPr="002F2B00">
        <w:t>raises serious questions of undue external influence. It also calls into question the ICRIR’s objectivity and impartiality.</w:t>
      </w:r>
    </w:p>
    <w:p w14:paraId="2F5B4C50" w14:textId="77777777" w:rsidR="00CD7FF5" w:rsidRPr="002F2B00" w:rsidRDefault="00CD7FF5" w:rsidP="00CD7FF5">
      <w:pPr>
        <w:rPr>
          <w:szCs w:val="24"/>
        </w:rPr>
      </w:pPr>
    </w:p>
    <w:p w14:paraId="69355A7C" w14:textId="09C193D9" w:rsidR="00297EF8" w:rsidRPr="002F2B00" w:rsidRDefault="69D147CC" w:rsidP="006A6C9E">
      <w:pPr>
        <w:pStyle w:val="ListParagraph"/>
        <w:numPr>
          <w:ilvl w:val="1"/>
          <w:numId w:val="4"/>
        </w:numPr>
        <w:rPr>
          <w:b/>
          <w:bCs/>
        </w:rPr>
      </w:pPr>
      <w:r w:rsidRPr="002F2B00">
        <w:rPr>
          <w:b/>
          <w:bCs/>
        </w:rPr>
        <w:lastRenderedPageBreak/>
        <w:t xml:space="preserve">The NIHRC advises that the extent of the Secretary of State’s influence and involvement across the ICRIR’s </w:t>
      </w:r>
      <w:r w:rsidR="00A30DE1" w:rsidRPr="002F2B00">
        <w:rPr>
          <w:b/>
          <w:bCs/>
        </w:rPr>
        <w:t xml:space="preserve">operations </w:t>
      </w:r>
      <w:r w:rsidR="00F73E8D" w:rsidRPr="002F2B00">
        <w:rPr>
          <w:b/>
          <w:bCs/>
        </w:rPr>
        <w:t xml:space="preserve">proposed by the current draft of the Bill </w:t>
      </w:r>
      <w:r w:rsidR="00F20710" w:rsidRPr="002F2B00">
        <w:rPr>
          <w:b/>
          <w:bCs/>
        </w:rPr>
        <w:t>raises serious concerns as to whether</w:t>
      </w:r>
      <w:r w:rsidR="007E2DB5" w:rsidRPr="002F2B00">
        <w:rPr>
          <w:b/>
          <w:bCs/>
        </w:rPr>
        <w:t xml:space="preserve"> </w:t>
      </w:r>
      <w:r w:rsidR="00A30DE1" w:rsidRPr="002F2B00">
        <w:rPr>
          <w:b/>
          <w:bCs/>
        </w:rPr>
        <w:t>the ICRIR’s</w:t>
      </w:r>
      <w:r w:rsidR="007E2DB5" w:rsidRPr="002F2B00">
        <w:rPr>
          <w:b/>
          <w:bCs/>
        </w:rPr>
        <w:t xml:space="preserve"> </w:t>
      </w:r>
      <w:r w:rsidRPr="002F2B00">
        <w:rPr>
          <w:b/>
          <w:bCs/>
        </w:rPr>
        <w:t>work can</w:t>
      </w:r>
      <w:r w:rsidR="00F20710" w:rsidRPr="002F2B00">
        <w:rPr>
          <w:b/>
          <w:bCs/>
        </w:rPr>
        <w:t xml:space="preserve"> </w:t>
      </w:r>
      <w:r w:rsidRPr="002F2B00">
        <w:rPr>
          <w:b/>
          <w:bCs/>
        </w:rPr>
        <w:t xml:space="preserve">be </w:t>
      </w:r>
      <w:r w:rsidR="007E2DB5" w:rsidRPr="002F2B00">
        <w:rPr>
          <w:b/>
          <w:bCs/>
        </w:rPr>
        <w:t>sufficiently</w:t>
      </w:r>
      <w:r w:rsidRPr="002F2B00">
        <w:rPr>
          <w:b/>
          <w:bCs/>
        </w:rPr>
        <w:t xml:space="preserve"> independent and impartial</w:t>
      </w:r>
      <w:r w:rsidR="004C0BA4" w:rsidRPr="002F2B00">
        <w:rPr>
          <w:b/>
          <w:bCs/>
        </w:rPr>
        <w:t>,</w:t>
      </w:r>
      <w:r w:rsidR="00053777" w:rsidRPr="002F2B00">
        <w:rPr>
          <w:b/>
          <w:bCs/>
        </w:rPr>
        <w:t xml:space="preserve"> as required by human rights standards,</w:t>
      </w:r>
      <w:r w:rsidR="004C0BA4" w:rsidRPr="002F2B00">
        <w:rPr>
          <w:b/>
          <w:bCs/>
        </w:rPr>
        <w:t xml:space="preserve"> including Articles 2 and 3 of the ECHR.</w:t>
      </w:r>
    </w:p>
    <w:bookmarkEnd w:id="3"/>
    <w:p w14:paraId="061AC330" w14:textId="77777777" w:rsidR="001F1780" w:rsidRPr="002F2B00" w:rsidRDefault="001F1780" w:rsidP="001F1780">
      <w:pPr>
        <w:pStyle w:val="ListParagraph"/>
        <w:numPr>
          <w:ilvl w:val="0"/>
          <w:numId w:val="4"/>
        </w:numPr>
        <w:rPr>
          <w:vanish/>
          <w:szCs w:val="24"/>
        </w:rPr>
      </w:pPr>
    </w:p>
    <w:p w14:paraId="6DCEC21A" w14:textId="77777777" w:rsidR="001F1780" w:rsidRPr="002F2B00" w:rsidRDefault="001F1780" w:rsidP="001F1780">
      <w:pPr>
        <w:pStyle w:val="ListParagraph"/>
        <w:numPr>
          <w:ilvl w:val="1"/>
          <w:numId w:val="4"/>
        </w:numPr>
        <w:rPr>
          <w:vanish/>
          <w:szCs w:val="24"/>
        </w:rPr>
      </w:pPr>
    </w:p>
    <w:p w14:paraId="0AB7ED93" w14:textId="77777777" w:rsidR="001F1780" w:rsidRPr="002F2B00" w:rsidRDefault="001F1780" w:rsidP="001F1780">
      <w:pPr>
        <w:pStyle w:val="ListParagraph"/>
        <w:numPr>
          <w:ilvl w:val="1"/>
          <w:numId w:val="4"/>
        </w:numPr>
        <w:rPr>
          <w:vanish/>
          <w:szCs w:val="24"/>
        </w:rPr>
      </w:pPr>
    </w:p>
    <w:p w14:paraId="23CD674E" w14:textId="77777777" w:rsidR="001F1780" w:rsidRPr="002F2B00" w:rsidRDefault="001F1780" w:rsidP="001F1780">
      <w:pPr>
        <w:pStyle w:val="ListParagraph"/>
        <w:numPr>
          <w:ilvl w:val="1"/>
          <w:numId w:val="4"/>
        </w:numPr>
        <w:rPr>
          <w:vanish/>
          <w:szCs w:val="24"/>
        </w:rPr>
      </w:pPr>
    </w:p>
    <w:p w14:paraId="378062C6" w14:textId="47A158A7" w:rsidR="00B6279D" w:rsidRPr="002F2B00" w:rsidRDefault="00B6279D" w:rsidP="006D491F">
      <w:pPr>
        <w:rPr>
          <w:bCs/>
          <w:szCs w:val="24"/>
        </w:rPr>
      </w:pPr>
    </w:p>
    <w:p w14:paraId="4E053716" w14:textId="22DB385C" w:rsidR="00B6279D" w:rsidRPr="002F2B00" w:rsidRDefault="00B6279D" w:rsidP="00FF0879">
      <w:pPr>
        <w:pStyle w:val="Heading2"/>
      </w:pPr>
      <w:bookmarkStart w:id="6" w:name="_Toc523318869"/>
      <w:bookmarkStart w:id="7" w:name="_Toc113517946"/>
      <w:r w:rsidRPr="002F2B00">
        <w:t xml:space="preserve">Thorough </w:t>
      </w:r>
      <w:r w:rsidR="00944E10" w:rsidRPr="002F2B00">
        <w:t>i</w:t>
      </w:r>
      <w:r w:rsidRPr="002F2B00">
        <w:t>nvestigations</w:t>
      </w:r>
      <w:bookmarkEnd w:id="6"/>
      <w:bookmarkEnd w:id="7"/>
    </w:p>
    <w:p w14:paraId="71E2FE8C" w14:textId="5019670D" w:rsidR="00ED142E" w:rsidRPr="002F2B00" w:rsidRDefault="33E207F1" w:rsidP="001805EF">
      <w:pPr>
        <w:pStyle w:val="ListParagraph"/>
        <w:numPr>
          <w:ilvl w:val="1"/>
          <w:numId w:val="49"/>
        </w:numPr>
      </w:pPr>
      <w:r w:rsidRPr="002F2B00">
        <w:t>A human rights compliant investigation is not one that is “half-hearted and dilatory”.</w:t>
      </w:r>
      <w:r w:rsidR="00B6279D" w:rsidRPr="002F2B00">
        <w:rPr>
          <w:rStyle w:val="FootnoteReference"/>
        </w:rPr>
        <w:footnoteReference w:id="75"/>
      </w:r>
      <w:r w:rsidRPr="002F2B00">
        <w:t xml:space="preserve"> To be human rights compliant, an “investigation’s conclusions must be based on thorough, </w:t>
      </w:r>
      <w:proofErr w:type="gramStart"/>
      <w:r w:rsidRPr="002F2B00">
        <w:t>objective</w:t>
      </w:r>
      <w:proofErr w:type="gramEnd"/>
      <w:r w:rsidRPr="002F2B00">
        <w:t xml:space="preserve"> and impartial analysis of </w:t>
      </w:r>
      <w:r w:rsidRPr="001805EF">
        <w:rPr>
          <w:i/>
          <w:iCs/>
        </w:rPr>
        <w:t xml:space="preserve">all </w:t>
      </w:r>
      <w:r w:rsidRPr="002F2B00">
        <w:t>relevant elements… failing to follow an obvious line of inquiry undermines the investigations’ ability to establish the circumstances of the case and the person responsible”.</w:t>
      </w:r>
      <w:r w:rsidR="00B6279D" w:rsidRPr="002F2B00">
        <w:rPr>
          <w:rStyle w:val="FootnoteReference"/>
        </w:rPr>
        <w:footnoteReference w:id="76"/>
      </w:r>
    </w:p>
    <w:p w14:paraId="5285FEAD" w14:textId="798802DE" w:rsidR="00ED142E" w:rsidRPr="002F2B00" w:rsidRDefault="33E207F1" w:rsidP="00ED142E">
      <w:pPr>
        <w:pStyle w:val="ListParagraph"/>
      </w:pPr>
      <w:r w:rsidRPr="002F2B00">
        <w:rPr>
          <w:szCs w:val="24"/>
        </w:rPr>
        <w:t xml:space="preserve"> </w:t>
      </w:r>
    </w:p>
    <w:p w14:paraId="26A42A00" w14:textId="68384A44" w:rsidR="00B6279D" w:rsidRPr="002F2B00" w:rsidRDefault="00B6279D" w:rsidP="001805EF">
      <w:pPr>
        <w:pStyle w:val="ListParagraph"/>
        <w:numPr>
          <w:ilvl w:val="1"/>
          <w:numId w:val="40"/>
        </w:numPr>
      </w:pPr>
      <w:r w:rsidRPr="002F2B00">
        <w:rPr>
          <w:szCs w:val="24"/>
        </w:rPr>
        <w:t>This requires State authorities to take:</w:t>
      </w:r>
    </w:p>
    <w:p w14:paraId="02EBFA20" w14:textId="77777777" w:rsidR="00B6279D" w:rsidRPr="002F2B00" w:rsidRDefault="00B6279D" w:rsidP="00B6279D">
      <w:pPr>
        <w:pStyle w:val="ListParagraph"/>
        <w:spacing w:line="24" w:lineRule="atLeast"/>
        <w:rPr>
          <w:szCs w:val="24"/>
        </w:rPr>
      </w:pPr>
    </w:p>
    <w:p w14:paraId="31E752FA" w14:textId="77777777" w:rsidR="00B6279D" w:rsidRPr="002F2B00" w:rsidRDefault="00B6279D" w:rsidP="00B6279D">
      <w:pPr>
        <w:pStyle w:val="Quote"/>
        <w:spacing w:line="24" w:lineRule="atLeast"/>
      </w:pPr>
      <w:r w:rsidRPr="002F2B00">
        <w:t xml:space="preserve">reasonable steps available to them to secure the evidence concerning the incident, including inter alia </w:t>
      </w:r>
      <w:proofErr w:type="gramStart"/>
      <w:r w:rsidRPr="002F2B00">
        <w:t>eye witness</w:t>
      </w:r>
      <w:proofErr w:type="gramEnd"/>
      <w:r w:rsidRPr="002F2B00">
        <w:t xml:space="preserve"> testimony, forensic evidence and, where appropriate, an autopsy which provides a complete and accurate record of injury and an objective analysis of clinical findings, including the cause of death.</w:t>
      </w:r>
      <w:r w:rsidRPr="002F2B00">
        <w:rPr>
          <w:rStyle w:val="FootnoteReference"/>
        </w:rPr>
        <w:footnoteReference w:id="77"/>
      </w:r>
    </w:p>
    <w:p w14:paraId="7D9B3868" w14:textId="77777777" w:rsidR="007A6600" w:rsidRPr="002F2B00" w:rsidRDefault="007A6600" w:rsidP="00B6279D">
      <w:pPr>
        <w:spacing w:line="24" w:lineRule="atLeast"/>
      </w:pPr>
    </w:p>
    <w:p w14:paraId="1499DA8F" w14:textId="4176D77E" w:rsidR="00B6279D" w:rsidRPr="002F2B00" w:rsidRDefault="00B6279D" w:rsidP="00ED142E">
      <w:pPr>
        <w:pStyle w:val="ListParagraph"/>
        <w:numPr>
          <w:ilvl w:val="1"/>
          <w:numId w:val="40"/>
        </w:numPr>
        <w:rPr>
          <w:szCs w:val="24"/>
        </w:rPr>
      </w:pPr>
      <w:r w:rsidRPr="002F2B00">
        <w:rPr>
          <w:szCs w:val="24"/>
        </w:rPr>
        <w:t>The ECtHR warned that “any deficiency in the investigation which undermines its ability to identify the perpetrator or perpetrators will risk falling foul of this standard”.</w:t>
      </w:r>
      <w:r w:rsidRPr="002F2B00">
        <w:rPr>
          <w:rStyle w:val="FootnoteReference"/>
          <w:szCs w:val="24"/>
        </w:rPr>
        <w:footnoteReference w:id="78"/>
      </w:r>
    </w:p>
    <w:p w14:paraId="6D626E79" w14:textId="77777777" w:rsidR="00B6279D" w:rsidRPr="002F2B00" w:rsidRDefault="00B6279D" w:rsidP="00B6279D">
      <w:pPr>
        <w:pStyle w:val="ListParagraph"/>
        <w:rPr>
          <w:szCs w:val="24"/>
        </w:rPr>
      </w:pPr>
    </w:p>
    <w:p w14:paraId="7434FF94" w14:textId="75C06F06" w:rsidR="00B6279D" w:rsidRPr="002F2B00" w:rsidRDefault="00B6279D" w:rsidP="00ED142E">
      <w:pPr>
        <w:pStyle w:val="ListParagraph"/>
        <w:numPr>
          <w:ilvl w:val="1"/>
          <w:numId w:val="40"/>
        </w:numPr>
        <w:rPr>
          <w:szCs w:val="24"/>
        </w:rPr>
      </w:pPr>
      <w:r w:rsidRPr="002F2B00">
        <w:rPr>
          <w:szCs w:val="24"/>
        </w:rPr>
        <w:t xml:space="preserve">The </w:t>
      </w:r>
      <w:r w:rsidR="006124A6" w:rsidRPr="002F2B00">
        <w:rPr>
          <w:szCs w:val="24"/>
        </w:rPr>
        <w:t xml:space="preserve">UN </w:t>
      </w:r>
      <w:r w:rsidRPr="002F2B00">
        <w:rPr>
          <w:szCs w:val="24"/>
        </w:rPr>
        <w:t>Revised Minnesota Protocol provides guidance on what a thorough investigation entails. It states that:</w:t>
      </w:r>
    </w:p>
    <w:p w14:paraId="303DD910" w14:textId="77777777" w:rsidR="00B6279D" w:rsidRPr="002F2B00" w:rsidRDefault="00B6279D" w:rsidP="00B6279D">
      <w:pPr>
        <w:pStyle w:val="ListParagraph"/>
        <w:spacing w:line="24" w:lineRule="atLeast"/>
        <w:rPr>
          <w:szCs w:val="24"/>
        </w:rPr>
      </w:pPr>
    </w:p>
    <w:p w14:paraId="4FBCFDDF" w14:textId="77777777" w:rsidR="00B6279D" w:rsidRPr="002F2B00" w:rsidRDefault="00B6279D" w:rsidP="00B6279D">
      <w:pPr>
        <w:pStyle w:val="Quote"/>
      </w:pPr>
      <w:r w:rsidRPr="002F2B00">
        <w:t>investigations must, at a minimum, take all reasonable steps to:</w:t>
      </w:r>
    </w:p>
    <w:p w14:paraId="206443A8" w14:textId="77777777" w:rsidR="00B6279D" w:rsidRPr="002F2B00" w:rsidRDefault="00B6279D" w:rsidP="00B6279D">
      <w:pPr>
        <w:spacing w:line="240" w:lineRule="auto"/>
      </w:pPr>
    </w:p>
    <w:p w14:paraId="4184503C" w14:textId="6B9E6280" w:rsidR="00B6279D" w:rsidRPr="002F2B00" w:rsidRDefault="33E207F1" w:rsidP="00B6279D">
      <w:pPr>
        <w:pStyle w:val="ListParagraph"/>
        <w:numPr>
          <w:ilvl w:val="0"/>
          <w:numId w:val="7"/>
        </w:numPr>
        <w:spacing w:line="240" w:lineRule="auto"/>
      </w:pPr>
      <w:r w:rsidRPr="002F2B00">
        <w:t>Identify the victim(s</w:t>
      </w:r>
      <w:proofErr w:type="gramStart"/>
      <w:r w:rsidRPr="002F2B00">
        <w:t>);</w:t>
      </w:r>
      <w:proofErr w:type="gramEnd"/>
    </w:p>
    <w:p w14:paraId="0C06DD39" w14:textId="77777777" w:rsidR="00B6279D" w:rsidRPr="002F2B00" w:rsidRDefault="00B6279D" w:rsidP="00B6279D">
      <w:pPr>
        <w:pStyle w:val="ListParagraph"/>
        <w:spacing w:line="240" w:lineRule="auto"/>
        <w:ind w:left="1800"/>
      </w:pPr>
    </w:p>
    <w:p w14:paraId="7E619BDC" w14:textId="6B9E6280" w:rsidR="00B6279D" w:rsidRPr="002F2B00" w:rsidRDefault="33E207F1" w:rsidP="00B6279D">
      <w:pPr>
        <w:pStyle w:val="ListParagraph"/>
        <w:numPr>
          <w:ilvl w:val="0"/>
          <w:numId w:val="7"/>
        </w:numPr>
        <w:spacing w:line="240" w:lineRule="auto"/>
      </w:pPr>
      <w:r w:rsidRPr="002F2B00">
        <w:t xml:space="preserve">Recover and preserve all material probative of the cause of death, the identity of the perpetrator(s) and the circumstances surrounding the </w:t>
      </w:r>
      <w:proofErr w:type="gramStart"/>
      <w:r w:rsidRPr="002F2B00">
        <w:t>death;</w:t>
      </w:r>
      <w:proofErr w:type="gramEnd"/>
    </w:p>
    <w:p w14:paraId="3C308DC0" w14:textId="77777777" w:rsidR="00B6279D" w:rsidRPr="002F2B00" w:rsidRDefault="00B6279D" w:rsidP="002041DC">
      <w:pPr>
        <w:spacing w:line="240" w:lineRule="auto"/>
      </w:pPr>
    </w:p>
    <w:p w14:paraId="2DBACF3A" w14:textId="6B9E6280" w:rsidR="00B6279D" w:rsidRPr="002F2B00" w:rsidRDefault="33E207F1" w:rsidP="00B6279D">
      <w:pPr>
        <w:pStyle w:val="ListParagraph"/>
        <w:numPr>
          <w:ilvl w:val="0"/>
          <w:numId w:val="7"/>
        </w:numPr>
        <w:spacing w:line="240" w:lineRule="auto"/>
      </w:pPr>
      <w:r w:rsidRPr="002F2B00">
        <w:t xml:space="preserve">Identify possible witnesses and obtain their evidence in relation to the death and the circumstances surrounding the </w:t>
      </w:r>
      <w:proofErr w:type="gramStart"/>
      <w:r w:rsidRPr="002F2B00">
        <w:t>death;</w:t>
      </w:r>
      <w:proofErr w:type="gramEnd"/>
    </w:p>
    <w:p w14:paraId="72ACA628" w14:textId="77777777" w:rsidR="00B6279D" w:rsidRPr="002F2B00" w:rsidRDefault="00B6279D" w:rsidP="00B6279D">
      <w:pPr>
        <w:pStyle w:val="ListParagraph"/>
        <w:spacing w:line="240" w:lineRule="auto"/>
        <w:ind w:left="1800"/>
      </w:pPr>
    </w:p>
    <w:p w14:paraId="646F2E50" w14:textId="6B9E6280" w:rsidR="00B6279D" w:rsidRPr="002F2B00" w:rsidRDefault="33E207F1" w:rsidP="00B6279D">
      <w:pPr>
        <w:pStyle w:val="ListParagraph"/>
        <w:numPr>
          <w:ilvl w:val="0"/>
          <w:numId w:val="7"/>
        </w:numPr>
        <w:spacing w:line="240" w:lineRule="auto"/>
      </w:pPr>
      <w:r w:rsidRPr="002F2B00">
        <w:t xml:space="preserve">Determine the cause, manner, </w:t>
      </w:r>
      <w:proofErr w:type="gramStart"/>
      <w:r w:rsidRPr="002F2B00">
        <w:t>place</w:t>
      </w:r>
      <w:proofErr w:type="gramEnd"/>
      <w:r w:rsidRPr="002F2B00">
        <w:t xml:space="preserve"> and time of death, and all of the surrounding circumstances. In determining the manner of death, the investigation should distinguish between natural death, accidental death, </w:t>
      </w:r>
      <w:proofErr w:type="gramStart"/>
      <w:r w:rsidRPr="002F2B00">
        <w:t>suicide</w:t>
      </w:r>
      <w:proofErr w:type="gramEnd"/>
      <w:r w:rsidRPr="002F2B00">
        <w:t xml:space="preserve"> and homicide; and</w:t>
      </w:r>
    </w:p>
    <w:p w14:paraId="18508E8D" w14:textId="77777777" w:rsidR="00B6279D" w:rsidRPr="002F2B00" w:rsidRDefault="00B6279D" w:rsidP="00B6279D">
      <w:pPr>
        <w:spacing w:line="240" w:lineRule="auto"/>
      </w:pPr>
    </w:p>
    <w:p w14:paraId="657988BE" w14:textId="77777777" w:rsidR="00B6279D" w:rsidRPr="002F2B00" w:rsidRDefault="00B6279D" w:rsidP="00B6279D">
      <w:pPr>
        <w:pStyle w:val="ListParagraph"/>
        <w:numPr>
          <w:ilvl w:val="0"/>
          <w:numId w:val="7"/>
        </w:numPr>
        <w:spacing w:line="240" w:lineRule="auto"/>
      </w:pPr>
      <w:r w:rsidRPr="002F2B00">
        <w:t>Determine who was involved in the death and their individual responsibility for the death.</w:t>
      </w:r>
      <w:r w:rsidRPr="002F2B00">
        <w:rPr>
          <w:rStyle w:val="FootnoteReference"/>
        </w:rPr>
        <w:footnoteReference w:id="79"/>
      </w:r>
      <w:r w:rsidRPr="002F2B00">
        <w:t xml:space="preserve"> </w:t>
      </w:r>
    </w:p>
    <w:p w14:paraId="027FD2D8" w14:textId="77777777" w:rsidR="00B6279D" w:rsidRPr="002F2B00" w:rsidRDefault="00B6279D" w:rsidP="00B6279D">
      <w:pPr>
        <w:spacing w:line="24" w:lineRule="atLeast"/>
        <w:rPr>
          <w:szCs w:val="24"/>
        </w:rPr>
      </w:pPr>
    </w:p>
    <w:p w14:paraId="7CC85892" w14:textId="75E25FE0" w:rsidR="00B6279D" w:rsidRPr="002F2B00" w:rsidRDefault="00B6279D" w:rsidP="00ED142E">
      <w:pPr>
        <w:pStyle w:val="ListParagraph"/>
        <w:numPr>
          <w:ilvl w:val="1"/>
          <w:numId w:val="40"/>
        </w:numPr>
        <w:spacing w:line="24" w:lineRule="atLeast"/>
        <w:rPr>
          <w:szCs w:val="24"/>
        </w:rPr>
      </w:pPr>
      <w:r w:rsidRPr="002F2B00">
        <w:rPr>
          <w:szCs w:val="24"/>
        </w:rPr>
        <w:t xml:space="preserve">Under the </w:t>
      </w:r>
      <w:r w:rsidR="006124A6" w:rsidRPr="002F2B00">
        <w:rPr>
          <w:szCs w:val="24"/>
        </w:rPr>
        <w:t xml:space="preserve">UN </w:t>
      </w:r>
      <w:r w:rsidRPr="002F2B00">
        <w:rPr>
          <w:szCs w:val="24"/>
        </w:rPr>
        <w:t>Revised Minnesota Protocol:</w:t>
      </w:r>
    </w:p>
    <w:p w14:paraId="2CFACA69" w14:textId="77777777" w:rsidR="00B6279D" w:rsidRPr="002F2B00" w:rsidRDefault="00B6279D" w:rsidP="00B6279D">
      <w:pPr>
        <w:pStyle w:val="ListParagraph"/>
        <w:spacing w:line="24" w:lineRule="atLeast"/>
        <w:ind w:left="1080"/>
        <w:rPr>
          <w:szCs w:val="24"/>
        </w:rPr>
      </w:pPr>
    </w:p>
    <w:p w14:paraId="2C33E1CE" w14:textId="77777777" w:rsidR="00B6279D" w:rsidRPr="002F2B00" w:rsidRDefault="00B6279D" w:rsidP="00B6279D">
      <w:pPr>
        <w:pStyle w:val="Quote"/>
        <w:spacing w:line="24" w:lineRule="atLeast"/>
      </w:pPr>
      <w:r w:rsidRPr="002F2B00">
        <w:t xml:space="preserve">the investigation must determine </w:t>
      </w:r>
      <w:proofErr w:type="gramStart"/>
      <w:r w:rsidRPr="002F2B00">
        <w:t>whether or not</w:t>
      </w:r>
      <w:proofErr w:type="gramEnd"/>
      <w:r w:rsidRPr="002F2B00">
        <w:t xml:space="preserve"> there was a breach of the right to life. Investigations must seek to identify not only direct perpetrators but also all others who were responsible for the death, including, for example, officials in the chain of command who were complicit in the death. It should also seek to identify policies and systemic failures that may have contributed to a </w:t>
      </w:r>
      <w:proofErr w:type="gramStart"/>
      <w:r w:rsidRPr="002F2B00">
        <w:t>death, and</w:t>
      </w:r>
      <w:proofErr w:type="gramEnd"/>
      <w:r w:rsidRPr="002F2B00">
        <w:t xml:space="preserve"> identify patterns where they exist.</w:t>
      </w:r>
      <w:r w:rsidRPr="002F2B00">
        <w:rPr>
          <w:rStyle w:val="FootnoteReference"/>
        </w:rPr>
        <w:footnoteReference w:id="80"/>
      </w:r>
    </w:p>
    <w:p w14:paraId="5D6A767F" w14:textId="77777777" w:rsidR="00B6279D" w:rsidRPr="002F2B00" w:rsidRDefault="00B6279D" w:rsidP="00B6279D">
      <w:pPr>
        <w:spacing w:line="24" w:lineRule="atLeast"/>
      </w:pPr>
    </w:p>
    <w:p w14:paraId="5850DE19" w14:textId="1641667D" w:rsidR="00B6279D" w:rsidRPr="002F2B00" w:rsidRDefault="00B6279D" w:rsidP="00ED142E">
      <w:pPr>
        <w:pStyle w:val="ListParagraph"/>
        <w:numPr>
          <w:ilvl w:val="1"/>
          <w:numId w:val="40"/>
        </w:numPr>
        <w:spacing w:line="24" w:lineRule="atLeast"/>
      </w:pPr>
      <w:r w:rsidRPr="002F2B00">
        <w:t xml:space="preserve">In addition, the </w:t>
      </w:r>
      <w:r w:rsidR="006124A6" w:rsidRPr="002F2B00">
        <w:t xml:space="preserve">UN </w:t>
      </w:r>
      <w:r w:rsidRPr="002F2B00">
        <w:t>Revised Minnesota Protocol states:</w:t>
      </w:r>
    </w:p>
    <w:p w14:paraId="31653781" w14:textId="77777777" w:rsidR="00B6279D" w:rsidRPr="002F2B00" w:rsidRDefault="00B6279D" w:rsidP="00B6279D">
      <w:pPr>
        <w:pStyle w:val="ListParagraph"/>
        <w:spacing w:line="24" w:lineRule="atLeast"/>
      </w:pPr>
    </w:p>
    <w:p w14:paraId="130F2236" w14:textId="77777777" w:rsidR="00B6279D" w:rsidRPr="002F2B00" w:rsidRDefault="00B6279D" w:rsidP="00B6279D">
      <w:pPr>
        <w:pStyle w:val="Quote"/>
        <w:spacing w:line="24" w:lineRule="atLeast"/>
      </w:pPr>
      <w:r w:rsidRPr="002F2B00">
        <w:t>an investigation must be carried out diligently and in accordance with good practice. The investigative mechanism charged with conducting the investigation must be adequately empowered to do so. The mechanism must, at a minimum, have the legal power to compel witnesses and require the production of evidence, and must have sufficient financial and human resources, including qualified investigators and relevant experts.</w:t>
      </w:r>
      <w:r w:rsidRPr="002F2B00">
        <w:rPr>
          <w:rStyle w:val="FootnoteReference"/>
        </w:rPr>
        <w:footnoteReference w:id="81"/>
      </w:r>
    </w:p>
    <w:p w14:paraId="46A03CFF" w14:textId="77777777" w:rsidR="00B6279D" w:rsidRPr="002F2B00" w:rsidRDefault="00B6279D" w:rsidP="00B6279D">
      <w:pPr>
        <w:spacing w:line="24" w:lineRule="atLeast"/>
      </w:pPr>
    </w:p>
    <w:p w14:paraId="0C50D224" w14:textId="11D33633" w:rsidR="00B6279D" w:rsidRPr="002F2B00" w:rsidRDefault="00B6279D" w:rsidP="00ED142E">
      <w:pPr>
        <w:pStyle w:val="ListParagraph"/>
        <w:numPr>
          <w:ilvl w:val="1"/>
          <w:numId w:val="40"/>
        </w:numPr>
        <w:rPr>
          <w:szCs w:val="24"/>
        </w:rPr>
      </w:pPr>
      <w:r w:rsidRPr="002F2B00">
        <w:rPr>
          <w:szCs w:val="24"/>
        </w:rPr>
        <w:t xml:space="preserve">To enable a thorough investigation some protective measures may be required. The UN Human Rights Committee </w:t>
      </w:r>
      <w:r w:rsidR="00B77976" w:rsidRPr="002F2B00">
        <w:rPr>
          <w:szCs w:val="24"/>
        </w:rPr>
        <w:t>provides</w:t>
      </w:r>
      <w:r w:rsidRPr="002F2B00">
        <w:rPr>
          <w:szCs w:val="24"/>
        </w:rPr>
        <w:t xml:space="preserve"> “States </w:t>
      </w:r>
      <w:r w:rsidRPr="002F2B00">
        <w:rPr>
          <w:szCs w:val="24"/>
        </w:rPr>
        <w:lastRenderedPageBreak/>
        <w:t>parties must also take the necessary steps to protect witnesses, victims and their relatives and persons conducting the investigation from threats, attacks and any act of retaliation”.</w:t>
      </w:r>
      <w:r w:rsidRPr="002F2B00">
        <w:rPr>
          <w:rStyle w:val="FootnoteReference"/>
          <w:szCs w:val="24"/>
        </w:rPr>
        <w:footnoteReference w:id="82"/>
      </w:r>
    </w:p>
    <w:p w14:paraId="139A57D8" w14:textId="77777777" w:rsidR="00B6279D" w:rsidRPr="002F2B00" w:rsidRDefault="00B6279D" w:rsidP="00B6279D">
      <w:pPr>
        <w:pStyle w:val="ListParagraph"/>
        <w:rPr>
          <w:szCs w:val="24"/>
        </w:rPr>
      </w:pPr>
    </w:p>
    <w:p w14:paraId="2328A5C1" w14:textId="77CA92A0" w:rsidR="00B6279D" w:rsidRPr="002F2B00" w:rsidRDefault="00B6279D" w:rsidP="00ED142E">
      <w:pPr>
        <w:pStyle w:val="ListParagraph"/>
        <w:numPr>
          <w:ilvl w:val="1"/>
          <w:numId w:val="40"/>
        </w:numPr>
        <w:rPr>
          <w:szCs w:val="24"/>
        </w:rPr>
      </w:pPr>
      <w:r w:rsidRPr="002F2B00">
        <w:rPr>
          <w:szCs w:val="24"/>
        </w:rPr>
        <w:t xml:space="preserve">This is also reflected in the </w:t>
      </w:r>
      <w:r w:rsidR="006124A6" w:rsidRPr="002F2B00">
        <w:rPr>
          <w:szCs w:val="24"/>
        </w:rPr>
        <w:t xml:space="preserve">UN </w:t>
      </w:r>
      <w:r w:rsidRPr="002F2B00">
        <w:rPr>
          <w:szCs w:val="24"/>
        </w:rPr>
        <w:t>Revised Minnesota Protocol, which states “</w:t>
      </w:r>
      <w:r w:rsidRPr="002F2B00">
        <w:t>any investigative mechanism must also be able to ensure the safety and security of witnesses, including, where necessary, through an effective witness protection programme”.</w:t>
      </w:r>
      <w:r w:rsidRPr="002F2B00">
        <w:rPr>
          <w:rStyle w:val="FootnoteReference"/>
        </w:rPr>
        <w:footnoteReference w:id="83"/>
      </w:r>
    </w:p>
    <w:p w14:paraId="696B9E00" w14:textId="77777777" w:rsidR="00B6279D" w:rsidRPr="002F2B00" w:rsidRDefault="00B6279D" w:rsidP="00B6279D">
      <w:pPr>
        <w:pStyle w:val="ListParagraph"/>
        <w:rPr>
          <w:szCs w:val="24"/>
        </w:rPr>
      </w:pPr>
    </w:p>
    <w:p w14:paraId="60994B60" w14:textId="1F13E003" w:rsidR="00B6279D" w:rsidRPr="002F2B00" w:rsidRDefault="00B6279D" w:rsidP="00ED142E">
      <w:pPr>
        <w:pStyle w:val="ListParagraph"/>
        <w:numPr>
          <w:ilvl w:val="1"/>
          <w:numId w:val="40"/>
        </w:numPr>
        <w:rPr>
          <w:szCs w:val="24"/>
        </w:rPr>
      </w:pPr>
      <w:r w:rsidRPr="002F2B00">
        <w:rPr>
          <w:szCs w:val="24"/>
        </w:rPr>
        <w:t xml:space="preserve">Furthermore, the </w:t>
      </w:r>
      <w:r w:rsidR="006124A6" w:rsidRPr="002F2B00">
        <w:rPr>
          <w:szCs w:val="24"/>
        </w:rPr>
        <w:t xml:space="preserve">UN </w:t>
      </w:r>
      <w:r w:rsidRPr="002F2B00">
        <w:rPr>
          <w:szCs w:val="24"/>
        </w:rPr>
        <w:t>Revised Minnesota Protocol states:</w:t>
      </w:r>
    </w:p>
    <w:p w14:paraId="73ED98DC" w14:textId="77777777" w:rsidR="00B6279D" w:rsidRPr="002F2B00" w:rsidRDefault="00B6279D" w:rsidP="00B6279D">
      <w:pPr>
        <w:pStyle w:val="ListParagraph"/>
        <w:spacing w:line="24" w:lineRule="atLeast"/>
        <w:rPr>
          <w:szCs w:val="24"/>
        </w:rPr>
      </w:pPr>
    </w:p>
    <w:p w14:paraId="7D0E1AD7" w14:textId="77777777" w:rsidR="00B6279D" w:rsidRPr="002F2B00" w:rsidRDefault="00B6279D" w:rsidP="00B6279D">
      <w:pPr>
        <w:pStyle w:val="Quote"/>
        <w:spacing w:line="24" w:lineRule="atLeast"/>
      </w:pPr>
      <w:r w:rsidRPr="002F2B00">
        <w:t xml:space="preserve">family members should be protected from any ill-treatment, </w:t>
      </w:r>
      <w:proofErr w:type="gramStart"/>
      <w:r w:rsidRPr="002F2B00">
        <w:t>intimidation</w:t>
      </w:r>
      <w:proofErr w:type="gramEnd"/>
      <w:r w:rsidRPr="002F2B00">
        <w:t xml:space="preserve"> or sanction as a result of their participation in an investigation or their search for information concerning a deceased or disappeared person. Appropriate measures should be taken to ensure their safety, physical and psychological well-being, and privacy.</w:t>
      </w:r>
      <w:r w:rsidRPr="002F2B00">
        <w:rPr>
          <w:rStyle w:val="FootnoteReference"/>
        </w:rPr>
        <w:footnoteReference w:id="84"/>
      </w:r>
    </w:p>
    <w:p w14:paraId="2128B21A" w14:textId="77777777" w:rsidR="00B6279D" w:rsidRPr="002F2B00" w:rsidRDefault="00B6279D" w:rsidP="00B6279D">
      <w:pPr>
        <w:spacing w:line="24" w:lineRule="atLeast"/>
        <w:rPr>
          <w:b/>
          <w:szCs w:val="24"/>
        </w:rPr>
      </w:pPr>
    </w:p>
    <w:p w14:paraId="196A4620" w14:textId="4B496EC4" w:rsidR="00B6279D" w:rsidRPr="002F2B00" w:rsidRDefault="006602C5" w:rsidP="00ED142E">
      <w:pPr>
        <w:pStyle w:val="ListParagraph"/>
        <w:numPr>
          <w:ilvl w:val="1"/>
          <w:numId w:val="40"/>
        </w:numPr>
        <w:rPr>
          <w:szCs w:val="24"/>
        </w:rPr>
      </w:pPr>
      <w:r w:rsidRPr="002F2B00">
        <w:rPr>
          <w:szCs w:val="24"/>
        </w:rPr>
        <w:t>Article 13(3) of t</w:t>
      </w:r>
      <w:r w:rsidR="00B6279D" w:rsidRPr="002F2B00">
        <w:rPr>
          <w:szCs w:val="24"/>
        </w:rPr>
        <w:t xml:space="preserve">he UN Declaration </w:t>
      </w:r>
      <w:r w:rsidR="00B6279D" w:rsidRPr="002F2B00">
        <w:t>on the Protection of All Persons from Enforced Disappearance</w:t>
      </w:r>
      <w:r w:rsidRPr="002F2B00">
        <w:t xml:space="preserve"> </w:t>
      </w:r>
      <w:r w:rsidR="00B6279D" w:rsidRPr="002F2B00">
        <w:t>states in the context of investigating enforced disappearance</w:t>
      </w:r>
      <w:r w:rsidR="00B77976" w:rsidRPr="002F2B00">
        <w:t xml:space="preserve"> “</w:t>
      </w:r>
      <w:r w:rsidR="00B6279D" w:rsidRPr="002F2B00">
        <w:t>steps shall be taken to ensure that all involved in the investigation, including the complainant, counsel, witnesses and those conducting the investigation, are protected against ill-treatment, intimidation or reprisal</w:t>
      </w:r>
      <w:r w:rsidR="00B77976" w:rsidRPr="002F2B00">
        <w:t>”</w:t>
      </w:r>
      <w:r w:rsidR="00B6279D" w:rsidRPr="002F2B00">
        <w:t>.</w:t>
      </w:r>
      <w:r w:rsidR="00B6279D" w:rsidRPr="002F2B00">
        <w:rPr>
          <w:rStyle w:val="FootnoteReference"/>
        </w:rPr>
        <w:footnoteReference w:id="85"/>
      </w:r>
    </w:p>
    <w:p w14:paraId="1D10F0C6" w14:textId="77777777" w:rsidR="00B6279D" w:rsidRPr="002F2B00" w:rsidRDefault="00B6279D" w:rsidP="00B6279D"/>
    <w:p w14:paraId="66C7870B" w14:textId="23FD7356" w:rsidR="00B6279D" w:rsidRPr="002F2B00" w:rsidRDefault="006602C5" w:rsidP="00ED142E">
      <w:pPr>
        <w:pStyle w:val="ListParagraph"/>
        <w:numPr>
          <w:ilvl w:val="1"/>
          <w:numId w:val="40"/>
        </w:numPr>
        <w:rPr>
          <w:szCs w:val="24"/>
        </w:rPr>
      </w:pPr>
      <w:r w:rsidRPr="002F2B00">
        <w:rPr>
          <w:szCs w:val="24"/>
        </w:rPr>
        <w:t>Article 13(4) of the</w:t>
      </w:r>
      <w:r w:rsidR="00B6279D" w:rsidRPr="002F2B00">
        <w:rPr>
          <w:szCs w:val="24"/>
        </w:rPr>
        <w:t xml:space="preserve"> UN Declaration</w:t>
      </w:r>
      <w:r w:rsidRPr="002F2B00">
        <w:rPr>
          <w:szCs w:val="24"/>
        </w:rPr>
        <w:t xml:space="preserve"> </w:t>
      </w:r>
      <w:r w:rsidR="00B6279D" w:rsidRPr="002F2B00">
        <w:rPr>
          <w:szCs w:val="24"/>
        </w:rPr>
        <w:t>further states</w:t>
      </w:r>
      <w:r w:rsidR="00B77976" w:rsidRPr="002F2B00">
        <w:rPr>
          <w:szCs w:val="24"/>
        </w:rPr>
        <w:t xml:space="preserve"> “s</w:t>
      </w:r>
      <w:r w:rsidR="00B6279D" w:rsidRPr="002F2B00">
        <w:t>teps shall be taken to ensure that any ill-treatment, intimidation or reprisal or any other form of interference on the occasion of the lodging of a complaint or during the investigation procedure is appropriately punished</w:t>
      </w:r>
      <w:r w:rsidR="00B77976" w:rsidRPr="002F2B00">
        <w:t>”</w:t>
      </w:r>
      <w:r w:rsidR="00B6279D" w:rsidRPr="002F2B00">
        <w:t>.</w:t>
      </w:r>
      <w:r w:rsidR="00B6279D" w:rsidRPr="002F2B00">
        <w:rPr>
          <w:rStyle w:val="FootnoteReference"/>
        </w:rPr>
        <w:footnoteReference w:id="86"/>
      </w:r>
    </w:p>
    <w:p w14:paraId="0F949002" w14:textId="77777777" w:rsidR="00B6279D" w:rsidRPr="002F2B00" w:rsidRDefault="00B6279D" w:rsidP="00B6279D">
      <w:pPr>
        <w:spacing w:line="24" w:lineRule="atLeast"/>
        <w:rPr>
          <w:szCs w:val="24"/>
        </w:rPr>
      </w:pPr>
    </w:p>
    <w:p w14:paraId="51655C7D" w14:textId="424DC3EE" w:rsidR="00B6279D" w:rsidRPr="002F2B00" w:rsidRDefault="33E207F1" w:rsidP="00ED142E">
      <w:pPr>
        <w:pStyle w:val="ListParagraph"/>
        <w:numPr>
          <w:ilvl w:val="1"/>
          <w:numId w:val="40"/>
        </w:numPr>
      </w:pPr>
      <w:r w:rsidRPr="002F2B00">
        <w:t xml:space="preserve">The UN Principles on the Effective Prevention and Investigation of Extra-legal, Arbitrary and Summary Executions provides “the investigative authority shall have the power to obtain all the </w:t>
      </w:r>
      <w:r w:rsidRPr="002F2B00">
        <w:lastRenderedPageBreak/>
        <w:t>information necessary to the inquiry”.</w:t>
      </w:r>
      <w:r w:rsidR="00B6279D" w:rsidRPr="002F2B00">
        <w:rPr>
          <w:rStyle w:val="FootnoteReference"/>
        </w:rPr>
        <w:footnoteReference w:id="87"/>
      </w:r>
      <w:r w:rsidRPr="002F2B00">
        <w:t xml:space="preserve"> It </w:t>
      </w:r>
      <w:r w:rsidR="0E63D461" w:rsidRPr="002F2B00">
        <w:t>further</w:t>
      </w:r>
      <w:r w:rsidRPr="002F2B00">
        <w:t xml:space="preserve"> states those persons conducting the investigation:</w:t>
      </w:r>
    </w:p>
    <w:p w14:paraId="389A175B" w14:textId="77777777" w:rsidR="00B6279D" w:rsidRPr="002F2B00" w:rsidRDefault="00B6279D" w:rsidP="00B6279D">
      <w:pPr>
        <w:pStyle w:val="ListParagraph"/>
        <w:rPr>
          <w:szCs w:val="24"/>
        </w:rPr>
      </w:pPr>
    </w:p>
    <w:p w14:paraId="0A7EBFC6" w14:textId="77777777" w:rsidR="00B6279D" w:rsidRPr="002F2B00" w:rsidRDefault="00B6279D" w:rsidP="00B6279D">
      <w:pPr>
        <w:pStyle w:val="Quote"/>
      </w:pPr>
      <w:r w:rsidRPr="002F2B00">
        <w:t>shall also have the authority to oblige officials allegedly involved in any such executions to appear and testify. The same shall apply to any witness. To this end, they shall be entitled to issue summonses to witnesses, including the officials allegedly involved and to demand the production of evidence.</w:t>
      </w:r>
      <w:r w:rsidRPr="002F2B00">
        <w:rPr>
          <w:rStyle w:val="FootnoteReference"/>
        </w:rPr>
        <w:footnoteReference w:id="88"/>
      </w:r>
    </w:p>
    <w:p w14:paraId="408303B0" w14:textId="1DA32B50" w:rsidR="00922736" w:rsidRPr="002F2B00" w:rsidRDefault="00922736" w:rsidP="00922736">
      <w:pPr>
        <w:spacing w:line="24" w:lineRule="atLeast"/>
        <w:rPr>
          <w:szCs w:val="24"/>
        </w:rPr>
      </w:pPr>
    </w:p>
    <w:p w14:paraId="17C14E31" w14:textId="3EF75046" w:rsidR="00922736" w:rsidRPr="002F2B00" w:rsidRDefault="006602C5" w:rsidP="00ED142E">
      <w:pPr>
        <w:pStyle w:val="ListParagraph"/>
        <w:numPr>
          <w:ilvl w:val="1"/>
          <w:numId w:val="40"/>
        </w:numPr>
      </w:pPr>
      <w:r w:rsidRPr="002F2B00">
        <w:t xml:space="preserve">Within the </w:t>
      </w:r>
      <w:r w:rsidR="00605483" w:rsidRPr="002F2B00">
        <w:t xml:space="preserve">current draft of the </w:t>
      </w:r>
      <w:r w:rsidRPr="002F2B00">
        <w:t xml:space="preserve">Bill, </w:t>
      </w:r>
      <w:r w:rsidR="00525DC6" w:rsidRPr="002F2B00">
        <w:t xml:space="preserve">it is proposed that the ICRIR’s functions will be limited to </w:t>
      </w:r>
      <w:r w:rsidRPr="002F2B00">
        <w:t>a</w:t>
      </w:r>
      <w:r w:rsidR="00922736" w:rsidRPr="002F2B00">
        <w:t xml:space="preserve"> light-touch review or </w:t>
      </w:r>
      <w:r w:rsidR="005824A7" w:rsidRPr="002F2B00">
        <w:t>t</w:t>
      </w:r>
      <w:r w:rsidR="00763AFE" w:rsidRPr="002F2B00">
        <w:t xml:space="preserve">he </w:t>
      </w:r>
      <w:r w:rsidR="00525DC6" w:rsidRPr="002F2B00">
        <w:t xml:space="preserve">establishment of a </w:t>
      </w:r>
      <w:r w:rsidR="00922736" w:rsidRPr="002F2B00">
        <w:t>historical record</w:t>
      </w:r>
      <w:r w:rsidR="00525DC6" w:rsidRPr="002F2B00">
        <w:t>.</w:t>
      </w:r>
      <w:r w:rsidR="00525DC6" w:rsidRPr="002F2B00">
        <w:rPr>
          <w:vertAlign w:val="superscript"/>
        </w:rPr>
        <w:footnoteReference w:id="89"/>
      </w:r>
      <w:r w:rsidR="00525DC6" w:rsidRPr="002F2B00">
        <w:t xml:space="preserve"> </w:t>
      </w:r>
      <w:r w:rsidR="00613C7C" w:rsidRPr="002F2B00">
        <w:t>In the NIHRC’s view, t</w:t>
      </w:r>
      <w:r w:rsidR="00525DC6" w:rsidRPr="002F2B00">
        <w:t xml:space="preserve">hese </w:t>
      </w:r>
      <w:r w:rsidR="00922736" w:rsidRPr="002F2B00">
        <w:t>do not equate to thorough and effective investigations.</w:t>
      </w:r>
      <w:r w:rsidR="007E2DB5" w:rsidRPr="002F2B00">
        <w:rPr>
          <w:rStyle w:val="FootnoteReference"/>
        </w:rPr>
        <w:footnoteReference w:id="90"/>
      </w:r>
      <w:r w:rsidR="00922736" w:rsidRPr="002F2B00">
        <w:t xml:space="preserve"> </w:t>
      </w:r>
    </w:p>
    <w:p w14:paraId="15AD5E20" w14:textId="77777777" w:rsidR="00525DC6" w:rsidRPr="002F2B00" w:rsidRDefault="00525DC6" w:rsidP="00525DC6">
      <w:pPr>
        <w:pStyle w:val="ListParagraph"/>
      </w:pPr>
    </w:p>
    <w:p w14:paraId="51FE52F1" w14:textId="67B7C558" w:rsidR="00525DC6" w:rsidRPr="002F2B00" w:rsidRDefault="00525DC6" w:rsidP="00ED142E">
      <w:pPr>
        <w:pStyle w:val="ListParagraph"/>
        <w:numPr>
          <w:ilvl w:val="1"/>
          <w:numId w:val="40"/>
        </w:numPr>
        <w:rPr>
          <w:b/>
          <w:bCs/>
        </w:rPr>
      </w:pPr>
      <w:r w:rsidRPr="002F2B00">
        <w:rPr>
          <w:b/>
          <w:bCs/>
        </w:rPr>
        <w:t xml:space="preserve">The NIHRC advises that </w:t>
      </w:r>
      <w:r w:rsidR="00841DF5" w:rsidRPr="002F2B00">
        <w:rPr>
          <w:b/>
          <w:bCs/>
        </w:rPr>
        <w:t xml:space="preserve">a thorough investigation requires that inquiries </w:t>
      </w:r>
      <w:r w:rsidR="002564C0" w:rsidRPr="002F2B00">
        <w:rPr>
          <w:b/>
          <w:bCs/>
        </w:rPr>
        <w:t>be</w:t>
      </w:r>
      <w:r w:rsidR="00841DF5" w:rsidRPr="002F2B00">
        <w:rPr>
          <w:b/>
          <w:bCs/>
        </w:rPr>
        <w:t xml:space="preserve"> capable of establishing the facts</w:t>
      </w:r>
      <w:r w:rsidR="00796251" w:rsidRPr="002F2B00">
        <w:rPr>
          <w:b/>
          <w:bCs/>
        </w:rPr>
        <w:t xml:space="preserve">, identifying the perpetrator and follow all lines of inquiry. </w:t>
      </w:r>
      <w:r w:rsidR="00786864" w:rsidRPr="002F2B00">
        <w:rPr>
          <w:b/>
          <w:bCs/>
        </w:rPr>
        <w:t>It is the NIHRC’s view that t</w:t>
      </w:r>
      <w:r w:rsidR="00796251" w:rsidRPr="002F2B00">
        <w:rPr>
          <w:b/>
          <w:bCs/>
        </w:rPr>
        <w:t xml:space="preserve">his </w:t>
      </w:r>
      <w:r w:rsidR="002E1F75" w:rsidRPr="002F2B00">
        <w:rPr>
          <w:b/>
          <w:bCs/>
        </w:rPr>
        <w:t>can</w:t>
      </w:r>
      <w:r w:rsidR="00796251" w:rsidRPr="002F2B00">
        <w:rPr>
          <w:b/>
          <w:bCs/>
        </w:rPr>
        <w:t xml:space="preserve">not be achieved by </w:t>
      </w:r>
      <w:r w:rsidR="00D25F83" w:rsidRPr="002F2B00">
        <w:rPr>
          <w:b/>
          <w:bCs/>
        </w:rPr>
        <w:t xml:space="preserve">conducting a light-touch review or </w:t>
      </w:r>
      <w:r w:rsidR="002564C0" w:rsidRPr="002F2B00">
        <w:rPr>
          <w:b/>
          <w:bCs/>
        </w:rPr>
        <w:t>producing a basic</w:t>
      </w:r>
      <w:r w:rsidR="00D25F83" w:rsidRPr="002F2B00">
        <w:rPr>
          <w:b/>
          <w:bCs/>
        </w:rPr>
        <w:t xml:space="preserve"> historical record</w:t>
      </w:r>
      <w:r w:rsidR="00065DB6" w:rsidRPr="002F2B00">
        <w:rPr>
          <w:b/>
          <w:bCs/>
        </w:rPr>
        <w:t xml:space="preserve"> as proposed within th</w:t>
      </w:r>
      <w:r w:rsidR="00786864" w:rsidRPr="002F2B00">
        <w:rPr>
          <w:b/>
          <w:bCs/>
        </w:rPr>
        <w:t>e current draft of this</w:t>
      </w:r>
      <w:r w:rsidR="00065DB6" w:rsidRPr="002F2B00">
        <w:rPr>
          <w:b/>
          <w:bCs/>
        </w:rPr>
        <w:t xml:space="preserve"> Bill</w:t>
      </w:r>
      <w:r w:rsidR="00D25F83" w:rsidRPr="002F2B00">
        <w:rPr>
          <w:b/>
          <w:bCs/>
        </w:rPr>
        <w:t>.</w:t>
      </w:r>
    </w:p>
    <w:p w14:paraId="6A49C26C" w14:textId="10874815" w:rsidR="002564C0" w:rsidRPr="002F2B00" w:rsidRDefault="002564C0" w:rsidP="002564C0">
      <w:pPr>
        <w:pStyle w:val="ListParagraph"/>
        <w:rPr>
          <w:b/>
          <w:bCs/>
        </w:rPr>
      </w:pPr>
    </w:p>
    <w:p w14:paraId="5F031C7A" w14:textId="77777777" w:rsidR="00FD27F1" w:rsidRPr="002F2B00" w:rsidRDefault="00FD27F1" w:rsidP="00ED142E">
      <w:pPr>
        <w:pStyle w:val="ListParagraph"/>
        <w:numPr>
          <w:ilvl w:val="1"/>
          <w:numId w:val="40"/>
        </w:numPr>
        <w:rPr>
          <w:szCs w:val="24"/>
        </w:rPr>
      </w:pPr>
      <w:r w:rsidRPr="002F2B00">
        <w:rPr>
          <w:szCs w:val="24"/>
        </w:rPr>
        <w:t>The former European Commission on Human Rights clarified that:</w:t>
      </w:r>
    </w:p>
    <w:p w14:paraId="156850B6" w14:textId="77777777" w:rsidR="00FD27F1" w:rsidRPr="002F2B00" w:rsidRDefault="00FD27F1" w:rsidP="00FD27F1">
      <w:pPr>
        <w:pStyle w:val="ListParagraph"/>
        <w:spacing w:line="24" w:lineRule="atLeast"/>
        <w:rPr>
          <w:szCs w:val="24"/>
        </w:rPr>
      </w:pPr>
    </w:p>
    <w:p w14:paraId="5DED082B" w14:textId="77777777" w:rsidR="00FD27F1" w:rsidRPr="002F2B00" w:rsidRDefault="00FD27F1" w:rsidP="00FD27F1">
      <w:pPr>
        <w:pStyle w:val="Quote"/>
      </w:pPr>
      <w:r w:rsidRPr="002F2B00">
        <w:t xml:space="preserve">the nature and degree of scrutiny which satisfies this minimum threshold must, in the Commission’s view, depend on the circumstances of the </w:t>
      </w:r>
      <w:proofErr w:type="gramStart"/>
      <w:r w:rsidRPr="002F2B00">
        <w:t>particular case</w:t>
      </w:r>
      <w:proofErr w:type="gramEnd"/>
      <w:r w:rsidRPr="002F2B00">
        <w:t>. There may be cases where facts surrounding a deprivation of life are clear and undisputed and the subsequent inquisitorial examination may legitimately be reduced to a minimum formality. But equally, there may be other cases where a victim dies in circumstances which are unclear, in which event the lack of any effective procedure to investigate the cause of the deprivation of life could by itself raise an issue under Article 2 of the [ECHR].</w:t>
      </w:r>
      <w:r w:rsidRPr="002F2B00">
        <w:rPr>
          <w:rStyle w:val="FootnoteReference"/>
        </w:rPr>
        <w:footnoteReference w:id="91"/>
      </w:r>
    </w:p>
    <w:p w14:paraId="30E5127D" w14:textId="77777777" w:rsidR="00FD27F1" w:rsidRPr="002F2B00" w:rsidRDefault="00FD27F1" w:rsidP="002564C0">
      <w:pPr>
        <w:pStyle w:val="ListParagraph"/>
        <w:rPr>
          <w:b/>
          <w:bCs/>
        </w:rPr>
      </w:pPr>
    </w:p>
    <w:p w14:paraId="2C78C554" w14:textId="49BBF92C" w:rsidR="001C6BAB" w:rsidRPr="002F2B00" w:rsidRDefault="07B05080" w:rsidP="00ED142E">
      <w:pPr>
        <w:pStyle w:val="ListParagraph"/>
        <w:numPr>
          <w:ilvl w:val="1"/>
          <w:numId w:val="40"/>
        </w:numPr>
      </w:pPr>
      <w:r w:rsidRPr="002F2B00">
        <w:t xml:space="preserve">The </w:t>
      </w:r>
      <w:r w:rsidR="00296FB3" w:rsidRPr="002F2B00">
        <w:t xml:space="preserve">current draft of the </w:t>
      </w:r>
      <w:r w:rsidRPr="002F2B00">
        <w:t xml:space="preserve">Bill indicates that a review will be a more detailed exploration than </w:t>
      </w:r>
      <w:r w:rsidR="00D15479" w:rsidRPr="002F2B00">
        <w:t>the</w:t>
      </w:r>
      <w:r w:rsidRPr="002F2B00">
        <w:t xml:space="preserve"> historical record.</w:t>
      </w:r>
      <w:r w:rsidR="002564C0" w:rsidRPr="002F2B00">
        <w:rPr>
          <w:rStyle w:val="FootnoteReference"/>
        </w:rPr>
        <w:footnoteReference w:id="92"/>
      </w:r>
      <w:r w:rsidR="295980B6" w:rsidRPr="002F2B00">
        <w:t xml:space="preserve"> </w:t>
      </w:r>
      <w:r w:rsidR="00AE2A38" w:rsidRPr="002F2B00">
        <w:t>The</w:t>
      </w:r>
      <w:r w:rsidR="295980B6" w:rsidRPr="002F2B00">
        <w:t xml:space="preserve"> </w:t>
      </w:r>
      <w:r w:rsidR="008C32EB" w:rsidRPr="002F2B00">
        <w:t xml:space="preserve">current draft of </w:t>
      </w:r>
      <w:r w:rsidR="008C32EB" w:rsidRPr="002F2B00">
        <w:lastRenderedPageBreak/>
        <w:t xml:space="preserve">the </w:t>
      </w:r>
      <w:r w:rsidR="295980B6" w:rsidRPr="002F2B00">
        <w:t xml:space="preserve">Bill </w:t>
      </w:r>
      <w:r w:rsidR="00AE2A38" w:rsidRPr="002F2B00">
        <w:t>does not</w:t>
      </w:r>
      <w:r w:rsidR="42B8E69D" w:rsidRPr="002F2B00">
        <w:t xml:space="preserve"> justify this distinction.</w:t>
      </w:r>
      <w:r w:rsidR="00060EB5" w:rsidRPr="002F2B00">
        <w:rPr>
          <w:rStyle w:val="FootnoteReference"/>
        </w:rPr>
        <w:footnoteReference w:id="93"/>
      </w:r>
      <w:r w:rsidR="74510CA3" w:rsidRPr="002F2B00">
        <w:t xml:space="preserve"> </w:t>
      </w:r>
      <w:r w:rsidR="00116B7B" w:rsidRPr="002F2B00">
        <w:t xml:space="preserve">The current draft of the Bill does not require that an assessment be undertaken to establish which cases should be subject to a review (which unlike set out in the present Bill should equate to a thorough investigation) and which cases could be </w:t>
      </w:r>
      <w:r w:rsidR="00016A2D" w:rsidRPr="002F2B00">
        <w:t>satisfied solely through inclusion within the</w:t>
      </w:r>
      <w:r w:rsidR="00116B7B" w:rsidRPr="002F2B00">
        <w:t xml:space="preserve"> historical record, for example cases where the facts are clear and undisputed. The </w:t>
      </w:r>
      <w:r w:rsidR="000F72D9" w:rsidRPr="002F2B00">
        <w:t xml:space="preserve">current draft of the </w:t>
      </w:r>
      <w:r w:rsidR="00116B7B" w:rsidRPr="002F2B00">
        <w:t>Bill indicates that this distinction is determined by whether a family member is able and willing to request a review or that a State agent (such as the Secretary of State, Coroner or Attorney General) wishes to make a request.</w:t>
      </w:r>
      <w:r w:rsidR="00116B7B" w:rsidRPr="002F2B00">
        <w:rPr>
          <w:rStyle w:val="FootnoteReference"/>
        </w:rPr>
        <w:footnoteReference w:id="94"/>
      </w:r>
    </w:p>
    <w:p w14:paraId="6351923A" w14:textId="77777777" w:rsidR="00BB5652" w:rsidRPr="002F2B00" w:rsidRDefault="00BB5652" w:rsidP="00DB3BA5"/>
    <w:p w14:paraId="05350B69" w14:textId="0403CF61" w:rsidR="003448AA" w:rsidRPr="002F2B00" w:rsidRDefault="003448AA" w:rsidP="003448AA">
      <w:pPr>
        <w:pStyle w:val="ListParagraph"/>
        <w:numPr>
          <w:ilvl w:val="1"/>
          <w:numId w:val="40"/>
        </w:numPr>
        <w:rPr>
          <w:b/>
          <w:bCs/>
        </w:rPr>
      </w:pPr>
      <w:r w:rsidRPr="002F2B00">
        <w:rPr>
          <w:b/>
          <w:bCs/>
        </w:rPr>
        <w:t xml:space="preserve">The NIHRC advises that the arbitrary distinction between reviews and </w:t>
      </w:r>
      <w:r w:rsidR="00F0517B" w:rsidRPr="002F2B00">
        <w:rPr>
          <w:b/>
          <w:bCs/>
        </w:rPr>
        <w:t xml:space="preserve">the </w:t>
      </w:r>
      <w:r w:rsidRPr="002F2B00">
        <w:rPr>
          <w:b/>
          <w:bCs/>
        </w:rPr>
        <w:t xml:space="preserve">historical record within the current draft of the Bill creates an unjustified disparity between cases, which </w:t>
      </w:r>
      <w:r w:rsidR="00E95375" w:rsidRPr="002F2B00">
        <w:rPr>
          <w:b/>
          <w:bCs/>
        </w:rPr>
        <w:t xml:space="preserve">risks </w:t>
      </w:r>
      <w:r w:rsidRPr="002F2B00">
        <w:rPr>
          <w:b/>
          <w:bCs/>
        </w:rPr>
        <w:t>further dilut</w:t>
      </w:r>
      <w:r w:rsidR="00E95375" w:rsidRPr="002F2B00">
        <w:rPr>
          <w:b/>
          <w:bCs/>
        </w:rPr>
        <w:t>ing</w:t>
      </w:r>
      <w:r w:rsidRPr="002F2B00">
        <w:rPr>
          <w:b/>
          <w:bCs/>
        </w:rPr>
        <w:t xml:space="preserve"> the UK Government’s adherence to its procedural human rights obligations.</w:t>
      </w:r>
    </w:p>
    <w:p w14:paraId="318A9FF7" w14:textId="77777777" w:rsidR="00AC515D" w:rsidRPr="002F2B00" w:rsidRDefault="00AC515D" w:rsidP="00AC515D">
      <w:pPr>
        <w:pStyle w:val="ListParagraph"/>
      </w:pPr>
    </w:p>
    <w:p w14:paraId="1D61ED7E" w14:textId="16DCB9C9" w:rsidR="00B6279D" w:rsidRPr="002F2B00" w:rsidRDefault="00B6279D" w:rsidP="009F51F4">
      <w:pPr>
        <w:pStyle w:val="Heading2"/>
      </w:pPr>
      <w:bookmarkStart w:id="8" w:name="_Toc523318865"/>
      <w:bookmarkStart w:id="9" w:name="_Toc113517947"/>
      <w:r w:rsidRPr="002F2B00">
        <w:t xml:space="preserve">State’s </w:t>
      </w:r>
      <w:r w:rsidR="004810CC" w:rsidRPr="002F2B00">
        <w:t>o</w:t>
      </w:r>
      <w:r w:rsidRPr="002F2B00">
        <w:t xml:space="preserve">wn </w:t>
      </w:r>
      <w:r w:rsidR="004810CC" w:rsidRPr="002F2B00">
        <w:t>m</w:t>
      </w:r>
      <w:r w:rsidRPr="002F2B00">
        <w:t>otion</w:t>
      </w:r>
      <w:bookmarkEnd w:id="8"/>
      <w:bookmarkEnd w:id="9"/>
    </w:p>
    <w:p w14:paraId="50E0AC86" w14:textId="213B2E82" w:rsidR="00B6279D" w:rsidRPr="002F2B00" w:rsidRDefault="00627380" w:rsidP="00ED142E">
      <w:pPr>
        <w:pStyle w:val="ListParagraph"/>
        <w:numPr>
          <w:ilvl w:val="1"/>
          <w:numId w:val="40"/>
        </w:numPr>
        <w:rPr>
          <w:szCs w:val="24"/>
        </w:rPr>
      </w:pPr>
      <w:r w:rsidRPr="002F2B00">
        <w:rPr>
          <w:szCs w:val="24"/>
        </w:rPr>
        <w:t xml:space="preserve">The State is required to ensure that </w:t>
      </w:r>
      <w:r w:rsidR="00E95375" w:rsidRPr="002F2B00">
        <w:rPr>
          <w:szCs w:val="24"/>
        </w:rPr>
        <w:t>it</w:t>
      </w:r>
      <w:r w:rsidR="00B6279D" w:rsidRPr="002F2B00">
        <w:rPr>
          <w:szCs w:val="24"/>
        </w:rPr>
        <w:t xml:space="preserve"> “carry out an effective official investigation on their own motion”, when they are aware of a suspicious death.</w:t>
      </w:r>
      <w:r w:rsidR="00B6279D" w:rsidRPr="002F2B00">
        <w:rPr>
          <w:rStyle w:val="FootnoteReference"/>
          <w:szCs w:val="24"/>
        </w:rPr>
        <w:footnoteReference w:id="95"/>
      </w:r>
      <w:r w:rsidR="00B6279D" w:rsidRPr="002F2B00">
        <w:rPr>
          <w:szCs w:val="24"/>
        </w:rPr>
        <w:t xml:space="preserve"> </w:t>
      </w:r>
      <w:r w:rsidRPr="002F2B00">
        <w:rPr>
          <w:szCs w:val="24"/>
        </w:rPr>
        <w:t xml:space="preserve">It </w:t>
      </w:r>
      <w:r w:rsidR="00B6279D" w:rsidRPr="002F2B00">
        <w:rPr>
          <w:szCs w:val="24"/>
        </w:rPr>
        <w:t>“cannot leave it to the initiative of the next of kin either to lodge a formal complaint or to take responsibility for the conduct of any investigative procedures”.</w:t>
      </w:r>
      <w:r w:rsidR="00B6279D" w:rsidRPr="002F2B00">
        <w:rPr>
          <w:rStyle w:val="FootnoteReference"/>
          <w:szCs w:val="24"/>
        </w:rPr>
        <w:footnoteReference w:id="96"/>
      </w:r>
      <w:r w:rsidR="00B6279D" w:rsidRPr="002F2B00">
        <w:rPr>
          <w:szCs w:val="24"/>
        </w:rPr>
        <w:t xml:space="preserve"> The “mere knowledge of the killing on the part of the authorities gave rise </w:t>
      </w:r>
      <w:r w:rsidR="00B6279D" w:rsidRPr="002F2B00">
        <w:rPr>
          <w:i/>
          <w:szCs w:val="24"/>
        </w:rPr>
        <w:t>ipso facto</w:t>
      </w:r>
      <w:r w:rsidR="00B6279D" w:rsidRPr="002F2B00">
        <w:rPr>
          <w:szCs w:val="24"/>
        </w:rPr>
        <w:t xml:space="preserve"> to an obligation under Article 2 of the [ECHR] to carry out an effective investigation into the circumstances surrounding the death”.</w:t>
      </w:r>
      <w:r w:rsidR="00B6279D" w:rsidRPr="002F2B00">
        <w:rPr>
          <w:rStyle w:val="FootnoteReference"/>
          <w:szCs w:val="24"/>
        </w:rPr>
        <w:footnoteReference w:id="97"/>
      </w:r>
      <w:r w:rsidR="00B6279D" w:rsidRPr="002F2B00">
        <w:rPr>
          <w:szCs w:val="24"/>
        </w:rPr>
        <w:t xml:space="preserve"> This obligation may be burdensome, but it cannot be displaced by a “high incidence of fatalities”.</w:t>
      </w:r>
      <w:r w:rsidR="00B6279D" w:rsidRPr="002F2B00">
        <w:rPr>
          <w:rStyle w:val="FootnoteReference"/>
          <w:szCs w:val="24"/>
        </w:rPr>
        <w:footnoteReference w:id="98"/>
      </w:r>
      <w:r w:rsidR="00B6279D" w:rsidRPr="002F2B00">
        <w:rPr>
          <w:szCs w:val="24"/>
        </w:rPr>
        <w:t xml:space="preserve"> Instead, there is a specific need for cases to be investigated where the “circumstances are in many respects unclear”.</w:t>
      </w:r>
      <w:r w:rsidR="00B6279D" w:rsidRPr="002F2B00">
        <w:rPr>
          <w:rStyle w:val="FootnoteReference"/>
          <w:szCs w:val="24"/>
        </w:rPr>
        <w:footnoteReference w:id="99"/>
      </w:r>
      <w:r w:rsidR="00B6279D" w:rsidRPr="002F2B00">
        <w:rPr>
          <w:szCs w:val="24"/>
        </w:rPr>
        <w:t xml:space="preserve"> </w:t>
      </w:r>
    </w:p>
    <w:p w14:paraId="564781E5" w14:textId="77777777" w:rsidR="00B6279D" w:rsidRPr="002F2B00" w:rsidRDefault="00B6279D" w:rsidP="00B6279D">
      <w:pPr>
        <w:pStyle w:val="ListParagraph"/>
        <w:rPr>
          <w:szCs w:val="24"/>
        </w:rPr>
      </w:pPr>
    </w:p>
    <w:p w14:paraId="104F19A4" w14:textId="77777777" w:rsidR="00B6279D" w:rsidRPr="002F2B00" w:rsidRDefault="00B6279D" w:rsidP="00ED142E">
      <w:pPr>
        <w:pStyle w:val="ListParagraph"/>
        <w:numPr>
          <w:ilvl w:val="1"/>
          <w:numId w:val="40"/>
        </w:numPr>
        <w:rPr>
          <w:szCs w:val="24"/>
        </w:rPr>
      </w:pPr>
      <w:r w:rsidRPr="002F2B00">
        <w:rPr>
          <w:szCs w:val="24"/>
        </w:rPr>
        <w:t>The ECtHR confirms that:</w:t>
      </w:r>
    </w:p>
    <w:p w14:paraId="45976E30" w14:textId="77777777" w:rsidR="00B6279D" w:rsidRPr="002F2B00" w:rsidRDefault="00B6279D" w:rsidP="00B6279D">
      <w:pPr>
        <w:pStyle w:val="ListParagraph"/>
        <w:spacing w:line="24" w:lineRule="atLeast"/>
        <w:rPr>
          <w:szCs w:val="24"/>
        </w:rPr>
      </w:pPr>
    </w:p>
    <w:p w14:paraId="5D6AF776" w14:textId="77777777" w:rsidR="00B6279D" w:rsidRPr="002F2B00" w:rsidRDefault="00B6279D" w:rsidP="00B6279D">
      <w:pPr>
        <w:pStyle w:val="Quote"/>
      </w:pPr>
      <w:r w:rsidRPr="002F2B00">
        <w:t>it cannot be the case that any assertion or allegation can trigger a fresh investigative obligation under Article 2 of the Convention. Nonetheless, given the fundamental importance of this provision, the State authorities must be sensitive to any information or material which has the potential either to undermine the conclusions of an earlier investigation or to allow an earlier inconclusive investigation to be pursued further.</w:t>
      </w:r>
      <w:r w:rsidRPr="002F2B00">
        <w:rPr>
          <w:rStyle w:val="FootnoteReference"/>
        </w:rPr>
        <w:footnoteReference w:id="100"/>
      </w:r>
    </w:p>
    <w:p w14:paraId="6BA44367" w14:textId="77777777" w:rsidR="00B6279D" w:rsidRPr="002F2B00" w:rsidRDefault="00B6279D" w:rsidP="00B6279D">
      <w:pPr>
        <w:pStyle w:val="ListParagraph"/>
        <w:spacing w:line="24" w:lineRule="atLeast"/>
        <w:rPr>
          <w:szCs w:val="24"/>
        </w:rPr>
      </w:pPr>
    </w:p>
    <w:p w14:paraId="17BAC8F2" w14:textId="77777777" w:rsidR="00B6279D" w:rsidRPr="002F2B00" w:rsidRDefault="00B6279D" w:rsidP="00ED142E">
      <w:pPr>
        <w:pStyle w:val="ListParagraph"/>
        <w:numPr>
          <w:ilvl w:val="1"/>
          <w:numId w:val="40"/>
        </w:numPr>
        <w:spacing w:line="24" w:lineRule="atLeast"/>
        <w:rPr>
          <w:szCs w:val="24"/>
        </w:rPr>
      </w:pPr>
      <w:r w:rsidRPr="002F2B00">
        <w:rPr>
          <w:szCs w:val="24"/>
        </w:rPr>
        <w:t>The ECtHR further provides that:</w:t>
      </w:r>
    </w:p>
    <w:p w14:paraId="73BBAF92" w14:textId="77777777" w:rsidR="00B6279D" w:rsidRPr="002F2B00" w:rsidRDefault="00B6279D" w:rsidP="00B6279D">
      <w:pPr>
        <w:pStyle w:val="ListParagraph"/>
        <w:spacing w:line="24" w:lineRule="atLeast"/>
        <w:rPr>
          <w:szCs w:val="24"/>
        </w:rPr>
      </w:pPr>
    </w:p>
    <w:p w14:paraId="024B7512" w14:textId="77777777" w:rsidR="00B6279D" w:rsidRPr="002F2B00" w:rsidRDefault="00B6279D" w:rsidP="00B6279D">
      <w:pPr>
        <w:pStyle w:val="Quote"/>
        <w:spacing w:line="24" w:lineRule="atLeast"/>
      </w:pPr>
      <w:r w:rsidRPr="002F2B00">
        <w:t>where there is a plausible, or credible, allegation, piece of evidence or item of information relevant to the identification, and eventual prosecution or punishment of the perpetrator of an unlawful killing, the authorities are under an obligation to take further investigative measures.</w:t>
      </w:r>
      <w:r w:rsidRPr="002F2B00">
        <w:rPr>
          <w:rStyle w:val="FootnoteReference"/>
        </w:rPr>
        <w:footnoteReference w:id="101"/>
      </w:r>
    </w:p>
    <w:p w14:paraId="23D6DEED" w14:textId="77777777" w:rsidR="00B6279D" w:rsidRPr="002F2B00" w:rsidRDefault="00B6279D" w:rsidP="00B6279D">
      <w:pPr>
        <w:pStyle w:val="ListParagraph"/>
        <w:spacing w:line="24" w:lineRule="atLeast"/>
        <w:rPr>
          <w:szCs w:val="24"/>
        </w:rPr>
      </w:pPr>
    </w:p>
    <w:p w14:paraId="0532E419" w14:textId="472EDD1B" w:rsidR="00B6279D" w:rsidRPr="002F2B00" w:rsidRDefault="00B6279D" w:rsidP="00ED142E">
      <w:pPr>
        <w:pStyle w:val="ListParagraph"/>
        <w:numPr>
          <w:ilvl w:val="1"/>
          <w:numId w:val="40"/>
        </w:numPr>
        <w:rPr>
          <w:szCs w:val="24"/>
        </w:rPr>
      </w:pPr>
      <w:r w:rsidRPr="002F2B00">
        <w:rPr>
          <w:szCs w:val="24"/>
        </w:rPr>
        <w:t>The UN Human Rights Committee</w:t>
      </w:r>
      <w:r w:rsidR="009F51F4" w:rsidRPr="002F2B00">
        <w:rPr>
          <w:szCs w:val="24"/>
        </w:rPr>
        <w:t xml:space="preserve"> </w:t>
      </w:r>
      <w:r w:rsidRPr="002F2B00">
        <w:rPr>
          <w:szCs w:val="24"/>
        </w:rPr>
        <w:t>states “an investigation into alleged violations of the right to life should commence when necessary ex officio”.</w:t>
      </w:r>
      <w:r w:rsidRPr="002F2B00">
        <w:rPr>
          <w:rStyle w:val="FootnoteReference"/>
          <w:szCs w:val="24"/>
        </w:rPr>
        <w:footnoteReference w:id="102"/>
      </w:r>
    </w:p>
    <w:p w14:paraId="0C654DD4" w14:textId="77777777" w:rsidR="00B6279D" w:rsidRPr="002F2B00" w:rsidRDefault="00B6279D" w:rsidP="00B6279D">
      <w:pPr>
        <w:pStyle w:val="ListParagraph"/>
        <w:rPr>
          <w:szCs w:val="24"/>
        </w:rPr>
      </w:pPr>
    </w:p>
    <w:p w14:paraId="25678114" w14:textId="420D3D8C" w:rsidR="00B6279D" w:rsidRPr="002F2B00" w:rsidRDefault="00866226" w:rsidP="00ED142E">
      <w:pPr>
        <w:pStyle w:val="ListParagraph"/>
        <w:numPr>
          <w:ilvl w:val="1"/>
          <w:numId w:val="40"/>
        </w:numPr>
        <w:rPr>
          <w:szCs w:val="24"/>
        </w:rPr>
      </w:pPr>
      <w:r w:rsidRPr="002F2B00">
        <w:rPr>
          <w:szCs w:val="24"/>
        </w:rPr>
        <w:t>Article 13(1) of t</w:t>
      </w:r>
      <w:r w:rsidR="00B6279D" w:rsidRPr="002F2B00">
        <w:rPr>
          <w:szCs w:val="24"/>
        </w:rPr>
        <w:t>he UN Declaration on the Protection of All Persons from Enforced Disappearance</w:t>
      </w:r>
      <w:r w:rsidRPr="002F2B00">
        <w:rPr>
          <w:szCs w:val="24"/>
        </w:rPr>
        <w:t xml:space="preserve"> </w:t>
      </w:r>
      <w:r w:rsidR="00B6279D" w:rsidRPr="002F2B00">
        <w:rPr>
          <w:szCs w:val="24"/>
        </w:rPr>
        <w:t>states in the context of investigating enforced disappearance:</w:t>
      </w:r>
    </w:p>
    <w:p w14:paraId="0ECFA58C" w14:textId="77777777" w:rsidR="00B6279D" w:rsidRPr="002F2B00" w:rsidRDefault="00B6279D" w:rsidP="00B6279D">
      <w:pPr>
        <w:pStyle w:val="ListParagraph"/>
        <w:rPr>
          <w:szCs w:val="24"/>
        </w:rPr>
      </w:pPr>
    </w:p>
    <w:p w14:paraId="4F0EB810" w14:textId="19F71CAE" w:rsidR="00B6279D" w:rsidRPr="002F2B00" w:rsidRDefault="00B6279D" w:rsidP="00B6279D">
      <w:pPr>
        <w:pStyle w:val="Quote"/>
      </w:pPr>
      <w:r w:rsidRPr="002F2B00">
        <w:t xml:space="preserve">each State shall ensure that any person having knowledge or a legitimate interest who alleges that a person has been subjected to enforced disappearance has the right to complain to a competent and independent State authority and to have that complaint promptly, </w:t>
      </w:r>
      <w:proofErr w:type="gramStart"/>
      <w:r w:rsidRPr="002F2B00">
        <w:t>thoroughly</w:t>
      </w:r>
      <w:proofErr w:type="gramEnd"/>
      <w:r w:rsidRPr="002F2B00">
        <w:t xml:space="preserve"> and impartially investigated by that authority. Whenever there are reasonable grounds to believe that an enforced disappearance has been committed, the State shall promptly refer the matter to that authority for such an investigation, even if there has been no formal complaint. No measure shall be taken to curtail or impede the investigation.</w:t>
      </w:r>
      <w:r w:rsidRPr="002F2B00">
        <w:rPr>
          <w:rStyle w:val="FootnoteReference"/>
        </w:rPr>
        <w:footnoteReference w:id="103"/>
      </w:r>
    </w:p>
    <w:p w14:paraId="38140798" w14:textId="73741786" w:rsidR="005A1360" w:rsidRPr="002F2B00" w:rsidRDefault="005A1360" w:rsidP="005A1360"/>
    <w:p w14:paraId="47B7708E" w14:textId="55E475CC" w:rsidR="005A1360" w:rsidRPr="002F2B00" w:rsidRDefault="004A71B9" w:rsidP="00ED142E">
      <w:pPr>
        <w:pStyle w:val="ListParagraph"/>
        <w:numPr>
          <w:ilvl w:val="1"/>
          <w:numId w:val="40"/>
        </w:numPr>
      </w:pPr>
      <w:r w:rsidRPr="002F2B00">
        <w:lastRenderedPageBreak/>
        <w:t xml:space="preserve">Within the </w:t>
      </w:r>
      <w:r w:rsidR="00F507EA" w:rsidRPr="002F2B00">
        <w:t xml:space="preserve">current draft of the </w:t>
      </w:r>
      <w:r w:rsidRPr="002F2B00">
        <w:t xml:space="preserve">Bill, </w:t>
      </w:r>
      <w:r w:rsidR="00300933" w:rsidRPr="002F2B00">
        <w:t xml:space="preserve">a range of State </w:t>
      </w:r>
      <w:r w:rsidR="003550E0" w:rsidRPr="002F2B00">
        <w:t>agent</w:t>
      </w:r>
      <w:r w:rsidR="00300933" w:rsidRPr="002F2B00">
        <w:t xml:space="preserve">s can request that the ICRIR conducts a review into a particular </w:t>
      </w:r>
      <w:r w:rsidR="00B241F6" w:rsidRPr="002F2B00">
        <w:t>death</w:t>
      </w:r>
      <w:r w:rsidR="00AE3D52" w:rsidRPr="002F2B00">
        <w:t xml:space="preserve">, </w:t>
      </w:r>
      <w:r w:rsidR="00F85DD9" w:rsidRPr="002F2B00">
        <w:t>such</w:t>
      </w:r>
      <w:r w:rsidR="00AE3D52" w:rsidRPr="002F2B00">
        <w:t xml:space="preserve"> as</w:t>
      </w:r>
      <w:r w:rsidR="00F85DD9" w:rsidRPr="002F2B00">
        <w:t xml:space="preserve"> the Secretary of State, a coroner, the Attorney General for NI.</w:t>
      </w:r>
      <w:r w:rsidR="00F85DD9" w:rsidRPr="002F2B00">
        <w:rPr>
          <w:rStyle w:val="FootnoteReference"/>
        </w:rPr>
        <w:footnoteReference w:id="104"/>
      </w:r>
      <w:r w:rsidR="00F85DD9" w:rsidRPr="002F2B00">
        <w:t xml:space="preserve"> </w:t>
      </w:r>
      <w:r w:rsidR="005A1360" w:rsidRPr="002F2B00">
        <w:t>Considering that investigations should be of the State’s own motion,</w:t>
      </w:r>
      <w:r w:rsidR="00FE497E" w:rsidRPr="002F2B00">
        <w:rPr>
          <w:rStyle w:val="FootnoteReference"/>
        </w:rPr>
        <w:footnoteReference w:id="105"/>
      </w:r>
      <w:r w:rsidR="005A1360" w:rsidRPr="002F2B00">
        <w:t xml:space="preserve"> it is right that a review can be requested by State </w:t>
      </w:r>
      <w:r w:rsidR="003550E0" w:rsidRPr="002F2B00">
        <w:t>agent</w:t>
      </w:r>
      <w:r w:rsidR="005A1360" w:rsidRPr="002F2B00">
        <w:t xml:space="preserve">s. However, </w:t>
      </w:r>
      <w:r w:rsidR="00627380" w:rsidRPr="002F2B00">
        <w:t>as advised throughout, the ICRIR cannot under th</w:t>
      </w:r>
      <w:r w:rsidR="00E714C0" w:rsidRPr="002F2B00">
        <w:t>e current draft of th</w:t>
      </w:r>
      <w:r w:rsidR="00627380" w:rsidRPr="002F2B00">
        <w:t xml:space="preserve">is Bill conduct </w:t>
      </w:r>
      <w:r w:rsidR="00E714C0" w:rsidRPr="002F2B00">
        <w:t xml:space="preserve">its </w:t>
      </w:r>
      <w:r w:rsidR="00627380" w:rsidRPr="002F2B00">
        <w:t xml:space="preserve">operations </w:t>
      </w:r>
      <w:proofErr w:type="gramStart"/>
      <w:r w:rsidR="00627380" w:rsidRPr="002F2B00">
        <w:t>so as to</w:t>
      </w:r>
      <w:proofErr w:type="gramEnd"/>
      <w:r w:rsidR="00627380" w:rsidRPr="002F2B00">
        <w:t xml:space="preserve"> be compliant with the State’s legal obligations. </w:t>
      </w:r>
    </w:p>
    <w:p w14:paraId="69A742B4" w14:textId="647206E4" w:rsidR="00151680" w:rsidRPr="002F2B00" w:rsidRDefault="00151680" w:rsidP="003D2F91"/>
    <w:p w14:paraId="7BECFA1C" w14:textId="691DFE73" w:rsidR="00A83F65" w:rsidRPr="002F2B00" w:rsidRDefault="00A83F65" w:rsidP="00ED142E">
      <w:pPr>
        <w:pStyle w:val="ListParagraph"/>
        <w:numPr>
          <w:ilvl w:val="1"/>
          <w:numId w:val="40"/>
        </w:numPr>
        <w:rPr>
          <w:b/>
          <w:bCs/>
        </w:rPr>
      </w:pPr>
      <w:r w:rsidRPr="002F2B00">
        <w:rPr>
          <w:b/>
          <w:bCs/>
        </w:rPr>
        <w:t xml:space="preserve">The NIHRC advises that investigations should be of the State’s own </w:t>
      </w:r>
      <w:proofErr w:type="gramStart"/>
      <w:r w:rsidRPr="002F2B00">
        <w:rPr>
          <w:b/>
          <w:bCs/>
        </w:rPr>
        <w:t>motion</w:t>
      </w:r>
      <w:proofErr w:type="gramEnd"/>
      <w:r w:rsidRPr="002F2B00">
        <w:rPr>
          <w:b/>
          <w:bCs/>
        </w:rPr>
        <w:t xml:space="preserve"> and it is right that </w:t>
      </w:r>
      <w:r w:rsidR="00834FC0" w:rsidRPr="002F2B00">
        <w:rPr>
          <w:b/>
          <w:bCs/>
        </w:rPr>
        <w:t>the current draft of the</w:t>
      </w:r>
      <w:r w:rsidR="00E635F2" w:rsidRPr="002F2B00">
        <w:rPr>
          <w:b/>
          <w:bCs/>
        </w:rPr>
        <w:t xml:space="preserve"> Bill </w:t>
      </w:r>
      <w:r w:rsidR="009B7BD9" w:rsidRPr="002F2B00">
        <w:rPr>
          <w:b/>
          <w:bCs/>
        </w:rPr>
        <w:t xml:space="preserve">enables </w:t>
      </w:r>
      <w:r w:rsidRPr="002F2B00">
        <w:rPr>
          <w:b/>
          <w:bCs/>
        </w:rPr>
        <w:t xml:space="preserve">reviews </w:t>
      </w:r>
      <w:r w:rsidR="009B7BD9" w:rsidRPr="002F2B00">
        <w:rPr>
          <w:b/>
          <w:bCs/>
        </w:rPr>
        <w:t>to</w:t>
      </w:r>
      <w:r w:rsidRPr="002F2B00">
        <w:rPr>
          <w:b/>
          <w:bCs/>
        </w:rPr>
        <w:t xml:space="preserve"> be requested by State </w:t>
      </w:r>
      <w:r w:rsidR="003550E0" w:rsidRPr="002F2B00">
        <w:rPr>
          <w:b/>
          <w:bCs/>
        </w:rPr>
        <w:t>agent</w:t>
      </w:r>
      <w:r w:rsidRPr="002F2B00">
        <w:rPr>
          <w:b/>
          <w:bCs/>
        </w:rPr>
        <w:t xml:space="preserve">s. However, the </w:t>
      </w:r>
      <w:r w:rsidR="00834FC0" w:rsidRPr="002F2B00">
        <w:rPr>
          <w:b/>
          <w:bCs/>
        </w:rPr>
        <w:t xml:space="preserve">NIHRC stresses that the </w:t>
      </w:r>
      <w:r w:rsidRPr="002F2B00">
        <w:rPr>
          <w:b/>
          <w:bCs/>
        </w:rPr>
        <w:t>resulting review must equate to an Article 2 ECHR compliant investigation</w:t>
      </w:r>
      <w:r w:rsidR="009B7BD9" w:rsidRPr="002F2B00">
        <w:rPr>
          <w:b/>
          <w:bCs/>
        </w:rPr>
        <w:t>, particularly regarding thoroughness and independence</w:t>
      </w:r>
      <w:r w:rsidR="003A7969" w:rsidRPr="002F2B00">
        <w:rPr>
          <w:b/>
          <w:bCs/>
        </w:rPr>
        <w:t xml:space="preserve">. The NIHRC is of the view that this </w:t>
      </w:r>
      <w:r w:rsidR="00DF7244" w:rsidRPr="002F2B00">
        <w:rPr>
          <w:b/>
          <w:bCs/>
        </w:rPr>
        <w:t xml:space="preserve">is </w:t>
      </w:r>
      <w:r w:rsidR="00BC7ECC" w:rsidRPr="002F2B00">
        <w:rPr>
          <w:b/>
          <w:bCs/>
        </w:rPr>
        <w:t xml:space="preserve">not delivered </w:t>
      </w:r>
      <w:r w:rsidR="00DF7244" w:rsidRPr="002F2B00">
        <w:rPr>
          <w:b/>
          <w:bCs/>
        </w:rPr>
        <w:t>in the current draft of this Bill</w:t>
      </w:r>
      <w:r w:rsidR="006C7440" w:rsidRPr="002F2B00">
        <w:rPr>
          <w:b/>
          <w:bCs/>
        </w:rPr>
        <w:t>.</w:t>
      </w:r>
    </w:p>
    <w:p w14:paraId="6A32EB31" w14:textId="3BFDECCE" w:rsidR="00B6279D" w:rsidRPr="002F2B00" w:rsidRDefault="00B6279D" w:rsidP="00B6279D">
      <w:pPr>
        <w:rPr>
          <w:b/>
          <w:szCs w:val="24"/>
        </w:rPr>
      </w:pPr>
    </w:p>
    <w:p w14:paraId="77D0B342" w14:textId="357ACE41" w:rsidR="002F45D0" w:rsidRPr="002F2B00" w:rsidRDefault="002F45D0" w:rsidP="00521418">
      <w:pPr>
        <w:pStyle w:val="Heading2"/>
      </w:pPr>
      <w:bookmarkStart w:id="10" w:name="_Toc523318867"/>
      <w:bookmarkStart w:id="11" w:name="_Toc523318866"/>
      <w:bookmarkStart w:id="12" w:name="_Toc113517948"/>
      <w:r w:rsidRPr="002F2B00">
        <w:t xml:space="preserve">Prompt </w:t>
      </w:r>
      <w:r w:rsidR="00462E5D" w:rsidRPr="002F2B00">
        <w:t>c</w:t>
      </w:r>
      <w:r w:rsidRPr="002F2B00">
        <w:t xml:space="preserve">ommencement </w:t>
      </w:r>
      <w:r w:rsidR="00462E5D" w:rsidRPr="002F2B00">
        <w:t>and expedition</w:t>
      </w:r>
      <w:bookmarkEnd w:id="12"/>
      <w:r w:rsidR="00462E5D" w:rsidRPr="002F2B00">
        <w:t xml:space="preserve"> </w:t>
      </w:r>
      <w:bookmarkEnd w:id="10"/>
    </w:p>
    <w:p w14:paraId="1C79E869" w14:textId="59F74E25" w:rsidR="002F45D0" w:rsidRPr="002F2B00" w:rsidRDefault="00BA5738" w:rsidP="00ED142E">
      <w:pPr>
        <w:pStyle w:val="ListParagraph"/>
        <w:numPr>
          <w:ilvl w:val="1"/>
          <w:numId w:val="40"/>
        </w:numPr>
        <w:rPr>
          <w:szCs w:val="24"/>
        </w:rPr>
      </w:pPr>
      <w:r w:rsidRPr="002F2B00">
        <w:rPr>
          <w:szCs w:val="24"/>
        </w:rPr>
        <w:t>I</w:t>
      </w:r>
      <w:r w:rsidR="002F45D0" w:rsidRPr="002F2B00">
        <w:rPr>
          <w:szCs w:val="24"/>
        </w:rPr>
        <w:t>nvestigations into suspicious death</w:t>
      </w:r>
      <w:r w:rsidR="00627380" w:rsidRPr="002F2B00">
        <w:rPr>
          <w:szCs w:val="24"/>
        </w:rPr>
        <w:t>s</w:t>
      </w:r>
      <w:r w:rsidR="002F45D0" w:rsidRPr="002F2B00">
        <w:rPr>
          <w:szCs w:val="24"/>
        </w:rPr>
        <w:t xml:space="preserve"> </w:t>
      </w:r>
      <w:r w:rsidR="00627380" w:rsidRPr="002F2B00">
        <w:rPr>
          <w:szCs w:val="24"/>
        </w:rPr>
        <w:t xml:space="preserve">must </w:t>
      </w:r>
      <w:r w:rsidRPr="002F2B00">
        <w:rPr>
          <w:szCs w:val="24"/>
        </w:rPr>
        <w:t>be</w:t>
      </w:r>
      <w:r w:rsidR="002F45D0" w:rsidRPr="002F2B00">
        <w:rPr>
          <w:szCs w:val="24"/>
        </w:rPr>
        <w:t xml:space="preserve"> commenced promptly.</w:t>
      </w:r>
      <w:r w:rsidR="002F45D0" w:rsidRPr="002F2B00">
        <w:rPr>
          <w:rStyle w:val="FootnoteReference"/>
          <w:szCs w:val="24"/>
        </w:rPr>
        <w:footnoteReference w:id="106"/>
      </w:r>
      <w:r w:rsidR="002F45D0" w:rsidRPr="002F2B00">
        <w:rPr>
          <w:szCs w:val="24"/>
        </w:rPr>
        <w:t xml:space="preserve"> This extends to the commencement of initial evidence gathering</w:t>
      </w:r>
      <w:r w:rsidR="002F45D0" w:rsidRPr="002F2B00">
        <w:rPr>
          <w:rStyle w:val="FootnoteReference"/>
          <w:szCs w:val="24"/>
        </w:rPr>
        <w:footnoteReference w:id="107"/>
      </w:r>
      <w:r w:rsidR="002F45D0" w:rsidRPr="002F2B00">
        <w:rPr>
          <w:szCs w:val="24"/>
        </w:rPr>
        <w:t xml:space="preserve"> and the re-commencement of adjourned investigations.</w:t>
      </w:r>
      <w:r w:rsidR="002F45D0" w:rsidRPr="002F2B00">
        <w:rPr>
          <w:rStyle w:val="FootnoteReference"/>
          <w:szCs w:val="24"/>
        </w:rPr>
        <w:footnoteReference w:id="108"/>
      </w:r>
    </w:p>
    <w:p w14:paraId="0BD5BA52" w14:textId="77777777" w:rsidR="002F45D0" w:rsidRPr="002F2B00" w:rsidRDefault="002F45D0" w:rsidP="002F45D0">
      <w:pPr>
        <w:pStyle w:val="ListParagraph"/>
        <w:rPr>
          <w:szCs w:val="24"/>
        </w:rPr>
      </w:pPr>
    </w:p>
    <w:p w14:paraId="21599BC8" w14:textId="077C2CE5" w:rsidR="002F45D0" w:rsidRPr="002F2B00" w:rsidRDefault="002F45D0" w:rsidP="00ED142E">
      <w:pPr>
        <w:pStyle w:val="ListParagraph"/>
        <w:numPr>
          <w:ilvl w:val="1"/>
          <w:numId w:val="40"/>
        </w:numPr>
        <w:rPr>
          <w:szCs w:val="24"/>
        </w:rPr>
      </w:pPr>
      <w:r w:rsidRPr="002F2B00">
        <w:rPr>
          <w:szCs w:val="24"/>
        </w:rPr>
        <w:t>Reasons for a</w:t>
      </w:r>
      <w:r w:rsidR="00627380" w:rsidRPr="002F2B00">
        <w:rPr>
          <w:szCs w:val="24"/>
        </w:rPr>
        <w:t>ny</w:t>
      </w:r>
      <w:r w:rsidRPr="002F2B00">
        <w:rPr>
          <w:szCs w:val="24"/>
        </w:rPr>
        <w:t xml:space="preserve"> delay in promptly commencing investigations must be reasonabl</w:t>
      </w:r>
      <w:r w:rsidR="00627380" w:rsidRPr="002F2B00">
        <w:rPr>
          <w:szCs w:val="24"/>
        </w:rPr>
        <w:t>y justified</w:t>
      </w:r>
      <w:r w:rsidRPr="002F2B00">
        <w:rPr>
          <w:szCs w:val="24"/>
        </w:rPr>
        <w:t>.</w:t>
      </w:r>
      <w:r w:rsidRPr="002F2B00">
        <w:rPr>
          <w:rStyle w:val="FootnoteReference"/>
          <w:szCs w:val="24"/>
        </w:rPr>
        <w:footnoteReference w:id="109"/>
      </w:r>
    </w:p>
    <w:p w14:paraId="05B9FFC8" w14:textId="77777777" w:rsidR="002F45D0" w:rsidRPr="002F2B00" w:rsidRDefault="002F45D0" w:rsidP="002F45D0">
      <w:pPr>
        <w:pStyle w:val="ListParagraph"/>
        <w:rPr>
          <w:szCs w:val="24"/>
        </w:rPr>
      </w:pPr>
    </w:p>
    <w:p w14:paraId="4B965101" w14:textId="19AFEA2C" w:rsidR="002F45D0" w:rsidRPr="002F2B00" w:rsidRDefault="49DDBF31" w:rsidP="00ED142E">
      <w:pPr>
        <w:pStyle w:val="ListParagraph"/>
        <w:numPr>
          <w:ilvl w:val="1"/>
          <w:numId w:val="40"/>
        </w:numPr>
      </w:pPr>
      <w:r w:rsidRPr="002F2B00">
        <w:t xml:space="preserve">What constitutes prompt commencement depends on the context </w:t>
      </w:r>
      <w:r w:rsidR="00627380" w:rsidRPr="002F2B00">
        <w:t xml:space="preserve">and facts </w:t>
      </w:r>
      <w:r w:rsidRPr="002F2B00">
        <w:t xml:space="preserve">of the case. For example, investigations of enforced disappearances must be “taken immediately after the crime was reported to the authorities” and a delay of days can constitute a </w:t>
      </w:r>
      <w:r w:rsidRPr="002F2B00">
        <w:lastRenderedPageBreak/>
        <w:t>violation of Article 2.</w:t>
      </w:r>
      <w:r w:rsidR="002F45D0" w:rsidRPr="002F2B00">
        <w:rPr>
          <w:rStyle w:val="FootnoteReference"/>
        </w:rPr>
        <w:footnoteReference w:id="110"/>
      </w:r>
      <w:r w:rsidRPr="002F2B00">
        <w:t xml:space="preserve"> This combined with the principle of reasonableness indicates that a chronological approach to historical investigations is permitted, </w:t>
      </w:r>
      <w:proofErr w:type="gramStart"/>
      <w:r w:rsidRPr="002F2B00">
        <w:t>as long as</w:t>
      </w:r>
      <w:proofErr w:type="gramEnd"/>
      <w:r w:rsidRPr="002F2B00">
        <w:t xml:space="preserve"> there is the ability to react to a case’s individual circumstances. </w:t>
      </w:r>
    </w:p>
    <w:p w14:paraId="60AE79CA" w14:textId="77777777" w:rsidR="002F45D0" w:rsidRPr="002F2B00" w:rsidRDefault="002F45D0" w:rsidP="002F45D0">
      <w:pPr>
        <w:pStyle w:val="ListParagraph"/>
        <w:rPr>
          <w:szCs w:val="24"/>
        </w:rPr>
      </w:pPr>
    </w:p>
    <w:p w14:paraId="20831FD7" w14:textId="0E4265CA" w:rsidR="002F45D0" w:rsidRPr="002F2B00" w:rsidRDefault="002F45D0" w:rsidP="00ED142E">
      <w:pPr>
        <w:pStyle w:val="ListParagraph"/>
        <w:numPr>
          <w:ilvl w:val="1"/>
          <w:numId w:val="40"/>
        </w:numPr>
        <w:rPr>
          <w:szCs w:val="24"/>
        </w:rPr>
      </w:pPr>
      <w:r w:rsidRPr="002F2B00">
        <w:rPr>
          <w:szCs w:val="24"/>
        </w:rPr>
        <w:t xml:space="preserve">The </w:t>
      </w:r>
      <w:r w:rsidR="006124A6" w:rsidRPr="002F2B00">
        <w:rPr>
          <w:szCs w:val="24"/>
        </w:rPr>
        <w:t xml:space="preserve">UN </w:t>
      </w:r>
      <w:r w:rsidRPr="002F2B00">
        <w:rPr>
          <w:szCs w:val="24"/>
        </w:rPr>
        <w:t>Revised Minnesota Protocol states “the failure of the State promptly to investigate does not relieve it of its duty to investigation at a later time: the duty does not cease even with the passing of significant time”.</w:t>
      </w:r>
      <w:r w:rsidRPr="002F2B00">
        <w:rPr>
          <w:rStyle w:val="FootnoteReference"/>
          <w:szCs w:val="24"/>
        </w:rPr>
        <w:footnoteReference w:id="111"/>
      </w:r>
    </w:p>
    <w:p w14:paraId="61692C55" w14:textId="77777777" w:rsidR="002F45D0" w:rsidRPr="002F2B00" w:rsidRDefault="002F45D0" w:rsidP="002F45D0">
      <w:pPr>
        <w:rPr>
          <w:szCs w:val="24"/>
        </w:rPr>
      </w:pPr>
    </w:p>
    <w:p w14:paraId="1AD69FAF" w14:textId="77777777" w:rsidR="002F45D0" w:rsidRPr="002F2B00" w:rsidRDefault="002F45D0" w:rsidP="00ED142E">
      <w:pPr>
        <w:pStyle w:val="ListParagraph"/>
        <w:numPr>
          <w:ilvl w:val="1"/>
          <w:numId w:val="40"/>
        </w:numPr>
        <w:rPr>
          <w:szCs w:val="24"/>
        </w:rPr>
      </w:pPr>
      <w:r w:rsidRPr="002F2B00">
        <w:rPr>
          <w:szCs w:val="24"/>
        </w:rPr>
        <w:t xml:space="preserve">The </w:t>
      </w:r>
      <w:r w:rsidRPr="002F2B00">
        <w:t>UN Principles on the Effective Prevention and Investigation of Extra-legal, Arbitrary and Summary states “those persons conducting the investigation shall have at their disposal all the necessary budgetary and technical resources for effective investigation”.</w:t>
      </w:r>
      <w:r w:rsidRPr="002F2B00">
        <w:rPr>
          <w:rStyle w:val="FootnoteReference"/>
        </w:rPr>
        <w:footnoteReference w:id="112"/>
      </w:r>
    </w:p>
    <w:p w14:paraId="09EBA608" w14:textId="77777777" w:rsidR="002F45D0" w:rsidRPr="002F2B00" w:rsidRDefault="002F45D0" w:rsidP="002F45D0">
      <w:pPr>
        <w:rPr>
          <w:b/>
          <w:szCs w:val="24"/>
        </w:rPr>
      </w:pPr>
    </w:p>
    <w:p w14:paraId="304D27CC" w14:textId="231F13E3" w:rsidR="002F45D0" w:rsidRPr="002F2B00" w:rsidRDefault="00290537" w:rsidP="00ED142E">
      <w:pPr>
        <w:pStyle w:val="ListParagraph"/>
        <w:numPr>
          <w:ilvl w:val="1"/>
          <w:numId w:val="40"/>
        </w:numPr>
        <w:rPr>
          <w:szCs w:val="24"/>
        </w:rPr>
      </w:pPr>
      <w:r w:rsidRPr="002F2B00">
        <w:rPr>
          <w:szCs w:val="24"/>
        </w:rPr>
        <w:t>T</w:t>
      </w:r>
      <w:r w:rsidR="002F45D0" w:rsidRPr="002F2B00">
        <w:rPr>
          <w:szCs w:val="24"/>
        </w:rPr>
        <w:t>o maintain “public confidence” in a State’s “adherence to the rule of law and in preventing any appearance of collusion in or tolerance of unlawful acts”, investigations into suspicious deaths must be carried out within reasonable expedition.</w:t>
      </w:r>
      <w:r w:rsidR="002F45D0" w:rsidRPr="002F2B00">
        <w:rPr>
          <w:rStyle w:val="FootnoteReference"/>
          <w:szCs w:val="24"/>
        </w:rPr>
        <w:footnoteReference w:id="113"/>
      </w:r>
      <w:r w:rsidR="002F45D0" w:rsidRPr="002F2B00">
        <w:rPr>
          <w:szCs w:val="24"/>
        </w:rPr>
        <w:t xml:space="preserve"> It is also the case that “with the passing of time, it becomes more and more difficult to gather evidence from which to determine the cause of death”.</w:t>
      </w:r>
      <w:r w:rsidR="002F45D0" w:rsidRPr="002F2B00">
        <w:rPr>
          <w:rStyle w:val="FootnoteReference"/>
          <w:szCs w:val="24"/>
        </w:rPr>
        <w:footnoteReference w:id="114"/>
      </w:r>
    </w:p>
    <w:p w14:paraId="1AFC7B01" w14:textId="77777777" w:rsidR="002F45D0" w:rsidRPr="002F2B00" w:rsidRDefault="002F45D0" w:rsidP="002F45D0">
      <w:pPr>
        <w:pStyle w:val="ListParagraph"/>
        <w:rPr>
          <w:szCs w:val="24"/>
        </w:rPr>
      </w:pPr>
    </w:p>
    <w:p w14:paraId="63078A30" w14:textId="0DA2675E" w:rsidR="002F45D0" w:rsidRPr="002F2B00" w:rsidRDefault="002F45D0" w:rsidP="00ED142E">
      <w:pPr>
        <w:pStyle w:val="ListParagraph"/>
        <w:numPr>
          <w:ilvl w:val="1"/>
          <w:numId w:val="40"/>
        </w:numPr>
        <w:rPr>
          <w:szCs w:val="24"/>
        </w:rPr>
      </w:pPr>
      <w:r w:rsidRPr="002F2B00">
        <w:rPr>
          <w:szCs w:val="24"/>
        </w:rPr>
        <w:t>What constitutes reasonable expedition is determined by the circumstances of each individual case. The ECtHR appreciates that there “may be obstacles or difficulties which prevent progress in an investigation in a particular situation”.</w:t>
      </w:r>
      <w:r w:rsidRPr="002F2B00">
        <w:rPr>
          <w:rStyle w:val="FootnoteReference"/>
          <w:szCs w:val="24"/>
        </w:rPr>
        <w:footnoteReference w:id="115"/>
      </w:r>
      <w:r w:rsidRPr="002F2B00">
        <w:rPr>
          <w:szCs w:val="24"/>
        </w:rPr>
        <w:t xml:space="preserve"> However, this “cannot relieve the authorities of their obligations under Article 2</w:t>
      </w:r>
      <w:r w:rsidR="007C5E52" w:rsidRPr="002F2B00">
        <w:rPr>
          <w:szCs w:val="24"/>
        </w:rPr>
        <w:t xml:space="preserve"> [of the ECHR]</w:t>
      </w:r>
      <w:r w:rsidRPr="002F2B00">
        <w:rPr>
          <w:szCs w:val="24"/>
        </w:rPr>
        <w:t xml:space="preserve"> to carry out an investigation”.</w:t>
      </w:r>
      <w:r w:rsidRPr="002F2B00">
        <w:rPr>
          <w:rStyle w:val="FootnoteReference"/>
          <w:szCs w:val="24"/>
        </w:rPr>
        <w:footnoteReference w:id="116"/>
      </w:r>
      <w:r w:rsidRPr="002F2B00">
        <w:rPr>
          <w:szCs w:val="24"/>
        </w:rPr>
        <w:t xml:space="preserve"> This extends to “where there are serious allegations of misconduct and infliction of unlawful harm implicating State security officers”.</w:t>
      </w:r>
      <w:r w:rsidRPr="002F2B00">
        <w:rPr>
          <w:rStyle w:val="FootnoteReference"/>
          <w:szCs w:val="24"/>
        </w:rPr>
        <w:footnoteReference w:id="117"/>
      </w:r>
      <w:r w:rsidRPr="002F2B00">
        <w:rPr>
          <w:szCs w:val="24"/>
        </w:rPr>
        <w:t xml:space="preserve"> In such instances, “it is </w:t>
      </w:r>
      <w:r w:rsidRPr="002F2B00">
        <w:rPr>
          <w:szCs w:val="24"/>
        </w:rPr>
        <w:lastRenderedPageBreak/>
        <w:t>incumbent on the authorities to respond actively and with reasonable expedition”.</w:t>
      </w:r>
      <w:r w:rsidRPr="002F2B00">
        <w:rPr>
          <w:rStyle w:val="FootnoteReference"/>
          <w:szCs w:val="24"/>
        </w:rPr>
        <w:footnoteReference w:id="118"/>
      </w:r>
      <w:r w:rsidRPr="002F2B00">
        <w:rPr>
          <w:szCs w:val="24"/>
        </w:rPr>
        <w:t xml:space="preserve"> </w:t>
      </w:r>
    </w:p>
    <w:p w14:paraId="334D2F73" w14:textId="77777777" w:rsidR="002F45D0" w:rsidRPr="002F2B00" w:rsidRDefault="002F45D0" w:rsidP="002F45D0">
      <w:pPr>
        <w:pStyle w:val="ListParagraph"/>
        <w:rPr>
          <w:szCs w:val="24"/>
        </w:rPr>
      </w:pPr>
    </w:p>
    <w:p w14:paraId="33222AB7" w14:textId="77777777" w:rsidR="002F45D0" w:rsidRPr="002F2B00" w:rsidRDefault="002F45D0" w:rsidP="00ED142E">
      <w:pPr>
        <w:pStyle w:val="ListParagraph"/>
        <w:numPr>
          <w:ilvl w:val="1"/>
          <w:numId w:val="40"/>
        </w:numPr>
        <w:rPr>
          <w:szCs w:val="24"/>
        </w:rPr>
      </w:pPr>
      <w:r w:rsidRPr="002F2B00">
        <w:rPr>
          <w:szCs w:val="24"/>
        </w:rPr>
        <w:t>The former UN Rapporteur on Extrajudicial, Summary or Arbitrary Executions, Philip Alston, supported this approach:</w:t>
      </w:r>
    </w:p>
    <w:p w14:paraId="40CD8373" w14:textId="77777777" w:rsidR="002F45D0" w:rsidRPr="002F2B00" w:rsidRDefault="002F45D0" w:rsidP="002F45D0">
      <w:pPr>
        <w:rPr>
          <w:szCs w:val="24"/>
        </w:rPr>
      </w:pPr>
    </w:p>
    <w:p w14:paraId="2738ABDE" w14:textId="77777777" w:rsidR="002F45D0" w:rsidRPr="002F2B00" w:rsidRDefault="002F45D0" w:rsidP="002F45D0">
      <w:pPr>
        <w:pStyle w:val="Quote"/>
      </w:pPr>
      <w:r w:rsidRPr="002F2B00">
        <w:t>it is undeniable that during armed conflicts circumstances will sometimes impede investigation. Such circumstances will never discharge the obligation to investigate – this would eviscerate the non-</w:t>
      </w:r>
      <w:proofErr w:type="spellStart"/>
      <w:r w:rsidRPr="002F2B00">
        <w:t>derogable</w:t>
      </w:r>
      <w:proofErr w:type="spellEnd"/>
      <w:r w:rsidRPr="002F2B00">
        <w:t xml:space="preserve"> character of the right to life – but they may affect the modalities or particulars of the investigation.</w:t>
      </w:r>
      <w:r w:rsidRPr="002F2B00">
        <w:rPr>
          <w:rStyle w:val="FootnoteReference"/>
        </w:rPr>
        <w:footnoteReference w:id="119"/>
      </w:r>
    </w:p>
    <w:p w14:paraId="44263C5D" w14:textId="77777777" w:rsidR="002F45D0" w:rsidRPr="002F2B00" w:rsidRDefault="002F45D0" w:rsidP="002F45D0">
      <w:pPr>
        <w:rPr>
          <w:szCs w:val="24"/>
        </w:rPr>
      </w:pPr>
    </w:p>
    <w:p w14:paraId="09E69807" w14:textId="77777777" w:rsidR="002F45D0" w:rsidRPr="002F2B00" w:rsidRDefault="002F45D0" w:rsidP="00ED142E">
      <w:pPr>
        <w:pStyle w:val="ListParagraph"/>
        <w:numPr>
          <w:ilvl w:val="1"/>
          <w:numId w:val="40"/>
        </w:numPr>
        <w:rPr>
          <w:szCs w:val="24"/>
        </w:rPr>
      </w:pPr>
      <w:r w:rsidRPr="002F2B00">
        <w:rPr>
          <w:szCs w:val="24"/>
        </w:rPr>
        <w:t>It is not sufficient that an investigation is pending, an investigation must be progressing to satisfy the requirement of reasonable expedition.</w:t>
      </w:r>
      <w:r w:rsidRPr="002F2B00">
        <w:rPr>
          <w:rStyle w:val="FootnoteReference"/>
          <w:szCs w:val="24"/>
        </w:rPr>
        <w:footnoteReference w:id="120"/>
      </w:r>
    </w:p>
    <w:p w14:paraId="6E62E8A8" w14:textId="77777777" w:rsidR="002F45D0" w:rsidRPr="002F2B00" w:rsidRDefault="002F45D0" w:rsidP="002F45D0">
      <w:pPr>
        <w:pStyle w:val="ListParagraph"/>
        <w:rPr>
          <w:szCs w:val="24"/>
        </w:rPr>
      </w:pPr>
    </w:p>
    <w:p w14:paraId="70177084" w14:textId="5651E619" w:rsidR="007B4A95" w:rsidRPr="002F2B00" w:rsidRDefault="002F45D0" w:rsidP="00ED142E">
      <w:pPr>
        <w:pStyle w:val="ListParagraph"/>
        <w:numPr>
          <w:ilvl w:val="1"/>
          <w:numId w:val="40"/>
        </w:numPr>
        <w:rPr>
          <w:szCs w:val="24"/>
        </w:rPr>
      </w:pPr>
      <w:r w:rsidRPr="002F2B00">
        <w:rPr>
          <w:szCs w:val="24"/>
        </w:rPr>
        <w:t xml:space="preserve">The </w:t>
      </w:r>
      <w:r w:rsidR="006124A6" w:rsidRPr="002F2B00">
        <w:rPr>
          <w:szCs w:val="24"/>
        </w:rPr>
        <w:t xml:space="preserve">UN </w:t>
      </w:r>
      <w:r w:rsidRPr="002F2B00">
        <w:rPr>
          <w:szCs w:val="24"/>
        </w:rPr>
        <w:t>Revised Minnesota Protocol confirms that “the duty of promptness does not justify a rushed or unduly hurried investigation”.</w:t>
      </w:r>
      <w:r w:rsidRPr="002F2B00">
        <w:rPr>
          <w:rStyle w:val="FootnoteReference"/>
          <w:szCs w:val="24"/>
        </w:rPr>
        <w:footnoteReference w:id="121"/>
      </w:r>
    </w:p>
    <w:p w14:paraId="6BEE8CC6" w14:textId="77777777" w:rsidR="002F5A4D" w:rsidRPr="002F2B00" w:rsidRDefault="002F5A4D" w:rsidP="00E51BF1"/>
    <w:p w14:paraId="12DAD8B1" w14:textId="06AE2113" w:rsidR="004810CC" w:rsidRPr="002F2B00" w:rsidRDefault="00E81A28" w:rsidP="00ED142E">
      <w:pPr>
        <w:pStyle w:val="ListParagraph"/>
        <w:numPr>
          <w:ilvl w:val="1"/>
          <w:numId w:val="40"/>
        </w:numPr>
        <w:rPr>
          <w:rFonts w:cs="Arial"/>
        </w:rPr>
      </w:pPr>
      <w:r w:rsidRPr="002F2B00">
        <w:t xml:space="preserve">The undue delays </w:t>
      </w:r>
      <w:r w:rsidR="00DD19F4" w:rsidRPr="002F2B00">
        <w:t>in commencing and progressing</w:t>
      </w:r>
      <w:r w:rsidR="00983201" w:rsidRPr="002F2B00">
        <w:t xml:space="preserve"> human rights compliant investigations regarding the Troubles thus far </w:t>
      </w:r>
      <w:r w:rsidR="00DD19F4" w:rsidRPr="002F2B00">
        <w:t>constitute ongoing violations of Articles 2 and 3 of the ECHR.</w:t>
      </w:r>
      <w:r w:rsidR="006B6D14" w:rsidRPr="002F2B00">
        <w:rPr>
          <w:rStyle w:val="FootnoteReference"/>
        </w:rPr>
        <w:footnoteReference w:id="122"/>
      </w:r>
      <w:r w:rsidR="00555D73" w:rsidRPr="002F2B00">
        <w:t xml:space="preserve"> The main way to address these violations is to </w:t>
      </w:r>
      <w:r w:rsidR="00D26B53" w:rsidRPr="002F2B00">
        <w:t xml:space="preserve">commence the necessary investigations as soon as possible. </w:t>
      </w:r>
      <w:r w:rsidR="00DD0B5E" w:rsidRPr="002F2B00">
        <w:t xml:space="preserve">However, the procedural obligations attached to Articles 2 and 3 of the ECHR are interlinked. Immediate commencement of an investigation will not be human rights compliant if the investigation being undertaken is </w:t>
      </w:r>
      <w:r w:rsidR="00A171D7" w:rsidRPr="002F2B00">
        <w:t xml:space="preserve">not thorough or does not satisfy </w:t>
      </w:r>
      <w:r w:rsidR="00C06037" w:rsidRPr="002F2B00">
        <w:t xml:space="preserve">the intended purpose of a human </w:t>
      </w:r>
      <w:proofErr w:type="gramStart"/>
      <w:r w:rsidR="00C06037" w:rsidRPr="002F2B00">
        <w:t>rights</w:t>
      </w:r>
      <w:proofErr w:type="gramEnd"/>
      <w:r w:rsidR="00C06037" w:rsidRPr="002F2B00">
        <w:t xml:space="preserve"> compliant investigation</w:t>
      </w:r>
      <w:r w:rsidR="00DD0B5E" w:rsidRPr="002F2B00">
        <w:t xml:space="preserve"> for example. </w:t>
      </w:r>
      <w:r w:rsidR="00130C6B" w:rsidRPr="002F2B00">
        <w:t xml:space="preserve">Consequently, </w:t>
      </w:r>
      <w:r w:rsidR="00402A53" w:rsidRPr="002F2B00">
        <w:t>being subject to a watched clock</w:t>
      </w:r>
      <w:r w:rsidR="00DD19F4" w:rsidRPr="002F2B00">
        <w:t xml:space="preserve"> </w:t>
      </w:r>
      <w:r w:rsidR="006B3508" w:rsidRPr="002F2B00">
        <w:t xml:space="preserve">cannot be a reason or justification to </w:t>
      </w:r>
      <w:r w:rsidR="23C6E28F" w:rsidRPr="002F2B00">
        <w:t xml:space="preserve">rush </w:t>
      </w:r>
      <w:r w:rsidR="006B3508" w:rsidRPr="002F2B00">
        <w:t xml:space="preserve">legislation </w:t>
      </w:r>
      <w:r w:rsidR="23C6E28F" w:rsidRPr="002F2B00">
        <w:t>through without meaningful consultation or the backing of victims and survivors.</w:t>
      </w:r>
      <w:r w:rsidR="54976AE0" w:rsidRPr="002F2B00">
        <w:t xml:space="preserve"> </w:t>
      </w:r>
      <w:r w:rsidR="23C6E28F" w:rsidRPr="002F2B00">
        <w:t>T</w:t>
      </w:r>
      <w:r w:rsidR="63B5E7F8" w:rsidRPr="002F2B00">
        <w:t xml:space="preserve">he </w:t>
      </w:r>
      <w:proofErr w:type="spellStart"/>
      <w:r w:rsidR="00AA6199" w:rsidRPr="002F2B00">
        <w:t>CoE</w:t>
      </w:r>
      <w:proofErr w:type="spellEnd"/>
      <w:r w:rsidR="00AA6199" w:rsidRPr="002F2B00">
        <w:t xml:space="preserve"> </w:t>
      </w:r>
      <w:r w:rsidR="63B5E7F8" w:rsidRPr="002F2B00">
        <w:t xml:space="preserve">Venice Commission </w:t>
      </w:r>
      <w:r w:rsidR="14315D51" w:rsidRPr="002F2B00">
        <w:lastRenderedPageBreak/>
        <w:t>requires that the process for making laws is “transparent, accountable, inclusive and democratic”.</w:t>
      </w:r>
      <w:r w:rsidR="002F0485" w:rsidRPr="002F2B00">
        <w:rPr>
          <w:rStyle w:val="FootnoteReference"/>
        </w:rPr>
        <w:footnoteReference w:id="123"/>
      </w:r>
      <w:r w:rsidR="14315D51" w:rsidRPr="002F2B00">
        <w:t xml:space="preserve"> </w:t>
      </w:r>
      <w:r w:rsidR="170A3D1E" w:rsidRPr="002F2B00">
        <w:t xml:space="preserve">The Explanatory Notes to the </w:t>
      </w:r>
      <w:r w:rsidR="00413160" w:rsidRPr="002F2B00">
        <w:t xml:space="preserve">present </w:t>
      </w:r>
      <w:r w:rsidR="170A3D1E" w:rsidRPr="002F2B00">
        <w:t>Bill state that the Bill “builds on the principles and other aspects of the Stormont House Agreement.”</w:t>
      </w:r>
      <w:r w:rsidR="000C7F45" w:rsidRPr="002F2B00">
        <w:rPr>
          <w:vertAlign w:val="superscript"/>
        </w:rPr>
        <w:footnoteReference w:id="124"/>
      </w:r>
      <w:r w:rsidR="57073EC1" w:rsidRPr="002F2B00">
        <w:t xml:space="preserve"> T</w:t>
      </w:r>
      <w:r w:rsidR="170A3D1E" w:rsidRPr="002F2B00">
        <w:t>h</w:t>
      </w:r>
      <w:r w:rsidR="0085090B" w:rsidRPr="002F2B00">
        <w:t>e current draft of this</w:t>
      </w:r>
      <w:r w:rsidR="170A3D1E" w:rsidRPr="002F2B00">
        <w:t xml:space="preserve"> Bill bears very little similarity to the S</w:t>
      </w:r>
      <w:r w:rsidR="036EB215" w:rsidRPr="002F2B00">
        <w:t xml:space="preserve">tormont </w:t>
      </w:r>
      <w:r w:rsidR="170A3D1E" w:rsidRPr="002F2B00">
        <w:t>H</w:t>
      </w:r>
      <w:r w:rsidR="036EB215" w:rsidRPr="002F2B00">
        <w:t xml:space="preserve">ouse </w:t>
      </w:r>
      <w:r w:rsidR="170A3D1E" w:rsidRPr="002F2B00">
        <w:t>A</w:t>
      </w:r>
      <w:r w:rsidR="036EB215" w:rsidRPr="002F2B00">
        <w:t>greement</w:t>
      </w:r>
      <w:r w:rsidR="170A3D1E" w:rsidRPr="002F2B00">
        <w:t xml:space="preserve">. </w:t>
      </w:r>
      <w:r w:rsidR="036EB215" w:rsidRPr="002F2B00">
        <w:t>Furthermore, the consultation on a</w:t>
      </w:r>
      <w:r w:rsidR="170A3D1E" w:rsidRPr="002F2B00">
        <w:t xml:space="preserve"> previous </w:t>
      </w:r>
      <w:r w:rsidR="4A33DD72" w:rsidRPr="002F2B00">
        <w:t xml:space="preserve">legacy Bill </w:t>
      </w:r>
      <w:r w:rsidR="1424E14A" w:rsidRPr="002F2B00">
        <w:t>which</w:t>
      </w:r>
      <w:r w:rsidR="170A3D1E" w:rsidRPr="002F2B00">
        <w:t xml:space="preserve"> received </w:t>
      </w:r>
      <w:r w:rsidR="4A33DD72" w:rsidRPr="002F2B00">
        <w:t xml:space="preserve">a response </w:t>
      </w:r>
      <w:r w:rsidR="170A3D1E" w:rsidRPr="002F2B00">
        <w:t xml:space="preserve">from </w:t>
      </w:r>
      <w:r w:rsidR="4A33DD72" w:rsidRPr="002F2B00">
        <w:t xml:space="preserve">17,000 </w:t>
      </w:r>
      <w:r w:rsidR="170A3D1E" w:rsidRPr="002F2B00">
        <w:t xml:space="preserve">stakeholders, if </w:t>
      </w:r>
      <w:proofErr w:type="gramStart"/>
      <w:r w:rsidR="170A3D1E" w:rsidRPr="002F2B00">
        <w:t>taken into account</w:t>
      </w:r>
      <w:proofErr w:type="gramEnd"/>
      <w:r w:rsidR="170A3D1E" w:rsidRPr="002F2B00">
        <w:t xml:space="preserve">, would have dictated that this Bill </w:t>
      </w:r>
      <w:r w:rsidR="00697BC9" w:rsidRPr="002F2B00">
        <w:t xml:space="preserve">in its current form </w:t>
      </w:r>
      <w:r w:rsidR="170A3D1E" w:rsidRPr="002F2B00">
        <w:t>did not proceed.</w:t>
      </w:r>
      <w:r w:rsidR="170A3D1E" w:rsidRPr="002F2B00">
        <w:rPr>
          <w:rFonts w:cs="Arial"/>
        </w:rPr>
        <w:t xml:space="preserve"> </w:t>
      </w:r>
    </w:p>
    <w:p w14:paraId="15754915" w14:textId="6B9E6280" w:rsidR="00E51BF1" w:rsidRPr="002F2B00" w:rsidRDefault="00E51BF1" w:rsidP="00E51BF1">
      <w:pPr>
        <w:pStyle w:val="ListParagraph"/>
      </w:pPr>
    </w:p>
    <w:p w14:paraId="2FFFD211" w14:textId="36F1A43C" w:rsidR="007B4A95" w:rsidRPr="002F2B00" w:rsidRDefault="007B4A95" w:rsidP="00ED142E">
      <w:pPr>
        <w:pStyle w:val="ListParagraph"/>
        <w:numPr>
          <w:ilvl w:val="1"/>
          <w:numId w:val="40"/>
        </w:numPr>
        <w:rPr>
          <w:b/>
        </w:rPr>
      </w:pPr>
      <w:r w:rsidRPr="002F2B00">
        <w:rPr>
          <w:b/>
        </w:rPr>
        <w:t xml:space="preserve">The NIHRC advises that </w:t>
      </w:r>
      <w:r w:rsidRPr="002F2B00">
        <w:rPr>
          <w:b/>
          <w:bCs/>
        </w:rPr>
        <w:t xml:space="preserve">the requirement to conduct reasonably prompt and expeditious investigations </w:t>
      </w:r>
      <w:r w:rsidR="006B3508" w:rsidRPr="002F2B00">
        <w:rPr>
          <w:b/>
          <w:bCs/>
        </w:rPr>
        <w:t xml:space="preserve">cannot be </w:t>
      </w:r>
      <w:r w:rsidRPr="002F2B00">
        <w:rPr>
          <w:b/>
          <w:bCs/>
        </w:rPr>
        <w:t xml:space="preserve">a reason for </w:t>
      </w:r>
      <w:r w:rsidR="006B3508" w:rsidRPr="002F2B00">
        <w:rPr>
          <w:b/>
          <w:bCs/>
        </w:rPr>
        <w:t>legislation</w:t>
      </w:r>
      <w:r w:rsidRPr="002F2B00">
        <w:rPr>
          <w:b/>
          <w:bCs/>
        </w:rPr>
        <w:t xml:space="preserve"> to be rushed through without meaningful consultation or the </w:t>
      </w:r>
      <w:r w:rsidR="00D577BC" w:rsidRPr="002F2B00">
        <w:rPr>
          <w:b/>
          <w:bCs/>
        </w:rPr>
        <w:t xml:space="preserve">support </w:t>
      </w:r>
      <w:r w:rsidRPr="002F2B00">
        <w:rPr>
          <w:b/>
          <w:bCs/>
        </w:rPr>
        <w:t>of victims and survivors.</w:t>
      </w:r>
      <w:r w:rsidR="00F807FB" w:rsidRPr="002F2B00">
        <w:rPr>
          <w:b/>
          <w:bCs/>
        </w:rPr>
        <w:t xml:space="preserve"> </w:t>
      </w:r>
      <w:r w:rsidR="00996DE6" w:rsidRPr="002F2B00">
        <w:rPr>
          <w:b/>
          <w:bCs/>
        </w:rPr>
        <w:t xml:space="preserve">Additionally, the speed of the process is peripheral if the other aspects of the procedural obligations of the right to life and freedom from torture are not met, particularly that investigations are thorough, </w:t>
      </w:r>
      <w:proofErr w:type="gramStart"/>
      <w:r w:rsidR="00996DE6" w:rsidRPr="002F2B00">
        <w:rPr>
          <w:b/>
          <w:bCs/>
        </w:rPr>
        <w:t>independent</w:t>
      </w:r>
      <w:proofErr w:type="gramEnd"/>
      <w:r w:rsidR="00996DE6" w:rsidRPr="002F2B00">
        <w:rPr>
          <w:b/>
          <w:bCs/>
        </w:rPr>
        <w:t xml:space="preserve"> and impartial.</w:t>
      </w:r>
      <w:r w:rsidR="00B33C6C" w:rsidRPr="002F2B00">
        <w:rPr>
          <w:b/>
          <w:bCs/>
        </w:rPr>
        <w:t xml:space="preserve"> </w:t>
      </w:r>
      <w:r w:rsidR="003865B7" w:rsidRPr="002F2B00">
        <w:rPr>
          <w:b/>
          <w:bCs/>
        </w:rPr>
        <w:t>That said</w:t>
      </w:r>
      <w:r w:rsidR="00B33C6C" w:rsidRPr="002F2B00">
        <w:rPr>
          <w:b/>
          <w:bCs/>
        </w:rPr>
        <w:t xml:space="preserve">, </w:t>
      </w:r>
      <w:r w:rsidR="00064FCA" w:rsidRPr="002F2B00">
        <w:rPr>
          <w:b/>
          <w:bCs/>
        </w:rPr>
        <w:t>immediate concrete steps should be taken to address these issues for the purpose of progressing offences that are awaiting a human rights compliant investigation.</w:t>
      </w:r>
    </w:p>
    <w:p w14:paraId="53E5A200" w14:textId="77777777" w:rsidR="002F45D0" w:rsidRPr="002F2B00" w:rsidRDefault="002F45D0" w:rsidP="002F45D0">
      <w:pPr>
        <w:pStyle w:val="ListParagraph"/>
        <w:rPr>
          <w:b/>
          <w:szCs w:val="24"/>
        </w:rPr>
      </w:pPr>
    </w:p>
    <w:p w14:paraId="3DEE38D7" w14:textId="6AEF83DD" w:rsidR="001B2082" w:rsidRPr="002F2B00" w:rsidRDefault="001B2082" w:rsidP="005F3DF3">
      <w:pPr>
        <w:pStyle w:val="Heading2"/>
      </w:pPr>
      <w:bookmarkStart w:id="13" w:name="_Toc523318871"/>
      <w:bookmarkStart w:id="14" w:name="_Toc113517949"/>
      <w:bookmarkEnd w:id="11"/>
      <w:r w:rsidRPr="002F2B00">
        <w:t>Public Scrutiny</w:t>
      </w:r>
      <w:bookmarkEnd w:id="13"/>
      <w:bookmarkEnd w:id="14"/>
    </w:p>
    <w:p w14:paraId="6DB5012D" w14:textId="3EFC80F3" w:rsidR="00173082" w:rsidRPr="002F2B00" w:rsidRDefault="00173082" w:rsidP="00173082">
      <w:pPr>
        <w:pStyle w:val="Heading3"/>
      </w:pPr>
      <w:bookmarkStart w:id="15" w:name="_Toc113517950"/>
      <w:r w:rsidRPr="002F2B00">
        <w:t>Non-disclosure</w:t>
      </w:r>
      <w:bookmarkEnd w:id="15"/>
    </w:p>
    <w:p w14:paraId="77EBD20D" w14:textId="77777777" w:rsidR="00FE2C2B" w:rsidRPr="002F2B00" w:rsidRDefault="00FE2C2B" w:rsidP="00FE2C2B"/>
    <w:p w14:paraId="56414315" w14:textId="77777777" w:rsidR="00173082" w:rsidRPr="002F2B00" w:rsidRDefault="00173082" w:rsidP="00173082">
      <w:pPr>
        <w:pStyle w:val="ListParagraph"/>
        <w:numPr>
          <w:ilvl w:val="1"/>
          <w:numId w:val="23"/>
        </w:numPr>
        <w:rPr>
          <w:vanish/>
        </w:rPr>
      </w:pPr>
    </w:p>
    <w:p w14:paraId="56FCB508" w14:textId="5726DE5B" w:rsidR="00FE2C2B" w:rsidRPr="002F2B00" w:rsidRDefault="00E3330E" w:rsidP="00ED142E">
      <w:pPr>
        <w:pStyle w:val="ListParagraph"/>
        <w:numPr>
          <w:ilvl w:val="1"/>
          <w:numId w:val="40"/>
        </w:numPr>
        <w:rPr>
          <w:szCs w:val="24"/>
        </w:rPr>
      </w:pPr>
      <w:r w:rsidRPr="002F2B00">
        <w:rPr>
          <w:szCs w:val="24"/>
        </w:rPr>
        <w:t>Article 2 of the</w:t>
      </w:r>
      <w:r w:rsidR="00FE2C2B" w:rsidRPr="002F2B00">
        <w:rPr>
          <w:szCs w:val="24"/>
        </w:rPr>
        <w:t xml:space="preserve"> ECHR</w:t>
      </w:r>
      <w:r w:rsidRPr="002F2B00">
        <w:rPr>
          <w:szCs w:val="24"/>
        </w:rPr>
        <w:t xml:space="preserve"> </w:t>
      </w:r>
      <w:r w:rsidR="00FE2C2B" w:rsidRPr="002F2B00">
        <w:rPr>
          <w:szCs w:val="24"/>
        </w:rPr>
        <w:t>requires that an investigation into a suspicious death and its results must be subject to sufficient public scrutiny,</w:t>
      </w:r>
      <w:r w:rsidR="00FE2C2B" w:rsidRPr="002F2B00">
        <w:rPr>
          <w:rStyle w:val="FootnoteReference"/>
          <w:szCs w:val="24"/>
        </w:rPr>
        <w:footnoteReference w:id="125"/>
      </w:r>
      <w:r w:rsidR="00FE2C2B" w:rsidRPr="002F2B00">
        <w:rPr>
          <w:szCs w:val="24"/>
        </w:rPr>
        <w:t xml:space="preserve"> the degree of which varies from case to case.</w:t>
      </w:r>
      <w:r w:rsidR="00FE2C2B" w:rsidRPr="002F2B00">
        <w:rPr>
          <w:rStyle w:val="FootnoteReference"/>
          <w:szCs w:val="24"/>
        </w:rPr>
        <w:footnoteReference w:id="126"/>
      </w:r>
      <w:r w:rsidR="00FE2C2B" w:rsidRPr="002F2B00">
        <w:rPr>
          <w:szCs w:val="24"/>
        </w:rPr>
        <w:t xml:space="preserve"> In all investigations into a suspicious death, the next-of-kin of the victim must be involved in the procedure “to the extent necessary to safeguard his or her legitimate interests”.</w:t>
      </w:r>
      <w:r w:rsidR="00FE2C2B" w:rsidRPr="002F2B00">
        <w:rPr>
          <w:rStyle w:val="FootnoteReference"/>
          <w:szCs w:val="24"/>
        </w:rPr>
        <w:footnoteReference w:id="127"/>
      </w:r>
      <w:r w:rsidR="00FE2C2B" w:rsidRPr="002F2B00">
        <w:rPr>
          <w:szCs w:val="24"/>
        </w:rPr>
        <w:t xml:space="preserve"> This does not provide families with the automatic right to have access to police files or any other information that they request.</w:t>
      </w:r>
      <w:r w:rsidR="00FE2C2B" w:rsidRPr="002F2B00">
        <w:rPr>
          <w:rStyle w:val="FootnoteReference"/>
          <w:szCs w:val="24"/>
        </w:rPr>
        <w:footnoteReference w:id="128"/>
      </w:r>
      <w:r w:rsidR="00FE2C2B" w:rsidRPr="002F2B00">
        <w:rPr>
          <w:szCs w:val="24"/>
        </w:rPr>
        <w:t xml:space="preserve"> It also does not require families to </w:t>
      </w:r>
      <w:r w:rsidR="00FE2C2B" w:rsidRPr="002F2B00">
        <w:rPr>
          <w:szCs w:val="24"/>
        </w:rPr>
        <w:lastRenderedPageBreak/>
        <w:t>be kept informed throughout the investigation.</w:t>
      </w:r>
      <w:r w:rsidR="00FE2C2B" w:rsidRPr="002F2B00">
        <w:rPr>
          <w:rStyle w:val="FootnoteReference"/>
          <w:szCs w:val="24"/>
        </w:rPr>
        <w:footnoteReference w:id="129"/>
      </w:r>
      <w:r w:rsidR="00FE2C2B" w:rsidRPr="002F2B00">
        <w:rPr>
          <w:szCs w:val="24"/>
        </w:rPr>
        <w:t xml:space="preserve"> This is on the basis that such information may involve sensitive issues with possible prejudicial effect to private individuals or other investigations.</w:t>
      </w:r>
      <w:r w:rsidR="00FE2C2B" w:rsidRPr="002F2B00">
        <w:rPr>
          <w:rStyle w:val="FootnoteReference"/>
          <w:szCs w:val="24"/>
        </w:rPr>
        <w:footnoteReference w:id="130"/>
      </w:r>
      <w:r w:rsidR="00FE2C2B" w:rsidRPr="002F2B00">
        <w:rPr>
          <w:szCs w:val="24"/>
        </w:rPr>
        <w:t xml:space="preserve"> </w:t>
      </w:r>
      <w:r w:rsidR="00FE2C2B" w:rsidRPr="002F2B00">
        <w:t>When</w:t>
      </w:r>
      <w:r w:rsidR="00FE2C2B" w:rsidRPr="002F2B00">
        <w:rPr>
          <w:szCs w:val="24"/>
        </w:rPr>
        <w:t xml:space="preserve"> families’ access to information is restricted they must be provided with access at “other stages of the available procedures”.</w:t>
      </w:r>
      <w:r w:rsidR="00FE2C2B" w:rsidRPr="002F2B00">
        <w:rPr>
          <w:rStyle w:val="FootnoteReference"/>
          <w:szCs w:val="24"/>
        </w:rPr>
        <w:footnoteReference w:id="131"/>
      </w:r>
      <w:r w:rsidR="00FE2C2B" w:rsidRPr="002F2B00">
        <w:rPr>
          <w:szCs w:val="24"/>
        </w:rPr>
        <w:t xml:space="preserve"> Victims must not be denied access to information “for no valid reason”.</w:t>
      </w:r>
      <w:r w:rsidR="00FE2C2B" w:rsidRPr="002F2B00">
        <w:rPr>
          <w:rStyle w:val="FootnoteReference"/>
          <w:szCs w:val="24"/>
        </w:rPr>
        <w:footnoteReference w:id="132"/>
      </w:r>
    </w:p>
    <w:p w14:paraId="37B9C67A" w14:textId="77777777" w:rsidR="00FE2C2B" w:rsidRPr="002F2B00" w:rsidRDefault="00FE2C2B" w:rsidP="00FE2C2B">
      <w:pPr>
        <w:pStyle w:val="ListParagraph"/>
        <w:rPr>
          <w:szCs w:val="24"/>
        </w:rPr>
      </w:pPr>
    </w:p>
    <w:p w14:paraId="143E7069" w14:textId="52EF2611" w:rsidR="00FE2C2B" w:rsidRPr="002F2B00" w:rsidRDefault="00FE2C2B" w:rsidP="00ED142E">
      <w:pPr>
        <w:pStyle w:val="ListParagraph"/>
        <w:numPr>
          <w:ilvl w:val="1"/>
          <w:numId w:val="40"/>
        </w:numPr>
        <w:rPr>
          <w:szCs w:val="24"/>
        </w:rPr>
      </w:pPr>
      <w:r w:rsidRPr="002F2B00">
        <w:rPr>
          <w:szCs w:val="24"/>
        </w:rPr>
        <w:t xml:space="preserve">The ECHR’s jurisprudence clarifies that at </w:t>
      </w:r>
      <w:r w:rsidR="00885CFE" w:rsidRPr="002F2B00">
        <w:rPr>
          <w:szCs w:val="24"/>
        </w:rPr>
        <w:t xml:space="preserve">a </w:t>
      </w:r>
      <w:r w:rsidRPr="002F2B00">
        <w:rPr>
          <w:szCs w:val="24"/>
        </w:rPr>
        <w:t>minimum, the next-of-kin must be informed of a decision regarding prosecution,</w:t>
      </w:r>
      <w:r w:rsidRPr="002F2B00">
        <w:rPr>
          <w:rStyle w:val="FootnoteReference"/>
          <w:szCs w:val="24"/>
        </w:rPr>
        <w:footnoteReference w:id="133"/>
      </w:r>
      <w:r w:rsidRPr="002F2B00">
        <w:rPr>
          <w:szCs w:val="24"/>
        </w:rPr>
        <w:t xml:space="preserve"> cannot be prohibited outright from access to the investigation and court documents,</w:t>
      </w:r>
      <w:r w:rsidRPr="002F2B00">
        <w:rPr>
          <w:rStyle w:val="FootnoteReference"/>
          <w:szCs w:val="24"/>
        </w:rPr>
        <w:footnoteReference w:id="134"/>
      </w:r>
      <w:r w:rsidRPr="002F2B00">
        <w:rPr>
          <w:szCs w:val="24"/>
        </w:rPr>
        <w:t xml:space="preserve"> and must be given the opportunity to tell the court their version of events.</w:t>
      </w:r>
      <w:r w:rsidRPr="002F2B00">
        <w:rPr>
          <w:rStyle w:val="FootnoteReference"/>
          <w:szCs w:val="24"/>
        </w:rPr>
        <w:footnoteReference w:id="135"/>
      </w:r>
    </w:p>
    <w:p w14:paraId="3A6B252A" w14:textId="77777777" w:rsidR="00FE2C2B" w:rsidRPr="002F2B00" w:rsidRDefault="00FE2C2B" w:rsidP="00FE2C2B">
      <w:pPr>
        <w:pStyle w:val="ListParagraph"/>
      </w:pPr>
    </w:p>
    <w:p w14:paraId="3F3FE267" w14:textId="77777777" w:rsidR="000761F8" w:rsidRPr="002F2B00" w:rsidRDefault="00397440" w:rsidP="00ED142E">
      <w:pPr>
        <w:pStyle w:val="ListParagraph"/>
        <w:numPr>
          <w:ilvl w:val="1"/>
          <w:numId w:val="40"/>
        </w:numPr>
        <w:rPr>
          <w:szCs w:val="24"/>
        </w:rPr>
      </w:pPr>
      <w:r w:rsidRPr="002F2B00">
        <w:t>Non-disclosure of</w:t>
      </w:r>
      <w:r w:rsidR="00173082" w:rsidRPr="002F2B00">
        <w:t xml:space="preserve"> information by the State engage</w:t>
      </w:r>
      <w:r w:rsidRPr="002F2B00">
        <w:t>s</w:t>
      </w:r>
      <w:r w:rsidR="00173082" w:rsidRPr="002F2B00">
        <w:t xml:space="preserve"> </w:t>
      </w:r>
      <w:r w:rsidRPr="002F2B00">
        <w:t>Article 10 of the ECHR (</w:t>
      </w:r>
      <w:r w:rsidR="00173082" w:rsidRPr="002F2B00">
        <w:t>right to freedom of expression</w:t>
      </w:r>
      <w:r w:rsidRPr="002F2B00">
        <w:t xml:space="preserve">) and </w:t>
      </w:r>
      <w:r w:rsidR="002164CB" w:rsidRPr="002F2B00">
        <w:t>Article 8 (</w:t>
      </w:r>
      <w:r w:rsidRPr="002F2B00">
        <w:t xml:space="preserve">the right to </w:t>
      </w:r>
      <w:r w:rsidR="002164CB" w:rsidRPr="002F2B00">
        <w:t xml:space="preserve">respect for </w:t>
      </w:r>
      <w:r w:rsidRPr="002F2B00">
        <w:t>private and family life</w:t>
      </w:r>
      <w:r w:rsidR="002164CB" w:rsidRPr="002F2B00">
        <w:t>). These rights are protected by a range of other human rights treaties.</w:t>
      </w:r>
      <w:r w:rsidR="002164CB" w:rsidRPr="002F2B00">
        <w:rPr>
          <w:rStyle w:val="FootnoteReference"/>
        </w:rPr>
        <w:footnoteReference w:id="136"/>
      </w:r>
      <w:r w:rsidR="00173082" w:rsidRPr="002F2B00">
        <w:t xml:space="preserve"> </w:t>
      </w:r>
    </w:p>
    <w:p w14:paraId="10DD6F8C" w14:textId="77777777" w:rsidR="000761F8" w:rsidRPr="002F2B00" w:rsidRDefault="000761F8" w:rsidP="000761F8">
      <w:pPr>
        <w:pStyle w:val="ListParagraph"/>
      </w:pPr>
    </w:p>
    <w:p w14:paraId="37432578" w14:textId="4FCDE604" w:rsidR="00173082" w:rsidRPr="002F2B00" w:rsidRDefault="00173082" w:rsidP="00ED142E">
      <w:pPr>
        <w:pStyle w:val="ListParagraph"/>
        <w:numPr>
          <w:ilvl w:val="1"/>
          <w:numId w:val="40"/>
        </w:numPr>
        <w:rPr>
          <w:szCs w:val="24"/>
        </w:rPr>
      </w:pPr>
      <w:r w:rsidRPr="002F2B00">
        <w:t>The ECtHR has found that determinations of national security threats must not be arbitrary and must contain sufficient safeguards for the individual. It has found that:</w:t>
      </w:r>
    </w:p>
    <w:p w14:paraId="2FF113C0" w14:textId="77777777" w:rsidR="00FE2C2B" w:rsidRPr="002F2B00" w:rsidRDefault="00FE2C2B" w:rsidP="00FE2C2B">
      <w:pPr>
        <w:pStyle w:val="ListParagraph"/>
        <w:numPr>
          <w:ilvl w:val="1"/>
          <w:numId w:val="23"/>
        </w:numPr>
        <w:rPr>
          <w:vanish/>
        </w:rPr>
      </w:pPr>
    </w:p>
    <w:p w14:paraId="71B6A960" w14:textId="078CC8E8" w:rsidR="000761F8" w:rsidRPr="002F2B00" w:rsidRDefault="000761F8" w:rsidP="000761F8"/>
    <w:p w14:paraId="1B0CB51E" w14:textId="77777777" w:rsidR="000761F8" w:rsidRPr="002F2B00" w:rsidRDefault="000761F8" w:rsidP="00C04BF5">
      <w:pPr>
        <w:pStyle w:val="Quote"/>
      </w:pPr>
      <w:r w:rsidRPr="002F2B00">
        <w:t>where the implementation of the law consists of secret measures, not open to scrutiny by the individuals concerned or by the public at large, the law itself, as opposed to the accompanying administrative practice, must indicate the scope of any discretion conferred on the competent authority with sufficient clarity, having regard to the legitimate aim of the measure in question, to give the individual adequate protection against arbitrary interference.</w:t>
      </w:r>
      <w:r w:rsidRPr="002F2B00">
        <w:rPr>
          <w:vertAlign w:val="superscript"/>
        </w:rPr>
        <w:footnoteReference w:id="137"/>
      </w:r>
    </w:p>
    <w:p w14:paraId="3F0417AA" w14:textId="77777777" w:rsidR="000761F8" w:rsidRPr="002F2B00" w:rsidRDefault="000761F8" w:rsidP="000761F8"/>
    <w:p w14:paraId="2D239156" w14:textId="70D50A3D" w:rsidR="00173082" w:rsidRPr="002F2B00" w:rsidRDefault="000761F8" w:rsidP="000761F8">
      <w:r w:rsidRPr="002F2B00">
        <w:lastRenderedPageBreak/>
        <w:t>2.</w:t>
      </w:r>
      <w:r w:rsidR="00041C28" w:rsidRPr="002F2B00">
        <w:t>7</w:t>
      </w:r>
      <w:r w:rsidR="001805EF">
        <w:t>5</w:t>
      </w:r>
      <w:r w:rsidR="00EF2A10" w:rsidRPr="002F2B00">
        <w:tab/>
      </w:r>
      <w:r w:rsidR="00173082" w:rsidRPr="002F2B00">
        <w:t>The ECtHR also holds that the rule of law requires that:</w:t>
      </w:r>
    </w:p>
    <w:p w14:paraId="488B5FE4" w14:textId="77777777" w:rsidR="00173082" w:rsidRPr="002F2B00" w:rsidRDefault="00173082" w:rsidP="00173082">
      <w:pPr>
        <w:ind w:left="709"/>
        <w:contextualSpacing/>
      </w:pPr>
    </w:p>
    <w:p w14:paraId="25EA8AE4" w14:textId="77777777" w:rsidR="00173082" w:rsidRPr="002F2B00" w:rsidRDefault="00173082" w:rsidP="00173082">
      <w:pPr>
        <w:pStyle w:val="Quote"/>
      </w:pPr>
      <w:r w:rsidRPr="002F2B00">
        <w:t xml:space="preserve">measures affecting fundamental human rights must be subject to some form of adversarial proceedings before an independent body competent to review the reasons for the decision and relevant evidence, if need </w:t>
      </w:r>
      <w:proofErr w:type="gramStart"/>
      <w:r w:rsidRPr="002F2B00">
        <w:t>be</w:t>
      </w:r>
      <w:proofErr w:type="gramEnd"/>
      <w:r w:rsidRPr="002F2B00">
        <w:t xml:space="preserve"> with appropriate procedural adjustments related to the use of classified information.</w:t>
      </w:r>
      <w:r w:rsidRPr="002F2B00">
        <w:rPr>
          <w:vertAlign w:val="superscript"/>
        </w:rPr>
        <w:footnoteReference w:id="138"/>
      </w:r>
      <w:r w:rsidRPr="002F2B00">
        <w:t xml:space="preserve"> </w:t>
      </w:r>
    </w:p>
    <w:p w14:paraId="31DF173C" w14:textId="77777777" w:rsidR="00173082" w:rsidRPr="002F2B00" w:rsidRDefault="00173082" w:rsidP="00173082">
      <w:pPr>
        <w:ind w:left="709"/>
        <w:contextualSpacing/>
      </w:pPr>
    </w:p>
    <w:p w14:paraId="568B1A6F" w14:textId="106CB7D0" w:rsidR="00173082" w:rsidRPr="002F2B00" w:rsidRDefault="00CD7FF5" w:rsidP="00FE2C2B">
      <w:pPr>
        <w:contextualSpacing/>
      </w:pPr>
      <w:r w:rsidRPr="002F2B00">
        <w:t>2.</w:t>
      </w:r>
      <w:r w:rsidR="00041C28" w:rsidRPr="002F2B00">
        <w:t>7</w:t>
      </w:r>
      <w:r w:rsidR="001805EF">
        <w:t>6</w:t>
      </w:r>
      <w:r w:rsidR="00041C28" w:rsidRPr="002F2B00">
        <w:tab/>
      </w:r>
      <w:r w:rsidR="00173082" w:rsidRPr="002F2B00">
        <w:t>Also</w:t>
      </w:r>
      <w:r w:rsidR="00052D79" w:rsidRPr="002F2B00">
        <w:t>,</w:t>
      </w:r>
      <w:r w:rsidR="00173082" w:rsidRPr="002F2B00">
        <w:t xml:space="preserve"> that the:</w:t>
      </w:r>
    </w:p>
    <w:p w14:paraId="3181F2A9" w14:textId="77777777" w:rsidR="00173082" w:rsidRPr="002F2B00" w:rsidRDefault="00173082" w:rsidP="00173082">
      <w:pPr>
        <w:ind w:left="709"/>
        <w:contextualSpacing/>
      </w:pPr>
    </w:p>
    <w:p w14:paraId="5073AB2B" w14:textId="2D29C9D7" w:rsidR="003E3A79" w:rsidRPr="002F2B00" w:rsidRDefault="00173082" w:rsidP="003E3A79">
      <w:pPr>
        <w:pStyle w:val="Quote"/>
      </w:pPr>
      <w:r w:rsidRPr="002F2B00">
        <w:t>individual must be able to challenge the executive’s assertion that national security is at stake. While the executive’s assessment of what poses a threat to national security will naturally be of significant weight, the independent authority must be able to react in cases where invoking that concept has no reasonable basis in the facts or reveals an interpretation of “national security” that is unlawful or contrary to common sense and arbitrary. Failing such safeguards, the police or other State authorities would be able to encroach arbitrarily on rights protected by the Convention.</w:t>
      </w:r>
      <w:r w:rsidRPr="002F2B00">
        <w:rPr>
          <w:vertAlign w:val="superscript"/>
        </w:rPr>
        <w:footnoteReference w:id="139"/>
      </w:r>
    </w:p>
    <w:p w14:paraId="37311A51" w14:textId="77777777" w:rsidR="003E3A79" w:rsidRPr="002F2B00" w:rsidRDefault="003E3A79" w:rsidP="003E3A79"/>
    <w:p w14:paraId="03BE2209" w14:textId="501E4950" w:rsidR="003E3A79" w:rsidRPr="002F2B00" w:rsidRDefault="003E3A79" w:rsidP="001805EF">
      <w:pPr>
        <w:pStyle w:val="ListParagraph"/>
        <w:numPr>
          <w:ilvl w:val="1"/>
          <w:numId w:val="43"/>
        </w:numPr>
        <w:rPr>
          <w:szCs w:val="24"/>
        </w:rPr>
      </w:pPr>
      <w:r w:rsidRPr="002F2B00">
        <w:t xml:space="preserve">The UN Human Rights Committee requires that: </w:t>
      </w:r>
    </w:p>
    <w:p w14:paraId="302C5391" w14:textId="77777777" w:rsidR="003E3A79" w:rsidRPr="002F2B00" w:rsidRDefault="003E3A79" w:rsidP="003E3A79">
      <w:pPr>
        <w:pStyle w:val="ListParagraph"/>
      </w:pPr>
    </w:p>
    <w:p w14:paraId="2F8EA02B" w14:textId="77777777" w:rsidR="003E3A79" w:rsidRPr="002F2B00" w:rsidRDefault="003E3A79" w:rsidP="000761F8">
      <w:pPr>
        <w:pStyle w:val="Quote"/>
      </w:pPr>
      <w:r w:rsidRPr="002F2B00">
        <w:t xml:space="preserve">when a State party invokes a legitimate ground for restriction of freedom of expression, it must demonstrate in specific and individualised fashion the precise nature of the threat, and the necessity and proportionality of the specific action taken, </w:t>
      </w:r>
      <w:proofErr w:type="gramStart"/>
      <w:r w:rsidRPr="002F2B00">
        <w:t>in particular by</w:t>
      </w:r>
      <w:proofErr w:type="gramEnd"/>
      <w:r w:rsidRPr="002F2B00">
        <w:t xml:space="preserve"> establishing a direct and immediate connection between the expression and the threat.</w:t>
      </w:r>
      <w:r w:rsidRPr="002F2B00">
        <w:rPr>
          <w:vertAlign w:val="superscript"/>
        </w:rPr>
        <w:footnoteReference w:id="140"/>
      </w:r>
    </w:p>
    <w:p w14:paraId="357A39F2" w14:textId="77777777" w:rsidR="00801486" w:rsidRPr="002F2B00" w:rsidRDefault="00801486" w:rsidP="007D750B"/>
    <w:p w14:paraId="531A5428" w14:textId="43D13052" w:rsidR="005E5952" w:rsidRPr="002F2B00" w:rsidRDefault="005E5952" w:rsidP="001805EF">
      <w:pPr>
        <w:pStyle w:val="ListParagraph"/>
        <w:numPr>
          <w:ilvl w:val="1"/>
          <w:numId w:val="41"/>
        </w:numPr>
        <w:rPr>
          <w:szCs w:val="24"/>
        </w:rPr>
      </w:pPr>
      <w:r w:rsidRPr="002F2B00">
        <w:t>The ECtHR recognises the right to the truth in cases of gross human rights violations, which includes violations of the right to life.</w:t>
      </w:r>
      <w:r w:rsidRPr="002F2B00">
        <w:rPr>
          <w:rStyle w:val="FootnoteReference"/>
        </w:rPr>
        <w:footnoteReference w:id="141"/>
      </w:r>
      <w:r w:rsidRPr="002F2B00">
        <w:t xml:space="preserve"> The ECtHR indicates that this extends to “not only for the applicant and </w:t>
      </w:r>
      <w:r w:rsidRPr="002F2B00">
        <w:lastRenderedPageBreak/>
        <w:t>his family, but also for other victims of similar crimes and the general public”.</w:t>
      </w:r>
      <w:r w:rsidRPr="002F2B00">
        <w:rPr>
          <w:rStyle w:val="FootnoteReference"/>
        </w:rPr>
        <w:footnoteReference w:id="142"/>
      </w:r>
    </w:p>
    <w:p w14:paraId="341B6A28" w14:textId="77777777" w:rsidR="005E5952" w:rsidRPr="002F2B00" w:rsidRDefault="005E5952" w:rsidP="005E5952">
      <w:pPr>
        <w:pStyle w:val="ListParagraph"/>
        <w:rPr>
          <w:szCs w:val="24"/>
        </w:rPr>
      </w:pPr>
    </w:p>
    <w:p w14:paraId="1AC46264" w14:textId="77777777" w:rsidR="005E5952" w:rsidRPr="002F2B00" w:rsidRDefault="005E5952" w:rsidP="00041C28">
      <w:pPr>
        <w:pStyle w:val="ListParagraph"/>
        <w:numPr>
          <w:ilvl w:val="1"/>
          <w:numId w:val="41"/>
        </w:numPr>
        <w:rPr>
          <w:szCs w:val="24"/>
        </w:rPr>
      </w:pPr>
      <w:r w:rsidRPr="002F2B00">
        <w:t>The UN Revised Minnesota Protocol states:</w:t>
      </w:r>
    </w:p>
    <w:p w14:paraId="7AFF5258" w14:textId="77777777" w:rsidR="005E5952" w:rsidRPr="002F2B00" w:rsidRDefault="005E5952" w:rsidP="005E5952">
      <w:pPr>
        <w:rPr>
          <w:b/>
          <w:szCs w:val="24"/>
        </w:rPr>
      </w:pPr>
    </w:p>
    <w:p w14:paraId="3006E6C4" w14:textId="77777777" w:rsidR="005E5952" w:rsidRPr="002F2B00" w:rsidRDefault="005E5952" w:rsidP="005E5952">
      <w:pPr>
        <w:pStyle w:val="Quote"/>
      </w:pPr>
      <w:r w:rsidRPr="002F2B00">
        <w:t xml:space="preserve">the right to know the truth extends to </w:t>
      </w:r>
      <w:proofErr w:type="gramStart"/>
      <w:r w:rsidRPr="002F2B00">
        <w:t>society as a whole, given</w:t>
      </w:r>
      <w:proofErr w:type="gramEnd"/>
      <w:r w:rsidRPr="002F2B00">
        <w:t xml:space="preserve"> the public interest in the prevention of, and accountability for, international law violations. Family members and society </w:t>
      </w:r>
      <w:proofErr w:type="gramStart"/>
      <w:r w:rsidRPr="002F2B00">
        <w:t>as a whole both</w:t>
      </w:r>
      <w:proofErr w:type="gramEnd"/>
      <w:r w:rsidRPr="002F2B00">
        <w:t xml:space="preserve"> have a right to information held in a State’s records that pertains to serious violations, even if those records are held by security agencies or military or policy units.</w:t>
      </w:r>
      <w:r w:rsidRPr="002F2B00">
        <w:rPr>
          <w:rStyle w:val="FootnoteReference"/>
        </w:rPr>
        <w:footnoteReference w:id="143"/>
      </w:r>
    </w:p>
    <w:p w14:paraId="13CFBD28" w14:textId="77777777" w:rsidR="005E5952" w:rsidRPr="002F2B00" w:rsidRDefault="005E5952" w:rsidP="005E5952">
      <w:pPr>
        <w:rPr>
          <w:b/>
          <w:szCs w:val="24"/>
        </w:rPr>
      </w:pPr>
    </w:p>
    <w:p w14:paraId="239853BE" w14:textId="75FEF7A4" w:rsidR="005E5952" w:rsidRPr="002F2B00" w:rsidRDefault="005E5952" w:rsidP="00041C28">
      <w:pPr>
        <w:pStyle w:val="ListParagraph"/>
        <w:numPr>
          <w:ilvl w:val="1"/>
          <w:numId w:val="41"/>
        </w:numPr>
      </w:pPr>
      <w:r w:rsidRPr="002F2B00">
        <w:t>The purpose of this requirement is to ensure public confidence in the process.</w:t>
      </w:r>
      <w:r w:rsidRPr="002F2B00">
        <w:rPr>
          <w:vertAlign w:val="superscript"/>
        </w:rPr>
        <w:footnoteReference w:id="144"/>
      </w:r>
      <w:r w:rsidRPr="002F2B00">
        <w:t xml:space="preserve"> </w:t>
      </w:r>
      <w:r w:rsidR="00B70CC3" w:rsidRPr="002F2B00">
        <w:t>There are strong indications that public confidence</w:t>
      </w:r>
      <w:r w:rsidRPr="002F2B00">
        <w:t xml:space="preserve"> is currently lacking </w:t>
      </w:r>
      <w:r w:rsidR="004022AA" w:rsidRPr="002F2B00">
        <w:t>due to</w:t>
      </w:r>
      <w:r w:rsidRPr="002F2B00">
        <w:t xml:space="preserve"> the UK Government </w:t>
      </w:r>
      <w:r w:rsidR="00B70CC3" w:rsidRPr="002F2B00">
        <w:t>publishing and forging</w:t>
      </w:r>
      <w:r w:rsidRPr="002F2B00">
        <w:t xml:space="preserve"> ahead with th</w:t>
      </w:r>
      <w:r w:rsidR="00B70CC3" w:rsidRPr="002F2B00">
        <w:t>e present</w:t>
      </w:r>
      <w:r w:rsidRPr="002F2B00">
        <w:t xml:space="preserve"> Bill without meaningful consultation</w:t>
      </w:r>
      <w:r w:rsidR="003C19A8" w:rsidRPr="002F2B00">
        <w:t>.</w:t>
      </w:r>
      <w:r w:rsidR="00EA75BE" w:rsidRPr="002F2B00">
        <w:rPr>
          <w:rStyle w:val="FootnoteReference"/>
        </w:rPr>
        <w:footnoteReference w:id="145"/>
      </w:r>
      <w:r w:rsidR="003C19A8" w:rsidRPr="002F2B00">
        <w:t xml:space="preserve"> </w:t>
      </w:r>
      <w:r w:rsidR="00D267BA" w:rsidRPr="002F2B00">
        <w:t>T</w:t>
      </w:r>
      <w:r w:rsidR="003C19A8" w:rsidRPr="002F2B00">
        <w:t xml:space="preserve">here is also little evidence that expert views on what such legislation would require to be human rights compliant </w:t>
      </w:r>
      <w:r w:rsidR="008323D0" w:rsidRPr="002F2B00">
        <w:t>were meaningfully considered when drafting</w:t>
      </w:r>
      <w:r w:rsidR="00D267BA" w:rsidRPr="002F2B00">
        <w:t xml:space="preserve"> the present Bill</w:t>
      </w:r>
      <w:r w:rsidR="008323D0" w:rsidRPr="002F2B00">
        <w:t>.</w:t>
      </w:r>
      <w:r w:rsidRPr="002F2B00">
        <w:t xml:space="preserve"> In response to the UK Government’s approach, the </w:t>
      </w:r>
      <w:proofErr w:type="spellStart"/>
      <w:r w:rsidRPr="002F2B00">
        <w:t>CoE</w:t>
      </w:r>
      <w:proofErr w:type="spellEnd"/>
      <w:r w:rsidRPr="002F2B00">
        <w:t xml:space="preserve"> Committee of Ministers “noted with regret the lack of formal public consultation on this draft legislation and firmly reiterated their previous calls on the authorities to ensure that any proposals garner public trust and confidence by engaging fully with all stakeholders”.</w:t>
      </w:r>
      <w:r w:rsidRPr="002F2B00">
        <w:rPr>
          <w:rStyle w:val="FootnoteReference"/>
        </w:rPr>
        <w:footnoteReference w:id="146"/>
      </w:r>
      <w:r w:rsidR="00BC40F1" w:rsidRPr="002F2B00">
        <w:t xml:space="preserve"> These concerns have been echoed by independent human rights experts.</w:t>
      </w:r>
      <w:r w:rsidR="00BC40F1" w:rsidRPr="002F2B00">
        <w:rPr>
          <w:rStyle w:val="FootnoteReference"/>
        </w:rPr>
        <w:footnoteReference w:id="147"/>
      </w:r>
      <w:r w:rsidR="00BC40F1" w:rsidRPr="002F2B00">
        <w:t xml:space="preserve"> The </w:t>
      </w:r>
      <w:proofErr w:type="spellStart"/>
      <w:r w:rsidR="00BC40F1" w:rsidRPr="002F2B00">
        <w:t>CoE</w:t>
      </w:r>
      <w:proofErr w:type="spellEnd"/>
      <w:r w:rsidR="00BC40F1" w:rsidRPr="002F2B00">
        <w:t xml:space="preserve"> Commissioner for Human Rights, </w:t>
      </w:r>
      <w:proofErr w:type="spellStart"/>
      <w:r w:rsidR="00DA3D35" w:rsidRPr="002F2B00">
        <w:t>Dunja</w:t>
      </w:r>
      <w:proofErr w:type="spellEnd"/>
      <w:r w:rsidR="00DA3D35" w:rsidRPr="002F2B00">
        <w:t xml:space="preserve"> </w:t>
      </w:r>
      <w:proofErr w:type="spellStart"/>
      <w:r w:rsidR="00DA3D35" w:rsidRPr="002F2B00">
        <w:t>Mijatovi</w:t>
      </w:r>
      <w:r w:rsidR="000D6AFF" w:rsidRPr="002F2B00">
        <w:t>ć</w:t>
      </w:r>
      <w:proofErr w:type="spellEnd"/>
      <w:r w:rsidR="00DA3D35" w:rsidRPr="002F2B00">
        <w:t>,</w:t>
      </w:r>
      <w:r w:rsidR="000D6AFF" w:rsidRPr="002F2B00">
        <w:t xml:space="preserve"> </w:t>
      </w:r>
      <w:r w:rsidR="00EC6DC1" w:rsidRPr="002F2B00">
        <w:t xml:space="preserve">has stated that “the lack of </w:t>
      </w:r>
      <w:r w:rsidR="0010749B" w:rsidRPr="002F2B00">
        <w:t xml:space="preserve">consultation” after “such a radical shift away from earlier </w:t>
      </w:r>
      <w:r w:rsidR="00527077" w:rsidRPr="002F2B00">
        <w:t xml:space="preserve">approaches, and the unilateral steps by the UK Government in this respect, were </w:t>
      </w:r>
      <w:r w:rsidR="00FA1803" w:rsidRPr="002F2B00">
        <w:t xml:space="preserve">repeatedly identified </w:t>
      </w:r>
      <w:r w:rsidR="00FA1803" w:rsidRPr="002F2B00">
        <w:lastRenderedPageBreak/>
        <w:t xml:space="preserve">[by victims and survivors] as a major source of concern” and </w:t>
      </w:r>
      <w:r w:rsidR="00C96BF7" w:rsidRPr="002F2B00">
        <w:t>did not equate to a “victim-centred approach”.</w:t>
      </w:r>
      <w:r w:rsidR="00C96BF7" w:rsidRPr="002F2B00">
        <w:rPr>
          <w:rStyle w:val="FootnoteReference"/>
        </w:rPr>
        <w:footnoteReference w:id="148"/>
      </w:r>
    </w:p>
    <w:p w14:paraId="25D159F2" w14:textId="77777777" w:rsidR="005E5952" w:rsidRPr="002F2B00" w:rsidRDefault="005E5952" w:rsidP="005E5952">
      <w:pPr>
        <w:pStyle w:val="ListParagraph"/>
      </w:pPr>
    </w:p>
    <w:p w14:paraId="07BC411E" w14:textId="344BB536" w:rsidR="00093EF5" w:rsidRPr="002F2B00" w:rsidRDefault="052215DC" w:rsidP="00041C28">
      <w:pPr>
        <w:pStyle w:val="ListParagraph"/>
        <w:numPr>
          <w:ilvl w:val="1"/>
          <w:numId w:val="41"/>
        </w:numPr>
      </w:pPr>
      <w:r w:rsidRPr="002F2B00">
        <w:t>T</w:t>
      </w:r>
      <w:r w:rsidR="6B442E3B" w:rsidRPr="002F2B00">
        <w:t xml:space="preserve">he </w:t>
      </w:r>
      <w:r w:rsidR="009D5123" w:rsidRPr="002F2B00">
        <w:t xml:space="preserve">current draft of the </w:t>
      </w:r>
      <w:r w:rsidR="6B442E3B" w:rsidRPr="002F2B00">
        <w:t xml:space="preserve">Bill </w:t>
      </w:r>
      <w:r w:rsidR="00C32428" w:rsidRPr="002F2B00">
        <w:t xml:space="preserve">proposes </w:t>
      </w:r>
      <w:r w:rsidR="226D2395" w:rsidRPr="002F2B00">
        <w:t xml:space="preserve">that a draft </w:t>
      </w:r>
      <w:r w:rsidR="29959E05" w:rsidRPr="002F2B00">
        <w:t xml:space="preserve">review </w:t>
      </w:r>
      <w:r w:rsidR="226D2395" w:rsidRPr="002F2B00">
        <w:t>report must be given to an interested person (</w:t>
      </w:r>
      <w:proofErr w:type="gramStart"/>
      <w:r w:rsidR="00885CFE" w:rsidRPr="002F2B00">
        <w:t>e.g.</w:t>
      </w:r>
      <w:proofErr w:type="gramEnd"/>
      <w:r w:rsidR="226D2395" w:rsidRPr="002F2B00">
        <w:t xml:space="preserve"> an individual mentioned in the report, the person who requested the review, or a family member)</w:t>
      </w:r>
      <w:r w:rsidR="2883023C" w:rsidRPr="002F2B00">
        <w:t xml:space="preserve"> and that person will have the chance to make representations on the report.</w:t>
      </w:r>
      <w:r w:rsidR="005747EF" w:rsidRPr="002F2B00">
        <w:rPr>
          <w:rStyle w:val="FootnoteReference"/>
        </w:rPr>
        <w:footnoteReference w:id="149"/>
      </w:r>
      <w:r w:rsidR="226D2395" w:rsidRPr="002F2B00">
        <w:t xml:space="preserve"> </w:t>
      </w:r>
      <w:r w:rsidR="29959E05" w:rsidRPr="002F2B00">
        <w:t xml:space="preserve">The same does not apply to </w:t>
      </w:r>
      <w:r w:rsidR="00D15479" w:rsidRPr="002F2B00">
        <w:t>the</w:t>
      </w:r>
      <w:r w:rsidR="29959E05" w:rsidRPr="002F2B00">
        <w:t xml:space="preserve"> historical record.</w:t>
      </w:r>
      <w:r w:rsidR="6B442E3B" w:rsidRPr="002F2B00">
        <w:t xml:space="preserve"> </w:t>
      </w:r>
      <w:r w:rsidR="6656A3C2" w:rsidRPr="002F2B00">
        <w:t xml:space="preserve">Limits on what </w:t>
      </w:r>
      <w:r w:rsidR="6BED7861" w:rsidRPr="002F2B00">
        <w:t xml:space="preserve">information is included in the final report apply, but </w:t>
      </w:r>
      <w:r w:rsidR="1CCDC841" w:rsidRPr="002F2B00">
        <w:t>these do not extend to draft reports</w:t>
      </w:r>
      <w:r w:rsidR="4CDC7B1A" w:rsidRPr="002F2B00">
        <w:t>.</w:t>
      </w:r>
      <w:r w:rsidR="00816C6E" w:rsidRPr="002F2B00">
        <w:rPr>
          <w:rStyle w:val="FootnoteReference"/>
        </w:rPr>
        <w:footnoteReference w:id="150"/>
      </w:r>
      <w:r w:rsidR="4CDC7B1A" w:rsidRPr="002F2B00">
        <w:t xml:space="preserve"> However, </w:t>
      </w:r>
      <w:r w:rsidR="6C711A93" w:rsidRPr="002F2B00">
        <w:t>c</w:t>
      </w:r>
      <w:r w:rsidR="4CDC7B1A" w:rsidRPr="002F2B00">
        <w:t xml:space="preserve">lause 15(11) of the </w:t>
      </w:r>
      <w:r w:rsidR="009D5123" w:rsidRPr="002F2B00">
        <w:t xml:space="preserve">present </w:t>
      </w:r>
      <w:r w:rsidR="4CDC7B1A" w:rsidRPr="002F2B00">
        <w:t xml:space="preserve">Bill </w:t>
      </w:r>
      <w:r w:rsidR="00C32428" w:rsidRPr="002F2B00">
        <w:t xml:space="preserve">proposes </w:t>
      </w:r>
      <w:r w:rsidR="4CDC7B1A" w:rsidRPr="002F2B00">
        <w:t xml:space="preserve">that the same draft review report does not have to go </w:t>
      </w:r>
      <w:r w:rsidR="674B4F32" w:rsidRPr="002F2B00">
        <w:t xml:space="preserve">to </w:t>
      </w:r>
      <w:r w:rsidR="59B9AC8E" w:rsidRPr="002F2B00">
        <w:t>all the persons who should receive a draft, which indicates that it is the discretion of the ICRIR as to what information is provided in a draft review report.</w:t>
      </w:r>
      <w:r w:rsidR="73136F87" w:rsidRPr="002F2B00">
        <w:t xml:space="preserve"> </w:t>
      </w:r>
      <w:r w:rsidR="7496E925" w:rsidRPr="002F2B00">
        <w:t xml:space="preserve">The right to respect for private life and data protection legislation </w:t>
      </w:r>
      <w:r w:rsidR="09C352FA" w:rsidRPr="002F2B00">
        <w:t>indicate</w:t>
      </w:r>
      <w:r w:rsidR="3E7A57A3" w:rsidRPr="002F2B00">
        <w:t xml:space="preserve"> that a more structured approach is </w:t>
      </w:r>
      <w:r w:rsidR="1BCA9072" w:rsidRPr="002F2B00">
        <w:t>required</w:t>
      </w:r>
      <w:r w:rsidR="3E7A57A3" w:rsidRPr="002F2B00">
        <w:t>.</w:t>
      </w:r>
    </w:p>
    <w:p w14:paraId="53A3E864" w14:textId="77777777" w:rsidR="00644B7B" w:rsidRPr="002F2B00" w:rsidRDefault="00644B7B" w:rsidP="00644B7B">
      <w:pPr>
        <w:pStyle w:val="ListParagraph"/>
      </w:pPr>
    </w:p>
    <w:p w14:paraId="2672703B" w14:textId="0847F595" w:rsidR="005D4FBD" w:rsidRPr="002F2B00" w:rsidRDefault="631A3B0C" w:rsidP="00041C28">
      <w:pPr>
        <w:pStyle w:val="ListParagraph"/>
        <w:numPr>
          <w:ilvl w:val="1"/>
          <w:numId w:val="41"/>
        </w:numPr>
      </w:pPr>
      <w:r w:rsidRPr="002F2B00">
        <w:t xml:space="preserve">The </w:t>
      </w:r>
      <w:r w:rsidR="005E467F" w:rsidRPr="002F2B00">
        <w:t xml:space="preserve">current draft of the </w:t>
      </w:r>
      <w:r w:rsidRPr="002F2B00">
        <w:t xml:space="preserve">Bill </w:t>
      </w:r>
      <w:r w:rsidR="005E467F" w:rsidRPr="002F2B00">
        <w:t xml:space="preserve">proposes </w:t>
      </w:r>
      <w:r w:rsidRPr="002F2B00">
        <w:t>that the ICRIR</w:t>
      </w:r>
      <w:r w:rsidR="6B442E3B" w:rsidRPr="002F2B00">
        <w:t xml:space="preserve"> </w:t>
      </w:r>
      <w:r w:rsidR="251E6DF9" w:rsidRPr="002F2B00">
        <w:t>“</w:t>
      </w:r>
      <w:r w:rsidR="6B442E3B" w:rsidRPr="002F2B00">
        <w:t>may</w:t>
      </w:r>
      <w:r w:rsidR="251E6DF9" w:rsidRPr="002F2B00">
        <w:t>”</w:t>
      </w:r>
      <w:r w:rsidR="6B442E3B" w:rsidRPr="002F2B00">
        <w:t>, not ‘must’, publish the final report of any review, thus limiting the opportunity for public scrutiny.</w:t>
      </w:r>
      <w:r w:rsidR="005E5952" w:rsidRPr="002F2B00">
        <w:rPr>
          <w:vertAlign w:val="superscript"/>
        </w:rPr>
        <w:footnoteReference w:id="151"/>
      </w:r>
      <w:r w:rsidR="6B442E3B" w:rsidRPr="002F2B00">
        <w:t xml:space="preserve"> In contrast, the </w:t>
      </w:r>
      <w:r w:rsidR="00B35CB5" w:rsidRPr="002F2B00">
        <w:t xml:space="preserve">present Bill proposes that the </w:t>
      </w:r>
      <w:r w:rsidR="6B442E3B" w:rsidRPr="002F2B00">
        <w:t xml:space="preserve">ICRIR </w:t>
      </w:r>
      <w:r w:rsidR="251E6DF9" w:rsidRPr="002F2B00">
        <w:t>“</w:t>
      </w:r>
      <w:r w:rsidR="6B442E3B" w:rsidRPr="002F2B00">
        <w:t>must publish the historical record</w:t>
      </w:r>
      <w:r w:rsidR="251E6DF9" w:rsidRPr="002F2B00">
        <w:t>”</w:t>
      </w:r>
      <w:r w:rsidR="348A77A7" w:rsidRPr="002F2B00">
        <w:t>.</w:t>
      </w:r>
      <w:r w:rsidR="005E5952" w:rsidRPr="002F2B00">
        <w:rPr>
          <w:rStyle w:val="FootnoteReference"/>
        </w:rPr>
        <w:footnoteReference w:id="152"/>
      </w:r>
      <w:r w:rsidR="6B442E3B" w:rsidRPr="002F2B00">
        <w:t xml:space="preserve"> </w:t>
      </w:r>
      <w:r w:rsidR="00865824" w:rsidRPr="002F2B00">
        <w:t>The current draft of the Bill proposes that a</w:t>
      </w:r>
      <w:r w:rsidR="1559EE62" w:rsidRPr="002F2B00">
        <w:t>ny publication is</w:t>
      </w:r>
      <w:r w:rsidR="6B442E3B" w:rsidRPr="002F2B00">
        <w:t xml:space="preserve"> subject to certain conditions such as it threatens life or national security, has a prejudicial effect on criminal proceedings, contains sensitive evidence or protected international information, </w:t>
      </w:r>
      <w:r w:rsidR="539FE076" w:rsidRPr="002F2B00">
        <w:t xml:space="preserve">it is in the public interest </w:t>
      </w:r>
      <w:r w:rsidR="6B442E3B" w:rsidRPr="002F2B00">
        <w:t>or is subject to data protection legislation.</w:t>
      </w:r>
      <w:r w:rsidR="005E5952" w:rsidRPr="002F2B00">
        <w:rPr>
          <w:rStyle w:val="FootnoteReference"/>
        </w:rPr>
        <w:footnoteReference w:id="153"/>
      </w:r>
      <w:r w:rsidR="6B442E3B" w:rsidRPr="002F2B00">
        <w:t xml:space="preserve"> </w:t>
      </w:r>
    </w:p>
    <w:p w14:paraId="0F484241" w14:textId="77777777" w:rsidR="005D4FBD" w:rsidRPr="002F2B00" w:rsidRDefault="005D4FBD" w:rsidP="005D4FBD">
      <w:pPr>
        <w:pStyle w:val="ListParagraph"/>
      </w:pPr>
    </w:p>
    <w:p w14:paraId="38A8E6A4" w14:textId="2757576B" w:rsidR="00027B6A" w:rsidRPr="002F2B00" w:rsidRDefault="00865824" w:rsidP="00041C28">
      <w:pPr>
        <w:pStyle w:val="ListParagraph"/>
        <w:numPr>
          <w:ilvl w:val="1"/>
          <w:numId w:val="41"/>
        </w:numPr>
      </w:pPr>
      <w:r w:rsidRPr="002F2B00">
        <w:t>The current draft of the Bill also proposes that i</w:t>
      </w:r>
      <w:r w:rsidR="00027B6A" w:rsidRPr="002F2B00">
        <w:t xml:space="preserve">f </w:t>
      </w:r>
      <w:r w:rsidR="00A56464" w:rsidRPr="002F2B00">
        <w:t xml:space="preserve">a report does not include disclosed </w:t>
      </w:r>
      <w:r w:rsidR="004D6B5A" w:rsidRPr="002F2B00">
        <w:t>information,</w:t>
      </w:r>
      <w:r w:rsidR="00A56464" w:rsidRPr="002F2B00">
        <w:t xml:space="preserve"> it must contain a statement </w:t>
      </w:r>
      <w:r w:rsidR="00411DCE" w:rsidRPr="002F2B00">
        <w:t>that the</w:t>
      </w:r>
      <w:r w:rsidR="00A56464" w:rsidRPr="002F2B00">
        <w:t xml:space="preserve"> Secretary of State </w:t>
      </w:r>
      <w:r w:rsidR="00411DCE" w:rsidRPr="002F2B00">
        <w:t xml:space="preserve">decided to </w:t>
      </w:r>
      <w:r w:rsidR="004D6B5A" w:rsidRPr="002F2B00">
        <w:t>prohibit disclosure and why this was the case.</w:t>
      </w:r>
      <w:r w:rsidR="004D6B5A" w:rsidRPr="002F2B00">
        <w:rPr>
          <w:rStyle w:val="FootnoteReference"/>
        </w:rPr>
        <w:footnoteReference w:id="154"/>
      </w:r>
      <w:r w:rsidR="004D6B5A" w:rsidRPr="002F2B00">
        <w:t xml:space="preserve"> </w:t>
      </w:r>
      <w:r w:rsidRPr="002F2B00">
        <w:t>The present Bill further proposes that t</w:t>
      </w:r>
      <w:r w:rsidR="00E15FDA" w:rsidRPr="002F2B00">
        <w:t>he Secretary of State’s decision can be appealed.</w:t>
      </w:r>
      <w:r w:rsidR="00767C7C" w:rsidRPr="002F2B00">
        <w:rPr>
          <w:rStyle w:val="FootnoteReference"/>
        </w:rPr>
        <w:footnoteReference w:id="155"/>
      </w:r>
      <w:r w:rsidR="005D4FBD" w:rsidRPr="002F2B00">
        <w:t xml:space="preserve"> </w:t>
      </w:r>
      <w:r w:rsidRPr="002F2B00">
        <w:t xml:space="preserve">It is proposed that this </w:t>
      </w:r>
      <w:r w:rsidR="005D4FBD" w:rsidRPr="002F2B00">
        <w:t xml:space="preserve">only applies to published reports. </w:t>
      </w:r>
      <w:r w:rsidR="00BA72A6" w:rsidRPr="002F2B00">
        <w:t xml:space="preserve">The current draft of the Bill does not </w:t>
      </w:r>
      <w:r w:rsidR="00BA72A6" w:rsidRPr="002F2B00">
        <w:lastRenderedPageBreak/>
        <w:t xml:space="preserve">propose </w:t>
      </w:r>
      <w:r w:rsidR="008E1D05">
        <w:t xml:space="preserve">expressly </w:t>
      </w:r>
      <w:r w:rsidR="00BA72A6" w:rsidRPr="002F2B00">
        <w:t>requiring that reason</w:t>
      </w:r>
      <w:r w:rsidR="00B12259" w:rsidRPr="002F2B00">
        <w:t>s</w:t>
      </w:r>
      <w:r w:rsidR="00BA72A6" w:rsidRPr="002F2B00">
        <w:t xml:space="preserve"> </w:t>
      </w:r>
      <w:r w:rsidR="004611F0" w:rsidRPr="002F2B00">
        <w:t>be</w:t>
      </w:r>
      <w:r w:rsidR="00BA72A6" w:rsidRPr="002F2B00">
        <w:t xml:space="preserve"> provided</w:t>
      </w:r>
      <w:r w:rsidR="002546AA" w:rsidRPr="002F2B00">
        <w:t xml:space="preserve"> </w:t>
      </w:r>
      <w:r w:rsidR="00BA72A6" w:rsidRPr="002F2B00">
        <w:t>nor that there is a</w:t>
      </w:r>
      <w:r w:rsidR="002546AA" w:rsidRPr="002F2B00">
        <w:t xml:space="preserve"> right of appeal if the final report of a review is not published.</w:t>
      </w:r>
    </w:p>
    <w:p w14:paraId="69FC2EF8" w14:textId="77777777" w:rsidR="005E5952" w:rsidRPr="002F2B00" w:rsidRDefault="005E5952" w:rsidP="005E5952">
      <w:pPr>
        <w:pStyle w:val="ListParagraph"/>
      </w:pPr>
    </w:p>
    <w:p w14:paraId="345E45F6" w14:textId="290EF797" w:rsidR="00801486" w:rsidRPr="002F2B00" w:rsidRDefault="00B90C02" w:rsidP="00FD77C7">
      <w:pPr>
        <w:pStyle w:val="ListParagraph"/>
        <w:numPr>
          <w:ilvl w:val="1"/>
          <w:numId w:val="41"/>
        </w:numPr>
        <w:rPr>
          <w:b/>
          <w:bCs/>
        </w:rPr>
      </w:pPr>
      <w:r w:rsidRPr="002F2B00">
        <w:rPr>
          <w:b/>
          <w:bCs/>
        </w:rPr>
        <w:t xml:space="preserve">The NIHRC advises that the Bill should require that the ICRIR publishes all its reports, with limited exception. There should be a structured approach towards what is or is not included in a draft and final report. </w:t>
      </w:r>
      <w:r w:rsidR="00B121F0" w:rsidRPr="002F2B00">
        <w:rPr>
          <w:b/>
          <w:bCs/>
        </w:rPr>
        <w:t>W</w:t>
      </w:r>
      <w:r w:rsidR="005E5952" w:rsidRPr="002F2B00">
        <w:rPr>
          <w:b/>
          <w:bCs/>
        </w:rPr>
        <w:t xml:space="preserve">here exceptions are in </w:t>
      </w:r>
      <w:proofErr w:type="gramStart"/>
      <w:r w:rsidR="005E5952" w:rsidRPr="002F2B00">
        <w:rPr>
          <w:b/>
          <w:bCs/>
        </w:rPr>
        <w:t>place</w:t>
      </w:r>
      <w:proofErr w:type="gramEnd"/>
      <w:r w:rsidR="005E5952" w:rsidRPr="002F2B00">
        <w:rPr>
          <w:b/>
          <w:bCs/>
        </w:rPr>
        <w:t xml:space="preserve"> the</w:t>
      </w:r>
      <w:r w:rsidR="00E57406" w:rsidRPr="002F2B00">
        <w:rPr>
          <w:b/>
          <w:bCs/>
        </w:rPr>
        <w:t>y must be lawful and proportionate and</w:t>
      </w:r>
      <w:r w:rsidR="005E5952" w:rsidRPr="002F2B00">
        <w:rPr>
          <w:b/>
          <w:bCs/>
        </w:rPr>
        <w:t xml:space="preserve"> include safeguards that ensure </w:t>
      </w:r>
      <w:r w:rsidR="00D53FAF" w:rsidRPr="002F2B00">
        <w:rPr>
          <w:b/>
          <w:bCs/>
        </w:rPr>
        <w:t xml:space="preserve">these are not applied arbitrarily and that </w:t>
      </w:r>
      <w:r w:rsidR="005E5952" w:rsidRPr="002F2B00">
        <w:rPr>
          <w:b/>
          <w:bCs/>
        </w:rPr>
        <w:t xml:space="preserve">the commitments aimed at enabling effective public scrutiny are not illusory. </w:t>
      </w:r>
    </w:p>
    <w:p w14:paraId="35739CED" w14:textId="77777777" w:rsidR="00801486" w:rsidRPr="002F2B00" w:rsidRDefault="00801486" w:rsidP="00801486">
      <w:pPr>
        <w:rPr>
          <w:szCs w:val="24"/>
        </w:rPr>
      </w:pPr>
    </w:p>
    <w:p w14:paraId="62756CFA" w14:textId="77777777" w:rsidR="00173082" w:rsidRPr="002F2B00" w:rsidRDefault="00173082" w:rsidP="00173082">
      <w:pPr>
        <w:pStyle w:val="Heading3"/>
      </w:pPr>
      <w:bookmarkStart w:id="16" w:name="_Toc523318872"/>
      <w:bookmarkStart w:id="17" w:name="_Toc113517951"/>
      <w:r w:rsidRPr="002F2B00">
        <w:t>Family Members</w:t>
      </w:r>
      <w:bookmarkEnd w:id="16"/>
      <w:bookmarkEnd w:id="17"/>
    </w:p>
    <w:p w14:paraId="7DD4A972" w14:textId="77777777" w:rsidR="00173082" w:rsidRPr="002F2B00" w:rsidRDefault="00173082" w:rsidP="00173082">
      <w:pPr>
        <w:rPr>
          <w:szCs w:val="24"/>
        </w:rPr>
      </w:pPr>
    </w:p>
    <w:p w14:paraId="4BA6DC83" w14:textId="206E4D5F" w:rsidR="00F15731" w:rsidRPr="002F2B00" w:rsidRDefault="005B0DE5" w:rsidP="00041C28">
      <w:pPr>
        <w:pStyle w:val="ListParagraph"/>
        <w:numPr>
          <w:ilvl w:val="1"/>
          <w:numId w:val="41"/>
        </w:numPr>
        <w:rPr>
          <w:szCs w:val="24"/>
        </w:rPr>
      </w:pPr>
      <w:r w:rsidRPr="002F2B00">
        <w:rPr>
          <w:szCs w:val="24"/>
        </w:rPr>
        <w:t>V</w:t>
      </w:r>
      <w:r w:rsidR="00F15731" w:rsidRPr="002F2B00">
        <w:rPr>
          <w:szCs w:val="24"/>
        </w:rPr>
        <w:t>ictim</w:t>
      </w:r>
      <w:r w:rsidRPr="002F2B00">
        <w:rPr>
          <w:szCs w:val="24"/>
        </w:rPr>
        <w:t>s,</w:t>
      </w:r>
      <w:r w:rsidR="00F15731" w:rsidRPr="002F2B00">
        <w:rPr>
          <w:szCs w:val="24"/>
        </w:rPr>
        <w:t xml:space="preserve"> for the purposes of </w:t>
      </w:r>
      <w:r w:rsidR="003B481B" w:rsidRPr="002F2B00">
        <w:rPr>
          <w:szCs w:val="24"/>
        </w:rPr>
        <w:t>the</w:t>
      </w:r>
      <w:r w:rsidR="00F15731" w:rsidRPr="002F2B00">
        <w:rPr>
          <w:szCs w:val="24"/>
        </w:rPr>
        <w:t xml:space="preserve"> ECHR</w:t>
      </w:r>
      <w:r w:rsidRPr="002F2B00">
        <w:rPr>
          <w:szCs w:val="24"/>
        </w:rPr>
        <w:t>,</w:t>
      </w:r>
      <w:r w:rsidR="00F15731" w:rsidRPr="002F2B00">
        <w:rPr>
          <w:szCs w:val="24"/>
        </w:rPr>
        <w:t xml:space="preserve"> </w:t>
      </w:r>
      <w:r w:rsidRPr="002F2B00">
        <w:rPr>
          <w:szCs w:val="24"/>
        </w:rPr>
        <w:t xml:space="preserve">are </w:t>
      </w:r>
      <w:r w:rsidR="00F15731" w:rsidRPr="002F2B00">
        <w:rPr>
          <w:szCs w:val="24"/>
        </w:rPr>
        <w:t xml:space="preserve">divided into direct and indirect victims. A direct victim is an individual who </w:t>
      </w:r>
      <w:proofErr w:type="gramStart"/>
      <w:r w:rsidR="00F15731" w:rsidRPr="002F2B00">
        <w:rPr>
          <w:szCs w:val="24"/>
        </w:rPr>
        <w:t>is able to</w:t>
      </w:r>
      <w:proofErr w:type="gramEnd"/>
      <w:r w:rsidR="00F15731" w:rsidRPr="002F2B00">
        <w:rPr>
          <w:szCs w:val="24"/>
        </w:rPr>
        <w:t xml:space="preserve"> show that he or she was “directly” affected by an alleged violation.</w:t>
      </w:r>
      <w:r w:rsidR="00F15731" w:rsidRPr="002F2B00">
        <w:rPr>
          <w:rStyle w:val="FootnoteReference"/>
          <w:szCs w:val="24"/>
        </w:rPr>
        <w:footnoteReference w:id="156"/>
      </w:r>
      <w:r w:rsidR="00F15731" w:rsidRPr="002F2B00">
        <w:rPr>
          <w:szCs w:val="24"/>
        </w:rPr>
        <w:t xml:space="preserve"> </w:t>
      </w:r>
      <w:r w:rsidR="004668AA" w:rsidRPr="002F2B00">
        <w:rPr>
          <w:szCs w:val="24"/>
        </w:rPr>
        <w:t>If the direct victim has died, it may be possible for an indirect victim to take action. An indirect victim is traditio</w:t>
      </w:r>
      <w:r w:rsidR="003B481B" w:rsidRPr="002F2B00">
        <w:rPr>
          <w:szCs w:val="24"/>
        </w:rPr>
        <w:t>nally viewed as the next-of-kin,</w:t>
      </w:r>
      <w:r w:rsidR="00703A0F" w:rsidRPr="002F2B00">
        <w:rPr>
          <w:rStyle w:val="FootnoteReference"/>
          <w:szCs w:val="24"/>
        </w:rPr>
        <w:footnoteReference w:id="157"/>
      </w:r>
      <w:r w:rsidR="004668AA" w:rsidRPr="002F2B00">
        <w:rPr>
          <w:szCs w:val="24"/>
        </w:rPr>
        <w:t xml:space="preserve"> </w:t>
      </w:r>
      <w:r w:rsidR="003B481B" w:rsidRPr="002F2B00">
        <w:rPr>
          <w:szCs w:val="24"/>
        </w:rPr>
        <w:t>but it is now accepted that such status</w:t>
      </w:r>
      <w:r w:rsidR="004668AA" w:rsidRPr="002F2B00">
        <w:rPr>
          <w:szCs w:val="24"/>
        </w:rPr>
        <w:t xml:space="preserve"> can extend to close family members. The question of whether they were legal heirs of the deceased is not relevant.</w:t>
      </w:r>
      <w:r w:rsidR="004668AA" w:rsidRPr="002F2B00">
        <w:rPr>
          <w:rStyle w:val="FootnoteReference"/>
          <w:szCs w:val="24"/>
        </w:rPr>
        <w:footnoteReference w:id="158"/>
      </w:r>
      <w:r w:rsidR="004668AA" w:rsidRPr="002F2B00">
        <w:rPr>
          <w:szCs w:val="24"/>
        </w:rPr>
        <w:t xml:space="preserve"> </w:t>
      </w:r>
      <w:r w:rsidR="003B481B" w:rsidRPr="002F2B00">
        <w:rPr>
          <w:szCs w:val="24"/>
        </w:rPr>
        <w:t xml:space="preserve">The ECtHR has adopted a less strict approach to who qualifies as an indirect victim when the individual is closely linked to the death or disappearance of the direct victim. </w:t>
      </w:r>
      <w:r w:rsidR="00703A0F" w:rsidRPr="002F2B00">
        <w:rPr>
          <w:szCs w:val="24"/>
        </w:rPr>
        <w:t>As an indication of what is meant by a close family member</w:t>
      </w:r>
      <w:r w:rsidR="003B481B" w:rsidRPr="002F2B00">
        <w:rPr>
          <w:szCs w:val="24"/>
        </w:rPr>
        <w:t xml:space="preserve"> in the context of </w:t>
      </w:r>
      <w:r w:rsidR="00745434" w:rsidRPr="002F2B00">
        <w:rPr>
          <w:szCs w:val="24"/>
        </w:rPr>
        <w:t xml:space="preserve">Article 2 of the </w:t>
      </w:r>
      <w:r w:rsidR="003B481B" w:rsidRPr="002F2B00">
        <w:rPr>
          <w:szCs w:val="24"/>
        </w:rPr>
        <w:t xml:space="preserve">ECHR, </w:t>
      </w:r>
      <w:r w:rsidR="00703A0F" w:rsidRPr="002F2B00">
        <w:rPr>
          <w:szCs w:val="24"/>
        </w:rPr>
        <w:t>t</w:t>
      </w:r>
      <w:r w:rsidR="004668AA" w:rsidRPr="002F2B00">
        <w:rPr>
          <w:szCs w:val="24"/>
        </w:rPr>
        <w:t>he ECtHR has accepted married partners,</w:t>
      </w:r>
      <w:r w:rsidR="004668AA" w:rsidRPr="002F2B00">
        <w:rPr>
          <w:rStyle w:val="FootnoteReference"/>
          <w:szCs w:val="24"/>
        </w:rPr>
        <w:footnoteReference w:id="159"/>
      </w:r>
      <w:r w:rsidR="004668AA" w:rsidRPr="002F2B00">
        <w:rPr>
          <w:szCs w:val="24"/>
        </w:rPr>
        <w:t xml:space="preserve"> unmarried partners,</w:t>
      </w:r>
      <w:r w:rsidR="004668AA" w:rsidRPr="002F2B00">
        <w:rPr>
          <w:rStyle w:val="FootnoteReference"/>
          <w:szCs w:val="24"/>
        </w:rPr>
        <w:footnoteReference w:id="160"/>
      </w:r>
      <w:r w:rsidR="00703A0F" w:rsidRPr="002F2B00">
        <w:rPr>
          <w:szCs w:val="24"/>
        </w:rPr>
        <w:t xml:space="preserve"> parents,</w:t>
      </w:r>
      <w:r w:rsidR="00703A0F" w:rsidRPr="002F2B00">
        <w:rPr>
          <w:rStyle w:val="FootnoteReference"/>
          <w:szCs w:val="24"/>
        </w:rPr>
        <w:footnoteReference w:id="161"/>
      </w:r>
      <w:r w:rsidR="00703A0F" w:rsidRPr="002F2B00">
        <w:rPr>
          <w:szCs w:val="24"/>
        </w:rPr>
        <w:t xml:space="preserve"> siblings,</w:t>
      </w:r>
      <w:r w:rsidR="00703A0F" w:rsidRPr="002F2B00">
        <w:rPr>
          <w:rStyle w:val="FootnoteReference"/>
          <w:szCs w:val="24"/>
        </w:rPr>
        <w:footnoteReference w:id="162"/>
      </w:r>
      <w:r w:rsidR="00703A0F" w:rsidRPr="002F2B00">
        <w:rPr>
          <w:szCs w:val="24"/>
        </w:rPr>
        <w:t xml:space="preserve"> children,</w:t>
      </w:r>
      <w:r w:rsidR="00703A0F" w:rsidRPr="002F2B00">
        <w:rPr>
          <w:rStyle w:val="FootnoteReference"/>
          <w:szCs w:val="24"/>
        </w:rPr>
        <w:footnoteReference w:id="163"/>
      </w:r>
      <w:r w:rsidR="00703A0F" w:rsidRPr="002F2B00">
        <w:rPr>
          <w:szCs w:val="24"/>
        </w:rPr>
        <w:t xml:space="preserve"> and nephews.</w:t>
      </w:r>
      <w:r w:rsidR="00703A0F" w:rsidRPr="002F2B00">
        <w:rPr>
          <w:rStyle w:val="FootnoteReference"/>
          <w:szCs w:val="24"/>
        </w:rPr>
        <w:footnoteReference w:id="164"/>
      </w:r>
      <w:r w:rsidR="003B481B" w:rsidRPr="002F2B00">
        <w:rPr>
          <w:szCs w:val="24"/>
        </w:rPr>
        <w:t xml:space="preserve"> In other contexts, the ECtHR has been more restrictive and generally declines to grant standing to any other person unless that person could, exceptionally, demonstrate an interest of their own.</w:t>
      </w:r>
      <w:r w:rsidR="003B481B" w:rsidRPr="002F2B00">
        <w:rPr>
          <w:rStyle w:val="FootnoteReference"/>
          <w:szCs w:val="24"/>
        </w:rPr>
        <w:footnoteReference w:id="165"/>
      </w:r>
    </w:p>
    <w:p w14:paraId="5B665FEF" w14:textId="77777777" w:rsidR="00E9380B" w:rsidRPr="002F2B00" w:rsidRDefault="00E9380B" w:rsidP="00C217B5">
      <w:pPr>
        <w:pStyle w:val="ListParagraph"/>
        <w:rPr>
          <w:szCs w:val="24"/>
        </w:rPr>
      </w:pPr>
    </w:p>
    <w:p w14:paraId="6010D092" w14:textId="67DF7238" w:rsidR="00AB571A" w:rsidRPr="002F2B00" w:rsidRDefault="00E9380B" w:rsidP="00041C28">
      <w:pPr>
        <w:pStyle w:val="ListParagraph"/>
        <w:numPr>
          <w:ilvl w:val="1"/>
          <w:numId w:val="41"/>
        </w:numPr>
        <w:rPr>
          <w:szCs w:val="24"/>
        </w:rPr>
      </w:pPr>
      <w:r w:rsidRPr="002F2B00">
        <w:rPr>
          <w:szCs w:val="24"/>
        </w:rPr>
        <w:lastRenderedPageBreak/>
        <w:t xml:space="preserve">There is no jurisdictional requirement for a direct or indirect victim, other than </w:t>
      </w:r>
      <w:r w:rsidR="005B0DE5" w:rsidRPr="002F2B00">
        <w:rPr>
          <w:szCs w:val="24"/>
        </w:rPr>
        <w:t xml:space="preserve">that </w:t>
      </w:r>
      <w:r w:rsidRPr="002F2B00">
        <w:rPr>
          <w:szCs w:val="24"/>
        </w:rPr>
        <w:t xml:space="preserve">the alleged </w:t>
      </w:r>
      <w:r w:rsidR="00B04B48" w:rsidRPr="002F2B00">
        <w:rPr>
          <w:szCs w:val="24"/>
        </w:rPr>
        <w:t xml:space="preserve">incident </w:t>
      </w:r>
      <w:r w:rsidRPr="002F2B00">
        <w:rPr>
          <w:szCs w:val="24"/>
        </w:rPr>
        <w:t xml:space="preserve">must have taken place within the jurisdiction of the State in question. This includes </w:t>
      </w:r>
      <w:r w:rsidRPr="002F2B00">
        <w:rPr>
          <w:i/>
          <w:szCs w:val="24"/>
        </w:rPr>
        <w:t>de jure</w:t>
      </w:r>
      <w:r w:rsidRPr="002F2B00">
        <w:rPr>
          <w:szCs w:val="24"/>
        </w:rPr>
        <w:t xml:space="preserve"> and </w:t>
      </w:r>
      <w:r w:rsidRPr="002F2B00">
        <w:rPr>
          <w:i/>
          <w:szCs w:val="24"/>
        </w:rPr>
        <w:t>de facto</w:t>
      </w:r>
      <w:r w:rsidRPr="002F2B00">
        <w:rPr>
          <w:szCs w:val="24"/>
        </w:rPr>
        <w:t xml:space="preserve"> jurisdictions.</w:t>
      </w:r>
      <w:r w:rsidRPr="002F2B00">
        <w:rPr>
          <w:rStyle w:val="FootnoteReference"/>
          <w:szCs w:val="24"/>
        </w:rPr>
        <w:footnoteReference w:id="166"/>
      </w:r>
      <w:r w:rsidRPr="002F2B00">
        <w:rPr>
          <w:szCs w:val="24"/>
        </w:rPr>
        <w:t xml:space="preserve"> </w:t>
      </w:r>
    </w:p>
    <w:p w14:paraId="001E4A0F" w14:textId="77777777" w:rsidR="00AB571A" w:rsidRPr="002F2B00" w:rsidRDefault="00AB571A" w:rsidP="00AB571A">
      <w:pPr>
        <w:pStyle w:val="ListParagraph"/>
      </w:pPr>
    </w:p>
    <w:p w14:paraId="22136DF1" w14:textId="1B7BEE04" w:rsidR="004F3F50" w:rsidRPr="002F2B00" w:rsidRDefault="4D7A8F12" w:rsidP="00041C28">
      <w:pPr>
        <w:pStyle w:val="ListParagraph"/>
        <w:numPr>
          <w:ilvl w:val="1"/>
          <w:numId w:val="41"/>
        </w:numPr>
        <w:rPr>
          <w:szCs w:val="24"/>
        </w:rPr>
      </w:pPr>
      <w:r w:rsidRPr="002F2B00">
        <w:t>Article 2</w:t>
      </w:r>
      <w:r w:rsidR="5BCB198F" w:rsidRPr="002F2B00">
        <w:t xml:space="preserve"> of the ECHR</w:t>
      </w:r>
      <w:r w:rsidRPr="002F2B00">
        <w:t>’s focus</w:t>
      </w:r>
      <w:r w:rsidR="000174DC" w:rsidRPr="002F2B00">
        <w:t>es</w:t>
      </w:r>
      <w:r w:rsidRPr="002F2B00">
        <w:t xml:space="preserve"> on close family </w:t>
      </w:r>
      <w:r w:rsidR="005B0DE5" w:rsidRPr="002F2B00">
        <w:t xml:space="preserve">members </w:t>
      </w:r>
      <w:r w:rsidR="000174DC" w:rsidRPr="002F2B00">
        <w:t xml:space="preserve">and </w:t>
      </w:r>
      <w:r w:rsidRPr="002F2B00">
        <w:t xml:space="preserve">indicates that it permits a distinction </w:t>
      </w:r>
      <w:r w:rsidR="005B0DE5" w:rsidRPr="002F2B00">
        <w:t xml:space="preserve">to be </w:t>
      </w:r>
      <w:r w:rsidRPr="002F2B00">
        <w:t xml:space="preserve">made between close and other family members. However, </w:t>
      </w:r>
      <w:r w:rsidR="005B0DE5" w:rsidRPr="002F2B00">
        <w:t>this does not mean such a distinction is either required or desirable.</w:t>
      </w:r>
    </w:p>
    <w:p w14:paraId="5077EC24" w14:textId="2E5F88E4" w:rsidR="00794F1B" w:rsidRPr="002F2B00" w:rsidRDefault="005B0DE5" w:rsidP="004F3F50">
      <w:pPr>
        <w:rPr>
          <w:szCs w:val="24"/>
        </w:rPr>
      </w:pPr>
      <w:r w:rsidRPr="002F2B00">
        <w:t xml:space="preserve"> </w:t>
      </w:r>
    </w:p>
    <w:p w14:paraId="23AB0748" w14:textId="3B94A23D" w:rsidR="00794F1B" w:rsidRPr="002F2B00" w:rsidRDefault="00794F1B" w:rsidP="00041C28">
      <w:pPr>
        <w:pStyle w:val="ListParagraph"/>
        <w:numPr>
          <w:ilvl w:val="1"/>
          <w:numId w:val="41"/>
        </w:numPr>
        <w:rPr>
          <w:szCs w:val="24"/>
        </w:rPr>
      </w:pPr>
      <w:r w:rsidRPr="002F2B00">
        <w:rPr>
          <w:szCs w:val="24"/>
        </w:rPr>
        <w:t>The UN Human Rights Committee</w:t>
      </w:r>
      <w:r w:rsidR="00996F14" w:rsidRPr="002F2B00">
        <w:rPr>
          <w:szCs w:val="24"/>
        </w:rPr>
        <w:t xml:space="preserve"> </w:t>
      </w:r>
      <w:r w:rsidRPr="002F2B00">
        <w:rPr>
          <w:szCs w:val="24"/>
        </w:rPr>
        <w:t>requires disclosure of:</w:t>
      </w:r>
    </w:p>
    <w:p w14:paraId="734325B4" w14:textId="77777777" w:rsidR="00794F1B" w:rsidRPr="002F2B00" w:rsidRDefault="00794F1B" w:rsidP="00C217B5">
      <w:pPr>
        <w:pStyle w:val="ListParagraph"/>
        <w:rPr>
          <w:szCs w:val="24"/>
        </w:rPr>
      </w:pPr>
    </w:p>
    <w:p w14:paraId="720A4E58" w14:textId="7A64FF08" w:rsidR="00794F1B" w:rsidRPr="002F2B00" w:rsidRDefault="00794F1B" w:rsidP="00C217B5">
      <w:pPr>
        <w:pStyle w:val="Quote"/>
      </w:pPr>
      <w:r w:rsidRPr="002F2B00">
        <w:t>relevant details about the investigation to the victim’s next of kin</w:t>
      </w:r>
      <w:r w:rsidR="00990E96" w:rsidRPr="002F2B00">
        <w:t xml:space="preserve">, allow them to present new evidence, afford them with legal standing in the investigation, </w:t>
      </w:r>
      <w:r w:rsidRPr="002F2B00">
        <w:t xml:space="preserve">and make public </w:t>
      </w:r>
      <w:r w:rsidR="00364F33" w:rsidRPr="002F2B00">
        <w:t xml:space="preserve">information about the investigative steps taken and the investigation’s findings, </w:t>
      </w:r>
      <w:proofErr w:type="gramStart"/>
      <w:r w:rsidR="00364F33" w:rsidRPr="002F2B00">
        <w:t>conclusions</w:t>
      </w:r>
      <w:proofErr w:type="gramEnd"/>
      <w:r w:rsidR="00364F33" w:rsidRPr="002F2B00">
        <w:t xml:space="preserve"> and recommendations, subject to absolutely necessary redactions justified by a compelling need to protect the public interest or the privacy and other legal rights of directly affected individuals</w:t>
      </w:r>
      <w:r w:rsidRPr="002F2B00">
        <w:t>.</w:t>
      </w:r>
      <w:r w:rsidRPr="002F2B00">
        <w:rPr>
          <w:rStyle w:val="FootnoteReference"/>
        </w:rPr>
        <w:footnoteReference w:id="167"/>
      </w:r>
    </w:p>
    <w:p w14:paraId="16F88080" w14:textId="77777777" w:rsidR="002E36C9" w:rsidRPr="002F2B00" w:rsidRDefault="002E36C9" w:rsidP="00F422AA">
      <w:pPr>
        <w:rPr>
          <w:szCs w:val="24"/>
        </w:rPr>
      </w:pPr>
    </w:p>
    <w:p w14:paraId="2A704541" w14:textId="14710B48" w:rsidR="00ED5ED8" w:rsidRPr="002F2B00" w:rsidRDefault="70E064A4" w:rsidP="00041C28">
      <w:pPr>
        <w:pStyle w:val="ListParagraph"/>
        <w:numPr>
          <w:ilvl w:val="1"/>
          <w:numId w:val="41"/>
        </w:numPr>
      </w:pPr>
      <w:r w:rsidRPr="002F2B00">
        <w:t xml:space="preserve">The </w:t>
      </w:r>
      <w:r w:rsidR="0EFFB76B" w:rsidRPr="002F2B00">
        <w:t xml:space="preserve">former </w:t>
      </w:r>
      <w:r w:rsidRPr="002F2B00">
        <w:t>UN Special Rapporteur on the Promotion of Truth, Justice, Reparation and Guarantees of Non-recurrence</w:t>
      </w:r>
      <w:r w:rsidR="45582D86" w:rsidRPr="002F2B00">
        <w:t xml:space="preserve">, Pablo de </w:t>
      </w:r>
      <w:proofErr w:type="spellStart"/>
      <w:r w:rsidR="45582D86" w:rsidRPr="002F2B00">
        <w:t>Gr</w:t>
      </w:r>
      <w:r w:rsidR="59A2F310" w:rsidRPr="002F2B00">
        <w:t>ei</w:t>
      </w:r>
      <w:r w:rsidR="45582D86" w:rsidRPr="002F2B00">
        <w:t>ff</w:t>
      </w:r>
      <w:proofErr w:type="spellEnd"/>
      <w:r w:rsidR="45582D86" w:rsidRPr="002F2B00">
        <w:t>,</w:t>
      </w:r>
      <w:r w:rsidRPr="002F2B00">
        <w:t xml:space="preserve"> noted that:</w:t>
      </w:r>
    </w:p>
    <w:p w14:paraId="301DA7C7" w14:textId="77777777" w:rsidR="00ED5ED8" w:rsidRPr="002F2B00" w:rsidRDefault="00ED5ED8" w:rsidP="00C217B5">
      <w:pPr>
        <w:pStyle w:val="ListParagraph"/>
        <w:rPr>
          <w:szCs w:val="24"/>
        </w:rPr>
      </w:pPr>
    </w:p>
    <w:p w14:paraId="7CBA5CF9" w14:textId="0052E631" w:rsidR="00ED5ED8" w:rsidRPr="002F2B00" w:rsidRDefault="00ED5ED8" w:rsidP="00C217B5">
      <w:pPr>
        <w:pStyle w:val="Quote"/>
      </w:pPr>
      <w:r w:rsidRPr="002F2B00">
        <w:t>truth-seeking requires the active participation of individuals who wish to express their grievances and report on the facts and underlying causes of the violations and abuses which occurred. Truth-seeking will only be regarded a justice measure if civil society, in particular victims</w:t>
      </w:r>
      <w:r w:rsidR="00BD30DE" w:rsidRPr="002F2B00">
        <w:t>’</w:t>
      </w:r>
      <w:r w:rsidRPr="002F2B00">
        <w:t xml:space="preserve"> organisations, is adequately represented in the composition of a truth commission. Prosecutions, for their part, can only serve as actual justice measures if the victims and their families are effectively involved in the processes and provided with the necessary information relevant to their participation in proceedings.</w:t>
      </w:r>
      <w:r w:rsidRPr="002F2B00">
        <w:rPr>
          <w:rStyle w:val="FootnoteReference"/>
        </w:rPr>
        <w:footnoteReference w:id="168"/>
      </w:r>
    </w:p>
    <w:p w14:paraId="148DBAF0" w14:textId="77777777" w:rsidR="00ED5ED8" w:rsidRPr="002F2B00" w:rsidRDefault="00ED5ED8" w:rsidP="00C217B5">
      <w:pPr>
        <w:pStyle w:val="ListParagraph"/>
        <w:rPr>
          <w:szCs w:val="24"/>
        </w:rPr>
      </w:pPr>
    </w:p>
    <w:p w14:paraId="1C49540B" w14:textId="17F4FEBC" w:rsidR="00ED5ED8" w:rsidRPr="002F2B00" w:rsidRDefault="00ED5ED8" w:rsidP="00041C28">
      <w:pPr>
        <w:pStyle w:val="ListParagraph"/>
        <w:numPr>
          <w:ilvl w:val="1"/>
          <w:numId w:val="41"/>
        </w:numPr>
        <w:rPr>
          <w:szCs w:val="24"/>
        </w:rPr>
      </w:pPr>
      <w:r w:rsidRPr="002F2B00">
        <w:rPr>
          <w:szCs w:val="24"/>
        </w:rPr>
        <w:lastRenderedPageBreak/>
        <w:t>The UN Approach to Transitional Justice, states as a guiding principle, that measures should “ensure the centrality of victims in the design and implementation of transitional justice processes and mechanisms”.</w:t>
      </w:r>
      <w:r w:rsidR="00060986" w:rsidRPr="002F2B00">
        <w:rPr>
          <w:rStyle w:val="FootnoteReference"/>
          <w:szCs w:val="24"/>
        </w:rPr>
        <w:footnoteReference w:id="169"/>
      </w:r>
    </w:p>
    <w:p w14:paraId="4429EF14" w14:textId="77777777" w:rsidR="00ED5ED8" w:rsidRPr="002F2B00" w:rsidRDefault="00ED5ED8" w:rsidP="00C217B5">
      <w:pPr>
        <w:pStyle w:val="ListParagraph"/>
        <w:rPr>
          <w:szCs w:val="24"/>
        </w:rPr>
      </w:pPr>
    </w:p>
    <w:p w14:paraId="17C5BE3D" w14:textId="0F8DD847" w:rsidR="00C9794F" w:rsidRPr="002F2B00" w:rsidRDefault="00C9794F" w:rsidP="00041C28">
      <w:pPr>
        <w:pStyle w:val="ListParagraph"/>
        <w:numPr>
          <w:ilvl w:val="1"/>
          <w:numId w:val="41"/>
        </w:numPr>
        <w:rPr>
          <w:szCs w:val="24"/>
        </w:rPr>
      </w:pPr>
      <w:r w:rsidRPr="002F2B00">
        <w:rPr>
          <w:szCs w:val="24"/>
        </w:rPr>
        <w:t xml:space="preserve">The </w:t>
      </w:r>
      <w:r w:rsidR="006124A6" w:rsidRPr="002F2B00">
        <w:rPr>
          <w:szCs w:val="24"/>
        </w:rPr>
        <w:t xml:space="preserve">UN </w:t>
      </w:r>
      <w:r w:rsidRPr="002F2B00">
        <w:rPr>
          <w:szCs w:val="24"/>
        </w:rPr>
        <w:t>Revised Minnesota Protocol states:</w:t>
      </w:r>
    </w:p>
    <w:p w14:paraId="181FFA30" w14:textId="77777777" w:rsidR="00C9794F" w:rsidRPr="002F2B00" w:rsidRDefault="00C9794F" w:rsidP="00C217B5">
      <w:pPr>
        <w:rPr>
          <w:szCs w:val="24"/>
        </w:rPr>
      </w:pPr>
    </w:p>
    <w:p w14:paraId="1DCDB69E" w14:textId="77777777" w:rsidR="00C9794F" w:rsidRPr="002F2B00" w:rsidRDefault="00C9794F" w:rsidP="00C217B5">
      <w:pPr>
        <w:pStyle w:val="Quote"/>
      </w:pPr>
      <w:r w:rsidRPr="002F2B00">
        <w:t xml:space="preserve">family members have the right to seek and obtain information on the causes of a killing and to learn the truth about the circumstances, events and causes that led to it. In cases of potentially unlawful death, families have the right, at a minimum, to information about the circumstances, </w:t>
      </w:r>
      <w:proofErr w:type="gramStart"/>
      <w:r w:rsidRPr="002F2B00">
        <w:t>location</w:t>
      </w:r>
      <w:proofErr w:type="gramEnd"/>
      <w:r w:rsidRPr="002F2B00">
        <w:t xml:space="preserve"> and condition of the remains and, insofar as it has been determined, the cause and manner of death.</w:t>
      </w:r>
      <w:r w:rsidRPr="002F2B00">
        <w:rPr>
          <w:rStyle w:val="FootnoteReference"/>
        </w:rPr>
        <w:footnoteReference w:id="170"/>
      </w:r>
    </w:p>
    <w:p w14:paraId="77E38132" w14:textId="77777777" w:rsidR="00C9794F" w:rsidRPr="002F2B00" w:rsidRDefault="00C9794F" w:rsidP="00C217B5">
      <w:pPr>
        <w:rPr>
          <w:b/>
          <w:szCs w:val="24"/>
        </w:rPr>
      </w:pPr>
    </w:p>
    <w:p w14:paraId="6DE04509" w14:textId="712E5F4B" w:rsidR="00BE18FC" w:rsidRPr="002F2B00" w:rsidRDefault="00BE18FC" w:rsidP="00041C28">
      <w:pPr>
        <w:pStyle w:val="ListParagraph"/>
        <w:numPr>
          <w:ilvl w:val="1"/>
          <w:numId w:val="41"/>
        </w:numPr>
        <w:rPr>
          <w:szCs w:val="24"/>
        </w:rPr>
      </w:pPr>
      <w:r w:rsidRPr="002F2B00">
        <w:rPr>
          <w:szCs w:val="24"/>
        </w:rPr>
        <w:t xml:space="preserve">The </w:t>
      </w:r>
      <w:r w:rsidR="006124A6" w:rsidRPr="002F2B00">
        <w:rPr>
          <w:szCs w:val="24"/>
        </w:rPr>
        <w:t xml:space="preserve">UN </w:t>
      </w:r>
      <w:r w:rsidRPr="002F2B00">
        <w:rPr>
          <w:szCs w:val="24"/>
        </w:rPr>
        <w:t>Revised Minnesota Protocol continues</w:t>
      </w:r>
      <w:r w:rsidR="00603344" w:rsidRPr="002F2B00">
        <w:rPr>
          <w:szCs w:val="24"/>
        </w:rPr>
        <w:t xml:space="preserve"> “</w:t>
      </w:r>
      <w:r w:rsidR="00603344" w:rsidRPr="002F2B00">
        <w:t xml:space="preserve">the State must enable all close relatives to participate effectively in the investigation, though without compromising its integrity. The relatives of a deceased person must be </w:t>
      </w:r>
      <w:proofErr w:type="gramStart"/>
      <w:r w:rsidR="00603344" w:rsidRPr="002F2B00">
        <w:t>sought, and</w:t>
      </w:r>
      <w:proofErr w:type="gramEnd"/>
      <w:r w:rsidR="00603344" w:rsidRPr="002F2B00">
        <w:t xml:space="preserve"> informed of the investigation”.</w:t>
      </w:r>
      <w:r w:rsidR="00603344" w:rsidRPr="002F2B00">
        <w:rPr>
          <w:rStyle w:val="FootnoteReference"/>
        </w:rPr>
        <w:footnoteReference w:id="171"/>
      </w:r>
    </w:p>
    <w:p w14:paraId="1B0AADCB" w14:textId="77777777" w:rsidR="00AF5E2F" w:rsidRPr="002F2B00" w:rsidRDefault="00AF5E2F" w:rsidP="00AF5E2F">
      <w:pPr>
        <w:pStyle w:val="ListParagraph"/>
        <w:rPr>
          <w:szCs w:val="24"/>
        </w:rPr>
      </w:pPr>
    </w:p>
    <w:p w14:paraId="75220BC6" w14:textId="29C21667" w:rsidR="00C57BB6" w:rsidRPr="002F2B00" w:rsidRDefault="00C57BB6" w:rsidP="00041C28">
      <w:pPr>
        <w:pStyle w:val="ListParagraph"/>
        <w:numPr>
          <w:ilvl w:val="1"/>
          <w:numId w:val="41"/>
        </w:numPr>
        <w:rPr>
          <w:szCs w:val="24"/>
        </w:rPr>
      </w:pPr>
      <w:r w:rsidRPr="002F2B00">
        <w:rPr>
          <w:szCs w:val="24"/>
        </w:rPr>
        <w:t xml:space="preserve">The </w:t>
      </w:r>
      <w:r w:rsidRPr="002F2B00">
        <w:t xml:space="preserve">UN Principles on the Effective Prevention and Investigation of Extra-legal, Arbitrary and Summary Executions support this approach </w:t>
      </w:r>
      <w:proofErr w:type="gramStart"/>
      <w:r w:rsidRPr="002F2B00">
        <w:t>stating</w:t>
      </w:r>
      <w:proofErr w:type="gramEnd"/>
      <w:r w:rsidRPr="002F2B00">
        <w:t xml:space="preserve"> “there shall be thorough, prompt and impartial investigations of all suspected cases of extra-legal, arbitrary and summary executions, including cases where complaints by relatives or other reliable reports suggest unnatural deaths”.</w:t>
      </w:r>
      <w:r w:rsidRPr="002F2B00">
        <w:rPr>
          <w:rStyle w:val="FootnoteReference"/>
        </w:rPr>
        <w:footnoteReference w:id="172"/>
      </w:r>
    </w:p>
    <w:p w14:paraId="2BE32D7A" w14:textId="77777777" w:rsidR="00371709" w:rsidRPr="002F2B00" w:rsidRDefault="00371709" w:rsidP="000A72D6">
      <w:pPr>
        <w:pStyle w:val="ListParagraph"/>
        <w:rPr>
          <w:szCs w:val="24"/>
        </w:rPr>
      </w:pPr>
    </w:p>
    <w:p w14:paraId="60887685" w14:textId="46D0E152" w:rsidR="006A649A" w:rsidRPr="002F2B00" w:rsidRDefault="000A72D6" w:rsidP="00041C28">
      <w:pPr>
        <w:pStyle w:val="ListParagraph"/>
        <w:numPr>
          <w:ilvl w:val="1"/>
          <w:numId w:val="41"/>
        </w:numPr>
        <w:rPr>
          <w:szCs w:val="24"/>
        </w:rPr>
      </w:pPr>
      <w:r w:rsidRPr="002F2B00">
        <w:rPr>
          <w:szCs w:val="24"/>
        </w:rPr>
        <w:t xml:space="preserve">The UN </w:t>
      </w:r>
      <w:r w:rsidRPr="002F2B00">
        <w:t>Declaration on the Protection of All Persons from Enforced Disappearance, Article 13(4), states in the context of investigating enforced disappearance, “the findings of such an investigation shall be made available upon request by all persons concerned, unless doing so would jeopardi</w:t>
      </w:r>
      <w:r w:rsidR="00430086" w:rsidRPr="002F2B00">
        <w:t>s</w:t>
      </w:r>
      <w:r w:rsidRPr="002F2B00">
        <w:t>e an ongoing criminal investigation”.</w:t>
      </w:r>
      <w:r w:rsidRPr="002F2B00">
        <w:rPr>
          <w:rStyle w:val="FootnoteReference"/>
        </w:rPr>
        <w:footnoteReference w:id="173"/>
      </w:r>
    </w:p>
    <w:p w14:paraId="6E37B391" w14:textId="77777777" w:rsidR="006A649A" w:rsidRPr="002F2B00" w:rsidRDefault="006A649A" w:rsidP="006A649A">
      <w:pPr>
        <w:pStyle w:val="ListParagraph"/>
      </w:pPr>
    </w:p>
    <w:p w14:paraId="2CEAFC9A" w14:textId="6FB28FE5" w:rsidR="006A649A" w:rsidRPr="002F2B00" w:rsidRDefault="0EFFB76B" w:rsidP="00041C28">
      <w:pPr>
        <w:pStyle w:val="ListParagraph"/>
        <w:numPr>
          <w:ilvl w:val="1"/>
          <w:numId w:val="41"/>
        </w:numPr>
      </w:pPr>
      <w:r w:rsidRPr="002F2B00">
        <w:t xml:space="preserve">The </w:t>
      </w:r>
      <w:r w:rsidR="0002604B" w:rsidRPr="002F2B00">
        <w:t>current draft of the Bill</w:t>
      </w:r>
      <w:r w:rsidR="00D14E78" w:rsidRPr="002F2B00">
        <w:t>’s</w:t>
      </w:r>
      <w:r w:rsidR="0002604B" w:rsidRPr="002F2B00">
        <w:t xml:space="preserve"> propos</w:t>
      </w:r>
      <w:r w:rsidR="00D14E78" w:rsidRPr="002F2B00">
        <w:t>al that there is</w:t>
      </w:r>
      <w:r w:rsidR="0002604B" w:rsidRPr="002F2B00">
        <w:t xml:space="preserve"> </w:t>
      </w:r>
      <w:r w:rsidR="6FA0D5DC" w:rsidRPr="002F2B00">
        <w:t>express provision for k</w:t>
      </w:r>
      <w:r w:rsidR="04DA8456" w:rsidRPr="002F2B00">
        <w:t>eeping family members informed is welcomed.</w:t>
      </w:r>
      <w:r w:rsidR="003E360D" w:rsidRPr="002F2B00">
        <w:rPr>
          <w:rStyle w:val="FootnoteReference"/>
        </w:rPr>
        <w:footnoteReference w:id="174"/>
      </w:r>
      <w:r w:rsidR="04DA8456" w:rsidRPr="002F2B00">
        <w:t xml:space="preserve"> </w:t>
      </w:r>
      <w:r w:rsidR="001D50A8" w:rsidRPr="002F2B00">
        <w:t>Yet, the current draft of t</w:t>
      </w:r>
      <w:r w:rsidR="00BD30DE" w:rsidRPr="002F2B00">
        <w:t>he</w:t>
      </w:r>
      <w:r w:rsidR="04DA8456" w:rsidRPr="002F2B00">
        <w:t xml:space="preserve"> Bill </w:t>
      </w:r>
      <w:r w:rsidR="00B5143A" w:rsidRPr="002F2B00">
        <w:t>proposes creating</w:t>
      </w:r>
      <w:r w:rsidR="04DA8456" w:rsidRPr="002F2B00">
        <w:t xml:space="preserve"> a two-tiered approach</w:t>
      </w:r>
      <w:r w:rsidR="00BD30DE" w:rsidRPr="002F2B00">
        <w:t>. A</w:t>
      </w:r>
      <w:r w:rsidR="391EDCB9" w:rsidRPr="002F2B00">
        <w:t xml:space="preserve"> </w:t>
      </w:r>
      <w:r w:rsidR="599C1C01" w:rsidRPr="002F2B00">
        <w:t>‘</w:t>
      </w:r>
      <w:r w:rsidR="391EDCB9" w:rsidRPr="002F2B00">
        <w:t>close family member</w:t>
      </w:r>
      <w:r w:rsidR="599C1C01" w:rsidRPr="002F2B00">
        <w:t>’</w:t>
      </w:r>
      <w:r w:rsidR="391EDCB9" w:rsidRPr="002F2B00">
        <w:t xml:space="preserve"> has precedence over </w:t>
      </w:r>
      <w:r w:rsidR="599C1C01" w:rsidRPr="002F2B00">
        <w:t>‘</w:t>
      </w:r>
      <w:r w:rsidR="391EDCB9" w:rsidRPr="002F2B00">
        <w:t>other family members</w:t>
      </w:r>
      <w:r w:rsidR="599C1C01" w:rsidRPr="002F2B00">
        <w:t>’</w:t>
      </w:r>
      <w:r w:rsidR="391EDCB9" w:rsidRPr="002F2B00">
        <w:t>.</w:t>
      </w:r>
      <w:r w:rsidR="00AC2BFB" w:rsidRPr="002F2B00">
        <w:rPr>
          <w:rStyle w:val="FootnoteReference"/>
        </w:rPr>
        <w:footnoteReference w:id="175"/>
      </w:r>
      <w:r w:rsidR="1E151B02" w:rsidRPr="002F2B00">
        <w:t xml:space="preserve"> </w:t>
      </w:r>
      <w:r w:rsidR="00964D26" w:rsidRPr="002F2B00">
        <w:t>T</w:t>
      </w:r>
      <w:r w:rsidR="00BD30DE" w:rsidRPr="002F2B00">
        <w:t xml:space="preserve">his </w:t>
      </w:r>
      <w:r w:rsidR="6E382E69" w:rsidRPr="002F2B00">
        <w:t xml:space="preserve">is not dissimilar </w:t>
      </w:r>
      <w:r w:rsidR="00BD30DE" w:rsidRPr="002F2B00">
        <w:t xml:space="preserve">to </w:t>
      </w:r>
      <w:r w:rsidR="6E382E69" w:rsidRPr="002F2B00">
        <w:t xml:space="preserve">the </w:t>
      </w:r>
      <w:r w:rsidR="000B45FD" w:rsidRPr="002F2B00">
        <w:t xml:space="preserve">ECtHR’s </w:t>
      </w:r>
      <w:r w:rsidR="00964D26" w:rsidRPr="002F2B00">
        <w:t xml:space="preserve">definition of </w:t>
      </w:r>
      <w:r w:rsidR="6E382E69" w:rsidRPr="002F2B00">
        <w:t xml:space="preserve">next of kin, </w:t>
      </w:r>
      <w:r w:rsidR="48505E71" w:rsidRPr="002F2B00">
        <w:t xml:space="preserve">but </w:t>
      </w:r>
      <w:r w:rsidR="004D6C14" w:rsidRPr="002F2B00">
        <w:t xml:space="preserve">the present Bill’s proposed interpretation of a close family member </w:t>
      </w:r>
      <w:r w:rsidR="00BD30DE" w:rsidRPr="002F2B00">
        <w:t>is</w:t>
      </w:r>
      <w:r w:rsidR="48505E71" w:rsidRPr="002F2B00">
        <w:t xml:space="preserve"> narrower</w:t>
      </w:r>
      <w:r w:rsidR="04DA8456" w:rsidRPr="002F2B00">
        <w:t>.</w:t>
      </w:r>
      <w:r w:rsidR="003E360D" w:rsidRPr="002F2B00">
        <w:rPr>
          <w:vertAlign w:val="superscript"/>
        </w:rPr>
        <w:footnoteReference w:id="176"/>
      </w:r>
      <w:r w:rsidR="04DA8456" w:rsidRPr="002F2B00">
        <w:t xml:space="preserve"> </w:t>
      </w:r>
      <w:r w:rsidR="48505E71" w:rsidRPr="002F2B00">
        <w:t xml:space="preserve">The </w:t>
      </w:r>
      <w:r w:rsidR="003753B2" w:rsidRPr="002F2B00">
        <w:t xml:space="preserve">current draft of the </w:t>
      </w:r>
      <w:r w:rsidR="48505E71" w:rsidRPr="002F2B00">
        <w:t>Bill</w:t>
      </w:r>
      <w:r w:rsidR="003753B2" w:rsidRPr="002F2B00">
        <w:t xml:space="preserve"> proposes</w:t>
      </w:r>
      <w:r w:rsidR="48505E71" w:rsidRPr="002F2B00">
        <w:t xml:space="preserve"> limit</w:t>
      </w:r>
      <w:r w:rsidR="003753B2" w:rsidRPr="002F2B00">
        <w:t>ing</w:t>
      </w:r>
      <w:r w:rsidR="48505E71" w:rsidRPr="002F2B00">
        <w:t xml:space="preserve"> </w:t>
      </w:r>
      <w:r w:rsidR="7049B712" w:rsidRPr="002F2B00">
        <w:t xml:space="preserve">a close family member to a </w:t>
      </w:r>
      <w:r w:rsidR="2B7D3041" w:rsidRPr="002F2B00">
        <w:t xml:space="preserve">victim’s </w:t>
      </w:r>
      <w:r w:rsidR="7049B712" w:rsidRPr="002F2B00">
        <w:t>spouse, civil partner, co</w:t>
      </w:r>
      <w:r w:rsidR="2B7D3041" w:rsidRPr="002F2B00">
        <w:t xml:space="preserve">habitee, </w:t>
      </w:r>
      <w:r w:rsidR="53B34184" w:rsidRPr="002F2B00">
        <w:t>child, parent, brother, sister, step-child, s</w:t>
      </w:r>
      <w:r w:rsidR="42CB3A02" w:rsidRPr="002F2B00">
        <w:t>tep-parent, half-brother, half-sister, step-brother or step-sister.</w:t>
      </w:r>
      <w:r w:rsidR="00AF0D0D" w:rsidRPr="002F2B00">
        <w:rPr>
          <w:rStyle w:val="FootnoteReference"/>
        </w:rPr>
        <w:footnoteReference w:id="177"/>
      </w:r>
      <w:r w:rsidR="5C500B67" w:rsidRPr="002F2B00">
        <w:t xml:space="preserve"> </w:t>
      </w:r>
      <w:r w:rsidR="00BD30DE" w:rsidRPr="002F2B00">
        <w:t>In</w:t>
      </w:r>
      <w:r w:rsidR="5C500B67" w:rsidRPr="002F2B00">
        <w:t xml:space="preserve"> right to life </w:t>
      </w:r>
      <w:r w:rsidR="00BD30DE" w:rsidRPr="002F2B00">
        <w:t>cases</w:t>
      </w:r>
      <w:r w:rsidR="5C500B67" w:rsidRPr="002F2B00">
        <w:t>, the ECtHR has accepted married partners,</w:t>
      </w:r>
      <w:r w:rsidR="00F437C7" w:rsidRPr="002F2B00">
        <w:rPr>
          <w:rStyle w:val="FootnoteReference"/>
        </w:rPr>
        <w:footnoteReference w:id="178"/>
      </w:r>
      <w:r w:rsidR="5C500B67" w:rsidRPr="002F2B00">
        <w:t xml:space="preserve"> unmarried partners,</w:t>
      </w:r>
      <w:r w:rsidR="00F437C7" w:rsidRPr="002F2B00">
        <w:rPr>
          <w:rStyle w:val="FootnoteReference"/>
        </w:rPr>
        <w:footnoteReference w:id="179"/>
      </w:r>
      <w:r w:rsidR="5C500B67" w:rsidRPr="002F2B00">
        <w:t xml:space="preserve"> parents,</w:t>
      </w:r>
      <w:r w:rsidR="00F437C7" w:rsidRPr="002F2B00">
        <w:rPr>
          <w:rStyle w:val="FootnoteReference"/>
        </w:rPr>
        <w:footnoteReference w:id="180"/>
      </w:r>
      <w:r w:rsidR="5C500B67" w:rsidRPr="002F2B00">
        <w:t xml:space="preserve"> siblings,</w:t>
      </w:r>
      <w:r w:rsidR="00F437C7" w:rsidRPr="002F2B00">
        <w:rPr>
          <w:rStyle w:val="FootnoteReference"/>
        </w:rPr>
        <w:footnoteReference w:id="181"/>
      </w:r>
      <w:r w:rsidR="5C500B67" w:rsidRPr="002F2B00">
        <w:t xml:space="preserve"> children,</w:t>
      </w:r>
      <w:r w:rsidR="00F437C7" w:rsidRPr="002F2B00">
        <w:rPr>
          <w:rStyle w:val="FootnoteReference"/>
        </w:rPr>
        <w:footnoteReference w:id="182"/>
      </w:r>
      <w:r w:rsidR="5C500B67" w:rsidRPr="002F2B00">
        <w:t xml:space="preserve"> and nephews.</w:t>
      </w:r>
      <w:r w:rsidR="00F437C7" w:rsidRPr="002F2B00">
        <w:rPr>
          <w:rStyle w:val="FootnoteReference"/>
        </w:rPr>
        <w:footnoteReference w:id="183"/>
      </w:r>
      <w:r w:rsidR="5C500B67" w:rsidRPr="002F2B00">
        <w:rPr>
          <w:szCs w:val="24"/>
        </w:rPr>
        <w:t xml:space="preserve"> </w:t>
      </w:r>
      <w:r w:rsidR="003753B2" w:rsidRPr="002F2B00">
        <w:rPr>
          <w:szCs w:val="24"/>
        </w:rPr>
        <w:t xml:space="preserve">The ECtHR has </w:t>
      </w:r>
      <w:r w:rsidR="00BD30DE" w:rsidRPr="002F2B00">
        <w:rPr>
          <w:szCs w:val="24"/>
        </w:rPr>
        <w:t xml:space="preserve">also </w:t>
      </w:r>
      <w:r w:rsidR="69D71F5C" w:rsidRPr="002F2B00">
        <w:t>indicate</w:t>
      </w:r>
      <w:r w:rsidR="003753B2" w:rsidRPr="002F2B00">
        <w:t>d</w:t>
      </w:r>
      <w:r w:rsidR="69D71F5C" w:rsidRPr="002F2B00">
        <w:t xml:space="preserve"> that nieces, aunts, uncles and grandparents </w:t>
      </w:r>
      <w:r w:rsidR="09843918" w:rsidRPr="002F2B00">
        <w:t>could be categorised as a</w:t>
      </w:r>
      <w:r w:rsidR="37A751FB" w:rsidRPr="002F2B00">
        <w:t xml:space="preserve"> close family member.</w:t>
      </w:r>
    </w:p>
    <w:p w14:paraId="320CCB60" w14:textId="77777777" w:rsidR="00941453" w:rsidRPr="002F2B00" w:rsidRDefault="00941453" w:rsidP="00941453">
      <w:pPr>
        <w:pStyle w:val="ListParagraph"/>
        <w:rPr>
          <w:szCs w:val="24"/>
        </w:rPr>
      </w:pPr>
    </w:p>
    <w:p w14:paraId="6BAEF57E" w14:textId="0495A7A5" w:rsidR="00941453" w:rsidRPr="002F2B00" w:rsidRDefault="00941453" w:rsidP="00041C28">
      <w:pPr>
        <w:pStyle w:val="ListParagraph"/>
        <w:numPr>
          <w:ilvl w:val="1"/>
          <w:numId w:val="41"/>
        </w:numPr>
        <w:rPr>
          <w:szCs w:val="24"/>
        </w:rPr>
      </w:pPr>
      <w:r w:rsidRPr="002F2B00">
        <w:rPr>
          <w:szCs w:val="24"/>
        </w:rPr>
        <w:t>In recent years, the ECtHR has also found that</w:t>
      </w:r>
      <w:r w:rsidR="00E50256" w:rsidRPr="002F2B00">
        <w:rPr>
          <w:szCs w:val="24"/>
        </w:rPr>
        <w:t xml:space="preserve"> </w:t>
      </w:r>
      <w:r w:rsidR="00701776" w:rsidRPr="002F2B00">
        <w:rPr>
          <w:szCs w:val="24"/>
        </w:rPr>
        <w:t xml:space="preserve">it </w:t>
      </w:r>
      <w:r w:rsidR="00E50256" w:rsidRPr="002F2B00">
        <w:rPr>
          <w:szCs w:val="24"/>
        </w:rPr>
        <w:t xml:space="preserve">may be possible for a person with “close personal links” and </w:t>
      </w:r>
      <w:r w:rsidR="00BB21F7" w:rsidRPr="002F2B00">
        <w:rPr>
          <w:szCs w:val="24"/>
        </w:rPr>
        <w:t xml:space="preserve">who </w:t>
      </w:r>
      <w:r w:rsidR="00E50256" w:rsidRPr="002F2B00">
        <w:rPr>
          <w:szCs w:val="24"/>
        </w:rPr>
        <w:t>“provides care”</w:t>
      </w:r>
      <w:r w:rsidR="00E50256" w:rsidRPr="002F2B00">
        <w:rPr>
          <w:rStyle w:val="FootnoteReference"/>
          <w:szCs w:val="24"/>
        </w:rPr>
        <w:footnoteReference w:id="184"/>
      </w:r>
      <w:r w:rsidR="00E50256" w:rsidRPr="002F2B00">
        <w:rPr>
          <w:szCs w:val="24"/>
        </w:rPr>
        <w:t xml:space="preserve"> for a victim </w:t>
      </w:r>
      <w:r w:rsidR="00BB21F7" w:rsidRPr="002F2B00">
        <w:rPr>
          <w:szCs w:val="24"/>
        </w:rPr>
        <w:t>that</w:t>
      </w:r>
      <w:r w:rsidR="00E50256" w:rsidRPr="002F2B00">
        <w:rPr>
          <w:szCs w:val="24"/>
        </w:rPr>
        <w:t xml:space="preserve"> “has no capacity of discernment” to take </w:t>
      </w:r>
      <w:r w:rsidR="00BB21F7" w:rsidRPr="002F2B00">
        <w:rPr>
          <w:szCs w:val="24"/>
        </w:rPr>
        <w:t xml:space="preserve">an </w:t>
      </w:r>
      <w:r w:rsidR="00E50256" w:rsidRPr="002F2B00">
        <w:rPr>
          <w:szCs w:val="24"/>
        </w:rPr>
        <w:t>action.</w:t>
      </w:r>
      <w:r w:rsidR="00E50256" w:rsidRPr="002F2B00">
        <w:rPr>
          <w:rStyle w:val="FootnoteReference"/>
          <w:szCs w:val="24"/>
        </w:rPr>
        <w:footnoteReference w:id="185"/>
      </w:r>
      <w:r w:rsidR="00E50256" w:rsidRPr="002F2B00">
        <w:rPr>
          <w:szCs w:val="24"/>
        </w:rPr>
        <w:t xml:space="preserve"> </w:t>
      </w:r>
    </w:p>
    <w:p w14:paraId="5330517E" w14:textId="77777777" w:rsidR="006A649A" w:rsidRPr="002F2B00" w:rsidRDefault="006A649A" w:rsidP="006A649A">
      <w:pPr>
        <w:pStyle w:val="ListParagraph"/>
        <w:rPr>
          <w:szCs w:val="24"/>
        </w:rPr>
      </w:pPr>
    </w:p>
    <w:p w14:paraId="77FCED51" w14:textId="6845578C" w:rsidR="00AF1C59" w:rsidRPr="002F2B00" w:rsidRDefault="006A649A" w:rsidP="00041C28">
      <w:pPr>
        <w:pStyle w:val="ListParagraph"/>
        <w:numPr>
          <w:ilvl w:val="1"/>
          <w:numId w:val="41"/>
        </w:numPr>
        <w:rPr>
          <w:b/>
          <w:bCs/>
          <w:szCs w:val="24"/>
        </w:rPr>
      </w:pPr>
      <w:r w:rsidRPr="002F2B00">
        <w:rPr>
          <w:b/>
          <w:bCs/>
          <w:szCs w:val="24"/>
        </w:rPr>
        <w:t>The NIHRC advises that</w:t>
      </w:r>
      <w:r w:rsidR="00A50D32" w:rsidRPr="002F2B00">
        <w:rPr>
          <w:b/>
          <w:bCs/>
          <w:szCs w:val="24"/>
        </w:rPr>
        <w:t>,</w:t>
      </w:r>
      <w:r w:rsidRPr="002F2B00">
        <w:rPr>
          <w:b/>
          <w:bCs/>
          <w:szCs w:val="24"/>
        </w:rPr>
        <w:t xml:space="preserve"> </w:t>
      </w:r>
      <w:r w:rsidR="00141DD6" w:rsidRPr="002F2B00">
        <w:rPr>
          <w:b/>
          <w:bCs/>
          <w:szCs w:val="24"/>
        </w:rPr>
        <w:t>considering human rights jurisprudence</w:t>
      </w:r>
      <w:r w:rsidR="00A50D32" w:rsidRPr="002F2B00">
        <w:rPr>
          <w:b/>
          <w:bCs/>
          <w:szCs w:val="24"/>
        </w:rPr>
        <w:t>,</w:t>
      </w:r>
      <w:r w:rsidR="00141DD6" w:rsidRPr="002F2B00">
        <w:rPr>
          <w:b/>
          <w:bCs/>
          <w:szCs w:val="24"/>
        </w:rPr>
        <w:t xml:space="preserve"> </w:t>
      </w:r>
      <w:r w:rsidR="00BD30DE" w:rsidRPr="002F2B00">
        <w:rPr>
          <w:b/>
          <w:bCs/>
          <w:szCs w:val="24"/>
        </w:rPr>
        <w:t>the</w:t>
      </w:r>
      <w:r w:rsidRPr="002F2B00">
        <w:rPr>
          <w:b/>
          <w:bCs/>
          <w:szCs w:val="24"/>
        </w:rPr>
        <w:t xml:space="preserve"> </w:t>
      </w:r>
      <w:r w:rsidR="002A3D06" w:rsidRPr="002F2B00">
        <w:rPr>
          <w:b/>
          <w:bCs/>
          <w:szCs w:val="24"/>
        </w:rPr>
        <w:t xml:space="preserve">proposed </w:t>
      </w:r>
      <w:r w:rsidR="00BD30DE" w:rsidRPr="002F2B00">
        <w:rPr>
          <w:b/>
          <w:bCs/>
          <w:szCs w:val="24"/>
        </w:rPr>
        <w:t xml:space="preserve">definition </w:t>
      </w:r>
      <w:r w:rsidRPr="002F2B00">
        <w:rPr>
          <w:b/>
          <w:bCs/>
          <w:szCs w:val="24"/>
        </w:rPr>
        <w:t xml:space="preserve">of </w:t>
      </w:r>
      <w:r w:rsidR="00FB45E6" w:rsidRPr="002F2B00">
        <w:rPr>
          <w:b/>
          <w:bCs/>
          <w:szCs w:val="24"/>
        </w:rPr>
        <w:t>‘</w:t>
      </w:r>
      <w:r w:rsidRPr="002F2B00">
        <w:rPr>
          <w:b/>
          <w:bCs/>
          <w:szCs w:val="24"/>
        </w:rPr>
        <w:t>close family member</w:t>
      </w:r>
      <w:r w:rsidR="00FB45E6" w:rsidRPr="002F2B00">
        <w:rPr>
          <w:b/>
          <w:bCs/>
          <w:szCs w:val="24"/>
        </w:rPr>
        <w:t>’</w:t>
      </w:r>
      <w:r w:rsidRPr="002F2B00">
        <w:rPr>
          <w:b/>
          <w:bCs/>
          <w:szCs w:val="24"/>
        </w:rPr>
        <w:t xml:space="preserve"> </w:t>
      </w:r>
      <w:r w:rsidR="00073421" w:rsidRPr="002F2B00">
        <w:rPr>
          <w:b/>
          <w:bCs/>
          <w:szCs w:val="24"/>
        </w:rPr>
        <w:t xml:space="preserve">within the current draft of the Bill </w:t>
      </w:r>
      <w:r w:rsidRPr="002F2B00">
        <w:rPr>
          <w:b/>
          <w:bCs/>
          <w:szCs w:val="24"/>
        </w:rPr>
        <w:t>is too narrow</w:t>
      </w:r>
      <w:r w:rsidR="00C30BDB" w:rsidRPr="002F2B00">
        <w:rPr>
          <w:b/>
          <w:bCs/>
          <w:szCs w:val="24"/>
        </w:rPr>
        <w:t xml:space="preserve">. </w:t>
      </w:r>
      <w:r w:rsidR="002A3D06" w:rsidRPr="002F2B00">
        <w:rPr>
          <w:b/>
          <w:bCs/>
          <w:szCs w:val="24"/>
        </w:rPr>
        <w:t>It</w:t>
      </w:r>
      <w:r w:rsidR="00141DD6" w:rsidRPr="002F2B00">
        <w:rPr>
          <w:b/>
          <w:bCs/>
          <w:szCs w:val="24"/>
        </w:rPr>
        <w:t xml:space="preserve"> </w:t>
      </w:r>
      <w:r w:rsidR="00BD30DE" w:rsidRPr="002F2B00">
        <w:rPr>
          <w:b/>
          <w:bCs/>
          <w:szCs w:val="24"/>
        </w:rPr>
        <w:t>should</w:t>
      </w:r>
      <w:r w:rsidR="00C30BDB" w:rsidRPr="002F2B00">
        <w:rPr>
          <w:b/>
          <w:bCs/>
          <w:szCs w:val="24"/>
        </w:rPr>
        <w:t xml:space="preserve"> extend to grandparents, aunts, uncles, </w:t>
      </w:r>
      <w:proofErr w:type="gramStart"/>
      <w:r w:rsidR="003F6465" w:rsidRPr="002F2B00">
        <w:rPr>
          <w:b/>
          <w:bCs/>
          <w:szCs w:val="24"/>
        </w:rPr>
        <w:t>nieces</w:t>
      </w:r>
      <w:proofErr w:type="gramEnd"/>
      <w:r w:rsidR="00C30BDB" w:rsidRPr="002F2B00">
        <w:rPr>
          <w:b/>
          <w:bCs/>
          <w:szCs w:val="24"/>
        </w:rPr>
        <w:t xml:space="preserve"> or nephews</w:t>
      </w:r>
      <w:r w:rsidR="00BD30DE" w:rsidRPr="002F2B00">
        <w:rPr>
          <w:b/>
          <w:bCs/>
          <w:szCs w:val="24"/>
        </w:rPr>
        <w:t>.</w:t>
      </w:r>
      <w:r w:rsidR="00E50256" w:rsidRPr="002F2B00">
        <w:rPr>
          <w:b/>
          <w:bCs/>
          <w:szCs w:val="24"/>
        </w:rPr>
        <w:t xml:space="preserve"> </w:t>
      </w:r>
    </w:p>
    <w:p w14:paraId="3D292BC5" w14:textId="77777777" w:rsidR="00AF1C59" w:rsidRPr="002F2B00" w:rsidRDefault="00AF1C59" w:rsidP="00AF1C59">
      <w:pPr>
        <w:pStyle w:val="ListParagraph"/>
        <w:rPr>
          <w:b/>
          <w:bCs/>
          <w:szCs w:val="24"/>
        </w:rPr>
      </w:pPr>
    </w:p>
    <w:p w14:paraId="512352E7" w14:textId="66E6F235" w:rsidR="006A649A" w:rsidRPr="002F2B00" w:rsidRDefault="00AF1C59" w:rsidP="00041C28">
      <w:pPr>
        <w:pStyle w:val="ListParagraph"/>
        <w:numPr>
          <w:ilvl w:val="1"/>
          <w:numId w:val="41"/>
        </w:numPr>
        <w:rPr>
          <w:b/>
          <w:bCs/>
          <w:szCs w:val="24"/>
        </w:rPr>
      </w:pPr>
      <w:r w:rsidRPr="002F2B00">
        <w:rPr>
          <w:b/>
          <w:bCs/>
          <w:szCs w:val="24"/>
        </w:rPr>
        <w:t>The NIHRC advises that</w:t>
      </w:r>
      <w:r w:rsidR="00C61C9B" w:rsidRPr="002F2B00">
        <w:rPr>
          <w:b/>
          <w:bCs/>
          <w:szCs w:val="24"/>
        </w:rPr>
        <w:t>, considering human rights jurisprudence,</w:t>
      </w:r>
      <w:r w:rsidRPr="002F2B00">
        <w:rPr>
          <w:b/>
          <w:bCs/>
          <w:szCs w:val="24"/>
        </w:rPr>
        <w:t xml:space="preserve"> </w:t>
      </w:r>
      <w:r w:rsidR="002A3D06" w:rsidRPr="002F2B00">
        <w:rPr>
          <w:b/>
          <w:bCs/>
          <w:szCs w:val="24"/>
        </w:rPr>
        <w:t xml:space="preserve">the definition of </w:t>
      </w:r>
      <w:r w:rsidR="00FB45E6" w:rsidRPr="002F2B00">
        <w:rPr>
          <w:b/>
          <w:bCs/>
          <w:szCs w:val="24"/>
        </w:rPr>
        <w:t xml:space="preserve">‘other family member’ </w:t>
      </w:r>
      <w:r w:rsidR="002A3D06" w:rsidRPr="002F2B00">
        <w:rPr>
          <w:b/>
          <w:bCs/>
          <w:szCs w:val="24"/>
        </w:rPr>
        <w:t xml:space="preserve">within the current draft of the Bill </w:t>
      </w:r>
      <w:r w:rsidR="00161B1B" w:rsidRPr="002F2B00">
        <w:rPr>
          <w:b/>
          <w:bCs/>
          <w:szCs w:val="24"/>
        </w:rPr>
        <w:t xml:space="preserve">should </w:t>
      </w:r>
      <w:r w:rsidR="00E50256" w:rsidRPr="002F2B00">
        <w:rPr>
          <w:b/>
          <w:bCs/>
          <w:szCs w:val="24"/>
        </w:rPr>
        <w:t xml:space="preserve">take account of </w:t>
      </w:r>
      <w:r w:rsidR="00247E0A" w:rsidRPr="002F2B00">
        <w:rPr>
          <w:b/>
          <w:bCs/>
          <w:szCs w:val="24"/>
        </w:rPr>
        <w:t xml:space="preserve">situations where </w:t>
      </w:r>
      <w:r w:rsidR="00CE6954" w:rsidRPr="002F2B00">
        <w:rPr>
          <w:b/>
          <w:bCs/>
          <w:szCs w:val="24"/>
        </w:rPr>
        <w:t xml:space="preserve">it may be appropriate for </w:t>
      </w:r>
      <w:r w:rsidR="00247E0A" w:rsidRPr="002F2B00">
        <w:rPr>
          <w:b/>
          <w:bCs/>
          <w:szCs w:val="24"/>
        </w:rPr>
        <w:t xml:space="preserve">a non-familial person, with </w:t>
      </w:r>
      <w:r w:rsidR="00247E0A" w:rsidRPr="002F2B00">
        <w:rPr>
          <w:b/>
          <w:bCs/>
          <w:szCs w:val="24"/>
        </w:rPr>
        <w:lastRenderedPageBreak/>
        <w:t>close personal links</w:t>
      </w:r>
      <w:r w:rsidR="00CE6954" w:rsidRPr="002F2B00">
        <w:rPr>
          <w:b/>
          <w:bCs/>
          <w:szCs w:val="24"/>
        </w:rPr>
        <w:t xml:space="preserve"> and who </w:t>
      </w:r>
      <w:r w:rsidR="00247E0A" w:rsidRPr="002F2B00">
        <w:rPr>
          <w:b/>
          <w:bCs/>
          <w:szCs w:val="24"/>
        </w:rPr>
        <w:t xml:space="preserve">provides care for a victim to </w:t>
      </w:r>
      <w:r w:rsidR="00CE6954" w:rsidRPr="002F2B00">
        <w:rPr>
          <w:b/>
          <w:bCs/>
          <w:szCs w:val="24"/>
        </w:rPr>
        <w:t>seek remedy on the victim’s behalf</w:t>
      </w:r>
      <w:r w:rsidR="00247E0A" w:rsidRPr="002F2B00">
        <w:rPr>
          <w:b/>
          <w:bCs/>
          <w:szCs w:val="24"/>
        </w:rPr>
        <w:t>.</w:t>
      </w:r>
    </w:p>
    <w:p w14:paraId="136AA2C5" w14:textId="4F9394DB" w:rsidR="00335115" w:rsidRPr="002F2B00" w:rsidRDefault="00335115" w:rsidP="00C217B5">
      <w:pPr>
        <w:rPr>
          <w:b/>
          <w:szCs w:val="24"/>
        </w:rPr>
      </w:pPr>
    </w:p>
    <w:p w14:paraId="76E5CA21" w14:textId="5F9F9AFC" w:rsidR="00B62522" w:rsidRPr="002F2B00" w:rsidRDefault="00B62522" w:rsidP="00773401">
      <w:pPr>
        <w:pStyle w:val="Heading1"/>
      </w:pPr>
      <w:bookmarkStart w:id="18" w:name="_Toc106290056"/>
      <w:bookmarkStart w:id="19" w:name="_Toc106290057"/>
      <w:bookmarkStart w:id="20" w:name="_Toc113517952"/>
      <w:r w:rsidRPr="002F2B00">
        <w:t>3.0</w:t>
      </w:r>
      <w:r w:rsidRPr="002F2B00">
        <w:tab/>
        <w:t>Scope of the ICRIR</w:t>
      </w:r>
      <w:bookmarkEnd w:id="20"/>
    </w:p>
    <w:p w14:paraId="468D5958" w14:textId="582BE3BD" w:rsidR="00153D7B" w:rsidRPr="002F2B00" w:rsidRDefault="00153D7B" w:rsidP="00153D7B">
      <w:pPr>
        <w:pStyle w:val="Heading2"/>
      </w:pPr>
      <w:bookmarkStart w:id="21" w:name="_Toc113517953"/>
      <w:r w:rsidRPr="002F2B00">
        <w:t>Definition of offences</w:t>
      </w:r>
      <w:bookmarkEnd w:id="18"/>
      <w:bookmarkEnd w:id="21"/>
    </w:p>
    <w:p w14:paraId="6041A93A" w14:textId="3177F30A" w:rsidR="00710241" w:rsidRPr="002F2B00" w:rsidRDefault="008A75D7" w:rsidP="00E026D9">
      <w:pPr>
        <w:pStyle w:val="ListParagraph"/>
        <w:numPr>
          <w:ilvl w:val="1"/>
          <w:numId w:val="39"/>
        </w:numPr>
        <w:rPr>
          <w:szCs w:val="24"/>
        </w:rPr>
      </w:pPr>
      <w:r w:rsidRPr="002F2B00">
        <w:t xml:space="preserve">The </w:t>
      </w:r>
      <w:r w:rsidR="00C61C9B" w:rsidRPr="002F2B00">
        <w:t xml:space="preserve">current draft of the </w:t>
      </w:r>
      <w:r w:rsidRPr="002F2B00">
        <w:t xml:space="preserve">Bill </w:t>
      </w:r>
      <w:r w:rsidR="00C61C9B" w:rsidRPr="002F2B00">
        <w:t xml:space="preserve">proposes </w:t>
      </w:r>
      <w:r w:rsidRPr="002F2B00">
        <w:t>recognis</w:t>
      </w:r>
      <w:r w:rsidR="00C61C9B" w:rsidRPr="002F2B00">
        <w:t>ing</w:t>
      </w:r>
      <w:r w:rsidRPr="002F2B00">
        <w:t xml:space="preserve"> someone who </w:t>
      </w:r>
      <w:r w:rsidR="0095354E" w:rsidRPr="002F2B00">
        <w:t>h</w:t>
      </w:r>
      <w:r w:rsidRPr="002F2B00">
        <w:t xml:space="preserve">as died or someone who has suffered </w:t>
      </w:r>
      <w:r w:rsidR="00674ABA" w:rsidRPr="002F2B00">
        <w:t xml:space="preserve">very specific </w:t>
      </w:r>
      <w:r w:rsidRPr="002F2B00">
        <w:t>serious physical or mental harm</w:t>
      </w:r>
      <w:r w:rsidR="00E50A1E" w:rsidRPr="002F2B00">
        <w:t xml:space="preserve"> (as defined by clause 1(6) of the Bill)</w:t>
      </w:r>
      <w:r w:rsidRPr="002F2B00">
        <w:t xml:space="preserve"> </w:t>
      </w:r>
      <w:r w:rsidR="006B26D5" w:rsidRPr="002F2B00">
        <w:t>due to a Troubles-related offence as a direct victim for the purposes of the ICRIR’s work.</w:t>
      </w:r>
      <w:r w:rsidR="0095354E" w:rsidRPr="002F2B00">
        <w:rPr>
          <w:rStyle w:val="FootnoteReference"/>
        </w:rPr>
        <w:footnoteReference w:id="186"/>
      </w:r>
      <w:r w:rsidR="006B26D5" w:rsidRPr="002F2B00">
        <w:t xml:space="preserve"> </w:t>
      </w:r>
      <w:r w:rsidR="00DE1D86" w:rsidRPr="002F2B00">
        <w:t>The present Bill proposes that i</w:t>
      </w:r>
      <w:r w:rsidR="006B26D5" w:rsidRPr="002F2B00">
        <w:t xml:space="preserve">t is only individuals </w:t>
      </w:r>
      <w:r w:rsidR="0095354E" w:rsidRPr="002F2B00">
        <w:t xml:space="preserve">whose cases </w:t>
      </w:r>
      <w:r w:rsidR="006B26D5" w:rsidRPr="002F2B00">
        <w:t xml:space="preserve">fall within these </w:t>
      </w:r>
      <w:r w:rsidR="00CE5DB1" w:rsidRPr="002F2B00">
        <w:t xml:space="preserve">two </w:t>
      </w:r>
      <w:r w:rsidR="006B26D5" w:rsidRPr="002F2B00">
        <w:t xml:space="preserve">categories that </w:t>
      </w:r>
      <w:r w:rsidR="0095354E" w:rsidRPr="002F2B00">
        <w:t>the ICRIR will consider for review</w:t>
      </w:r>
      <w:r w:rsidR="00703A5B" w:rsidRPr="002F2B00">
        <w:t>.</w:t>
      </w:r>
      <w:r w:rsidR="00C56FA0" w:rsidRPr="002F2B00">
        <w:t xml:space="preserve"> </w:t>
      </w:r>
      <w:r w:rsidR="00F0517B" w:rsidRPr="002F2B00">
        <w:t>The h</w:t>
      </w:r>
      <w:r w:rsidR="00710241" w:rsidRPr="002F2B00">
        <w:t xml:space="preserve">istorical record </w:t>
      </w:r>
      <w:r w:rsidR="00F0517B" w:rsidRPr="002F2B00">
        <w:t>is</w:t>
      </w:r>
      <w:r w:rsidR="00710241" w:rsidRPr="002F2B00">
        <w:t xml:space="preserve"> limited further</w:t>
      </w:r>
      <w:r w:rsidR="00DE1D86" w:rsidRPr="002F2B00">
        <w:t xml:space="preserve"> under the current draft of the Bill</w:t>
      </w:r>
      <w:r w:rsidR="00FF06B7" w:rsidRPr="002F2B00">
        <w:t>.</w:t>
      </w:r>
      <w:r w:rsidR="00C11FFA" w:rsidRPr="002F2B00">
        <w:t xml:space="preserve"> </w:t>
      </w:r>
      <w:r w:rsidR="00DE1D86" w:rsidRPr="002F2B00">
        <w:t>The present Bill also proposes that</w:t>
      </w:r>
      <w:r w:rsidR="00CC4CBF" w:rsidRPr="002F2B00">
        <w:t xml:space="preserve"> the ICRIR is only mandated to create a historical record for Troubles-related deaths, its mandate does not include creating a historical record for serious physical or mental harm,</w:t>
      </w:r>
      <w:r w:rsidR="00CC4CBF" w:rsidRPr="002F2B00">
        <w:rPr>
          <w:rStyle w:val="FootnoteReference"/>
        </w:rPr>
        <w:footnoteReference w:id="187"/>
      </w:r>
      <w:r w:rsidR="00CC4CBF" w:rsidRPr="002F2B00">
        <w:t xml:space="preserve"> with no alternative mechanism available for such cases.</w:t>
      </w:r>
    </w:p>
    <w:p w14:paraId="4C01EA96" w14:textId="77777777" w:rsidR="00710241" w:rsidRPr="002F2B00" w:rsidRDefault="00710241" w:rsidP="00E13C4C"/>
    <w:p w14:paraId="659155EB" w14:textId="0EA47FCF" w:rsidR="00C80BE8" w:rsidRPr="002F2B00" w:rsidRDefault="00710241" w:rsidP="00C80BE8">
      <w:pPr>
        <w:ind w:left="720" w:hanging="720"/>
      </w:pPr>
      <w:r w:rsidRPr="002F2B00">
        <w:t>3.</w:t>
      </w:r>
      <w:r w:rsidR="00EF2A10" w:rsidRPr="002F2B00">
        <w:t>2</w:t>
      </w:r>
      <w:r w:rsidR="00EF2A10" w:rsidRPr="002F2B00">
        <w:tab/>
      </w:r>
      <w:r w:rsidR="00DE464C" w:rsidRPr="002F2B00">
        <w:t>A prescriptive list limited to extreme injuries and that does not accommodate rehabilitative injuries</w:t>
      </w:r>
      <w:r w:rsidR="000A2B06" w:rsidRPr="002F2B00">
        <w:t>, as proposed within the current draft of the Bill,</w:t>
      </w:r>
      <w:r w:rsidR="00DE464C" w:rsidRPr="002F2B00">
        <w:t xml:space="preserve"> is </w:t>
      </w:r>
      <w:r w:rsidR="000A2B06" w:rsidRPr="002F2B00">
        <w:t>unlikely to be deemed</w:t>
      </w:r>
      <w:r w:rsidR="00C746FE" w:rsidRPr="002F2B00">
        <w:t xml:space="preserve"> human rights</w:t>
      </w:r>
      <w:r w:rsidR="00DE464C" w:rsidRPr="002F2B00">
        <w:t xml:space="preserve"> compliant. It ignores the absolute nature of </w:t>
      </w:r>
      <w:r w:rsidR="00C746FE" w:rsidRPr="002F2B00">
        <w:t>the right to freedom from torture</w:t>
      </w:r>
      <w:r w:rsidR="00DE464C" w:rsidRPr="002F2B00">
        <w:t>.</w:t>
      </w:r>
      <w:r w:rsidR="00DE464C" w:rsidRPr="002F2B00">
        <w:rPr>
          <w:vertAlign w:val="superscript"/>
        </w:rPr>
        <w:footnoteReference w:id="188"/>
      </w:r>
      <w:r w:rsidR="00DE464C" w:rsidRPr="002F2B00">
        <w:t xml:space="preserve"> </w:t>
      </w:r>
      <w:r w:rsidR="00C746FE" w:rsidRPr="002F2B00">
        <w:t>ECtHR jurisprudence indicates that e</w:t>
      </w:r>
      <w:r w:rsidR="00DE464C" w:rsidRPr="002F2B00">
        <w:t>ach potential case should be assessed on its own circumstances,</w:t>
      </w:r>
      <w:r w:rsidR="00DE464C" w:rsidRPr="002F2B00">
        <w:rPr>
          <w:vertAlign w:val="superscript"/>
        </w:rPr>
        <w:footnoteReference w:id="189"/>
      </w:r>
      <w:r w:rsidR="00DE464C" w:rsidRPr="002F2B00">
        <w:t xml:space="preserve"> not determined by a rigid list of extreme outcomes. </w:t>
      </w:r>
      <w:r w:rsidR="00CD3C13" w:rsidRPr="002F2B00">
        <w:t>It is also a notable departure from the Victims and Survivors (NI) Order 2006</w:t>
      </w:r>
      <w:r w:rsidR="00E10EDB" w:rsidRPr="002F2B00">
        <w:t xml:space="preserve">, which broadly defines a victim and survivor as </w:t>
      </w:r>
      <w:r w:rsidR="004D343D" w:rsidRPr="002F2B00">
        <w:t>“</w:t>
      </w:r>
      <w:r w:rsidR="00E10EDB" w:rsidRPr="002F2B00">
        <w:t xml:space="preserve">someone who has been </w:t>
      </w:r>
      <w:r w:rsidR="00CE6E32" w:rsidRPr="002F2B00">
        <w:t xml:space="preserve">physically or psychologically injured </w:t>
      </w:r>
      <w:proofErr w:type="gramStart"/>
      <w:r w:rsidR="00CE6E32" w:rsidRPr="002F2B00">
        <w:t>as a result of</w:t>
      </w:r>
      <w:proofErr w:type="gramEnd"/>
      <w:r w:rsidR="00CE6E32" w:rsidRPr="002F2B00">
        <w:t xml:space="preserve"> or in consequence of a conflict-related inciden</w:t>
      </w:r>
      <w:r w:rsidR="00B74259" w:rsidRPr="002F2B00">
        <w:t>t</w:t>
      </w:r>
      <w:r w:rsidR="004D343D" w:rsidRPr="002F2B00">
        <w:t>”</w:t>
      </w:r>
      <w:r w:rsidR="00B74259" w:rsidRPr="002F2B00">
        <w:t xml:space="preserve">, </w:t>
      </w:r>
      <w:r w:rsidR="004D343D" w:rsidRPr="002F2B00">
        <w:t>“someone who provides substantial amount of care on a regular basis for” such an indiv</w:t>
      </w:r>
      <w:r w:rsidR="00E408D2" w:rsidRPr="002F2B00">
        <w:t>i</w:t>
      </w:r>
      <w:r w:rsidR="004D343D" w:rsidRPr="002F2B00">
        <w:t>dual</w:t>
      </w:r>
      <w:r w:rsidR="00B74259" w:rsidRPr="002F2B00">
        <w:t xml:space="preserve">, or </w:t>
      </w:r>
      <w:r w:rsidR="004D343D" w:rsidRPr="002F2B00">
        <w:t>“</w:t>
      </w:r>
      <w:r w:rsidR="00B74259" w:rsidRPr="002F2B00">
        <w:t xml:space="preserve">someone who has been bereaved </w:t>
      </w:r>
      <w:r w:rsidR="004D343D" w:rsidRPr="002F2B00">
        <w:t>as a result of or in consequence of a conflict-related incident”</w:t>
      </w:r>
      <w:r w:rsidR="00CD3C13" w:rsidRPr="002F2B00">
        <w:t>.</w:t>
      </w:r>
      <w:r w:rsidR="00E408D2" w:rsidRPr="002F2B00">
        <w:rPr>
          <w:rStyle w:val="FootnoteReference"/>
        </w:rPr>
        <w:footnoteReference w:id="190"/>
      </w:r>
    </w:p>
    <w:p w14:paraId="449B1EDC" w14:textId="0DFBBAB0" w:rsidR="00E61D78" w:rsidRPr="002F2B00" w:rsidRDefault="00E61D78" w:rsidP="00C80BE8">
      <w:pPr>
        <w:ind w:left="720" w:hanging="720"/>
      </w:pPr>
    </w:p>
    <w:p w14:paraId="0D35A079" w14:textId="498E49AF" w:rsidR="00E61D78" w:rsidRPr="002F2B00" w:rsidRDefault="00E61D78" w:rsidP="00C80BE8">
      <w:pPr>
        <w:ind w:left="720" w:hanging="720"/>
      </w:pPr>
      <w:r w:rsidRPr="0071496D">
        <w:rPr>
          <w:b/>
          <w:bCs/>
        </w:rPr>
        <w:lastRenderedPageBreak/>
        <w:t>3.</w:t>
      </w:r>
      <w:r w:rsidR="00EF2A10" w:rsidRPr="0071496D">
        <w:rPr>
          <w:b/>
          <w:bCs/>
        </w:rPr>
        <w:t>3</w:t>
      </w:r>
      <w:r w:rsidRPr="0071496D">
        <w:rPr>
          <w:b/>
          <w:bCs/>
        </w:rPr>
        <w:tab/>
      </w:r>
      <w:r w:rsidRPr="002F2B00">
        <w:rPr>
          <w:b/>
          <w:bCs/>
        </w:rPr>
        <w:t xml:space="preserve">The NIHRC advises </w:t>
      </w:r>
      <w:r w:rsidR="00680405" w:rsidRPr="002F2B00">
        <w:rPr>
          <w:b/>
          <w:bCs/>
        </w:rPr>
        <w:t>that</w:t>
      </w:r>
      <w:r w:rsidR="00D96E1E" w:rsidRPr="002F2B00">
        <w:rPr>
          <w:b/>
          <w:bCs/>
        </w:rPr>
        <w:t xml:space="preserve"> a human rights compliant approach requires that</w:t>
      </w:r>
      <w:r w:rsidR="00680405" w:rsidRPr="002F2B00">
        <w:rPr>
          <w:b/>
          <w:bCs/>
        </w:rPr>
        <w:t xml:space="preserve"> the Bill </w:t>
      </w:r>
      <w:r w:rsidR="007C0D99" w:rsidRPr="002F2B00">
        <w:rPr>
          <w:b/>
          <w:bCs/>
        </w:rPr>
        <w:t xml:space="preserve">should </w:t>
      </w:r>
      <w:r w:rsidR="00680405" w:rsidRPr="002F2B00">
        <w:rPr>
          <w:b/>
          <w:bCs/>
        </w:rPr>
        <w:t xml:space="preserve">adopt a broad approach </w:t>
      </w:r>
      <w:r w:rsidR="008155CE" w:rsidRPr="002F2B00">
        <w:rPr>
          <w:b/>
          <w:bCs/>
        </w:rPr>
        <w:t>to</w:t>
      </w:r>
      <w:r w:rsidR="00F25B04" w:rsidRPr="002F2B00">
        <w:rPr>
          <w:b/>
          <w:bCs/>
        </w:rPr>
        <w:t xml:space="preserve"> </w:t>
      </w:r>
      <w:r w:rsidR="008C7BED" w:rsidRPr="002F2B00">
        <w:rPr>
          <w:b/>
          <w:bCs/>
        </w:rPr>
        <w:t xml:space="preserve">determining what </w:t>
      </w:r>
      <w:r w:rsidR="00933E81" w:rsidRPr="002F2B00">
        <w:rPr>
          <w:b/>
          <w:bCs/>
        </w:rPr>
        <w:t xml:space="preserve">offences </w:t>
      </w:r>
      <w:r w:rsidR="00350377" w:rsidRPr="002F2B00">
        <w:rPr>
          <w:b/>
          <w:bCs/>
        </w:rPr>
        <w:t>fall within the ICRIR’s mandate</w:t>
      </w:r>
      <w:r w:rsidR="00680405" w:rsidRPr="002F2B00">
        <w:rPr>
          <w:b/>
          <w:bCs/>
        </w:rPr>
        <w:t xml:space="preserve">. </w:t>
      </w:r>
      <w:r w:rsidR="00350377" w:rsidRPr="002F2B00">
        <w:rPr>
          <w:b/>
          <w:bCs/>
        </w:rPr>
        <w:t xml:space="preserve">There should be flexibility </w:t>
      </w:r>
      <w:r w:rsidR="00BE0405" w:rsidRPr="002F2B00">
        <w:rPr>
          <w:b/>
          <w:bCs/>
        </w:rPr>
        <w:t xml:space="preserve">built in to ensure </w:t>
      </w:r>
      <w:r w:rsidR="00350377" w:rsidRPr="002F2B00">
        <w:rPr>
          <w:b/>
          <w:bCs/>
        </w:rPr>
        <w:t>the</w:t>
      </w:r>
      <w:r w:rsidR="00680405" w:rsidRPr="002F2B00">
        <w:rPr>
          <w:b/>
          <w:bCs/>
        </w:rPr>
        <w:t xml:space="preserve"> individual circumstances of each potential case and </w:t>
      </w:r>
      <w:r w:rsidR="00BE0405" w:rsidRPr="002F2B00">
        <w:rPr>
          <w:b/>
          <w:bCs/>
        </w:rPr>
        <w:t xml:space="preserve">broader </w:t>
      </w:r>
      <w:r w:rsidR="00680405" w:rsidRPr="002F2B00">
        <w:rPr>
          <w:b/>
          <w:bCs/>
        </w:rPr>
        <w:t xml:space="preserve">human rights commitments, including </w:t>
      </w:r>
      <w:r w:rsidR="00350377" w:rsidRPr="002F2B00">
        <w:rPr>
          <w:b/>
          <w:bCs/>
        </w:rPr>
        <w:t>the investigative obligations attached to the right to life and freedom from torture</w:t>
      </w:r>
      <w:r w:rsidR="00351D82" w:rsidRPr="002F2B00">
        <w:rPr>
          <w:b/>
          <w:bCs/>
        </w:rPr>
        <w:t>, can be considered</w:t>
      </w:r>
      <w:r w:rsidR="001F50BC" w:rsidRPr="002F2B00">
        <w:rPr>
          <w:b/>
          <w:bCs/>
        </w:rPr>
        <w:t xml:space="preserve"> and </w:t>
      </w:r>
      <w:r w:rsidR="007B56E9" w:rsidRPr="002F2B00">
        <w:rPr>
          <w:b/>
          <w:bCs/>
        </w:rPr>
        <w:t xml:space="preserve">are </w:t>
      </w:r>
      <w:r w:rsidR="001F50BC" w:rsidRPr="002F2B00">
        <w:rPr>
          <w:b/>
          <w:bCs/>
        </w:rPr>
        <w:t xml:space="preserve">used to inform </w:t>
      </w:r>
      <w:r w:rsidR="00DD407F" w:rsidRPr="002F2B00">
        <w:rPr>
          <w:b/>
          <w:bCs/>
        </w:rPr>
        <w:t>the determination of whether a case should be considered by the ICRIR</w:t>
      </w:r>
      <w:r w:rsidR="003A2EED" w:rsidRPr="002F2B00">
        <w:rPr>
          <w:b/>
          <w:bCs/>
        </w:rPr>
        <w:t>.</w:t>
      </w:r>
    </w:p>
    <w:p w14:paraId="08C02049" w14:textId="4DA35394" w:rsidR="000648A2" w:rsidRPr="002F2B00" w:rsidRDefault="000648A2" w:rsidP="00234DD8"/>
    <w:p w14:paraId="7223AB68" w14:textId="76679D09" w:rsidR="00153D7B" w:rsidRPr="002F2B00" w:rsidRDefault="00153D7B" w:rsidP="0042696E">
      <w:pPr>
        <w:pStyle w:val="Heading2"/>
      </w:pPr>
      <w:bookmarkStart w:id="22" w:name="_Toc113517954"/>
      <w:r w:rsidRPr="002F2B00">
        <w:t>Non-duplication</w:t>
      </w:r>
      <w:bookmarkEnd w:id="22"/>
    </w:p>
    <w:p w14:paraId="0A310459" w14:textId="48BEC271" w:rsidR="00653466" w:rsidRPr="002F2B00" w:rsidRDefault="00EF2A10" w:rsidP="00EF2A10">
      <w:pPr>
        <w:ind w:left="720" w:hanging="720"/>
      </w:pPr>
      <w:r w:rsidRPr="002F2B00">
        <w:t>3.4</w:t>
      </w:r>
      <w:r w:rsidRPr="002F2B00">
        <w:tab/>
      </w:r>
      <w:r w:rsidR="00153D7B" w:rsidRPr="002F2B00">
        <w:t xml:space="preserve">The </w:t>
      </w:r>
      <w:r w:rsidR="00AC33B2" w:rsidRPr="002F2B00">
        <w:t xml:space="preserve">ECtHR has determined that the </w:t>
      </w:r>
      <w:r w:rsidR="00153D7B" w:rsidRPr="002F2B00">
        <w:t xml:space="preserve">UK </w:t>
      </w:r>
      <w:r w:rsidR="00BB04C8" w:rsidRPr="002F2B00">
        <w:t xml:space="preserve">Government </w:t>
      </w:r>
      <w:r w:rsidR="00153D7B" w:rsidRPr="002F2B00">
        <w:t>has failed to implement ECtHR judgments stipulating measures to achieve effective investigations into ‘Troubles-related’ deaths since 2001 and this failure is itself resulting in new findings of violations against the UK.</w:t>
      </w:r>
      <w:r w:rsidR="00153D7B" w:rsidRPr="002F2B00">
        <w:rPr>
          <w:rStyle w:val="FootnoteReference"/>
          <w:szCs w:val="24"/>
        </w:rPr>
        <w:footnoteReference w:id="191"/>
      </w:r>
      <w:r w:rsidR="00153D7B" w:rsidRPr="002F2B00">
        <w:t xml:space="preserve"> The </w:t>
      </w:r>
      <w:proofErr w:type="spellStart"/>
      <w:r w:rsidR="006D78C7" w:rsidRPr="002F2B00">
        <w:t>CoE</w:t>
      </w:r>
      <w:proofErr w:type="spellEnd"/>
      <w:r w:rsidR="006D78C7" w:rsidRPr="002F2B00">
        <w:t xml:space="preserve"> </w:t>
      </w:r>
      <w:r w:rsidR="00153D7B" w:rsidRPr="002F2B00">
        <w:t>Committee of Ministers has expressed deep regret that the implementation of the judgments has not occurred.</w:t>
      </w:r>
      <w:r w:rsidR="00153D7B" w:rsidRPr="002F2B00">
        <w:rPr>
          <w:rStyle w:val="FootnoteReference"/>
          <w:szCs w:val="24"/>
        </w:rPr>
        <w:footnoteReference w:id="192"/>
      </w:r>
      <w:r w:rsidR="00153D7B" w:rsidRPr="002F2B00">
        <w:t xml:space="preserve"> </w:t>
      </w:r>
      <w:r w:rsidR="0069196E" w:rsidRPr="002F2B00">
        <w:t xml:space="preserve">It has </w:t>
      </w:r>
      <w:r w:rsidR="006E7616" w:rsidRPr="002F2B00">
        <w:t>emphasised “that it is crucial that the legislation ultimately adopted is in full compliance with the ECHR and will enable effective investigations into all outstanding cases”.</w:t>
      </w:r>
      <w:r w:rsidR="006E7616" w:rsidRPr="002F2B00">
        <w:rPr>
          <w:rStyle w:val="FootnoteReference"/>
        </w:rPr>
        <w:footnoteReference w:id="193"/>
      </w:r>
    </w:p>
    <w:p w14:paraId="7FB7653A" w14:textId="77777777" w:rsidR="00653466" w:rsidRPr="002F2B00" w:rsidRDefault="00653466" w:rsidP="00653466">
      <w:pPr>
        <w:pStyle w:val="ListParagraph"/>
      </w:pPr>
    </w:p>
    <w:p w14:paraId="41EE3F8D" w14:textId="2DD22805" w:rsidR="00653466" w:rsidRPr="002F2B00" w:rsidRDefault="00EF2A10" w:rsidP="00EF2A10">
      <w:pPr>
        <w:ind w:left="720" w:hanging="720"/>
      </w:pPr>
      <w:r w:rsidRPr="002F2B00">
        <w:t>3.5</w:t>
      </w:r>
      <w:r w:rsidRPr="002F2B00">
        <w:tab/>
      </w:r>
      <w:r w:rsidR="7B47C18E" w:rsidRPr="002F2B00">
        <w:t>T</w:t>
      </w:r>
      <w:r w:rsidR="66F01749" w:rsidRPr="002F2B00">
        <w:t xml:space="preserve">he Historical Enquiries Team was a unit of the Police Service NI set up in September 2005 to investigate Troubles-related deaths between January 1969 and 10 April 1998. It was found to be non-compliant with </w:t>
      </w:r>
      <w:r w:rsidR="7B47C18E" w:rsidRPr="002F2B00">
        <w:t xml:space="preserve">Article 2 of </w:t>
      </w:r>
      <w:r w:rsidR="66F01749" w:rsidRPr="002F2B00">
        <w:t>the ECHR</w:t>
      </w:r>
      <w:r w:rsidR="7B47C18E" w:rsidRPr="002F2B00">
        <w:rPr>
          <w:szCs w:val="24"/>
        </w:rPr>
        <w:t xml:space="preserve"> </w:t>
      </w:r>
      <w:r w:rsidR="66F01749" w:rsidRPr="002F2B00">
        <w:t>due to inconsistencies and lack of independence.</w:t>
      </w:r>
      <w:r w:rsidR="00153D7B" w:rsidRPr="002F2B00">
        <w:rPr>
          <w:rStyle w:val="FootnoteReference"/>
        </w:rPr>
        <w:footnoteReference w:id="194"/>
      </w:r>
      <w:r w:rsidR="66F01749" w:rsidRPr="002F2B00">
        <w:rPr>
          <w:szCs w:val="24"/>
        </w:rPr>
        <w:t xml:space="preserve"> </w:t>
      </w:r>
    </w:p>
    <w:p w14:paraId="6C08D7C4" w14:textId="77777777" w:rsidR="00653466" w:rsidRPr="002F2B00" w:rsidRDefault="00653466" w:rsidP="00653466">
      <w:pPr>
        <w:pStyle w:val="ListParagraph"/>
        <w:rPr>
          <w:szCs w:val="24"/>
        </w:rPr>
      </w:pPr>
    </w:p>
    <w:p w14:paraId="113DE667" w14:textId="77777777" w:rsidR="00653466" w:rsidRPr="002F2B00" w:rsidRDefault="00153D7B" w:rsidP="00653466">
      <w:pPr>
        <w:pStyle w:val="ListParagraph"/>
        <w:numPr>
          <w:ilvl w:val="1"/>
          <w:numId w:val="37"/>
        </w:numPr>
      </w:pPr>
      <w:r w:rsidRPr="002F2B00">
        <w:rPr>
          <w:szCs w:val="24"/>
        </w:rPr>
        <w:t>The H</w:t>
      </w:r>
      <w:r w:rsidR="00FF44FE" w:rsidRPr="002F2B00">
        <w:rPr>
          <w:szCs w:val="24"/>
        </w:rPr>
        <w:t xml:space="preserve">istorical </w:t>
      </w:r>
      <w:r w:rsidRPr="002F2B00">
        <w:rPr>
          <w:szCs w:val="24"/>
        </w:rPr>
        <w:t>E</w:t>
      </w:r>
      <w:r w:rsidR="00FF44FE" w:rsidRPr="002F2B00">
        <w:rPr>
          <w:szCs w:val="24"/>
        </w:rPr>
        <w:t xml:space="preserve">nquiries </w:t>
      </w:r>
      <w:r w:rsidRPr="002F2B00">
        <w:rPr>
          <w:szCs w:val="24"/>
        </w:rPr>
        <w:t>T</w:t>
      </w:r>
      <w:r w:rsidR="00FF44FE" w:rsidRPr="002F2B00">
        <w:rPr>
          <w:szCs w:val="24"/>
        </w:rPr>
        <w:t>eam</w:t>
      </w:r>
      <w:r w:rsidRPr="002F2B00">
        <w:rPr>
          <w:szCs w:val="24"/>
        </w:rPr>
        <w:t xml:space="preserve"> was replaced by the Legacy Investigative Branch, a unit within the Police Service NI headed by a Detective Chief Superintendent, tasked with investigating Troubles-related cases between 1 January 1969 and 1 March 2004. The </w:t>
      </w:r>
      <w:r w:rsidR="00F57A60" w:rsidRPr="002F2B00">
        <w:rPr>
          <w:szCs w:val="24"/>
        </w:rPr>
        <w:t>House of Commons and House of Lords</w:t>
      </w:r>
      <w:r w:rsidRPr="002F2B00">
        <w:rPr>
          <w:szCs w:val="24"/>
        </w:rPr>
        <w:t xml:space="preserve"> Joint Committee on Human Rights, has stated that “as well as having fewer resources at its disposal than its predecessor, the </w:t>
      </w:r>
      <w:r w:rsidR="00F57A60" w:rsidRPr="002F2B00">
        <w:rPr>
          <w:szCs w:val="24"/>
        </w:rPr>
        <w:t>Legacy Investigative Branch</w:t>
      </w:r>
      <w:r w:rsidRPr="002F2B00">
        <w:rPr>
          <w:szCs w:val="24"/>
        </w:rPr>
        <w:t xml:space="preserve"> </w:t>
      </w:r>
      <w:r w:rsidRPr="002F2B00">
        <w:rPr>
          <w:szCs w:val="24"/>
        </w:rPr>
        <w:lastRenderedPageBreak/>
        <w:t xml:space="preserve">cannot itself satisfy the requirements of Article 2 </w:t>
      </w:r>
      <w:r w:rsidR="00F57A60" w:rsidRPr="002F2B00">
        <w:rPr>
          <w:szCs w:val="24"/>
        </w:rPr>
        <w:t xml:space="preserve">of the </w:t>
      </w:r>
      <w:r w:rsidRPr="002F2B00">
        <w:rPr>
          <w:szCs w:val="24"/>
        </w:rPr>
        <w:t>ECHR because of its lack of independence from the police service”.</w:t>
      </w:r>
      <w:r w:rsidRPr="002F2B00">
        <w:rPr>
          <w:rStyle w:val="FootnoteReference"/>
          <w:szCs w:val="24"/>
        </w:rPr>
        <w:footnoteReference w:id="195"/>
      </w:r>
      <w:r w:rsidRPr="002F2B00">
        <w:rPr>
          <w:szCs w:val="24"/>
        </w:rPr>
        <w:t xml:space="preserve"> </w:t>
      </w:r>
    </w:p>
    <w:p w14:paraId="0EBCBC96" w14:textId="77777777" w:rsidR="00653466" w:rsidRPr="002F2B00" w:rsidRDefault="00653466" w:rsidP="00653466">
      <w:pPr>
        <w:pStyle w:val="ListParagraph"/>
        <w:rPr>
          <w:szCs w:val="24"/>
        </w:rPr>
      </w:pPr>
    </w:p>
    <w:p w14:paraId="5B99AEE8" w14:textId="7B8DFD5E" w:rsidR="00153D7B" w:rsidRPr="002F2B00" w:rsidRDefault="00153D7B" w:rsidP="00653466">
      <w:pPr>
        <w:pStyle w:val="ListParagraph"/>
        <w:numPr>
          <w:ilvl w:val="1"/>
          <w:numId w:val="37"/>
        </w:numPr>
      </w:pPr>
      <w:r w:rsidRPr="002F2B00">
        <w:rPr>
          <w:szCs w:val="24"/>
        </w:rPr>
        <w:t>The Police Ombudsman</w:t>
      </w:r>
      <w:r w:rsidR="00201E3B" w:rsidRPr="002F2B00">
        <w:rPr>
          <w:szCs w:val="24"/>
        </w:rPr>
        <w:t xml:space="preserve"> for NI</w:t>
      </w:r>
      <w:r w:rsidRPr="002F2B00">
        <w:rPr>
          <w:szCs w:val="24"/>
        </w:rPr>
        <w:t xml:space="preserve"> has established a Historical Investigations Directorate to investigate matters in which members of the Royal Ulster Constabulary “may have been responsible for deaths or serious criminality in the past, and in particular between 1968 until 10 April 1998”.</w:t>
      </w:r>
      <w:r w:rsidRPr="002F2B00">
        <w:rPr>
          <w:rStyle w:val="FootnoteReference"/>
          <w:szCs w:val="24"/>
        </w:rPr>
        <w:footnoteReference w:id="196"/>
      </w:r>
      <w:r w:rsidRPr="002F2B00">
        <w:rPr>
          <w:szCs w:val="24"/>
        </w:rPr>
        <w:t xml:space="preserve"> The Directorate includes staff from a variety of professional backgrounds, including those with an expertise of investigation, complaint handling and dealing with people affected by events during the Troubles.</w:t>
      </w:r>
      <w:r w:rsidRPr="002F2B00">
        <w:rPr>
          <w:rStyle w:val="FootnoteReference"/>
          <w:szCs w:val="24"/>
        </w:rPr>
        <w:footnoteReference w:id="197"/>
      </w:r>
      <w:r w:rsidRPr="002F2B00">
        <w:rPr>
          <w:szCs w:val="24"/>
        </w:rPr>
        <w:t xml:space="preserve"> This does not eliminate the possibility of a conflict of interest, which may bring the independence of an investigation by the Directorate into question.</w:t>
      </w:r>
    </w:p>
    <w:p w14:paraId="31D7DC70" w14:textId="77777777" w:rsidR="00153D7B" w:rsidRPr="002F2B00" w:rsidRDefault="00153D7B" w:rsidP="00153D7B">
      <w:pPr>
        <w:rPr>
          <w:b/>
          <w:szCs w:val="24"/>
        </w:rPr>
      </w:pPr>
    </w:p>
    <w:p w14:paraId="41308C94" w14:textId="1A1987B3" w:rsidR="00153D7B" w:rsidRPr="002F2B00" w:rsidRDefault="66F01749" w:rsidP="00EF2A10">
      <w:pPr>
        <w:pStyle w:val="ListParagraph"/>
        <w:numPr>
          <w:ilvl w:val="1"/>
          <w:numId w:val="37"/>
        </w:numPr>
      </w:pPr>
      <w:r w:rsidRPr="002F2B00">
        <w:t>Noting the inadequacies of previous initiatives</w:t>
      </w:r>
      <w:r w:rsidR="5FBE6262" w:rsidRPr="002F2B00">
        <w:t>,</w:t>
      </w:r>
      <w:r w:rsidRPr="002F2B00">
        <w:t xml:space="preserve"> it is important that the ICRIR is empowered </w:t>
      </w:r>
      <w:r w:rsidR="00801411" w:rsidRPr="002F2B00">
        <w:t xml:space="preserve">within the Bill </w:t>
      </w:r>
      <w:r w:rsidRPr="002F2B00">
        <w:t xml:space="preserve">to investigate all deaths which have not received an effective investigation in full compliance with </w:t>
      </w:r>
      <w:r w:rsidR="003F3A42" w:rsidRPr="002F2B00">
        <w:t xml:space="preserve">human rights standards, including Articles 2 </w:t>
      </w:r>
      <w:r w:rsidR="00FD7BEC" w:rsidRPr="002F2B00">
        <w:t xml:space="preserve">of </w:t>
      </w:r>
      <w:r w:rsidR="003F3A42" w:rsidRPr="002F2B00">
        <w:t>the ECHR</w:t>
      </w:r>
      <w:r w:rsidRPr="002F2B00">
        <w:t>.</w:t>
      </w:r>
      <w:r w:rsidR="006FEF6C" w:rsidRPr="002F2B00">
        <w:t xml:space="preserve"> </w:t>
      </w:r>
      <w:r w:rsidRPr="002F2B00">
        <w:t xml:space="preserve">This includes those deaths which have been the subject of previous initiatives. As stated by the </w:t>
      </w:r>
      <w:proofErr w:type="spellStart"/>
      <w:r w:rsidRPr="002F2B00">
        <w:t>CoE</w:t>
      </w:r>
      <w:proofErr w:type="spellEnd"/>
      <w:r w:rsidRPr="002F2B00">
        <w:t xml:space="preserve"> Committee of Ministers when it:</w:t>
      </w:r>
    </w:p>
    <w:p w14:paraId="7E8DE613" w14:textId="77777777" w:rsidR="00153D7B" w:rsidRPr="002F2B00" w:rsidRDefault="00153D7B" w:rsidP="00153D7B">
      <w:pPr>
        <w:spacing w:line="24" w:lineRule="atLeast"/>
      </w:pPr>
    </w:p>
    <w:p w14:paraId="24C05EB7" w14:textId="77777777" w:rsidR="00153D7B" w:rsidRPr="002F2B00" w:rsidRDefault="00153D7B" w:rsidP="00153D7B">
      <w:pPr>
        <w:pStyle w:val="Quote"/>
        <w:rPr>
          <w:szCs w:val="24"/>
        </w:rPr>
      </w:pPr>
      <w:r w:rsidRPr="002F2B00">
        <w:t xml:space="preserve">called upon the authorities to take all necessary measures to ensure the Historical Investigations Unit can be established and start its work without any further delay, particularly </w:t>
      </w:r>
      <w:proofErr w:type="gramStart"/>
      <w:r w:rsidRPr="002F2B00">
        <w:t>in light of</w:t>
      </w:r>
      <w:proofErr w:type="gramEnd"/>
      <w:r w:rsidRPr="002F2B00">
        <w:t xml:space="preserve"> the length of time that has already passed since these judgments became final and the failure of previous initiatives to achieve effective, expeditious investigations.</w:t>
      </w:r>
      <w:r w:rsidRPr="002F2B00">
        <w:rPr>
          <w:rStyle w:val="FootnoteReference"/>
          <w:szCs w:val="24"/>
        </w:rPr>
        <w:footnoteReference w:id="198"/>
      </w:r>
    </w:p>
    <w:p w14:paraId="0479C3FC" w14:textId="77777777" w:rsidR="00EC6E7E" w:rsidRPr="002F2B00" w:rsidRDefault="00EC6E7E" w:rsidP="003B01CA">
      <w:pPr>
        <w:rPr>
          <w:b/>
          <w:szCs w:val="24"/>
        </w:rPr>
      </w:pPr>
    </w:p>
    <w:p w14:paraId="725DFC30" w14:textId="77777777" w:rsidR="00153D7B" w:rsidRPr="002F2B00" w:rsidRDefault="00153D7B" w:rsidP="00EF2A10">
      <w:pPr>
        <w:pStyle w:val="ListParagraph"/>
        <w:numPr>
          <w:ilvl w:val="1"/>
          <w:numId w:val="37"/>
        </w:numPr>
        <w:rPr>
          <w:szCs w:val="24"/>
        </w:rPr>
      </w:pPr>
      <w:r w:rsidRPr="002F2B00">
        <w:rPr>
          <w:szCs w:val="24"/>
        </w:rPr>
        <w:t xml:space="preserve">The UN </w:t>
      </w:r>
      <w:r w:rsidRPr="002F2B00">
        <w:t>Principles on the Effective Prevention and Investigation of Extra-legal, Arbitrary and Summary Executions further states:</w:t>
      </w:r>
    </w:p>
    <w:p w14:paraId="1AA0AA50" w14:textId="77777777" w:rsidR="00153D7B" w:rsidRPr="002F2B00" w:rsidRDefault="00153D7B" w:rsidP="00153D7B">
      <w:pPr>
        <w:pStyle w:val="ListParagraph"/>
        <w:spacing w:line="24" w:lineRule="atLeast"/>
      </w:pPr>
    </w:p>
    <w:p w14:paraId="20B2869F" w14:textId="77777777" w:rsidR="00153D7B" w:rsidRPr="002F2B00" w:rsidRDefault="00153D7B" w:rsidP="00153D7B">
      <w:pPr>
        <w:pStyle w:val="Quote"/>
      </w:pPr>
      <w:r w:rsidRPr="002F2B00">
        <w:t xml:space="preserve">in cases in which the established investigative procedures are inadequate because of lack of expertise or impartiality, because of the importance of the matter or because of the apparent existence of a pattern of abuse, and in cases </w:t>
      </w:r>
      <w:r w:rsidRPr="002F2B00">
        <w:lastRenderedPageBreak/>
        <w:t xml:space="preserve">where there are complaints from the family of the victim about these inadequacies or other substantial reasons, governments shall pursue investigations through an independent commission of inquiry or similar procedure. </w:t>
      </w:r>
    </w:p>
    <w:p w14:paraId="093395A8" w14:textId="77777777" w:rsidR="00CA3160" w:rsidRPr="002F2B00" w:rsidRDefault="00CA3160" w:rsidP="00B257CA">
      <w:pPr>
        <w:rPr>
          <w:b/>
          <w:szCs w:val="24"/>
        </w:rPr>
      </w:pPr>
    </w:p>
    <w:p w14:paraId="592D37EC" w14:textId="4DDABBF1" w:rsidR="00153D7B" w:rsidRPr="002F2B00" w:rsidRDefault="76C034B0" w:rsidP="00EF2A10">
      <w:pPr>
        <w:pStyle w:val="ListParagraph"/>
        <w:numPr>
          <w:ilvl w:val="1"/>
          <w:numId w:val="37"/>
        </w:numPr>
      </w:pPr>
      <w:r w:rsidRPr="002F2B00">
        <w:t xml:space="preserve">Clause 11(7) of the </w:t>
      </w:r>
      <w:r w:rsidR="00801411" w:rsidRPr="002F2B00">
        <w:t xml:space="preserve">current draft of the </w:t>
      </w:r>
      <w:r w:rsidRPr="002F2B00">
        <w:t xml:space="preserve">Bill </w:t>
      </w:r>
      <w:r w:rsidR="00801411" w:rsidRPr="002F2B00">
        <w:t>proposes</w:t>
      </w:r>
      <w:r w:rsidR="71EBE4BD" w:rsidRPr="002F2B00">
        <w:t xml:space="preserve"> that</w:t>
      </w:r>
      <w:r w:rsidR="66F01749" w:rsidRPr="002F2B00">
        <w:t xml:space="preserve"> </w:t>
      </w:r>
      <w:r w:rsidRPr="002F2B00">
        <w:t>the ICRIR “must take into account</w:t>
      </w:r>
      <w:r w:rsidR="78C3ABE0" w:rsidRPr="002F2B00">
        <w:t xml:space="preserve">” a review or investigation that has already been carried out and “in particular, must ensure that the ICRIR does not do anything which duplicates any aspect of that review unless, in the ICRIR’s view, the duplication is necessary”. </w:t>
      </w:r>
      <w:r w:rsidR="008B1A54" w:rsidRPr="002F2B00">
        <w:t>The present Bill does not propose that the ICRIR considers whether a</w:t>
      </w:r>
      <w:r w:rsidR="00E3203B" w:rsidRPr="002F2B00">
        <w:t>ll</w:t>
      </w:r>
      <w:r w:rsidR="008B1A54" w:rsidRPr="002F2B00">
        <w:t xml:space="preserve"> previous </w:t>
      </w:r>
      <w:r w:rsidR="00E3203B" w:rsidRPr="002F2B00">
        <w:t>investigations into Troubles-related offences</w:t>
      </w:r>
      <w:r w:rsidR="008B1A54" w:rsidRPr="002F2B00">
        <w:t xml:space="preserve"> w</w:t>
      </w:r>
      <w:r w:rsidR="00E3203B" w:rsidRPr="002F2B00">
        <w:t>ere</w:t>
      </w:r>
      <w:r w:rsidR="008B1A54" w:rsidRPr="002F2B00">
        <w:t xml:space="preserve"> or </w:t>
      </w:r>
      <w:r w:rsidR="00E3203B" w:rsidRPr="002F2B00">
        <w:t>were</w:t>
      </w:r>
      <w:r w:rsidR="008B1A54" w:rsidRPr="002F2B00">
        <w:t xml:space="preserve"> not human rights compliant.</w:t>
      </w:r>
      <w:r w:rsidR="66F01749" w:rsidRPr="002F2B00">
        <w:t xml:space="preserve"> The shortcomings exposed in case law from the ECtHR</w:t>
      </w:r>
      <w:r w:rsidR="00153D7B" w:rsidRPr="002F2B00">
        <w:rPr>
          <w:vertAlign w:val="superscript"/>
        </w:rPr>
        <w:footnoteReference w:id="199"/>
      </w:r>
      <w:r w:rsidR="66F01749" w:rsidRPr="002F2B00">
        <w:t xml:space="preserve"> and findings of the </w:t>
      </w:r>
      <w:proofErr w:type="spellStart"/>
      <w:r w:rsidR="66F01749" w:rsidRPr="002F2B00">
        <w:t>CoE</w:t>
      </w:r>
      <w:proofErr w:type="spellEnd"/>
      <w:r w:rsidR="66F01749" w:rsidRPr="002F2B00">
        <w:t xml:space="preserve"> Committee of Ministers</w:t>
      </w:r>
      <w:r w:rsidR="00153D7B" w:rsidRPr="002F2B00">
        <w:rPr>
          <w:vertAlign w:val="superscript"/>
        </w:rPr>
        <w:footnoteReference w:id="200"/>
      </w:r>
      <w:r w:rsidR="66F01749" w:rsidRPr="002F2B00">
        <w:t xml:space="preserve"> </w:t>
      </w:r>
      <w:r w:rsidR="0026476D" w:rsidRPr="002F2B00">
        <w:t xml:space="preserve">make </w:t>
      </w:r>
      <w:r w:rsidR="00540D5B" w:rsidRPr="002F2B00">
        <w:t xml:space="preserve">it </w:t>
      </w:r>
      <w:r w:rsidR="0026476D" w:rsidRPr="002F2B00">
        <w:t>clear that</w:t>
      </w:r>
      <w:r w:rsidR="00602606" w:rsidRPr="002F2B00">
        <w:t>, in many circumstances,</w:t>
      </w:r>
      <w:r w:rsidR="0026476D" w:rsidRPr="002F2B00">
        <w:t xml:space="preserve"> previous Troubles-related investigations </w:t>
      </w:r>
      <w:r w:rsidR="00602606" w:rsidRPr="002F2B00">
        <w:t>were not human rights compliant.</w:t>
      </w:r>
    </w:p>
    <w:p w14:paraId="5FD76741" w14:textId="77777777" w:rsidR="003D32DD" w:rsidRPr="002F2B00" w:rsidRDefault="003D32DD" w:rsidP="003D32DD">
      <w:pPr>
        <w:pStyle w:val="ListParagraph"/>
        <w:rPr>
          <w:szCs w:val="24"/>
        </w:rPr>
      </w:pPr>
    </w:p>
    <w:p w14:paraId="544E6DCE" w14:textId="0A8199E9" w:rsidR="003D32DD" w:rsidRPr="002F2B00" w:rsidRDefault="00F45E51" w:rsidP="00EF2A10">
      <w:pPr>
        <w:pStyle w:val="ListParagraph"/>
        <w:numPr>
          <w:ilvl w:val="1"/>
          <w:numId w:val="37"/>
        </w:numPr>
        <w:rPr>
          <w:b/>
          <w:bCs/>
          <w:szCs w:val="24"/>
        </w:rPr>
      </w:pPr>
      <w:r w:rsidRPr="002F2B00">
        <w:rPr>
          <w:b/>
          <w:bCs/>
          <w:szCs w:val="24"/>
        </w:rPr>
        <w:t xml:space="preserve">The NIHRC advises </w:t>
      </w:r>
      <w:r w:rsidR="00E3203B" w:rsidRPr="002F2B00">
        <w:rPr>
          <w:b/>
          <w:bCs/>
          <w:szCs w:val="24"/>
        </w:rPr>
        <w:t>that there should be an assessment of whether all</w:t>
      </w:r>
      <w:r w:rsidRPr="002F2B00">
        <w:rPr>
          <w:b/>
          <w:bCs/>
          <w:szCs w:val="24"/>
        </w:rPr>
        <w:t xml:space="preserve"> previous investigations into Troubles-related offences </w:t>
      </w:r>
      <w:proofErr w:type="gramStart"/>
      <w:r w:rsidRPr="002F2B00">
        <w:rPr>
          <w:b/>
          <w:bCs/>
          <w:szCs w:val="24"/>
        </w:rPr>
        <w:t>were human rights</w:t>
      </w:r>
      <w:proofErr w:type="gramEnd"/>
      <w:r w:rsidRPr="002F2B00">
        <w:rPr>
          <w:b/>
          <w:bCs/>
          <w:szCs w:val="24"/>
        </w:rPr>
        <w:t xml:space="preserve"> compliant. </w:t>
      </w:r>
      <w:r w:rsidR="006053E9" w:rsidRPr="002F2B00">
        <w:rPr>
          <w:b/>
          <w:bCs/>
          <w:szCs w:val="24"/>
        </w:rPr>
        <w:t xml:space="preserve">The NIHRC is concerned that the </w:t>
      </w:r>
      <w:r w:rsidR="00630DA0" w:rsidRPr="002F2B00">
        <w:rPr>
          <w:b/>
          <w:bCs/>
          <w:szCs w:val="24"/>
        </w:rPr>
        <w:t xml:space="preserve">current draft of the </w:t>
      </w:r>
      <w:r w:rsidR="006053E9" w:rsidRPr="002F2B00">
        <w:rPr>
          <w:b/>
          <w:bCs/>
          <w:szCs w:val="24"/>
        </w:rPr>
        <w:t xml:space="preserve">Bill does not include a mechanism to assess whether previous investigations were human rights compliant, and if not, </w:t>
      </w:r>
      <w:r w:rsidR="00630DA0" w:rsidRPr="002F2B00">
        <w:rPr>
          <w:b/>
          <w:bCs/>
          <w:szCs w:val="24"/>
        </w:rPr>
        <w:t xml:space="preserve">to determine that </w:t>
      </w:r>
      <w:r w:rsidR="006053E9" w:rsidRPr="002F2B00">
        <w:rPr>
          <w:b/>
          <w:bCs/>
          <w:szCs w:val="24"/>
        </w:rPr>
        <w:t>they should fall within the ICRIR’s remit.</w:t>
      </w:r>
    </w:p>
    <w:p w14:paraId="6A655464" w14:textId="77777777" w:rsidR="00B257CA" w:rsidRPr="002F2B00" w:rsidRDefault="00B257CA" w:rsidP="00153D7B">
      <w:pPr>
        <w:rPr>
          <w:b/>
          <w:szCs w:val="24"/>
        </w:rPr>
      </w:pPr>
    </w:p>
    <w:p w14:paraId="0A0DF1C3" w14:textId="1B118953" w:rsidR="007754A2" w:rsidRPr="002F2B00" w:rsidRDefault="00C56672" w:rsidP="00232AB6">
      <w:pPr>
        <w:pStyle w:val="Heading2"/>
      </w:pPr>
      <w:bookmarkStart w:id="23" w:name="_Toc113517955"/>
      <w:r w:rsidRPr="002F2B00">
        <w:t>Temporal scope</w:t>
      </w:r>
      <w:bookmarkEnd w:id="19"/>
      <w:bookmarkEnd w:id="23"/>
    </w:p>
    <w:p w14:paraId="19F361E0" w14:textId="3E5178FA" w:rsidR="004A20A7" w:rsidRPr="002F2B00" w:rsidRDefault="004A20A7" w:rsidP="00EF2A10">
      <w:pPr>
        <w:pStyle w:val="ListParagraph"/>
        <w:numPr>
          <w:ilvl w:val="1"/>
          <w:numId w:val="37"/>
        </w:numPr>
      </w:pPr>
      <w:r w:rsidRPr="002F2B00">
        <w:t xml:space="preserve">The UK </w:t>
      </w:r>
      <w:r w:rsidR="00A8264A" w:rsidRPr="002F2B00">
        <w:t xml:space="preserve">is </w:t>
      </w:r>
      <w:r w:rsidR="00EE16E3" w:rsidRPr="002F2B00">
        <w:t>bound by the</w:t>
      </w:r>
      <w:r w:rsidR="00A8264A" w:rsidRPr="002F2B00">
        <w:t xml:space="preserve"> ECHR </w:t>
      </w:r>
      <w:r w:rsidR="00D667CB" w:rsidRPr="002F2B00">
        <w:t>(</w:t>
      </w:r>
      <w:r w:rsidR="00A8264A" w:rsidRPr="002F2B00">
        <w:t>and other relevant human rights treaties</w:t>
      </w:r>
      <w:r w:rsidR="00D667CB" w:rsidRPr="002F2B00">
        <w:t>)</w:t>
      </w:r>
      <w:r w:rsidR="00A8264A" w:rsidRPr="002F2B00">
        <w:t xml:space="preserve"> from the date of ratificatio</w:t>
      </w:r>
      <w:r w:rsidR="008F6591" w:rsidRPr="002F2B00">
        <w:t xml:space="preserve">n or when the treaty came into force, whichever is later. </w:t>
      </w:r>
      <w:r w:rsidR="000F0899" w:rsidRPr="002F2B00">
        <w:t xml:space="preserve">The UK was one of the first States to ratify the ECHR on </w:t>
      </w:r>
      <w:r w:rsidR="009353EB" w:rsidRPr="002F2B00">
        <w:t xml:space="preserve">4 November 1950, but </w:t>
      </w:r>
      <w:r w:rsidR="00566987" w:rsidRPr="002F2B00">
        <w:t>the ECHR</w:t>
      </w:r>
      <w:r w:rsidR="009353EB" w:rsidRPr="002F2B00">
        <w:t xml:space="preserve"> did not come into force until 3 September 1953</w:t>
      </w:r>
      <w:r w:rsidR="00574C40" w:rsidRPr="002F2B00">
        <w:t xml:space="preserve">. </w:t>
      </w:r>
      <w:r w:rsidR="000E1892" w:rsidRPr="002F2B00">
        <w:t xml:space="preserve">The ECHR is the first human rights treaty that the UK ratified. </w:t>
      </w:r>
      <w:r w:rsidR="00FE3DA6" w:rsidRPr="002F2B00">
        <w:t xml:space="preserve">In principle, </w:t>
      </w:r>
      <w:r w:rsidR="00935E39" w:rsidRPr="002F2B00">
        <w:t>3 September 1953 is the date</w:t>
      </w:r>
      <w:r w:rsidR="00574C40" w:rsidRPr="002F2B00">
        <w:t xml:space="preserve"> from when the UK’s ECHR</w:t>
      </w:r>
      <w:r w:rsidR="00CA5D32" w:rsidRPr="002F2B00">
        <w:t xml:space="preserve"> obligations apply</w:t>
      </w:r>
      <w:r w:rsidR="000E1892" w:rsidRPr="002F2B00">
        <w:t>,</w:t>
      </w:r>
      <w:r w:rsidR="00FE3DA6" w:rsidRPr="002F2B00">
        <w:rPr>
          <w:rStyle w:val="FootnoteReference"/>
        </w:rPr>
        <w:footnoteReference w:id="201"/>
      </w:r>
      <w:r w:rsidR="00574C40" w:rsidRPr="002F2B00">
        <w:t xml:space="preserve"> </w:t>
      </w:r>
      <w:r w:rsidR="000E1892" w:rsidRPr="002F2B00">
        <w:t xml:space="preserve">with </w:t>
      </w:r>
      <w:r w:rsidR="00CA5D32" w:rsidRPr="002F2B00">
        <w:t>additional</w:t>
      </w:r>
      <w:r w:rsidR="000E1892" w:rsidRPr="002F2B00">
        <w:t xml:space="preserve"> </w:t>
      </w:r>
      <w:r w:rsidR="00DF3011" w:rsidRPr="002F2B00">
        <w:t xml:space="preserve">human rights obligations </w:t>
      </w:r>
      <w:r w:rsidR="000E1892" w:rsidRPr="002F2B00">
        <w:t>from other treaties following as they were ratified</w:t>
      </w:r>
      <w:r w:rsidR="00DF3011" w:rsidRPr="002F2B00">
        <w:t xml:space="preserve">. </w:t>
      </w:r>
      <w:r w:rsidR="001D5CA4" w:rsidRPr="002F2B00">
        <w:t xml:space="preserve">However, </w:t>
      </w:r>
      <w:r w:rsidR="000113D3" w:rsidRPr="002F2B00">
        <w:t xml:space="preserve">the UK did not recognise the competence of the European Commission on Human Rights to examine individual </w:t>
      </w:r>
      <w:r w:rsidR="000113D3" w:rsidRPr="002F2B00">
        <w:lastRenderedPageBreak/>
        <w:t xml:space="preserve">applications and the jurisdiction of the ECtHR until 1966. </w:t>
      </w:r>
      <w:r w:rsidR="00052F45" w:rsidRPr="002F2B00">
        <w:t xml:space="preserve">The ECtHR recognises this </w:t>
      </w:r>
      <w:r w:rsidR="009D617C" w:rsidRPr="002F2B00">
        <w:t xml:space="preserve">year </w:t>
      </w:r>
      <w:r w:rsidR="00052F45" w:rsidRPr="002F2B00">
        <w:t>as the ‘critical date’ for when ECHR obligations apply domestically.</w:t>
      </w:r>
      <w:r w:rsidR="009633E2" w:rsidRPr="002F2B00">
        <w:rPr>
          <w:rStyle w:val="FootnoteReference"/>
        </w:rPr>
        <w:footnoteReference w:id="202"/>
      </w:r>
    </w:p>
    <w:p w14:paraId="458AA17D" w14:textId="77777777" w:rsidR="003A7F49" w:rsidRPr="002F2B00" w:rsidRDefault="003A7F49" w:rsidP="003A7F49">
      <w:pPr>
        <w:pStyle w:val="ListParagraph"/>
      </w:pPr>
    </w:p>
    <w:p w14:paraId="15CFA767" w14:textId="73DC241D" w:rsidR="00917E58" w:rsidRPr="002F2B00" w:rsidRDefault="002A0353" w:rsidP="00EF2A10">
      <w:pPr>
        <w:pStyle w:val="ListParagraph"/>
        <w:numPr>
          <w:ilvl w:val="1"/>
          <w:numId w:val="37"/>
        </w:numPr>
      </w:pPr>
      <w:r w:rsidRPr="002F2B00">
        <w:t xml:space="preserve">The UK </w:t>
      </w:r>
      <w:r w:rsidR="007C54C7" w:rsidRPr="002F2B00">
        <w:t>adopts a dualist legal system, which means that any international obligations must be incorporated into domestic law to have direct effect</w:t>
      </w:r>
      <w:r w:rsidR="00221F56" w:rsidRPr="002F2B00">
        <w:t xml:space="preserve"> – i.e</w:t>
      </w:r>
      <w:r w:rsidR="00D573C1" w:rsidRPr="002F2B00">
        <w:t>.</w:t>
      </w:r>
      <w:r w:rsidR="00221F56" w:rsidRPr="002F2B00">
        <w:t xml:space="preserve"> </w:t>
      </w:r>
      <w:r w:rsidR="00A4745B" w:rsidRPr="002F2B00">
        <w:t>a court must take account of the ECHR, where relevant, in its rulings</w:t>
      </w:r>
      <w:r w:rsidR="008F3AC2" w:rsidRPr="002F2B00">
        <w:t xml:space="preserve"> and public authorities </w:t>
      </w:r>
      <w:r w:rsidR="00C53EFC" w:rsidRPr="002F2B00">
        <w:t>are directly responsible for</w:t>
      </w:r>
      <w:r w:rsidR="008F3AC2" w:rsidRPr="002F2B00">
        <w:t xml:space="preserve"> ensur</w:t>
      </w:r>
      <w:r w:rsidR="00C53EFC" w:rsidRPr="002F2B00">
        <w:t>ing that</w:t>
      </w:r>
      <w:r w:rsidR="008F3AC2" w:rsidRPr="002F2B00">
        <w:t xml:space="preserve"> they </w:t>
      </w:r>
      <w:r w:rsidR="00EB6F6D" w:rsidRPr="002F2B00">
        <w:t>do not act in a way that is incompatible with the ECHR</w:t>
      </w:r>
      <w:r w:rsidR="005E1506" w:rsidRPr="002F2B00">
        <w:t>.</w:t>
      </w:r>
      <w:r w:rsidR="00A4745B" w:rsidRPr="002F2B00">
        <w:rPr>
          <w:rStyle w:val="FootnoteReference"/>
        </w:rPr>
        <w:footnoteReference w:id="203"/>
      </w:r>
      <w:r w:rsidR="005E1506" w:rsidRPr="002F2B00">
        <w:t xml:space="preserve"> </w:t>
      </w:r>
      <w:r w:rsidR="007F5440" w:rsidRPr="002F2B00">
        <w:t>The Human Rights Act</w:t>
      </w:r>
      <w:r w:rsidR="00825E3D" w:rsidRPr="002F2B00">
        <w:t>, which directly incorporates the ECHR into domestic law,</w:t>
      </w:r>
      <w:r w:rsidR="007F5440" w:rsidRPr="002F2B00">
        <w:t xml:space="preserve"> came into force on 2 October 2000</w:t>
      </w:r>
      <w:r w:rsidR="00825E3D" w:rsidRPr="002F2B00">
        <w:t>.</w:t>
      </w:r>
      <w:r w:rsidR="005E1506" w:rsidRPr="002F2B00">
        <w:t xml:space="preserve"> The ECHR is the only human rights treaty to be directly incorporated into domestic law.</w:t>
      </w:r>
      <w:r w:rsidR="00CE72ED" w:rsidRPr="002F2B00">
        <w:t xml:space="preserve"> </w:t>
      </w:r>
    </w:p>
    <w:p w14:paraId="5A55D935" w14:textId="77777777" w:rsidR="00917E58" w:rsidRPr="002F2B00" w:rsidRDefault="00917E58" w:rsidP="00917E58">
      <w:pPr>
        <w:pStyle w:val="ListParagraph"/>
      </w:pPr>
    </w:p>
    <w:p w14:paraId="1785C6C0" w14:textId="019D30DA" w:rsidR="00F012E1" w:rsidRPr="002F2B00" w:rsidRDefault="2EA9B7D0" w:rsidP="00EF2A10">
      <w:pPr>
        <w:pStyle w:val="ListParagraph"/>
        <w:numPr>
          <w:ilvl w:val="1"/>
          <w:numId w:val="37"/>
        </w:numPr>
      </w:pPr>
      <w:r w:rsidRPr="002F2B00">
        <w:t>The</w:t>
      </w:r>
      <w:r w:rsidR="0EC177E7" w:rsidRPr="002F2B00">
        <w:t xml:space="preserve"> UK Government initially rejected that the ECHR applied to cases dealing with pre-Human Rights Act 1998 acts or omissions.</w:t>
      </w:r>
      <w:r w:rsidR="00F012E1" w:rsidRPr="002F2B00">
        <w:rPr>
          <w:rStyle w:val="FootnoteReference"/>
        </w:rPr>
        <w:footnoteReference w:id="204"/>
      </w:r>
      <w:r w:rsidR="4B7221A0" w:rsidRPr="002F2B00">
        <w:t xml:space="preserve"> </w:t>
      </w:r>
      <w:r w:rsidR="664D4D7C" w:rsidRPr="002F2B00">
        <w:t>T</w:t>
      </w:r>
      <w:r w:rsidR="4B7221A0" w:rsidRPr="002F2B00">
        <w:t xml:space="preserve">he UK Supreme Court revised this approach in </w:t>
      </w:r>
      <w:r w:rsidR="25D38945" w:rsidRPr="002F2B00">
        <w:rPr>
          <w:i/>
          <w:iCs/>
        </w:rPr>
        <w:t xml:space="preserve">Re McCaughey </w:t>
      </w:r>
      <w:r w:rsidR="25D38945" w:rsidRPr="002F2B00">
        <w:t>[2011]</w:t>
      </w:r>
      <w:r w:rsidR="664D4D7C" w:rsidRPr="002F2B00">
        <w:t xml:space="preserve">, </w:t>
      </w:r>
      <w:r w:rsidR="4B7221A0" w:rsidRPr="002F2B00">
        <w:t>accept</w:t>
      </w:r>
      <w:r w:rsidR="664D4D7C" w:rsidRPr="002F2B00">
        <w:t>ing</w:t>
      </w:r>
      <w:r w:rsidR="4B7221A0" w:rsidRPr="002F2B00">
        <w:t xml:space="preserve"> that </w:t>
      </w:r>
      <w:r w:rsidR="4C19D782" w:rsidRPr="002F2B00">
        <w:t xml:space="preserve">procedural obligations apply to pre-Human Rights Act </w:t>
      </w:r>
      <w:r w:rsidR="7F044AEF" w:rsidRPr="002F2B00">
        <w:t>violations.</w:t>
      </w:r>
      <w:r w:rsidR="00F012E1" w:rsidRPr="002F2B00">
        <w:rPr>
          <w:rStyle w:val="FootnoteReference"/>
        </w:rPr>
        <w:footnoteReference w:id="205"/>
      </w:r>
      <w:r w:rsidR="7F044AEF" w:rsidRPr="002F2B00">
        <w:t xml:space="preserve"> </w:t>
      </w:r>
      <w:r w:rsidR="664D4D7C" w:rsidRPr="002F2B00">
        <w:t xml:space="preserve">However, </w:t>
      </w:r>
      <w:r w:rsidR="7CCDDCA1" w:rsidRPr="002F2B00">
        <w:t xml:space="preserve">the UK Supreme Court changed its view in </w:t>
      </w:r>
      <w:proofErr w:type="spellStart"/>
      <w:r w:rsidR="7CCDDCA1" w:rsidRPr="002F2B00">
        <w:rPr>
          <w:i/>
          <w:iCs/>
        </w:rPr>
        <w:t>McQuillian</w:t>
      </w:r>
      <w:proofErr w:type="spellEnd"/>
      <w:r w:rsidR="7CCDDCA1" w:rsidRPr="002F2B00">
        <w:rPr>
          <w:i/>
          <w:iCs/>
        </w:rPr>
        <w:t>, McGuigan and McKenna</w:t>
      </w:r>
      <w:r w:rsidR="7CCDDCA1" w:rsidRPr="002F2B00">
        <w:t xml:space="preserve"> [2021] </w:t>
      </w:r>
      <w:r w:rsidR="273FD649" w:rsidRPr="002F2B00">
        <w:t>where it held that the domestic ‘critical date’ for ECHR obligations is 2 October 2000, when the Human Rights Act 1998 came into force</w:t>
      </w:r>
      <w:r w:rsidR="7A0A3DA3" w:rsidRPr="002F2B00">
        <w:rPr>
          <w:iCs/>
        </w:rPr>
        <w:t>.</w:t>
      </w:r>
      <w:r w:rsidR="00B71CFE" w:rsidRPr="002F2B00">
        <w:rPr>
          <w:rStyle w:val="FootnoteReference"/>
        </w:rPr>
        <w:footnoteReference w:id="206"/>
      </w:r>
      <w:r w:rsidR="7CCDDCA1" w:rsidRPr="002F2B00">
        <w:rPr>
          <w:iCs/>
        </w:rPr>
        <w:t xml:space="preserve"> </w:t>
      </w:r>
      <w:r w:rsidR="04AE6AD2" w:rsidRPr="002F2B00">
        <w:t>Neverth</w:t>
      </w:r>
      <w:r w:rsidR="71691A15" w:rsidRPr="002F2B00">
        <w:t>e</w:t>
      </w:r>
      <w:r w:rsidR="04AE6AD2" w:rsidRPr="002F2B00">
        <w:t>less,</w:t>
      </w:r>
      <w:r w:rsidR="7F044AEF" w:rsidRPr="002F2B00">
        <w:t xml:space="preserve"> the ECtHR </w:t>
      </w:r>
      <w:r w:rsidR="5EDC3D03" w:rsidRPr="002F2B00">
        <w:t>is of the view</w:t>
      </w:r>
      <w:r w:rsidR="7F044AEF" w:rsidRPr="002F2B00">
        <w:t xml:space="preserve"> that </w:t>
      </w:r>
      <w:r w:rsidR="68AF912D" w:rsidRPr="002F2B00">
        <w:t>the procedural obligation to investigate</w:t>
      </w:r>
      <w:r w:rsidR="3074BE76" w:rsidRPr="002F2B00">
        <w:t xml:space="preserve"> “</w:t>
      </w:r>
      <w:r w:rsidR="68AF912D" w:rsidRPr="002F2B00">
        <w:t>has evolved into a separate and autonomous duty</w:t>
      </w:r>
      <w:r w:rsidR="3074BE76" w:rsidRPr="002F2B00">
        <w:t>”</w:t>
      </w:r>
      <w:r w:rsidR="5CA2E648" w:rsidRPr="002F2B00">
        <w:t>.</w:t>
      </w:r>
      <w:r w:rsidR="00F012E1" w:rsidRPr="002F2B00">
        <w:rPr>
          <w:rStyle w:val="FootnoteReference"/>
        </w:rPr>
        <w:footnoteReference w:id="207"/>
      </w:r>
      <w:r w:rsidR="3074BE76" w:rsidRPr="002F2B00">
        <w:t xml:space="preserve"> Considering Article 2</w:t>
      </w:r>
      <w:r w:rsidR="2C8F7C37" w:rsidRPr="002F2B00">
        <w:t xml:space="preserve"> specifically, the ECtHR found that: </w:t>
      </w:r>
    </w:p>
    <w:p w14:paraId="02267132" w14:textId="77777777" w:rsidR="00F012E1" w:rsidRPr="002F2B00" w:rsidRDefault="00F012E1" w:rsidP="00F012E1">
      <w:pPr>
        <w:pStyle w:val="ListParagraph"/>
      </w:pPr>
    </w:p>
    <w:p w14:paraId="57051A72" w14:textId="1BB66C31" w:rsidR="003A7F49" w:rsidRPr="002F2B00" w:rsidRDefault="00F012E1" w:rsidP="00F012E1">
      <w:pPr>
        <w:pStyle w:val="Quote"/>
      </w:pPr>
      <w:r w:rsidRPr="002F2B00">
        <w:t>a</w:t>
      </w:r>
      <w:r w:rsidR="005C7AF4" w:rsidRPr="002F2B00">
        <w:t>lthough it is triggered by acts concerning the substantive aspects of Article 2 [of the ECHR] it can give rise to a finding of a separate and independent ‘interference’</w:t>
      </w:r>
      <w:r w:rsidR="00575A06" w:rsidRPr="002F2B00">
        <w:t xml:space="preserve">… In this sense it can </w:t>
      </w:r>
      <w:proofErr w:type="gramStart"/>
      <w:r w:rsidR="00575A06" w:rsidRPr="002F2B00">
        <w:t>be considered to be</w:t>
      </w:r>
      <w:proofErr w:type="gramEnd"/>
      <w:r w:rsidR="00575A06" w:rsidRPr="002F2B00">
        <w:t xml:space="preserve"> a detachable obligation arising out of Article 2 capable of binding the State even when the death took place before the critical date.</w:t>
      </w:r>
      <w:r w:rsidRPr="002F2B00">
        <w:rPr>
          <w:rStyle w:val="FootnoteReference"/>
        </w:rPr>
        <w:footnoteReference w:id="208"/>
      </w:r>
    </w:p>
    <w:p w14:paraId="4843C8CC" w14:textId="77777777" w:rsidR="004A20A7" w:rsidRPr="002F2B00" w:rsidRDefault="004A20A7" w:rsidP="00C56672">
      <w:pPr>
        <w:ind w:left="720" w:hanging="720"/>
      </w:pPr>
    </w:p>
    <w:p w14:paraId="4C3C1B79" w14:textId="166E66EE" w:rsidR="00BB7153" w:rsidRPr="002F2B00" w:rsidRDefault="00BB7C9F" w:rsidP="00EF2A10">
      <w:pPr>
        <w:pStyle w:val="ListParagraph"/>
        <w:numPr>
          <w:ilvl w:val="1"/>
          <w:numId w:val="37"/>
        </w:numPr>
      </w:pPr>
      <w:r w:rsidRPr="002F2B00">
        <w:t>Clause</w:t>
      </w:r>
      <w:r w:rsidR="00DE19F6" w:rsidRPr="002F2B00">
        <w:t xml:space="preserve"> 5</w:t>
      </w:r>
      <w:r w:rsidR="0082459D" w:rsidRPr="002F2B00">
        <w:t>1</w:t>
      </w:r>
      <w:r w:rsidRPr="002F2B00">
        <w:t>(</w:t>
      </w:r>
      <w:r w:rsidR="00DE19F6" w:rsidRPr="002F2B00">
        <w:t>2</w:t>
      </w:r>
      <w:r w:rsidRPr="002F2B00">
        <w:t xml:space="preserve">) of the </w:t>
      </w:r>
      <w:r w:rsidR="00246B6E" w:rsidRPr="002F2B00">
        <w:t xml:space="preserve">current draft of the </w:t>
      </w:r>
      <w:r w:rsidRPr="002F2B00">
        <w:t>Bill</w:t>
      </w:r>
      <w:r w:rsidR="008D60E4" w:rsidRPr="002F2B00">
        <w:t xml:space="preserve"> </w:t>
      </w:r>
      <w:r w:rsidR="00246B6E" w:rsidRPr="002F2B00">
        <w:t xml:space="preserve">proposes </w:t>
      </w:r>
      <w:r w:rsidR="008D60E4" w:rsidRPr="002F2B00">
        <w:t>defin</w:t>
      </w:r>
      <w:r w:rsidR="00246B6E" w:rsidRPr="002F2B00">
        <w:t>ing</w:t>
      </w:r>
      <w:r w:rsidR="00C56672" w:rsidRPr="002F2B00">
        <w:t xml:space="preserve"> Troubles-related offence</w:t>
      </w:r>
      <w:r w:rsidR="00E84746" w:rsidRPr="002F2B00">
        <w:t>s</w:t>
      </w:r>
      <w:r w:rsidR="00C56672" w:rsidRPr="002F2B00">
        <w:t xml:space="preserve"> as those that occurred on or after 1 </w:t>
      </w:r>
      <w:r w:rsidR="00C56672" w:rsidRPr="002F2B00">
        <w:lastRenderedPageBreak/>
        <w:t>January 1966</w:t>
      </w:r>
      <w:r w:rsidR="00DE19F6" w:rsidRPr="002F2B00">
        <w:t xml:space="preserve">. </w:t>
      </w:r>
      <w:r w:rsidR="00D667CB" w:rsidRPr="002F2B00">
        <w:t xml:space="preserve">That matches </w:t>
      </w:r>
      <w:r w:rsidR="00C56672" w:rsidRPr="002F2B00">
        <w:t xml:space="preserve">the </w:t>
      </w:r>
      <w:r w:rsidR="00D667CB" w:rsidRPr="002F2B00">
        <w:t xml:space="preserve">date </w:t>
      </w:r>
      <w:r w:rsidR="00C56672" w:rsidRPr="002F2B00">
        <w:t xml:space="preserve">widely recognised as </w:t>
      </w:r>
      <w:r w:rsidR="00D667CB" w:rsidRPr="002F2B00">
        <w:t>the escalation of tension into violence and the first troubles related death</w:t>
      </w:r>
      <w:r w:rsidR="001A34CF" w:rsidRPr="002F2B00">
        <w:t>.</w:t>
      </w:r>
      <w:r w:rsidR="00C56672" w:rsidRPr="002F2B00">
        <w:rPr>
          <w:vertAlign w:val="superscript"/>
        </w:rPr>
        <w:footnoteReference w:id="209"/>
      </w:r>
      <w:r w:rsidR="00C56672" w:rsidRPr="002F2B00">
        <w:t xml:space="preserve"> </w:t>
      </w:r>
      <w:r w:rsidR="00AB2B0D" w:rsidRPr="002F2B00">
        <w:t xml:space="preserve">It also fits with the year identified by the ECtHR as the UK’s ‘critical date’ for </w:t>
      </w:r>
      <w:r w:rsidR="00D667CB" w:rsidRPr="002F2B00">
        <w:t xml:space="preserve">application of the </w:t>
      </w:r>
      <w:r w:rsidR="001A1210" w:rsidRPr="002F2B00">
        <w:t>ECHR</w:t>
      </w:r>
      <w:r w:rsidR="00000C47" w:rsidRPr="002F2B00">
        <w:t>.</w:t>
      </w:r>
      <w:r w:rsidR="002917BF" w:rsidRPr="002F2B00">
        <w:rPr>
          <w:rStyle w:val="FootnoteReference"/>
        </w:rPr>
        <w:footnoteReference w:id="210"/>
      </w:r>
      <w:r w:rsidR="001A1210" w:rsidRPr="002F2B00">
        <w:t xml:space="preserve"> </w:t>
      </w:r>
    </w:p>
    <w:p w14:paraId="71B74448" w14:textId="77777777" w:rsidR="00BB7153" w:rsidRPr="002F2B00" w:rsidRDefault="00BB7153" w:rsidP="00BB7153">
      <w:pPr>
        <w:pStyle w:val="ListParagraph"/>
      </w:pPr>
    </w:p>
    <w:p w14:paraId="600A0911" w14:textId="62E46039" w:rsidR="007B0E93" w:rsidRPr="002F2B00" w:rsidRDefault="00C56672" w:rsidP="00EF2A10">
      <w:pPr>
        <w:pStyle w:val="ListParagraph"/>
        <w:numPr>
          <w:ilvl w:val="1"/>
          <w:numId w:val="37"/>
        </w:numPr>
      </w:pPr>
      <w:r w:rsidRPr="002F2B00">
        <w:t xml:space="preserve">The end date of 10 April 1998 reflects </w:t>
      </w:r>
      <w:r w:rsidR="00D667CB" w:rsidRPr="002F2B00">
        <w:t xml:space="preserve">the </w:t>
      </w:r>
      <w:r w:rsidRPr="002F2B00">
        <w:t xml:space="preserve">signing </w:t>
      </w:r>
      <w:r w:rsidR="00D667CB" w:rsidRPr="002F2B00">
        <w:t xml:space="preserve">of </w:t>
      </w:r>
      <w:r w:rsidRPr="002F2B00">
        <w:t xml:space="preserve">the Belfast (Good Friday) Agreement. However, </w:t>
      </w:r>
      <w:r w:rsidR="00D667CB" w:rsidRPr="002F2B00">
        <w:t xml:space="preserve">as we are reminded by victims and survivors, </w:t>
      </w:r>
      <w:r w:rsidRPr="002F2B00">
        <w:t>peace is a process and Troubles-related offences continue to occur.</w:t>
      </w:r>
    </w:p>
    <w:p w14:paraId="4F1C7AFB" w14:textId="77777777" w:rsidR="009E53C3" w:rsidRPr="002F2B00" w:rsidRDefault="009E53C3" w:rsidP="00525650">
      <w:pPr>
        <w:rPr>
          <w:b/>
          <w:bCs/>
        </w:rPr>
      </w:pPr>
    </w:p>
    <w:p w14:paraId="12A6D95C" w14:textId="7F5831A7" w:rsidR="009E53C3" w:rsidRPr="002F2B00" w:rsidRDefault="009E53C3" w:rsidP="00EF2A10">
      <w:pPr>
        <w:pStyle w:val="ListParagraph"/>
        <w:numPr>
          <w:ilvl w:val="1"/>
          <w:numId w:val="37"/>
        </w:numPr>
        <w:rPr>
          <w:b/>
          <w:bCs/>
          <w:szCs w:val="24"/>
        </w:rPr>
      </w:pPr>
      <w:r w:rsidRPr="002F2B00">
        <w:rPr>
          <w:b/>
          <w:bCs/>
        </w:rPr>
        <w:t>The NIHRC advises that to justify the proposed end date of 10 April 1998</w:t>
      </w:r>
      <w:r w:rsidR="002D269E" w:rsidRPr="002F2B00">
        <w:rPr>
          <w:b/>
          <w:bCs/>
        </w:rPr>
        <w:t xml:space="preserve"> </w:t>
      </w:r>
      <w:r w:rsidRPr="002F2B00">
        <w:rPr>
          <w:b/>
          <w:bCs/>
        </w:rPr>
        <w:t xml:space="preserve">a review confirming that offences after this date have been investigated or have the option of being investigated in line with </w:t>
      </w:r>
      <w:r w:rsidR="002A63BB" w:rsidRPr="002F2B00">
        <w:rPr>
          <w:b/>
          <w:bCs/>
        </w:rPr>
        <w:t>human rights obligations</w:t>
      </w:r>
      <w:r w:rsidRPr="002F2B00">
        <w:rPr>
          <w:b/>
          <w:bCs/>
        </w:rPr>
        <w:t xml:space="preserve"> is required</w:t>
      </w:r>
      <w:r w:rsidR="002F69FE" w:rsidRPr="002F2B00">
        <w:rPr>
          <w:b/>
          <w:bCs/>
        </w:rPr>
        <w:t>.</w:t>
      </w:r>
    </w:p>
    <w:p w14:paraId="574B8C09" w14:textId="77777777" w:rsidR="009E53C3" w:rsidRPr="002F2B00" w:rsidRDefault="009E53C3" w:rsidP="00A238F3"/>
    <w:p w14:paraId="0E17F34A" w14:textId="0935A280" w:rsidR="00EC40ED" w:rsidRPr="002F2B00" w:rsidRDefault="742C5823" w:rsidP="00EF2A10">
      <w:pPr>
        <w:pStyle w:val="ListParagraph"/>
        <w:numPr>
          <w:ilvl w:val="1"/>
          <w:numId w:val="37"/>
        </w:numPr>
      </w:pPr>
      <w:r w:rsidRPr="002F2B00">
        <w:t xml:space="preserve">Other developments may impact </w:t>
      </w:r>
      <w:r w:rsidR="002F69FE" w:rsidRPr="002F2B00">
        <w:t xml:space="preserve">upon </w:t>
      </w:r>
      <w:r w:rsidRPr="002F2B00">
        <w:t xml:space="preserve">the practical </w:t>
      </w:r>
      <w:r w:rsidR="06ABEF23" w:rsidRPr="002F2B00">
        <w:t xml:space="preserve">application of </w:t>
      </w:r>
      <w:r w:rsidR="17C273CF" w:rsidRPr="002F2B00">
        <w:t>c</w:t>
      </w:r>
      <w:r w:rsidR="06ABEF23" w:rsidRPr="002F2B00">
        <w:t>lause 5</w:t>
      </w:r>
      <w:r w:rsidR="0082459D" w:rsidRPr="002F2B00">
        <w:t>1</w:t>
      </w:r>
      <w:r w:rsidR="06ABEF23" w:rsidRPr="002F2B00">
        <w:t>(2) of th</w:t>
      </w:r>
      <w:r w:rsidR="00CB511F" w:rsidRPr="002F2B00">
        <w:t>e current draft of the</w:t>
      </w:r>
      <w:r w:rsidR="06ABEF23" w:rsidRPr="002F2B00">
        <w:t xml:space="preserve"> Bill. </w:t>
      </w:r>
      <w:r w:rsidR="02DC8460" w:rsidRPr="002F2B00">
        <w:t xml:space="preserve">In addition to the UK Supreme Court’s </w:t>
      </w:r>
      <w:r w:rsidR="002F69FE" w:rsidRPr="002F2B00">
        <w:t>decision</w:t>
      </w:r>
      <w:r w:rsidR="02DC8460" w:rsidRPr="002F2B00">
        <w:t xml:space="preserve"> in </w:t>
      </w:r>
      <w:proofErr w:type="spellStart"/>
      <w:r w:rsidR="02DC8460" w:rsidRPr="002F2B00">
        <w:rPr>
          <w:i/>
          <w:iCs/>
        </w:rPr>
        <w:t>McQuillian</w:t>
      </w:r>
      <w:proofErr w:type="spellEnd"/>
      <w:r w:rsidR="02DC8460" w:rsidRPr="002F2B00">
        <w:rPr>
          <w:i/>
          <w:iCs/>
        </w:rPr>
        <w:t xml:space="preserve">, McGuigan and McKenna </w:t>
      </w:r>
      <w:r w:rsidR="02DC8460" w:rsidRPr="002F2B00">
        <w:t>[2021],</w:t>
      </w:r>
      <w:r w:rsidR="009E53C3" w:rsidRPr="002F2B00">
        <w:rPr>
          <w:rStyle w:val="FootnoteReference"/>
        </w:rPr>
        <w:footnoteReference w:id="211"/>
      </w:r>
      <w:r w:rsidR="02DC8460" w:rsidRPr="002F2B00">
        <w:rPr>
          <w:b/>
          <w:bCs/>
        </w:rPr>
        <w:t xml:space="preserve"> </w:t>
      </w:r>
      <w:r w:rsidR="17C273CF" w:rsidRPr="002F2B00">
        <w:t>c</w:t>
      </w:r>
      <w:r w:rsidR="1A3B6DB6" w:rsidRPr="002F2B00">
        <w:t>lause 5(1) of t</w:t>
      </w:r>
      <w:r w:rsidR="648E2BB2" w:rsidRPr="002F2B00">
        <w:t xml:space="preserve">he </w:t>
      </w:r>
      <w:r w:rsidR="0385E0CC" w:rsidRPr="002F2B00">
        <w:t xml:space="preserve">recently introduced </w:t>
      </w:r>
      <w:r w:rsidR="648E2BB2" w:rsidRPr="002F2B00">
        <w:t xml:space="preserve">Bill of Rights Bill </w:t>
      </w:r>
      <w:r w:rsidR="00B8238D" w:rsidRPr="002F2B00">
        <w:t xml:space="preserve">proposes </w:t>
      </w:r>
      <w:r w:rsidR="0385E0CC" w:rsidRPr="002F2B00">
        <w:t>that “a court may not adopt a post-commencement interpretation of a Convention right that would require a public authority to comply with a positive obligation”.</w:t>
      </w:r>
      <w:r w:rsidR="39367335" w:rsidRPr="002F2B00">
        <w:t xml:space="preserve"> Clause 5(2) of this Bill </w:t>
      </w:r>
      <w:r w:rsidR="1EC49F9A" w:rsidRPr="002F2B00">
        <w:t xml:space="preserve">also </w:t>
      </w:r>
      <w:r w:rsidR="00B8238D" w:rsidRPr="002F2B00">
        <w:t xml:space="preserve">proposes that there are </w:t>
      </w:r>
      <w:r w:rsidR="1EC49F9A" w:rsidRPr="002F2B00">
        <w:t xml:space="preserve">restrictions </w:t>
      </w:r>
      <w:r w:rsidR="00B8238D" w:rsidRPr="002F2B00">
        <w:t xml:space="preserve">placed </w:t>
      </w:r>
      <w:r w:rsidR="1EC49F9A" w:rsidRPr="002F2B00">
        <w:t xml:space="preserve">on </w:t>
      </w:r>
      <w:r w:rsidR="006C23B1" w:rsidRPr="002F2B00">
        <w:t xml:space="preserve">the circumstances </w:t>
      </w:r>
      <w:r w:rsidR="1EC49F9A" w:rsidRPr="002F2B00">
        <w:t xml:space="preserve">when a court should apply a pre-commencement interpretation. </w:t>
      </w:r>
    </w:p>
    <w:p w14:paraId="1DCB4142" w14:textId="77777777" w:rsidR="002D3946" w:rsidRPr="002F2B00" w:rsidRDefault="002D3946" w:rsidP="009E53C3">
      <w:pPr>
        <w:rPr>
          <w:b/>
          <w:bCs/>
          <w:szCs w:val="24"/>
        </w:rPr>
      </w:pPr>
    </w:p>
    <w:p w14:paraId="75EC69E2" w14:textId="67B3BF0D" w:rsidR="00244373" w:rsidRPr="002F2B00" w:rsidRDefault="00244373" w:rsidP="00EF2A10">
      <w:pPr>
        <w:pStyle w:val="ListParagraph"/>
        <w:numPr>
          <w:ilvl w:val="1"/>
          <w:numId w:val="37"/>
        </w:numPr>
        <w:rPr>
          <w:b/>
          <w:bCs/>
          <w:szCs w:val="24"/>
        </w:rPr>
      </w:pPr>
      <w:r w:rsidRPr="002F2B00">
        <w:rPr>
          <w:b/>
          <w:bCs/>
          <w:szCs w:val="24"/>
        </w:rPr>
        <w:t xml:space="preserve">The NIHRC is gravely concerned that the benefit of a broad temporal scope within this Bill will be ineffective in practice due to this Bill’s general incompatibility with the ECHR, the UK Supreme Court’s ruling in </w:t>
      </w:r>
      <w:proofErr w:type="spellStart"/>
      <w:r w:rsidRPr="002F2B00">
        <w:rPr>
          <w:b/>
          <w:bCs/>
          <w:i/>
          <w:iCs/>
        </w:rPr>
        <w:t>McQuillian</w:t>
      </w:r>
      <w:proofErr w:type="spellEnd"/>
      <w:r w:rsidRPr="002F2B00">
        <w:rPr>
          <w:b/>
          <w:bCs/>
          <w:i/>
          <w:iCs/>
        </w:rPr>
        <w:t>, McGuigan and McKenn</w:t>
      </w:r>
      <w:r w:rsidRPr="002F2B00">
        <w:rPr>
          <w:b/>
          <w:bCs/>
        </w:rPr>
        <w:t>a [2021]</w:t>
      </w:r>
      <w:r w:rsidRPr="002F2B00">
        <w:rPr>
          <w:b/>
          <w:bCs/>
          <w:szCs w:val="24"/>
        </w:rPr>
        <w:t xml:space="preserve"> and the arguably non-compliant approach proposed towards positive obligations in the Bill of Rights Bill.</w:t>
      </w:r>
    </w:p>
    <w:p w14:paraId="0C932DE8" w14:textId="540070B3" w:rsidR="00C56672" w:rsidRPr="002F2B00" w:rsidRDefault="00C56672" w:rsidP="00C217B5">
      <w:pPr>
        <w:rPr>
          <w:b/>
          <w:szCs w:val="24"/>
        </w:rPr>
      </w:pPr>
    </w:p>
    <w:p w14:paraId="4CDF720B" w14:textId="751DDA27" w:rsidR="007754A2" w:rsidRPr="002F2B00" w:rsidRDefault="007754A2" w:rsidP="00381EB0">
      <w:pPr>
        <w:pStyle w:val="Heading2"/>
      </w:pPr>
      <w:bookmarkStart w:id="24" w:name="_Toc106290058"/>
      <w:bookmarkStart w:id="25" w:name="_Toc113517956"/>
      <w:r w:rsidRPr="002F2B00">
        <w:lastRenderedPageBreak/>
        <w:t>Jurisdictional scope</w:t>
      </w:r>
      <w:bookmarkEnd w:id="24"/>
      <w:bookmarkEnd w:id="25"/>
    </w:p>
    <w:p w14:paraId="3D97661F" w14:textId="345BD754" w:rsidR="009F2EB2" w:rsidRPr="002F2B00" w:rsidRDefault="7AD5B9B2" w:rsidP="00EF2A10">
      <w:pPr>
        <w:pStyle w:val="ListParagraph"/>
        <w:numPr>
          <w:ilvl w:val="1"/>
          <w:numId w:val="37"/>
        </w:numPr>
      </w:pPr>
      <w:r w:rsidRPr="002F2B00">
        <w:t xml:space="preserve">Article 1 of the ECHR </w:t>
      </w:r>
      <w:r w:rsidR="45FA4EF2" w:rsidRPr="002F2B00">
        <w:t>states that ratifying States, such as the UK, “shall secure to everyone within their jurisdiction the rights and freedoms</w:t>
      </w:r>
      <w:r w:rsidR="7BF37347" w:rsidRPr="002F2B00">
        <w:t xml:space="preserve"> defined” within the ECHR.</w:t>
      </w:r>
      <w:r w:rsidR="743C3BB0" w:rsidRPr="002F2B00">
        <w:t xml:space="preserve"> This means that the ECHR must be adhered to within the territory of each ratifying State.</w:t>
      </w:r>
      <w:r w:rsidR="6959B4E9" w:rsidRPr="002F2B00">
        <w:t xml:space="preserve"> </w:t>
      </w:r>
      <w:r w:rsidR="4BA27E60" w:rsidRPr="002F2B00">
        <w:t>It also means that more than one State could have investigative obligations</w:t>
      </w:r>
      <w:r w:rsidR="1D4C09C3" w:rsidRPr="002F2B00">
        <w:t xml:space="preserve">. For example, </w:t>
      </w:r>
      <w:r w:rsidR="0F12C98E" w:rsidRPr="002F2B00">
        <w:t xml:space="preserve">if the </w:t>
      </w:r>
      <w:r w:rsidR="518247D9" w:rsidRPr="002F2B00">
        <w:t>potential violation</w:t>
      </w:r>
      <w:r w:rsidR="2427B904" w:rsidRPr="002F2B00">
        <w:t xml:space="preserve"> occurred in another </w:t>
      </w:r>
      <w:proofErr w:type="spellStart"/>
      <w:r w:rsidR="2427B904" w:rsidRPr="002F2B00">
        <w:t>CoE</w:t>
      </w:r>
      <w:proofErr w:type="spellEnd"/>
      <w:r w:rsidR="2427B904" w:rsidRPr="002F2B00">
        <w:t xml:space="preserve"> jurisdiction</w:t>
      </w:r>
      <w:r w:rsidR="518247D9" w:rsidRPr="002F2B00">
        <w:t>,</w:t>
      </w:r>
      <w:r w:rsidR="2427B904" w:rsidRPr="002F2B00">
        <w:t xml:space="preserve"> </w:t>
      </w:r>
      <w:r w:rsidR="1D4C09C3" w:rsidRPr="002F2B00">
        <w:t xml:space="preserve">if </w:t>
      </w:r>
      <w:r w:rsidR="518247D9" w:rsidRPr="002F2B00">
        <w:t>it</w:t>
      </w:r>
      <w:r w:rsidR="1D4C09C3" w:rsidRPr="002F2B00">
        <w:t xml:space="preserve"> involved a cross-border element with another </w:t>
      </w:r>
      <w:proofErr w:type="spellStart"/>
      <w:r w:rsidR="1D4C09C3" w:rsidRPr="002F2B00">
        <w:t>CoE</w:t>
      </w:r>
      <w:proofErr w:type="spellEnd"/>
      <w:r w:rsidR="1D4C09C3" w:rsidRPr="002F2B00">
        <w:t xml:space="preserve"> jurisdiction, or affected a victim based in another </w:t>
      </w:r>
      <w:proofErr w:type="spellStart"/>
      <w:r w:rsidR="1D4C09C3" w:rsidRPr="002F2B00">
        <w:t>CoE</w:t>
      </w:r>
      <w:proofErr w:type="spellEnd"/>
      <w:r w:rsidR="1D4C09C3" w:rsidRPr="002F2B00">
        <w:t xml:space="preserve"> jurisdiction.</w:t>
      </w:r>
      <w:r w:rsidR="364F7BCC" w:rsidRPr="002F2B00">
        <w:t xml:space="preserve"> </w:t>
      </w:r>
    </w:p>
    <w:p w14:paraId="58EEA787" w14:textId="77777777" w:rsidR="00286095" w:rsidRPr="002F2B00" w:rsidRDefault="00286095" w:rsidP="00286095">
      <w:pPr>
        <w:pStyle w:val="ListParagraph"/>
      </w:pPr>
    </w:p>
    <w:p w14:paraId="08B7FB0A" w14:textId="7567B7AF" w:rsidR="001E60B6" w:rsidRPr="002F2B00" w:rsidRDefault="69B85C32" w:rsidP="00EF2A10">
      <w:pPr>
        <w:pStyle w:val="ListParagraph"/>
        <w:numPr>
          <w:ilvl w:val="1"/>
          <w:numId w:val="37"/>
        </w:numPr>
      </w:pPr>
      <w:r w:rsidRPr="002F2B00">
        <w:t xml:space="preserve">Under Articles 2 and 3 of the ECHR, </w:t>
      </w:r>
      <w:r w:rsidR="5CB64A51" w:rsidRPr="002F2B00">
        <w:t>a</w:t>
      </w:r>
      <w:r w:rsidR="3E36C7D1" w:rsidRPr="002F2B00">
        <w:t>n</w:t>
      </w:r>
      <w:r w:rsidR="5CB64A51" w:rsidRPr="002F2B00">
        <w:t xml:space="preserve"> ECHR-ratifying State is required to investigate a death or allegation of torture/ill-treatment </w:t>
      </w:r>
      <w:r w:rsidR="3E36C7D1" w:rsidRPr="002F2B00">
        <w:t xml:space="preserve">if the alleged violation took place within its jurisdiction or </w:t>
      </w:r>
      <w:r w:rsidR="7A5F5C0F" w:rsidRPr="002F2B00">
        <w:t>authorities from that State had “any causal connection with its occurrence”.</w:t>
      </w:r>
      <w:r w:rsidR="003B7B39" w:rsidRPr="002F2B00">
        <w:rPr>
          <w:rStyle w:val="FootnoteReference"/>
        </w:rPr>
        <w:footnoteReference w:id="212"/>
      </w:r>
      <w:r w:rsidR="31729432" w:rsidRPr="002F2B00">
        <w:t xml:space="preserve"> </w:t>
      </w:r>
      <w:r w:rsidR="7ADD7A2A" w:rsidRPr="002F2B00">
        <w:t>F</w:t>
      </w:r>
      <w:r w:rsidR="0AA75292" w:rsidRPr="002F2B00">
        <w:t xml:space="preserve">or an investigation to be effective, </w:t>
      </w:r>
      <w:r w:rsidR="7ADD7A2A" w:rsidRPr="002F2B00">
        <w:t>the investigating State</w:t>
      </w:r>
      <w:r w:rsidR="77AB4A4E" w:rsidRPr="002F2B00">
        <w:t xml:space="preserve"> “must take such steps as are necessary and available in order to s</w:t>
      </w:r>
      <w:r w:rsidR="665A2474" w:rsidRPr="002F2B00">
        <w:t>ecure relevant evidence, whether or not it is located”</w:t>
      </w:r>
      <w:r w:rsidR="43557ACC" w:rsidRPr="002F2B00">
        <w:t xml:space="preserve"> within its territory</w:t>
      </w:r>
      <w:r w:rsidR="665A2474" w:rsidRPr="002F2B00">
        <w:t>.</w:t>
      </w:r>
      <w:r w:rsidR="008F4EB9" w:rsidRPr="002F2B00">
        <w:rPr>
          <w:rStyle w:val="FootnoteReference"/>
        </w:rPr>
        <w:footnoteReference w:id="213"/>
      </w:r>
      <w:r w:rsidR="5CFDD650" w:rsidRPr="002F2B00">
        <w:t xml:space="preserve"> </w:t>
      </w:r>
      <w:r w:rsidR="7E34BFA0" w:rsidRPr="002F2B00">
        <w:t>Thus, the “procedural obligation under Article 2 [of the ECHR] mandates cooperation between States in securing available evidence”.</w:t>
      </w:r>
      <w:r w:rsidR="003C0DE7" w:rsidRPr="002F2B00">
        <w:rPr>
          <w:rStyle w:val="FootnoteReference"/>
        </w:rPr>
        <w:footnoteReference w:id="214"/>
      </w:r>
      <w:r w:rsidR="7E34BFA0" w:rsidRPr="002F2B00">
        <w:t xml:space="preserve"> </w:t>
      </w:r>
      <w:r w:rsidR="44CE0589" w:rsidRPr="002F2B00">
        <w:t>The “nature and scope of the cooperation required by the States involved in meeting their procedural obligations under Article 2 [of the ECHR] will, inevitably, depend on the circumstances of the particular case”.</w:t>
      </w:r>
      <w:r w:rsidR="008B5256" w:rsidRPr="002F2B00">
        <w:rPr>
          <w:rStyle w:val="FootnoteReference"/>
        </w:rPr>
        <w:footnoteReference w:id="215"/>
      </w:r>
      <w:r w:rsidR="7E34BFA0" w:rsidRPr="002F2B00">
        <w:t xml:space="preserve"> </w:t>
      </w:r>
      <w:r w:rsidR="605765C3" w:rsidRPr="002F2B00">
        <w:t xml:space="preserve">The ECtHR has found </w:t>
      </w:r>
      <w:r w:rsidR="0D8BC848" w:rsidRPr="002F2B00">
        <w:t xml:space="preserve">that Article 2 of the ECHR will be violated if lack of cooperation </w:t>
      </w:r>
      <w:r w:rsidR="32BB3320" w:rsidRPr="002F2B00">
        <w:t xml:space="preserve">between States </w:t>
      </w:r>
      <w:r w:rsidR="0D8BC848" w:rsidRPr="002F2B00">
        <w:t>prevented</w:t>
      </w:r>
      <w:r w:rsidR="35DB1DEB" w:rsidRPr="002F2B00">
        <w:t xml:space="preserve"> criminal proceedings from coming to “a proper conclusion”.</w:t>
      </w:r>
      <w:r w:rsidR="00B352C1" w:rsidRPr="002F2B00">
        <w:rPr>
          <w:rStyle w:val="FootnoteReference"/>
        </w:rPr>
        <w:footnoteReference w:id="216"/>
      </w:r>
      <w:r w:rsidR="35DB1DEB" w:rsidRPr="002F2B00">
        <w:t xml:space="preserve"> </w:t>
      </w:r>
      <w:r w:rsidR="5CFDD650" w:rsidRPr="002F2B00">
        <w:t>Furthermore</w:t>
      </w:r>
      <w:r w:rsidR="77D27A42" w:rsidRPr="002F2B00">
        <w:t xml:space="preserve">: </w:t>
      </w:r>
    </w:p>
    <w:p w14:paraId="15266F4D" w14:textId="77777777" w:rsidR="001E60B6" w:rsidRPr="002F2B00" w:rsidRDefault="001E60B6" w:rsidP="001E60B6">
      <w:pPr>
        <w:pStyle w:val="ListParagraph"/>
      </w:pPr>
    </w:p>
    <w:p w14:paraId="24F60BB6" w14:textId="18DA29AE" w:rsidR="005665E0" w:rsidRPr="002F2B00" w:rsidRDefault="00722752" w:rsidP="001921FE">
      <w:pPr>
        <w:pStyle w:val="Quote"/>
      </w:pPr>
      <w:r w:rsidRPr="002F2B00">
        <w:t>w</w:t>
      </w:r>
      <w:r w:rsidRPr="002F2B00">
        <w:rPr>
          <w:rStyle w:val="sb8d990e2"/>
          <w:rFonts w:cs="Arial"/>
          <w:color w:val="000000"/>
          <w:shd w:val="clear" w:color="auto" w:fill="FFFFFF"/>
        </w:rPr>
        <w:t xml:space="preserve">here there are cross-border elements to an incident of unlawful violence leading to loss of life… the authorities of the State to which the perpetrators have fled and in which evidence of the offence could be located may be required by Article 2 </w:t>
      </w:r>
      <w:r w:rsidR="001E60B6" w:rsidRPr="002F2B00">
        <w:rPr>
          <w:rStyle w:val="sb8d990e2"/>
          <w:rFonts w:cs="Arial"/>
          <w:color w:val="000000"/>
          <w:shd w:val="clear" w:color="auto" w:fill="FFFFFF"/>
        </w:rPr>
        <w:t xml:space="preserve">[of the ECHR] </w:t>
      </w:r>
      <w:r w:rsidRPr="002F2B00">
        <w:rPr>
          <w:rStyle w:val="sb8d990e2"/>
          <w:rFonts w:cs="Arial"/>
          <w:color w:val="000000"/>
          <w:shd w:val="clear" w:color="auto" w:fill="FFFFFF"/>
        </w:rPr>
        <w:t xml:space="preserve">to take effective measures in that regard, if </w:t>
      </w:r>
      <w:proofErr w:type="gramStart"/>
      <w:r w:rsidRPr="002F2B00">
        <w:rPr>
          <w:rStyle w:val="sb8d990e2"/>
          <w:rFonts w:cs="Arial"/>
          <w:color w:val="000000"/>
          <w:shd w:val="clear" w:color="auto" w:fill="FFFFFF"/>
        </w:rPr>
        <w:t>necessary</w:t>
      </w:r>
      <w:proofErr w:type="gramEnd"/>
      <w:r w:rsidRPr="002F2B00">
        <w:rPr>
          <w:rStyle w:val="sb8d990e2"/>
          <w:rFonts w:cs="Arial"/>
          <w:color w:val="000000"/>
          <w:shd w:val="clear" w:color="auto" w:fill="FFFFFF"/>
        </w:rPr>
        <w:t xml:space="preserve"> of their own motion. Otherwise</w:t>
      </w:r>
      <w:r w:rsidR="001E60B6" w:rsidRPr="002F2B00">
        <w:rPr>
          <w:rStyle w:val="sb8d990e2"/>
          <w:rFonts w:cs="Arial"/>
          <w:color w:val="000000"/>
          <w:shd w:val="clear" w:color="auto" w:fill="FFFFFF"/>
        </w:rPr>
        <w:t>,</w:t>
      </w:r>
      <w:r w:rsidRPr="002F2B00">
        <w:rPr>
          <w:rStyle w:val="sb8d990e2"/>
          <w:rFonts w:cs="Arial"/>
          <w:color w:val="000000"/>
          <w:shd w:val="clear" w:color="auto" w:fill="FFFFFF"/>
        </w:rPr>
        <w:t xml:space="preserve"> those indulging in cross-border attacks would be able to operate with impunity and the authorities o</w:t>
      </w:r>
      <w:r w:rsidR="001921FE" w:rsidRPr="002F2B00">
        <w:rPr>
          <w:rStyle w:val="sb8d990e2"/>
          <w:rFonts w:cs="Arial"/>
          <w:color w:val="000000"/>
          <w:shd w:val="clear" w:color="auto" w:fill="FFFFFF"/>
        </w:rPr>
        <w:t>f</w:t>
      </w:r>
      <w:r w:rsidR="00EC0F14" w:rsidRPr="002F2B00">
        <w:rPr>
          <w:rStyle w:val="sb8d990e2"/>
          <w:rFonts w:cs="Arial"/>
          <w:color w:val="000000"/>
          <w:shd w:val="clear" w:color="auto" w:fill="FFFFFF"/>
        </w:rPr>
        <w:t xml:space="preserve"> </w:t>
      </w:r>
      <w:r w:rsidRPr="002F2B00">
        <w:rPr>
          <w:rStyle w:val="sb8d990e2"/>
          <w:rFonts w:cs="Arial"/>
          <w:color w:val="000000"/>
          <w:shd w:val="clear" w:color="auto" w:fill="FFFFFF"/>
        </w:rPr>
        <w:lastRenderedPageBreak/>
        <w:t>the Contracting State which has suffered the attack would be foiled in their own efforts to protect the fundamental rights of their citizens</w:t>
      </w:r>
      <w:r w:rsidR="001E60B6" w:rsidRPr="002F2B00">
        <w:rPr>
          <w:rStyle w:val="sb8d990e2"/>
          <w:rFonts w:cs="Arial"/>
          <w:color w:val="000000"/>
          <w:shd w:val="clear" w:color="auto" w:fill="FFFFFF"/>
        </w:rPr>
        <w:t>.</w:t>
      </w:r>
      <w:r w:rsidR="001921FE" w:rsidRPr="002F2B00">
        <w:rPr>
          <w:rStyle w:val="FootnoteReference"/>
          <w:rFonts w:cs="Arial"/>
          <w:color w:val="000000"/>
          <w:shd w:val="clear" w:color="auto" w:fill="FFFFFF"/>
        </w:rPr>
        <w:footnoteReference w:id="217"/>
      </w:r>
    </w:p>
    <w:p w14:paraId="0645384C" w14:textId="77777777" w:rsidR="005665E0" w:rsidRPr="002F2B00" w:rsidRDefault="005665E0" w:rsidP="005665E0">
      <w:pPr>
        <w:pStyle w:val="ListParagraph"/>
      </w:pPr>
    </w:p>
    <w:p w14:paraId="3346D091" w14:textId="7C4FF6DD" w:rsidR="0065150D" w:rsidRPr="002F2B00" w:rsidRDefault="00A82520" w:rsidP="00EF2A10">
      <w:pPr>
        <w:pStyle w:val="ListParagraph"/>
        <w:numPr>
          <w:ilvl w:val="1"/>
          <w:numId w:val="37"/>
        </w:numPr>
      </w:pPr>
      <w:r w:rsidRPr="002F2B00">
        <w:t xml:space="preserve">Clause 1(7) of the </w:t>
      </w:r>
      <w:r w:rsidR="003705AB" w:rsidRPr="002F2B00">
        <w:t xml:space="preserve">current draft of the </w:t>
      </w:r>
      <w:r w:rsidRPr="002F2B00">
        <w:t xml:space="preserve">Bill </w:t>
      </w:r>
      <w:r w:rsidR="003705AB" w:rsidRPr="002F2B00">
        <w:t>proposes</w:t>
      </w:r>
      <w:r w:rsidRPr="002F2B00">
        <w:t xml:space="preserve"> that “it does not matter if an event or conduct occurred in NI, in another part of the UK, or elsewhere”. </w:t>
      </w:r>
      <w:r w:rsidR="007754A2" w:rsidRPr="002F2B00">
        <w:t>As the impact of the NI conflict extended beyond NI, not placing a jurisdictional limit on Troubles-related offences is welcomed</w:t>
      </w:r>
      <w:r w:rsidRPr="002F2B00">
        <w:t>.</w:t>
      </w:r>
      <w:r w:rsidR="007754A2" w:rsidRPr="002F2B00">
        <w:t xml:space="preserve"> Yet, the ICRIR’s limited mandate </w:t>
      </w:r>
      <w:r w:rsidR="009111AB" w:rsidRPr="002F2B00">
        <w:t xml:space="preserve">and lack of a thorough investigation by the ICRIR </w:t>
      </w:r>
      <w:r w:rsidR="003705AB" w:rsidRPr="002F2B00">
        <w:t xml:space="preserve">due to the current drafting of the Bill </w:t>
      </w:r>
      <w:r w:rsidR="007754A2" w:rsidRPr="002F2B00">
        <w:t xml:space="preserve">may have a negative impact on </w:t>
      </w:r>
      <w:r w:rsidR="009111AB" w:rsidRPr="002F2B00">
        <w:t xml:space="preserve">another State’s ability to fulfil their </w:t>
      </w:r>
      <w:r w:rsidR="004F0A3A" w:rsidRPr="002F2B00">
        <w:t>procedural</w:t>
      </w:r>
      <w:r w:rsidR="009111AB" w:rsidRPr="002F2B00">
        <w:t xml:space="preserve"> obligations</w:t>
      </w:r>
      <w:r w:rsidR="00686EEA" w:rsidRPr="002F2B00">
        <w:t xml:space="preserve">, as the information available will be severely </w:t>
      </w:r>
      <w:r w:rsidR="0065150D" w:rsidRPr="002F2B00">
        <w:t>curtailed</w:t>
      </w:r>
      <w:r w:rsidR="009111AB" w:rsidRPr="002F2B00">
        <w:t>.</w:t>
      </w:r>
      <w:r w:rsidR="00FA510C" w:rsidRPr="002F2B00">
        <w:t xml:space="preserve"> </w:t>
      </w:r>
      <w:r w:rsidR="00FA510C" w:rsidRPr="002F2B00">
        <w:rPr>
          <w:bCs/>
          <w:szCs w:val="24"/>
        </w:rPr>
        <w:t>This is compounded by the limitations on disclosure listed within the</w:t>
      </w:r>
      <w:r w:rsidR="00A24E9A" w:rsidRPr="002F2B00">
        <w:rPr>
          <w:bCs/>
          <w:szCs w:val="24"/>
        </w:rPr>
        <w:t xml:space="preserve"> current draft of the</w:t>
      </w:r>
      <w:r w:rsidR="00FA510C" w:rsidRPr="002F2B00">
        <w:rPr>
          <w:bCs/>
          <w:szCs w:val="24"/>
        </w:rPr>
        <w:t xml:space="preserve"> Bill</w:t>
      </w:r>
      <w:r w:rsidR="00A772EE" w:rsidRPr="002F2B00">
        <w:rPr>
          <w:bCs/>
          <w:szCs w:val="24"/>
        </w:rPr>
        <w:t xml:space="preserve"> discussed </w:t>
      </w:r>
      <w:r w:rsidR="007B7126" w:rsidRPr="002F2B00">
        <w:rPr>
          <w:bCs/>
          <w:szCs w:val="24"/>
        </w:rPr>
        <w:t>in the above section on non-disclosure</w:t>
      </w:r>
      <w:r w:rsidR="00FA510C" w:rsidRPr="002F2B00">
        <w:rPr>
          <w:bCs/>
          <w:szCs w:val="24"/>
        </w:rPr>
        <w:t>.</w:t>
      </w:r>
    </w:p>
    <w:p w14:paraId="014C047D" w14:textId="77777777" w:rsidR="00FA510C" w:rsidRPr="002F2B00" w:rsidRDefault="00FA510C" w:rsidP="00FA510C">
      <w:pPr>
        <w:pStyle w:val="ListParagraph"/>
      </w:pPr>
    </w:p>
    <w:p w14:paraId="21597E39" w14:textId="3AD4AA18" w:rsidR="00FA510C" w:rsidRPr="002F2B00" w:rsidRDefault="00FA510C" w:rsidP="00EF2A10">
      <w:pPr>
        <w:pStyle w:val="ListParagraph"/>
        <w:numPr>
          <w:ilvl w:val="1"/>
          <w:numId w:val="37"/>
        </w:numPr>
      </w:pPr>
      <w:r w:rsidRPr="002F2B00">
        <w:t>Clause 2</w:t>
      </w:r>
      <w:r w:rsidR="00897EF2" w:rsidRPr="002F2B00">
        <w:t>6</w:t>
      </w:r>
      <w:r w:rsidRPr="002F2B00">
        <w:t>(1)</w:t>
      </w:r>
      <w:r w:rsidR="001A0BF3" w:rsidRPr="002F2B00">
        <w:t xml:space="preserve"> </w:t>
      </w:r>
      <w:r w:rsidR="00EE111F" w:rsidRPr="002F2B00">
        <w:t xml:space="preserve">of the </w:t>
      </w:r>
      <w:r w:rsidR="00A41B9B" w:rsidRPr="002F2B00">
        <w:t xml:space="preserve">current draft of the </w:t>
      </w:r>
      <w:r w:rsidR="00EE111F" w:rsidRPr="002F2B00">
        <w:t xml:space="preserve">Bill </w:t>
      </w:r>
      <w:r w:rsidR="00A41B9B" w:rsidRPr="002F2B00">
        <w:t xml:space="preserve">proposes </w:t>
      </w:r>
      <w:r w:rsidR="00EE111F" w:rsidRPr="002F2B00">
        <w:t>that “the ICRIR may disclose any information held by the ICRIR to any other person”. Clause 2</w:t>
      </w:r>
      <w:r w:rsidR="002A7CD5" w:rsidRPr="002F2B00">
        <w:t>6</w:t>
      </w:r>
      <w:r w:rsidR="00EE111F" w:rsidRPr="002F2B00">
        <w:t xml:space="preserve">(2) of the </w:t>
      </w:r>
      <w:r w:rsidR="00A41B9B" w:rsidRPr="002F2B00">
        <w:t xml:space="preserve">current draft of the </w:t>
      </w:r>
      <w:r w:rsidR="00EE111F" w:rsidRPr="002F2B00">
        <w:t xml:space="preserve">Bill </w:t>
      </w:r>
      <w:r w:rsidR="00A41B9B" w:rsidRPr="002F2B00">
        <w:t>proposes placing</w:t>
      </w:r>
      <w:r w:rsidR="0033376C" w:rsidRPr="002F2B00">
        <w:t xml:space="preserve"> limitations on what information can be shared, such as prohibiting the sharing of sensitive information or protected international information. </w:t>
      </w:r>
      <w:r w:rsidR="001A0BF3" w:rsidRPr="002F2B00">
        <w:t xml:space="preserve">Clause 3(2) of Schedule 5 of the </w:t>
      </w:r>
      <w:r w:rsidR="00A41B9B" w:rsidRPr="002F2B00">
        <w:t xml:space="preserve">current draft of the </w:t>
      </w:r>
      <w:r w:rsidR="001A0BF3" w:rsidRPr="002F2B00">
        <w:t xml:space="preserve">Bill </w:t>
      </w:r>
      <w:r w:rsidR="003750F2" w:rsidRPr="002F2B00">
        <w:t xml:space="preserve">includes a </w:t>
      </w:r>
      <w:r w:rsidR="001A0BF3" w:rsidRPr="002F2B00">
        <w:t>lis</w:t>
      </w:r>
      <w:r w:rsidR="00604A83" w:rsidRPr="002F2B00">
        <w:t>t</w:t>
      </w:r>
      <w:r w:rsidR="003750F2" w:rsidRPr="002F2B00">
        <w:t xml:space="preserve"> of</w:t>
      </w:r>
      <w:r w:rsidR="001A0BF3" w:rsidRPr="002F2B00">
        <w:t xml:space="preserve"> specified persons or organisations to which disclosure of sensitive information is permitted. </w:t>
      </w:r>
      <w:r w:rsidR="003750F2" w:rsidRPr="002F2B00">
        <w:t xml:space="preserve">The </w:t>
      </w:r>
      <w:r w:rsidR="008C2E52" w:rsidRPr="002F2B00">
        <w:t>proposed</w:t>
      </w:r>
      <w:r w:rsidR="003750F2" w:rsidRPr="002F2B00">
        <w:t xml:space="preserve"> list</w:t>
      </w:r>
      <w:r w:rsidR="00AB73A0" w:rsidRPr="002F2B00">
        <w:t xml:space="preserve"> focuses on Public Prosecutors, police and coroners based in the UK. </w:t>
      </w:r>
      <w:r w:rsidR="00957493" w:rsidRPr="002F2B00">
        <w:t xml:space="preserve">It does not provide for such information to be shared with </w:t>
      </w:r>
      <w:r w:rsidR="00AB73A0" w:rsidRPr="002F2B00">
        <w:t>equivalent</w:t>
      </w:r>
      <w:r w:rsidR="00957493" w:rsidRPr="002F2B00">
        <w:t xml:space="preserve"> authorities in other States that may</w:t>
      </w:r>
      <w:r w:rsidR="00AB73A0" w:rsidRPr="002F2B00">
        <w:t xml:space="preserve"> have a duty to</w:t>
      </w:r>
      <w:r w:rsidR="00957493" w:rsidRPr="002F2B00">
        <w:t xml:space="preserve"> investigate</w:t>
      </w:r>
      <w:r w:rsidR="00FE2468" w:rsidRPr="002F2B00">
        <w:t xml:space="preserve"> Troubles-related offences</w:t>
      </w:r>
      <w:r w:rsidR="00957493" w:rsidRPr="002F2B00">
        <w:t>.</w:t>
      </w:r>
    </w:p>
    <w:p w14:paraId="2B27BC00" w14:textId="77777777" w:rsidR="00222842" w:rsidRPr="002F2B00" w:rsidRDefault="00222842" w:rsidP="00222842">
      <w:pPr>
        <w:pStyle w:val="ListParagraph"/>
      </w:pPr>
    </w:p>
    <w:p w14:paraId="3158A49A" w14:textId="3B9C158A" w:rsidR="00E52A91" w:rsidRPr="002F2B00" w:rsidRDefault="00222842" w:rsidP="00EF2A10">
      <w:pPr>
        <w:pStyle w:val="ListParagraph"/>
        <w:numPr>
          <w:ilvl w:val="1"/>
          <w:numId w:val="37"/>
        </w:numPr>
        <w:rPr>
          <w:b/>
          <w:bCs/>
        </w:rPr>
      </w:pPr>
      <w:r w:rsidRPr="002F2B00">
        <w:rPr>
          <w:b/>
          <w:bCs/>
        </w:rPr>
        <w:t xml:space="preserve">The NIHRC </w:t>
      </w:r>
      <w:r w:rsidR="00992279" w:rsidRPr="002F2B00">
        <w:rPr>
          <w:b/>
          <w:bCs/>
        </w:rPr>
        <w:t xml:space="preserve">welcomes </w:t>
      </w:r>
      <w:r w:rsidR="00B15BC8" w:rsidRPr="002F2B00">
        <w:rPr>
          <w:b/>
          <w:bCs/>
        </w:rPr>
        <w:t xml:space="preserve">the recognition </w:t>
      </w:r>
      <w:r w:rsidR="00E52A91" w:rsidRPr="002F2B00">
        <w:rPr>
          <w:b/>
          <w:bCs/>
        </w:rPr>
        <w:t xml:space="preserve">within the current draft of the Bill </w:t>
      </w:r>
      <w:r w:rsidR="00B15BC8" w:rsidRPr="002F2B00">
        <w:rPr>
          <w:b/>
          <w:bCs/>
        </w:rPr>
        <w:t xml:space="preserve">that </w:t>
      </w:r>
      <w:r w:rsidR="00992279" w:rsidRPr="002F2B00">
        <w:rPr>
          <w:b/>
          <w:bCs/>
        </w:rPr>
        <w:t>the NI conflict extended beyond NI.</w:t>
      </w:r>
      <w:r w:rsidR="00794D44" w:rsidRPr="002F2B00">
        <w:rPr>
          <w:b/>
          <w:bCs/>
        </w:rPr>
        <w:t xml:space="preserve"> However, </w:t>
      </w:r>
    </w:p>
    <w:p w14:paraId="7F77A95C" w14:textId="357E004B" w:rsidR="00E52A91" w:rsidRPr="002F2B00" w:rsidRDefault="00E52A91" w:rsidP="00E52A91">
      <w:pPr>
        <w:pStyle w:val="ListParagraph"/>
        <w:rPr>
          <w:b/>
          <w:bCs/>
        </w:rPr>
      </w:pPr>
      <w:r w:rsidRPr="002F2B00">
        <w:rPr>
          <w:b/>
          <w:bCs/>
        </w:rPr>
        <w:t xml:space="preserve">the NIHRC is gravely concerned that the </w:t>
      </w:r>
      <w:r w:rsidR="00BD3AC5" w:rsidRPr="002F2B00">
        <w:rPr>
          <w:b/>
          <w:bCs/>
        </w:rPr>
        <w:t>ICRIR’s mandate and approach to investigations as proposed by the present Bill</w:t>
      </w:r>
      <w:r w:rsidRPr="002F2B00">
        <w:rPr>
          <w:b/>
          <w:bCs/>
        </w:rPr>
        <w:t xml:space="preserve"> will significantly hinder </w:t>
      </w:r>
      <w:r w:rsidR="00BD3AC5" w:rsidRPr="002F2B00">
        <w:rPr>
          <w:b/>
          <w:bCs/>
        </w:rPr>
        <w:t xml:space="preserve">the </w:t>
      </w:r>
      <w:r w:rsidR="00BD3DED" w:rsidRPr="002F2B00">
        <w:rPr>
          <w:b/>
          <w:bCs/>
        </w:rPr>
        <w:t xml:space="preserve">ability for other States to </w:t>
      </w:r>
      <w:r w:rsidR="00BD3AC5" w:rsidRPr="002F2B00">
        <w:rPr>
          <w:b/>
          <w:bCs/>
        </w:rPr>
        <w:t>satisfy their procedural obligations regarding the NI conflict.</w:t>
      </w:r>
      <w:r w:rsidRPr="002F2B00">
        <w:rPr>
          <w:b/>
          <w:bCs/>
        </w:rPr>
        <w:t xml:space="preserve"> </w:t>
      </w:r>
    </w:p>
    <w:p w14:paraId="1E1BDA55" w14:textId="28FCC9F2" w:rsidR="00D747CA" w:rsidRPr="002F2B00" w:rsidRDefault="002725AC" w:rsidP="008F2E1F">
      <w:pPr>
        <w:pStyle w:val="ListParagraph"/>
        <w:rPr>
          <w:b/>
          <w:szCs w:val="24"/>
        </w:rPr>
      </w:pPr>
      <w:r w:rsidRPr="002F2B00">
        <w:rPr>
          <w:b/>
          <w:bCs/>
        </w:rPr>
        <w:t xml:space="preserve"> </w:t>
      </w:r>
    </w:p>
    <w:p w14:paraId="3058D100" w14:textId="50A48B82" w:rsidR="00D3247B" w:rsidRPr="002F2B00" w:rsidRDefault="0083638A" w:rsidP="00145475">
      <w:pPr>
        <w:pStyle w:val="Heading2"/>
      </w:pPr>
      <w:bookmarkStart w:id="26" w:name="_Toc113517957"/>
      <w:r w:rsidRPr="002F2B00">
        <w:lastRenderedPageBreak/>
        <w:t>Biometric data</w:t>
      </w:r>
      <w:bookmarkEnd w:id="26"/>
    </w:p>
    <w:p w14:paraId="5A56CC75" w14:textId="2F2D426C" w:rsidR="00C9005C" w:rsidRPr="002F2B00" w:rsidRDefault="00174244" w:rsidP="00EF2A10">
      <w:pPr>
        <w:pStyle w:val="ListParagraph"/>
        <w:numPr>
          <w:ilvl w:val="1"/>
          <w:numId w:val="37"/>
        </w:numPr>
      </w:pPr>
      <w:r w:rsidRPr="002F2B00">
        <w:t xml:space="preserve">Article 8(1) of the </w:t>
      </w:r>
      <w:r w:rsidR="00C9005C" w:rsidRPr="002F2B00">
        <w:t>ECHR</w:t>
      </w:r>
      <w:r w:rsidRPr="002F2B00">
        <w:rPr>
          <w:szCs w:val="24"/>
        </w:rPr>
        <w:t xml:space="preserve"> </w:t>
      </w:r>
      <w:r w:rsidR="00C9005C" w:rsidRPr="002F2B00">
        <w:t>states “everyone has the right to respect for his private and family life, his home and his correspondence”. The ECtHR has confirmed that this right is engaged in the context of biometric material.</w:t>
      </w:r>
      <w:r w:rsidR="00C9005C" w:rsidRPr="002F2B00">
        <w:rPr>
          <w:rStyle w:val="FootnoteReference"/>
        </w:rPr>
        <w:footnoteReference w:id="218"/>
      </w:r>
      <w:r w:rsidR="001761F8" w:rsidRPr="002F2B00">
        <w:t xml:space="preserve"> This is reflected in a range of other </w:t>
      </w:r>
      <w:r w:rsidR="42B40258" w:rsidRPr="002F2B00">
        <w:t xml:space="preserve">international </w:t>
      </w:r>
      <w:r w:rsidR="001761F8" w:rsidRPr="002F2B00">
        <w:t>human rights treaties.</w:t>
      </w:r>
      <w:r w:rsidR="001761F8" w:rsidRPr="002F2B00">
        <w:rPr>
          <w:rStyle w:val="FootnoteReference"/>
        </w:rPr>
        <w:footnoteReference w:id="219"/>
      </w:r>
    </w:p>
    <w:p w14:paraId="4EEE8E14" w14:textId="77777777" w:rsidR="00C9005C" w:rsidRPr="002F2B00" w:rsidRDefault="00C9005C" w:rsidP="00C217B5">
      <w:pPr>
        <w:pStyle w:val="ListParagraph"/>
        <w:rPr>
          <w:szCs w:val="24"/>
        </w:rPr>
      </w:pPr>
    </w:p>
    <w:p w14:paraId="30CD6C7C" w14:textId="6FDA79E8" w:rsidR="00C9005C" w:rsidRPr="002F2B00" w:rsidRDefault="008F7E29" w:rsidP="00EF2A10">
      <w:pPr>
        <w:pStyle w:val="ListParagraph"/>
        <w:numPr>
          <w:ilvl w:val="1"/>
          <w:numId w:val="37"/>
        </w:numPr>
        <w:rPr>
          <w:szCs w:val="24"/>
        </w:rPr>
      </w:pPr>
      <w:r w:rsidRPr="002F2B00">
        <w:rPr>
          <w:szCs w:val="24"/>
        </w:rPr>
        <w:t>The right to respect for private and family life</w:t>
      </w:r>
      <w:r w:rsidR="00211399" w:rsidRPr="002F2B00">
        <w:rPr>
          <w:szCs w:val="24"/>
        </w:rPr>
        <w:t xml:space="preserve"> is a qualified right, meaning that it can be interfered with in certain circumstances. The circumstances in which interference may be permitted is set out in </w:t>
      </w:r>
      <w:r w:rsidRPr="002F2B00">
        <w:rPr>
          <w:szCs w:val="24"/>
        </w:rPr>
        <w:t xml:space="preserve">Article 8(2) of the </w:t>
      </w:r>
      <w:r w:rsidR="00C9005C" w:rsidRPr="002F2B00">
        <w:rPr>
          <w:szCs w:val="24"/>
        </w:rPr>
        <w:t>ECHR</w:t>
      </w:r>
      <w:r w:rsidR="00211399" w:rsidRPr="002F2B00">
        <w:rPr>
          <w:szCs w:val="24"/>
        </w:rPr>
        <w:t>. This provision</w:t>
      </w:r>
      <w:r w:rsidR="00C9005C" w:rsidRPr="002F2B00">
        <w:rPr>
          <w:szCs w:val="24"/>
        </w:rPr>
        <w:t xml:space="preserve"> states:</w:t>
      </w:r>
    </w:p>
    <w:p w14:paraId="53C79502" w14:textId="77777777" w:rsidR="00C9005C" w:rsidRPr="002F2B00" w:rsidRDefault="00C9005C" w:rsidP="00C217B5">
      <w:pPr>
        <w:pStyle w:val="ListParagraph"/>
        <w:rPr>
          <w:szCs w:val="24"/>
        </w:rPr>
      </w:pPr>
    </w:p>
    <w:p w14:paraId="2AAC3DE7" w14:textId="77777777" w:rsidR="00C9005C" w:rsidRPr="002F2B00" w:rsidRDefault="00211399" w:rsidP="00C217B5">
      <w:pPr>
        <w:pStyle w:val="Quote"/>
      </w:pPr>
      <w:r w:rsidRPr="002F2B00">
        <w:t>t</w:t>
      </w:r>
      <w:r w:rsidR="00C9005C" w:rsidRPr="002F2B00">
        <w:t xml:space="preserve">here shall be no interference by a public authority with the exercise of this right except such as is in accordance with the law and is necessary in a democratic society in the interests of national security, public </w:t>
      </w:r>
      <w:proofErr w:type="gramStart"/>
      <w:r w:rsidR="00C9005C" w:rsidRPr="002F2B00">
        <w:t>safety</w:t>
      </w:r>
      <w:proofErr w:type="gramEnd"/>
      <w:r w:rsidR="00C9005C" w:rsidRPr="002F2B00">
        <w:t xml:space="preserve"> or the economic well-being of the country, for the prevention of disorder or crime, for the protection of health or morals, or for the protection of the rights and freedoms of others.</w:t>
      </w:r>
    </w:p>
    <w:p w14:paraId="2CCF8808" w14:textId="77777777" w:rsidR="00211399" w:rsidRPr="002F2B00" w:rsidRDefault="00211399" w:rsidP="00C217B5"/>
    <w:p w14:paraId="30A26ED4" w14:textId="77777777" w:rsidR="00EB224B" w:rsidRPr="002F2B00" w:rsidRDefault="00211399" w:rsidP="00EF2A10">
      <w:pPr>
        <w:pStyle w:val="ListParagraph"/>
        <w:numPr>
          <w:ilvl w:val="1"/>
          <w:numId w:val="37"/>
        </w:numPr>
        <w:rPr>
          <w:szCs w:val="24"/>
        </w:rPr>
      </w:pPr>
      <w:r w:rsidRPr="002F2B00">
        <w:rPr>
          <w:szCs w:val="24"/>
        </w:rPr>
        <w:t>For an interference to be in accordance with law, the ECtHR has elaborated that the relevant measure should</w:t>
      </w:r>
      <w:r w:rsidR="00EB224B" w:rsidRPr="002F2B00">
        <w:rPr>
          <w:szCs w:val="24"/>
        </w:rPr>
        <w:t xml:space="preserve"> “h</w:t>
      </w:r>
      <w:r w:rsidRPr="002F2B00">
        <w:t>ave some basis in domestic law</w:t>
      </w:r>
      <w:r w:rsidR="00EB224B" w:rsidRPr="002F2B00">
        <w:t>”</w:t>
      </w:r>
      <w:r w:rsidRPr="002F2B00">
        <w:t xml:space="preserve"> and </w:t>
      </w:r>
      <w:r w:rsidR="00EB224B" w:rsidRPr="002F2B00">
        <w:t>“</w:t>
      </w:r>
      <w:r w:rsidRPr="002F2B00">
        <w:t>to be compatible with the rule of law, which is expressly mentioned in the preamble to the Convention</w:t>
      </w:r>
      <w:r w:rsidR="00EB224B" w:rsidRPr="002F2B00">
        <w:t>”</w:t>
      </w:r>
      <w:r w:rsidRPr="002F2B00">
        <w:t xml:space="preserve"> and inherent in </w:t>
      </w:r>
      <w:r w:rsidR="00EB224B" w:rsidRPr="002F2B00">
        <w:t>“</w:t>
      </w:r>
      <w:r w:rsidRPr="002F2B00">
        <w:t>the object and purpose of Article 8</w:t>
      </w:r>
      <w:r w:rsidR="00EB224B" w:rsidRPr="002F2B00">
        <w:t>”.</w:t>
      </w:r>
      <w:r w:rsidR="00EB224B" w:rsidRPr="002F2B00">
        <w:rPr>
          <w:rStyle w:val="FootnoteReference"/>
        </w:rPr>
        <w:footnoteReference w:id="220"/>
      </w:r>
      <w:r w:rsidR="00EB224B" w:rsidRPr="002F2B00">
        <w:t xml:space="preserve"> Thus, the:</w:t>
      </w:r>
    </w:p>
    <w:p w14:paraId="62827F46" w14:textId="77777777" w:rsidR="00EB224B" w:rsidRPr="002F2B00" w:rsidRDefault="00EB224B" w:rsidP="00C217B5">
      <w:pPr>
        <w:pStyle w:val="ListParagraph"/>
      </w:pPr>
    </w:p>
    <w:p w14:paraId="43598C7A" w14:textId="77777777" w:rsidR="00211399" w:rsidRPr="002F2B00" w:rsidRDefault="00211399" w:rsidP="00C217B5">
      <w:pPr>
        <w:pStyle w:val="Quote"/>
        <w:rPr>
          <w:szCs w:val="24"/>
        </w:rPr>
      </w:pPr>
      <w:r w:rsidRPr="002F2B00">
        <w:t xml:space="preserve">law must be </w:t>
      </w:r>
      <w:r w:rsidR="00EB224B" w:rsidRPr="002F2B00">
        <w:t>adequately accessible: the citizen must be able to have an indication that is adequate in the circumstances of the legal rules applicable to a given case</w:t>
      </w:r>
      <w:r w:rsidRPr="002F2B00">
        <w:t>.</w:t>
      </w:r>
      <w:r w:rsidR="00EB224B" w:rsidRPr="002F2B00">
        <w:t xml:space="preserve"> Secondly, a norm cannot be regarded as ‘law’ unless it is formulated with sufficient precision to enable the citizen to regulate his conduct: he must be able – if need </w:t>
      </w:r>
      <w:proofErr w:type="gramStart"/>
      <w:r w:rsidR="00EB224B" w:rsidRPr="002F2B00">
        <w:t>be</w:t>
      </w:r>
      <w:proofErr w:type="gramEnd"/>
      <w:r w:rsidR="00EB224B" w:rsidRPr="002F2B00">
        <w:t xml:space="preserve"> with appropriate advice – to foresee, to a degree that is reasonable in the circumstances, the consequences which a given action may entail.</w:t>
      </w:r>
      <w:r w:rsidRPr="002F2B00">
        <w:rPr>
          <w:rStyle w:val="FootnoteReference"/>
        </w:rPr>
        <w:footnoteReference w:id="221"/>
      </w:r>
    </w:p>
    <w:p w14:paraId="5D6EFB50" w14:textId="77777777" w:rsidR="00211399" w:rsidRPr="002F2B00" w:rsidRDefault="00211399" w:rsidP="00C217B5">
      <w:pPr>
        <w:pStyle w:val="ListParagraph"/>
        <w:rPr>
          <w:szCs w:val="24"/>
        </w:rPr>
      </w:pPr>
    </w:p>
    <w:p w14:paraId="05AC017C" w14:textId="77777777" w:rsidR="00EB224B" w:rsidRPr="002F2B00" w:rsidRDefault="00211399" w:rsidP="00EF2A10">
      <w:pPr>
        <w:pStyle w:val="ListParagraph"/>
        <w:numPr>
          <w:ilvl w:val="1"/>
          <w:numId w:val="37"/>
        </w:numPr>
        <w:rPr>
          <w:szCs w:val="24"/>
        </w:rPr>
      </w:pPr>
      <w:r w:rsidRPr="002F2B00">
        <w:rPr>
          <w:szCs w:val="24"/>
        </w:rPr>
        <w:t>Specific to</w:t>
      </w:r>
      <w:r w:rsidR="00A83F84" w:rsidRPr="002F2B00">
        <w:rPr>
          <w:szCs w:val="24"/>
        </w:rPr>
        <w:t xml:space="preserve"> </w:t>
      </w:r>
      <w:r w:rsidRPr="002F2B00">
        <w:rPr>
          <w:szCs w:val="24"/>
        </w:rPr>
        <w:t>retention of biometric material for suspects</w:t>
      </w:r>
      <w:r w:rsidR="00A83F84" w:rsidRPr="002F2B00">
        <w:rPr>
          <w:szCs w:val="24"/>
        </w:rPr>
        <w:t xml:space="preserve">, </w:t>
      </w:r>
      <w:r w:rsidR="00EB224B" w:rsidRPr="002F2B00">
        <w:rPr>
          <w:szCs w:val="24"/>
        </w:rPr>
        <w:t>the ECtHR states:</w:t>
      </w:r>
    </w:p>
    <w:p w14:paraId="32C1A839" w14:textId="77777777" w:rsidR="00EB224B" w:rsidRPr="002F2B00" w:rsidRDefault="00EB224B" w:rsidP="00C217B5">
      <w:pPr>
        <w:pStyle w:val="ListParagraph"/>
        <w:rPr>
          <w:szCs w:val="24"/>
        </w:rPr>
      </w:pPr>
    </w:p>
    <w:p w14:paraId="4A5F52B2" w14:textId="77777777" w:rsidR="00EB224B" w:rsidRPr="002F2B00" w:rsidRDefault="00C44088" w:rsidP="00C217B5">
      <w:pPr>
        <w:pStyle w:val="Quote"/>
      </w:pPr>
      <w:r w:rsidRPr="002F2B00">
        <w:t>t</w:t>
      </w:r>
      <w:r w:rsidR="00EB224B" w:rsidRPr="002F2B00">
        <w:t xml:space="preserve">he domestic law should notably ensure that such data are relevant and not excessive in relation to the purposes for which they are stored; and preserved in a form which permits identification of the data subjects for no longer than is required </w:t>
      </w:r>
      <w:r w:rsidRPr="002F2B00">
        <w:t>for the purpose which those data are stored. The domestic law must also afford adequate guarantees that retained personal data was efficiently protected from misuse and abuse.</w:t>
      </w:r>
      <w:r w:rsidRPr="002F2B00">
        <w:rPr>
          <w:rStyle w:val="FootnoteReference"/>
        </w:rPr>
        <w:footnoteReference w:id="222"/>
      </w:r>
    </w:p>
    <w:p w14:paraId="45F45526" w14:textId="77777777" w:rsidR="00EB224B" w:rsidRPr="002F2B00" w:rsidRDefault="00EB224B" w:rsidP="00C217B5">
      <w:pPr>
        <w:pStyle w:val="ListParagraph"/>
        <w:rPr>
          <w:szCs w:val="24"/>
        </w:rPr>
      </w:pPr>
    </w:p>
    <w:p w14:paraId="49736E84" w14:textId="4C9765A3" w:rsidR="00A83F84" w:rsidRPr="002F2B00" w:rsidRDefault="00EB224B" w:rsidP="00EF2A10">
      <w:pPr>
        <w:pStyle w:val="ListParagraph"/>
        <w:numPr>
          <w:ilvl w:val="1"/>
          <w:numId w:val="37"/>
        </w:numPr>
        <w:rPr>
          <w:szCs w:val="24"/>
        </w:rPr>
      </w:pPr>
      <w:r w:rsidRPr="002F2B00">
        <w:rPr>
          <w:szCs w:val="24"/>
        </w:rPr>
        <w:t>T</w:t>
      </w:r>
      <w:r w:rsidR="00211399" w:rsidRPr="002F2B00">
        <w:rPr>
          <w:szCs w:val="24"/>
        </w:rPr>
        <w:t xml:space="preserve">he ECtHR </w:t>
      </w:r>
      <w:r w:rsidRPr="002F2B00">
        <w:rPr>
          <w:szCs w:val="24"/>
        </w:rPr>
        <w:t xml:space="preserve">further </w:t>
      </w:r>
      <w:r w:rsidR="00211399" w:rsidRPr="002F2B00">
        <w:rPr>
          <w:szCs w:val="24"/>
        </w:rPr>
        <w:t xml:space="preserve">states </w:t>
      </w:r>
      <w:r w:rsidR="002A73AB" w:rsidRPr="002F2B00">
        <w:rPr>
          <w:szCs w:val="24"/>
        </w:rPr>
        <w:t xml:space="preserve">that </w:t>
      </w:r>
      <w:r w:rsidR="00A83F84" w:rsidRPr="002F2B00">
        <w:rPr>
          <w:szCs w:val="24"/>
        </w:rPr>
        <w:t xml:space="preserve">consideration must be given to “whether the permanent retention of… all suspected but </w:t>
      </w:r>
      <w:proofErr w:type="spellStart"/>
      <w:r w:rsidR="00A83F84" w:rsidRPr="002F2B00">
        <w:rPr>
          <w:szCs w:val="24"/>
        </w:rPr>
        <w:t>unconvicted</w:t>
      </w:r>
      <w:proofErr w:type="spellEnd"/>
      <w:r w:rsidR="00A83F84" w:rsidRPr="002F2B00">
        <w:rPr>
          <w:szCs w:val="24"/>
        </w:rPr>
        <w:t xml:space="preserve"> people is based on relevant sufficient reasons”.</w:t>
      </w:r>
      <w:r w:rsidR="00A83F84" w:rsidRPr="002F2B00">
        <w:rPr>
          <w:rStyle w:val="FootnoteReference"/>
          <w:szCs w:val="24"/>
        </w:rPr>
        <w:footnoteReference w:id="223"/>
      </w:r>
      <w:r w:rsidR="00A83F84" w:rsidRPr="002F2B00">
        <w:rPr>
          <w:szCs w:val="24"/>
        </w:rPr>
        <w:t xml:space="preserve"> Consideration should also be given as</w:t>
      </w:r>
      <w:r w:rsidR="00C44088" w:rsidRPr="002F2B00">
        <w:rPr>
          <w:szCs w:val="24"/>
        </w:rPr>
        <w:t xml:space="preserve"> to</w:t>
      </w:r>
      <w:r w:rsidR="00A83F84" w:rsidRPr="002F2B00">
        <w:rPr>
          <w:szCs w:val="24"/>
        </w:rPr>
        <w:t xml:space="preserve"> “whether such retention is proportionate and strikes a fair balance between the competing public and private interests”.</w:t>
      </w:r>
      <w:r w:rsidR="00A83F84" w:rsidRPr="002F2B00">
        <w:rPr>
          <w:rStyle w:val="FootnoteReference"/>
          <w:szCs w:val="24"/>
        </w:rPr>
        <w:footnoteReference w:id="224"/>
      </w:r>
    </w:p>
    <w:p w14:paraId="6C63A461" w14:textId="77777777" w:rsidR="00A83F84" w:rsidRPr="002F2B00" w:rsidRDefault="00A83F84" w:rsidP="00C217B5">
      <w:pPr>
        <w:pStyle w:val="ListParagraph"/>
        <w:rPr>
          <w:szCs w:val="24"/>
        </w:rPr>
      </w:pPr>
    </w:p>
    <w:p w14:paraId="0130FA81" w14:textId="54AB8A92" w:rsidR="00F72903" w:rsidRPr="002F2B00" w:rsidRDefault="00FB4812" w:rsidP="00EF2A10">
      <w:pPr>
        <w:pStyle w:val="ListParagraph"/>
        <w:numPr>
          <w:ilvl w:val="1"/>
          <w:numId w:val="37"/>
        </w:numPr>
        <w:rPr>
          <w:szCs w:val="24"/>
        </w:rPr>
      </w:pPr>
      <w:r w:rsidRPr="002F2B00">
        <w:rPr>
          <w:szCs w:val="24"/>
        </w:rPr>
        <w:t>A</w:t>
      </w:r>
      <w:r w:rsidR="00A83F84" w:rsidRPr="002F2B00">
        <w:rPr>
          <w:szCs w:val="24"/>
        </w:rPr>
        <w:t xml:space="preserve"> “</w:t>
      </w:r>
      <w:r w:rsidR="00A83F84" w:rsidRPr="002F2B00">
        <w:t>blanket and indiscriminate nature of powers of retention of the fingerprints, cellular samples and DNA profiles of persons suspected but not convicted of offences… fails to strike a fair balance between the competing public and private interests”.</w:t>
      </w:r>
      <w:r w:rsidR="00C9005C" w:rsidRPr="002F2B00">
        <w:rPr>
          <w:rStyle w:val="FootnoteReference"/>
        </w:rPr>
        <w:footnoteReference w:id="225"/>
      </w:r>
      <w:r w:rsidR="00A83F84" w:rsidRPr="002F2B00">
        <w:t xml:space="preserve"> It “overstepped any acceptable margin of appreciation in this regard”.</w:t>
      </w:r>
      <w:r w:rsidR="00C9005C" w:rsidRPr="002F2B00">
        <w:rPr>
          <w:rStyle w:val="FootnoteReference"/>
        </w:rPr>
        <w:footnoteReference w:id="226"/>
      </w:r>
    </w:p>
    <w:p w14:paraId="7CC7DDF3" w14:textId="77777777" w:rsidR="00F72903" w:rsidRPr="002F2B00" w:rsidRDefault="00F72903" w:rsidP="00F72903">
      <w:pPr>
        <w:pStyle w:val="ListParagraph"/>
        <w:rPr>
          <w:szCs w:val="24"/>
        </w:rPr>
      </w:pPr>
    </w:p>
    <w:p w14:paraId="028672BB" w14:textId="29B70CCD" w:rsidR="00C6340F" w:rsidRPr="002F2B00" w:rsidRDefault="00C6340F" w:rsidP="00EF2A10">
      <w:pPr>
        <w:pStyle w:val="ListParagraph"/>
        <w:numPr>
          <w:ilvl w:val="1"/>
          <w:numId w:val="37"/>
        </w:numPr>
        <w:rPr>
          <w:szCs w:val="24"/>
        </w:rPr>
      </w:pPr>
      <w:r w:rsidRPr="002F2B00">
        <w:rPr>
          <w:szCs w:val="24"/>
        </w:rPr>
        <w:t>The UN Human Rights Committee states:</w:t>
      </w:r>
    </w:p>
    <w:p w14:paraId="7AEC1B04" w14:textId="77777777" w:rsidR="00C6340F" w:rsidRPr="002F2B00" w:rsidRDefault="00C6340F" w:rsidP="00C217B5">
      <w:pPr>
        <w:pStyle w:val="ListParagraph"/>
        <w:rPr>
          <w:szCs w:val="24"/>
        </w:rPr>
      </w:pPr>
    </w:p>
    <w:p w14:paraId="4ED5534D" w14:textId="2ABB8A7B" w:rsidR="00C6340F" w:rsidRPr="002F2B00" w:rsidRDefault="008634B5" w:rsidP="00C217B5">
      <w:pPr>
        <w:pStyle w:val="Quote"/>
      </w:pPr>
      <w:r w:rsidRPr="002F2B00">
        <w:t xml:space="preserve">the term ‘unlawful’ means that no interference can take place except in cases envisaged by the law. Interference authorised by States can only take place </w:t>
      </w:r>
      <w:proofErr w:type="gramStart"/>
      <w:r w:rsidRPr="002F2B00">
        <w:t>on the basis of</w:t>
      </w:r>
      <w:proofErr w:type="gramEnd"/>
      <w:r w:rsidRPr="002F2B00">
        <w:t xml:space="preserve"> law, which itself must comply with the provisions, aims and objectives of the Covenant. The expression ‘</w:t>
      </w:r>
      <w:r w:rsidR="00032004" w:rsidRPr="002F2B00">
        <w:t>arbitrary</w:t>
      </w:r>
      <w:r w:rsidRPr="002F2B00">
        <w:t xml:space="preserve"> interference’ is also relevant to the protection of the right provided for in Article 17</w:t>
      </w:r>
      <w:r w:rsidR="00032004" w:rsidRPr="002F2B00">
        <w:t xml:space="preserve"> [of the UN ICCPR]</w:t>
      </w:r>
      <w:r w:rsidRPr="002F2B00">
        <w:t xml:space="preserve">. In the </w:t>
      </w:r>
      <w:r w:rsidR="00C05087" w:rsidRPr="002F2B00">
        <w:t xml:space="preserve">[UN Human Rights] </w:t>
      </w:r>
      <w:r w:rsidRPr="002F2B00">
        <w:t xml:space="preserve">Committee’s view the expression ‘arbitrary interference’ can also extend to interference provided under the law. The introduction of the concept of arbitrariness is intended to guarantee that even interference provided for by the law should be in accordance with the provisions, </w:t>
      </w:r>
      <w:r w:rsidRPr="002F2B00">
        <w:lastRenderedPageBreak/>
        <w:t xml:space="preserve">aims and objectives of the </w:t>
      </w:r>
      <w:r w:rsidR="00C05087" w:rsidRPr="002F2B00">
        <w:t xml:space="preserve">[UN </w:t>
      </w:r>
      <w:proofErr w:type="gramStart"/>
      <w:r w:rsidR="00C05087" w:rsidRPr="002F2B00">
        <w:t>ICCPR]</w:t>
      </w:r>
      <w:r w:rsidR="00D910E9" w:rsidRPr="002F2B00">
        <w:t>…</w:t>
      </w:r>
      <w:proofErr w:type="gramEnd"/>
      <w:r w:rsidRPr="002F2B00">
        <w:t xml:space="preserve"> and should be, in any event, reasonable in the particular circumstances.</w:t>
      </w:r>
      <w:r w:rsidRPr="002F2B00">
        <w:rPr>
          <w:rStyle w:val="FootnoteReference"/>
        </w:rPr>
        <w:footnoteReference w:id="227"/>
      </w:r>
    </w:p>
    <w:p w14:paraId="68E9A2A3" w14:textId="77777777" w:rsidR="00C6340F" w:rsidRPr="002F2B00" w:rsidRDefault="00C6340F" w:rsidP="00C217B5">
      <w:pPr>
        <w:pStyle w:val="ListParagraph"/>
        <w:rPr>
          <w:b/>
          <w:szCs w:val="24"/>
        </w:rPr>
      </w:pPr>
    </w:p>
    <w:p w14:paraId="6611361B" w14:textId="45D9226B" w:rsidR="008634B5" w:rsidRPr="002F2B00" w:rsidRDefault="008634B5" w:rsidP="00EF2A10">
      <w:pPr>
        <w:pStyle w:val="ListParagraph"/>
        <w:numPr>
          <w:ilvl w:val="1"/>
          <w:numId w:val="37"/>
        </w:numPr>
        <w:rPr>
          <w:szCs w:val="24"/>
        </w:rPr>
      </w:pPr>
      <w:r w:rsidRPr="002F2B00">
        <w:rPr>
          <w:szCs w:val="24"/>
        </w:rPr>
        <w:t xml:space="preserve">The UN Human Rights </w:t>
      </w:r>
      <w:r w:rsidR="000456B7" w:rsidRPr="002F2B00">
        <w:rPr>
          <w:szCs w:val="24"/>
        </w:rPr>
        <w:t>Committee continues</w:t>
      </w:r>
      <w:r w:rsidRPr="002F2B00">
        <w:rPr>
          <w:szCs w:val="24"/>
        </w:rPr>
        <w:t>:</w:t>
      </w:r>
    </w:p>
    <w:p w14:paraId="3D55A36B" w14:textId="77777777" w:rsidR="008634B5" w:rsidRPr="002F2B00" w:rsidRDefault="008634B5" w:rsidP="00C217B5">
      <w:pPr>
        <w:pStyle w:val="ListParagraph"/>
        <w:rPr>
          <w:szCs w:val="24"/>
        </w:rPr>
      </w:pPr>
    </w:p>
    <w:p w14:paraId="196B1225" w14:textId="78DC6BAE" w:rsidR="008634B5" w:rsidRPr="002F2B00" w:rsidRDefault="008634B5" w:rsidP="00C217B5">
      <w:pPr>
        <w:pStyle w:val="Quote"/>
      </w:pPr>
      <w:r w:rsidRPr="002F2B00">
        <w:t xml:space="preserve">even with regard to interferences that conform to the </w:t>
      </w:r>
      <w:r w:rsidR="00D910E9" w:rsidRPr="002F2B00">
        <w:t xml:space="preserve">[UN </w:t>
      </w:r>
      <w:proofErr w:type="gramStart"/>
      <w:r w:rsidR="00D910E9" w:rsidRPr="002F2B00">
        <w:t>ICCPR]…</w:t>
      </w:r>
      <w:proofErr w:type="gramEnd"/>
      <w:r w:rsidRPr="002F2B00">
        <w:t xml:space="preserve"> relevant legislation must specify in detail the precise circumstances in which such interferences may be permitted. A decision to make use of such authorised interference must be made only by the authority designated under the law, and on a case-by-case basis.</w:t>
      </w:r>
      <w:r w:rsidRPr="002F2B00">
        <w:rPr>
          <w:rStyle w:val="FootnoteReference"/>
        </w:rPr>
        <w:footnoteReference w:id="228"/>
      </w:r>
    </w:p>
    <w:p w14:paraId="3BA3D9DA" w14:textId="77777777" w:rsidR="008634B5" w:rsidRPr="002F2B00" w:rsidRDefault="008634B5" w:rsidP="00C217B5">
      <w:pPr>
        <w:rPr>
          <w:b/>
          <w:szCs w:val="24"/>
        </w:rPr>
      </w:pPr>
    </w:p>
    <w:p w14:paraId="17E953D1" w14:textId="7B33231D" w:rsidR="008634B5" w:rsidRPr="002F2B00" w:rsidRDefault="008634B5" w:rsidP="00EF2A10">
      <w:pPr>
        <w:pStyle w:val="ListParagraph"/>
        <w:numPr>
          <w:ilvl w:val="1"/>
          <w:numId w:val="37"/>
        </w:numPr>
        <w:rPr>
          <w:szCs w:val="24"/>
        </w:rPr>
      </w:pPr>
      <w:r w:rsidRPr="002F2B00">
        <w:rPr>
          <w:szCs w:val="24"/>
        </w:rPr>
        <w:t xml:space="preserve">The UN Human Rights </w:t>
      </w:r>
      <w:r w:rsidR="000456B7" w:rsidRPr="002F2B00">
        <w:rPr>
          <w:szCs w:val="24"/>
        </w:rPr>
        <w:t>Committee further</w:t>
      </w:r>
      <w:r w:rsidR="00385522" w:rsidRPr="002F2B00">
        <w:rPr>
          <w:szCs w:val="24"/>
        </w:rPr>
        <w:t xml:space="preserve"> states</w:t>
      </w:r>
      <w:r w:rsidRPr="002F2B00">
        <w:rPr>
          <w:szCs w:val="24"/>
        </w:rPr>
        <w:t>:</w:t>
      </w:r>
    </w:p>
    <w:p w14:paraId="6D4147AC" w14:textId="77777777" w:rsidR="008634B5" w:rsidRPr="002F2B00" w:rsidRDefault="008634B5" w:rsidP="00C217B5">
      <w:pPr>
        <w:pStyle w:val="ListParagraph"/>
        <w:rPr>
          <w:szCs w:val="24"/>
        </w:rPr>
      </w:pPr>
    </w:p>
    <w:p w14:paraId="7C678E03" w14:textId="223EB1FA" w:rsidR="008634B5" w:rsidRPr="002F2B00" w:rsidRDefault="00385522" w:rsidP="00C217B5">
      <w:pPr>
        <w:pStyle w:val="Quote"/>
      </w:pPr>
      <w:r w:rsidRPr="002F2B00">
        <w:t>t</w:t>
      </w:r>
      <w:r w:rsidR="008634B5" w:rsidRPr="002F2B00">
        <w:t xml:space="preserve">he gathering and holding of personal information on computers, data banks and other devices, whether by public authorities or private individuals or bodies, must be regulated by law. Effective measures have to be taken by States to ensure that </w:t>
      </w:r>
      <w:r w:rsidRPr="002F2B00">
        <w:t xml:space="preserve">information concerning a person’s private life does not reach the hands of persons who are not authorised by law to receive, process and use it, and is never used for purposes incompatible with the </w:t>
      </w:r>
      <w:r w:rsidR="00D910E9" w:rsidRPr="002F2B00">
        <w:t xml:space="preserve">[UN </w:t>
      </w:r>
      <w:proofErr w:type="gramStart"/>
      <w:r w:rsidR="00D910E9" w:rsidRPr="002F2B00">
        <w:t>ICCPR]..</w:t>
      </w:r>
      <w:r w:rsidRPr="002F2B00">
        <w:t>.</w:t>
      </w:r>
      <w:proofErr w:type="gramEnd"/>
      <w:r w:rsidRPr="002F2B00">
        <w:t xml:space="preserve"> </w:t>
      </w:r>
      <w:proofErr w:type="gramStart"/>
      <w:r w:rsidRPr="002F2B00">
        <w:t>In order to</w:t>
      </w:r>
      <w:proofErr w:type="gramEnd"/>
      <w:r w:rsidRPr="002F2B00">
        <w:t xml:space="preserve"> have the most effective protection of his private life, every individual should have the right to ascertain in an intelligible form, whether, and if so, what personal data is stored in automatic data files, and for what purposes. Every individual should also be able to ascertain which public authorities or private individuals or bodies control or may control their files. If such files contain incorrect personal data or have been collected or processed contrary to the provisions of the law every individual should have the right to request rectification or elimination.</w:t>
      </w:r>
      <w:r w:rsidRPr="002F2B00">
        <w:rPr>
          <w:rStyle w:val="FootnoteReference"/>
        </w:rPr>
        <w:footnoteReference w:id="229"/>
      </w:r>
    </w:p>
    <w:p w14:paraId="2BC00519" w14:textId="77777777" w:rsidR="008634B5" w:rsidRPr="002F2B00" w:rsidRDefault="008634B5" w:rsidP="00C217B5">
      <w:pPr>
        <w:pStyle w:val="ListParagraph"/>
        <w:rPr>
          <w:b/>
          <w:szCs w:val="24"/>
        </w:rPr>
      </w:pPr>
    </w:p>
    <w:p w14:paraId="55096419" w14:textId="6E601F6B" w:rsidR="00CF768E" w:rsidRPr="002F2B00" w:rsidRDefault="00FC3BA8" w:rsidP="00185F7F">
      <w:pPr>
        <w:ind w:left="720" w:hanging="720"/>
      </w:pPr>
      <w:r w:rsidRPr="002F2B00">
        <w:t>3.</w:t>
      </w:r>
      <w:r w:rsidR="00653466" w:rsidRPr="002F2B00">
        <w:t>3</w:t>
      </w:r>
      <w:r w:rsidR="00EF2A10" w:rsidRPr="002F2B00">
        <w:t>4</w:t>
      </w:r>
      <w:r w:rsidR="00EF2A10" w:rsidRPr="002F2B00">
        <w:tab/>
      </w:r>
      <w:r w:rsidR="00BC638D" w:rsidRPr="002F2B00">
        <w:t>Clause 3</w:t>
      </w:r>
      <w:r w:rsidR="002A7CD5" w:rsidRPr="002F2B00">
        <w:t>1</w:t>
      </w:r>
      <w:r w:rsidR="00BC638D" w:rsidRPr="002F2B00">
        <w:t xml:space="preserve"> of the </w:t>
      </w:r>
      <w:r w:rsidR="0080050D" w:rsidRPr="002F2B00">
        <w:t xml:space="preserve">current draft of the </w:t>
      </w:r>
      <w:r w:rsidR="00BC638D" w:rsidRPr="002F2B00">
        <w:t xml:space="preserve">Bill </w:t>
      </w:r>
      <w:r w:rsidR="0080050D" w:rsidRPr="002F2B00">
        <w:t xml:space="preserve">proposes </w:t>
      </w:r>
      <w:r w:rsidR="00185F7F" w:rsidRPr="002F2B00">
        <w:t xml:space="preserve">that retention of biometric data </w:t>
      </w:r>
      <w:r w:rsidR="002A73AB" w:rsidRPr="002F2B00">
        <w:t xml:space="preserve">and </w:t>
      </w:r>
      <w:r w:rsidR="00185F7F" w:rsidRPr="002F2B00">
        <w:t xml:space="preserve">material </w:t>
      </w:r>
      <w:r w:rsidR="002A73AB" w:rsidRPr="002F2B00">
        <w:t xml:space="preserve">will </w:t>
      </w:r>
      <w:r w:rsidR="00185F7F" w:rsidRPr="002F2B00">
        <w:t xml:space="preserve">be subject to periodic review and that the material </w:t>
      </w:r>
      <w:r w:rsidR="002A73AB" w:rsidRPr="002F2B00">
        <w:t xml:space="preserve">will be </w:t>
      </w:r>
      <w:r w:rsidR="00185F7F" w:rsidRPr="002F2B00">
        <w:t xml:space="preserve">destroyed within a reasonable period after the conclusion of the ICRIR’s work. </w:t>
      </w:r>
      <w:r w:rsidR="0080050D" w:rsidRPr="002F2B00">
        <w:t>Under the present Bill, t</w:t>
      </w:r>
      <w:r w:rsidR="00185F7F" w:rsidRPr="002F2B00">
        <w:t>he ICRIR can use the evidence,</w:t>
      </w:r>
      <w:r w:rsidR="00185F7F" w:rsidRPr="002F2B00">
        <w:rPr>
          <w:vertAlign w:val="superscript"/>
        </w:rPr>
        <w:footnoteReference w:id="230"/>
      </w:r>
      <w:r w:rsidR="00185F7F" w:rsidRPr="002F2B00">
        <w:t xml:space="preserve"> but it is not </w:t>
      </w:r>
      <w:r w:rsidR="003C12F1">
        <w:t xml:space="preserve">expressly </w:t>
      </w:r>
      <w:r w:rsidR="00185F7F" w:rsidRPr="002F2B00">
        <w:t xml:space="preserve">stated that retained biometric data must be relevant to the ICRIR’s work. </w:t>
      </w:r>
      <w:r w:rsidR="002A73AB" w:rsidRPr="002F2B00">
        <w:t xml:space="preserve">This </w:t>
      </w:r>
      <w:r w:rsidR="002A73AB" w:rsidRPr="002F2B00">
        <w:lastRenderedPageBreak/>
        <w:t xml:space="preserve">is unlikely to be </w:t>
      </w:r>
      <w:r w:rsidR="00185F7F" w:rsidRPr="002F2B00">
        <w:t>a proportionate approach, as required by Article 8 of the ECHR (right to a private life).</w:t>
      </w:r>
      <w:r w:rsidR="00185F7F" w:rsidRPr="002F2B00">
        <w:rPr>
          <w:vertAlign w:val="superscript"/>
        </w:rPr>
        <w:footnoteReference w:id="231"/>
      </w:r>
    </w:p>
    <w:p w14:paraId="08234013" w14:textId="4B5DC0FD" w:rsidR="00FC3BA8" w:rsidRPr="002F2B00" w:rsidRDefault="00FC3BA8" w:rsidP="00185F7F">
      <w:pPr>
        <w:ind w:left="720" w:hanging="720"/>
      </w:pPr>
    </w:p>
    <w:p w14:paraId="399CB414" w14:textId="22C918B4" w:rsidR="00F56A1C" w:rsidRPr="002F2B00" w:rsidRDefault="00F56A1C" w:rsidP="00EF2A10">
      <w:pPr>
        <w:pStyle w:val="ListParagraph"/>
        <w:numPr>
          <w:ilvl w:val="1"/>
          <w:numId w:val="44"/>
        </w:numPr>
        <w:rPr>
          <w:b/>
          <w:bCs/>
        </w:rPr>
      </w:pPr>
      <w:r w:rsidRPr="002F2B00">
        <w:rPr>
          <w:b/>
          <w:bCs/>
        </w:rPr>
        <w:t xml:space="preserve">The NIHRC advises that the </w:t>
      </w:r>
      <w:r w:rsidR="005B0B98" w:rsidRPr="002F2B00">
        <w:rPr>
          <w:b/>
          <w:bCs/>
        </w:rPr>
        <w:t>proposed provisions</w:t>
      </w:r>
      <w:r w:rsidR="006378BE" w:rsidRPr="002F2B00">
        <w:rPr>
          <w:b/>
          <w:bCs/>
        </w:rPr>
        <w:t xml:space="preserve"> </w:t>
      </w:r>
      <w:r w:rsidR="00342DEE" w:rsidRPr="002F2B00">
        <w:rPr>
          <w:b/>
          <w:bCs/>
        </w:rPr>
        <w:t xml:space="preserve">within the current draft of the Bill </w:t>
      </w:r>
      <w:r w:rsidR="006378BE" w:rsidRPr="002F2B00">
        <w:rPr>
          <w:b/>
          <w:bCs/>
        </w:rPr>
        <w:t>relating to the retention and use of</w:t>
      </w:r>
      <w:r w:rsidRPr="002F2B00">
        <w:rPr>
          <w:b/>
          <w:bCs/>
        </w:rPr>
        <w:t xml:space="preserve"> biometric data </w:t>
      </w:r>
      <w:r w:rsidR="006378BE" w:rsidRPr="002F2B00">
        <w:rPr>
          <w:b/>
          <w:bCs/>
        </w:rPr>
        <w:t>are</w:t>
      </w:r>
      <w:r w:rsidRPr="002F2B00">
        <w:rPr>
          <w:b/>
          <w:bCs/>
        </w:rPr>
        <w:t xml:space="preserve"> largely in line with human rights standards. However, to ensure proportionality as required by human rights standards, the present Bill should include a</w:t>
      </w:r>
      <w:r w:rsidR="00B44D84">
        <w:rPr>
          <w:b/>
          <w:bCs/>
        </w:rPr>
        <w:t>n express</w:t>
      </w:r>
      <w:r w:rsidRPr="002F2B00">
        <w:rPr>
          <w:b/>
          <w:bCs/>
        </w:rPr>
        <w:t xml:space="preserve"> requirement that biometric data retained for the purposes of ICRIR’s work must be relevant to that work. </w:t>
      </w:r>
    </w:p>
    <w:p w14:paraId="0646F1DF" w14:textId="77777777" w:rsidR="00F03AB7" w:rsidRPr="002F2B00" w:rsidRDefault="00F03AB7" w:rsidP="00F03AB7">
      <w:pPr>
        <w:pStyle w:val="ListParagraph"/>
        <w:rPr>
          <w:b/>
          <w:szCs w:val="24"/>
        </w:rPr>
      </w:pPr>
    </w:p>
    <w:p w14:paraId="68601F91" w14:textId="2CD9FDFA" w:rsidR="00710594" w:rsidRPr="002F2B00" w:rsidRDefault="008D26E8" w:rsidP="00710594">
      <w:pPr>
        <w:pStyle w:val="Heading1"/>
      </w:pPr>
      <w:bookmarkStart w:id="27" w:name="_Toc106290060"/>
      <w:bookmarkStart w:id="28" w:name="_Toc113517958"/>
      <w:r w:rsidRPr="002F2B00">
        <w:t>4</w:t>
      </w:r>
      <w:r w:rsidR="00710594" w:rsidRPr="002F2B00">
        <w:t>.0</w:t>
      </w:r>
      <w:r w:rsidR="00710594" w:rsidRPr="002F2B00">
        <w:tab/>
        <w:t>Conditional Immunity Scheme</w:t>
      </w:r>
      <w:bookmarkEnd w:id="27"/>
      <w:bookmarkEnd w:id="28"/>
    </w:p>
    <w:p w14:paraId="30FA8AF7" w14:textId="63E3A8DB" w:rsidR="00850E24" w:rsidRPr="002F2B00" w:rsidRDefault="00BC740C" w:rsidP="00035E91">
      <w:pPr>
        <w:ind w:left="720" w:hanging="720"/>
      </w:pPr>
      <w:r w:rsidRPr="002F2B00">
        <w:t>4.1</w:t>
      </w:r>
      <w:r w:rsidRPr="002F2B00">
        <w:tab/>
      </w:r>
      <w:r w:rsidR="00710594" w:rsidRPr="002F2B00">
        <w:t>An immunity scheme for gross abuses of human rights, such as those related to Articles 2 and 3, violates the ECHR.</w:t>
      </w:r>
      <w:r w:rsidR="00710594" w:rsidRPr="002F2B00">
        <w:rPr>
          <w:vertAlign w:val="superscript"/>
        </w:rPr>
        <w:footnoteReference w:id="232"/>
      </w:r>
      <w:r w:rsidR="00710594" w:rsidRPr="002F2B00">
        <w:t xml:space="preserve"> </w:t>
      </w:r>
      <w:r w:rsidR="00DE252B" w:rsidRPr="002F2B00">
        <w:t>This reflects the</w:t>
      </w:r>
      <w:r w:rsidR="009B5A18" w:rsidRPr="002F2B00">
        <w:t xml:space="preserve"> limited nature of Article 2 of the ECHR and absolute nature of Article 3 of the ECHR.</w:t>
      </w:r>
      <w:r w:rsidR="000D6145" w:rsidRPr="002F2B00">
        <w:rPr>
          <w:rStyle w:val="FootnoteReference"/>
        </w:rPr>
        <w:footnoteReference w:id="233"/>
      </w:r>
      <w:r w:rsidR="00035E91">
        <w:t xml:space="preserve"> </w:t>
      </w:r>
      <w:r w:rsidR="00266DEC">
        <w:t xml:space="preserve">The scheme </w:t>
      </w:r>
      <w:r w:rsidR="008B114F">
        <w:t xml:space="preserve">may also </w:t>
      </w:r>
      <w:r w:rsidR="006C2BF6">
        <w:t>constitute a diminution of rights, in breach</w:t>
      </w:r>
      <w:r w:rsidR="008B114F">
        <w:t xml:space="preserve"> of </w:t>
      </w:r>
      <w:r w:rsidR="0093717A" w:rsidRPr="0093717A">
        <w:t>the UK Government’s commitment under Protocol Article 2</w:t>
      </w:r>
      <w:r w:rsidR="006C2BF6">
        <w:t>,</w:t>
      </w:r>
      <w:r w:rsidR="0093717A" w:rsidRPr="0093717A">
        <w:t xml:space="preserve"> </w:t>
      </w:r>
      <w:r w:rsidR="004B6188">
        <w:t>by</w:t>
      </w:r>
      <w:r w:rsidR="0093717A" w:rsidRPr="0093717A">
        <w:t xml:space="preserve"> depart</w:t>
      </w:r>
      <w:r w:rsidR="004B6188">
        <w:t>ing</w:t>
      </w:r>
      <w:r w:rsidR="0093717A" w:rsidRPr="0093717A">
        <w:t xml:space="preserve"> from minimum standards required under the </w:t>
      </w:r>
      <w:r w:rsidR="00311A57">
        <w:t xml:space="preserve">EU </w:t>
      </w:r>
      <w:r w:rsidR="0093717A" w:rsidRPr="0093717A">
        <w:t>Victims’ Directive.</w:t>
      </w:r>
      <w:r w:rsidR="006661F9" w:rsidRPr="009D223F">
        <w:rPr>
          <w:rStyle w:val="FootnoteReference"/>
        </w:rPr>
        <w:footnoteReference w:id="234"/>
      </w:r>
      <w:r w:rsidR="0093717A" w:rsidRPr="0093717A">
        <w:t xml:space="preserve">  </w:t>
      </w:r>
    </w:p>
    <w:p w14:paraId="11C9AE09" w14:textId="77777777" w:rsidR="006E52E0" w:rsidRPr="002F2B00" w:rsidRDefault="006E52E0" w:rsidP="00710594">
      <w:pPr>
        <w:ind w:left="720" w:hanging="720"/>
      </w:pPr>
    </w:p>
    <w:p w14:paraId="3242B094" w14:textId="462513B3" w:rsidR="00377787" w:rsidRPr="002F2B00" w:rsidRDefault="00850E24" w:rsidP="00710594">
      <w:pPr>
        <w:ind w:left="720" w:hanging="720"/>
      </w:pPr>
      <w:r w:rsidRPr="002F2B00">
        <w:t>4.2</w:t>
      </w:r>
      <w:r w:rsidRPr="002F2B00">
        <w:tab/>
      </w:r>
      <w:r w:rsidR="00452948" w:rsidRPr="002F2B00">
        <w:t xml:space="preserve">The most recent </w:t>
      </w:r>
      <w:r w:rsidRPr="002F2B00">
        <w:t xml:space="preserve">and </w:t>
      </w:r>
      <w:r w:rsidR="00B12E7E" w:rsidRPr="002F2B00">
        <w:t>authoritative</w:t>
      </w:r>
      <w:r w:rsidRPr="002F2B00">
        <w:t xml:space="preserve"> of the ECtHR cases</w:t>
      </w:r>
      <w:r w:rsidR="00452948" w:rsidRPr="002F2B00">
        <w:t xml:space="preserve"> </w:t>
      </w:r>
      <w:r w:rsidR="00BD7DC9" w:rsidRPr="002F2B00">
        <w:t>states that</w:t>
      </w:r>
      <w:r w:rsidR="00452948" w:rsidRPr="002F2B00">
        <w:t>:</w:t>
      </w:r>
    </w:p>
    <w:p w14:paraId="0C0175B0" w14:textId="2F0C8BF3" w:rsidR="00452948" w:rsidRPr="002F2B00" w:rsidRDefault="00452948" w:rsidP="00710594">
      <w:pPr>
        <w:ind w:left="720" w:hanging="720"/>
      </w:pPr>
    </w:p>
    <w:p w14:paraId="0F61A6CC" w14:textId="45E66ACC" w:rsidR="00452948" w:rsidRPr="002F2B00" w:rsidRDefault="00BD7DC9" w:rsidP="00BD7DC9">
      <w:pPr>
        <w:pStyle w:val="Quote"/>
      </w:pPr>
      <w:r w:rsidRPr="002F2B00">
        <w:t>g</w:t>
      </w:r>
      <w:r w:rsidR="00452948" w:rsidRPr="002F2B00">
        <w:t>ranting amnesty in respect of the killing and ill-treatment of civilians would run contrary to the State’s obligations under Articles 2 and 3 of the ECHR since it would hamper the investigation of such acts and necessarily lead to impunity for those responsible</w:t>
      </w:r>
      <w:r w:rsidR="00EC24F7" w:rsidRPr="002F2B00">
        <w:t>. Such a result would diminish the purpose of the protection guaranteed by… Articles 2 and 3 of the ECHR and render illusory the guarantees in respect of an individual’s right to life and the right not to be ill-treated. The object and purpose of the ECHR as an instrument for the protection of individual</w:t>
      </w:r>
      <w:r w:rsidR="00F83930" w:rsidRPr="002F2B00">
        <w:t xml:space="preserve"> human beings </w:t>
      </w:r>
      <w:r w:rsidR="00F83930" w:rsidRPr="002F2B00">
        <w:lastRenderedPageBreak/>
        <w:t xml:space="preserve">require that its provisions be interpreted and applied </w:t>
      </w:r>
      <w:proofErr w:type="gramStart"/>
      <w:r w:rsidR="00F83930" w:rsidRPr="002F2B00">
        <w:t>so as to</w:t>
      </w:r>
      <w:proofErr w:type="gramEnd"/>
      <w:r w:rsidR="00F83930" w:rsidRPr="002F2B00">
        <w:t xml:space="preserve"> make its safeguards practical and effective.</w:t>
      </w:r>
      <w:r w:rsidRPr="002F2B00">
        <w:rPr>
          <w:rStyle w:val="FootnoteReference"/>
        </w:rPr>
        <w:footnoteReference w:id="235"/>
      </w:r>
    </w:p>
    <w:p w14:paraId="2A9E7938" w14:textId="77777777" w:rsidR="00377787" w:rsidRPr="002F2B00" w:rsidRDefault="00377787" w:rsidP="00710594">
      <w:pPr>
        <w:ind w:left="720" w:hanging="720"/>
      </w:pPr>
    </w:p>
    <w:p w14:paraId="01777E34" w14:textId="682AFB43" w:rsidR="004259D2" w:rsidRPr="002F2B00" w:rsidRDefault="00846B73" w:rsidP="004259D2">
      <w:pPr>
        <w:pStyle w:val="ListParagraph"/>
        <w:numPr>
          <w:ilvl w:val="1"/>
          <w:numId w:val="35"/>
        </w:numPr>
      </w:pPr>
      <w:r w:rsidRPr="002F2B00">
        <w:t>The UN CAT Committee</w:t>
      </w:r>
      <w:r w:rsidR="0022678C" w:rsidRPr="002F2B00">
        <w:t>,</w:t>
      </w:r>
      <w:r w:rsidR="00212563" w:rsidRPr="002F2B00">
        <w:t xml:space="preserve"> in its concluding observations on accountability for conflict-related violations in NI</w:t>
      </w:r>
      <w:r w:rsidR="0022678C" w:rsidRPr="002F2B00">
        <w:t>,</w:t>
      </w:r>
      <w:r w:rsidRPr="002F2B00">
        <w:t xml:space="preserve"> is clear that </w:t>
      </w:r>
      <w:r w:rsidR="00212563" w:rsidRPr="002F2B00">
        <w:t>the UK Government should “refrain from enacting amnesties or statutes of limitations for torture or ill-treatment, which the [UN CAT] Committee has found to be inconsistent with States parties’ obligations under the [UN CAT]”.</w:t>
      </w:r>
      <w:r w:rsidR="0022678C" w:rsidRPr="002F2B00">
        <w:rPr>
          <w:rStyle w:val="FootnoteReference"/>
        </w:rPr>
        <w:footnoteReference w:id="236"/>
      </w:r>
    </w:p>
    <w:p w14:paraId="5B46F0C5" w14:textId="77777777" w:rsidR="004259D2" w:rsidRPr="002F2B00" w:rsidRDefault="004259D2" w:rsidP="004259D2">
      <w:pPr>
        <w:pStyle w:val="ListParagraph"/>
      </w:pPr>
    </w:p>
    <w:p w14:paraId="0E329ECB" w14:textId="080F1395" w:rsidR="004259D2" w:rsidRPr="002F2B00" w:rsidRDefault="006E66D7" w:rsidP="004259D2">
      <w:pPr>
        <w:pStyle w:val="ListParagraph"/>
        <w:numPr>
          <w:ilvl w:val="1"/>
          <w:numId w:val="35"/>
        </w:numPr>
      </w:pPr>
      <w:r w:rsidRPr="002F2B00">
        <w:t>Over the years, a</w:t>
      </w:r>
      <w:r w:rsidR="5DAE10B2" w:rsidRPr="002F2B00">
        <w:t>lternative</w:t>
      </w:r>
      <w:r w:rsidR="7DDD4A71" w:rsidRPr="002F2B00">
        <w:t xml:space="preserve"> </w:t>
      </w:r>
      <w:r w:rsidR="00F566D8" w:rsidRPr="002F2B00">
        <w:t xml:space="preserve">views have been expressed within ECtHR jurisprudence. </w:t>
      </w:r>
      <w:r w:rsidRPr="002F2B00">
        <w:t>These</w:t>
      </w:r>
      <w:r w:rsidR="00F566D8" w:rsidRPr="002F2B00">
        <w:t xml:space="preserve"> </w:t>
      </w:r>
      <w:r w:rsidR="7DDD4A71" w:rsidRPr="002F2B00">
        <w:t>views rely on the amnesty being in the public interest</w:t>
      </w:r>
      <w:r w:rsidR="00710594" w:rsidRPr="002F2B00">
        <w:rPr>
          <w:vertAlign w:val="superscript"/>
        </w:rPr>
        <w:footnoteReference w:id="237"/>
      </w:r>
      <w:r w:rsidR="7DDD4A71" w:rsidRPr="002F2B00">
        <w:t xml:space="preserve"> or an existing effective reconciliation process and/or form of compensation to the victims.</w:t>
      </w:r>
      <w:r w:rsidR="00710594" w:rsidRPr="002F2B00">
        <w:rPr>
          <w:vertAlign w:val="superscript"/>
        </w:rPr>
        <w:footnoteReference w:id="238"/>
      </w:r>
      <w:r w:rsidR="7DDD4A71" w:rsidRPr="002F2B00">
        <w:t xml:space="preserve"> </w:t>
      </w:r>
      <w:r w:rsidR="001D4832" w:rsidRPr="002F2B00">
        <w:t xml:space="preserve">This is not the case in NI. </w:t>
      </w:r>
      <w:r w:rsidR="00E64DDC" w:rsidRPr="002F2B00">
        <w:t>T</w:t>
      </w:r>
      <w:r w:rsidR="001D4832" w:rsidRPr="002F2B00">
        <w:t xml:space="preserve">he UK Government </w:t>
      </w:r>
      <w:r w:rsidR="00E64DDC" w:rsidRPr="002F2B00">
        <w:t xml:space="preserve">purports that the present Bill is </w:t>
      </w:r>
      <w:r w:rsidR="001D4832" w:rsidRPr="002F2B00">
        <w:t>in the public interest and that it delivers an effective reconciliation process.</w:t>
      </w:r>
      <w:r w:rsidR="001D4832" w:rsidRPr="002F2B00">
        <w:rPr>
          <w:rStyle w:val="FootnoteReference"/>
        </w:rPr>
        <w:footnoteReference w:id="239"/>
      </w:r>
      <w:r w:rsidR="001D4832" w:rsidRPr="002F2B00">
        <w:t xml:space="preserve"> This is impossible without buy-in from victims and survivors and elected representatives. The Victims Payments scheme is a compromise,</w:t>
      </w:r>
      <w:r w:rsidR="001D4832" w:rsidRPr="002F2B00">
        <w:rPr>
          <w:rStyle w:val="FootnoteReference"/>
        </w:rPr>
        <w:footnoteReference w:id="240"/>
      </w:r>
      <w:r w:rsidR="001D4832" w:rsidRPr="002F2B00">
        <w:t xml:space="preserve"> but is not an all-encompassing form of compensation.</w:t>
      </w:r>
      <w:r w:rsidR="003615BE" w:rsidRPr="002F2B00">
        <w:t xml:space="preserve"> </w:t>
      </w:r>
    </w:p>
    <w:p w14:paraId="470297CE" w14:textId="77777777" w:rsidR="004259D2" w:rsidRPr="002F2B00" w:rsidRDefault="004259D2" w:rsidP="004259D2">
      <w:pPr>
        <w:pStyle w:val="ListParagraph"/>
      </w:pPr>
    </w:p>
    <w:p w14:paraId="617858AE" w14:textId="55448F2E" w:rsidR="004259D2" w:rsidRPr="002F2B00" w:rsidRDefault="00664074" w:rsidP="004259D2">
      <w:pPr>
        <w:pStyle w:val="ListParagraph"/>
        <w:numPr>
          <w:ilvl w:val="1"/>
          <w:numId w:val="35"/>
        </w:numPr>
      </w:pPr>
      <w:r w:rsidRPr="002F2B00">
        <w:t>The UK Government frequently highlights the South Africa Truth and Reconciliation Commission as an example of where a conditional immunity scheme has been used.</w:t>
      </w:r>
      <w:r w:rsidRPr="002F2B00">
        <w:rPr>
          <w:rStyle w:val="FootnoteReference"/>
        </w:rPr>
        <w:footnoteReference w:id="241"/>
      </w:r>
      <w:r w:rsidRPr="002F2B00">
        <w:t xml:space="preserve"> There are several differences which mean this comparison is of limited use. </w:t>
      </w:r>
      <w:r w:rsidR="00933401" w:rsidRPr="002F2B00">
        <w:t>U</w:t>
      </w:r>
      <w:r w:rsidR="3645F86F" w:rsidRPr="002F2B00">
        <w:t xml:space="preserve">nlike the UK, South Africa is not </w:t>
      </w:r>
      <w:r w:rsidR="004F657D" w:rsidRPr="002F2B00">
        <w:t xml:space="preserve">a High Contracting State </w:t>
      </w:r>
      <w:r w:rsidR="3645F86F" w:rsidRPr="002F2B00">
        <w:t>to the ECHR</w:t>
      </w:r>
      <w:r w:rsidR="004F657D" w:rsidRPr="002F2B00">
        <w:t xml:space="preserve"> and thus not bound by it</w:t>
      </w:r>
      <w:r w:rsidR="3645F86F" w:rsidRPr="002F2B00">
        <w:t xml:space="preserve">. Second, </w:t>
      </w:r>
      <w:r w:rsidR="26A6999F" w:rsidRPr="002F2B00">
        <w:t xml:space="preserve">the South Africa Commission was established after an extensive consultation process that put victims and </w:t>
      </w:r>
      <w:r w:rsidR="0E62E936" w:rsidRPr="002F2B00">
        <w:t xml:space="preserve">political representatives at the heart of the process. </w:t>
      </w:r>
      <w:r w:rsidR="53FDEED3" w:rsidRPr="002F2B00">
        <w:rPr>
          <w:rFonts w:eastAsia="Times New Roman"/>
        </w:rPr>
        <w:t xml:space="preserve">A consultation process that focused on civil society was conducted for a full year and the results of this formed the legislation on which the </w:t>
      </w:r>
      <w:r w:rsidR="75BEB50C" w:rsidRPr="002F2B00">
        <w:rPr>
          <w:rFonts w:eastAsia="Times New Roman"/>
        </w:rPr>
        <w:lastRenderedPageBreak/>
        <w:t xml:space="preserve">South Africa </w:t>
      </w:r>
      <w:r w:rsidR="53FDEED3" w:rsidRPr="002F2B00">
        <w:rPr>
          <w:rFonts w:eastAsia="Times New Roman"/>
        </w:rPr>
        <w:t>Truth and Reconciliation Commission was based.</w:t>
      </w:r>
      <w:r w:rsidR="002E1A78" w:rsidRPr="002F2B00">
        <w:rPr>
          <w:rStyle w:val="FootnoteReference"/>
          <w:rFonts w:eastAsia="Times New Roman"/>
        </w:rPr>
        <w:footnoteReference w:id="242"/>
      </w:r>
      <w:r w:rsidR="2AE89A8E" w:rsidRPr="002F2B00">
        <w:rPr>
          <w:rFonts w:eastAsia="Times New Roman"/>
        </w:rPr>
        <w:t xml:space="preserve"> </w:t>
      </w:r>
      <w:r w:rsidR="005E1C83" w:rsidRPr="002F2B00">
        <w:rPr>
          <w:rFonts w:eastAsia="Times New Roman"/>
        </w:rPr>
        <w:t>Th</w:t>
      </w:r>
      <w:r w:rsidR="00464761" w:rsidRPr="002F2B00">
        <w:rPr>
          <w:rFonts w:eastAsia="Times New Roman"/>
        </w:rPr>
        <w:t>e South African</w:t>
      </w:r>
      <w:r w:rsidR="005E1C83" w:rsidRPr="002F2B00">
        <w:rPr>
          <w:rFonts w:eastAsia="Times New Roman"/>
        </w:rPr>
        <w:t xml:space="preserve"> Commission came as part of </w:t>
      </w:r>
      <w:r w:rsidR="009E2B2E" w:rsidRPr="002F2B00">
        <w:rPr>
          <w:rFonts w:eastAsia="Times New Roman"/>
        </w:rPr>
        <w:t xml:space="preserve">a broader </w:t>
      </w:r>
      <w:r w:rsidR="005E1C83" w:rsidRPr="002F2B00">
        <w:rPr>
          <w:rFonts w:eastAsia="Times New Roman"/>
        </w:rPr>
        <w:t xml:space="preserve">reconciliation process. </w:t>
      </w:r>
      <w:r w:rsidR="00933401" w:rsidRPr="002F2B00">
        <w:rPr>
          <w:rFonts w:eastAsia="Times New Roman"/>
        </w:rPr>
        <w:t>Furthermore</w:t>
      </w:r>
      <w:r w:rsidR="2AE89A8E" w:rsidRPr="002F2B00">
        <w:rPr>
          <w:rFonts w:eastAsia="Times New Roman"/>
        </w:rPr>
        <w:t xml:space="preserve">, the </w:t>
      </w:r>
      <w:r w:rsidR="17B8C5DF" w:rsidRPr="002F2B00">
        <w:rPr>
          <w:rFonts w:eastAsia="Times New Roman"/>
        </w:rPr>
        <w:t>immunity process was fully transparent with public hearings held before decisions were reached.</w:t>
      </w:r>
    </w:p>
    <w:p w14:paraId="4557F310" w14:textId="77777777" w:rsidR="004259D2" w:rsidRPr="002F2B00" w:rsidRDefault="004259D2" w:rsidP="00F51519"/>
    <w:p w14:paraId="3F5CB2EC" w14:textId="63317751" w:rsidR="00647F88" w:rsidRPr="002F2B00" w:rsidRDefault="00664074" w:rsidP="00647F88">
      <w:pPr>
        <w:pStyle w:val="ListParagraph"/>
        <w:numPr>
          <w:ilvl w:val="1"/>
          <w:numId w:val="35"/>
        </w:numPr>
      </w:pPr>
      <w:r w:rsidRPr="002F2B00">
        <w:t>T</w:t>
      </w:r>
      <w:r w:rsidR="00005776" w:rsidRPr="002F2B00">
        <w:t xml:space="preserve">he </w:t>
      </w:r>
      <w:r w:rsidRPr="002F2B00">
        <w:t xml:space="preserve">current draft of the </w:t>
      </w:r>
      <w:r w:rsidR="00005776" w:rsidRPr="002F2B00">
        <w:t xml:space="preserve">Bill </w:t>
      </w:r>
      <w:r w:rsidRPr="002F2B00">
        <w:t xml:space="preserve">proposes that </w:t>
      </w:r>
      <w:r w:rsidR="00005776" w:rsidRPr="002F2B00">
        <w:t>a</w:t>
      </w:r>
      <w:r w:rsidR="00930051" w:rsidRPr="002F2B00">
        <w:t xml:space="preserve"> person who has committed a serious Troubles-related crime </w:t>
      </w:r>
      <w:r w:rsidR="00494BC5" w:rsidRPr="002F2B00">
        <w:t>“</w:t>
      </w:r>
      <w:r w:rsidR="00930051" w:rsidRPr="002F2B00">
        <w:t>must</w:t>
      </w:r>
      <w:r w:rsidR="00494BC5" w:rsidRPr="002F2B00">
        <w:t>”</w:t>
      </w:r>
      <w:r w:rsidR="00930051" w:rsidRPr="002F2B00">
        <w:t xml:space="preserve"> be granted immunity from prosecution if they satisfy three basic conditions</w:t>
      </w:r>
      <w:r w:rsidR="00E8634B" w:rsidRPr="002F2B00">
        <w:t xml:space="preserve"> – </w:t>
      </w:r>
      <w:r w:rsidR="00D84597" w:rsidRPr="002F2B00">
        <w:t xml:space="preserve">the individual requested immunity, </w:t>
      </w:r>
      <w:r w:rsidR="00E8634B" w:rsidRPr="002F2B00">
        <w:t>provide</w:t>
      </w:r>
      <w:r w:rsidR="00D84597" w:rsidRPr="002F2B00">
        <w:t>s</w:t>
      </w:r>
      <w:r w:rsidR="00E8634B" w:rsidRPr="002F2B00">
        <w:t xml:space="preserve"> a true account</w:t>
      </w:r>
      <w:r w:rsidR="00D84597" w:rsidRPr="002F2B00">
        <w:t xml:space="preserve"> and is exposed to prosecution due to </w:t>
      </w:r>
      <w:r w:rsidR="00A402CC" w:rsidRPr="002F2B00">
        <w:t>a</w:t>
      </w:r>
      <w:r w:rsidR="00D84597" w:rsidRPr="002F2B00">
        <w:t xml:space="preserve"> Troubles-related offence</w:t>
      </w:r>
      <w:r w:rsidR="00930051" w:rsidRPr="002F2B00">
        <w:rPr>
          <w:rFonts w:ascii="Arial" w:hAnsi="Arial" w:cs="Arial"/>
          <w:szCs w:val="24"/>
        </w:rPr>
        <w:t>.</w:t>
      </w:r>
      <w:r w:rsidR="00930051" w:rsidRPr="002F2B00">
        <w:rPr>
          <w:rStyle w:val="FootnoteReference"/>
          <w:rFonts w:cs="Arial"/>
          <w:szCs w:val="24"/>
        </w:rPr>
        <w:footnoteReference w:id="243"/>
      </w:r>
      <w:r w:rsidR="00930051" w:rsidRPr="002F2B00">
        <w:rPr>
          <w:rFonts w:ascii="Arial" w:hAnsi="Arial" w:cs="Arial"/>
          <w:szCs w:val="24"/>
        </w:rPr>
        <w:t xml:space="preserve"> </w:t>
      </w:r>
      <w:r w:rsidR="00930051" w:rsidRPr="002F2B00">
        <w:t>This</w:t>
      </w:r>
      <w:r w:rsidR="000D7931" w:rsidRPr="002F2B00">
        <w:t xml:space="preserve"> does not subject everyone equally to the law, </w:t>
      </w:r>
      <w:r w:rsidR="00CD01B4" w:rsidRPr="002F2B00">
        <w:t xml:space="preserve">instead appearing to </w:t>
      </w:r>
      <w:r w:rsidR="000D7931" w:rsidRPr="002F2B00">
        <w:t xml:space="preserve">arbitrarily distinguish between alleged offenders that can and cannot have immunity. This means that those who have committed grave violations of human rights, such as murder and torture, will be immune from the law if they access the mechanism </w:t>
      </w:r>
      <w:r w:rsidR="006D3518" w:rsidRPr="002F2B00">
        <w:t xml:space="preserve">and satisfy the conditions </w:t>
      </w:r>
      <w:r w:rsidR="000D7931" w:rsidRPr="002F2B00">
        <w:t xml:space="preserve">under </w:t>
      </w:r>
      <w:r w:rsidR="00D66137" w:rsidRPr="002F2B00">
        <w:t xml:space="preserve">the present </w:t>
      </w:r>
      <w:r w:rsidR="000D7931" w:rsidRPr="002F2B00">
        <w:t>Bill.</w:t>
      </w:r>
    </w:p>
    <w:p w14:paraId="2E9E93A6" w14:textId="510F8A7F" w:rsidR="004259D2" w:rsidRPr="002F2B00" w:rsidRDefault="006A1880" w:rsidP="00647F88">
      <w:r w:rsidRPr="002F2B00">
        <w:t xml:space="preserve"> </w:t>
      </w:r>
    </w:p>
    <w:p w14:paraId="0E52FA03" w14:textId="6B12611A" w:rsidR="00135141" w:rsidRPr="002F2B00" w:rsidRDefault="00710594" w:rsidP="004259D2">
      <w:pPr>
        <w:pStyle w:val="ListParagraph"/>
        <w:numPr>
          <w:ilvl w:val="1"/>
          <w:numId w:val="35"/>
        </w:numPr>
      </w:pPr>
      <w:r w:rsidRPr="002F2B00">
        <w:t xml:space="preserve">Removing the possibility of immunity for an on-going case or </w:t>
      </w:r>
      <w:r w:rsidR="005E1C83" w:rsidRPr="002F2B00">
        <w:t xml:space="preserve">in respect of a </w:t>
      </w:r>
      <w:r w:rsidRPr="002F2B00">
        <w:t>previous conviction</w:t>
      </w:r>
      <w:r w:rsidRPr="002F2B00">
        <w:rPr>
          <w:vertAlign w:val="superscript"/>
        </w:rPr>
        <w:footnoteReference w:id="244"/>
      </w:r>
      <w:r w:rsidRPr="002F2B00">
        <w:t xml:space="preserve"> may constitute a violation of Article 14 of the ECHR (prohibition of discrimination), which requires that there be no discrimination based on “other status”. What constitutes ‘other status’ is ever evolving.</w:t>
      </w:r>
      <w:r w:rsidR="00FB1BC1" w:rsidRPr="002F2B00">
        <w:t xml:space="preserve"> </w:t>
      </w:r>
      <w:r w:rsidRPr="002F2B00">
        <w:t xml:space="preserve">There is the potential that it would apply in this instance. </w:t>
      </w:r>
      <w:r w:rsidR="005E1C83" w:rsidRPr="002F2B00">
        <w:t>It is likely to result in a situation where those that have avoided the justice system can benefit</w:t>
      </w:r>
      <w:r w:rsidR="00BB1F71" w:rsidRPr="002F2B00">
        <w:t>,</w:t>
      </w:r>
      <w:r w:rsidR="005E1C83" w:rsidRPr="002F2B00">
        <w:t xml:space="preserve"> but those who have been convicted or under active investigation cannot.</w:t>
      </w:r>
      <w:r w:rsidR="005E1C83" w:rsidRPr="002F2B00">
        <w:rPr>
          <w:rStyle w:val="FootnoteReference"/>
        </w:rPr>
        <w:t xml:space="preserve"> </w:t>
      </w:r>
      <w:r w:rsidR="005E1C83" w:rsidRPr="002F2B00">
        <w:rPr>
          <w:rStyle w:val="FootnoteReference"/>
        </w:rPr>
        <w:footnoteReference w:id="245"/>
      </w:r>
    </w:p>
    <w:p w14:paraId="6C21F18D" w14:textId="77777777" w:rsidR="00135141" w:rsidRPr="002F2B00" w:rsidRDefault="00135141" w:rsidP="00F51519"/>
    <w:p w14:paraId="1936A226" w14:textId="550FC443" w:rsidR="004259D2" w:rsidRPr="002F2B00" w:rsidRDefault="007F0AB5" w:rsidP="004259D2">
      <w:pPr>
        <w:pStyle w:val="ListParagraph"/>
        <w:numPr>
          <w:ilvl w:val="1"/>
          <w:numId w:val="35"/>
        </w:numPr>
      </w:pPr>
      <w:r w:rsidRPr="002F2B00">
        <w:t>A</w:t>
      </w:r>
      <w:r w:rsidR="00710594" w:rsidRPr="002F2B00">
        <w:t>lleged paramilitary offenders</w:t>
      </w:r>
      <w:r w:rsidRPr="002F2B00">
        <w:t xml:space="preserve"> are more likely to be affected by the Bill’s exclusions from immunity</w:t>
      </w:r>
      <w:r w:rsidR="006923EB" w:rsidRPr="002F2B00">
        <w:t xml:space="preserve"> </w:t>
      </w:r>
      <w:r w:rsidR="00710594" w:rsidRPr="002F2B00">
        <w:t xml:space="preserve">than State </w:t>
      </w:r>
      <w:r w:rsidR="003550E0" w:rsidRPr="002F2B00">
        <w:t>agents</w:t>
      </w:r>
      <w:r w:rsidR="006923EB" w:rsidRPr="002F2B00">
        <w:t>,</w:t>
      </w:r>
      <w:r w:rsidR="00710594" w:rsidRPr="002F2B00">
        <w:t xml:space="preserve"> with no existing legal basis or ECHR-compliant justifiable reason.</w:t>
      </w:r>
      <w:r w:rsidR="0054758F" w:rsidRPr="002F2B00">
        <w:t xml:space="preserve"> </w:t>
      </w:r>
      <w:r w:rsidR="00EA233F" w:rsidRPr="002F2B00">
        <w:t xml:space="preserve">The UK Government has indicated in its commentary on the </w:t>
      </w:r>
      <w:r w:rsidR="000D1D3D" w:rsidRPr="002F2B00">
        <w:t xml:space="preserve">present </w:t>
      </w:r>
      <w:r w:rsidR="00EA233F" w:rsidRPr="002F2B00">
        <w:t xml:space="preserve">Bill that </w:t>
      </w:r>
      <w:r w:rsidR="000D1D3D" w:rsidRPr="002F2B00">
        <w:t xml:space="preserve">this legislation </w:t>
      </w:r>
      <w:r w:rsidR="005D217E" w:rsidRPr="002F2B00">
        <w:t xml:space="preserve">is intended to protect veterans. The </w:t>
      </w:r>
      <w:r w:rsidR="0006454F" w:rsidRPr="002F2B00">
        <w:t xml:space="preserve">former </w:t>
      </w:r>
      <w:r w:rsidR="005D217E" w:rsidRPr="002F2B00">
        <w:t>Secretary of State, Brandon Lewis MP, stated</w:t>
      </w:r>
      <w:r w:rsidR="00A1576C" w:rsidRPr="002F2B00">
        <w:t xml:space="preserve"> that “no longer will those who served – and we have explicitly included veterans of the security services and the Royal Ulster Constabulary – be subjected </w:t>
      </w:r>
      <w:r w:rsidR="00A1576C" w:rsidRPr="002F2B00">
        <w:lastRenderedPageBreak/>
        <w:t>to a witch hunt over their service in NI, enduring perpetual cycles of investigations and re-investigations”.</w:t>
      </w:r>
      <w:r w:rsidR="00A1576C" w:rsidRPr="002F2B00">
        <w:rPr>
          <w:rStyle w:val="FootnoteReference"/>
        </w:rPr>
        <w:footnoteReference w:id="246"/>
      </w:r>
    </w:p>
    <w:p w14:paraId="4F391B64" w14:textId="77777777" w:rsidR="00F2087A" w:rsidRPr="002F2B00" w:rsidRDefault="00F2087A" w:rsidP="00F2087A">
      <w:pPr>
        <w:pStyle w:val="ListParagraph"/>
      </w:pPr>
    </w:p>
    <w:p w14:paraId="443151DA" w14:textId="77777777" w:rsidR="003F31FC" w:rsidRDefault="34E8506C" w:rsidP="003F31FC">
      <w:pPr>
        <w:pStyle w:val="ListParagraph"/>
        <w:numPr>
          <w:ilvl w:val="1"/>
          <w:numId w:val="35"/>
        </w:numPr>
      </w:pPr>
      <w:r w:rsidRPr="002F2B00">
        <w:t>Victims must not be denied access to information “for no valid reason”.</w:t>
      </w:r>
      <w:r w:rsidR="00C461C7" w:rsidRPr="002F2B00">
        <w:rPr>
          <w:rStyle w:val="FootnoteReference"/>
        </w:rPr>
        <w:footnoteReference w:id="247"/>
      </w:r>
      <w:r w:rsidRPr="002F2B00">
        <w:rPr>
          <w:szCs w:val="24"/>
        </w:rPr>
        <w:t xml:space="preserve"> </w:t>
      </w:r>
      <w:r w:rsidR="699823F3" w:rsidRPr="002F2B00">
        <w:t>The next-of-kin must be informed of a decision regarding prosecution,</w:t>
      </w:r>
      <w:r w:rsidR="00317B8E" w:rsidRPr="002F2B00">
        <w:rPr>
          <w:rStyle w:val="FootnoteReference"/>
        </w:rPr>
        <w:footnoteReference w:id="248"/>
      </w:r>
      <w:r w:rsidR="699823F3" w:rsidRPr="002F2B00">
        <w:t xml:space="preserve"> </w:t>
      </w:r>
      <w:r w:rsidR="00B777AA" w:rsidRPr="002F2B00">
        <w:t>provided with reasons for that decision</w:t>
      </w:r>
      <w:r w:rsidR="00B777AA" w:rsidRPr="002F2B00">
        <w:rPr>
          <w:rStyle w:val="FootnoteReference"/>
        </w:rPr>
        <w:footnoteReference w:id="249"/>
      </w:r>
      <w:r w:rsidR="00B777AA" w:rsidRPr="002F2B00">
        <w:t xml:space="preserve"> </w:t>
      </w:r>
      <w:r w:rsidR="699823F3" w:rsidRPr="002F2B00">
        <w:t>and given the opportunity to tell the court their version of events.</w:t>
      </w:r>
      <w:r w:rsidR="00317B8E" w:rsidRPr="002F2B00">
        <w:rPr>
          <w:rStyle w:val="FootnoteReference"/>
        </w:rPr>
        <w:footnoteReference w:id="250"/>
      </w:r>
      <w:r w:rsidR="51E98DAF" w:rsidRPr="002F2B00">
        <w:rPr>
          <w:szCs w:val="24"/>
        </w:rPr>
        <w:t xml:space="preserve"> </w:t>
      </w:r>
      <w:r w:rsidR="5CCD1B20" w:rsidRPr="002F2B00">
        <w:t>Public scrutiny is necessary to ensure public confidence in the process.</w:t>
      </w:r>
      <w:r w:rsidR="001E1FD8" w:rsidRPr="002F2B00">
        <w:rPr>
          <w:vertAlign w:val="superscript"/>
        </w:rPr>
        <w:footnoteReference w:id="251"/>
      </w:r>
    </w:p>
    <w:p w14:paraId="331DEA9E" w14:textId="77777777" w:rsidR="003F31FC" w:rsidRDefault="003F31FC" w:rsidP="00035E91">
      <w:pPr>
        <w:pStyle w:val="ListParagraph"/>
      </w:pPr>
    </w:p>
    <w:p w14:paraId="2849BD5C" w14:textId="7B8906DE" w:rsidR="007B0F98" w:rsidRDefault="00E9757A" w:rsidP="003F31FC">
      <w:pPr>
        <w:pStyle w:val="ListParagraph"/>
        <w:numPr>
          <w:ilvl w:val="1"/>
          <w:numId w:val="35"/>
        </w:numPr>
      </w:pPr>
      <w:r>
        <w:t xml:space="preserve">Related obligations arise under Protocol Article 2, by virtue of the </w:t>
      </w:r>
      <w:r w:rsidR="00183E1D">
        <w:t>Victims’ Directive</w:t>
      </w:r>
      <w:r w:rsidR="008E4A18">
        <w:t>.</w:t>
      </w:r>
      <w:r w:rsidR="00594AF8" w:rsidRPr="009D223F">
        <w:rPr>
          <w:rStyle w:val="FootnoteReference"/>
        </w:rPr>
        <w:footnoteReference w:id="252"/>
      </w:r>
      <w:r>
        <w:t xml:space="preserve"> </w:t>
      </w:r>
      <w:r w:rsidR="00E46769">
        <w:t>T</w:t>
      </w:r>
      <w:r w:rsidR="004C5EB5">
        <w:t xml:space="preserve">he UK Government </w:t>
      </w:r>
      <w:r w:rsidR="008E4A18">
        <w:t xml:space="preserve">has recognised the Directive </w:t>
      </w:r>
      <w:r w:rsidR="004C5EB5">
        <w:t xml:space="preserve">as falling within </w:t>
      </w:r>
      <w:r w:rsidR="008E4A18">
        <w:t xml:space="preserve">the scope of </w:t>
      </w:r>
      <w:r w:rsidR="006024CD">
        <w:t xml:space="preserve">the ‘no diminution of rights’ commitment under </w:t>
      </w:r>
      <w:r w:rsidR="008E4A18">
        <w:t>Protocol Article 2</w:t>
      </w:r>
      <w:r w:rsidR="004C5EB5">
        <w:t>.</w:t>
      </w:r>
      <w:r w:rsidR="008E4A18">
        <w:rPr>
          <w:rStyle w:val="FootnoteReference"/>
        </w:rPr>
        <w:footnoteReference w:id="253"/>
      </w:r>
      <w:r w:rsidR="004C5EB5">
        <w:t xml:space="preserve"> </w:t>
      </w:r>
      <w:r w:rsidR="007B0F98" w:rsidRPr="009D223F">
        <w:t xml:space="preserve">Recitals to the Directive refer to the State’s obligation to ensure </w:t>
      </w:r>
      <w:r w:rsidR="007B0F98" w:rsidRPr="00920F1D">
        <w:t>‘sufficient access to justice’,</w:t>
      </w:r>
      <w:r w:rsidR="007B0F98" w:rsidRPr="009D223F">
        <w:t xml:space="preserve"> for victims and their next-of-kin.</w:t>
      </w:r>
      <w:r w:rsidR="007B0F98" w:rsidRPr="009D223F">
        <w:rPr>
          <w:rStyle w:val="FootnoteReference"/>
        </w:rPr>
        <w:footnoteReference w:id="254"/>
      </w:r>
      <w:r w:rsidR="007B0F98" w:rsidRPr="009D223F">
        <w:t xml:space="preserve"> This general obligation is supplemented by more specific requirements. Article 6 obliges the </w:t>
      </w:r>
      <w:r w:rsidR="004703AA">
        <w:t>State</w:t>
      </w:r>
      <w:r w:rsidR="007B0F98" w:rsidRPr="009D223F">
        <w:t xml:space="preserve"> to provide the victim with information including “any decision not to proceed with or to end an investigation or not to prosecute” an alleged offender. Article 11 provides that victims </w:t>
      </w:r>
      <w:r w:rsidR="007B0F98" w:rsidRPr="005A1A39">
        <w:rPr>
          <w:szCs w:val="24"/>
        </w:rPr>
        <w:t>“have the right to a review of a decision not to prosecute” and places an</w:t>
      </w:r>
      <w:r w:rsidR="007B0F98" w:rsidRPr="009D223F">
        <w:t xml:space="preserve"> onus on the Government to advise the victim of their right to receive, and to ensure that they do receive if requested, sufficient information to decide whether to request such a review.</w:t>
      </w:r>
    </w:p>
    <w:p w14:paraId="4DA9977C" w14:textId="77777777" w:rsidR="00183E1D" w:rsidRDefault="00183E1D" w:rsidP="00035E91">
      <w:pPr>
        <w:pStyle w:val="ListParagraph"/>
      </w:pPr>
    </w:p>
    <w:p w14:paraId="2D9CCFDC" w14:textId="38E4348E" w:rsidR="00AA0409" w:rsidRPr="002F2B00" w:rsidRDefault="007B0F98" w:rsidP="007B0F98">
      <w:pPr>
        <w:pStyle w:val="ListParagraph"/>
        <w:numPr>
          <w:ilvl w:val="1"/>
          <w:numId w:val="35"/>
        </w:numPr>
      </w:pPr>
      <w:r w:rsidRPr="009D223F">
        <w:t xml:space="preserve">Moreover, obligations under the Directive must be interpreted in line with the </w:t>
      </w:r>
      <w:r w:rsidRPr="00920F1D">
        <w:t xml:space="preserve">Charter </w:t>
      </w:r>
      <w:r w:rsidRPr="009D223F">
        <w:t>of Fundamental Rights of the EU and general principles of EU law.</w:t>
      </w:r>
      <w:r w:rsidR="008648A1">
        <w:rPr>
          <w:rStyle w:val="FootnoteReference"/>
        </w:rPr>
        <w:footnoteReference w:id="255"/>
      </w:r>
      <w:r w:rsidRPr="009D223F">
        <w:t xml:space="preserve"> Considered alongside Charter provisions including Article 47 (Right to an effective remedy and to a fair trial) and Article 41 (Right to good administration) and general principles </w:t>
      </w:r>
      <w:r w:rsidRPr="009D223F">
        <w:lastRenderedPageBreak/>
        <w:t xml:space="preserve">such as due process and fundamental rights, which embrace the right to be heard, it is the </w:t>
      </w:r>
      <w:r w:rsidR="00E66D08">
        <w:t>NIHRC</w:t>
      </w:r>
      <w:r w:rsidRPr="009D223F">
        <w:t xml:space="preserve">’s view that </w:t>
      </w:r>
      <w:r w:rsidR="00CF07B4">
        <w:t xml:space="preserve">compliance with </w:t>
      </w:r>
      <w:r w:rsidR="00C50D5C">
        <w:t xml:space="preserve">Protocol Article 2 </w:t>
      </w:r>
      <w:r w:rsidR="00CF07B4">
        <w:t xml:space="preserve">requires </w:t>
      </w:r>
      <w:r w:rsidR="00E5428D">
        <w:t>recognition of</w:t>
      </w:r>
      <w:r w:rsidR="00CF07B4">
        <w:t xml:space="preserve"> a </w:t>
      </w:r>
      <w:r w:rsidRPr="009D223F">
        <w:t>victim</w:t>
      </w:r>
      <w:r w:rsidR="00CF07B4">
        <w:t>’s</w:t>
      </w:r>
      <w:r w:rsidRPr="009D223F">
        <w:t xml:space="preserve"> entitle</w:t>
      </w:r>
      <w:r w:rsidR="00EE2E84">
        <w:t>ment</w:t>
      </w:r>
      <w:r w:rsidRPr="009D223F">
        <w:t xml:space="preserve"> to a fair and public hearing in respect of any decision on immunity or prosecut</w:t>
      </w:r>
      <w:r w:rsidR="00AA377F">
        <w:t>ion</w:t>
      </w:r>
      <w:r w:rsidR="005939EB">
        <w:t>.</w:t>
      </w:r>
    </w:p>
    <w:p w14:paraId="418BD01B" w14:textId="52E4E43C" w:rsidR="00A15984" w:rsidRPr="002F2B00" w:rsidRDefault="5CCD1B20" w:rsidP="002559AA">
      <w:pPr>
        <w:pStyle w:val="ListParagraph"/>
      </w:pPr>
      <w:r w:rsidRPr="002F2B00">
        <w:t xml:space="preserve"> </w:t>
      </w:r>
    </w:p>
    <w:p w14:paraId="12815BD4" w14:textId="4BA009E4" w:rsidR="004259D2" w:rsidRPr="002F2B00" w:rsidRDefault="00A15984" w:rsidP="004259D2">
      <w:pPr>
        <w:pStyle w:val="ListParagraph"/>
        <w:numPr>
          <w:ilvl w:val="1"/>
          <w:numId w:val="35"/>
        </w:numPr>
      </w:pPr>
      <w:r w:rsidRPr="002F2B00">
        <w:t>U</w:t>
      </w:r>
      <w:r w:rsidR="1D2A4B21" w:rsidRPr="002F2B00">
        <w:t xml:space="preserve">nder </w:t>
      </w:r>
      <w:r w:rsidR="241C7F49" w:rsidRPr="002F2B00">
        <w:t>c</w:t>
      </w:r>
      <w:r w:rsidR="1D2A4B21" w:rsidRPr="002F2B00">
        <w:t xml:space="preserve">lause 18 of the </w:t>
      </w:r>
      <w:r w:rsidR="000D1D3D" w:rsidRPr="002F2B00">
        <w:t xml:space="preserve">current draft of the </w:t>
      </w:r>
      <w:r w:rsidR="1D2A4B21" w:rsidRPr="002F2B00">
        <w:t>Bill</w:t>
      </w:r>
      <w:r w:rsidR="000D1D3D" w:rsidRPr="002F2B00">
        <w:t>,</w:t>
      </w:r>
      <w:r w:rsidR="1D2A4B21" w:rsidRPr="002F2B00">
        <w:t xml:space="preserve"> immunity decisions rely solely on information provided by the person requesting immunity.</w:t>
      </w:r>
      <w:r w:rsidR="2D06043D" w:rsidRPr="002F2B00">
        <w:rPr>
          <w:szCs w:val="24"/>
        </w:rPr>
        <w:t xml:space="preserve"> </w:t>
      </w:r>
      <w:r w:rsidR="1D2A4B21" w:rsidRPr="002F2B00">
        <w:t xml:space="preserve">The </w:t>
      </w:r>
      <w:r w:rsidR="000D1D3D" w:rsidRPr="002F2B00">
        <w:t xml:space="preserve">present </w:t>
      </w:r>
      <w:r w:rsidR="1D2A4B21" w:rsidRPr="002F2B00">
        <w:t xml:space="preserve">Bill </w:t>
      </w:r>
      <w:r w:rsidR="006A5F3E" w:rsidRPr="002F2B00">
        <w:t>does</w:t>
      </w:r>
      <w:r w:rsidR="1D2A4B21" w:rsidRPr="002F2B00">
        <w:t xml:space="preserve"> not enable</w:t>
      </w:r>
      <w:r w:rsidR="51E98DAF" w:rsidRPr="002F2B00">
        <w:rPr>
          <w:szCs w:val="24"/>
        </w:rPr>
        <w:t xml:space="preserve"> </w:t>
      </w:r>
      <w:r w:rsidR="2B19AABB" w:rsidRPr="002F2B00">
        <w:t xml:space="preserve">victims, </w:t>
      </w:r>
      <w:r w:rsidR="51E98DAF" w:rsidRPr="002F2B00">
        <w:t xml:space="preserve">family members </w:t>
      </w:r>
      <w:r w:rsidR="2D06043D" w:rsidRPr="002F2B00">
        <w:t xml:space="preserve">or interested persons </w:t>
      </w:r>
      <w:r w:rsidR="52733C5A" w:rsidRPr="002F2B00">
        <w:t xml:space="preserve">to provide information to inform </w:t>
      </w:r>
      <w:r w:rsidR="1D2A4B21" w:rsidRPr="002F2B00">
        <w:t xml:space="preserve">the ICRIR’s </w:t>
      </w:r>
      <w:r w:rsidR="52733C5A" w:rsidRPr="002F2B00">
        <w:t xml:space="preserve">immunity decisions. </w:t>
      </w:r>
      <w:r w:rsidR="00117EBF" w:rsidRPr="002F2B00">
        <w:t xml:space="preserve">The present Bill also </w:t>
      </w:r>
      <w:r w:rsidR="00E63F13" w:rsidRPr="002F2B00">
        <w:t>does not include a</w:t>
      </w:r>
      <w:r w:rsidR="52733C5A" w:rsidRPr="002F2B00">
        <w:t xml:space="preserve"> requirement </w:t>
      </w:r>
      <w:r w:rsidR="00E63F13" w:rsidRPr="002F2B00">
        <w:t>that</w:t>
      </w:r>
      <w:r w:rsidR="2B19AABB" w:rsidRPr="002F2B00">
        <w:t xml:space="preserve"> victims or family members </w:t>
      </w:r>
      <w:r w:rsidR="00E63F13" w:rsidRPr="002F2B00">
        <w:t>are</w:t>
      </w:r>
      <w:r w:rsidR="2B19AABB" w:rsidRPr="002F2B00">
        <w:t xml:space="preserve"> </w:t>
      </w:r>
      <w:r w:rsidR="52733C5A" w:rsidRPr="002F2B00">
        <w:t xml:space="preserve">informed </w:t>
      </w:r>
      <w:r w:rsidR="007A2298" w:rsidRPr="002F2B00">
        <w:t>when</w:t>
      </w:r>
      <w:r w:rsidR="2B19AABB" w:rsidRPr="002F2B00">
        <w:t xml:space="preserve"> an individual has applied for immunity</w:t>
      </w:r>
      <w:r w:rsidR="40FCC158" w:rsidRPr="002F2B00">
        <w:t xml:space="preserve">. </w:t>
      </w:r>
      <w:r w:rsidR="00117EBF" w:rsidRPr="002F2B00">
        <w:t xml:space="preserve">It also </w:t>
      </w:r>
      <w:r w:rsidR="007A2298" w:rsidRPr="002F2B00">
        <w:t>does not currently</w:t>
      </w:r>
      <w:r w:rsidR="40FCC158" w:rsidRPr="002F2B00">
        <w:t xml:space="preserve"> require victims or family members to be informed of </w:t>
      </w:r>
      <w:r w:rsidR="2B19AABB" w:rsidRPr="002F2B00">
        <w:t>the outcome of th</w:t>
      </w:r>
      <w:r w:rsidR="2E09272F" w:rsidRPr="002F2B00">
        <w:t>e immunity request.</w:t>
      </w:r>
      <w:r w:rsidR="002B0D9F">
        <w:t xml:space="preserve"> The UK Government</w:t>
      </w:r>
      <w:r w:rsidR="5D7CF2EB">
        <w:t>,</w:t>
      </w:r>
      <w:r w:rsidR="002B0D9F">
        <w:t xml:space="preserve"> in it</w:t>
      </w:r>
      <w:r w:rsidR="00B63D86">
        <w:t>s</w:t>
      </w:r>
      <w:r w:rsidR="002B0D9F">
        <w:t xml:space="preserve"> response to the </w:t>
      </w:r>
      <w:proofErr w:type="spellStart"/>
      <w:r w:rsidR="002B0D9F">
        <w:t>CoE</w:t>
      </w:r>
      <w:proofErr w:type="spellEnd"/>
      <w:r w:rsidR="002B0D9F">
        <w:t xml:space="preserve"> </w:t>
      </w:r>
      <w:r w:rsidR="00B63D86">
        <w:t xml:space="preserve">Committee of </w:t>
      </w:r>
      <w:r w:rsidR="002B0D9F">
        <w:t>Ministers</w:t>
      </w:r>
      <w:r w:rsidR="13ED000E">
        <w:t>,</w:t>
      </w:r>
      <w:r w:rsidR="002B0D9F">
        <w:t xml:space="preserve"> </w:t>
      </w:r>
      <w:r w:rsidR="003E49F8">
        <w:t>stated that “though not explicit in the Bill, we would expect the ICRIR to inform families if an individual has been granted immunity from prosecution in their case, and indeed to keep them informed of the process as it progresses”.</w:t>
      </w:r>
      <w:r w:rsidR="00B63D86">
        <w:rPr>
          <w:rStyle w:val="FootnoteReference"/>
        </w:rPr>
        <w:footnoteReference w:id="256"/>
      </w:r>
      <w:r w:rsidR="00B63D86">
        <w:t xml:space="preserve"> The UK Government continued “information regarding the granting of immunity should also be included in the published family reports, including the naming of individuals subject to safeguards around safety to life”.</w:t>
      </w:r>
      <w:r w:rsidR="00B63D86">
        <w:rPr>
          <w:rStyle w:val="FootnoteReference"/>
        </w:rPr>
        <w:footnoteReference w:id="257"/>
      </w:r>
    </w:p>
    <w:p w14:paraId="006F431B" w14:textId="77777777" w:rsidR="004259D2" w:rsidRPr="002F2B00" w:rsidRDefault="004259D2" w:rsidP="004259D2">
      <w:pPr>
        <w:pStyle w:val="ListParagraph"/>
      </w:pPr>
    </w:p>
    <w:p w14:paraId="52D27655" w14:textId="20DC9995" w:rsidR="004259D2" w:rsidRDefault="00441BA1" w:rsidP="004259D2">
      <w:pPr>
        <w:pStyle w:val="ListParagraph"/>
        <w:numPr>
          <w:ilvl w:val="1"/>
          <w:numId w:val="35"/>
        </w:numPr>
      </w:pPr>
      <w:r w:rsidRPr="002F2B00">
        <w:t>There is no</w:t>
      </w:r>
      <w:r w:rsidR="008B3759" w:rsidRPr="002F2B00">
        <w:t xml:space="preserve"> proposed</w:t>
      </w:r>
      <w:r w:rsidRPr="002F2B00">
        <w:t xml:space="preserve"> requirement within the </w:t>
      </w:r>
      <w:r w:rsidR="00117EBF" w:rsidRPr="002F2B00">
        <w:t xml:space="preserve">current draft of the </w:t>
      </w:r>
      <w:r w:rsidRPr="002F2B00">
        <w:t xml:space="preserve">Bill for the ICRIR to provide reasons for why it is or is not granting immunity. </w:t>
      </w:r>
      <w:r w:rsidR="00142A39">
        <w:t>The UK Government</w:t>
      </w:r>
      <w:r w:rsidR="41F5FEC8">
        <w:t>,</w:t>
      </w:r>
      <w:r w:rsidR="00142A39">
        <w:t xml:space="preserve"> in its response to the </w:t>
      </w:r>
      <w:proofErr w:type="spellStart"/>
      <w:r w:rsidR="00142A39">
        <w:t>CoE</w:t>
      </w:r>
      <w:proofErr w:type="spellEnd"/>
      <w:r w:rsidR="00142A39">
        <w:t xml:space="preserve"> Committee of Ministers</w:t>
      </w:r>
      <w:r w:rsidR="6917D09F">
        <w:t>,</w:t>
      </w:r>
      <w:r w:rsidR="00142A39">
        <w:t xml:space="preserve"> stated that it “would expect the ICRIR to include reasons for the granting of immunity in each instance”.</w:t>
      </w:r>
      <w:r w:rsidR="00142A39">
        <w:rPr>
          <w:rStyle w:val="FootnoteReference"/>
        </w:rPr>
        <w:footnoteReference w:id="258"/>
      </w:r>
      <w:r w:rsidR="00142A39">
        <w:t xml:space="preserve"> </w:t>
      </w:r>
      <w:r w:rsidRPr="002F2B00">
        <w:t xml:space="preserve">There is also no </w:t>
      </w:r>
      <w:r w:rsidR="008B3759" w:rsidRPr="002F2B00">
        <w:t xml:space="preserve">proposed </w:t>
      </w:r>
      <w:r w:rsidRPr="002F2B00">
        <w:t>option for an individual requesting immunity or an interested person to appeal a decision on immunity made by the ICRIR.</w:t>
      </w:r>
    </w:p>
    <w:p w14:paraId="17C8861D" w14:textId="77777777" w:rsidR="00343C36" w:rsidRDefault="00343C36" w:rsidP="00035E91">
      <w:pPr>
        <w:pStyle w:val="ListParagraph"/>
      </w:pPr>
    </w:p>
    <w:p w14:paraId="13ACC76B" w14:textId="77777777" w:rsidR="0013444A" w:rsidRDefault="00BA7B3D" w:rsidP="004259D2">
      <w:pPr>
        <w:pStyle w:val="ListParagraph"/>
        <w:numPr>
          <w:ilvl w:val="1"/>
          <w:numId w:val="35"/>
        </w:numPr>
      </w:pPr>
      <w:r>
        <w:lastRenderedPageBreak/>
        <w:t>The mandatory and irrevocable outcome of the immunity decision in preventing prosecutions</w:t>
      </w:r>
      <w:r>
        <w:rPr>
          <w:rStyle w:val="FootnoteReference"/>
        </w:rPr>
        <w:footnoteReference w:id="259"/>
      </w:r>
      <w:r>
        <w:t>, leaves no avenue for a victim to request a review, as required under the Victims’ Directive.</w:t>
      </w:r>
    </w:p>
    <w:p w14:paraId="16050D0D" w14:textId="77777777" w:rsidR="0013444A" w:rsidRDefault="0013444A" w:rsidP="00035E91">
      <w:pPr>
        <w:pStyle w:val="ListParagraph"/>
      </w:pPr>
    </w:p>
    <w:p w14:paraId="76E70570" w14:textId="69A64764" w:rsidR="00343C36" w:rsidRPr="00FD6CA1" w:rsidRDefault="009D7945" w:rsidP="004259D2">
      <w:pPr>
        <w:pStyle w:val="ListParagraph"/>
        <w:numPr>
          <w:ilvl w:val="1"/>
          <w:numId w:val="35"/>
        </w:numPr>
        <w:rPr>
          <w:b/>
          <w:bCs/>
        </w:rPr>
      </w:pPr>
      <w:r w:rsidRPr="00FD6CA1">
        <w:rPr>
          <w:b/>
          <w:bCs/>
        </w:rPr>
        <w:t>T</w:t>
      </w:r>
      <w:r w:rsidR="00922072" w:rsidRPr="00FD6CA1">
        <w:rPr>
          <w:b/>
          <w:bCs/>
        </w:rPr>
        <w:t xml:space="preserve">he NIHRC </w:t>
      </w:r>
      <w:r w:rsidR="00EF4808" w:rsidRPr="00FD6CA1">
        <w:rPr>
          <w:b/>
          <w:bCs/>
        </w:rPr>
        <w:t>advises</w:t>
      </w:r>
      <w:r w:rsidR="00922072" w:rsidRPr="00FD6CA1">
        <w:rPr>
          <w:b/>
          <w:bCs/>
        </w:rPr>
        <w:t xml:space="preserve"> that provisions on immunity</w:t>
      </w:r>
      <w:r w:rsidR="005304C5" w:rsidRPr="00FD6CA1">
        <w:rPr>
          <w:b/>
          <w:bCs/>
        </w:rPr>
        <w:t xml:space="preserve"> and</w:t>
      </w:r>
      <w:r w:rsidR="00922072" w:rsidRPr="00FD6CA1">
        <w:rPr>
          <w:b/>
          <w:bCs/>
        </w:rPr>
        <w:t xml:space="preserve"> restrictions on criminal enforcement action may </w:t>
      </w:r>
      <w:r w:rsidR="00DE1584" w:rsidRPr="00FD6CA1">
        <w:rPr>
          <w:b/>
          <w:bCs/>
        </w:rPr>
        <w:t>diminish</w:t>
      </w:r>
      <w:r w:rsidR="00922072" w:rsidRPr="00FD6CA1">
        <w:rPr>
          <w:b/>
          <w:bCs/>
        </w:rPr>
        <w:t xml:space="preserve"> the rights of victims, in breach of Protocol Article 2. </w:t>
      </w:r>
    </w:p>
    <w:p w14:paraId="6F128E1E" w14:textId="77777777" w:rsidR="004259D2" w:rsidRPr="00FD6CA1" w:rsidRDefault="004259D2" w:rsidP="004259D2">
      <w:pPr>
        <w:pStyle w:val="ListParagraph"/>
        <w:rPr>
          <w:b/>
          <w:bCs/>
        </w:rPr>
      </w:pPr>
    </w:p>
    <w:p w14:paraId="5A0929F1" w14:textId="73EF6259" w:rsidR="000736F5" w:rsidRPr="00FD6CA1" w:rsidRDefault="00922B68" w:rsidP="000736F5">
      <w:pPr>
        <w:pStyle w:val="ListParagraph"/>
        <w:numPr>
          <w:ilvl w:val="1"/>
          <w:numId w:val="35"/>
        </w:numPr>
        <w:rPr>
          <w:b/>
          <w:bCs/>
        </w:rPr>
      </w:pPr>
      <w:r w:rsidRPr="00FD6CA1">
        <w:rPr>
          <w:b/>
          <w:bCs/>
        </w:rPr>
        <w:t xml:space="preserve">The NIHRC </w:t>
      </w:r>
      <w:r w:rsidR="005E1C83" w:rsidRPr="00FD6CA1">
        <w:rPr>
          <w:b/>
          <w:bCs/>
        </w:rPr>
        <w:t>is very</w:t>
      </w:r>
      <w:r w:rsidR="00FA0409" w:rsidRPr="00FD6CA1">
        <w:rPr>
          <w:b/>
          <w:bCs/>
        </w:rPr>
        <w:t xml:space="preserve"> concern</w:t>
      </w:r>
      <w:r w:rsidR="005E1C83" w:rsidRPr="00FD6CA1">
        <w:rPr>
          <w:b/>
          <w:bCs/>
        </w:rPr>
        <w:t>ed by</w:t>
      </w:r>
      <w:r w:rsidR="00FA0409" w:rsidRPr="00FD6CA1">
        <w:rPr>
          <w:b/>
          <w:bCs/>
        </w:rPr>
        <w:t xml:space="preserve"> the</w:t>
      </w:r>
      <w:r w:rsidR="006B6FD2" w:rsidRPr="00FD6CA1">
        <w:rPr>
          <w:b/>
          <w:bCs/>
        </w:rPr>
        <w:t xml:space="preserve"> lack of accountability</w:t>
      </w:r>
      <w:r w:rsidR="00317B8E" w:rsidRPr="00FD6CA1">
        <w:rPr>
          <w:b/>
          <w:bCs/>
        </w:rPr>
        <w:t xml:space="preserve">, </w:t>
      </w:r>
      <w:r w:rsidR="005E1C83" w:rsidRPr="00FD6CA1">
        <w:rPr>
          <w:b/>
          <w:bCs/>
        </w:rPr>
        <w:t xml:space="preserve">equality and </w:t>
      </w:r>
      <w:r w:rsidR="00317B8E" w:rsidRPr="00FD6CA1">
        <w:rPr>
          <w:b/>
          <w:bCs/>
        </w:rPr>
        <w:t>public scrutiny</w:t>
      </w:r>
      <w:r w:rsidR="006B6FD2" w:rsidRPr="00FD6CA1">
        <w:rPr>
          <w:b/>
          <w:bCs/>
        </w:rPr>
        <w:t xml:space="preserve"> </w:t>
      </w:r>
      <w:r w:rsidR="00142A39" w:rsidRPr="00FD6CA1">
        <w:rPr>
          <w:b/>
          <w:bCs/>
        </w:rPr>
        <w:t xml:space="preserve">expressly provided for </w:t>
      </w:r>
      <w:r w:rsidR="006B6FD2" w:rsidRPr="00FD6CA1">
        <w:rPr>
          <w:b/>
          <w:bCs/>
        </w:rPr>
        <w:t xml:space="preserve">within the </w:t>
      </w:r>
      <w:r w:rsidR="005E1C83" w:rsidRPr="00FD6CA1">
        <w:rPr>
          <w:b/>
          <w:bCs/>
        </w:rPr>
        <w:t xml:space="preserve">proposed </w:t>
      </w:r>
      <w:r w:rsidR="006B6FD2" w:rsidRPr="00FD6CA1">
        <w:rPr>
          <w:b/>
          <w:bCs/>
        </w:rPr>
        <w:t>immunity scheme</w:t>
      </w:r>
      <w:r w:rsidR="008B3759" w:rsidRPr="00FD6CA1">
        <w:rPr>
          <w:b/>
          <w:bCs/>
        </w:rPr>
        <w:t xml:space="preserve"> as set out in the current draft of this Bill</w:t>
      </w:r>
      <w:r w:rsidR="005E1C83" w:rsidRPr="00FD6CA1">
        <w:rPr>
          <w:b/>
          <w:bCs/>
        </w:rPr>
        <w:t xml:space="preserve">. The NIHRC remains of the view that an immunity scheme such as that proposed </w:t>
      </w:r>
      <w:r w:rsidR="008B3759" w:rsidRPr="00FD6CA1">
        <w:rPr>
          <w:b/>
          <w:bCs/>
        </w:rPr>
        <w:t>by the current draft of the Bill is not lawful and is not human rights compliant</w:t>
      </w:r>
      <w:r w:rsidR="005E1C83" w:rsidRPr="00FD6CA1">
        <w:rPr>
          <w:b/>
          <w:bCs/>
        </w:rPr>
        <w:t xml:space="preserve">. </w:t>
      </w:r>
    </w:p>
    <w:p w14:paraId="704518BE" w14:textId="553E81DF" w:rsidR="00234DD8" w:rsidRPr="002F2B00" w:rsidRDefault="00FA0409" w:rsidP="000736F5">
      <w:r w:rsidRPr="002F2B00">
        <w:rPr>
          <w:b/>
          <w:bCs/>
        </w:rPr>
        <w:t xml:space="preserve"> </w:t>
      </w:r>
    </w:p>
    <w:p w14:paraId="0B7AF49B" w14:textId="77777777" w:rsidR="00234DD8" w:rsidRPr="002F2B00" w:rsidRDefault="00234DD8" w:rsidP="00234DD8">
      <w:pPr>
        <w:pStyle w:val="ListParagraph"/>
        <w:numPr>
          <w:ilvl w:val="1"/>
          <w:numId w:val="35"/>
        </w:numPr>
      </w:pPr>
      <w:r w:rsidRPr="002F2B00">
        <w:t xml:space="preserve">The former UN Special Rapporteur on Truth, Pablo de </w:t>
      </w:r>
      <w:proofErr w:type="spellStart"/>
      <w:r w:rsidRPr="002F2B00">
        <w:t>Greiff</w:t>
      </w:r>
      <w:proofErr w:type="spellEnd"/>
      <w:r w:rsidRPr="002F2B00">
        <w:t>, recommended that “truth, justice and reparation initiatives should expand their focus beyond cases leading to death to address violations and abuses largely excluded from their ambit, including torture, sexual harm, disappearance and illegal detention”.</w:t>
      </w:r>
      <w:r w:rsidRPr="002F2B00">
        <w:rPr>
          <w:rStyle w:val="FootnoteReference"/>
        </w:rPr>
        <w:footnoteReference w:id="260"/>
      </w:r>
      <w:r w:rsidRPr="002F2B00">
        <w:t xml:space="preserve"> </w:t>
      </w:r>
    </w:p>
    <w:p w14:paraId="0706954F" w14:textId="77777777" w:rsidR="00234DD8" w:rsidRPr="002F2B00" w:rsidRDefault="00234DD8" w:rsidP="00234DD8">
      <w:pPr>
        <w:pStyle w:val="ListParagraph"/>
      </w:pPr>
    </w:p>
    <w:p w14:paraId="00368DF2" w14:textId="77777777" w:rsidR="00234DD8" w:rsidRPr="002F2B00" w:rsidRDefault="00234DD8" w:rsidP="00234DD8">
      <w:pPr>
        <w:pStyle w:val="ListParagraph"/>
        <w:numPr>
          <w:ilvl w:val="1"/>
          <w:numId w:val="35"/>
        </w:numPr>
      </w:pPr>
      <w:r w:rsidRPr="002F2B00">
        <w:t>The UN CEDAW Committee is clear that gender-based violence in all its forms should be criminalised, legal systems should protect victims and offer an effective remedy.</w:t>
      </w:r>
      <w:r w:rsidRPr="002F2B00">
        <w:rPr>
          <w:rStyle w:val="FootnoteReference"/>
        </w:rPr>
        <w:footnoteReference w:id="261"/>
      </w:r>
      <w:r w:rsidRPr="002F2B00">
        <w:t xml:space="preserve"> Furthermore, any laws that facilitate, </w:t>
      </w:r>
      <w:proofErr w:type="gramStart"/>
      <w:r w:rsidRPr="002F2B00">
        <w:t>justify</w:t>
      </w:r>
      <w:proofErr w:type="gramEnd"/>
      <w:r w:rsidRPr="002F2B00">
        <w:t xml:space="preserve"> or tolerate any form of gender-based violence should be repealed.</w:t>
      </w:r>
      <w:r w:rsidRPr="002F2B00">
        <w:rPr>
          <w:rStyle w:val="FootnoteReference"/>
        </w:rPr>
        <w:footnoteReference w:id="262"/>
      </w:r>
      <w:r w:rsidRPr="002F2B00">
        <w:t xml:space="preserve"> </w:t>
      </w:r>
    </w:p>
    <w:p w14:paraId="47F036C2" w14:textId="77777777" w:rsidR="00234DD8" w:rsidRPr="002F2B00" w:rsidRDefault="00234DD8" w:rsidP="00234DD8">
      <w:pPr>
        <w:pStyle w:val="ListParagraph"/>
      </w:pPr>
    </w:p>
    <w:p w14:paraId="29160B2E" w14:textId="28171217" w:rsidR="00234DD8" w:rsidRPr="002F2B00" w:rsidRDefault="00234DD8" w:rsidP="00234DD8">
      <w:pPr>
        <w:pStyle w:val="ListParagraph"/>
        <w:numPr>
          <w:ilvl w:val="1"/>
          <w:numId w:val="35"/>
        </w:numPr>
      </w:pPr>
      <w:r w:rsidRPr="002F2B00">
        <w:t>The UN CAT Committee has specifically recommended that the UK Government “undertake other initiatives, including expanding the mandate of the historical investigations unit, to address allegations of torture, sexual violence and disappearances committed during the conflict, and ensure that victims of torture and ill-treatment obtain redress”.</w:t>
      </w:r>
      <w:r w:rsidRPr="002F2B00">
        <w:rPr>
          <w:rStyle w:val="FootnoteReference"/>
        </w:rPr>
        <w:footnoteReference w:id="263"/>
      </w:r>
    </w:p>
    <w:p w14:paraId="4B393323" w14:textId="77777777" w:rsidR="002954BA" w:rsidRPr="002F2B00" w:rsidRDefault="002954BA" w:rsidP="002954BA">
      <w:pPr>
        <w:pStyle w:val="ListParagraph"/>
      </w:pPr>
    </w:p>
    <w:p w14:paraId="181DD320" w14:textId="2ECFB774" w:rsidR="002954BA" w:rsidRPr="002F2B00" w:rsidRDefault="002954BA" w:rsidP="00234DD8">
      <w:pPr>
        <w:pStyle w:val="ListParagraph"/>
        <w:numPr>
          <w:ilvl w:val="1"/>
          <w:numId w:val="35"/>
        </w:numPr>
      </w:pPr>
      <w:r w:rsidRPr="002F2B00">
        <w:t>When drafting new law</w:t>
      </w:r>
      <w:r w:rsidR="000D567D" w:rsidRPr="002F2B00">
        <w:t>s</w:t>
      </w:r>
      <w:r w:rsidRPr="002F2B00">
        <w:t>, the right to no punishment without law must be considered.</w:t>
      </w:r>
      <w:r w:rsidRPr="002F2B00">
        <w:rPr>
          <w:rStyle w:val="FootnoteReference"/>
        </w:rPr>
        <w:footnoteReference w:id="264"/>
      </w:r>
      <w:r w:rsidRPr="002F2B00">
        <w:t xml:space="preserve"> This absolute right provides that “no one shall be held guilty of any criminal offence on account of any act or omission which did not constitute a criminal offence under national or international law at the time when it was committed”.</w:t>
      </w:r>
      <w:r w:rsidRPr="002F2B00">
        <w:rPr>
          <w:rStyle w:val="FootnoteReference"/>
        </w:rPr>
        <w:footnoteReference w:id="265"/>
      </w:r>
    </w:p>
    <w:p w14:paraId="4DB7B502" w14:textId="77777777" w:rsidR="00234DD8" w:rsidRPr="002F2B00" w:rsidRDefault="00234DD8" w:rsidP="00234DD8">
      <w:pPr>
        <w:pStyle w:val="ListParagraph"/>
      </w:pPr>
    </w:p>
    <w:p w14:paraId="71A1E1D8" w14:textId="6A1E24F7" w:rsidR="00234DD8" w:rsidRPr="002F2B00" w:rsidRDefault="00234DD8" w:rsidP="00234DD8">
      <w:pPr>
        <w:pStyle w:val="ListParagraph"/>
        <w:numPr>
          <w:ilvl w:val="1"/>
          <w:numId w:val="35"/>
        </w:numPr>
      </w:pPr>
      <w:r w:rsidRPr="002F2B00">
        <w:t xml:space="preserve">The </w:t>
      </w:r>
      <w:r w:rsidR="00B22156" w:rsidRPr="002F2B00">
        <w:t xml:space="preserve">proposed </w:t>
      </w:r>
      <w:r w:rsidRPr="002F2B00">
        <w:t xml:space="preserve">definition of offences in clause 1(6) of the </w:t>
      </w:r>
      <w:r w:rsidR="00B22156" w:rsidRPr="002F2B00">
        <w:t xml:space="preserve">current draft of the </w:t>
      </w:r>
      <w:r w:rsidRPr="002F2B00">
        <w:t xml:space="preserve">Bill, combined with the </w:t>
      </w:r>
      <w:r w:rsidR="003710E2" w:rsidRPr="002F2B00">
        <w:t xml:space="preserve">proposed </w:t>
      </w:r>
      <w:r w:rsidRPr="002F2B00">
        <w:t>provisions for immunity</w:t>
      </w:r>
      <w:r w:rsidRPr="002F2B00">
        <w:rPr>
          <w:rStyle w:val="FootnoteReference"/>
        </w:rPr>
        <w:footnoteReference w:id="266"/>
      </w:r>
      <w:r w:rsidRPr="002F2B00">
        <w:t xml:space="preserve"> and the </w:t>
      </w:r>
      <w:r w:rsidR="009C6416" w:rsidRPr="002F2B00">
        <w:t xml:space="preserve">proposed </w:t>
      </w:r>
      <w:r w:rsidRPr="002F2B00">
        <w:t>cessation of other legal proceedings,</w:t>
      </w:r>
      <w:r w:rsidRPr="002F2B00">
        <w:rPr>
          <w:rStyle w:val="FootnoteReference"/>
        </w:rPr>
        <w:footnoteReference w:id="267"/>
      </w:r>
      <w:r w:rsidRPr="002F2B00">
        <w:t xml:space="preserve"> raised concerns that there will be no recourse to justice for other Troubles-related offences, in particular sexual offences. This would discriminately affect women. </w:t>
      </w:r>
    </w:p>
    <w:p w14:paraId="6A6222DD" w14:textId="77777777" w:rsidR="00234DD8" w:rsidRPr="002F2B00" w:rsidRDefault="00234DD8" w:rsidP="00234DD8">
      <w:pPr>
        <w:pStyle w:val="ListParagraph"/>
      </w:pPr>
    </w:p>
    <w:p w14:paraId="6868A838" w14:textId="14C21A33" w:rsidR="00755F60" w:rsidRPr="002F2B00" w:rsidRDefault="00234DD8" w:rsidP="00755F60">
      <w:pPr>
        <w:pStyle w:val="ListParagraph"/>
        <w:numPr>
          <w:ilvl w:val="1"/>
          <w:numId w:val="35"/>
        </w:numPr>
      </w:pPr>
      <w:r w:rsidRPr="002F2B00">
        <w:t xml:space="preserve">An amendment was added </w:t>
      </w:r>
      <w:r w:rsidR="009C6416" w:rsidRPr="002F2B00">
        <w:t xml:space="preserve">to the current draft of the Bill </w:t>
      </w:r>
      <w:r w:rsidRPr="002F2B00">
        <w:t xml:space="preserve">that </w:t>
      </w:r>
      <w:r w:rsidR="00601C26" w:rsidRPr="002F2B00">
        <w:t xml:space="preserve">expressly </w:t>
      </w:r>
      <w:r w:rsidR="009C6416" w:rsidRPr="002F2B00">
        <w:t>proposes</w:t>
      </w:r>
      <w:r w:rsidR="00AD5F8D" w:rsidRPr="002F2B00">
        <w:t xml:space="preserve"> that there is</w:t>
      </w:r>
      <w:r w:rsidR="009C6416" w:rsidRPr="002F2B00">
        <w:t xml:space="preserve"> </w:t>
      </w:r>
      <w:r w:rsidR="00444C20" w:rsidRPr="002F2B00">
        <w:t>no immunity from prosecution for Troubles-related sexual offences</w:t>
      </w:r>
      <w:r w:rsidR="002F3BA8" w:rsidRPr="002F2B00">
        <w:t xml:space="preserve"> or </w:t>
      </w:r>
      <w:r w:rsidR="00127862" w:rsidRPr="002F2B00">
        <w:t>a Troubles-related</w:t>
      </w:r>
      <w:r w:rsidR="002F3BA8" w:rsidRPr="002F2B00">
        <w:t xml:space="preserve"> inchoate offence relating to a sexual offence</w:t>
      </w:r>
      <w:r w:rsidRPr="002F2B00">
        <w:t>.</w:t>
      </w:r>
      <w:r w:rsidRPr="002F2B00">
        <w:rPr>
          <w:rStyle w:val="FootnoteReference"/>
        </w:rPr>
        <w:footnoteReference w:id="268"/>
      </w:r>
      <w:r w:rsidRPr="002F2B00">
        <w:t xml:space="preserve"> </w:t>
      </w:r>
      <w:r w:rsidR="0064392B" w:rsidRPr="002F2B00">
        <w:t xml:space="preserve">The </w:t>
      </w:r>
      <w:r w:rsidR="00AD5F8D" w:rsidRPr="002F2B00">
        <w:t xml:space="preserve">present </w:t>
      </w:r>
      <w:r w:rsidR="0064392B" w:rsidRPr="002F2B00">
        <w:t xml:space="preserve">Bill </w:t>
      </w:r>
      <w:r w:rsidR="00AD5F8D" w:rsidRPr="002F2B00">
        <w:t xml:space="preserve">proposes to include </w:t>
      </w:r>
      <w:r w:rsidR="0064392B" w:rsidRPr="002F2B00">
        <w:t xml:space="preserve">some guidance on what qualifies as such offences, but </w:t>
      </w:r>
      <w:r w:rsidR="00AD5F8D" w:rsidRPr="002F2B00">
        <w:t xml:space="preserve">that </w:t>
      </w:r>
      <w:r w:rsidR="0064392B" w:rsidRPr="002F2B00">
        <w:t>t</w:t>
      </w:r>
      <w:r w:rsidR="00127862" w:rsidRPr="002F2B00">
        <w:t xml:space="preserve">he Secretary of State </w:t>
      </w:r>
      <w:r w:rsidR="0064392B" w:rsidRPr="002F2B00">
        <w:t xml:space="preserve">may </w:t>
      </w:r>
      <w:r w:rsidR="00601C26" w:rsidRPr="002F2B00">
        <w:t xml:space="preserve">also </w:t>
      </w:r>
      <w:r w:rsidR="0064392B" w:rsidRPr="002F2B00">
        <w:t>make regulations on the meaning of these offences.</w:t>
      </w:r>
      <w:r w:rsidR="00C17404" w:rsidRPr="002F2B00">
        <w:rPr>
          <w:rStyle w:val="FootnoteReference"/>
        </w:rPr>
        <w:footnoteReference w:id="269"/>
      </w:r>
      <w:r w:rsidR="00127862" w:rsidRPr="002F2B00">
        <w:t xml:space="preserve"> </w:t>
      </w:r>
    </w:p>
    <w:p w14:paraId="120A565F" w14:textId="77777777" w:rsidR="00755F60" w:rsidRPr="002F2B00" w:rsidRDefault="00755F60" w:rsidP="00755F60">
      <w:pPr>
        <w:pStyle w:val="ListParagraph"/>
        <w:rPr>
          <w:b/>
          <w:bCs/>
        </w:rPr>
      </w:pPr>
    </w:p>
    <w:p w14:paraId="493597AA" w14:textId="019983DA" w:rsidR="00234DD8" w:rsidRPr="002F2B00" w:rsidRDefault="00234DD8" w:rsidP="00873269">
      <w:pPr>
        <w:pStyle w:val="ListParagraph"/>
        <w:numPr>
          <w:ilvl w:val="1"/>
          <w:numId w:val="35"/>
        </w:numPr>
        <w:rPr>
          <w:b/>
          <w:bCs/>
        </w:rPr>
      </w:pPr>
      <w:r w:rsidRPr="002F2B00">
        <w:rPr>
          <w:b/>
          <w:bCs/>
        </w:rPr>
        <w:t xml:space="preserve">The NIHRC </w:t>
      </w:r>
      <w:r w:rsidR="00873269" w:rsidRPr="002F2B00">
        <w:rPr>
          <w:b/>
          <w:bCs/>
        </w:rPr>
        <w:t>advises that</w:t>
      </w:r>
      <w:r w:rsidR="00D60457" w:rsidRPr="002F2B00">
        <w:rPr>
          <w:b/>
          <w:bCs/>
        </w:rPr>
        <w:t>, while welcomed,</w:t>
      </w:r>
      <w:r w:rsidR="00873269" w:rsidRPr="002F2B00">
        <w:rPr>
          <w:b/>
          <w:bCs/>
        </w:rPr>
        <w:t xml:space="preserve"> </w:t>
      </w:r>
      <w:r w:rsidR="00B27C92" w:rsidRPr="002F2B00">
        <w:rPr>
          <w:b/>
          <w:bCs/>
        </w:rPr>
        <w:t xml:space="preserve">excluding </w:t>
      </w:r>
      <w:r w:rsidR="0007248F" w:rsidRPr="002F2B00">
        <w:rPr>
          <w:b/>
          <w:bCs/>
        </w:rPr>
        <w:t>Troubles-related sexual offences</w:t>
      </w:r>
      <w:r w:rsidR="00B27C92" w:rsidRPr="002F2B00">
        <w:rPr>
          <w:b/>
          <w:bCs/>
        </w:rPr>
        <w:t xml:space="preserve"> from the immunity scheme</w:t>
      </w:r>
      <w:r w:rsidR="00873269" w:rsidRPr="002F2B00">
        <w:rPr>
          <w:b/>
          <w:bCs/>
        </w:rPr>
        <w:t xml:space="preserve"> is insufficient to overcome its </w:t>
      </w:r>
      <w:r w:rsidR="00687859" w:rsidRPr="002F2B00">
        <w:rPr>
          <w:b/>
          <w:bCs/>
        </w:rPr>
        <w:t xml:space="preserve">broader </w:t>
      </w:r>
      <w:r w:rsidR="00873269" w:rsidRPr="002F2B00">
        <w:rPr>
          <w:b/>
          <w:bCs/>
        </w:rPr>
        <w:t>concerns about the immunity scheme</w:t>
      </w:r>
      <w:r w:rsidR="00D60457" w:rsidRPr="002F2B00">
        <w:rPr>
          <w:b/>
          <w:bCs/>
        </w:rPr>
        <w:t xml:space="preserve"> proposed by the present Bill</w:t>
      </w:r>
      <w:r w:rsidR="00873269" w:rsidRPr="002F2B00">
        <w:rPr>
          <w:b/>
          <w:bCs/>
        </w:rPr>
        <w:t>.</w:t>
      </w:r>
    </w:p>
    <w:p w14:paraId="198F19D9" w14:textId="77777777" w:rsidR="00D14D7B" w:rsidRPr="002F2B00" w:rsidRDefault="00D14D7B"/>
    <w:p w14:paraId="21DF6C08" w14:textId="5B441C56" w:rsidR="00D14D7B" w:rsidRPr="002F2B00" w:rsidRDefault="008D26E8" w:rsidP="00D14D7B">
      <w:pPr>
        <w:pStyle w:val="Heading1"/>
      </w:pPr>
      <w:bookmarkStart w:id="29" w:name="_Toc106290061"/>
      <w:bookmarkStart w:id="30" w:name="_Toc113517959"/>
      <w:r w:rsidRPr="002F2B00">
        <w:t>5</w:t>
      </w:r>
      <w:r w:rsidR="00D14D7B" w:rsidRPr="002F2B00">
        <w:t xml:space="preserve">.0 </w:t>
      </w:r>
      <w:r w:rsidR="00D14D7B" w:rsidRPr="002F2B00">
        <w:tab/>
        <w:t>Cessation of Proceedings</w:t>
      </w:r>
      <w:bookmarkEnd w:id="29"/>
      <w:bookmarkEnd w:id="30"/>
    </w:p>
    <w:p w14:paraId="64E6ACB2" w14:textId="45398346" w:rsidR="00744D26" w:rsidRPr="002F2B00" w:rsidRDefault="00966AF2" w:rsidP="00A76B14">
      <w:pPr>
        <w:ind w:left="720" w:hanging="720"/>
      </w:pPr>
      <w:r w:rsidRPr="002F2B00">
        <w:t>5</w:t>
      </w:r>
      <w:r w:rsidR="00D14D7B" w:rsidRPr="002F2B00">
        <w:t>.1</w:t>
      </w:r>
      <w:r w:rsidR="00D14D7B" w:rsidRPr="002F2B00">
        <w:tab/>
      </w:r>
      <w:r w:rsidR="009A2D6D" w:rsidRPr="002F2B00">
        <w:t>The r</w:t>
      </w:r>
      <w:r w:rsidR="00A76B14" w:rsidRPr="002F2B00">
        <w:t xml:space="preserve">ight of access to courts and tribunals is </w:t>
      </w:r>
      <w:r w:rsidR="009A2D6D" w:rsidRPr="002F2B00">
        <w:t xml:space="preserve">an integral part of the </w:t>
      </w:r>
      <w:r w:rsidR="001F5DF2" w:rsidRPr="002F2B00">
        <w:t>right to a fair trial</w:t>
      </w:r>
      <w:r w:rsidR="00A76B14" w:rsidRPr="002F2B00">
        <w:t>,</w:t>
      </w:r>
      <w:r w:rsidR="00F64A57" w:rsidRPr="002F2B00">
        <w:rPr>
          <w:rStyle w:val="FootnoteReference"/>
        </w:rPr>
        <w:footnoteReference w:id="270"/>
      </w:r>
      <w:r w:rsidR="00A76B14" w:rsidRPr="002F2B00">
        <w:t xml:space="preserve"> enabling any claim relating to a person’s civil rights and obligations be brought before a court or tribunal.</w:t>
      </w:r>
      <w:r w:rsidR="00A76B14" w:rsidRPr="002F2B00">
        <w:rPr>
          <w:vertAlign w:val="superscript"/>
        </w:rPr>
        <w:footnoteReference w:id="271"/>
      </w:r>
      <w:r w:rsidR="00A76B14" w:rsidRPr="002F2B00">
        <w:t xml:space="preserve"> This right is not absolute and may be subject to limitations. However, </w:t>
      </w:r>
      <w:r w:rsidR="00A76B14" w:rsidRPr="002F2B00">
        <w:lastRenderedPageBreak/>
        <w:t>limitations “must not restrict or reduce the access left to the individual in such a way or to such an extent that very essence of the right is impaired”.</w:t>
      </w:r>
      <w:r w:rsidR="00A76B14" w:rsidRPr="002F2B00">
        <w:rPr>
          <w:vertAlign w:val="superscript"/>
        </w:rPr>
        <w:footnoteReference w:id="272"/>
      </w:r>
    </w:p>
    <w:p w14:paraId="4A6DF264" w14:textId="76F8B79F" w:rsidR="00744D26" w:rsidRPr="002F2B00" w:rsidRDefault="00744D26" w:rsidP="00A76B14">
      <w:pPr>
        <w:ind w:left="720" w:hanging="720"/>
      </w:pPr>
    </w:p>
    <w:p w14:paraId="3EA95209" w14:textId="0B226836" w:rsidR="00744D26" w:rsidRPr="002F2B00" w:rsidRDefault="00744D26" w:rsidP="00A76B14">
      <w:pPr>
        <w:ind w:left="720" w:hanging="720"/>
      </w:pPr>
      <w:r w:rsidRPr="002F2B00">
        <w:t>5.2</w:t>
      </w:r>
      <w:r w:rsidRPr="002F2B00">
        <w:tab/>
      </w:r>
      <w:r w:rsidR="0098699F" w:rsidRPr="002F2B00">
        <w:t xml:space="preserve">It is also well established that </w:t>
      </w:r>
      <w:r w:rsidR="00943390" w:rsidRPr="002F2B00">
        <w:t>‘possessions’</w:t>
      </w:r>
      <w:r w:rsidR="00DF63B6" w:rsidRPr="002F2B00">
        <w:t>,</w:t>
      </w:r>
      <w:r w:rsidR="00943390" w:rsidRPr="002F2B00">
        <w:t xml:space="preserve"> as provided for within t</w:t>
      </w:r>
      <w:r w:rsidRPr="002F2B00">
        <w:t>he right to property</w:t>
      </w:r>
      <w:r w:rsidR="00DF63B6" w:rsidRPr="002F2B00">
        <w:t>,</w:t>
      </w:r>
      <w:r w:rsidR="00212970" w:rsidRPr="002F2B00">
        <w:rPr>
          <w:rStyle w:val="FootnoteReference"/>
        </w:rPr>
        <w:footnoteReference w:id="273"/>
      </w:r>
      <w:r w:rsidR="008D5307" w:rsidRPr="002F2B00">
        <w:t xml:space="preserve"> </w:t>
      </w:r>
      <w:r w:rsidR="00943390" w:rsidRPr="002F2B00">
        <w:t xml:space="preserve">can encompass legal claims </w:t>
      </w:r>
      <w:r w:rsidR="00E04400" w:rsidRPr="002F2B00">
        <w:t>provided that the individual invoking the right can establish that the claim has sufficient basis in domestic law.</w:t>
      </w:r>
      <w:r w:rsidR="00E04400" w:rsidRPr="002F2B00">
        <w:rPr>
          <w:rStyle w:val="FootnoteReference"/>
        </w:rPr>
        <w:footnoteReference w:id="274"/>
      </w:r>
      <w:r w:rsidR="00E04400" w:rsidRPr="002F2B00">
        <w:t xml:space="preserve"> </w:t>
      </w:r>
    </w:p>
    <w:p w14:paraId="2845379C" w14:textId="02731299" w:rsidR="00A76B14" w:rsidRPr="002F2B00" w:rsidRDefault="00A76B14" w:rsidP="00A76B14">
      <w:pPr>
        <w:ind w:left="720" w:hanging="720"/>
      </w:pPr>
    </w:p>
    <w:p w14:paraId="106CD26F" w14:textId="1E964782" w:rsidR="00B239F6" w:rsidRPr="002F2B00" w:rsidRDefault="00966AF2" w:rsidP="00744D26">
      <w:pPr>
        <w:ind w:left="720" w:hanging="720"/>
      </w:pPr>
      <w:r w:rsidRPr="002F2B00">
        <w:t>5</w:t>
      </w:r>
      <w:r w:rsidR="00A76B14" w:rsidRPr="002F2B00">
        <w:t>.</w:t>
      </w:r>
      <w:r w:rsidR="00EF2A10" w:rsidRPr="002F2B00">
        <w:t>3</w:t>
      </w:r>
      <w:r w:rsidR="00A76B14" w:rsidRPr="002F2B00">
        <w:tab/>
        <w:t>Article 13 of the ECHR (right to an effective remedy) has a close relationship with Articles 2 and 3 of the ECHR.</w:t>
      </w:r>
      <w:r w:rsidR="00A76B14" w:rsidRPr="002F2B00">
        <w:rPr>
          <w:vertAlign w:val="superscript"/>
        </w:rPr>
        <w:footnoteReference w:id="275"/>
      </w:r>
      <w:r w:rsidR="00A76B14" w:rsidRPr="002F2B00">
        <w:t xml:space="preserve"> </w:t>
      </w:r>
      <w:r w:rsidR="00A76B14" w:rsidRPr="002F2B00">
        <w:rPr>
          <w:szCs w:val="24"/>
        </w:rPr>
        <w:t>For a remedy to be effective it must be accessible, capable of providing redress in respect of the complaint and offer a reasonable prospect of success.</w:t>
      </w:r>
      <w:r w:rsidR="00A76B14" w:rsidRPr="002F2B00">
        <w:rPr>
          <w:rStyle w:val="FootnoteReference"/>
          <w:szCs w:val="24"/>
        </w:rPr>
        <w:footnoteReference w:id="276"/>
      </w:r>
      <w:r w:rsidR="00A76B14" w:rsidRPr="002F2B00">
        <w:rPr>
          <w:szCs w:val="24"/>
        </w:rPr>
        <w:t xml:space="preserve"> In other words, it must be available, sufficient, and effective in theory and practice, having regard to the individual circumstances of the case.</w:t>
      </w:r>
      <w:r w:rsidR="00A76B14" w:rsidRPr="002F2B00">
        <w:rPr>
          <w:rStyle w:val="FootnoteReference"/>
          <w:szCs w:val="24"/>
        </w:rPr>
        <w:footnoteReference w:id="277"/>
      </w:r>
    </w:p>
    <w:p w14:paraId="379FEA5C" w14:textId="26336978" w:rsidR="004748EB" w:rsidRPr="002F2B00" w:rsidRDefault="004748EB" w:rsidP="004748EB">
      <w:pPr>
        <w:ind w:left="720" w:hanging="720"/>
        <w:rPr>
          <w:szCs w:val="24"/>
        </w:rPr>
      </w:pPr>
    </w:p>
    <w:p w14:paraId="246E0D30" w14:textId="00F2F77F" w:rsidR="00145892" w:rsidRDefault="00966AF2" w:rsidP="00145892">
      <w:pPr>
        <w:ind w:left="720" w:hanging="720"/>
        <w:rPr>
          <w:rFonts w:cs="Times New Roman"/>
          <w:lang w:eastAsia="en-GB"/>
        </w:rPr>
      </w:pPr>
      <w:r w:rsidRPr="002F2B00">
        <w:rPr>
          <w:szCs w:val="24"/>
        </w:rPr>
        <w:t>5</w:t>
      </w:r>
      <w:r w:rsidR="004748EB" w:rsidRPr="002F2B00">
        <w:rPr>
          <w:szCs w:val="24"/>
        </w:rPr>
        <w:t>.</w:t>
      </w:r>
      <w:r w:rsidR="00EF2A10" w:rsidRPr="002F2B00">
        <w:rPr>
          <w:szCs w:val="24"/>
        </w:rPr>
        <w:t>4</w:t>
      </w:r>
      <w:r w:rsidR="004748EB" w:rsidRPr="002F2B00">
        <w:rPr>
          <w:szCs w:val="24"/>
        </w:rPr>
        <w:tab/>
        <w:t xml:space="preserve">The Belfast (Good Friday) Agreement </w:t>
      </w:r>
      <w:r w:rsidR="009A2D6D" w:rsidRPr="002F2B00">
        <w:rPr>
          <w:rFonts w:eastAsia="Verdana"/>
        </w:rPr>
        <w:t>required</w:t>
      </w:r>
      <w:r w:rsidR="004748EB" w:rsidRPr="002F2B00">
        <w:rPr>
          <w:rFonts w:eastAsia="Verdana"/>
        </w:rPr>
        <w:t xml:space="preserve"> the UK Government to incorporate the ECHR into NI law</w:t>
      </w:r>
      <w:r w:rsidR="00987CCD" w:rsidRPr="002F2B00">
        <w:rPr>
          <w:rFonts w:eastAsia="Verdana"/>
        </w:rPr>
        <w:t xml:space="preserve"> and to do so</w:t>
      </w:r>
      <w:r w:rsidR="009A2D6D" w:rsidRPr="002F2B00">
        <w:rPr>
          <w:rFonts w:eastAsia="Verdana"/>
        </w:rPr>
        <w:t xml:space="preserve"> to provide people with </w:t>
      </w:r>
      <w:r w:rsidR="004748EB" w:rsidRPr="002F2B00">
        <w:rPr>
          <w:rFonts w:eastAsia="Verdana"/>
        </w:rPr>
        <w:t>“direct access to the courts, and remedies for breach of the Convention, including power for the courts to overrule Assembly legislation on grounds of inconsistency”.</w:t>
      </w:r>
      <w:r w:rsidR="004748EB" w:rsidRPr="002F2B00">
        <w:rPr>
          <w:rStyle w:val="FootnoteReference"/>
          <w:rFonts w:eastAsia="Verdana"/>
        </w:rPr>
        <w:footnoteReference w:id="278"/>
      </w:r>
      <w:r w:rsidR="004748EB" w:rsidRPr="002F2B00">
        <w:rPr>
          <w:rFonts w:ascii="Times New Roman" w:hAnsi="Times New Roman" w:cs="Times New Roman"/>
          <w:lang w:eastAsia="en-GB"/>
        </w:rPr>
        <w:t xml:space="preserve"> </w:t>
      </w:r>
      <w:r w:rsidR="0005736F" w:rsidRPr="002F2B00">
        <w:rPr>
          <w:rFonts w:cs="Times New Roman"/>
          <w:lang w:eastAsia="en-GB"/>
        </w:rPr>
        <w:t xml:space="preserve">The Human Rights Act 1998 </w:t>
      </w:r>
      <w:r w:rsidR="008F4A0D" w:rsidRPr="002F2B00">
        <w:rPr>
          <w:rFonts w:cs="Times New Roman"/>
          <w:lang w:eastAsia="en-GB"/>
        </w:rPr>
        <w:t>provides this</w:t>
      </w:r>
      <w:r w:rsidR="009A2D6D" w:rsidRPr="002F2B00">
        <w:rPr>
          <w:rFonts w:cs="Times New Roman"/>
          <w:lang w:eastAsia="en-GB"/>
        </w:rPr>
        <w:t xml:space="preserve"> access, which is now to be undermined critically by this </w:t>
      </w:r>
      <w:r w:rsidR="008F4A0D" w:rsidRPr="002F2B00">
        <w:rPr>
          <w:rFonts w:cs="Times New Roman"/>
          <w:lang w:eastAsia="en-GB"/>
        </w:rPr>
        <w:t xml:space="preserve">present </w:t>
      </w:r>
      <w:r w:rsidR="009A2D6D" w:rsidRPr="002F2B00">
        <w:rPr>
          <w:rFonts w:cs="Times New Roman"/>
          <w:lang w:eastAsia="en-GB"/>
        </w:rPr>
        <w:t xml:space="preserve">Bill. </w:t>
      </w:r>
    </w:p>
    <w:p w14:paraId="040D665B" w14:textId="77777777" w:rsidR="00990BE8" w:rsidRDefault="00990BE8" w:rsidP="00145892">
      <w:pPr>
        <w:ind w:left="720" w:hanging="720"/>
        <w:rPr>
          <w:szCs w:val="24"/>
        </w:rPr>
      </w:pPr>
    </w:p>
    <w:p w14:paraId="4DE63EA4" w14:textId="605A4B6B" w:rsidR="00A355B8" w:rsidRPr="002F2B00" w:rsidRDefault="00145892" w:rsidP="00145892">
      <w:pPr>
        <w:ind w:left="720" w:hanging="720"/>
        <w:rPr>
          <w:szCs w:val="24"/>
        </w:rPr>
      </w:pPr>
      <w:r>
        <w:rPr>
          <w:szCs w:val="24"/>
        </w:rPr>
        <w:t>5.5</w:t>
      </w:r>
      <w:r>
        <w:rPr>
          <w:szCs w:val="24"/>
        </w:rPr>
        <w:tab/>
      </w:r>
      <w:r w:rsidR="001863EF">
        <w:t>The right to an</w:t>
      </w:r>
      <w:r w:rsidR="00786EEA">
        <w:t xml:space="preserve"> effective</w:t>
      </w:r>
      <w:r w:rsidR="001863EF">
        <w:t xml:space="preserve"> remedy</w:t>
      </w:r>
      <w:r w:rsidR="00786EEA">
        <w:t xml:space="preserve"> is</w:t>
      </w:r>
      <w:r w:rsidR="001863EF">
        <w:t xml:space="preserve"> recognised as a general principle of EU law</w:t>
      </w:r>
      <w:r w:rsidR="003050C0">
        <w:rPr>
          <w:rStyle w:val="FootnoteReference"/>
        </w:rPr>
        <w:footnoteReference w:id="279"/>
      </w:r>
      <w:r w:rsidR="00C11A26">
        <w:t>, retained under the EU Withdrawal Act 2018</w:t>
      </w:r>
      <w:r w:rsidR="00252F61">
        <w:t>.</w:t>
      </w:r>
      <w:r w:rsidR="006E248E">
        <w:rPr>
          <w:rStyle w:val="FootnoteReference"/>
        </w:rPr>
        <w:footnoteReference w:id="280"/>
      </w:r>
      <w:r w:rsidR="006E248E">
        <w:t xml:space="preserve"> </w:t>
      </w:r>
      <w:r w:rsidR="0033576C">
        <w:t xml:space="preserve">It is also </w:t>
      </w:r>
      <w:r w:rsidR="006E248E">
        <w:t>relevant to the interpretation of</w:t>
      </w:r>
      <w:r w:rsidR="001863EF">
        <w:t xml:space="preserve"> </w:t>
      </w:r>
      <w:r w:rsidR="006E248E">
        <w:t>t</w:t>
      </w:r>
      <w:r w:rsidR="00A355B8">
        <w:t>he Victims’ Directive</w:t>
      </w:r>
      <w:r w:rsidR="00A355B8" w:rsidRPr="009D223F">
        <w:rPr>
          <w:rStyle w:val="FootnoteReference"/>
        </w:rPr>
        <w:footnoteReference w:id="281"/>
      </w:r>
      <w:r w:rsidR="00A355B8">
        <w:t xml:space="preserve"> </w:t>
      </w:r>
      <w:r w:rsidR="006E248E">
        <w:t xml:space="preserve">which has been </w:t>
      </w:r>
      <w:r w:rsidR="00A355B8">
        <w:t xml:space="preserve">recognised by the Government as falling within the scope of the Protocol Article 2 ‘no diminution of rights’ commitment. </w:t>
      </w:r>
    </w:p>
    <w:p w14:paraId="3D007310" w14:textId="77777777" w:rsidR="00A76B14" w:rsidRPr="002F2B00" w:rsidRDefault="00A76B14" w:rsidP="005C7F9A"/>
    <w:p w14:paraId="13402C5A" w14:textId="71C1C5F7" w:rsidR="00D14D7B" w:rsidRPr="002F2B00" w:rsidRDefault="00966AF2" w:rsidP="00A76B14">
      <w:pPr>
        <w:ind w:left="720" w:hanging="720"/>
      </w:pPr>
      <w:r w:rsidRPr="002F2B00">
        <w:lastRenderedPageBreak/>
        <w:t>5</w:t>
      </w:r>
      <w:r w:rsidR="00A76B14" w:rsidRPr="002F2B00">
        <w:t>.</w:t>
      </w:r>
      <w:r w:rsidR="00145892">
        <w:t>6</w:t>
      </w:r>
      <w:r w:rsidR="00145892">
        <w:tab/>
      </w:r>
      <w:r w:rsidR="008E72B0" w:rsidRPr="002F2B00">
        <w:t xml:space="preserve">The </w:t>
      </w:r>
      <w:r w:rsidR="00B405FE" w:rsidRPr="002F2B00">
        <w:t xml:space="preserve">current draft of the </w:t>
      </w:r>
      <w:r w:rsidR="008E72B0" w:rsidRPr="002F2B00">
        <w:t>Bill proposes to i</w:t>
      </w:r>
      <w:r w:rsidR="00D14D7B" w:rsidRPr="002F2B00">
        <w:t>mmediately ceas</w:t>
      </w:r>
      <w:r w:rsidR="009C7B2A" w:rsidRPr="002F2B00">
        <w:t>e</w:t>
      </w:r>
      <w:r w:rsidR="00D14D7B" w:rsidRPr="002F2B00">
        <w:t xml:space="preserve"> criminal investigations (other than those referred by the ICRIR to the prosecutor), police complaints, civil proceedings and inquests/inquiries </w:t>
      </w:r>
      <w:r w:rsidR="008E72B0" w:rsidRPr="002F2B00">
        <w:t>linked to Troubles-related offences.</w:t>
      </w:r>
      <w:r w:rsidR="00843D16" w:rsidRPr="002F2B00">
        <w:rPr>
          <w:rStyle w:val="FootnoteReference"/>
        </w:rPr>
        <w:footnoteReference w:id="282"/>
      </w:r>
      <w:r w:rsidR="008E72B0" w:rsidRPr="002F2B00">
        <w:t xml:space="preserve"> </w:t>
      </w:r>
      <w:r w:rsidR="00B405FE" w:rsidRPr="002F2B00">
        <w:t xml:space="preserve">There is a real risk that </w:t>
      </w:r>
      <w:r w:rsidR="002D06B1" w:rsidRPr="002F2B00">
        <w:t>such proposals will mean p</w:t>
      </w:r>
      <w:r w:rsidR="009A2D6D" w:rsidRPr="002F2B00">
        <w:t>etitioning t</w:t>
      </w:r>
      <w:r w:rsidR="00D14D7B" w:rsidRPr="002F2B00">
        <w:t xml:space="preserve">he ECtHR </w:t>
      </w:r>
      <w:r w:rsidR="009A2D6D" w:rsidRPr="002F2B00">
        <w:t xml:space="preserve">will become </w:t>
      </w:r>
      <w:r w:rsidR="00D14D7B" w:rsidRPr="002F2B00">
        <w:t xml:space="preserve">the only </w:t>
      </w:r>
      <w:r w:rsidR="009A2D6D" w:rsidRPr="002F2B00">
        <w:t xml:space="preserve">viable route to raising breaches. </w:t>
      </w:r>
      <w:r w:rsidR="009E6551" w:rsidRPr="002F2B00">
        <w:t>State</w:t>
      </w:r>
      <w:r w:rsidR="004C5CDC" w:rsidRPr="002F2B00">
        <w:t>s</w:t>
      </w:r>
      <w:r w:rsidR="009E6551" w:rsidRPr="002F2B00">
        <w:t xml:space="preserve"> </w:t>
      </w:r>
      <w:r w:rsidR="004C5CDC" w:rsidRPr="002F2B00">
        <w:t>“have the primary responsibility to secure the rights and freedoms” defined within the ECHR</w:t>
      </w:r>
      <w:r w:rsidR="00590D78" w:rsidRPr="002F2B00">
        <w:t>.</w:t>
      </w:r>
      <w:r w:rsidR="00F213E8" w:rsidRPr="002F2B00">
        <w:rPr>
          <w:rStyle w:val="FootnoteReference"/>
        </w:rPr>
        <w:footnoteReference w:id="283"/>
      </w:r>
      <w:r w:rsidR="00590D78" w:rsidRPr="002F2B00">
        <w:t xml:space="preserve"> </w:t>
      </w:r>
      <w:r w:rsidR="00D14D7B" w:rsidRPr="002F2B00">
        <w:t xml:space="preserve">ECtHR judgments are not enforceable, instead relying on State-initiated compliance. Considering the UK Government’s approach to existing </w:t>
      </w:r>
      <w:r w:rsidR="00504B7F" w:rsidRPr="002F2B00">
        <w:t xml:space="preserve">Troubles-related </w:t>
      </w:r>
      <w:r w:rsidR="00D14D7B" w:rsidRPr="002F2B00">
        <w:t>judgments,</w:t>
      </w:r>
      <w:r w:rsidR="002623F9" w:rsidRPr="002F2B00">
        <w:rPr>
          <w:rStyle w:val="FootnoteReference"/>
        </w:rPr>
        <w:footnoteReference w:id="284"/>
      </w:r>
      <w:r w:rsidR="00D14D7B" w:rsidRPr="002F2B00">
        <w:t xml:space="preserve"> </w:t>
      </w:r>
      <w:r w:rsidR="00016FE6" w:rsidRPr="002F2B00">
        <w:t xml:space="preserve">there is a real risk that any </w:t>
      </w:r>
      <w:r w:rsidR="00D14D7B" w:rsidRPr="002F2B00">
        <w:t xml:space="preserve">related ECtHR ruling </w:t>
      </w:r>
      <w:r w:rsidR="00016FE6" w:rsidRPr="002F2B00">
        <w:t xml:space="preserve">would be </w:t>
      </w:r>
      <w:r w:rsidR="00D14D7B" w:rsidRPr="002F2B00">
        <w:t>disregarded or only partially adhered to.</w:t>
      </w:r>
    </w:p>
    <w:p w14:paraId="6C5EE180" w14:textId="54ED8A0C" w:rsidR="000C4F4D" w:rsidRPr="002F2B00" w:rsidRDefault="000C4F4D" w:rsidP="00A76B14">
      <w:pPr>
        <w:ind w:left="720" w:hanging="720"/>
      </w:pPr>
    </w:p>
    <w:p w14:paraId="13DC1521" w14:textId="441A5E4B" w:rsidR="007854CA" w:rsidRPr="002F2B00" w:rsidRDefault="006347D4" w:rsidP="00A76B14">
      <w:pPr>
        <w:ind w:left="720" w:hanging="720"/>
        <w:rPr>
          <w:rFonts w:cs="Arial"/>
          <w:szCs w:val="24"/>
        </w:rPr>
      </w:pPr>
      <w:r w:rsidRPr="002F2B00">
        <w:t>5.</w:t>
      </w:r>
      <w:r w:rsidR="00145892">
        <w:t>7</w:t>
      </w:r>
      <w:r w:rsidRPr="002F2B00">
        <w:tab/>
      </w:r>
      <w:r w:rsidRPr="002F2B00">
        <w:rPr>
          <w:szCs w:val="24"/>
        </w:rPr>
        <w:t xml:space="preserve">The UK Government’s proposed justification for ceasing other avenues of remedy </w:t>
      </w:r>
      <w:r w:rsidR="00C3534B" w:rsidRPr="002F2B00">
        <w:rPr>
          <w:szCs w:val="24"/>
        </w:rPr>
        <w:t xml:space="preserve">through the present Bill </w:t>
      </w:r>
      <w:r w:rsidRPr="002F2B00">
        <w:rPr>
          <w:szCs w:val="24"/>
        </w:rPr>
        <w:t xml:space="preserve">is </w:t>
      </w:r>
      <w:r w:rsidR="0073503B" w:rsidRPr="002F2B00">
        <w:rPr>
          <w:szCs w:val="24"/>
        </w:rPr>
        <w:t>“</w:t>
      </w:r>
      <w:r w:rsidR="0073503B" w:rsidRPr="002F2B00">
        <w:rPr>
          <w:rFonts w:cs="Arial"/>
          <w:szCs w:val="24"/>
          <w:shd w:val="clear" w:color="auto" w:fill="FFFFFF"/>
        </w:rPr>
        <w:t>that the current system has not been delivering for victims as we think they deserve”.</w:t>
      </w:r>
      <w:r w:rsidR="0073503B" w:rsidRPr="002F2B00">
        <w:rPr>
          <w:rStyle w:val="FootnoteReference"/>
          <w:rFonts w:cs="Arial"/>
          <w:szCs w:val="24"/>
          <w:shd w:val="clear" w:color="auto" w:fill="FFFFFF"/>
        </w:rPr>
        <w:footnoteReference w:id="285"/>
      </w:r>
      <w:r w:rsidR="00967539" w:rsidRPr="002F2B00">
        <w:rPr>
          <w:rFonts w:cs="Arial"/>
          <w:szCs w:val="24"/>
          <w:shd w:val="clear" w:color="auto" w:fill="FFFFFF"/>
        </w:rPr>
        <w:t xml:space="preserve"> </w:t>
      </w:r>
      <w:r w:rsidR="007854CA" w:rsidRPr="002F2B00">
        <w:rPr>
          <w:rFonts w:cs="Arial"/>
          <w:szCs w:val="24"/>
          <w:shd w:val="clear" w:color="auto" w:fill="FFFFFF"/>
        </w:rPr>
        <w:t xml:space="preserve">The </w:t>
      </w:r>
      <w:r w:rsidR="0006454F" w:rsidRPr="002F2B00">
        <w:rPr>
          <w:rFonts w:cs="Arial"/>
          <w:szCs w:val="24"/>
          <w:shd w:val="clear" w:color="auto" w:fill="FFFFFF"/>
        </w:rPr>
        <w:t xml:space="preserve">former </w:t>
      </w:r>
      <w:r w:rsidR="007854CA" w:rsidRPr="002F2B00">
        <w:rPr>
          <w:rFonts w:cs="Arial"/>
          <w:szCs w:val="24"/>
          <w:shd w:val="clear" w:color="auto" w:fill="FFFFFF"/>
        </w:rPr>
        <w:t>Secretary</w:t>
      </w:r>
      <w:r w:rsidR="00FB7A52" w:rsidRPr="002F2B00">
        <w:rPr>
          <w:rFonts w:cs="Arial"/>
          <w:szCs w:val="24"/>
          <w:shd w:val="clear" w:color="auto" w:fill="FFFFFF"/>
        </w:rPr>
        <w:t xml:space="preserve"> </w:t>
      </w:r>
      <w:r w:rsidR="007854CA" w:rsidRPr="002F2B00">
        <w:rPr>
          <w:rFonts w:cs="Arial"/>
          <w:szCs w:val="24"/>
          <w:shd w:val="clear" w:color="auto" w:fill="FFFFFF"/>
        </w:rPr>
        <w:t xml:space="preserve">of State for NI, Brandon Lewis MP, </w:t>
      </w:r>
      <w:r w:rsidR="00C363D2" w:rsidRPr="002F2B00">
        <w:rPr>
          <w:rFonts w:cs="Arial"/>
          <w:szCs w:val="24"/>
          <w:shd w:val="clear" w:color="auto" w:fill="FFFFFF"/>
        </w:rPr>
        <w:t>wa</w:t>
      </w:r>
      <w:r w:rsidR="007854CA" w:rsidRPr="002F2B00">
        <w:rPr>
          <w:rFonts w:cs="Arial"/>
          <w:szCs w:val="24"/>
          <w:shd w:val="clear" w:color="auto" w:fill="FFFFFF"/>
        </w:rPr>
        <w:t xml:space="preserve">s of the view that </w:t>
      </w:r>
      <w:r w:rsidR="00967539" w:rsidRPr="002F2B00">
        <w:rPr>
          <w:rFonts w:cs="Arial"/>
          <w:szCs w:val="24"/>
        </w:rPr>
        <w:t>because most Troubles cases were more than 40 years old, the chances of success were “vanishingly small”.</w:t>
      </w:r>
      <w:r w:rsidR="00967539" w:rsidRPr="002F2B00">
        <w:rPr>
          <w:rStyle w:val="FootnoteReference"/>
          <w:rFonts w:cs="Arial"/>
          <w:szCs w:val="24"/>
        </w:rPr>
        <w:footnoteReference w:id="286"/>
      </w:r>
      <w:r w:rsidR="007854CA" w:rsidRPr="002F2B00">
        <w:rPr>
          <w:rFonts w:cs="Arial"/>
          <w:szCs w:val="24"/>
        </w:rPr>
        <w:t xml:space="preserve"> The </w:t>
      </w:r>
      <w:r w:rsidR="004F4E2D" w:rsidRPr="002F2B00">
        <w:rPr>
          <w:rFonts w:cs="Arial"/>
          <w:szCs w:val="24"/>
        </w:rPr>
        <w:t xml:space="preserve">then </w:t>
      </w:r>
      <w:r w:rsidR="007854CA" w:rsidRPr="002F2B00">
        <w:rPr>
          <w:rFonts w:cs="Arial"/>
          <w:szCs w:val="24"/>
        </w:rPr>
        <w:t xml:space="preserve">Secretary of State for NI </w:t>
      </w:r>
      <w:r w:rsidR="004F4E2D" w:rsidRPr="002F2B00">
        <w:rPr>
          <w:rFonts w:cs="Arial"/>
          <w:szCs w:val="24"/>
        </w:rPr>
        <w:t xml:space="preserve">stated </w:t>
      </w:r>
      <w:r w:rsidR="007854CA" w:rsidRPr="002F2B00">
        <w:rPr>
          <w:rFonts w:cs="Arial"/>
          <w:szCs w:val="24"/>
        </w:rPr>
        <w:t>that:</w:t>
      </w:r>
    </w:p>
    <w:p w14:paraId="4F0AE11D" w14:textId="77777777" w:rsidR="007854CA" w:rsidRPr="002F2B00" w:rsidRDefault="007854CA" w:rsidP="00A76B14">
      <w:pPr>
        <w:ind w:left="720" w:hanging="720"/>
        <w:rPr>
          <w:rFonts w:cs="Arial"/>
          <w:szCs w:val="24"/>
        </w:rPr>
      </w:pPr>
    </w:p>
    <w:p w14:paraId="37D5CA99" w14:textId="00D59EB3" w:rsidR="006347D4" w:rsidRPr="002F2B00" w:rsidRDefault="007854CA" w:rsidP="00FB7A52">
      <w:pPr>
        <w:pStyle w:val="Quote"/>
      </w:pPr>
      <w:r w:rsidRPr="002F2B00">
        <w:t>faith in the criminal justice model to deal with legacy cases has been undermined. The high standard of proof required to secure a successful prosecution, combined with the passage of time and difficulty in securing sufficient evidence, means that victims and their families very rarely, if ever, obtain the outcome they seek from that process.</w:t>
      </w:r>
      <w:r w:rsidR="00FB7A52" w:rsidRPr="002F2B00">
        <w:rPr>
          <w:rStyle w:val="FootnoteReference"/>
        </w:rPr>
        <w:footnoteReference w:id="287"/>
      </w:r>
    </w:p>
    <w:p w14:paraId="1FF22A13" w14:textId="77777777" w:rsidR="00D14D7B" w:rsidRPr="002F2B00" w:rsidRDefault="00D14D7B" w:rsidP="00D14D7B"/>
    <w:p w14:paraId="43E399E7" w14:textId="1A065323" w:rsidR="00F80D61" w:rsidRPr="002F2B00" w:rsidRDefault="00966AF2" w:rsidP="00D14D7B">
      <w:pPr>
        <w:ind w:left="720" w:hanging="720"/>
      </w:pPr>
      <w:r w:rsidRPr="002F2B00">
        <w:t>5</w:t>
      </w:r>
      <w:r w:rsidR="00D14D7B" w:rsidRPr="002F2B00">
        <w:t>.</w:t>
      </w:r>
      <w:r w:rsidR="00145892">
        <w:t>8</w:t>
      </w:r>
      <w:r w:rsidR="00D14D7B" w:rsidRPr="002F2B00">
        <w:tab/>
      </w:r>
      <w:r w:rsidR="00FF6D05" w:rsidRPr="002F2B00">
        <w:t>The</w:t>
      </w:r>
      <w:r w:rsidR="00364CAD" w:rsidRPr="002F2B00">
        <w:t xml:space="preserve"> UK Government’s </w:t>
      </w:r>
      <w:r w:rsidR="00FF6D05" w:rsidRPr="002F2B00">
        <w:t>approach in th</w:t>
      </w:r>
      <w:r w:rsidR="00537948" w:rsidRPr="002F2B00">
        <w:t>e current draft of this</w:t>
      </w:r>
      <w:r w:rsidR="00FF6D05" w:rsidRPr="002F2B00">
        <w:t xml:space="preserve"> Bill </w:t>
      </w:r>
      <w:r w:rsidR="00364CAD" w:rsidRPr="002F2B00">
        <w:t>ignore</w:t>
      </w:r>
      <w:r w:rsidR="00FF6D05" w:rsidRPr="002F2B00">
        <w:t>s</w:t>
      </w:r>
      <w:r w:rsidR="00CA15A9" w:rsidRPr="002F2B00">
        <w:t xml:space="preserve"> </w:t>
      </w:r>
      <w:r w:rsidR="00F97A71" w:rsidRPr="002F2B00">
        <w:t>the progress that has been made with the existing system</w:t>
      </w:r>
      <w:r w:rsidR="00CA15A9" w:rsidRPr="002F2B00">
        <w:t xml:space="preserve">. In the NIHRC’s view, the existing system </w:t>
      </w:r>
      <w:r w:rsidR="00F97A71" w:rsidRPr="002F2B00">
        <w:t xml:space="preserve">should be </w:t>
      </w:r>
      <w:r w:rsidR="00610753" w:rsidRPr="002F2B00">
        <w:t>developed</w:t>
      </w:r>
      <w:r w:rsidR="00F97A71" w:rsidRPr="002F2B00">
        <w:t>, not</w:t>
      </w:r>
      <w:r w:rsidR="00EB4AFC" w:rsidRPr="002F2B00">
        <w:t xml:space="preserve"> regressed. </w:t>
      </w:r>
      <w:r w:rsidR="0069177A" w:rsidRPr="002F2B00">
        <w:t>T</w:t>
      </w:r>
      <w:r w:rsidR="00A3244F" w:rsidRPr="002F2B00">
        <w:t xml:space="preserve">here have been significant steps forward for </w:t>
      </w:r>
      <w:r w:rsidR="00E37395" w:rsidRPr="002F2B00">
        <w:t>several</w:t>
      </w:r>
      <w:r w:rsidR="00A3244F" w:rsidRPr="002F2B00">
        <w:t xml:space="preserve"> </w:t>
      </w:r>
      <w:r w:rsidR="00A3244F" w:rsidRPr="002F2B00">
        <w:lastRenderedPageBreak/>
        <w:t>families in uncovering the truth and seeking justice,</w:t>
      </w:r>
      <w:r w:rsidR="001A649A" w:rsidRPr="002F2B00">
        <w:rPr>
          <w:rStyle w:val="FootnoteReference"/>
        </w:rPr>
        <w:footnoteReference w:id="288"/>
      </w:r>
      <w:r w:rsidR="00A3244F" w:rsidRPr="002F2B00">
        <w:t xml:space="preserve"> which would not have been possible without the </w:t>
      </w:r>
      <w:r w:rsidR="00364CAD" w:rsidRPr="002F2B00">
        <w:t>existing</w:t>
      </w:r>
      <w:r w:rsidR="001A649A" w:rsidRPr="002F2B00">
        <w:t xml:space="preserve"> </w:t>
      </w:r>
      <w:r w:rsidR="00A3244F" w:rsidRPr="002F2B00">
        <w:t xml:space="preserve">systems in place. </w:t>
      </w:r>
      <w:r w:rsidR="00E37395" w:rsidRPr="002F2B00">
        <w:t xml:space="preserve">Victims and survivors have also been clear that, while they agree that the current system </w:t>
      </w:r>
      <w:r w:rsidR="00D36C97" w:rsidRPr="002F2B00">
        <w:t xml:space="preserve">is not delivering for victims as they deserve, the proposals made by this </w:t>
      </w:r>
      <w:r w:rsidR="00BB5085" w:rsidRPr="002F2B00">
        <w:t xml:space="preserve">present </w:t>
      </w:r>
      <w:r w:rsidR="00D36C97" w:rsidRPr="002F2B00">
        <w:t xml:space="preserve">Bill </w:t>
      </w:r>
      <w:r w:rsidR="00364CAD" w:rsidRPr="002F2B00">
        <w:t>by no means</w:t>
      </w:r>
      <w:r w:rsidR="004C1970" w:rsidRPr="002F2B00">
        <w:t xml:space="preserve"> remedy this</w:t>
      </w:r>
      <w:r w:rsidR="00DC5F90" w:rsidRPr="002F2B00">
        <w:t xml:space="preserve"> and </w:t>
      </w:r>
      <w:r w:rsidR="00610753" w:rsidRPr="002F2B00">
        <w:t>are</w:t>
      </w:r>
      <w:r w:rsidR="00092DBF" w:rsidRPr="002F2B00">
        <w:t xml:space="preserve"> instead viewed as “perpetrator focused”</w:t>
      </w:r>
      <w:r w:rsidR="009E6AFD" w:rsidRPr="002F2B00">
        <w:t>.</w:t>
      </w:r>
      <w:r w:rsidR="00092DBF" w:rsidRPr="002F2B00">
        <w:rPr>
          <w:rStyle w:val="FootnoteReference"/>
        </w:rPr>
        <w:footnoteReference w:id="289"/>
      </w:r>
      <w:r w:rsidR="009E6AFD" w:rsidRPr="002F2B00">
        <w:t xml:space="preserve"> </w:t>
      </w:r>
      <w:r w:rsidR="001A649A" w:rsidRPr="002F2B00">
        <w:t>It has been stated that</w:t>
      </w:r>
      <w:r w:rsidR="00F80D61" w:rsidRPr="002F2B00">
        <w:t>:</w:t>
      </w:r>
    </w:p>
    <w:p w14:paraId="02922D79" w14:textId="77777777" w:rsidR="00F80D61" w:rsidRPr="002F2B00" w:rsidRDefault="00F80D61" w:rsidP="00D14D7B">
      <w:pPr>
        <w:ind w:left="720" w:hanging="720"/>
      </w:pPr>
    </w:p>
    <w:p w14:paraId="75E12B68" w14:textId="77777777" w:rsidR="00F80D61" w:rsidRPr="002F2B00" w:rsidRDefault="001A649A" w:rsidP="00182369">
      <w:pPr>
        <w:pStyle w:val="Quote"/>
      </w:pPr>
      <w:r w:rsidRPr="002F2B00">
        <w:t>victims ultimately want justice and, if they do not want justice, they want some form of accountability for what happened to them. There is nothing within this [Bill] that provides that for them</w:t>
      </w:r>
      <w:r w:rsidR="00F80D61" w:rsidRPr="002F2B00">
        <w:t>…</w:t>
      </w:r>
    </w:p>
    <w:p w14:paraId="0F2E9C79" w14:textId="77777777" w:rsidR="00F80D61" w:rsidRPr="002F2B00" w:rsidRDefault="00F80D61" w:rsidP="00182369">
      <w:pPr>
        <w:pStyle w:val="Quote"/>
      </w:pPr>
    </w:p>
    <w:p w14:paraId="16E76782" w14:textId="0399DABA" w:rsidR="00D32ADD" w:rsidRPr="002F2B00" w:rsidRDefault="00F80D61" w:rsidP="00182369">
      <w:pPr>
        <w:pStyle w:val="Quote"/>
      </w:pPr>
      <w:r w:rsidRPr="002F2B00">
        <w:t xml:space="preserve">The majority of victims we support </w:t>
      </w:r>
      <w:r w:rsidR="00AC7DF6" w:rsidRPr="002F2B00">
        <w:t xml:space="preserve">[at the </w:t>
      </w:r>
      <w:proofErr w:type="gramStart"/>
      <w:r w:rsidR="00AC7DF6" w:rsidRPr="002F2B00">
        <w:rPr>
          <w:szCs w:val="24"/>
        </w:rPr>
        <w:t>South East</w:t>
      </w:r>
      <w:proofErr w:type="gramEnd"/>
      <w:r w:rsidR="00AC7DF6" w:rsidRPr="002F2B00">
        <w:rPr>
          <w:szCs w:val="24"/>
        </w:rPr>
        <w:t xml:space="preserve"> Fermanagh Foundation]</w:t>
      </w:r>
      <w:r w:rsidR="00AC7DF6" w:rsidRPr="002F2B00">
        <w:rPr>
          <w:color w:val="7030A0"/>
          <w:sz w:val="16"/>
          <w:szCs w:val="16"/>
        </w:rPr>
        <w:t xml:space="preserve"> </w:t>
      </w:r>
      <w:r w:rsidRPr="002F2B00">
        <w:t>know why their loved one was killed, they know the group that killed their loved one, they know where it happened and they know how it happened, but what they want to know is who is responsible…</w:t>
      </w:r>
      <w:r w:rsidR="00243A93" w:rsidRPr="002F2B00">
        <w:t xml:space="preserve"> That, to us, cannot be delivered [by this Bill].</w:t>
      </w:r>
      <w:r w:rsidR="001A649A" w:rsidRPr="002F2B00">
        <w:rPr>
          <w:rStyle w:val="FootnoteReference"/>
        </w:rPr>
        <w:footnoteReference w:id="290"/>
      </w:r>
      <w:r w:rsidR="001A649A" w:rsidRPr="002F2B00">
        <w:t xml:space="preserve"> </w:t>
      </w:r>
    </w:p>
    <w:p w14:paraId="68A0DD79" w14:textId="77777777" w:rsidR="00D32ADD" w:rsidRPr="002F2B00" w:rsidRDefault="00D32ADD" w:rsidP="00D14D7B">
      <w:pPr>
        <w:ind w:left="720" w:hanging="720"/>
      </w:pPr>
    </w:p>
    <w:p w14:paraId="2844E947" w14:textId="262CEBA6" w:rsidR="00D14D7B" w:rsidRPr="002F2B00" w:rsidRDefault="00D32ADD" w:rsidP="00D14D7B">
      <w:pPr>
        <w:ind w:left="720" w:hanging="720"/>
        <w:rPr>
          <w:b/>
          <w:bCs/>
        </w:rPr>
      </w:pPr>
      <w:r w:rsidRPr="007B7410">
        <w:rPr>
          <w:b/>
          <w:bCs/>
        </w:rPr>
        <w:t>5.</w:t>
      </w:r>
      <w:r w:rsidR="00145892" w:rsidRPr="007B7410">
        <w:rPr>
          <w:b/>
          <w:bCs/>
        </w:rPr>
        <w:t>9</w:t>
      </w:r>
      <w:r w:rsidRPr="007B7410">
        <w:rPr>
          <w:b/>
          <w:bCs/>
        </w:rPr>
        <w:tab/>
      </w:r>
      <w:r w:rsidR="00197FBC" w:rsidRPr="007B7410">
        <w:rPr>
          <w:b/>
          <w:bCs/>
        </w:rPr>
        <w:t xml:space="preserve">The NIHRC </w:t>
      </w:r>
      <w:r w:rsidR="00FF1990" w:rsidRPr="007B7410">
        <w:rPr>
          <w:b/>
          <w:bCs/>
        </w:rPr>
        <w:t>is gravely concerned</w:t>
      </w:r>
      <w:r w:rsidR="00197FBC" w:rsidRPr="007B7410">
        <w:rPr>
          <w:b/>
          <w:bCs/>
        </w:rPr>
        <w:t xml:space="preserve"> that the immediacy of the proposed changes to a victim’s access to justice</w:t>
      </w:r>
      <w:r w:rsidR="00FF1990" w:rsidRPr="007B7410">
        <w:rPr>
          <w:b/>
          <w:bCs/>
        </w:rPr>
        <w:t xml:space="preserve"> </w:t>
      </w:r>
      <w:r w:rsidR="00197FBC" w:rsidRPr="007B7410">
        <w:rPr>
          <w:b/>
          <w:bCs/>
        </w:rPr>
        <w:t xml:space="preserve">within the </w:t>
      </w:r>
      <w:r w:rsidR="00FF1990" w:rsidRPr="007B7410">
        <w:rPr>
          <w:b/>
          <w:bCs/>
        </w:rPr>
        <w:t xml:space="preserve">current draft of the </w:t>
      </w:r>
      <w:r w:rsidR="00197FBC" w:rsidRPr="007B7410">
        <w:rPr>
          <w:b/>
          <w:bCs/>
        </w:rPr>
        <w:t>Bill closes off any pursuit of justice outside of the ICRIR</w:t>
      </w:r>
      <w:r w:rsidR="00EF2A10" w:rsidRPr="007B7410">
        <w:rPr>
          <w:b/>
          <w:bCs/>
        </w:rPr>
        <w:t xml:space="preserve"> and is therefore incompatible</w:t>
      </w:r>
      <w:r w:rsidR="00197FBC" w:rsidRPr="007B7410">
        <w:rPr>
          <w:b/>
          <w:bCs/>
        </w:rPr>
        <w:t xml:space="preserve"> with </w:t>
      </w:r>
      <w:r w:rsidR="007F72E0" w:rsidRPr="007B7410">
        <w:rPr>
          <w:b/>
          <w:bCs/>
        </w:rPr>
        <w:t>human rights</w:t>
      </w:r>
      <w:r w:rsidR="00197FBC" w:rsidRPr="007B7410">
        <w:rPr>
          <w:b/>
          <w:bCs/>
        </w:rPr>
        <w:t xml:space="preserve"> </w:t>
      </w:r>
      <w:r w:rsidR="00EF2A10" w:rsidRPr="007B7410">
        <w:rPr>
          <w:b/>
          <w:bCs/>
        </w:rPr>
        <w:t>and</w:t>
      </w:r>
      <w:r w:rsidR="00197FBC" w:rsidRPr="007B7410">
        <w:rPr>
          <w:b/>
          <w:bCs/>
        </w:rPr>
        <w:t xml:space="preserve"> the Belfast (Good Friday) Agreement.</w:t>
      </w:r>
    </w:p>
    <w:p w14:paraId="7A76EB5B" w14:textId="77777777" w:rsidR="00773401" w:rsidRPr="002F2B00" w:rsidRDefault="00773401" w:rsidP="00D14D7B">
      <w:pPr>
        <w:ind w:left="720" w:hanging="720"/>
      </w:pPr>
    </w:p>
    <w:p w14:paraId="038B3C7C" w14:textId="6662CC98" w:rsidR="005928FB" w:rsidRPr="002F2B00" w:rsidRDefault="005928FB">
      <w:pPr>
        <w:spacing w:line="240" w:lineRule="auto"/>
        <w:rPr>
          <w:szCs w:val="24"/>
        </w:rPr>
      </w:pPr>
      <w:r w:rsidRPr="002F2B00">
        <w:rPr>
          <w:szCs w:val="24"/>
        </w:rPr>
        <w:br w:type="page"/>
      </w:r>
    </w:p>
    <w:p w14:paraId="069BD255" w14:textId="77777777" w:rsidR="003925E3" w:rsidRPr="002F2B00" w:rsidRDefault="00D44938" w:rsidP="00D44938">
      <w:pPr>
        <w:pStyle w:val="Heading1"/>
      </w:pPr>
      <w:bookmarkStart w:id="31" w:name="_Toc113517960"/>
      <w:r w:rsidRPr="002F2B00">
        <w:lastRenderedPageBreak/>
        <w:t>Annex 1: Summary of Recommendations</w:t>
      </w:r>
      <w:bookmarkEnd w:id="31"/>
    </w:p>
    <w:p w14:paraId="43817E7F" w14:textId="77777777" w:rsidR="00FA2EBC" w:rsidRPr="00FA2EBC" w:rsidRDefault="00FA2EBC" w:rsidP="00FA2EBC">
      <w:pPr>
        <w:ind w:left="720" w:hanging="720"/>
        <w:rPr>
          <w:b/>
        </w:rPr>
      </w:pPr>
      <w:r w:rsidRPr="00FA2EBC">
        <w:rPr>
          <w:b/>
        </w:rPr>
        <w:t>1.4</w:t>
      </w:r>
      <w:r w:rsidRPr="00FA2EBC">
        <w:rPr>
          <w:b/>
        </w:rPr>
        <w:tab/>
        <w:t>The NIHRC concludes that the fundamentals of the entire draft of the present Bill require immediate and thorough reassessment, which should take place through meaningful engagement. The result should be victim-centred and human rights compliant, the NIHRC is of the view that this is not delivered by the present Bill.</w:t>
      </w:r>
    </w:p>
    <w:p w14:paraId="59DE9A30" w14:textId="77777777" w:rsidR="00FA2EBC" w:rsidRPr="00FA2EBC" w:rsidRDefault="00FA2EBC" w:rsidP="00FA2EBC">
      <w:pPr>
        <w:rPr>
          <w:b/>
        </w:rPr>
      </w:pPr>
    </w:p>
    <w:p w14:paraId="4BCE0B4A" w14:textId="77777777" w:rsidR="00FA2EBC" w:rsidRPr="00FA2EBC" w:rsidRDefault="00FA2EBC" w:rsidP="00FA2EBC">
      <w:pPr>
        <w:ind w:left="720" w:hanging="720"/>
        <w:rPr>
          <w:b/>
          <w:bCs/>
        </w:rPr>
      </w:pPr>
      <w:r w:rsidRPr="00FA2EBC">
        <w:rPr>
          <w:b/>
        </w:rPr>
        <w:t>1.6</w:t>
      </w:r>
      <w:r w:rsidRPr="00FA2EBC">
        <w:rPr>
          <w:b/>
        </w:rPr>
        <w:tab/>
      </w:r>
      <w:r w:rsidRPr="00FA2EBC">
        <w:rPr>
          <w:b/>
          <w:bCs/>
        </w:rPr>
        <w:t>The NIHRC is also concerned that the Bill may diminish the rights of victims, in breach of the UK’s obligations under Protocol Article 2.</w:t>
      </w:r>
    </w:p>
    <w:p w14:paraId="3A93E648" w14:textId="77777777" w:rsidR="00FA2EBC" w:rsidRPr="00FA2EBC" w:rsidRDefault="00FA2EBC" w:rsidP="00FA2EBC">
      <w:pPr>
        <w:rPr>
          <w:b/>
          <w:bCs/>
        </w:rPr>
      </w:pPr>
    </w:p>
    <w:p w14:paraId="56F62E2C" w14:textId="77777777" w:rsidR="00FA2EBC" w:rsidRPr="00FA2EBC" w:rsidRDefault="00FA2EBC" w:rsidP="00FA2EBC">
      <w:pPr>
        <w:numPr>
          <w:ilvl w:val="1"/>
          <w:numId w:val="50"/>
        </w:numPr>
        <w:rPr>
          <w:b/>
        </w:rPr>
      </w:pPr>
      <w:r w:rsidRPr="00FA2EBC">
        <w:rPr>
          <w:b/>
        </w:rPr>
        <w:t xml:space="preserve">The NIHRC is gravely concerned that the current draft of the Bill renders the ICRIR incapable of discharging the State’s obligations to undertake investigations that are in line with the rule of law, transparent, ensure accountability and provide an effective remedy. </w:t>
      </w:r>
    </w:p>
    <w:p w14:paraId="3D563BE8" w14:textId="77777777" w:rsidR="00FA2EBC" w:rsidRPr="00FA2EBC" w:rsidRDefault="00FA2EBC" w:rsidP="00FA2EBC">
      <w:pPr>
        <w:rPr>
          <w:b/>
        </w:rPr>
      </w:pPr>
    </w:p>
    <w:p w14:paraId="3044F8AB" w14:textId="77777777" w:rsidR="00FA2EBC" w:rsidRPr="00FA2EBC" w:rsidRDefault="00FA2EBC" w:rsidP="00FA2EBC">
      <w:pPr>
        <w:ind w:left="720" w:hanging="720"/>
        <w:rPr>
          <w:b/>
        </w:rPr>
      </w:pPr>
      <w:r w:rsidRPr="00FA2EBC">
        <w:rPr>
          <w:b/>
        </w:rPr>
        <w:t>2.34</w:t>
      </w:r>
      <w:r w:rsidRPr="00FA2EBC">
        <w:rPr>
          <w:b/>
        </w:rPr>
        <w:tab/>
        <w:t>The NIHRC advises that the extent of the Secretary of State’s influence and involvement across the ICRIR’s operations proposed by the current draft of the Bill raises serious concerns as to whether the ICRIR’s work can be sufficiently independent and impartial, as required by human rights standards, including Articles 2 and 3 of the ECHR.</w:t>
      </w:r>
    </w:p>
    <w:p w14:paraId="6104733D" w14:textId="77777777" w:rsidR="00FA2EBC" w:rsidRPr="00FA2EBC" w:rsidRDefault="00FA2EBC" w:rsidP="00FA2EBC">
      <w:pPr>
        <w:rPr>
          <w:b/>
        </w:rPr>
      </w:pPr>
    </w:p>
    <w:p w14:paraId="02C5D111" w14:textId="77777777" w:rsidR="00FA2EBC" w:rsidRPr="00FA2EBC" w:rsidRDefault="00FA2EBC" w:rsidP="00FA2EBC">
      <w:pPr>
        <w:ind w:left="720" w:hanging="720"/>
        <w:rPr>
          <w:b/>
        </w:rPr>
      </w:pPr>
      <w:r w:rsidRPr="00FA2EBC">
        <w:rPr>
          <w:b/>
        </w:rPr>
        <w:t>2.48</w:t>
      </w:r>
      <w:r w:rsidRPr="00FA2EBC">
        <w:rPr>
          <w:b/>
        </w:rPr>
        <w:tab/>
        <w:t>The NIHRC advises that a thorough investigation requires that inquiries be capable of establishing the facts, identifying the perpetrator and follow all lines of inquiry. It is the NIHRC’s view that this cannot be achieved by conducting a light-touch review or producing a basic historical record as proposed within the current draft of this Bill.</w:t>
      </w:r>
    </w:p>
    <w:p w14:paraId="79F22DD9" w14:textId="77777777" w:rsidR="00FA2EBC" w:rsidRPr="00FA2EBC" w:rsidRDefault="00FA2EBC" w:rsidP="00FA2EBC">
      <w:pPr>
        <w:rPr>
          <w:b/>
        </w:rPr>
      </w:pPr>
    </w:p>
    <w:p w14:paraId="5AD5D246" w14:textId="77777777" w:rsidR="00FA2EBC" w:rsidRPr="00FA2EBC" w:rsidRDefault="00FA2EBC" w:rsidP="00FA2EBC">
      <w:pPr>
        <w:ind w:left="720" w:hanging="720"/>
        <w:rPr>
          <w:b/>
        </w:rPr>
      </w:pPr>
      <w:r w:rsidRPr="00FA2EBC">
        <w:rPr>
          <w:b/>
        </w:rPr>
        <w:t>2.51</w:t>
      </w:r>
      <w:r w:rsidRPr="00FA2EBC">
        <w:rPr>
          <w:b/>
        </w:rPr>
        <w:tab/>
        <w:t>The NIHRC advises that the arbitrary distinction between reviews and the historical record within the current draft of the Bill creates an unjustified disparity between cases, which risks further diluting the UK Government’s adherence to its procedural human rights obligations.</w:t>
      </w:r>
    </w:p>
    <w:p w14:paraId="57F09C53" w14:textId="77777777" w:rsidR="00FA2EBC" w:rsidRPr="00FA2EBC" w:rsidRDefault="00FA2EBC" w:rsidP="00FA2EBC">
      <w:pPr>
        <w:rPr>
          <w:b/>
        </w:rPr>
      </w:pPr>
    </w:p>
    <w:p w14:paraId="44A9EE46" w14:textId="77777777" w:rsidR="00FA2EBC" w:rsidRPr="00FA2EBC" w:rsidRDefault="00FA2EBC" w:rsidP="00FA2EBC">
      <w:pPr>
        <w:ind w:left="720" w:hanging="720"/>
        <w:rPr>
          <w:b/>
        </w:rPr>
      </w:pPr>
      <w:r w:rsidRPr="00FA2EBC">
        <w:rPr>
          <w:b/>
        </w:rPr>
        <w:lastRenderedPageBreak/>
        <w:t>2.58</w:t>
      </w:r>
      <w:r w:rsidRPr="00FA2EBC">
        <w:rPr>
          <w:b/>
        </w:rPr>
        <w:tab/>
        <w:t xml:space="preserve">The NIHRC advises that investigations should be of the State’s own </w:t>
      </w:r>
      <w:proofErr w:type="gramStart"/>
      <w:r w:rsidRPr="00FA2EBC">
        <w:rPr>
          <w:b/>
        </w:rPr>
        <w:t>motion</w:t>
      </w:r>
      <w:proofErr w:type="gramEnd"/>
      <w:r w:rsidRPr="00FA2EBC">
        <w:rPr>
          <w:b/>
        </w:rPr>
        <w:t xml:space="preserve"> and it is right that the current draft of the Bill enables reviews to be requested by State agents. However, the NIHRC stresses that the resulting review must equate to an Article 2 ECHR compliant investigation, particularly regarding thoroughness and independence. The NIHRC is of the view that this is not delivered in the current draft of this Bill.</w:t>
      </w:r>
    </w:p>
    <w:p w14:paraId="4626D044" w14:textId="77777777" w:rsidR="00FA2EBC" w:rsidRPr="00FA2EBC" w:rsidRDefault="00FA2EBC" w:rsidP="00FA2EBC">
      <w:pPr>
        <w:rPr>
          <w:b/>
        </w:rPr>
      </w:pPr>
    </w:p>
    <w:p w14:paraId="5A109C90" w14:textId="77777777" w:rsidR="00FA2EBC" w:rsidRPr="00FA2EBC" w:rsidRDefault="00FA2EBC" w:rsidP="00FA2EBC">
      <w:pPr>
        <w:ind w:left="720" w:hanging="720"/>
        <w:rPr>
          <w:b/>
        </w:rPr>
      </w:pPr>
      <w:r w:rsidRPr="00FA2EBC">
        <w:rPr>
          <w:b/>
        </w:rPr>
        <w:t>2.70</w:t>
      </w:r>
      <w:r w:rsidRPr="00FA2EBC">
        <w:rPr>
          <w:b/>
        </w:rPr>
        <w:tab/>
        <w:t xml:space="preserve">The NIHRC advises that the requirement to conduct reasonably prompt and expeditious investigations cannot be a reason for legislation to be rushed through without meaningful consultation or the support of victims and survivors. Additionally, the speed of the process is peripheral if the other aspects of the procedural obligations of the right to life and freedom from torture are not met, particularly that investigations are thorough, </w:t>
      </w:r>
      <w:proofErr w:type="gramStart"/>
      <w:r w:rsidRPr="00FA2EBC">
        <w:rPr>
          <w:b/>
        </w:rPr>
        <w:t>independent</w:t>
      </w:r>
      <w:proofErr w:type="gramEnd"/>
      <w:r w:rsidRPr="00FA2EBC">
        <w:rPr>
          <w:b/>
        </w:rPr>
        <w:t xml:space="preserve"> and impartial. That said, immediate concrete steps should be taken to address these issues for the purpose of progressing offences that are awaiting a human rights compliant investigation.</w:t>
      </w:r>
    </w:p>
    <w:p w14:paraId="4A5334AD" w14:textId="77777777" w:rsidR="00FA2EBC" w:rsidRPr="00FA2EBC" w:rsidRDefault="00FA2EBC" w:rsidP="00FA2EBC">
      <w:pPr>
        <w:rPr>
          <w:b/>
        </w:rPr>
      </w:pPr>
    </w:p>
    <w:p w14:paraId="7518AE0E" w14:textId="77777777" w:rsidR="00FA2EBC" w:rsidRPr="00FA2EBC" w:rsidRDefault="00FA2EBC" w:rsidP="00FA2EBC">
      <w:pPr>
        <w:ind w:left="720" w:hanging="720"/>
        <w:rPr>
          <w:b/>
        </w:rPr>
      </w:pPr>
      <w:r w:rsidRPr="00FA2EBC">
        <w:rPr>
          <w:b/>
        </w:rPr>
        <w:t>2.84</w:t>
      </w:r>
      <w:r w:rsidRPr="00FA2EBC">
        <w:rPr>
          <w:b/>
        </w:rPr>
        <w:tab/>
        <w:t xml:space="preserve">The NIHRC advises that the Bill should require that the ICRIR publishes all its reports, with limited exception. There should be a structured approach towards what is or is not included in a draft and final report. Where exceptions are in </w:t>
      </w:r>
      <w:proofErr w:type="gramStart"/>
      <w:r w:rsidRPr="00FA2EBC">
        <w:rPr>
          <w:b/>
        </w:rPr>
        <w:t>place</w:t>
      </w:r>
      <w:proofErr w:type="gramEnd"/>
      <w:r w:rsidRPr="00FA2EBC">
        <w:rPr>
          <w:b/>
        </w:rPr>
        <w:t xml:space="preserve"> they must be lawful and proportionate and include safeguards that ensure these are not applied arbitrarily and that the commitments aimed at enabling effective public scrutiny are not illusory.</w:t>
      </w:r>
    </w:p>
    <w:p w14:paraId="4EDA4DCA" w14:textId="77777777" w:rsidR="00FA2EBC" w:rsidRPr="00FA2EBC" w:rsidRDefault="00FA2EBC" w:rsidP="00FA2EBC">
      <w:pPr>
        <w:rPr>
          <w:b/>
        </w:rPr>
      </w:pPr>
    </w:p>
    <w:p w14:paraId="27E71E38" w14:textId="77777777" w:rsidR="00FA2EBC" w:rsidRPr="00FA2EBC" w:rsidRDefault="00FA2EBC" w:rsidP="00FA2EBC">
      <w:pPr>
        <w:ind w:left="720" w:hanging="720"/>
        <w:rPr>
          <w:b/>
        </w:rPr>
      </w:pPr>
      <w:r w:rsidRPr="00FA2EBC">
        <w:rPr>
          <w:b/>
        </w:rPr>
        <w:t>2.97</w:t>
      </w:r>
      <w:r w:rsidRPr="00FA2EBC">
        <w:rPr>
          <w:b/>
        </w:rPr>
        <w:tab/>
        <w:t xml:space="preserve">The NIHRC advises that, considering human rights jurisprudence, the proposed definition of ‘close family member’ within the current draft of the Bill is too narrow. It should extend to grandparents, aunts, uncles, </w:t>
      </w:r>
      <w:proofErr w:type="gramStart"/>
      <w:r w:rsidRPr="00FA2EBC">
        <w:rPr>
          <w:b/>
        </w:rPr>
        <w:t>nieces</w:t>
      </w:r>
      <w:proofErr w:type="gramEnd"/>
      <w:r w:rsidRPr="00FA2EBC">
        <w:rPr>
          <w:b/>
        </w:rPr>
        <w:t xml:space="preserve"> or nephews. </w:t>
      </w:r>
    </w:p>
    <w:p w14:paraId="687F0A08" w14:textId="77777777" w:rsidR="00FA2EBC" w:rsidRPr="00FA2EBC" w:rsidRDefault="00FA2EBC" w:rsidP="00FA2EBC">
      <w:pPr>
        <w:rPr>
          <w:b/>
        </w:rPr>
      </w:pPr>
    </w:p>
    <w:p w14:paraId="6CB0BDE1" w14:textId="77777777" w:rsidR="00FA2EBC" w:rsidRPr="00FA2EBC" w:rsidRDefault="00FA2EBC" w:rsidP="00FA2EBC">
      <w:pPr>
        <w:ind w:left="720" w:hanging="720"/>
        <w:rPr>
          <w:b/>
        </w:rPr>
      </w:pPr>
      <w:r w:rsidRPr="00FA2EBC">
        <w:rPr>
          <w:b/>
        </w:rPr>
        <w:t>2.98</w:t>
      </w:r>
      <w:r w:rsidRPr="00FA2EBC">
        <w:rPr>
          <w:b/>
        </w:rPr>
        <w:tab/>
        <w:t xml:space="preserve">The NIHRC advises that, considering human rights jurisprudence, the definition of ‘other family member’ within the current draft of the Bill should take account of situations where it may be appropriate for a non-familial person, with </w:t>
      </w:r>
      <w:r w:rsidRPr="00FA2EBC">
        <w:rPr>
          <w:b/>
        </w:rPr>
        <w:lastRenderedPageBreak/>
        <w:t>close personal links and who provides care for a victim to seek remedy on the victim’s behalf.</w:t>
      </w:r>
    </w:p>
    <w:p w14:paraId="53714CEF" w14:textId="77777777" w:rsidR="00FA2EBC" w:rsidRPr="00FA2EBC" w:rsidRDefault="00FA2EBC" w:rsidP="00FA2EBC">
      <w:pPr>
        <w:rPr>
          <w:b/>
        </w:rPr>
      </w:pPr>
    </w:p>
    <w:p w14:paraId="3CA151C1" w14:textId="77777777" w:rsidR="00FA2EBC" w:rsidRPr="00FA2EBC" w:rsidRDefault="00FA2EBC" w:rsidP="00FA2EBC">
      <w:pPr>
        <w:ind w:left="720" w:hanging="720"/>
        <w:rPr>
          <w:b/>
        </w:rPr>
      </w:pPr>
      <w:r w:rsidRPr="00FA2EBC">
        <w:rPr>
          <w:b/>
        </w:rPr>
        <w:t>3.3</w:t>
      </w:r>
      <w:r w:rsidRPr="00FA2EBC">
        <w:rPr>
          <w:b/>
        </w:rPr>
        <w:tab/>
        <w:t>The NIHRC advises that a human rights compliant approach requires that the Bill should adopt a broad approach to determining what offences fall within the ICRIR’s mandate. There should be flexibility built in to ensure the individual circumstances of each potential case and broader human rights commitments, including the investigative obligations attached to the right to life and freedom from torture, can be considered and are used to inform the determination of whether a case should be considered by the ICRIR.</w:t>
      </w:r>
    </w:p>
    <w:p w14:paraId="13CA264B" w14:textId="77777777" w:rsidR="00FA2EBC" w:rsidRPr="00FA2EBC" w:rsidRDefault="00FA2EBC" w:rsidP="00FA2EBC">
      <w:pPr>
        <w:rPr>
          <w:b/>
        </w:rPr>
      </w:pPr>
    </w:p>
    <w:p w14:paraId="4D2BC22B" w14:textId="77777777" w:rsidR="00FA2EBC" w:rsidRPr="00FA2EBC" w:rsidRDefault="00FA2EBC" w:rsidP="00FA2EBC">
      <w:pPr>
        <w:ind w:left="720" w:hanging="720"/>
        <w:rPr>
          <w:b/>
        </w:rPr>
      </w:pPr>
      <w:r w:rsidRPr="00FA2EBC">
        <w:rPr>
          <w:b/>
        </w:rPr>
        <w:t>3.11</w:t>
      </w:r>
      <w:r w:rsidRPr="00FA2EBC">
        <w:rPr>
          <w:b/>
        </w:rPr>
        <w:tab/>
        <w:t xml:space="preserve">The NIHRC advises that there should be an assessment of whether all previous investigations into Troubles-related offences </w:t>
      </w:r>
      <w:proofErr w:type="gramStart"/>
      <w:r w:rsidRPr="00FA2EBC">
        <w:rPr>
          <w:b/>
        </w:rPr>
        <w:t>were human rights</w:t>
      </w:r>
      <w:proofErr w:type="gramEnd"/>
      <w:r w:rsidRPr="00FA2EBC">
        <w:rPr>
          <w:b/>
        </w:rPr>
        <w:t xml:space="preserve"> compliant. The NIHRC is concerned that the current draft of the Bill does not include a mechanism to assess whether previous investigations were human rights compliant, and if not, to determine that they should fall within the ICRIR’s remit.</w:t>
      </w:r>
    </w:p>
    <w:p w14:paraId="22C4CAEF" w14:textId="77777777" w:rsidR="00FA2EBC" w:rsidRPr="00FA2EBC" w:rsidRDefault="00FA2EBC" w:rsidP="00FA2EBC">
      <w:pPr>
        <w:rPr>
          <w:b/>
        </w:rPr>
      </w:pPr>
    </w:p>
    <w:p w14:paraId="72A9E818" w14:textId="77777777" w:rsidR="00FA2EBC" w:rsidRPr="00FA2EBC" w:rsidRDefault="00FA2EBC" w:rsidP="00FA2EBC">
      <w:pPr>
        <w:ind w:left="720" w:hanging="720"/>
        <w:rPr>
          <w:b/>
        </w:rPr>
      </w:pPr>
      <w:r w:rsidRPr="00FA2EBC">
        <w:rPr>
          <w:b/>
        </w:rPr>
        <w:t>3.17</w:t>
      </w:r>
      <w:r w:rsidRPr="00FA2EBC">
        <w:rPr>
          <w:b/>
        </w:rPr>
        <w:tab/>
        <w:t>The NIHRC advises that to justify the proposed end date of 10 April 1998 a review confirming that offences after this date have been investigated or have the option of being investigated in line with human rights obligations is required.</w:t>
      </w:r>
    </w:p>
    <w:p w14:paraId="7B39E68A" w14:textId="77777777" w:rsidR="00FA2EBC" w:rsidRPr="00FA2EBC" w:rsidRDefault="00FA2EBC" w:rsidP="00FA2EBC">
      <w:pPr>
        <w:rPr>
          <w:b/>
        </w:rPr>
      </w:pPr>
    </w:p>
    <w:p w14:paraId="774E25DB" w14:textId="77777777" w:rsidR="00FA2EBC" w:rsidRPr="00FA2EBC" w:rsidRDefault="00FA2EBC" w:rsidP="00FA2EBC">
      <w:pPr>
        <w:ind w:left="720" w:hanging="720"/>
        <w:rPr>
          <w:b/>
        </w:rPr>
      </w:pPr>
      <w:r w:rsidRPr="00FA2EBC">
        <w:rPr>
          <w:b/>
        </w:rPr>
        <w:t>3.19</w:t>
      </w:r>
      <w:r w:rsidRPr="00FA2EBC">
        <w:rPr>
          <w:b/>
        </w:rPr>
        <w:tab/>
        <w:t xml:space="preserve">The NIHRC is gravely concerned that the benefit of a broad temporal scope within this Bill will be ineffective in practice due to this Bill’s general incompatibility with the ECHR, the UK Supreme Court’s ruling in </w:t>
      </w:r>
      <w:proofErr w:type="spellStart"/>
      <w:r w:rsidRPr="00FA2EBC">
        <w:rPr>
          <w:b/>
        </w:rPr>
        <w:t>McQuillian</w:t>
      </w:r>
      <w:proofErr w:type="spellEnd"/>
      <w:r w:rsidRPr="00FA2EBC">
        <w:rPr>
          <w:b/>
        </w:rPr>
        <w:t>, McGuigan and McKenna [2021] and the arguably non-compliant approach proposed towards positive obligations in the Bill of Rights Bill.</w:t>
      </w:r>
    </w:p>
    <w:p w14:paraId="0C0F27CA" w14:textId="77777777" w:rsidR="00FA2EBC" w:rsidRPr="00FA2EBC" w:rsidRDefault="00FA2EBC" w:rsidP="00FA2EBC">
      <w:pPr>
        <w:rPr>
          <w:b/>
        </w:rPr>
      </w:pPr>
    </w:p>
    <w:p w14:paraId="3C763325" w14:textId="77777777" w:rsidR="00FA2EBC" w:rsidRPr="00FA2EBC" w:rsidRDefault="00FA2EBC" w:rsidP="00FA2EBC">
      <w:pPr>
        <w:ind w:left="720" w:hanging="720"/>
        <w:rPr>
          <w:b/>
        </w:rPr>
      </w:pPr>
      <w:r w:rsidRPr="00FA2EBC">
        <w:rPr>
          <w:b/>
        </w:rPr>
        <w:t>3.24</w:t>
      </w:r>
      <w:r w:rsidRPr="00FA2EBC">
        <w:rPr>
          <w:b/>
        </w:rPr>
        <w:tab/>
        <w:t xml:space="preserve">The NIHRC welcomes the recognition within the current draft of the Bill that the NI conflict extended beyond NI. However, </w:t>
      </w:r>
    </w:p>
    <w:p w14:paraId="1D94E637" w14:textId="77777777" w:rsidR="00FA2EBC" w:rsidRPr="00FA2EBC" w:rsidRDefault="00FA2EBC" w:rsidP="00FA2EBC">
      <w:pPr>
        <w:ind w:left="720"/>
        <w:rPr>
          <w:b/>
        </w:rPr>
      </w:pPr>
      <w:r w:rsidRPr="00FA2EBC">
        <w:rPr>
          <w:b/>
        </w:rPr>
        <w:t xml:space="preserve">the NIHRC is gravely concerned that the ICRIR’s mandate and approach to investigations as proposed by the present </w:t>
      </w:r>
      <w:r w:rsidRPr="00FA2EBC">
        <w:rPr>
          <w:b/>
        </w:rPr>
        <w:lastRenderedPageBreak/>
        <w:t>Bill will significantly hinder the ability for other States to satisfy their procedural obligations regarding the NI conflict.</w:t>
      </w:r>
    </w:p>
    <w:p w14:paraId="7450824D" w14:textId="77777777" w:rsidR="00FA2EBC" w:rsidRPr="00FA2EBC" w:rsidRDefault="00FA2EBC" w:rsidP="00FA2EBC">
      <w:pPr>
        <w:rPr>
          <w:b/>
        </w:rPr>
      </w:pPr>
    </w:p>
    <w:p w14:paraId="4FA3B843" w14:textId="77777777" w:rsidR="00FA2EBC" w:rsidRPr="00FA2EBC" w:rsidRDefault="00FA2EBC" w:rsidP="00FA2EBC">
      <w:pPr>
        <w:ind w:left="720" w:hanging="720"/>
        <w:rPr>
          <w:b/>
        </w:rPr>
      </w:pPr>
      <w:r w:rsidRPr="00FA2EBC">
        <w:rPr>
          <w:b/>
        </w:rPr>
        <w:t>3.35</w:t>
      </w:r>
      <w:r w:rsidRPr="00FA2EBC">
        <w:rPr>
          <w:b/>
        </w:rPr>
        <w:tab/>
        <w:t>The NIHRC advises that the proposed provisions within the current draft of the Bill relating to the retention and use of biometric data are largely in line with human rights standards. However, to ensure proportionality as required by human rights standards, the present Bill should include an express requirement that biometric data retained for the purposes of ICRIR’s work must be relevant to that work.</w:t>
      </w:r>
    </w:p>
    <w:p w14:paraId="56E0B895" w14:textId="77777777" w:rsidR="00FA2EBC" w:rsidRPr="00FA2EBC" w:rsidRDefault="00FA2EBC" w:rsidP="00FA2EBC">
      <w:pPr>
        <w:rPr>
          <w:b/>
        </w:rPr>
      </w:pPr>
    </w:p>
    <w:p w14:paraId="06160898" w14:textId="77777777" w:rsidR="00FA2EBC" w:rsidRPr="00FA2EBC" w:rsidRDefault="00FA2EBC" w:rsidP="00FA2EBC">
      <w:pPr>
        <w:ind w:left="720" w:hanging="720"/>
        <w:rPr>
          <w:b/>
        </w:rPr>
      </w:pPr>
      <w:r w:rsidRPr="00FA2EBC">
        <w:rPr>
          <w:b/>
        </w:rPr>
        <w:t>4.15</w:t>
      </w:r>
      <w:r w:rsidRPr="00FA2EBC">
        <w:rPr>
          <w:b/>
        </w:rPr>
        <w:tab/>
        <w:t xml:space="preserve">The NIHRC advises that provisions on immunity and restrictions on criminal enforcement action may diminish the rights of victims, in breach of Protocol Article 2. </w:t>
      </w:r>
    </w:p>
    <w:p w14:paraId="1654683E" w14:textId="77777777" w:rsidR="00FA2EBC" w:rsidRPr="00FA2EBC" w:rsidRDefault="00FA2EBC" w:rsidP="00FA2EBC">
      <w:pPr>
        <w:rPr>
          <w:b/>
        </w:rPr>
      </w:pPr>
    </w:p>
    <w:p w14:paraId="3F2FCEC4" w14:textId="77777777" w:rsidR="00FA2EBC" w:rsidRPr="00FA2EBC" w:rsidRDefault="00FA2EBC" w:rsidP="00FA2EBC">
      <w:pPr>
        <w:ind w:left="720" w:hanging="720"/>
        <w:rPr>
          <w:b/>
        </w:rPr>
      </w:pPr>
      <w:r w:rsidRPr="00FA2EBC">
        <w:rPr>
          <w:b/>
        </w:rPr>
        <w:t>4.16</w:t>
      </w:r>
      <w:r w:rsidRPr="00FA2EBC">
        <w:rPr>
          <w:b/>
        </w:rPr>
        <w:tab/>
        <w:t>The NIHRC is very concerned by the lack of accountability, equality and public scrutiny expressly provided for within the proposed immunity scheme as set out in the current draft of this Bill. The NIHRC remains of the view that an immunity scheme such as that proposed by the current draft of the Bill is not lawful and is not human rights compliant.</w:t>
      </w:r>
    </w:p>
    <w:p w14:paraId="281C108B" w14:textId="77777777" w:rsidR="00FA2EBC" w:rsidRPr="00FA2EBC" w:rsidRDefault="00FA2EBC" w:rsidP="00FA2EBC">
      <w:pPr>
        <w:rPr>
          <w:b/>
        </w:rPr>
      </w:pPr>
    </w:p>
    <w:p w14:paraId="57B36815" w14:textId="77777777" w:rsidR="00FA2EBC" w:rsidRPr="00FA2EBC" w:rsidRDefault="00FA2EBC" w:rsidP="00FA2EBC">
      <w:pPr>
        <w:ind w:left="720" w:hanging="720"/>
        <w:rPr>
          <w:b/>
        </w:rPr>
      </w:pPr>
      <w:r w:rsidRPr="00FA2EBC">
        <w:rPr>
          <w:b/>
        </w:rPr>
        <w:t>4.23</w:t>
      </w:r>
      <w:r w:rsidRPr="00FA2EBC">
        <w:rPr>
          <w:b/>
        </w:rPr>
        <w:tab/>
        <w:t>The NIHRC advises that, while welcomed, excluding Troubles-related sexual offences from the immunity scheme is insufficient to overcome its broader concerns about the immunity scheme proposed by the present Bill.</w:t>
      </w:r>
    </w:p>
    <w:p w14:paraId="18ACC154" w14:textId="77777777" w:rsidR="00FA2EBC" w:rsidRPr="00FA2EBC" w:rsidRDefault="00FA2EBC" w:rsidP="00FA2EBC">
      <w:pPr>
        <w:rPr>
          <w:b/>
        </w:rPr>
      </w:pPr>
    </w:p>
    <w:p w14:paraId="368162DF" w14:textId="77777777" w:rsidR="00FA2EBC" w:rsidRPr="00FA2EBC" w:rsidRDefault="00FA2EBC" w:rsidP="00FA2EBC">
      <w:pPr>
        <w:ind w:left="720" w:hanging="720"/>
        <w:rPr>
          <w:b/>
        </w:rPr>
      </w:pPr>
      <w:r w:rsidRPr="00FA2EBC">
        <w:rPr>
          <w:b/>
        </w:rPr>
        <w:t>5.9</w:t>
      </w:r>
      <w:r w:rsidRPr="00FA2EBC">
        <w:rPr>
          <w:b/>
        </w:rPr>
        <w:tab/>
        <w:t>The NIHRC is gravely concerned that the immediacy of the proposed changes to a victim’s access to justice within the current draft of the Bill closes off any pursuit of justice outside of the ICRIR and is therefore incompatible with human rights and the Belfast (Good Friday) Agreement.</w:t>
      </w:r>
    </w:p>
    <w:p w14:paraId="38C7D321" w14:textId="77777777" w:rsidR="003925E3" w:rsidRPr="002F2B00" w:rsidRDefault="003925E3" w:rsidP="003925E3"/>
    <w:p w14:paraId="64FB6EC8" w14:textId="77777777" w:rsidR="003925E3" w:rsidRPr="002F2B00" w:rsidRDefault="003925E3" w:rsidP="003925E3"/>
    <w:p w14:paraId="16E01420" w14:textId="6933E317" w:rsidR="00D44938" w:rsidRPr="002F2B00" w:rsidRDefault="00D44938" w:rsidP="003925E3">
      <w:r w:rsidRPr="002F2B00">
        <w:br w:type="page"/>
      </w:r>
    </w:p>
    <w:p w14:paraId="1200ABA1" w14:textId="38C273C5" w:rsidR="00CD7FF5" w:rsidRPr="002F2B00" w:rsidRDefault="00CD7FF5" w:rsidP="00CD7FF5">
      <w:pPr>
        <w:pStyle w:val="Heading1"/>
      </w:pPr>
      <w:bookmarkStart w:id="32" w:name="_Toc113517961"/>
      <w:r w:rsidRPr="002F2B00">
        <w:lastRenderedPageBreak/>
        <w:t xml:space="preserve">Annex </w:t>
      </w:r>
      <w:r w:rsidR="00D44938" w:rsidRPr="002F2B00">
        <w:t>2</w:t>
      </w:r>
      <w:r w:rsidRPr="002F2B00">
        <w:t>: List of Human Rights Standards</w:t>
      </w:r>
      <w:bookmarkEnd w:id="32"/>
    </w:p>
    <w:p w14:paraId="27C5FB95" w14:textId="77777777" w:rsidR="00CD7FF5" w:rsidRPr="002F2B00" w:rsidRDefault="00CD7FF5">
      <w:pPr>
        <w:spacing w:line="240" w:lineRule="auto"/>
        <w:rPr>
          <w:szCs w:val="24"/>
        </w:rPr>
      </w:pPr>
    </w:p>
    <w:p w14:paraId="71513F85" w14:textId="66CD9500" w:rsidR="00CD7FF5" w:rsidRPr="002F2B00" w:rsidRDefault="00CD7FF5" w:rsidP="00CD7FF5">
      <w:pPr>
        <w:ind w:left="720" w:hanging="720"/>
      </w:pPr>
      <w:r w:rsidRPr="002F2B00">
        <w:t>1.1</w:t>
      </w:r>
      <w:r w:rsidRPr="002F2B00">
        <w:tab/>
        <w:t>The NIHRC bases its advice on the full range of internationally accepted human rights standards, including the European Convention on Human Rights, as incorporated by the Human Rights Act 1998 and the treaty obligations of the Council of Europe (</w:t>
      </w:r>
      <w:proofErr w:type="spellStart"/>
      <w:r w:rsidRPr="002F2B00">
        <w:t>CoE</w:t>
      </w:r>
      <w:proofErr w:type="spellEnd"/>
      <w:r w:rsidRPr="002F2B00">
        <w:t>) and United Nations (UN) systems.</w:t>
      </w:r>
      <w:r w:rsidRPr="002F2B00">
        <w:rPr>
          <w:rStyle w:val="FootnoteReference"/>
        </w:rPr>
        <w:footnoteReference w:id="291"/>
      </w:r>
      <w:r w:rsidRPr="002F2B00">
        <w:t xml:space="preserve"> The relevant regional and international treaties in this context include:</w:t>
      </w:r>
    </w:p>
    <w:p w14:paraId="54FEBA97" w14:textId="77777777" w:rsidR="00CD7FF5" w:rsidRPr="002F2B00" w:rsidRDefault="00CD7FF5" w:rsidP="00CD7FF5"/>
    <w:p w14:paraId="4B4914A3" w14:textId="4DD82A94" w:rsidR="00CD7FF5" w:rsidRPr="002F2B00" w:rsidRDefault="00DA2619" w:rsidP="00CD7FF5">
      <w:pPr>
        <w:pStyle w:val="ListParagraph"/>
        <w:numPr>
          <w:ilvl w:val="0"/>
          <w:numId w:val="14"/>
        </w:numPr>
      </w:pPr>
      <w:proofErr w:type="spellStart"/>
      <w:r w:rsidRPr="002F2B00">
        <w:t>CoE</w:t>
      </w:r>
      <w:proofErr w:type="spellEnd"/>
      <w:r w:rsidRPr="002F2B00">
        <w:t xml:space="preserve"> </w:t>
      </w:r>
      <w:r w:rsidR="00CD7FF5" w:rsidRPr="002F2B00">
        <w:t>European Convention on Human Rights 1950 (ECHR);</w:t>
      </w:r>
      <w:r w:rsidR="00CD7FF5" w:rsidRPr="002F2B00">
        <w:rPr>
          <w:rStyle w:val="FootnoteReference"/>
        </w:rPr>
        <w:footnoteReference w:id="292"/>
      </w:r>
    </w:p>
    <w:p w14:paraId="4DA98CA0" w14:textId="77777777" w:rsidR="00CD7FF5" w:rsidRPr="002F2B00" w:rsidRDefault="00CD7FF5" w:rsidP="00CD7FF5">
      <w:pPr>
        <w:pStyle w:val="ListParagraph"/>
        <w:numPr>
          <w:ilvl w:val="0"/>
          <w:numId w:val="14"/>
        </w:numPr>
      </w:pPr>
      <w:r w:rsidRPr="002F2B00">
        <w:t>UN International Covenant on Civil and Political Rights 1966 (ICCPR);</w:t>
      </w:r>
      <w:r w:rsidRPr="002F2B00">
        <w:rPr>
          <w:rStyle w:val="FootnoteReference"/>
        </w:rPr>
        <w:footnoteReference w:id="293"/>
      </w:r>
    </w:p>
    <w:p w14:paraId="7C84C70A" w14:textId="6B189DB7" w:rsidR="00CD7FF5" w:rsidRPr="002F2B00" w:rsidRDefault="00CD7FF5" w:rsidP="00CD7FF5">
      <w:pPr>
        <w:pStyle w:val="ListParagraph"/>
        <w:numPr>
          <w:ilvl w:val="0"/>
          <w:numId w:val="14"/>
        </w:numPr>
      </w:pPr>
      <w:r w:rsidRPr="002F2B00">
        <w:t>UN International Convention on the Elimination of All Forms of Racial Discrimination 196</w:t>
      </w:r>
      <w:r w:rsidR="007E52F8" w:rsidRPr="002F2B00">
        <w:t>5</w:t>
      </w:r>
      <w:r w:rsidRPr="002F2B00">
        <w:t xml:space="preserve"> (</w:t>
      </w:r>
      <w:r w:rsidR="007E52F8" w:rsidRPr="002F2B00">
        <w:t xml:space="preserve">UN </w:t>
      </w:r>
      <w:r w:rsidRPr="002F2B00">
        <w:t>CERD);</w:t>
      </w:r>
      <w:r w:rsidRPr="002F2B00">
        <w:rPr>
          <w:rStyle w:val="FootnoteReference"/>
        </w:rPr>
        <w:footnoteReference w:id="294"/>
      </w:r>
    </w:p>
    <w:p w14:paraId="2A676C52" w14:textId="3E82DCC7" w:rsidR="004D2C7D" w:rsidRPr="002F2B00" w:rsidRDefault="004D2C7D" w:rsidP="00CD7FF5">
      <w:pPr>
        <w:pStyle w:val="ListParagraph"/>
        <w:numPr>
          <w:ilvl w:val="0"/>
          <w:numId w:val="14"/>
        </w:numPr>
      </w:pPr>
      <w:r w:rsidRPr="002F2B00">
        <w:t>UN Convention on the Elimination of All Forms of Discrimination against Women 1981 (UN CEDAW);</w:t>
      </w:r>
      <w:r w:rsidRPr="002F2B00">
        <w:rPr>
          <w:rStyle w:val="FootnoteReference"/>
        </w:rPr>
        <w:footnoteReference w:id="295"/>
      </w:r>
    </w:p>
    <w:p w14:paraId="0CD4C093" w14:textId="77777777" w:rsidR="00CD7FF5" w:rsidRPr="002F2B00" w:rsidRDefault="00CD7FF5" w:rsidP="00CD7FF5">
      <w:pPr>
        <w:pStyle w:val="ListParagraph"/>
        <w:numPr>
          <w:ilvl w:val="0"/>
          <w:numId w:val="14"/>
        </w:numPr>
      </w:pPr>
      <w:r w:rsidRPr="002F2B00">
        <w:t>UN Convention against Torture 1984 (UN CAT);</w:t>
      </w:r>
      <w:r w:rsidRPr="002F2B00">
        <w:rPr>
          <w:rStyle w:val="FootnoteReference"/>
        </w:rPr>
        <w:footnoteReference w:id="296"/>
      </w:r>
    </w:p>
    <w:p w14:paraId="02A8E19F" w14:textId="49F28058" w:rsidR="00CD7FF5" w:rsidRPr="002F2B00" w:rsidRDefault="00CD7FF5" w:rsidP="00DA2619">
      <w:pPr>
        <w:pStyle w:val="ListParagraph"/>
        <w:numPr>
          <w:ilvl w:val="0"/>
          <w:numId w:val="14"/>
        </w:numPr>
      </w:pPr>
      <w:r w:rsidRPr="002F2B00">
        <w:t>UN Convention on the Rights of the Child 1989 (UN CRC);</w:t>
      </w:r>
      <w:r w:rsidRPr="002F2B00">
        <w:rPr>
          <w:rStyle w:val="FootnoteReference"/>
        </w:rPr>
        <w:footnoteReference w:id="297"/>
      </w:r>
      <w:r w:rsidR="00DA2619" w:rsidRPr="002F2B00">
        <w:t xml:space="preserve"> </w:t>
      </w:r>
      <w:r w:rsidR="007E52F8" w:rsidRPr="002F2B00">
        <w:t>and</w:t>
      </w:r>
    </w:p>
    <w:p w14:paraId="23E449C9" w14:textId="036C39EA" w:rsidR="00CD7FF5" w:rsidRPr="002F2B00" w:rsidRDefault="00CD7FF5" w:rsidP="00CD7FF5">
      <w:pPr>
        <w:pStyle w:val="ListParagraph"/>
        <w:numPr>
          <w:ilvl w:val="0"/>
          <w:numId w:val="14"/>
        </w:numPr>
      </w:pPr>
      <w:r w:rsidRPr="002F2B00">
        <w:t>UN Convention on the Rights of Persons with Disabilities 2006 (UN CRPD)</w:t>
      </w:r>
      <w:r w:rsidR="007E52F8" w:rsidRPr="002F2B00">
        <w:t>.</w:t>
      </w:r>
      <w:r w:rsidRPr="002F2B00">
        <w:rPr>
          <w:rStyle w:val="FootnoteReference"/>
        </w:rPr>
        <w:footnoteReference w:id="298"/>
      </w:r>
      <w:r w:rsidRPr="002F2B00">
        <w:t xml:space="preserve"> </w:t>
      </w:r>
    </w:p>
    <w:p w14:paraId="054CDCAF" w14:textId="77777777" w:rsidR="00CD7FF5" w:rsidRPr="002F2B00" w:rsidRDefault="00CD7FF5" w:rsidP="00CD7FF5">
      <w:pPr>
        <w:spacing w:line="24" w:lineRule="atLeast"/>
      </w:pPr>
    </w:p>
    <w:p w14:paraId="70BAE017" w14:textId="77777777" w:rsidR="00CD7FF5" w:rsidRPr="002F2B00" w:rsidRDefault="69D147CC" w:rsidP="00653466">
      <w:pPr>
        <w:pStyle w:val="ListParagraph"/>
        <w:numPr>
          <w:ilvl w:val="1"/>
          <w:numId w:val="16"/>
        </w:numPr>
        <w:ind w:left="567" w:hanging="567"/>
      </w:pPr>
      <w:r w:rsidRPr="002F2B00">
        <w:t xml:space="preserve">In addition to these standards, there exists a body of ‘soft law’ developed by the human rights bodies of the </w:t>
      </w:r>
      <w:proofErr w:type="spellStart"/>
      <w:r w:rsidRPr="002F2B00">
        <w:t>CoE</w:t>
      </w:r>
      <w:proofErr w:type="spellEnd"/>
      <w:r w:rsidRPr="002F2B00">
        <w:t xml:space="preserve"> and UN. These declarations and principles are non-binding but provide further guidance in respect of specific areas. The relevant standards in this context include:</w:t>
      </w:r>
    </w:p>
    <w:p w14:paraId="4C33CD3D" w14:textId="77777777" w:rsidR="00CD7FF5" w:rsidRPr="002F2B00" w:rsidRDefault="00CD7FF5" w:rsidP="00CD7FF5">
      <w:pPr>
        <w:pStyle w:val="ListParagraph"/>
        <w:ind w:left="709"/>
      </w:pPr>
    </w:p>
    <w:p w14:paraId="673BA6E8" w14:textId="77777777" w:rsidR="007E52F8" w:rsidRPr="002F2B00" w:rsidRDefault="007E52F8" w:rsidP="007E52F8">
      <w:pPr>
        <w:pStyle w:val="FootnoteText"/>
        <w:numPr>
          <w:ilvl w:val="0"/>
          <w:numId w:val="17"/>
        </w:numPr>
        <w:rPr>
          <w:sz w:val="24"/>
          <w:szCs w:val="24"/>
        </w:rPr>
      </w:pPr>
      <w:r w:rsidRPr="002F2B00">
        <w:rPr>
          <w:sz w:val="24"/>
          <w:szCs w:val="24"/>
        </w:rPr>
        <w:lastRenderedPageBreak/>
        <w:t>UN Human Rights Committee General Comment No 16;</w:t>
      </w:r>
      <w:r w:rsidRPr="002F2B00">
        <w:rPr>
          <w:rStyle w:val="FootnoteReference"/>
          <w:szCs w:val="24"/>
        </w:rPr>
        <w:footnoteReference w:id="299"/>
      </w:r>
    </w:p>
    <w:p w14:paraId="767F04B2" w14:textId="77777777" w:rsidR="007E52F8" w:rsidRPr="002F2B00" w:rsidRDefault="007E52F8" w:rsidP="007E52F8">
      <w:pPr>
        <w:pStyle w:val="FootnoteText"/>
        <w:numPr>
          <w:ilvl w:val="0"/>
          <w:numId w:val="17"/>
        </w:numPr>
        <w:rPr>
          <w:sz w:val="24"/>
          <w:szCs w:val="24"/>
        </w:rPr>
      </w:pPr>
      <w:r w:rsidRPr="002F2B00">
        <w:rPr>
          <w:sz w:val="24"/>
          <w:szCs w:val="24"/>
        </w:rPr>
        <w:t xml:space="preserve">UN Economic and Social Council resolution on effective prevention and investigation of extra-legal, </w:t>
      </w:r>
      <w:proofErr w:type="gramStart"/>
      <w:r w:rsidRPr="002F2B00">
        <w:rPr>
          <w:sz w:val="24"/>
          <w:szCs w:val="24"/>
        </w:rPr>
        <w:t>arbitrary</w:t>
      </w:r>
      <w:proofErr w:type="gramEnd"/>
      <w:r w:rsidRPr="002F2B00">
        <w:rPr>
          <w:sz w:val="24"/>
          <w:szCs w:val="24"/>
        </w:rPr>
        <w:t xml:space="preserve"> and summary executions;</w:t>
      </w:r>
      <w:r w:rsidRPr="002F2B00">
        <w:rPr>
          <w:rStyle w:val="FootnoteReference"/>
          <w:szCs w:val="24"/>
        </w:rPr>
        <w:footnoteReference w:id="300"/>
      </w:r>
    </w:p>
    <w:p w14:paraId="01E40885" w14:textId="77777777" w:rsidR="007E52F8" w:rsidRPr="002F2B00" w:rsidRDefault="007E52F8" w:rsidP="007E52F8">
      <w:pPr>
        <w:pStyle w:val="FootnoteText"/>
        <w:numPr>
          <w:ilvl w:val="0"/>
          <w:numId w:val="17"/>
        </w:numPr>
        <w:rPr>
          <w:sz w:val="24"/>
          <w:szCs w:val="24"/>
        </w:rPr>
      </w:pPr>
      <w:r w:rsidRPr="002F2B00">
        <w:rPr>
          <w:sz w:val="24"/>
          <w:szCs w:val="24"/>
        </w:rPr>
        <w:t>UN Declaration on the protection of all persons from enforced disappearances;</w:t>
      </w:r>
      <w:r w:rsidRPr="002F2B00">
        <w:rPr>
          <w:rStyle w:val="FootnoteReference"/>
          <w:szCs w:val="24"/>
        </w:rPr>
        <w:footnoteReference w:id="301"/>
      </w:r>
    </w:p>
    <w:p w14:paraId="24278081" w14:textId="77777777" w:rsidR="007E52F8" w:rsidRPr="002F2B00" w:rsidRDefault="007E52F8" w:rsidP="007E52F8">
      <w:pPr>
        <w:pStyle w:val="FootnoteText"/>
        <w:numPr>
          <w:ilvl w:val="0"/>
          <w:numId w:val="17"/>
        </w:numPr>
        <w:rPr>
          <w:sz w:val="24"/>
          <w:szCs w:val="24"/>
        </w:rPr>
      </w:pPr>
      <w:r w:rsidRPr="002F2B00">
        <w:rPr>
          <w:sz w:val="24"/>
          <w:szCs w:val="24"/>
        </w:rPr>
        <w:t xml:space="preserve">UN Independent Expert, Diane </w:t>
      </w:r>
      <w:proofErr w:type="spellStart"/>
      <w:r w:rsidRPr="002F2B00">
        <w:rPr>
          <w:sz w:val="24"/>
          <w:szCs w:val="24"/>
        </w:rPr>
        <w:t>Oretlicher’s</w:t>
      </w:r>
      <w:proofErr w:type="spellEnd"/>
      <w:r w:rsidRPr="002F2B00">
        <w:rPr>
          <w:sz w:val="24"/>
          <w:szCs w:val="24"/>
        </w:rPr>
        <w:t xml:space="preserve"> report on combatting impunity;</w:t>
      </w:r>
      <w:r w:rsidRPr="002F2B00">
        <w:rPr>
          <w:rStyle w:val="FootnoteReference"/>
          <w:szCs w:val="24"/>
        </w:rPr>
        <w:footnoteReference w:id="302"/>
      </w:r>
    </w:p>
    <w:p w14:paraId="1A799276" w14:textId="77777777" w:rsidR="007E52F8" w:rsidRPr="002F2B00" w:rsidRDefault="007E52F8" w:rsidP="007E52F8">
      <w:pPr>
        <w:pStyle w:val="FootnoteText"/>
        <w:numPr>
          <w:ilvl w:val="0"/>
          <w:numId w:val="17"/>
        </w:numPr>
        <w:rPr>
          <w:sz w:val="24"/>
          <w:szCs w:val="24"/>
        </w:rPr>
      </w:pPr>
      <w:r w:rsidRPr="002F2B00">
        <w:rPr>
          <w:sz w:val="24"/>
          <w:szCs w:val="24"/>
        </w:rPr>
        <w:t>UN General Assembly resolution on right to a remedy;</w:t>
      </w:r>
      <w:r w:rsidRPr="002F2B00">
        <w:rPr>
          <w:rStyle w:val="FootnoteReference"/>
          <w:szCs w:val="24"/>
        </w:rPr>
        <w:footnoteReference w:id="303"/>
      </w:r>
    </w:p>
    <w:p w14:paraId="44F468D2" w14:textId="77777777" w:rsidR="007E52F8" w:rsidRPr="002F2B00" w:rsidRDefault="007E52F8" w:rsidP="007E52F8">
      <w:pPr>
        <w:pStyle w:val="FootnoteText"/>
        <w:numPr>
          <w:ilvl w:val="0"/>
          <w:numId w:val="17"/>
        </w:numPr>
        <w:rPr>
          <w:sz w:val="24"/>
          <w:szCs w:val="24"/>
        </w:rPr>
      </w:pPr>
      <w:r w:rsidRPr="002F2B00">
        <w:rPr>
          <w:sz w:val="24"/>
          <w:szCs w:val="24"/>
        </w:rPr>
        <w:t>UN High Commissioner for Human Rights study on right to truth;</w:t>
      </w:r>
      <w:r w:rsidRPr="002F2B00">
        <w:rPr>
          <w:rStyle w:val="FootnoteReference"/>
          <w:szCs w:val="24"/>
        </w:rPr>
        <w:footnoteReference w:id="304"/>
      </w:r>
    </w:p>
    <w:p w14:paraId="6F6623B7" w14:textId="77777777" w:rsidR="007E52F8" w:rsidRPr="002F2B00" w:rsidRDefault="007E52F8" w:rsidP="007E52F8">
      <w:pPr>
        <w:pStyle w:val="FootnoteText"/>
        <w:numPr>
          <w:ilvl w:val="0"/>
          <w:numId w:val="17"/>
        </w:numPr>
        <w:rPr>
          <w:sz w:val="24"/>
          <w:szCs w:val="24"/>
        </w:rPr>
      </w:pPr>
      <w:r w:rsidRPr="002F2B00">
        <w:rPr>
          <w:sz w:val="24"/>
          <w:szCs w:val="24"/>
        </w:rPr>
        <w:t>UN Special Rapporteur on extrajudicial summary or arbitrary executions, Philip Alston’s report;</w:t>
      </w:r>
      <w:r w:rsidRPr="002F2B00">
        <w:rPr>
          <w:rStyle w:val="FootnoteReference"/>
          <w:szCs w:val="24"/>
        </w:rPr>
        <w:footnoteReference w:id="305"/>
      </w:r>
    </w:p>
    <w:p w14:paraId="3C75251B" w14:textId="77777777" w:rsidR="007E52F8" w:rsidRPr="002F2B00" w:rsidRDefault="007E52F8" w:rsidP="007E52F8">
      <w:pPr>
        <w:pStyle w:val="FootnoteText"/>
        <w:numPr>
          <w:ilvl w:val="0"/>
          <w:numId w:val="17"/>
        </w:numPr>
        <w:rPr>
          <w:sz w:val="24"/>
          <w:szCs w:val="24"/>
        </w:rPr>
      </w:pPr>
      <w:r w:rsidRPr="002F2B00">
        <w:rPr>
          <w:sz w:val="24"/>
          <w:szCs w:val="24"/>
        </w:rPr>
        <w:t>UN Committee against Torture (UN CAT Committee) General Comment No 2;</w:t>
      </w:r>
      <w:r w:rsidRPr="002F2B00">
        <w:rPr>
          <w:rStyle w:val="FootnoteReference"/>
          <w:szCs w:val="24"/>
        </w:rPr>
        <w:footnoteReference w:id="306"/>
      </w:r>
    </w:p>
    <w:p w14:paraId="751D5FF0" w14:textId="77777777" w:rsidR="007E52F8" w:rsidRPr="002F2B00" w:rsidRDefault="007E52F8" w:rsidP="007E52F8">
      <w:pPr>
        <w:pStyle w:val="FootnoteText"/>
        <w:numPr>
          <w:ilvl w:val="0"/>
          <w:numId w:val="17"/>
        </w:numPr>
        <w:rPr>
          <w:sz w:val="24"/>
          <w:szCs w:val="24"/>
        </w:rPr>
      </w:pPr>
      <w:r w:rsidRPr="002F2B00">
        <w:rPr>
          <w:sz w:val="24"/>
          <w:szCs w:val="24"/>
        </w:rPr>
        <w:t>UN General Assembly guidance note on transitional justice;</w:t>
      </w:r>
      <w:r w:rsidRPr="002F2B00">
        <w:rPr>
          <w:rStyle w:val="FootnoteReference"/>
          <w:szCs w:val="24"/>
        </w:rPr>
        <w:footnoteReference w:id="307"/>
      </w:r>
    </w:p>
    <w:p w14:paraId="02F65FF2" w14:textId="77777777" w:rsidR="007E52F8" w:rsidRPr="002F2B00" w:rsidRDefault="007E52F8" w:rsidP="007E52F8">
      <w:pPr>
        <w:pStyle w:val="FootnoteText"/>
        <w:numPr>
          <w:ilvl w:val="0"/>
          <w:numId w:val="17"/>
        </w:numPr>
        <w:rPr>
          <w:sz w:val="24"/>
          <w:szCs w:val="24"/>
        </w:rPr>
      </w:pPr>
      <w:r w:rsidRPr="002F2B00">
        <w:rPr>
          <w:sz w:val="24"/>
          <w:szCs w:val="24"/>
        </w:rPr>
        <w:t xml:space="preserve">UN Special Rapporteur on promotion of truth, Pablo de </w:t>
      </w:r>
      <w:proofErr w:type="spellStart"/>
      <w:r w:rsidRPr="002F2B00">
        <w:rPr>
          <w:sz w:val="24"/>
          <w:szCs w:val="24"/>
        </w:rPr>
        <w:t>Greiff’s</w:t>
      </w:r>
      <w:proofErr w:type="spellEnd"/>
      <w:r w:rsidRPr="002F2B00">
        <w:rPr>
          <w:sz w:val="24"/>
          <w:szCs w:val="24"/>
        </w:rPr>
        <w:t xml:space="preserve"> report;</w:t>
      </w:r>
      <w:r w:rsidRPr="002F2B00">
        <w:rPr>
          <w:rStyle w:val="FootnoteReference"/>
          <w:szCs w:val="24"/>
        </w:rPr>
        <w:footnoteReference w:id="308"/>
      </w:r>
    </w:p>
    <w:p w14:paraId="40CB6DCD" w14:textId="77777777" w:rsidR="007E52F8" w:rsidRPr="002F2B00" w:rsidRDefault="007E52F8" w:rsidP="007E52F8">
      <w:pPr>
        <w:pStyle w:val="FootnoteText"/>
        <w:numPr>
          <w:ilvl w:val="0"/>
          <w:numId w:val="17"/>
        </w:numPr>
        <w:rPr>
          <w:sz w:val="24"/>
          <w:szCs w:val="24"/>
        </w:rPr>
      </w:pPr>
      <w:r w:rsidRPr="002F2B00">
        <w:rPr>
          <w:sz w:val="24"/>
          <w:szCs w:val="24"/>
        </w:rPr>
        <w:t>UN CAT Committee General Comment No 3;</w:t>
      </w:r>
      <w:r w:rsidRPr="002F2B00">
        <w:rPr>
          <w:rStyle w:val="FootnoteReference"/>
          <w:szCs w:val="24"/>
        </w:rPr>
        <w:footnoteReference w:id="309"/>
      </w:r>
    </w:p>
    <w:p w14:paraId="574035BA" w14:textId="77777777" w:rsidR="007E52F8" w:rsidRPr="002F2B00" w:rsidRDefault="007E52F8" w:rsidP="007E52F8">
      <w:pPr>
        <w:pStyle w:val="FootnoteText"/>
        <w:numPr>
          <w:ilvl w:val="0"/>
          <w:numId w:val="17"/>
        </w:numPr>
        <w:rPr>
          <w:sz w:val="24"/>
          <w:szCs w:val="24"/>
        </w:rPr>
      </w:pPr>
      <w:r w:rsidRPr="002F2B00">
        <w:rPr>
          <w:sz w:val="24"/>
          <w:szCs w:val="24"/>
        </w:rPr>
        <w:t>UN CRPD Committee General Comment No 2;</w:t>
      </w:r>
      <w:r w:rsidRPr="002F2B00">
        <w:rPr>
          <w:rStyle w:val="FootnoteReference"/>
          <w:szCs w:val="24"/>
        </w:rPr>
        <w:footnoteReference w:id="310"/>
      </w:r>
    </w:p>
    <w:p w14:paraId="555A12C3" w14:textId="77777777" w:rsidR="007E52F8" w:rsidRPr="002F2B00" w:rsidRDefault="007E52F8" w:rsidP="007E52F8">
      <w:pPr>
        <w:pStyle w:val="FootnoteText"/>
        <w:numPr>
          <w:ilvl w:val="0"/>
          <w:numId w:val="17"/>
        </w:numPr>
        <w:rPr>
          <w:sz w:val="24"/>
          <w:szCs w:val="24"/>
        </w:rPr>
      </w:pPr>
      <w:r w:rsidRPr="002F2B00">
        <w:rPr>
          <w:sz w:val="24"/>
          <w:szCs w:val="24"/>
        </w:rPr>
        <w:t>UN Human Rights Committee Concluding Observations on the UK;</w:t>
      </w:r>
      <w:r w:rsidRPr="002F2B00">
        <w:rPr>
          <w:rStyle w:val="FootnoteReference"/>
          <w:szCs w:val="24"/>
        </w:rPr>
        <w:footnoteReference w:id="311"/>
      </w:r>
    </w:p>
    <w:p w14:paraId="7B8E95C8" w14:textId="77777777" w:rsidR="007E52F8" w:rsidRPr="002F2B00" w:rsidRDefault="007E52F8" w:rsidP="007E52F8">
      <w:pPr>
        <w:pStyle w:val="FootnoteText"/>
        <w:numPr>
          <w:ilvl w:val="0"/>
          <w:numId w:val="17"/>
        </w:numPr>
        <w:rPr>
          <w:sz w:val="24"/>
          <w:szCs w:val="24"/>
        </w:rPr>
      </w:pPr>
      <w:r w:rsidRPr="002F2B00">
        <w:rPr>
          <w:sz w:val="24"/>
          <w:szCs w:val="24"/>
        </w:rPr>
        <w:lastRenderedPageBreak/>
        <w:t>Revised Minnesota Protocol on the investigation of a potentially unlawful death;</w:t>
      </w:r>
      <w:r w:rsidRPr="002F2B00">
        <w:rPr>
          <w:rStyle w:val="FootnoteReference"/>
          <w:szCs w:val="24"/>
        </w:rPr>
        <w:footnoteReference w:id="312"/>
      </w:r>
    </w:p>
    <w:p w14:paraId="28151CC8" w14:textId="77777777" w:rsidR="007E52F8" w:rsidRPr="002F2B00" w:rsidRDefault="007E52F8" w:rsidP="007E52F8">
      <w:pPr>
        <w:pStyle w:val="FootnoteText"/>
        <w:numPr>
          <w:ilvl w:val="0"/>
          <w:numId w:val="17"/>
        </w:numPr>
        <w:rPr>
          <w:sz w:val="24"/>
          <w:szCs w:val="24"/>
        </w:rPr>
      </w:pPr>
      <w:proofErr w:type="spellStart"/>
      <w:r w:rsidRPr="002F2B00">
        <w:rPr>
          <w:sz w:val="24"/>
          <w:szCs w:val="24"/>
        </w:rPr>
        <w:t>CoE</w:t>
      </w:r>
      <w:proofErr w:type="spellEnd"/>
      <w:r w:rsidRPr="002F2B00">
        <w:rPr>
          <w:sz w:val="24"/>
          <w:szCs w:val="24"/>
        </w:rPr>
        <w:t xml:space="preserve"> European Commission for Democracy through Law’s rule of law checklist;</w:t>
      </w:r>
      <w:r w:rsidRPr="002F2B00">
        <w:rPr>
          <w:rStyle w:val="FootnoteReference"/>
          <w:szCs w:val="24"/>
        </w:rPr>
        <w:footnoteReference w:id="313"/>
      </w:r>
    </w:p>
    <w:p w14:paraId="4CFDF9B3" w14:textId="77777777" w:rsidR="007E52F8" w:rsidRPr="002F2B00" w:rsidRDefault="007E52F8" w:rsidP="007E52F8">
      <w:pPr>
        <w:pStyle w:val="FootnoteText"/>
        <w:numPr>
          <w:ilvl w:val="0"/>
          <w:numId w:val="17"/>
        </w:numPr>
        <w:rPr>
          <w:sz w:val="24"/>
          <w:szCs w:val="24"/>
        </w:rPr>
      </w:pPr>
      <w:proofErr w:type="spellStart"/>
      <w:r w:rsidRPr="002F2B00">
        <w:rPr>
          <w:sz w:val="24"/>
          <w:szCs w:val="24"/>
        </w:rPr>
        <w:t>CoE</w:t>
      </w:r>
      <w:proofErr w:type="spellEnd"/>
      <w:r w:rsidRPr="002F2B00">
        <w:rPr>
          <w:sz w:val="24"/>
          <w:szCs w:val="24"/>
        </w:rPr>
        <w:t xml:space="preserve"> Committee of Ministers 2016 Decision on </w:t>
      </w:r>
      <w:proofErr w:type="spellStart"/>
      <w:r w:rsidRPr="002F2B00">
        <w:rPr>
          <w:sz w:val="24"/>
          <w:szCs w:val="24"/>
        </w:rPr>
        <w:t>McKerr</w:t>
      </w:r>
      <w:proofErr w:type="spellEnd"/>
      <w:r w:rsidRPr="002F2B00">
        <w:rPr>
          <w:sz w:val="24"/>
          <w:szCs w:val="24"/>
        </w:rPr>
        <w:t xml:space="preserve"> Group of cases;</w:t>
      </w:r>
      <w:r w:rsidRPr="002F2B00">
        <w:rPr>
          <w:rStyle w:val="FootnoteReference"/>
          <w:szCs w:val="24"/>
        </w:rPr>
        <w:footnoteReference w:id="314"/>
      </w:r>
    </w:p>
    <w:p w14:paraId="46612816" w14:textId="77777777" w:rsidR="007E52F8" w:rsidRPr="002F2B00" w:rsidRDefault="007E52F8" w:rsidP="007E52F8">
      <w:pPr>
        <w:pStyle w:val="FootnoteText"/>
        <w:numPr>
          <w:ilvl w:val="0"/>
          <w:numId w:val="17"/>
        </w:numPr>
        <w:rPr>
          <w:sz w:val="24"/>
          <w:szCs w:val="24"/>
        </w:rPr>
      </w:pPr>
      <w:r w:rsidRPr="002F2B00">
        <w:rPr>
          <w:sz w:val="24"/>
          <w:szCs w:val="24"/>
        </w:rPr>
        <w:t xml:space="preserve">UN Special Rapporteur on the promotion of truth, Pablo de </w:t>
      </w:r>
      <w:proofErr w:type="spellStart"/>
      <w:r w:rsidRPr="002F2B00">
        <w:rPr>
          <w:sz w:val="24"/>
          <w:szCs w:val="24"/>
        </w:rPr>
        <w:t>Greiff</w:t>
      </w:r>
      <w:proofErr w:type="spellEnd"/>
      <w:r w:rsidRPr="002F2B00">
        <w:rPr>
          <w:sz w:val="24"/>
          <w:szCs w:val="24"/>
        </w:rPr>
        <w:t>, report on the UK;</w:t>
      </w:r>
      <w:r w:rsidRPr="002F2B00">
        <w:rPr>
          <w:rStyle w:val="FootnoteReference"/>
          <w:szCs w:val="24"/>
        </w:rPr>
        <w:footnoteReference w:id="315"/>
      </w:r>
    </w:p>
    <w:p w14:paraId="184BA897" w14:textId="77777777" w:rsidR="007E52F8" w:rsidRPr="002F2B00" w:rsidRDefault="007E52F8" w:rsidP="007E52F8">
      <w:pPr>
        <w:pStyle w:val="FootnoteText"/>
        <w:numPr>
          <w:ilvl w:val="0"/>
          <w:numId w:val="17"/>
        </w:numPr>
        <w:rPr>
          <w:sz w:val="24"/>
          <w:szCs w:val="24"/>
        </w:rPr>
      </w:pPr>
      <w:r w:rsidRPr="002F2B00">
        <w:rPr>
          <w:sz w:val="24"/>
          <w:szCs w:val="24"/>
        </w:rPr>
        <w:t>UN CEDAW Committee General Comment No 35;</w:t>
      </w:r>
      <w:r w:rsidRPr="002F2B00">
        <w:rPr>
          <w:rStyle w:val="FootnoteReference"/>
          <w:szCs w:val="24"/>
        </w:rPr>
        <w:footnoteReference w:id="316"/>
      </w:r>
    </w:p>
    <w:p w14:paraId="298F5F1B" w14:textId="77777777" w:rsidR="007E52F8" w:rsidRPr="002F2B00" w:rsidRDefault="007E52F8" w:rsidP="007E52F8">
      <w:pPr>
        <w:pStyle w:val="FootnoteText"/>
        <w:numPr>
          <w:ilvl w:val="0"/>
          <w:numId w:val="17"/>
        </w:numPr>
        <w:rPr>
          <w:sz w:val="24"/>
          <w:szCs w:val="24"/>
        </w:rPr>
      </w:pPr>
      <w:r w:rsidRPr="002F2B00">
        <w:rPr>
          <w:sz w:val="24"/>
          <w:szCs w:val="24"/>
        </w:rPr>
        <w:t>UN Human Rights Committee General Comment No 36;</w:t>
      </w:r>
      <w:r w:rsidRPr="002F2B00">
        <w:rPr>
          <w:rStyle w:val="FootnoteReference"/>
          <w:szCs w:val="24"/>
        </w:rPr>
        <w:footnoteReference w:id="317"/>
      </w:r>
      <w:r w:rsidRPr="002F2B00">
        <w:rPr>
          <w:sz w:val="24"/>
          <w:szCs w:val="24"/>
        </w:rPr>
        <w:t xml:space="preserve"> </w:t>
      </w:r>
    </w:p>
    <w:p w14:paraId="7C4055C3" w14:textId="77777777" w:rsidR="007E52F8" w:rsidRPr="002F2B00" w:rsidRDefault="007E52F8" w:rsidP="007E52F8">
      <w:pPr>
        <w:pStyle w:val="FootnoteText"/>
        <w:numPr>
          <w:ilvl w:val="0"/>
          <w:numId w:val="17"/>
        </w:numPr>
        <w:rPr>
          <w:sz w:val="24"/>
          <w:szCs w:val="24"/>
        </w:rPr>
      </w:pPr>
      <w:r w:rsidRPr="002F2B00">
        <w:rPr>
          <w:sz w:val="24"/>
          <w:szCs w:val="24"/>
        </w:rPr>
        <w:t>UN CAT Committee Concluding Observations on the UK;</w:t>
      </w:r>
      <w:r w:rsidRPr="002F2B00">
        <w:rPr>
          <w:rStyle w:val="FootnoteReference"/>
          <w:szCs w:val="24"/>
        </w:rPr>
        <w:footnoteReference w:id="318"/>
      </w:r>
    </w:p>
    <w:p w14:paraId="4B271A91" w14:textId="77777777" w:rsidR="007E52F8" w:rsidRPr="002F2B00" w:rsidRDefault="007E52F8" w:rsidP="007E52F8">
      <w:pPr>
        <w:pStyle w:val="FootnoteText"/>
        <w:numPr>
          <w:ilvl w:val="0"/>
          <w:numId w:val="17"/>
        </w:numPr>
        <w:rPr>
          <w:sz w:val="24"/>
          <w:szCs w:val="24"/>
        </w:rPr>
      </w:pPr>
      <w:proofErr w:type="spellStart"/>
      <w:r w:rsidRPr="002F2B00">
        <w:rPr>
          <w:sz w:val="24"/>
          <w:szCs w:val="24"/>
        </w:rPr>
        <w:t>CoE</w:t>
      </w:r>
      <w:proofErr w:type="spellEnd"/>
      <w:r w:rsidRPr="002F2B00">
        <w:rPr>
          <w:sz w:val="24"/>
          <w:szCs w:val="24"/>
        </w:rPr>
        <w:t xml:space="preserve"> Committee of Ministers 2022 Decision on </w:t>
      </w:r>
      <w:proofErr w:type="spellStart"/>
      <w:r w:rsidRPr="002F2B00">
        <w:rPr>
          <w:sz w:val="24"/>
          <w:szCs w:val="24"/>
        </w:rPr>
        <w:t>McKerr</w:t>
      </w:r>
      <w:proofErr w:type="spellEnd"/>
      <w:r w:rsidRPr="002F2B00">
        <w:rPr>
          <w:sz w:val="24"/>
          <w:szCs w:val="24"/>
        </w:rPr>
        <w:t xml:space="preserve"> Group of cases.</w:t>
      </w:r>
      <w:r w:rsidRPr="002F2B00">
        <w:rPr>
          <w:rStyle w:val="FootnoteReference"/>
          <w:szCs w:val="24"/>
        </w:rPr>
        <w:footnoteReference w:id="319"/>
      </w:r>
    </w:p>
    <w:p w14:paraId="365F78E9" w14:textId="72314547" w:rsidR="00CD7FF5" w:rsidRPr="002F2B00" w:rsidRDefault="00CD7FF5" w:rsidP="007E52F8">
      <w:pPr>
        <w:spacing w:line="24" w:lineRule="atLeast"/>
        <w:ind w:left="1440"/>
        <w:contextualSpacing/>
      </w:pPr>
    </w:p>
    <w:p w14:paraId="5EDABD92" w14:textId="0FBE9C56" w:rsidR="00573A2C" w:rsidRPr="002F2B00" w:rsidRDefault="00573A2C" w:rsidP="00573A2C">
      <w:pPr>
        <w:pStyle w:val="ListParagraph"/>
        <w:numPr>
          <w:ilvl w:val="1"/>
          <w:numId w:val="45"/>
        </w:numPr>
        <w:spacing w:after="240"/>
      </w:pPr>
      <w:r w:rsidRPr="002F2B00">
        <w:t xml:space="preserve">The NIHRC further advises on the UK Government’s commitment in Protocol Article 2 to ensure there is no diminution of rights, </w:t>
      </w:r>
      <w:proofErr w:type="gramStart"/>
      <w:r w:rsidRPr="002F2B00">
        <w:t>safeguards</w:t>
      </w:r>
      <w:proofErr w:type="gramEnd"/>
      <w:r w:rsidRPr="002F2B00">
        <w:t xml:space="preserve"> and equality of opportunity in the relevant section of the Belfast (Good Friday) Agreement as a result of the UK’s withdrawal from the EU. This is given effect in UK law by section 7A of the EU (Withdrawal) Act 2018. The relevant EU measures in this context include:</w:t>
      </w:r>
    </w:p>
    <w:p w14:paraId="1E803D7A" w14:textId="77777777" w:rsidR="00573A2C" w:rsidRPr="002F2B00" w:rsidRDefault="00573A2C" w:rsidP="00573A2C">
      <w:pPr>
        <w:pStyle w:val="ListParagraph"/>
        <w:spacing w:after="240"/>
      </w:pPr>
    </w:p>
    <w:p w14:paraId="04469122" w14:textId="11B7D24B" w:rsidR="00573A2C" w:rsidRPr="002F2B00" w:rsidRDefault="00573A2C" w:rsidP="00573A2C">
      <w:pPr>
        <w:pStyle w:val="ListParagraph"/>
        <w:numPr>
          <w:ilvl w:val="0"/>
          <w:numId w:val="46"/>
        </w:numPr>
        <w:spacing w:after="240"/>
      </w:pPr>
      <w:r w:rsidRPr="002F2B00">
        <w:t>EU Victims’ Directive;</w:t>
      </w:r>
      <w:r w:rsidRPr="002F2B00">
        <w:rPr>
          <w:rStyle w:val="FootnoteReference"/>
        </w:rPr>
        <w:footnoteReference w:id="320"/>
      </w:r>
      <w:r w:rsidRPr="002F2B00">
        <w:t xml:space="preserve"> and</w:t>
      </w:r>
    </w:p>
    <w:p w14:paraId="774FDA47" w14:textId="261810BB" w:rsidR="00CD7FF5" w:rsidRPr="002F2B00" w:rsidRDefault="00573A2C" w:rsidP="00573A2C">
      <w:pPr>
        <w:pStyle w:val="ListParagraph"/>
        <w:numPr>
          <w:ilvl w:val="0"/>
          <w:numId w:val="46"/>
        </w:numPr>
        <w:spacing w:after="240"/>
      </w:pPr>
      <w:r w:rsidRPr="002F2B00">
        <w:t>EU General Data Protection Regulation.</w:t>
      </w:r>
      <w:r w:rsidRPr="002F2B00">
        <w:rPr>
          <w:rStyle w:val="FootnoteReference"/>
        </w:rPr>
        <w:footnoteReference w:id="321"/>
      </w:r>
      <w:r w:rsidR="00CD7FF5" w:rsidRPr="002F2B00">
        <w:rPr>
          <w:szCs w:val="24"/>
        </w:rPr>
        <w:br w:type="page"/>
      </w:r>
    </w:p>
    <w:p w14:paraId="4A57CB74" w14:textId="31BF8929" w:rsidR="00CD7FF5" w:rsidRPr="002F2B00" w:rsidRDefault="00CD7FF5" w:rsidP="00CD7FF5">
      <w:pPr>
        <w:pStyle w:val="Heading1"/>
      </w:pPr>
      <w:bookmarkStart w:id="33" w:name="_Toc113517962"/>
      <w:r w:rsidRPr="002F2B00">
        <w:lastRenderedPageBreak/>
        <w:t xml:space="preserve">Annex </w:t>
      </w:r>
      <w:r w:rsidR="003925E3" w:rsidRPr="002F2B00">
        <w:t>3</w:t>
      </w:r>
      <w:r w:rsidRPr="002F2B00">
        <w:t>: UK Government Commitments on Legacy Issues</w:t>
      </w:r>
      <w:bookmarkEnd w:id="33"/>
    </w:p>
    <w:p w14:paraId="40291A4F" w14:textId="06439AB3" w:rsidR="003A28CB" w:rsidRPr="002F2B00" w:rsidRDefault="003A28CB" w:rsidP="00C330BB">
      <w:pPr>
        <w:pStyle w:val="ListParagraph"/>
        <w:numPr>
          <w:ilvl w:val="1"/>
          <w:numId w:val="34"/>
        </w:numPr>
        <w:ind w:left="782"/>
        <w:jc w:val="both"/>
        <w:rPr>
          <w:rFonts w:cs="Arial"/>
          <w:szCs w:val="24"/>
        </w:rPr>
      </w:pPr>
      <w:r w:rsidRPr="002F2B00">
        <w:rPr>
          <w:rFonts w:cs="Arial"/>
          <w:szCs w:val="24"/>
        </w:rPr>
        <w:t xml:space="preserve">The </w:t>
      </w:r>
      <w:r w:rsidR="007128BD">
        <w:rPr>
          <w:rFonts w:cs="Arial"/>
          <w:szCs w:val="24"/>
        </w:rPr>
        <w:t>NIHRC</w:t>
      </w:r>
      <w:r w:rsidRPr="002F2B00">
        <w:rPr>
          <w:rFonts w:cs="Arial"/>
          <w:szCs w:val="24"/>
        </w:rPr>
        <w:t xml:space="preserve"> considers that a summary of the background to and context of the current Bill is helpful</w:t>
      </w:r>
      <w:r w:rsidR="006576D8" w:rsidRPr="002F2B00">
        <w:rPr>
          <w:rFonts w:cs="Arial"/>
          <w:szCs w:val="24"/>
        </w:rPr>
        <w:t>, as set out in this Annex</w:t>
      </w:r>
      <w:r w:rsidRPr="002F2B00">
        <w:rPr>
          <w:rFonts w:cs="Arial"/>
          <w:szCs w:val="24"/>
        </w:rPr>
        <w:t>. This Bill does not arise out of the agreement of political representatives in NI, nor from agreement with the Government of Ireland. This has a fundamental bearing on the legitimacy of the Bill, given its clear departure from core human rights standards and the rule of law.</w:t>
      </w:r>
      <w:r w:rsidR="008E791E" w:rsidRPr="002F2B00">
        <w:rPr>
          <w:rFonts w:cs="Arial"/>
          <w:szCs w:val="24"/>
        </w:rPr>
        <w:t xml:space="preserve"> </w:t>
      </w:r>
    </w:p>
    <w:p w14:paraId="630D059A" w14:textId="77777777" w:rsidR="007C4C67" w:rsidRPr="002F2B00" w:rsidRDefault="007C4C67" w:rsidP="00C330BB">
      <w:pPr>
        <w:pStyle w:val="ListParagraph"/>
        <w:ind w:left="782"/>
        <w:jc w:val="both"/>
        <w:rPr>
          <w:rFonts w:cs="Arial"/>
          <w:szCs w:val="24"/>
        </w:rPr>
      </w:pPr>
    </w:p>
    <w:p w14:paraId="7D4FE6E1" w14:textId="600B133A" w:rsidR="007C4C67" w:rsidRPr="002F2B00" w:rsidRDefault="007C4C67" w:rsidP="00C330BB">
      <w:pPr>
        <w:pStyle w:val="ListParagraph"/>
        <w:numPr>
          <w:ilvl w:val="1"/>
          <w:numId w:val="34"/>
        </w:numPr>
        <w:ind w:left="782"/>
        <w:jc w:val="both"/>
        <w:rPr>
          <w:rFonts w:cs="Arial"/>
          <w:szCs w:val="24"/>
        </w:rPr>
      </w:pPr>
      <w:r w:rsidRPr="002F2B00">
        <w:rPr>
          <w:rFonts w:cs="Arial"/>
          <w:szCs w:val="24"/>
        </w:rPr>
        <w:t xml:space="preserve">For present purposes, the starting point is the Belfast (Good Friday) Agreement 1998 as a foundational, constitutional document protection of which is said to guide and drive the UK Government’s approach to legacy. </w:t>
      </w:r>
    </w:p>
    <w:p w14:paraId="03E32863" w14:textId="77777777" w:rsidR="003A28CB" w:rsidRPr="002F2B00" w:rsidRDefault="003A28CB" w:rsidP="003A28CB">
      <w:pPr>
        <w:spacing w:line="360" w:lineRule="auto"/>
        <w:ind w:left="60"/>
        <w:jc w:val="both"/>
        <w:rPr>
          <w:rFonts w:cs="Arial"/>
          <w:szCs w:val="24"/>
        </w:rPr>
      </w:pPr>
    </w:p>
    <w:p w14:paraId="3C910FB8" w14:textId="77777777" w:rsidR="003A28CB" w:rsidRPr="002F2B00" w:rsidRDefault="003A28CB" w:rsidP="003A28CB">
      <w:pPr>
        <w:pStyle w:val="Heading2"/>
      </w:pPr>
      <w:bookmarkStart w:id="34" w:name="_Toc113517963"/>
      <w:r w:rsidRPr="002F2B00">
        <w:t>Belfast (Good Friday) Agreement</w:t>
      </w:r>
      <w:bookmarkEnd w:id="34"/>
    </w:p>
    <w:p w14:paraId="3AEAA625" w14:textId="77777777" w:rsidR="003A28CB" w:rsidRPr="002F2B00" w:rsidRDefault="003A28CB" w:rsidP="00C330BB">
      <w:pPr>
        <w:pStyle w:val="ListParagraph"/>
        <w:numPr>
          <w:ilvl w:val="1"/>
          <w:numId w:val="34"/>
        </w:numPr>
        <w:jc w:val="both"/>
        <w:rPr>
          <w:rFonts w:cs="Arial"/>
          <w:szCs w:val="24"/>
        </w:rPr>
      </w:pPr>
      <w:r w:rsidRPr="002F2B00">
        <w:rPr>
          <w:rFonts w:cs="Arial"/>
          <w:szCs w:val="24"/>
        </w:rPr>
        <w:t>The Belfast (Good Friday) Agreement, in the declaration of support, is described as “a truly historic opportunity for a new beginning.”</w:t>
      </w:r>
      <w:r w:rsidRPr="002F2B00">
        <w:rPr>
          <w:rStyle w:val="FootnoteReference"/>
          <w:rFonts w:cs="Arial"/>
          <w:szCs w:val="24"/>
        </w:rPr>
        <w:footnoteReference w:id="322"/>
      </w:r>
      <w:r w:rsidRPr="002F2B00">
        <w:rPr>
          <w:rFonts w:cs="Arial"/>
          <w:szCs w:val="24"/>
        </w:rPr>
        <w:t xml:space="preserve"> The parties continued “we firmly dedicate ourselves to the achievement of reconciliation, tolerance, and mutual trust, and to the protection and vindication of the human rights of all.”</w:t>
      </w:r>
      <w:r w:rsidRPr="002F2B00">
        <w:rPr>
          <w:rStyle w:val="FootnoteReference"/>
          <w:rFonts w:cs="Arial"/>
          <w:szCs w:val="24"/>
        </w:rPr>
        <w:footnoteReference w:id="323"/>
      </w:r>
      <w:r w:rsidRPr="002F2B00">
        <w:rPr>
          <w:rFonts w:cs="Arial"/>
          <w:szCs w:val="24"/>
        </w:rPr>
        <w:t xml:space="preserve">  Human rights, as protected by the ECHR, were clearly central to the 1998 Agreement. By way of example, the safeguards for the 1998 Agreement were to include provisions prohibiting incompatible legislation by the NI Assembly. Furthermore, the NIHRC was established to advise on and oversee such compatibility. The safeguards were to include “arrangements to provide </w:t>
      </w:r>
      <w:proofErr w:type="gramStart"/>
      <w:r w:rsidRPr="002F2B00">
        <w:rPr>
          <w:rFonts w:cs="Arial"/>
          <w:szCs w:val="24"/>
        </w:rPr>
        <w:t>that key decisions and legislation</w:t>
      </w:r>
      <w:proofErr w:type="gramEnd"/>
      <w:r w:rsidRPr="002F2B00">
        <w:rPr>
          <w:rFonts w:cs="Arial"/>
          <w:szCs w:val="24"/>
        </w:rPr>
        <w:t xml:space="preserve"> are proofed to ensure that they do not infringe the ECHR.” </w:t>
      </w:r>
    </w:p>
    <w:p w14:paraId="56F4A977" w14:textId="77777777" w:rsidR="003A28CB" w:rsidRPr="002F2B00" w:rsidRDefault="003A28CB" w:rsidP="00C330BB">
      <w:pPr>
        <w:pStyle w:val="ListParagraph"/>
        <w:rPr>
          <w:rFonts w:cs="Arial"/>
          <w:szCs w:val="24"/>
        </w:rPr>
      </w:pPr>
    </w:p>
    <w:p w14:paraId="031613C6" w14:textId="77777777" w:rsidR="003A28CB" w:rsidRPr="002F2B00" w:rsidRDefault="003A28CB" w:rsidP="00C330BB">
      <w:pPr>
        <w:pStyle w:val="ListParagraph"/>
        <w:numPr>
          <w:ilvl w:val="1"/>
          <w:numId w:val="34"/>
        </w:numPr>
        <w:jc w:val="both"/>
        <w:rPr>
          <w:rFonts w:cs="Arial"/>
          <w:szCs w:val="24"/>
        </w:rPr>
      </w:pPr>
      <w:r w:rsidRPr="002F2B00">
        <w:rPr>
          <w:rFonts w:cs="Arial"/>
          <w:szCs w:val="24"/>
        </w:rPr>
        <w:t>The Belfast (Good Friday) Agreement states that “the British Government will complete incorporation into NI law of the ECHR, with direct access to the courts, and remedies for breach of the Convention, including power for the courts to overrule Assembly legislation on grounds of inconsistency”.</w:t>
      </w:r>
      <w:r w:rsidRPr="002F2B00">
        <w:rPr>
          <w:rStyle w:val="FootnoteReference"/>
          <w:rFonts w:cs="Arial"/>
          <w:szCs w:val="24"/>
        </w:rPr>
        <w:footnoteReference w:id="324"/>
      </w:r>
      <w:r w:rsidRPr="002F2B00">
        <w:rPr>
          <w:rFonts w:cs="Arial"/>
          <w:szCs w:val="24"/>
        </w:rPr>
        <w:t xml:space="preserve"> </w:t>
      </w:r>
    </w:p>
    <w:p w14:paraId="010148BB" w14:textId="77777777" w:rsidR="003A28CB" w:rsidRPr="002F2B00" w:rsidRDefault="003A28CB" w:rsidP="00C330BB">
      <w:pPr>
        <w:pStyle w:val="ListParagraph"/>
        <w:rPr>
          <w:rFonts w:cs="Arial"/>
          <w:szCs w:val="24"/>
        </w:rPr>
      </w:pPr>
    </w:p>
    <w:p w14:paraId="294FF173" w14:textId="77777777" w:rsidR="003A28CB" w:rsidRPr="002F2B00" w:rsidRDefault="003A28CB" w:rsidP="00C330BB">
      <w:pPr>
        <w:pStyle w:val="ListParagraph"/>
        <w:numPr>
          <w:ilvl w:val="1"/>
          <w:numId w:val="34"/>
        </w:numPr>
        <w:jc w:val="both"/>
        <w:rPr>
          <w:rFonts w:cs="Arial"/>
          <w:szCs w:val="24"/>
        </w:rPr>
      </w:pPr>
      <w:r w:rsidRPr="002F2B00">
        <w:rPr>
          <w:rFonts w:cs="Arial"/>
          <w:szCs w:val="24"/>
        </w:rPr>
        <w:t>The Belfast (Good Friday) Agreement recognises the particular importance of reconciliation in the context of victims of violence. It states “the participants believe that it is essential to acknowledge and address the suffering of the victims of violence as a necessary element of reconciliation. They look forward to the results of the work of the NI Victims Commission”.</w:t>
      </w:r>
      <w:r w:rsidRPr="002F2B00">
        <w:rPr>
          <w:rStyle w:val="FootnoteReference"/>
          <w:rFonts w:cs="Arial"/>
          <w:szCs w:val="24"/>
        </w:rPr>
        <w:footnoteReference w:id="325"/>
      </w:r>
      <w:r w:rsidRPr="002F2B00">
        <w:rPr>
          <w:rFonts w:cs="Arial"/>
          <w:szCs w:val="24"/>
        </w:rPr>
        <w:t xml:space="preserve"> </w:t>
      </w:r>
    </w:p>
    <w:p w14:paraId="7AEE8622" w14:textId="77777777" w:rsidR="003A28CB" w:rsidRPr="002F2B00" w:rsidRDefault="003A28CB" w:rsidP="003A28CB">
      <w:pPr>
        <w:spacing w:line="360" w:lineRule="auto"/>
        <w:jc w:val="both"/>
        <w:rPr>
          <w:rFonts w:cs="Arial"/>
          <w:szCs w:val="24"/>
        </w:rPr>
      </w:pPr>
    </w:p>
    <w:p w14:paraId="2B9CD0B5" w14:textId="77777777" w:rsidR="003A28CB" w:rsidRPr="002F2B00" w:rsidRDefault="003A28CB" w:rsidP="003A28CB">
      <w:pPr>
        <w:pStyle w:val="Heading2"/>
      </w:pPr>
      <w:bookmarkStart w:id="35" w:name="_Toc113517964"/>
      <w:r w:rsidRPr="002F2B00">
        <w:t>NI Act 1998</w:t>
      </w:r>
      <w:bookmarkEnd w:id="35"/>
    </w:p>
    <w:p w14:paraId="39FF85D9" w14:textId="77777777" w:rsidR="003A28CB" w:rsidRPr="002F2B00" w:rsidRDefault="003A28CB" w:rsidP="00C330BB">
      <w:pPr>
        <w:pStyle w:val="ListParagraph"/>
        <w:numPr>
          <w:ilvl w:val="1"/>
          <w:numId w:val="34"/>
        </w:numPr>
        <w:ind w:left="782"/>
        <w:jc w:val="both"/>
        <w:rPr>
          <w:rFonts w:cs="Arial"/>
          <w:szCs w:val="24"/>
        </w:rPr>
      </w:pPr>
      <w:r w:rsidRPr="002F2B00">
        <w:rPr>
          <w:rFonts w:eastAsia="Calibri" w:cs="Arial"/>
          <w:bCs/>
          <w:szCs w:val="24"/>
        </w:rPr>
        <w:t>The NI Act 1998 was enacted to give effect to the provisions of the Belfast (Good Friday) Agreement 1998. It established and provided for the institutions, including the NIHRC. The NIHRC is obliged to keep under review “</w:t>
      </w:r>
      <w:r w:rsidRPr="002F2B00">
        <w:rPr>
          <w:rFonts w:cs="Arial"/>
          <w:color w:val="000000"/>
          <w:szCs w:val="24"/>
          <w:shd w:val="clear" w:color="auto" w:fill="FFFFFF"/>
        </w:rPr>
        <w:t>the adequacy and effectiveness in NI of law and practice relating to the protection of human rights”.</w:t>
      </w:r>
      <w:r w:rsidRPr="002F2B00">
        <w:rPr>
          <w:rStyle w:val="FootnoteReference"/>
          <w:rFonts w:cs="Arial"/>
          <w:color w:val="000000"/>
          <w:szCs w:val="24"/>
          <w:shd w:val="clear" w:color="auto" w:fill="FFFFFF"/>
        </w:rPr>
        <w:footnoteReference w:id="326"/>
      </w:r>
    </w:p>
    <w:p w14:paraId="1ABEA45C" w14:textId="77777777" w:rsidR="003A28CB" w:rsidRPr="002F2B00" w:rsidRDefault="003A28CB" w:rsidP="003A28CB">
      <w:pPr>
        <w:spacing w:line="360" w:lineRule="auto"/>
        <w:ind w:left="60"/>
        <w:jc w:val="both"/>
        <w:rPr>
          <w:rFonts w:cs="Arial"/>
          <w:szCs w:val="24"/>
        </w:rPr>
      </w:pPr>
    </w:p>
    <w:p w14:paraId="1EB41EB0" w14:textId="77777777" w:rsidR="003A28CB" w:rsidRPr="002F2B00" w:rsidRDefault="003A28CB" w:rsidP="003A28CB">
      <w:pPr>
        <w:pStyle w:val="Heading2"/>
      </w:pPr>
      <w:bookmarkStart w:id="36" w:name="_Toc113517965"/>
      <w:r w:rsidRPr="002F2B00">
        <w:t>Human Rights Act 1998</w:t>
      </w:r>
      <w:bookmarkEnd w:id="36"/>
    </w:p>
    <w:p w14:paraId="7F0A016D" w14:textId="77777777" w:rsidR="003A28CB" w:rsidRPr="002F2B00" w:rsidRDefault="003A28CB" w:rsidP="00C330BB">
      <w:pPr>
        <w:pStyle w:val="ListParagraph"/>
        <w:numPr>
          <w:ilvl w:val="1"/>
          <w:numId w:val="34"/>
        </w:numPr>
        <w:jc w:val="both"/>
        <w:rPr>
          <w:rFonts w:cs="Arial"/>
          <w:szCs w:val="24"/>
        </w:rPr>
      </w:pPr>
      <w:r w:rsidRPr="002F2B00">
        <w:rPr>
          <w:rFonts w:eastAsia="Times New Roman" w:cs="Arial"/>
          <w:bCs/>
          <w:szCs w:val="24"/>
          <w:lang w:eastAsia="en-GB"/>
        </w:rPr>
        <w:t>The</w:t>
      </w:r>
      <w:r w:rsidRPr="002F2B00">
        <w:rPr>
          <w:rFonts w:cs="Arial"/>
          <w:bCs/>
          <w:szCs w:val="24"/>
        </w:rPr>
        <w:t xml:space="preserve"> Human Rights Act 1998, an Act of the UK Parliament, was brought into force across the UK on 4 October 2000. It </w:t>
      </w:r>
      <w:r w:rsidRPr="002F2B00">
        <w:rPr>
          <w:rFonts w:eastAsia="Calibri" w:cs="Arial"/>
          <w:bCs/>
          <w:szCs w:val="24"/>
        </w:rPr>
        <w:t xml:space="preserve">was intended to </w:t>
      </w:r>
      <w:r w:rsidRPr="002F2B00">
        <w:rPr>
          <w:rFonts w:eastAsia="Calibri" w:cs="Arial"/>
          <w:bCs/>
          <w:szCs w:val="24"/>
          <w:shd w:val="clear" w:color="auto" w:fill="FFFFFF"/>
        </w:rPr>
        <w:t>give further effect to rights and freedoms guaranteed under the ECHR.</w:t>
      </w:r>
    </w:p>
    <w:p w14:paraId="3DE5BB58" w14:textId="77777777" w:rsidR="003A28CB" w:rsidRPr="002F2B00" w:rsidRDefault="003A28CB" w:rsidP="00C330BB">
      <w:pPr>
        <w:pStyle w:val="ListParagraph"/>
        <w:ind w:left="780"/>
        <w:jc w:val="both"/>
        <w:rPr>
          <w:rFonts w:cs="Arial"/>
          <w:szCs w:val="24"/>
        </w:rPr>
      </w:pPr>
    </w:p>
    <w:p w14:paraId="3150E57A" w14:textId="77777777" w:rsidR="003A28CB" w:rsidRPr="002F2B00" w:rsidRDefault="003A28CB" w:rsidP="00C330BB">
      <w:pPr>
        <w:pStyle w:val="ListParagraph"/>
        <w:numPr>
          <w:ilvl w:val="1"/>
          <w:numId w:val="34"/>
        </w:numPr>
        <w:jc w:val="both"/>
        <w:rPr>
          <w:rFonts w:cs="Arial"/>
          <w:szCs w:val="24"/>
        </w:rPr>
      </w:pPr>
      <w:r w:rsidRPr="002F2B00">
        <w:rPr>
          <w:rFonts w:eastAsia="Calibri" w:cs="Arial"/>
          <w:szCs w:val="24"/>
        </w:rPr>
        <w:t xml:space="preserve">By virtue of the Human Rights Act, the ECHR is enforceable directly in local courts across the UK. </w:t>
      </w:r>
      <w:r w:rsidRPr="002F2B00">
        <w:rPr>
          <w:rFonts w:cs="Arial"/>
          <w:bCs/>
          <w:szCs w:val="24"/>
        </w:rPr>
        <w:t>A safeguard for existing human rights is guaranteed by section 11 of the 1998 Act, which provides that a person’s reliance on an ECHR right does not restrict: any other right or freedom conferred by or under any law having effect in any part of the UK; or the right to make any claim or bring any proceedings. In other words, the 1998 Act is intended to enhance existing rights at a domestic level, not to diminish rights.</w:t>
      </w:r>
    </w:p>
    <w:p w14:paraId="0780503E" w14:textId="77777777" w:rsidR="003A28CB" w:rsidRPr="002F2B00" w:rsidRDefault="003A28CB" w:rsidP="00C330BB">
      <w:pPr>
        <w:pStyle w:val="ListParagraph"/>
        <w:rPr>
          <w:rFonts w:eastAsia="Calibri" w:cs="Arial"/>
          <w:bCs/>
          <w:szCs w:val="24"/>
        </w:rPr>
      </w:pPr>
    </w:p>
    <w:p w14:paraId="6093029C" w14:textId="77777777" w:rsidR="003A28CB" w:rsidRPr="002F2B00" w:rsidRDefault="003A28CB" w:rsidP="00C330BB">
      <w:pPr>
        <w:pStyle w:val="ListParagraph"/>
        <w:numPr>
          <w:ilvl w:val="1"/>
          <w:numId w:val="34"/>
        </w:numPr>
        <w:jc w:val="both"/>
        <w:rPr>
          <w:rFonts w:cs="Arial"/>
          <w:szCs w:val="24"/>
        </w:rPr>
      </w:pPr>
      <w:r w:rsidRPr="002F2B00">
        <w:rPr>
          <w:rFonts w:eastAsia="Calibri" w:cs="Arial"/>
          <w:bCs/>
          <w:szCs w:val="24"/>
        </w:rPr>
        <w:t>The 1998 Act sets out expressly the ECHR rights that are directly enforceable, including the Articles 2 (right to life) and 3 (freedom from torture).</w:t>
      </w:r>
    </w:p>
    <w:p w14:paraId="02D7FB55" w14:textId="0CDA20D9" w:rsidR="003A28CB" w:rsidRPr="002F2B00" w:rsidRDefault="003A28CB" w:rsidP="003A28CB">
      <w:pPr>
        <w:rPr>
          <w:rFonts w:cs="Arial"/>
          <w:szCs w:val="24"/>
        </w:rPr>
      </w:pPr>
    </w:p>
    <w:p w14:paraId="4103F589" w14:textId="77777777" w:rsidR="00066CEB" w:rsidRPr="002F2B00" w:rsidRDefault="00066CEB" w:rsidP="00066CEB">
      <w:pPr>
        <w:pStyle w:val="Heading2"/>
      </w:pPr>
      <w:bookmarkStart w:id="37" w:name="_Toc113517966"/>
      <w:r w:rsidRPr="002F2B00">
        <w:lastRenderedPageBreak/>
        <w:t>Protocol Article 2</w:t>
      </w:r>
      <w:bookmarkEnd w:id="37"/>
      <w:r w:rsidRPr="002F2B00">
        <w:t xml:space="preserve"> </w:t>
      </w:r>
    </w:p>
    <w:p w14:paraId="4FEF708B" w14:textId="77777777" w:rsidR="00066CEB" w:rsidRPr="002F2B00" w:rsidRDefault="00066CEB" w:rsidP="00174B0B">
      <w:pPr>
        <w:pStyle w:val="ListParagraph"/>
        <w:numPr>
          <w:ilvl w:val="1"/>
          <w:numId w:val="47"/>
        </w:numPr>
        <w:spacing w:before="24" w:after="24"/>
        <w:rPr>
          <w:vanish/>
        </w:rPr>
      </w:pPr>
    </w:p>
    <w:p w14:paraId="2FBD744A" w14:textId="77777777" w:rsidR="00066CEB" w:rsidRPr="002F2B00" w:rsidRDefault="00066CEB" w:rsidP="00174B0B">
      <w:pPr>
        <w:pStyle w:val="ListParagraph"/>
        <w:numPr>
          <w:ilvl w:val="1"/>
          <w:numId w:val="47"/>
        </w:numPr>
        <w:spacing w:before="24" w:after="24"/>
        <w:rPr>
          <w:vanish/>
        </w:rPr>
      </w:pPr>
    </w:p>
    <w:p w14:paraId="12231506" w14:textId="002A43FB" w:rsidR="00066CEB" w:rsidRPr="002F2B00" w:rsidRDefault="00066CEB" w:rsidP="00C330BB">
      <w:pPr>
        <w:pStyle w:val="ListParagraph"/>
        <w:numPr>
          <w:ilvl w:val="1"/>
          <w:numId w:val="34"/>
        </w:numPr>
        <w:spacing w:before="24" w:after="24"/>
        <w:rPr>
          <w:rFonts w:eastAsia="Times New Roman"/>
        </w:rPr>
      </w:pPr>
      <w:r w:rsidRPr="002F2B00">
        <w:t xml:space="preserve">Protocol Article 2 requires the UK Government to ensure that no diminution of rights, safeguards and equality of opportunities contained in the relevant part of the Belfast (Good Friday) Agreement 1998 occurs </w:t>
      </w:r>
      <w:proofErr w:type="gramStart"/>
      <w:r w:rsidRPr="002F2B00">
        <w:t>as a result of</w:t>
      </w:r>
      <w:proofErr w:type="gramEnd"/>
      <w:r w:rsidRPr="002F2B00">
        <w:t xml:space="preserve"> the UK’s withdrawal from the EU.  This includes an obligation to “keep pace” with any changes made to the six Annex 1 Equality Directives which improve the minimum levels of protection available, on or after 1 January 2021.</w:t>
      </w:r>
      <w:r w:rsidRPr="002F2B00">
        <w:rPr>
          <w:vertAlign w:val="superscript"/>
        </w:rPr>
        <w:footnoteReference w:id="327"/>
      </w:r>
    </w:p>
    <w:p w14:paraId="66EA4E5C" w14:textId="77777777" w:rsidR="00066CEB" w:rsidRPr="002F2B00" w:rsidRDefault="00066CEB" w:rsidP="00C330BB">
      <w:pPr>
        <w:pStyle w:val="ListParagraph"/>
        <w:rPr>
          <w:rFonts w:eastAsia="Times New Roman"/>
        </w:rPr>
      </w:pPr>
    </w:p>
    <w:p w14:paraId="33E111C0" w14:textId="77777777" w:rsidR="00DC0917" w:rsidRPr="002F2B00" w:rsidRDefault="00066CEB" w:rsidP="00C330BB">
      <w:pPr>
        <w:pStyle w:val="ListParagraph"/>
        <w:numPr>
          <w:ilvl w:val="1"/>
          <w:numId w:val="34"/>
        </w:numPr>
        <w:spacing w:before="24" w:after="24"/>
        <w:ind w:left="720"/>
      </w:pPr>
      <w:r w:rsidRPr="002F2B00">
        <w:t xml:space="preserve">For other EU obligations which underpin the rights, </w:t>
      </w:r>
      <w:proofErr w:type="gramStart"/>
      <w:r w:rsidRPr="002F2B00">
        <w:t>safeguards</w:t>
      </w:r>
      <w:proofErr w:type="gramEnd"/>
      <w:r w:rsidRPr="002F2B00">
        <w:t xml:space="preserve"> and equality of opportunity in Article 2, the UK Government commitment to ensure ‘no diminution’ is measured by the relevant EU standards on 31 December 2020.</w:t>
      </w:r>
      <w:r w:rsidRPr="002F2B00">
        <w:rPr>
          <w:vertAlign w:val="superscript"/>
        </w:rPr>
        <w:footnoteReference w:id="328"/>
      </w:r>
    </w:p>
    <w:p w14:paraId="5C72B74F" w14:textId="77777777" w:rsidR="00DC0917" w:rsidRPr="002F2B00" w:rsidRDefault="00DC0917" w:rsidP="00C330BB">
      <w:pPr>
        <w:pStyle w:val="ListParagraph"/>
      </w:pPr>
    </w:p>
    <w:p w14:paraId="272AE51F" w14:textId="795102B0" w:rsidR="00066CEB" w:rsidRPr="002F2B00" w:rsidRDefault="00066CEB" w:rsidP="00C330BB">
      <w:pPr>
        <w:pStyle w:val="ListParagraph"/>
        <w:numPr>
          <w:ilvl w:val="1"/>
          <w:numId w:val="34"/>
        </w:numPr>
        <w:spacing w:before="24" w:after="24"/>
        <w:ind w:left="720"/>
      </w:pPr>
      <w:r w:rsidRPr="002F2B00">
        <w:t>V</w:t>
      </w:r>
      <w:r w:rsidRPr="002F2B00">
        <w:rPr>
          <w:szCs w:val="24"/>
        </w:rPr>
        <w:t xml:space="preserve">ictims’ rights are addressed in the relevant chapter of the </w:t>
      </w:r>
      <w:r w:rsidRPr="002F2B00">
        <w:t xml:space="preserve">Belfast (Good Friday) Agreement which recognises </w:t>
      </w:r>
      <w:r w:rsidRPr="002F2B00">
        <w:rPr>
          <w:rFonts w:eastAsia="Times New Roman"/>
        </w:rPr>
        <w:t>“the right of victims to remember as well as to contribute to a changed society”.</w:t>
      </w:r>
      <w:r w:rsidRPr="002F2B00">
        <w:rPr>
          <w:vertAlign w:val="superscript"/>
        </w:rPr>
        <w:footnoteReference w:id="329"/>
      </w:r>
      <w:r w:rsidRPr="002F2B00">
        <w:rPr>
          <w:rFonts w:eastAsia="Times New Roman"/>
        </w:rPr>
        <w:t xml:space="preserve"> </w:t>
      </w:r>
      <w:r w:rsidRPr="002F2B00">
        <w:rPr>
          <w:szCs w:val="24"/>
        </w:rPr>
        <w:t>The EU Victims’ Directive has been acknowledged by the UK Government as falling within the scope of Protocol Article 2.</w:t>
      </w:r>
      <w:r w:rsidRPr="002F2B00">
        <w:rPr>
          <w:vertAlign w:val="superscript"/>
        </w:rPr>
        <w:footnoteReference w:id="330"/>
      </w:r>
    </w:p>
    <w:p w14:paraId="1B3B18F6" w14:textId="77777777" w:rsidR="00066CEB" w:rsidRPr="002F2B00" w:rsidRDefault="00066CEB" w:rsidP="00066CEB">
      <w:pPr>
        <w:rPr>
          <w:rFonts w:cs="Arial"/>
          <w:szCs w:val="24"/>
        </w:rPr>
      </w:pPr>
    </w:p>
    <w:p w14:paraId="32D1AB7F" w14:textId="77777777" w:rsidR="003A28CB" w:rsidRPr="002F2B00" w:rsidRDefault="003A28CB" w:rsidP="003A28CB">
      <w:pPr>
        <w:pStyle w:val="Heading2"/>
      </w:pPr>
      <w:bookmarkStart w:id="38" w:name="_Toc113517967"/>
      <w:r w:rsidRPr="002F2B00">
        <w:t>Stormont House Agreement 2014</w:t>
      </w:r>
      <w:bookmarkEnd w:id="38"/>
    </w:p>
    <w:p w14:paraId="30ACE2C9" w14:textId="77777777" w:rsidR="003A28CB" w:rsidRPr="002F2B00" w:rsidRDefault="003A28CB" w:rsidP="00C330BB">
      <w:pPr>
        <w:pStyle w:val="ListParagraph"/>
        <w:numPr>
          <w:ilvl w:val="1"/>
          <w:numId w:val="34"/>
        </w:numPr>
        <w:ind w:left="782"/>
        <w:jc w:val="both"/>
        <w:rPr>
          <w:rFonts w:cs="Arial"/>
          <w:szCs w:val="24"/>
        </w:rPr>
      </w:pPr>
      <w:r w:rsidRPr="002F2B00">
        <w:rPr>
          <w:rFonts w:cs="Arial"/>
          <w:szCs w:val="24"/>
        </w:rPr>
        <w:t xml:space="preserve">The Stormont House Agreement 2014 puts its terms in context. It states: </w:t>
      </w:r>
    </w:p>
    <w:p w14:paraId="7384F39C" w14:textId="77777777" w:rsidR="003A28CB" w:rsidRPr="002F2B00" w:rsidRDefault="003A28CB" w:rsidP="003A28CB">
      <w:pPr>
        <w:pStyle w:val="ListParagraph"/>
        <w:spacing w:line="360" w:lineRule="auto"/>
        <w:ind w:left="780"/>
        <w:jc w:val="both"/>
        <w:rPr>
          <w:rFonts w:cs="Arial"/>
          <w:szCs w:val="24"/>
        </w:rPr>
      </w:pPr>
    </w:p>
    <w:p w14:paraId="4E82A986" w14:textId="77777777" w:rsidR="003A28CB" w:rsidRPr="002F2B00" w:rsidRDefault="003A28CB" w:rsidP="003A28CB">
      <w:pPr>
        <w:pStyle w:val="Quote"/>
      </w:pPr>
      <w:r w:rsidRPr="002F2B00">
        <w:t xml:space="preserve">as part of the transition to long-term peace and stability the participants agree that an approach to dealing with the past is necessary which respects the following principles: </w:t>
      </w:r>
      <w:r w:rsidRPr="002F2B00">
        <w:lastRenderedPageBreak/>
        <w:t xml:space="preserve">promoting reconciliation; upholding the rule of law; acknowledging and addressing the suffering of victims and </w:t>
      </w:r>
      <w:proofErr w:type="gramStart"/>
      <w:r w:rsidRPr="002F2B00">
        <w:t>survivors;  facilitating</w:t>
      </w:r>
      <w:proofErr w:type="gramEnd"/>
      <w:r w:rsidRPr="002F2B00">
        <w:t xml:space="preserve"> the pursuit of justice and information recovery; is human rights compliant; and is balanced, proportionate, transparent, fair and equitable.</w:t>
      </w:r>
      <w:r w:rsidRPr="002F2B00">
        <w:rPr>
          <w:rStyle w:val="FootnoteReference"/>
        </w:rPr>
        <w:footnoteReference w:id="331"/>
      </w:r>
    </w:p>
    <w:p w14:paraId="05AE4B48" w14:textId="77777777" w:rsidR="003A28CB" w:rsidRPr="002F2B00" w:rsidRDefault="003A28CB" w:rsidP="00C330BB">
      <w:pPr>
        <w:pStyle w:val="ListParagraph"/>
        <w:ind w:left="782"/>
        <w:jc w:val="both"/>
        <w:rPr>
          <w:rFonts w:cs="Arial"/>
          <w:szCs w:val="24"/>
        </w:rPr>
      </w:pPr>
    </w:p>
    <w:p w14:paraId="0A8AB538" w14:textId="77777777" w:rsidR="003A28CB" w:rsidRPr="002F2B00" w:rsidRDefault="003A28CB" w:rsidP="00C330BB">
      <w:pPr>
        <w:pStyle w:val="ListParagraph"/>
        <w:numPr>
          <w:ilvl w:val="1"/>
          <w:numId w:val="34"/>
        </w:numPr>
        <w:ind w:left="782"/>
        <w:jc w:val="both"/>
        <w:rPr>
          <w:rFonts w:cs="Arial"/>
          <w:szCs w:val="24"/>
        </w:rPr>
      </w:pPr>
      <w:r w:rsidRPr="002F2B00">
        <w:rPr>
          <w:rFonts w:cs="Arial"/>
          <w:szCs w:val="24"/>
        </w:rPr>
        <w:t xml:space="preserve">The Stormont House Agreement was signed following 11 weeks of talks between the UK Government the five largest political parties in the NI Assembly and the Government of Ireland, in accordance with the three-stranded approach reflected in the Belfast (Good Friday) Agreement 1998. </w:t>
      </w:r>
    </w:p>
    <w:p w14:paraId="0656D155" w14:textId="77777777" w:rsidR="003A28CB" w:rsidRPr="002F2B00" w:rsidRDefault="003A28CB" w:rsidP="00C330BB">
      <w:pPr>
        <w:pStyle w:val="ListParagraph"/>
        <w:ind w:left="782"/>
        <w:jc w:val="both"/>
        <w:rPr>
          <w:rFonts w:cs="Arial"/>
          <w:szCs w:val="24"/>
        </w:rPr>
      </w:pPr>
    </w:p>
    <w:p w14:paraId="4BA94EE5" w14:textId="77777777" w:rsidR="003A28CB" w:rsidRPr="002F2B00" w:rsidRDefault="003A28CB" w:rsidP="00C330BB">
      <w:pPr>
        <w:pStyle w:val="ListParagraph"/>
        <w:numPr>
          <w:ilvl w:val="1"/>
          <w:numId w:val="34"/>
        </w:numPr>
        <w:ind w:left="782"/>
        <w:jc w:val="both"/>
        <w:rPr>
          <w:rFonts w:cs="Arial"/>
          <w:szCs w:val="24"/>
        </w:rPr>
      </w:pPr>
      <w:r w:rsidRPr="002F2B00">
        <w:rPr>
          <w:rFonts w:cs="Arial"/>
          <w:szCs w:val="24"/>
        </w:rPr>
        <w:t xml:space="preserve">Of </w:t>
      </w:r>
      <w:proofErr w:type="gramStart"/>
      <w:r w:rsidRPr="002F2B00">
        <w:rPr>
          <w:rFonts w:cs="Arial"/>
          <w:szCs w:val="24"/>
        </w:rPr>
        <w:t>particular relevance</w:t>
      </w:r>
      <w:proofErr w:type="gramEnd"/>
      <w:r w:rsidRPr="002F2B00">
        <w:rPr>
          <w:rFonts w:cs="Arial"/>
          <w:szCs w:val="24"/>
        </w:rPr>
        <w:t>, the UK Government provided:</w:t>
      </w:r>
    </w:p>
    <w:p w14:paraId="394476B1" w14:textId="77777777" w:rsidR="003A28CB" w:rsidRPr="002F2B00" w:rsidRDefault="003A28CB" w:rsidP="003A28CB">
      <w:pPr>
        <w:pStyle w:val="ListParagraph"/>
        <w:rPr>
          <w:rFonts w:cs="Arial"/>
          <w:szCs w:val="24"/>
        </w:rPr>
      </w:pPr>
    </w:p>
    <w:p w14:paraId="128A336E" w14:textId="77777777" w:rsidR="003A28CB" w:rsidRPr="002F2B00" w:rsidRDefault="003A28CB" w:rsidP="003A28CB">
      <w:pPr>
        <w:pStyle w:val="Quote"/>
      </w:pPr>
      <w:r w:rsidRPr="002F2B00">
        <w:t xml:space="preserve">legislation will establish a new independent body to take forward investigations into outstanding Troubles-related </w:t>
      </w:r>
      <w:proofErr w:type="gramStart"/>
      <w:r w:rsidRPr="002F2B00">
        <w:t>deaths;</w:t>
      </w:r>
      <w:proofErr w:type="gramEnd"/>
      <w:r w:rsidRPr="002F2B00">
        <w:t xml:space="preserve"> the Historical Investigations Unit. The body will take forward outstanding cases from the Historical Enquiries Team process, and the legacy work of the Police Ombudsman for NI. A report will be produced in each case. </w:t>
      </w:r>
    </w:p>
    <w:p w14:paraId="5AE3AF3E" w14:textId="77777777" w:rsidR="003A28CB" w:rsidRPr="002F2B00" w:rsidRDefault="003A28CB" w:rsidP="003A28CB">
      <w:pPr>
        <w:pStyle w:val="Quote"/>
      </w:pPr>
      <w:r w:rsidRPr="002F2B00">
        <w:t xml:space="preserve">Processes dealing with the past should be </w:t>
      </w:r>
      <w:proofErr w:type="gramStart"/>
      <w:r w:rsidRPr="002F2B00">
        <w:t>victim-centred</w:t>
      </w:r>
      <w:proofErr w:type="gramEnd"/>
      <w:r w:rsidRPr="002F2B00">
        <w:t xml:space="preserve">. Legacy inquests will continue as a separate process to the Historical Investigations Unit. Recent domestic and European judgments have demonstrated that the legacy inquest process is not providing access to a sufficiently effective investigation within an acceptable timeframe. </w:t>
      </w:r>
      <w:proofErr w:type="gramStart"/>
      <w:r w:rsidRPr="002F2B00">
        <w:t>In light of</w:t>
      </w:r>
      <w:proofErr w:type="gramEnd"/>
      <w:r w:rsidRPr="002F2B00">
        <w:t xml:space="preserve"> this, the Executive will take appropriate steps to improve the way the legacy inquest function is conducted to comply with ECHR Article 2 requirements.</w:t>
      </w:r>
    </w:p>
    <w:p w14:paraId="6BC6C4C6" w14:textId="77777777" w:rsidR="003A28CB" w:rsidRPr="002F2B00" w:rsidRDefault="003A28CB" w:rsidP="003A28CB">
      <w:pPr>
        <w:pStyle w:val="Quote"/>
      </w:pPr>
    </w:p>
    <w:p w14:paraId="4377C54F" w14:textId="77777777" w:rsidR="003A28CB" w:rsidRPr="002F2B00" w:rsidRDefault="003A28CB" w:rsidP="003A28CB">
      <w:pPr>
        <w:pStyle w:val="Quote"/>
      </w:pPr>
      <w:r w:rsidRPr="002F2B00">
        <w:t xml:space="preserve">Appropriate governance arrangements will be put in place to ensure the operational independence of the two different elements of the work of the Historical Investigations Unit. </w:t>
      </w:r>
    </w:p>
    <w:p w14:paraId="64D93865" w14:textId="77777777" w:rsidR="003A28CB" w:rsidRPr="002F2B00" w:rsidRDefault="003A28CB" w:rsidP="003A28CB">
      <w:pPr>
        <w:pStyle w:val="Quote"/>
      </w:pPr>
    </w:p>
    <w:p w14:paraId="7C556C94" w14:textId="77777777" w:rsidR="003A28CB" w:rsidRPr="002F2B00" w:rsidRDefault="003A28CB" w:rsidP="003A28CB">
      <w:pPr>
        <w:pStyle w:val="Quote"/>
      </w:pPr>
      <w:r w:rsidRPr="002F2B00">
        <w:t>The Historical Investigations Unit will have dedicated family support staff who will involve the next of kin from the beginning and provide them with expert advice and other necessary support throughout the process.</w:t>
      </w:r>
    </w:p>
    <w:p w14:paraId="74336D90" w14:textId="77777777" w:rsidR="003A28CB" w:rsidRPr="002F2B00" w:rsidRDefault="003A28CB" w:rsidP="003A28CB">
      <w:pPr>
        <w:pStyle w:val="Quote"/>
      </w:pPr>
      <w:r w:rsidRPr="002F2B00">
        <w:t xml:space="preserve"> </w:t>
      </w:r>
    </w:p>
    <w:p w14:paraId="73FF1AA1" w14:textId="77777777" w:rsidR="003A28CB" w:rsidRPr="002F2B00" w:rsidRDefault="003A28CB" w:rsidP="003A28CB">
      <w:pPr>
        <w:pStyle w:val="Quote"/>
      </w:pPr>
      <w:r w:rsidRPr="002F2B00">
        <w:t xml:space="preserve">The Historical Investigations Unit will consider all cases in respect of which Historical Enquiries Team and Police Ombudsman NI have not completed their work, including Historical Enquiries Team cases which have already been identified as requiring re-examination. Families may apply </w:t>
      </w:r>
      <w:r w:rsidRPr="002F2B00">
        <w:lastRenderedPageBreak/>
        <w:t xml:space="preserve">to have other cases considered for criminal investigation by the Historical Investigations Unit if there is new evidence, which was not previously before the Historical Enquiries Team, which is relevant to the identification and eventual prosecution of the perpetrator. </w:t>
      </w:r>
    </w:p>
    <w:p w14:paraId="1CAD934B" w14:textId="77777777" w:rsidR="003A28CB" w:rsidRPr="002F2B00" w:rsidRDefault="003A28CB" w:rsidP="003A28CB">
      <w:pPr>
        <w:pStyle w:val="Quote"/>
      </w:pPr>
    </w:p>
    <w:p w14:paraId="49F86103" w14:textId="77777777" w:rsidR="003A28CB" w:rsidRPr="002F2B00" w:rsidRDefault="003A28CB" w:rsidP="003A28CB">
      <w:pPr>
        <w:pStyle w:val="Quote"/>
      </w:pPr>
      <w:r w:rsidRPr="002F2B00">
        <w:t>As with existing criminal investigations, the decision to prosecute is a matter for the Director of Public Prosecutions and the Historical Investigations Unit may consult his office on evidentiary issues in advance of submitting a file.</w:t>
      </w:r>
    </w:p>
    <w:p w14:paraId="58AE95D7" w14:textId="77777777" w:rsidR="003A28CB" w:rsidRPr="002F2B00" w:rsidRDefault="003A28CB" w:rsidP="003A28CB">
      <w:pPr>
        <w:pStyle w:val="Quote"/>
      </w:pPr>
    </w:p>
    <w:p w14:paraId="3CB74C92" w14:textId="77777777" w:rsidR="003A28CB" w:rsidRPr="002F2B00" w:rsidRDefault="003A28CB" w:rsidP="003A28CB">
      <w:pPr>
        <w:pStyle w:val="Quote"/>
      </w:pPr>
      <w:r w:rsidRPr="002F2B00">
        <w:t>When cases are transferred from Historical Enquiries Team and Police Ombudsman NI, all relevant case files held by those existing bodies will be passed to the new body. In respect of its criminal investigations, the Historical Investigations Unit will have full policing powers. In respect of the cases from Police Ombudsman NI, the Historical Investigations Unit will have equivalent powers to that body.</w:t>
      </w:r>
    </w:p>
    <w:p w14:paraId="5F01535B" w14:textId="77777777" w:rsidR="003A28CB" w:rsidRPr="002F2B00" w:rsidRDefault="003A28CB" w:rsidP="003A28CB">
      <w:pPr>
        <w:pStyle w:val="Quote"/>
      </w:pPr>
    </w:p>
    <w:p w14:paraId="50E7AD7D" w14:textId="77777777" w:rsidR="003A28CB" w:rsidRPr="002F2B00" w:rsidRDefault="003A28CB" w:rsidP="003A28CB">
      <w:pPr>
        <w:pStyle w:val="Quote"/>
      </w:pPr>
      <w:r w:rsidRPr="002F2B00">
        <w:t xml:space="preserve">The UK Government makes clear that it will make full disclosure to the Historical Investigations Unit. </w:t>
      </w:r>
      <w:proofErr w:type="gramStart"/>
      <w:r w:rsidRPr="002F2B00">
        <w:t>In order to</w:t>
      </w:r>
      <w:proofErr w:type="gramEnd"/>
      <w:r w:rsidRPr="002F2B00">
        <w:t xml:space="preserve"> ensure that no individuals are put at risk, and that the [UK] Government’s duty to keep people safe and secure is upheld, Westminster legislation will provide for equivalent measures to those that currently apply to existing bodies so as to prevent any damaging onward disclosure of information by the Historical Investigations Unit.</w:t>
      </w:r>
      <w:r w:rsidRPr="002F2B00">
        <w:rPr>
          <w:rStyle w:val="FootnoteReference"/>
        </w:rPr>
        <w:footnoteReference w:id="332"/>
      </w:r>
    </w:p>
    <w:p w14:paraId="62F76FAC" w14:textId="77777777" w:rsidR="003A28CB" w:rsidRPr="002F2B00" w:rsidRDefault="003A28CB" w:rsidP="003A28CB">
      <w:pPr>
        <w:pStyle w:val="ListParagraph"/>
        <w:rPr>
          <w:rFonts w:cs="Arial"/>
          <w:szCs w:val="24"/>
        </w:rPr>
      </w:pPr>
    </w:p>
    <w:p w14:paraId="4983FC77" w14:textId="77777777" w:rsidR="003A28CB" w:rsidRPr="002F2B00" w:rsidRDefault="003A28CB" w:rsidP="003A28CB">
      <w:pPr>
        <w:pStyle w:val="Heading2"/>
      </w:pPr>
      <w:bookmarkStart w:id="39" w:name="_Toc113517968"/>
      <w:r w:rsidRPr="002F2B00">
        <w:t>A Fresh Start – Stormont Agreement and Implementation Plan 2015</w:t>
      </w:r>
      <w:bookmarkEnd w:id="39"/>
    </w:p>
    <w:p w14:paraId="6779390B" w14:textId="51505A3A" w:rsidR="003A28CB" w:rsidRPr="002F2B00" w:rsidRDefault="003A28CB" w:rsidP="00C330BB">
      <w:pPr>
        <w:ind w:left="720" w:hanging="720"/>
        <w:jc w:val="both"/>
        <w:rPr>
          <w:rFonts w:cs="Arial"/>
          <w:szCs w:val="24"/>
        </w:rPr>
      </w:pPr>
      <w:r w:rsidRPr="002F2B00">
        <w:rPr>
          <w:rFonts w:cs="Arial"/>
          <w:szCs w:val="24"/>
        </w:rPr>
        <w:t>1.1</w:t>
      </w:r>
      <w:r w:rsidR="002F2B00" w:rsidRPr="002F2B00">
        <w:rPr>
          <w:rFonts w:cs="Arial"/>
          <w:szCs w:val="24"/>
        </w:rPr>
        <w:t>6</w:t>
      </w:r>
      <w:r w:rsidRPr="002F2B00">
        <w:rPr>
          <w:rFonts w:cs="Arial"/>
          <w:szCs w:val="24"/>
        </w:rPr>
        <w:tab/>
        <w:t>The then First Minister, Peter Robinson, and Deputy First Minister, Martin Magennis, stated that:</w:t>
      </w:r>
    </w:p>
    <w:p w14:paraId="308E56B4" w14:textId="77777777" w:rsidR="003A28CB" w:rsidRPr="002F2B00" w:rsidRDefault="003A28CB" w:rsidP="003A28CB">
      <w:pPr>
        <w:spacing w:line="360" w:lineRule="auto"/>
        <w:jc w:val="both"/>
        <w:rPr>
          <w:rFonts w:cs="Arial"/>
          <w:szCs w:val="24"/>
        </w:rPr>
      </w:pPr>
    </w:p>
    <w:p w14:paraId="5FA10CF5" w14:textId="77777777" w:rsidR="003A28CB" w:rsidRPr="002F2B00" w:rsidRDefault="003A28CB" w:rsidP="003A28CB">
      <w:pPr>
        <w:pStyle w:val="Quote"/>
      </w:pPr>
      <w:r w:rsidRPr="002F2B00">
        <w:t xml:space="preserve">we reached agreement on this framework fully aware of the many areas of disagreement and mistrust that have bedevilled progress in embedding peace and reconciliation. Confidence </w:t>
      </w:r>
      <w:proofErr w:type="gramStart"/>
      <w:r w:rsidRPr="002F2B00">
        <w:t>has to</w:t>
      </w:r>
      <w:proofErr w:type="gramEnd"/>
      <w:r w:rsidRPr="002F2B00">
        <w:t xml:space="preserve"> be built if we are to fully overcome the legacy of our tragic past. The essence of this Agreement, the vision which must inspire our leadership, is our shared belief that the civic values of respect, mutuality, </w:t>
      </w:r>
      <w:proofErr w:type="gramStart"/>
      <w:r w:rsidRPr="002F2B00">
        <w:t>fairness</w:t>
      </w:r>
      <w:proofErr w:type="gramEnd"/>
      <w:r w:rsidRPr="002F2B00">
        <w:t xml:space="preserve"> and justice must take precedence over those narrow values </w:t>
      </w:r>
      <w:r w:rsidRPr="002F2B00">
        <w:lastRenderedPageBreak/>
        <w:t>that too often manifest in division. This document signals our resolve to engender the sea change so longed for by our community – a new beginning, an opportunity to move forward with a real sense of hope and purpose”.</w:t>
      </w:r>
      <w:r w:rsidRPr="002F2B00">
        <w:rPr>
          <w:rStyle w:val="FootnoteReference"/>
          <w:rFonts w:cs="Arial"/>
          <w:szCs w:val="24"/>
        </w:rPr>
        <w:footnoteReference w:id="333"/>
      </w:r>
    </w:p>
    <w:p w14:paraId="407AFD7A" w14:textId="77777777" w:rsidR="003A28CB" w:rsidRPr="002F2B00" w:rsidRDefault="003A28CB" w:rsidP="003A28CB">
      <w:pPr>
        <w:spacing w:line="360" w:lineRule="auto"/>
        <w:jc w:val="both"/>
        <w:rPr>
          <w:rFonts w:cs="Arial"/>
          <w:szCs w:val="24"/>
        </w:rPr>
      </w:pPr>
    </w:p>
    <w:p w14:paraId="495B0F6E" w14:textId="78716100" w:rsidR="003A28CB" w:rsidRPr="002F2B00" w:rsidRDefault="003A28CB" w:rsidP="00C330BB">
      <w:pPr>
        <w:jc w:val="both"/>
        <w:rPr>
          <w:rFonts w:cs="Arial"/>
          <w:szCs w:val="24"/>
        </w:rPr>
      </w:pPr>
      <w:r w:rsidRPr="002F2B00">
        <w:rPr>
          <w:rFonts w:cs="Arial"/>
          <w:szCs w:val="24"/>
        </w:rPr>
        <w:t>1.1</w:t>
      </w:r>
      <w:r w:rsidR="002F2B00" w:rsidRPr="002F2B00">
        <w:rPr>
          <w:rFonts w:cs="Arial"/>
          <w:szCs w:val="24"/>
        </w:rPr>
        <w:t>7</w:t>
      </w:r>
      <w:r w:rsidRPr="002F2B00">
        <w:rPr>
          <w:rFonts w:cs="Arial"/>
          <w:szCs w:val="24"/>
        </w:rPr>
        <w:tab/>
        <w:t>The then Secretary of State for NI, Theresa Villers, however noted:</w:t>
      </w:r>
    </w:p>
    <w:p w14:paraId="456BCE32" w14:textId="77777777" w:rsidR="003A28CB" w:rsidRPr="002F2B00" w:rsidRDefault="003A28CB" w:rsidP="003A28CB">
      <w:pPr>
        <w:spacing w:line="360" w:lineRule="auto"/>
        <w:jc w:val="both"/>
        <w:rPr>
          <w:rFonts w:cs="Arial"/>
          <w:szCs w:val="24"/>
        </w:rPr>
      </w:pPr>
    </w:p>
    <w:p w14:paraId="53D228D5" w14:textId="77777777" w:rsidR="003A28CB" w:rsidRPr="002F2B00" w:rsidRDefault="003A28CB" w:rsidP="003A28CB">
      <w:pPr>
        <w:pStyle w:val="Quote"/>
      </w:pPr>
      <w:r w:rsidRPr="002F2B00">
        <w:t>despite some significant progress we were not able at this stage to reach a final agreement on the establishment of new bodies to deal with the past. The Government continues to support these provisions of the Stormont House Agreement and to providing better outcomes for victims and survivors. We will now reflect with the other participants on how we can move forward and achieve broad consensus for legislation.</w:t>
      </w:r>
      <w:r w:rsidRPr="002F2B00">
        <w:rPr>
          <w:rStyle w:val="FootnoteReference"/>
          <w:rFonts w:cs="Arial"/>
          <w:szCs w:val="24"/>
        </w:rPr>
        <w:footnoteReference w:id="334"/>
      </w:r>
    </w:p>
    <w:p w14:paraId="407556F5" w14:textId="77777777" w:rsidR="003A28CB" w:rsidRPr="002F2B00" w:rsidRDefault="003A28CB" w:rsidP="003A28CB">
      <w:pPr>
        <w:spacing w:line="360" w:lineRule="auto"/>
        <w:jc w:val="both"/>
        <w:rPr>
          <w:rFonts w:cs="Arial"/>
          <w:szCs w:val="24"/>
        </w:rPr>
      </w:pPr>
    </w:p>
    <w:p w14:paraId="7095DE33" w14:textId="395D5229" w:rsidR="003A28CB" w:rsidRPr="002F2B00" w:rsidRDefault="003A28CB" w:rsidP="00C330BB">
      <w:pPr>
        <w:ind w:left="720" w:hanging="720"/>
        <w:jc w:val="both"/>
        <w:rPr>
          <w:rFonts w:cs="Arial"/>
          <w:szCs w:val="24"/>
        </w:rPr>
      </w:pPr>
      <w:r w:rsidRPr="002F2B00">
        <w:rPr>
          <w:rFonts w:cs="Arial"/>
          <w:szCs w:val="24"/>
        </w:rPr>
        <w:t>1.1</w:t>
      </w:r>
      <w:r w:rsidR="002F2B00" w:rsidRPr="002F2B00">
        <w:rPr>
          <w:rFonts w:cs="Arial"/>
          <w:szCs w:val="24"/>
        </w:rPr>
        <w:t>8</w:t>
      </w:r>
      <w:r w:rsidRPr="002F2B00">
        <w:rPr>
          <w:rFonts w:cs="Arial"/>
          <w:szCs w:val="24"/>
        </w:rPr>
        <w:tab/>
        <w:t>Despite that the Secretary of State for NI recorded that the Fresh Start Agreement “will be a further stage in delivering one of the [UK] Government’s key manifesto commitments for NI, the full implementation of the Stormont House Agreement”.</w:t>
      </w:r>
      <w:r w:rsidRPr="002F2B00">
        <w:rPr>
          <w:rStyle w:val="FootnoteReference"/>
          <w:rFonts w:cs="Arial"/>
          <w:szCs w:val="24"/>
        </w:rPr>
        <w:footnoteReference w:id="335"/>
      </w:r>
    </w:p>
    <w:p w14:paraId="407A4BA1" w14:textId="77777777" w:rsidR="003A28CB" w:rsidRPr="002F2B00" w:rsidRDefault="003A28CB" w:rsidP="00C330BB">
      <w:pPr>
        <w:jc w:val="both"/>
        <w:rPr>
          <w:rFonts w:cs="Arial"/>
          <w:szCs w:val="24"/>
        </w:rPr>
      </w:pPr>
    </w:p>
    <w:p w14:paraId="2EB43821" w14:textId="60C94383" w:rsidR="003A28CB" w:rsidRPr="002F2B00" w:rsidRDefault="003A28CB" w:rsidP="00C330BB">
      <w:pPr>
        <w:ind w:left="720" w:hanging="720"/>
        <w:jc w:val="both"/>
        <w:rPr>
          <w:rFonts w:cs="Arial"/>
          <w:szCs w:val="24"/>
        </w:rPr>
      </w:pPr>
      <w:r w:rsidRPr="002F2B00">
        <w:rPr>
          <w:rFonts w:cs="Arial"/>
          <w:szCs w:val="24"/>
        </w:rPr>
        <w:t>1.1</w:t>
      </w:r>
      <w:r w:rsidR="002F2B00" w:rsidRPr="002F2B00">
        <w:rPr>
          <w:rFonts w:cs="Arial"/>
          <w:szCs w:val="24"/>
        </w:rPr>
        <w:t>9</w:t>
      </w:r>
      <w:r w:rsidRPr="002F2B00">
        <w:rPr>
          <w:rFonts w:cs="Arial"/>
          <w:szCs w:val="24"/>
        </w:rPr>
        <w:tab/>
        <w:t>And, the then Minister of Foreign Affair and Trade for Ireland, Charlie Flanaghan said:</w:t>
      </w:r>
    </w:p>
    <w:p w14:paraId="52DA1F41" w14:textId="77777777" w:rsidR="003A28CB" w:rsidRPr="002F2B00" w:rsidRDefault="003A28CB" w:rsidP="003A28CB">
      <w:pPr>
        <w:spacing w:line="360" w:lineRule="auto"/>
        <w:jc w:val="both"/>
        <w:rPr>
          <w:rFonts w:cs="Arial"/>
          <w:szCs w:val="24"/>
        </w:rPr>
      </w:pPr>
    </w:p>
    <w:p w14:paraId="14EDF594" w14:textId="0A8C0246" w:rsidR="003A28CB" w:rsidRPr="002F2B00" w:rsidRDefault="003A28CB" w:rsidP="003A28CB">
      <w:pPr>
        <w:pStyle w:val="Quote"/>
      </w:pPr>
      <w:r w:rsidRPr="002F2B00">
        <w:t xml:space="preserve">while important progress was made on taking forward aspects of the Stormont House Agreement dealing with the legacy of the past, it did not prove possible to resolve </w:t>
      </w:r>
      <w:proofErr w:type="gramStart"/>
      <w:r w:rsidRPr="002F2B00">
        <w:t>all of</w:t>
      </w:r>
      <w:proofErr w:type="gramEnd"/>
      <w:r w:rsidRPr="002F2B00">
        <w:t xml:space="preserve"> the key issues within the timescale of this negotiation. Nevertheless, the two Governments will persist in our efforts to secure an agreed basis for the establishment of the institutions dealing with the past envisaged in the Stormont House Agreement.</w:t>
      </w:r>
      <w:r w:rsidRPr="002F2B00">
        <w:rPr>
          <w:rStyle w:val="FootnoteReference"/>
        </w:rPr>
        <w:footnoteReference w:id="336"/>
      </w:r>
    </w:p>
    <w:p w14:paraId="00147B6D" w14:textId="77777777" w:rsidR="003A28CB" w:rsidRPr="002F2B00" w:rsidRDefault="003A28CB" w:rsidP="003A28CB">
      <w:pPr>
        <w:rPr>
          <w:rFonts w:cs="Arial"/>
          <w:szCs w:val="24"/>
        </w:rPr>
      </w:pPr>
    </w:p>
    <w:p w14:paraId="2CCFBCB8" w14:textId="77777777" w:rsidR="003A28CB" w:rsidRPr="002F2B00" w:rsidRDefault="003A28CB" w:rsidP="003A28CB">
      <w:pPr>
        <w:pStyle w:val="Heading2"/>
      </w:pPr>
      <w:bookmarkStart w:id="40" w:name="_Toc113517969"/>
      <w:r w:rsidRPr="002F2B00">
        <w:t>Public consultation</w:t>
      </w:r>
      <w:bookmarkEnd w:id="40"/>
      <w:r w:rsidRPr="002F2B00">
        <w:t xml:space="preserve"> </w:t>
      </w:r>
    </w:p>
    <w:p w14:paraId="3887BA8F" w14:textId="271FD247" w:rsidR="003A28CB" w:rsidRPr="002F2B00" w:rsidRDefault="003A28CB" w:rsidP="00C330BB">
      <w:pPr>
        <w:ind w:left="720" w:hanging="720"/>
        <w:jc w:val="both"/>
        <w:rPr>
          <w:rFonts w:cs="Arial"/>
          <w:szCs w:val="24"/>
        </w:rPr>
      </w:pPr>
      <w:r w:rsidRPr="002F2B00">
        <w:rPr>
          <w:rFonts w:cs="Arial"/>
          <w:szCs w:val="24"/>
        </w:rPr>
        <w:t>1.</w:t>
      </w:r>
      <w:r w:rsidR="002F2B00" w:rsidRPr="002F2B00">
        <w:rPr>
          <w:rFonts w:cs="Arial"/>
          <w:szCs w:val="24"/>
        </w:rPr>
        <w:t>20</w:t>
      </w:r>
      <w:r w:rsidRPr="002F2B00">
        <w:rPr>
          <w:rFonts w:cs="Arial"/>
          <w:szCs w:val="24"/>
        </w:rPr>
        <w:tab/>
        <w:t xml:space="preserve">A public consultation on addressing the legacy of the past was launched on 11 May 2018 and ran for 21 weeks. The then Secretary of State for NI, Julian Lewis MP, identified in the opening to the consultation, that the UK Government’s approach to the legacy of NI </w:t>
      </w:r>
      <w:r w:rsidRPr="002F2B00">
        <w:rPr>
          <w:rFonts w:cs="Arial"/>
          <w:szCs w:val="24"/>
        </w:rPr>
        <w:lastRenderedPageBreak/>
        <w:t xml:space="preserve">and ‘dealing with the past’ would be confined by four important principles. </w:t>
      </w:r>
    </w:p>
    <w:p w14:paraId="4A0CCDA6" w14:textId="77777777" w:rsidR="003A28CB" w:rsidRPr="002F2B00" w:rsidRDefault="003A28CB" w:rsidP="00C330BB">
      <w:pPr>
        <w:jc w:val="both"/>
        <w:rPr>
          <w:rFonts w:cs="Arial"/>
          <w:szCs w:val="24"/>
        </w:rPr>
      </w:pPr>
    </w:p>
    <w:p w14:paraId="683A4101" w14:textId="5174D38D" w:rsidR="003A28CB" w:rsidRPr="002F2B00" w:rsidRDefault="003A28CB" w:rsidP="00C330BB">
      <w:pPr>
        <w:jc w:val="both"/>
        <w:rPr>
          <w:rFonts w:cs="Arial"/>
          <w:szCs w:val="24"/>
        </w:rPr>
      </w:pPr>
      <w:r w:rsidRPr="002F2B00">
        <w:rPr>
          <w:rFonts w:cs="Arial"/>
          <w:szCs w:val="24"/>
        </w:rPr>
        <w:t>1.2</w:t>
      </w:r>
      <w:r w:rsidR="002F2B00" w:rsidRPr="002F2B00">
        <w:rPr>
          <w:rFonts w:cs="Arial"/>
          <w:szCs w:val="24"/>
        </w:rPr>
        <w:t>1</w:t>
      </w:r>
      <w:r w:rsidRPr="002F2B00">
        <w:rPr>
          <w:rFonts w:cs="Arial"/>
          <w:szCs w:val="24"/>
        </w:rPr>
        <w:tab/>
        <w:t>Those principles were as follows:</w:t>
      </w:r>
    </w:p>
    <w:p w14:paraId="1DDCAC31" w14:textId="77777777" w:rsidR="003A28CB" w:rsidRPr="002F2B00" w:rsidRDefault="003A28CB" w:rsidP="003A28CB">
      <w:pPr>
        <w:spacing w:line="360" w:lineRule="auto"/>
        <w:jc w:val="both"/>
        <w:rPr>
          <w:rFonts w:cs="Arial"/>
          <w:szCs w:val="24"/>
        </w:rPr>
      </w:pPr>
    </w:p>
    <w:p w14:paraId="35C68BB3" w14:textId="77777777" w:rsidR="003A28CB" w:rsidRPr="002F2B00" w:rsidRDefault="003A28CB" w:rsidP="003A28CB">
      <w:pPr>
        <w:pStyle w:val="Quote"/>
      </w:pPr>
      <w:r w:rsidRPr="002F2B00">
        <w:t xml:space="preserve">first, and foremost, any way forward must seek to meet the needs of victims and survivors. Second, it must promote reconciliation so that, in coming to terms with the past, we enable the people of Northern Ireland to move on to build a better future. Third, </w:t>
      </w:r>
      <w:proofErr w:type="gramStart"/>
      <w:r w:rsidRPr="002F2B00">
        <w:t>in order to</w:t>
      </w:r>
      <w:proofErr w:type="gramEnd"/>
      <w:r w:rsidRPr="002F2B00">
        <w:t xml:space="preserve"> build a shared future for all, the proposals must reflect broad political consensus and be balanced, fair, equitable, and crucially proportionate. Fourth, the proposals must follow the rule of law.</w:t>
      </w:r>
      <w:r w:rsidRPr="002F2B00">
        <w:rPr>
          <w:rStyle w:val="FootnoteReference"/>
          <w:rFonts w:cs="Arial"/>
          <w:szCs w:val="24"/>
        </w:rPr>
        <w:footnoteReference w:id="337"/>
      </w:r>
    </w:p>
    <w:p w14:paraId="1CEA18D6" w14:textId="77777777" w:rsidR="003A28CB" w:rsidRPr="002F2B00" w:rsidRDefault="003A28CB" w:rsidP="003A28CB">
      <w:pPr>
        <w:spacing w:line="360" w:lineRule="auto"/>
        <w:jc w:val="both"/>
        <w:rPr>
          <w:rFonts w:cs="Arial"/>
          <w:szCs w:val="24"/>
        </w:rPr>
      </w:pPr>
    </w:p>
    <w:p w14:paraId="5BC7962B" w14:textId="22FC138E" w:rsidR="003A28CB" w:rsidRPr="002F2B00" w:rsidRDefault="003A28CB" w:rsidP="00C330BB">
      <w:pPr>
        <w:ind w:left="720" w:hanging="720"/>
        <w:jc w:val="both"/>
        <w:rPr>
          <w:rFonts w:cs="Arial"/>
          <w:szCs w:val="24"/>
        </w:rPr>
      </w:pPr>
      <w:r w:rsidRPr="002F2B00">
        <w:rPr>
          <w:rFonts w:cs="Arial"/>
          <w:szCs w:val="24"/>
        </w:rPr>
        <w:t>1.2</w:t>
      </w:r>
      <w:r w:rsidR="002F2B00" w:rsidRPr="002F2B00">
        <w:rPr>
          <w:rFonts w:cs="Arial"/>
          <w:szCs w:val="24"/>
        </w:rPr>
        <w:t>2</w:t>
      </w:r>
      <w:r w:rsidRPr="002F2B00">
        <w:rPr>
          <w:rFonts w:cs="Arial"/>
          <w:szCs w:val="24"/>
        </w:rPr>
        <w:tab/>
        <w:t>The Secretary of State for NI recorded “as the manifesto for NI at the 2017 General Election made clear”, the UK Government “continue to believe that any approach to the past must be fully consistent with the rule of law. Conservatives in government have consistently said that we will not introduce amnesties or immunities from prosecution”.</w:t>
      </w:r>
      <w:r w:rsidRPr="002F2B00">
        <w:rPr>
          <w:rStyle w:val="FootnoteReference"/>
          <w:rFonts w:cs="Arial"/>
          <w:szCs w:val="24"/>
        </w:rPr>
        <w:footnoteReference w:id="338"/>
      </w:r>
      <w:r w:rsidRPr="002F2B00">
        <w:rPr>
          <w:rFonts w:cs="Arial"/>
          <w:szCs w:val="24"/>
        </w:rPr>
        <w:t xml:space="preserve">  It continued “this Government has always shared the view that amnesties are not the right approach and believes that justice should be pursued.” </w:t>
      </w:r>
      <w:r w:rsidRPr="002F2B00">
        <w:rPr>
          <w:rStyle w:val="FootnoteReference"/>
          <w:rFonts w:cs="Arial"/>
          <w:szCs w:val="24"/>
        </w:rPr>
        <w:footnoteReference w:id="339"/>
      </w:r>
    </w:p>
    <w:p w14:paraId="12D8D3F4" w14:textId="77777777" w:rsidR="003A28CB" w:rsidRPr="002F2B00" w:rsidRDefault="003A28CB" w:rsidP="00C330BB">
      <w:pPr>
        <w:pStyle w:val="ListParagraph"/>
        <w:ind w:left="420"/>
        <w:jc w:val="both"/>
        <w:rPr>
          <w:rFonts w:cs="Arial"/>
          <w:szCs w:val="24"/>
        </w:rPr>
      </w:pPr>
    </w:p>
    <w:p w14:paraId="2347F36F" w14:textId="44ABE2AB" w:rsidR="003A28CB" w:rsidRPr="002F2B00" w:rsidRDefault="003A28CB" w:rsidP="00C330BB">
      <w:pPr>
        <w:ind w:left="720" w:hanging="720"/>
        <w:jc w:val="both"/>
        <w:rPr>
          <w:rFonts w:cs="Arial"/>
          <w:szCs w:val="24"/>
        </w:rPr>
      </w:pPr>
      <w:r w:rsidRPr="002F2B00">
        <w:rPr>
          <w:rFonts w:cs="Arial"/>
          <w:szCs w:val="24"/>
        </w:rPr>
        <w:t>1.2</w:t>
      </w:r>
      <w:r w:rsidR="002F2B00" w:rsidRPr="002F2B00">
        <w:rPr>
          <w:rFonts w:cs="Arial"/>
          <w:szCs w:val="24"/>
        </w:rPr>
        <w:t>3</w:t>
      </w:r>
      <w:r w:rsidRPr="002F2B00">
        <w:rPr>
          <w:rFonts w:cs="Arial"/>
          <w:szCs w:val="24"/>
        </w:rPr>
        <w:tab/>
        <w:t>In August 2018, the NIHRC provided advice.</w:t>
      </w:r>
      <w:r w:rsidRPr="002F2B00">
        <w:rPr>
          <w:rFonts w:cs="Arial"/>
          <w:szCs w:val="24"/>
          <w:vertAlign w:val="superscript"/>
        </w:rPr>
        <w:footnoteReference w:id="340"/>
      </w:r>
      <w:r w:rsidRPr="002F2B00">
        <w:rPr>
          <w:rFonts w:cs="Arial"/>
          <w:szCs w:val="24"/>
        </w:rPr>
        <w:t xml:space="preserve"> The NIHRC noted the importance of the recognition by both the UK and Irish Governments of outstanding investigations and allegations into Troubles-related incidents. They committed to co-operation with all relevant bodies for their effective operation and to bring forward legislation, where necessary, to better enable them. The NIHRC’s advice, however, raised </w:t>
      </w:r>
      <w:proofErr w:type="gramStart"/>
      <w:r w:rsidRPr="002F2B00">
        <w:rPr>
          <w:rFonts w:cs="Arial"/>
          <w:szCs w:val="24"/>
        </w:rPr>
        <w:t>a number of</w:t>
      </w:r>
      <w:proofErr w:type="gramEnd"/>
      <w:r w:rsidRPr="002F2B00">
        <w:rPr>
          <w:rFonts w:cs="Arial"/>
          <w:szCs w:val="24"/>
        </w:rPr>
        <w:t xml:space="preserve"> concerns and made a number of recommendations to ensure that the Stormont House Agreement Bill was human rights compliant. There was a deficit found between the Stormont House Agreement Bill and the Human Rights Act 1998, but the NIHRC resolved that with certain amendments human rights compliance could be achieved. </w:t>
      </w:r>
    </w:p>
    <w:p w14:paraId="1A52C138" w14:textId="77777777" w:rsidR="003A28CB" w:rsidRPr="002F2B00" w:rsidRDefault="003A28CB" w:rsidP="00C330BB">
      <w:pPr>
        <w:ind w:left="720" w:hanging="720"/>
        <w:jc w:val="both"/>
        <w:rPr>
          <w:rFonts w:cs="Arial"/>
          <w:szCs w:val="24"/>
        </w:rPr>
      </w:pPr>
    </w:p>
    <w:p w14:paraId="73CB374A" w14:textId="1D858F51" w:rsidR="003A28CB" w:rsidRPr="002F2B00" w:rsidRDefault="003A28CB" w:rsidP="00C330BB">
      <w:pPr>
        <w:ind w:left="720" w:hanging="720"/>
        <w:jc w:val="both"/>
        <w:rPr>
          <w:rFonts w:cs="Arial"/>
          <w:szCs w:val="24"/>
        </w:rPr>
      </w:pPr>
      <w:r w:rsidRPr="002F2B00">
        <w:rPr>
          <w:rFonts w:cs="Arial"/>
          <w:szCs w:val="24"/>
        </w:rPr>
        <w:lastRenderedPageBreak/>
        <w:t>1.2</w:t>
      </w:r>
      <w:r w:rsidR="002F2B00" w:rsidRPr="002F2B00">
        <w:rPr>
          <w:rFonts w:cs="Arial"/>
          <w:szCs w:val="24"/>
        </w:rPr>
        <w:t>4</w:t>
      </w:r>
      <w:r w:rsidRPr="002F2B00">
        <w:rPr>
          <w:rFonts w:cs="Arial"/>
          <w:szCs w:val="24"/>
        </w:rPr>
        <w:tab/>
        <w:t xml:space="preserve">The UK Government did not respond to the NIHRC’s advice. </w:t>
      </w:r>
    </w:p>
    <w:p w14:paraId="561509B1" w14:textId="77777777" w:rsidR="003A28CB" w:rsidRPr="002F2B00" w:rsidRDefault="003A28CB" w:rsidP="003A28CB">
      <w:pPr>
        <w:spacing w:line="360" w:lineRule="auto"/>
        <w:ind w:left="720" w:hanging="720"/>
        <w:jc w:val="both"/>
        <w:rPr>
          <w:rFonts w:cs="Arial"/>
          <w:szCs w:val="24"/>
        </w:rPr>
      </w:pPr>
    </w:p>
    <w:p w14:paraId="0021B63A" w14:textId="77777777" w:rsidR="003A28CB" w:rsidRPr="002F2B00" w:rsidRDefault="003A28CB" w:rsidP="003A28CB">
      <w:pPr>
        <w:pStyle w:val="Heading2"/>
      </w:pPr>
      <w:bookmarkStart w:id="41" w:name="_Toc113517970"/>
      <w:r w:rsidRPr="002F2B00">
        <w:t>Consultation Responses Analysis</w:t>
      </w:r>
      <w:bookmarkEnd w:id="41"/>
    </w:p>
    <w:p w14:paraId="28588A44" w14:textId="1EB999F3" w:rsidR="003A28CB" w:rsidRPr="002F2B00" w:rsidRDefault="003A28CB" w:rsidP="00C330BB">
      <w:pPr>
        <w:ind w:left="720" w:hanging="720"/>
        <w:jc w:val="both"/>
        <w:rPr>
          <w:rFonts w:cs="Arial"/>
          <w:szCs w:val="24"/>
        </w:rPr>
      </w:pPr>
      <w:r w:rsidRPr="002F2B00">
        <w:rPr>
          <w:rFonts w:cs="Arial"/>
          <w:szCs w:val="24"/>
        </w:rPr>
        <w:t>1.2</w:t>
      </w:r>
      <w:r w:rsidR="002F2B00" w:rsidRPr="002F2B00">
        <w:rPr>
          <w:rFonts w:cs="Arial"/>
          <w:szCs w:val="24"/>
        </w:rPr>
        <w:t>5</w:t>
      </w:r>
      <w:r w:rsidRPr="002F2B00">
        <w:rPr>
          <w:rFonts w:cs="Arial"/>
          <w:szCs w:val="24"/>
        </w:rPr>
        <w:tab/>
        <w:t>There were 17,000 responses to the NI Office’s consultation on addressing NI’s past. A report by the NI Office analysing these responses was published in July 2019. The report noted “as the Secretary of State has made clear, new ways to address the legacy of the past will only succeed if the institutions can command broad support and trust from the community”.</w:t>
      </w:r>
      <w:r w:rsidRPr="002F2B00">
        <w:rPr>
          <w:rStyle w:val="FootnoteReference"/>
          <w:rFonts w:cs="Arial"/>
          <w:szCs w:val="24"/>
        </w:rPr>
        <w:footnoteReference w:id="341"/>
      </w:r>
    </w:p>
    <w:p w14:paraId="67BD1936" w14:textId="77777777" w:rsidR="003A28CB" w:rsidRPr="002F2B00" w:rsidRDefault="003A28CB" w:rsidP="00C330BB">
      <w:pPr>
        <w:jc w:val="both"/>
        <w:rPr>
          <w:rFonts w:cs="Arial"/>
          <w:szCs w:val="24"/>
        </w:rPr>
      </w:pPr>
    </w:p>
    <w:p w14:paraId="5C7D11EB" w14:textId="17EE2EE2" w:rsidR="003A28CB" w:rsidRPr="002F2B00" w:rsidRDefault="003A28CB" w:rsidP="00C330BB">
      <w:pPr>
        <w:jc w:val="both"/>
        <w:rPr>
          <w:rFonts w:cs="Arial"/>
          <w:szCs w:val="24"/>
        </w:rPr>
      </w:pPr>
      <w:r w:rsidRPr="002F2B00">
        <w:rPr>
          <w:rFonts w:cs="Arial"/>
          <w:szCs w:val="24"/>
        </w:rPr>
        <w:t>1.2</w:t>
      </w:r>
      <w:r w:rsidR="002F2B00" w:rsidRPr="002F2B00">
        <w:rPr>
          <w:rFonts w:cs="Arial"/>
          <w:szCs w:val="24"/>
        </w:rPr>
        <w:t>6</w:t>
      </w:r>
      <w:r w:rsidRPr="002F2B00">
        <w:rPr>
          <w:rFonts w:cs="Arial"/>
          <w:szCs w:val="24"/>
        </w:rPr>
        <w:tab/>
        <w:t xml:space="preserve">In the analysis it states: </w:t>
      </w:r>
    </w:p>
    <w:p w14:paraId="45255464" w14:textId="77777777" w:rsidR="003A28CB" w:rsidRPr="002F2B00" w:rsidRDefault="003A28CB" w:rsidP="003A28CB">
      <w:pPr>
        <w:spacing w:line="360" w:lineRule="auto"/>
        <w:jc w:val="both"/>
        <w:rPr>
          <w:rFonts w:cs="Arial"/>
          <w:szCs w:val="24"/>
        </w:rPr>
      </w:pPr>
    </w:p>
    <w:p w14:paraId="44234902" w14:textId="77777777" w:rsidR="003A28CB" w:rsidRPr="002F2B00" w:rsidRDefault="003A28CB" w:rsidP="003A28CB">
      <w:pPr>
        <w:pStyle w:val="Quote"/>
      </w:pPr>
      <w:r w:rsidRPr="002F2B00">
        <w:t>the overarching message from the vast majority of those who have responded to the consultation is clear: the current system needs to be reformed and we have an obligation to seek to address the legacy of the past in a way that builds for the future. This means ensuring that the way forward will contribute to a better future and further reconciliation across society. The Government remains fully committed to the implementation of the Stormont House Agreement and it is essential that our work continues.</w:t>
      </w:r>
      <w:r w:rsidRPr="002F2B00">
        <w:rPr>
          <w:rStyle w:val="FootnoteReference"/>
          <w:rFonts w:cs="Arial"/>
          <w:szCs w:val="24"/>
        </w:rPr>
        <w:footnoteReference w:id="342"/>
      </w:r>
      <w:r w:rsidRPr="002F2B00">
        <w:t xml:space="preserve"> </w:t>
      </w:r>
    </w:p>
    <w:p w14:paraId="18B4B2E9" w14:textId="77777777" w:rsidR="003A28CB" w:rsidRPr="002F2B00" w:rsidRDefault="003A28CB" w:rsidP="003A28CB">
      <w:pPr>
        <w:spacing w:line="360" w:lineRule="auto"/>
        <w:jc w:val="both"/>
        <w:rPr>
          <w:rFonts w:cs="Arial"/>
          <w:szCs w:val="24"/>
        </w:rPr>
      </w:pPr>
    </w:p>
    <w:p w14:paraId="67405EAC" w14:textId="5CB35A96" w:rsidR="003A28CB" w:rsidRPr="002F2B00" w:rsidRDefault="003A28CB" w:rsidP="00C330BB">
      <w:pPr>
        <w:ind w:left="720" w:hanging="720"/>
        <w:jc w:val="both"/>
        <w:rPr>
          <w:rFonts w:cs="Arial"/>
          <w:szCs w:val="24"/>
        </w:rPr>
      </w:pPr>
      <w:r w:rsidRPr="002F2B00">
        <w:rPr>
          <w:rFonts w:cs="Arial"/>
          <w:szCs w:val="24"/>
        </w:rPr>
        <w:t>1.2</w:t>
      </w:r>
      <w:r w:rsidR="002F2B00" w:rsidRPr="002F2B00">
        <w:rPr>
          <w:rFonts w:cs="Arial"/>
          <w:szCs w:val="24"/>
        </w:rPr>
        <w:t>7</w:t>
      </w:r>
      <w:r w:rsidRPr="002F2B00">
        <w:rPr>
          <w:rFonts w:cs="Arial"/>
          <w:szCs w:val="24"/>
        </w:rPr>
        <w:tab/>
        <w:t>As is clear, this consultation “provided everyone with an opportunity to comment on the proposals set out in the 2014 Stormont House Agreement including the establishment of the four new legacy institutions”.</w:t>
      </w:r>
      <w:r w:rsidRPr="002F2B00">
        <w:rPr>
          <w:rStyle w:val="FootnoteReference"/>
          <w:rFonts w:cs="Arial"/>
          <w:szCs w:val="24"/>
        </w:rPr>
        <w:footnoteReference w:id="343"/>
      </w:r>
      <w:r w:rsidRPr="002F2B00">
        <w:rPr>
          <w:rFonts w:cs="Arial"/>
          <w:szCs w:val="24"/>
        </w:rPr>
        <w:t xml:space="preserve"> Prominent among the institutions was the Historical Investigations Unit. </w:t>
      </w:r>
    </w:p>
    <w:p w14:paraId="2B7CD802" w14:textId="77777777" w:rsidR="003A28CB" w:rsidRPr="002F2B00" w:rsidRDefault="003A28CB" w:rsidP="00C330BB">
      <w:pPr>
        <w:jc w:val="both"/>
        <w:rPr>
          <w:rFonts w:cs="Arial"/>
          <w:szCs w:val="24"/>
        </w:rPr>
      </w:pPr>
    </w:p>
    <w:p w14:paraId="6F77914D" w14:textId="0F0F2C85" w:rsidR="003A28CB" w:rsidRPr="002F2B00" w:rsidRDefault="003A28CB" w:rsidP="00C330BB">
      <w:pPr>
        <w:jc w:val="both"/>
        <w:rPr>
          <w:rFonts w:cs="Arial"/>
          <w:szCs w:val="24"/>
        </w:rPr>
      </w:pPr>
      <w:r w:rsidRPr="002F2B00">
        <w:rPr>
          <w:rFonts w:cs="Arial"/>
          <w:szCs w:val="24"/>
        </w:rPr>
        <w:t>1.2</w:t>
      </w:r>
      <w:r w:rsidR="002F2B00" w:rsidRPr="002F2B00">
        <w:rPr>
          <w:rFonts w:cs="Arial"/>
          <w:szCs w:val="24"/>
        </w:rPr>
        <w:t>8</w:t>
      </w:r>
      <w:r w:rsidRPr="002F2B00">
        <w:rPr>
          <w:rFonts w:cs="Arial"/>
          <w:szCs w:val="24"/>
        </w:rPr>
        <w:tab/>
        <w:t>Regarding engagement, the analysis says:</w:t>
      </w:r>
    </w:p>
    <w:p w14:paraId="590E293D" w14:textId="77777777" w:rsidR="003A28CB" w:rsidRPr="002F2B00" w:rsidRDefault="003A28CB" w:rsidP="003A28CB">
      <w:pPr>
        <w:spacing w:line="360" w:lineRule="auto"/>
        <w:jc w:val="both"/>
        <w:rPr>
          <w:rFonts w:cs="Arial"/>
          <w:szCs w:val="24"/>
        </w:rPr>
      </w:pPr>
    </w:p>
    <w:p w14:paraId="0F50E327" w14:textId="77777777" w:rsidR="003A28CB" w:rsidRPr="002F2B00" w:rsidRDefault="003A28CB" w:rsidP="003A28CB">
      <w:pPr>
        <w:pStyle w:val="Quote"/>
      </w:pPr>
      <w:r w:rsidRPr="002F2B00">
        <w:t xml:space="preserve">throughout the consultation period, officials attended a range of engagements and public meetings in NI, Great </w:t>
      </w:r>
      <w:proofErr w:type="gramStart"/>
      <w:r w:rsidRPr="002F2B00">
        <w:t>Britain</w:t>
      </w:r>
      <w:proofErr w:type="gramEnd"/>
      <w:r w:rsidRPr="002F2B00">
        <w:t xml:space="preserve"> and Ireland in order to discuss and provide further detail on the proposals. Officials also answered questions and heard suggestions and opinions from those present - victims, </w:t>
      </w:r>
      <w:proofErr w:type="gramStart"/>
      <w:r w:rsidRPr="002F2B00">
        <w:t>survivors</w:t>
      </w:r>
      <w:proofErr w:type="gramEnd"/>
      <w:r w:rsidRPr="002F2B00">
        <w:t xml:space="preserve"> and many others. We are grateful to all those who took the time to contribute to this important and sensitive discussion. For many, it represented a first </w:t>
      </w:r>
      <w:r w:rsidRPr="002F2B00">
        <w:lastRenderedPageBreak/>
        <w:t xml:space="preserve">opportunity to contribute to the debate around addressing the legacy of the past. It was extremely informative and important to hear directly from victims, </w:t>
      </w:r>
      <w:proofErr w:type="gramStart"/>
      <w:r w:rsidRPr="002F2B00">
        <w:t>survivors</w:t>
      </w:r>
      <w:proofErr w:type="gramEnd"/>
      <w:r w:rsidRPr="002F2B00">
        <w:t xml:space="preserve"> and others, and to listen to their experiences and views on the proposals. These views are essential in helping us to build support and confidence from across the community, to arrive at a way forward for dealing with the past, that has the potential to provide better outcomes for: victims; survivors; former police officers and veterans, and for all those affected by the Troubles.</w:t>
      </w:r>
      <w:r w:rsidRPr="002F2B00">
        <w:rPr>
          <w:rStyle w:val="FootnoteReference"/>
        </w:rPr>
        <w:footnoteReference w:id="344"/>
      </w:r>
    </w:p>
    <w:p w14:paraId="2D27086A" w14:textId="77777777" w:rsidR="003A28CB" w:rsidRPr="002F2B00" w:rsidRDefault="003A28CB" w:rsidP="003A28CB"/>
    <w:p w14:paraId="4855936D" w14:textId="77777777" w:rsidR="003A28CB" w:rsidRPr="002F2B00" w:rsidRDefault="003A28CB" w:rsidP="003A28CB">
      <w:pPr>
        <w:spacing w:line="360" w:lineRule="auto"/>
        <w:jc w:val="both"/>
        <w:rPr>
          <w:rFonts w:cs="Arial"/>
          <w:szCs w:val="24"/>
        </w:rPr>
      </w:pPr>
    </w:p>
    <w:p w14:paraId="16059025" w14:textId="77777777" w:rsidR="003A28CB" w:rsidRPr="002F2B00" w:rsidRDefault="003A28CB" w:rsidP="003A28CB">
      <w:pPr>
        <w:pStyle w:val="Heading2"/>
      </w:pPr>
      <w:bookmarkStart w:id="42" w:name="_Toc113517971"/>
      <w:r w:rsidRPr="002F2B00">
        <w:t>New Decade, New Approach</w:t>
      </w:r>
      <w:bookmarkEnd w:id="42"/>
    </w:p>
    <w:p w14:paraId="6E77A338" w14:textId="77777777" w:rsidR="003A28CB" w:rsidRPr="002F2B00" w:rsidRDefault="003A28CB" w:rsidP="00C330BB">
      <w:pPr>
        <w:ind w:left="720" w:hanging="720"/>
        <w:jc w:val="both"/>
        <w:rPr>
          <w:rFonts w:cs="Arial"/>
          <w:szCs w:val="24"/>
        </w:rPr>
      </w:pPr>
      <w:r w:rsidRPr="002F2B00">
        <w:rPr>
          <w:rFonts w:cs="Arial"/>
          <w:szCs w:val="24"/>
        </w:rPr>
        <w:t>1.29</w:t>
      </w:r>
      <w:r w:rsidRPr="002F2B00">
        <w:rPr>
          <w:rFonts w:cs="Arial"/>
          <w:szCs w:val="24"/>
        </w:rPr>
        <w:tab/>
        <w:t>The New Decade, New Approach Deal, which restored the NI devolved institutions, contains commitments from the UK Government and the Government of Ireland. Parties to New Decade, New Approach:</w:t>
      </w:r>
    </w:p>
    <w:p w14:paraId="7EBD9BFE" w14:textId="77777777" w:rsidR="003A28CB" w:rsidRPr="002F2B00" w:rsidRDefault="003A28CB" w:rsidP="003A28CB">
      <w:pPr>
        <w:spacing w:line="360" w:lineRule="auto"/>
        <w:jc w:val="both"/>
        <w:rPr>
          <w:rFonts w:cs="Arial"/>
          <w:szCs w:val="24"/>
        </w:rPr>
      </w:pPr>
    </w:p>
    <w:p w14:paraId="4B165AD4" w14:textId="77777777" w:rsidR="003A28CB" w:rsidRPr="002F2B00" w:rsidRDefault="003A28CB" w:rsidP="003A28CB">
      <w:pPr>
        <w:pStyle w:val="Quote"/>
      </w:pPr>
      <w:r w:rsidRPr="002F2B00">
        <w:t xml:space="preserve">reaffirmed their commitment to the Declaration of Support contained in the Belfast (Good Friday) Agreement and successor agreements. In doing so, they recognise that the Programme for Government must provide a sustainable basis for the Executive to work together in partnership to serve and deliver for all </w:t>
      </w:r>
      <w:proofErr w:type="gramStart"/>
      <w:r w:rsidRPr="002F2B00">
        <w:t>on the basis of</w:t>
      </w:r>
      <w:proofErr w:type="gramEnd"/>
      <w:r w:rsidRPr="002F2B00">
        <w:t xml:space="preserve"> demonstrable and objectively measured need. Reconciliation will be central to the Executive’s approach, and there will be a focus on building a united community in a way that has equality and mutual respect to the fore.</w:t>
      </w:r>
      <w:r w:rsidRPr="002F2B00">
        <w:rPr>
          <w:rStyle w:val="FootnoteReference"/>
        </w:rPr>
        <w:footnoteReference w:id="345"/>
      </w:r>
    </w:p>
    <w:p w14:paraId="33A76516" w14:textId="77777777" w:rsidR="003A28CB" w:rsidRPr="002F2B00" w:rsidRDefault="003A28CB" w:rsidP="003A28CB">
      <w:pPr>
        <w:spacing w:line="360" w:lineRule="auto"/>
        <w:jc w:val="both"/>
        <w:rPr>
          <w:rFonts w:cs="Arial"/>
          <w:szCs w:val="24"/>
        </w:rPr>
      </w:pPr>
    </w:p>
    <w:p w14:paraId="37DDD050" w14:textId="77777777" w:rsidR="003A28CB" w:rsidRPr="002F2B00" w:rsidRDefault="003A28CB" w:rsidP="00C330BB">
      <w:pPr>
        <w:jc w:val="both"/>
        <w:rPr>
          <w:rFonts w:cs="Arial"/>
          <w:szCs w:val="24"/>
        </w:rPr>
      </w:pPr>
      <w:r w:rsidRPr="002F2B00">
        <w:rPr>
          <w:rFonts w:cs="Arial"/>
          <w:szCs w:val="24"/>
        </w:rPr>
        <w:t>1.30</w:t>
      </w:r>
      <w:r w:rsidRPr="002F2B00">
        <w:rPr>
          <w:rFonts w:cs="Arial"/>
          <w:szCs w:val="24"/>
        </w:rPr>
        <w:tab/>
        <w:t>New Decade, New Approach stated:</w:t>
      </w:r>
    </w:p>
    <w:p w14:paraId="538D664D" w14:textId="77777777" w:rsidR="003A28CB" w:rsidRPr="002F2B00" w:rsidRDefault="003A28CB" w:rsidP="003A28CB">
      <w:pPr>
        <w:spacing w:line="360" w:lineRule="auto"/>
        <w:jc w:val="both"/>
        <w:rPr>
          <w:rFonts w:cs="Arial"/>
          <w:szCs w:val="24"/>
        </w:rPr>
      </w:pPr>
    </w:p>
    <w:p w14:paraId="729A7E9F" w14:textId="77777777" w:rsidR="003A28CB" w:rsidRPr="002F2B00" w:rsidRDefault="003A28CB" w:rsidP="003A28CB">
      <w:pPr>
        <w:pStyle w:val="Quote"/>
      </w:pPr>
      <w:r w:rsidRPr="002F2B00">
        <w:t xml:space="preserve">in moving to a better, more </w:t>
      </w:r>
      <w:proofErr w:type="gramStart"/>
      <w:r w:rsidRPr="002F2B00">
        <w:t>prosperous</w:t>
      </w:r>
      <w:proofErr w:type="gramEnd"/>
      <w:r w:rsidRPr="002F2B00">
        <w:t xml:space="preserve"> and shared future the parties recognise the need to address the legacy of the past. To that end, the parties are committed to working together and to doing everything possible to heal wounds and eliminate the issues that divide us.</w:t>
      </w:r>
      <w:r w:rsidRPr="002F2B00">
        <w:rPr>
          <w:rStyle w:val="FootnoteReference"/>
          <w:rFonts w:cs="Arial"/>
          <w:szCs w:val="24"/>
        </w:rPr>
        <w:footnoteReference w:id="346"/>
      </w:r>
      <w:r w:rsidRPr="002F2B00">
        <w:t xml:space="preserve"> </w:t>
      </w:r>
    </w:p>
    <w:p w14:paraId="2BF8941F" w14:textId="77777777" w:rsidR="003A28CB" w:rsidRPr="002F2B00" w:rsidRDefault="003A28CB" w:rsidP="003A28CB">
      <w:pPr>
        <w:spacing w:line="360" w:lineRule="auto"/>
        <w:jc w:val="both"/>
        <w:rPr>
          <w:rFonts w:cs="Arial"/>
          <w:szCs w:val="24"/>
        </w:rPr>
      </w:pPr>
    </w:p>
    <w:p w14:paraId="7A573490" w14:textId="77777777" w:rsidR="003A28CB" w:rsidRPr="002F2B00" w:rsidRDefault="003A28CB" w:rsidP="00C330BB">
      <w:pPr>
        <w:ind w:left="720" w:hanging="720"/>
        <w:jc w:val="both"/>
        <w:rPr>
          <w:rFonts w:cs="Arial"/>
          <w:szCs w:val="24"/>
        </w:rPr>
      </w:pPr>
      <w:r w:rsidRPr="002F2B00">
        <w:rPr>
          <w:rFonts w:cs="Arial"/>
          <w:szCs w:val="24"/>
        </w:rPr>
        <w:t>1.31</w:t>
      </w:r>
      <w:r w:rsidRPr="002F2B00">
        <w:rPr>
          <w:rFonts w:cs="Arial"/>
          <w:szCs w:val="24"/>
        </w:rPr>
        <w:tab/>
        <w:t>The UK Government expressly committed to:</w:t>
      </w:r>
    </w:p>
    <w:p w14:paraId="7E886734" w14:textId="77777777" w:rsidR="003A28CB" w:rsidRPr="002F2B00" w:rsidRDefault="003A28CB" w:rsidP="003A28CB">
      <w:pPr>
        <w:spacing w:line="360" w:lineRule="auto"/>
        <w:ind w:left="720" w:hanging="720"/>
        <w:jc w:val="both"/>
        <w:rPr>
          <w:rFonts w:cs="Arial"/>
          <w:szCs w:val="24"/>
        </w:rPr>
      </w:pPr>
    </w:p>
    <w:p w14:paraId="51EC2F80" w14:textId="77777777" w:rsidR="003A28CB" w:rsidRPr="002F2B00" w:rsidRDefault="003A28CB" w:rsidP="003A28CB">
      <w:pPr>
        <w:pStyle w:val="Quote"/>
      </w:pPr>
      <w:r w:rsidRPr="002F2B00">
        <w:lastRenderedPageBreak/>
        <w:t>within 100 days, publish and introduce legislation in the UK Parliament to implement the Stormont House Agreement, to address NI legacy issues. The [UK] Government will now start an intensive process with the Northern Ireland parties, and the Irish Government as appropriate, to maintain a broad-based consensus on these issues, recognising that any such UK Parliament legislation should have the consent of the NI Assembly.</w:t>
      </w:r>
      <w:r w:rsidRPr="002F2B00">
        <w:rPr>
          <w:rStyle w:val="FootnoteReference"/>
          <w:rFonts w:cs="Arial"/>
          <w:szCs w:val="24"/>
        </w:rPr>
        <w:footnoteReference w:id="347"/>
      </w:r>
    </w:p>
    <w:p w14:paraId="6CE713D8" w14:textId="77777777" w:rsidR="003A28CB" w:rsidRPr="002F2B00" w:rsidRDefault="003A28CB" w:rsidP="003A28CB">
      <w:pPr>
        <w:spacing w:line="360" w:lineRule="auto"/>
        <w:jc w:val="both"/>
        <w:rPr>
          <w:rFonts w:cs="Arial"/>
          <w:szCs w:val="24"/>
        </w:rPr>
      </w:pPr>
    </w:p>
    <w:p w14:paraId="77F13735" w14:textId="77777777" w:rsidR="003A28CB" w:rsidRPr="002F2B00" w:rsidRDefault="003A28CB" w:rsidP="00C330BB">
      <w:pPr>
        <w:ind w:left="720" w:hanging="720"/>
        <w:jc w:val="both"/>
        <w:rPr>
          <w:rFonts w:cs="Arial"/>
          <w:szCs w:val="24"/>
        </w:rPr>
      </w:pPr>
      <w:r w:rsidRPr="002F2B00">
        <w:rPr>
          <w:rFonts w:cs="Arial"/>
          <w:szCs w:val="24"/>
        </w:rPr>
        <w:t>1.32</w:t>
      </w:r>
      <w:r w:rsidRPr="002F2B00">
        <w:rPr>
          <w:rFonts w:cs="Arial"/>
          <w:szCs w:val="24"/>
        </w:rPr>
        <w:tab/>
        <w:t>In respect of legacy, New Decade, New Approach states that “the [UK] Government will provide funding to support the implementation of the Stormont House Agreement proposals on legacy”.</w:t>
      </w:r>
      <w:r w:rsidRPr="002F2B00">
        <w:rPr>
          <w:rStyle w:val="FootnoteReference"/>
          <w:rFonts w:cs="Arial"/>
          <w:szCs w:val="24"/>
        </w:rPr>
        <w:footnoteReference w:id="348"/>
      </w:r>
      <w:r w:rsidRPr="002F2B00">
        <w:rPr>
          <w:rFonts w:cs="Arial"/>
          <w:szCs w:val="24"/>
        </w:rPr>
        <w:t xml:space="preserve"> The Government of Ireland: </w:t>
      </w:r>
    </w:p>
    <w:p w14:paraId="7BDFE243" w14:textId="77777777" w:rsidR="003A28CB" w:rsidRPr="002F2B00" w:rsidRDefault="003A28CB" w:rsidP="003A28CB">
      <w:pPr>
        <w:spacing w:line="360" w:lineRule="auto"/>
        <w:ind w:left="720"/>
        <w:jc w:val="both"/>
        <w:rPr>
          <w:rFonts w:cs="Arial"/>
          <w:szCs w:val="24"/>
        </w:rPr>
      </w:pPr>
    </w:p>
    <w:p w14:paraId="56F827D7" w14:textId="77777777" w:rsidR="003A28CB" w:rsidRPr="002F2B00" w:rsidRDefault="003A28CB" w:rsidP="003A28CB">
      <w:pPr>
        <w:pStyle w:val="Quote"/>
      </w:pPr>
      <w:r w:rsidRPr="002F2B00">
        <w:t>affirms its commitment to working with the UK Government to support the establishment of the Stormont House Agreement legacy institutions as a matter of urgency, including by introducing necessary implementing legislation in the Oireachtas, to deal with the legacy of the Troubles and support reconciliation, meeting the legitimate needs and expectations of victims and survivors.</w:t>
      </w:r>
      <w:r w:rsidRPr="002F2B00">
        <w:rPr>
          <w:rStyle w:val="FootnoteReference"/>
        </w:rPr>
        <w:footnoteReference w:id="349"/>
      </w:r>
    </w:p>
    <w:p w14:paraId="091D348E" w14:textId="77777777" w:rsidR="003A28CB" w:rsidRPr="002F2B00" w:rsidRDefault="003A28CB" w:rsidP="003A28CB">
      <w:pPr>
        <w:spacing w:line="360" w:lineRule="auto"/>
        <w:jc w:val="both"/>
        <w:rPr>
          <w:rFonts w:cs="Arial"/>
          <w:szCs w:val="24"/>
        </w:rPr>
      </w:pPr>
    </w:p>
    <w:p w14:paraId="4075F012" w14:textId="77777777" w:rsidR="003A28CB" w:rsidRPr="002F2B00" w:rsidRDefault="003A28CB" w:rsidP="00C330BB">
      <w:pPr>
        <w:jc w:val="both"/>
        <w:rPr>
          <w:rFonts w:cs="Arial"/>
          <w:szCs w:val="24"/>
        </w:rPr>
      </w:pPr>
      <w:r w:rsidRPr="002F2B00">
        <w:rPr>
          <w:rFonts w:cs="Arial"/>
          <w:szCs w:val="24"/>
        </w:rPr>
        <w:t>1.33</w:t>
      </w:r>
      <w:r w:rsidRPr="002F2B00">
        <w:rPr>
          <w:rFonts w:cs="Arial"/>
          <w:szCs w:val="24"/>
        </w:rPr>
        <w:tab/>
        <w:t>The UK commitments made to veterans were stated expressly to:</w:t>
      </w:r>
    </w:p>
    <w:p w14:paraId="0787BD22" w14:textId="77777777" w:rsidR="003A28CB" w:rsidRPr="002F2B00" w:rsidRDefault="003A28CB" w:rsidP="003A28CB">
      <w:pPr>
        <w:spacing w:line="360" w:lineRule="auto"/>
        <w:jc w:val="both"/>
        <w:rPr>
          <w:rFonts w:cs="Arial"/>
          <w:szCs w:val="24"/>
        </w:rPr>
      </w:pPr>
    </w:p>
    <w:p w14:paraId="7D6F659D" w14:textId="5B26550A" w:rsidR="003A28CB" w:rsidRPr="002F2B00" w:rsidRDefault="003A28CB" w:rsidP="003A28CB">
      <w:pPr>
        <w:pStyle w:val="Quote"/>
      </w:pPr>
      <w:r w:rsidRPr="002F2B00">
        <w:t>introduce UK-wide legislation to further incorporate the Armed Forces Covenant into law and support full implementation of the Armed Forces Covenant. Appoint a NI Veterans' Commissioner to act as an independent point of contact to support and enhance outcomes for veterans in NI. Initiate a review of the Aftercare Service in NI which will consider whether the remit of the Aftercare Service should be widened to cover all HM Forces veterans living in Northern Ireland with service-related injuries and conditions. Ensure that the work of the War Memorials Trust who protect and conserve war memorials across the UK is better promoted and understood in NI.</w:t>
      </w:r>
      <w:r w:rsidRPr="002F2B00">
        <w:rPr>
          <w:rStyle w:val="FootnoteReference"/>
          <w:rFonts w:cs="Arial"/>
          <w:szCs w:val="24"/>
        </w:rPr>
        <w:footnoteReference w:id="350"/>
      </w:r>
    </w:p>
    <w:p w14:paraId="359A34F1" w14:textId="77777777" w:rsidR="003A28CB" w:rsidRPr="002F2B00" w:rsidRDefault="003A28CB" w:rsidP="003A28CB"/>
    <w:p w14:paraId="77EDD398" w14:textId="77777777" w:rsidR="003A28CB" w:rsidRPr="002F2B00" w:rsidRDefault="003A28CB" w:rsidP="003A28CB">
      <w:pPr>
        <w:pStyle w:val="Heading2"/>
      </w:pPr>
      <w:bookmarkStart w:id="43" w:name="_Toc113517972"/>
      <w:r w:rsidRPr="002F2B00">
        <w:lastRenderedPageBreak/>
        <w:t>Ministerial Statement 2020</w:t>
      </w:r>
      <w:bookmarkEnd w:id="43"/>
    </w:p>
    <w:p w14:paraId="79DB6A72" w14:textId="36C67FF9" w:rsidR="003A28CB" w:rsidRPr="002F2B00" w:rsidRDefault="003A28CB" w:rsidP="00C330BB">
      <w:pPr>
        <w:pStyle w:val="NormalWeb"/>
        <w:shd w:val="clear" w:color="auto" w:fill="FFFFFF"/>
        <w:spacing w:before="0" w:beforeAutospacing="0" w:after="0" w:afterAutospacing="0" w:line="288" w:lineRule="auto"/>
        <w:ind w:left="720" w:hanging="720"/>
        <w:jc w:val="both"/>
        <w:rPr>
          <w:rFonts w:ascii="Verdana" w:hAnsi="Verdana" w:cs="Arial"/>
        </w:rPr>
      </w:pPr>
      <w:r w:rsidRPr="002F2B00">
        <w:rPr>
          <w:rFonts w:ascii="Verdana" w:hAnsi="Verdana" w:cs="Arial"/>
        </w:rPr>
        <w:t>1.34</w:t>
      </w:r>
      <w:r w:rsidRPr="002F2B00">
        <w:rPr>
          <w:rFonts w:ascii="Verdana" w:hAnsi="Verdana" w:cs="Arial"/>
        </w:rPr>
        <w:tab/>
        <w:t xml:space="preserve">In March 2020, the </w:t>
      </w:r>
      <w:r w:rsidR="0006454F" w:rsidRPr="002F2B00">
        <w:rPr>
          <w:rFonts w:ascii="Verdana" w:hAnsi="Verdana" w:cs="Arial"/>
        </w:rPr>
        <w:t xml:space="preserve">former </w:t>
      </w:r>
      <w:r w:rsidRPr="002F2B00">
        <w:rPr>
          <w:rFonts w:ascii="Verdana" w:hAnsi="Verdana" w:cs="Arial"/>
        </w:rPr>
        <w:t xml:space="preserve">Secretary of State for NI, Brandon Lewis MP, laid a Written Ministerial Statement which said: </w:t>
      </w:r>
    </w:p>
    <w:p w14:paraId="718F9DE8" w14:textId="77777777" w:rsidR="003A28CB" w:rsidRPr="002F2B00" w:rsidRDefault="003A28CB" w:rsidP="003A28CB">
      <w:pPr>
        <w:pStyle w:val="NormalWeb"/>
        <w:shd w:val="clear" w:color="auto" w:fill="FFFFFF"/>
        <w:spacing w:before="0" w:beforeAutospacing="0" w:after="0" w:afterAutospacing="0" w:line="360" w:lineRule="auto"/>
        <w:ind w:left="720"/>
        <w:jc w:val="both"/>
        <w:rPr>
          <w:rFonts w:ascii="Verdana" w:hAnsi="Verdana" w:cs="Arial"/>
        </w:rPr>
      </w:pPr>
    </w:p>
    <w:p w14:paraId="2DA9CF49" w14:textId="77777777" w:rsidR="003A28CB" w:rsidRPr="002F2B00" w:rsidRDefault="003A28CB" w:rsidP="003A28CB">
      <w:pPr>
        <w:pStyle w:val="Quote"/>
      </w:pPr>
      <w:r w:rsidRPr="002F2B00">
        <w:rPr>
          <w:shd w:val="clear" w:color="auto" w:fill="FFFFFF"/>
        </w:rPr>
        <w:t>we are setting out how we propose to address the legacy of the past in NI in a way that focuses on reconciliation, delivers for victims, and ends the cycle of reinvestigations into the Troubles in NI that has failed victims and veterans alike - ensuring equal treatment of NI veterans and those who served overseas…</w:t>
      </w:r>
    </w:p>
    <w:p w14:paraId="6681DCB0" w14:textId="77777777" w:rsidR="003A28CB" w:rsidRPr="002F2B00" w:rsidRDefault="003A28CB" w:rsidP="003A28CB">
      <w:pPr>
        <w:pStyle w:val="Quote"/>
      </w:pPr>
    </w:p>
    <w:p w14:paraId="1EFC3C7B" w14:textId="77777777" w:rsidR="003A28CB" w:rsidRPr="002F2B00" w:rsidRDefault="003A28CB" w:rsidP="003A28CB">
      <w:pPr>
        <w:pStyle w:val="Quote"/>
      </w:pPr>
      <w:r w:rsidRPr="002F2B00">
        <w:t xml:space="preserve">While there must always be a route to justice, experience suggests that the likelihood of justice in most cases may now be </w:t>
      </w:r>
      <w:proofErr w:type="gramStart"/>
      <w:r w:rsidRPr="002F2B00">
        <w:t>small, and</w:t>
      </w:r>
      <w:proofErr w:type="gramEnd"/>
      <w:r w:rsidRPr="002F2B00">
        <w:t xml:space="preserve"> continues to decrease as time passes. Our view is that we should now therefore centre our attention on providing as much information as possible to families about what happened to their loved ones - while this is still possible.</w:t>
      </w:r>
    </w:p>
    <w:p w14:paraId="4DA90DC7" w14:textId="77777777" w:rsidR="003A28CB" w:rsidRPr="002F2B00" w:rsidRDefault="003A28CB" w:rsidP="003A28CB">
      <w:pPr>
        <w:pStyle w:val="Quote"/>
      </w:pPr>
    </w:p>
    <w:p w14:paraId="698275FD" w14:textId="77777777" w:rsidR="003A28CB" w:rsidRPr="002F2B00" w:rsidRDefault="003A28CB" w:rsidP="003A28CB">
      <w:pPr>
        <w:pStyle w:val="Quote"/>
      </w:pPr>
      <w:r w:rsidRPr="002F2B00">
        <w:t>Our proposals have therefore evolved to remain true to the principles of the Stormont House Agreement but with a greater emphasis on gathering information for families; moving at a faster pace to retrieve knowledge before it is lost; and doing more to help individuals and society to share and understand the tragic experiences of the past.</w:t>
      </w:r>
    </w:p>
    <w:p w14:paraId="4CF55DED" w14:textId="77777777" w:rsidR="003A28CB" w:rsidRPr="002F2B00" w:rsidRDefault="003A28CB" w:rsidP="003A28CB">
      <w:pPr>
        <w:pStyle w:val="Quote"/>
      </w:pPr>
    </w:p>
    <w:p w14:paraId="7C211FF7" w14:textId="77777777" w:rsidR="003A28CB" w:rsidRPr="002F2B00" w:rsidRDefault="003A28CB" w:rsidP="003A28CB">
      <w:pPr>
        <w:pStyle w:val="Quote"/>
      </w:pPr>
      <w:r w:rsidRPr="002F2B00">
        <w:t>It is proposed that these measures should be carried out by one independent body to ensure the most efficient and joined-up approach, putting the needs of the individuals most affected at the heart of the process. This body will oversee and manage both the information recovery and investigative aspects of the legacy system, and provide every family with a report with information concerning the death of their loved one…</w:t>
      </w:r>
    </w:p>
    <w:p w14:paraId="1DD442E4" w14:textId="77777777" w:rsidR="003A28CB" w:rsidRPr="002F2B00" w:rsidRDefault="003A28CB" w:rsidP="003A28CB">
      <w:pPr>
        <w:pStyle w:val="Quote"/>
      </w:pPr>
      <w:r w:rsidRPr="002F2B00">
        <w:t xml:space="preserve"> </w:t>
      </w:r>
    </w:p>
    <w:p w14:paraId="7316D78D" w14:textId="77777777" w:rsidR="003A28CB" w:rsidRPr="002F2B00" w:rsidRDefault="003A28CB" w:rsidP="003A28CB">
      <w:pPr>
        <w:pStyle w:val="Quote"/>
      </w:pPr>
      <w:r w:rsidRPr="002F2B00">
        <w:t xml:space="preserve">The [UK] Government will ensure that the investigations which are necessary are effective and thorough, but quick, so we are able to move beyond the cycle of investigations that has, to date, undermined attempts to come to terms with the past. Only cases in which there is a realistic prospect of a prosecution </w:t>
      </w:r>
      <w:proofErr w:type="gramStart"/>
      <w:r w:rsidRPr="002F2B00">
        <w:t>as a result of</w:t>
      </w:r>
      <w:proofErr w:type="gramEnd"/>
      <w:r w:rsidRPr="002F2B00">
        <w:t xml:space="preserve"> new compelling evidence would proceed to a full police investigation and if necessary, prosecution. Cases which do not reach this threshold, or subsequently are not referred for prosecution, would be closed and no further investigations or </w:t>
      </w:r>
      <w:r w:rsidRPr="002F2B00">
        <w:lastRenderedPageBreak/>
        <w:t>prosecutions would be possible - though family reports would still be provided to the victims’ loved ones. Such an approach would give all participants the confidence and certainty to fully engage with the information recovery process.</w:t>
      </w:r>
      <w:r w:rsidRPr="002F2B00">
        <w:rPr>
          <w:rStyle w:val="FootnoteReference"/>
          <w:rFonts w:cs="Arial"/>
          <w:color w:val="0B0C0C"/>
        </w:rPr>
        <w:footnoteReference w:id="351"/>
      </w:r>
    </w:p>
    <w:p w14:paraId="4E583B4D" w14:textId="77777777" w:rsidR="003A28CB" w:rsidRPr="002F2B00" w:rsidRDefault="003A28CB" w:rsidP="003A28CB">
      <w:pPr>
        <w:pStyle w:val="NormalWeb"/>
        <w:shd w:val="clear" w:color="auto" w:fill="FFFFFF"/>
        <w:spacing w:before="0" w:beforeAutospacing="0" w:after="0" w:afterAutospacing="0" w:line="360" w:lineRule="auto"/>
        <w:jc w:val="both"/>
        <w:rPr>
          <w:rFonts w:ascii="Verdana" w:hAnsi="Verdana" w:cs="Arial"/>
          <w:color w:val="0B0C0C"/>
        </w:rPr>
      </w:pPr>
    </w:p>
    <w:p w14:paraId="29E7D536" w14:textId="77777777" w:rsidR="003A28CB" w:rsidRPr="002F2B00" w:rsidRDefault="003A28CB" w:rsidP="00C330BB">
      <w:pPr>
        <w:pStyle w:val="NormalWeb"/>
        <w:shd w:val="clear" w:color="auto" w:fill="FFFFFF"/>
        <w:spacing w:before="0" w:beforeAutospacing="0" w:after="0" w:afterAutospacing="0" w:line="288" w:lineRule="auto"/>
        <w:jc w:val="both"/>
        <w:rPr>
          <w:rFonts w:ascii="Verdana" w:hAnsi="Verdana" w:cs="Arial"/>
          <w:color w:val="0B0C0C"/>
        </w:rPr>
      </w:pPr>
      <w:r w:rsidRPr="002F2B00">
        <w:rPr>
          <w:rFonts w:ascii="Verdana" w:hAnsi="Verdana" w:cs="Arial"/>
          <w:color w:val="0B0C0C"/>
        </w:rPr>
        <w:t>1.35</w:t>
      </w:r>
      <w:r w:rsidRPr="002F2B00">
        <w:rPr>
          <w:rFonts w:ascii="Verdana" w:hAnsi="Verdana" w:cs="Arial"/>
          <w:color w:val="0B0C0C"/>
        </w:rPr>
        <w:tab/>
        <w:t>The Ministerial statement concluded that the:</w:t>
      </w:r>
    </w:p>
    <w:p w14:paraId="3DEB4319" w14:textId="77777777" w:rsidR="003A28CB" w:rsidRPr="002F2B00" w:rsidRDefault="003A28CB" w:rsidP="003A28CB">
      <w:pPr>
        <w:pStyle w:val="NormalWeb"/>
        <w:shd w:val="clear" w:color="auto" w:fill="FFFFFF"/>
        <w:spacing w:before="0" w:beforeAutospacing="0" w:after="0" w:afterAutospacing="0" w:line="360" w:lineRule="auto"/>
        <w:jc w:val="both"/>
        <w:rPr>
          <w:rFonts w:ascii="Verdana" w:hAnsi="Verdana" w:cs="Arial"/>
          <w:color w:val="0B0C0C"/>
        </w:rPr>
      </w:pPr>
      <w:r w:rsidRPr="002F2B00">
        <w:rPr>
          <w:rFonts w:ascii="Verdana" w:hAnsi="Verdana" w:cs="Arial"/>
          <w:color w:val="0B0C0C"/>
        </w:rPr>
        <w:t xml:space="preserve"> </w:t>
      </w:r>
    </w:p>
    <w:p w14:paraId="0579DEB1" w14:textId="77777777" w:rsidR="003A28CB" w:rsidRPr="002F2B00" w:rsidRDefault="003A28CB" w:rsidP="003A28CB">
      <w:pPr>
        <w:pStyle w:val="Quote"/>
        <w:rPr>
          <w:shd w:val="clear" w:color="auto" w:fill="FFFFFF"/>
        </w:rPr>
      </w:pPr>
      <w:r w:rsidRPr="002F2B00">
        <w:t>[UK] Government believes that this approach would deliver a fair, balanced, and proportionate system that is consistent with the principles of the Stormont House Agreement and deliver for all those who have been affected by the events of the past; striking a balance in enabling criminal investigations to proceed where necessary, while facilitating a swift transition to an effective information recovery mechanism before this information is lost forever.</w:t>
      </w:r>
      <w:r w:rsidRPr="002F2B00">
        <w:rPr>
          <w:shd w:val="clear" w:color="auto" w:fill="FFFFFF"/>
        </w:rPr>
        <w:t xml:space="preserve"> </w:t>
      </w:r>
    </w:p>
    <w:p w14:paraId="2F60E027" w14:textId="77777777" w:rsidR="003A28CB" w:rsidRPr="002F2B00" w:rsidRDefault="003A28CB" w:rsidP="003A28CB"/>
    <w:p w14:paraId="32840652" w14:textId="77777777" w:rsidR="003A28CB" w:rsidRPr="002F2B00" w:rsidRDefault="003A28CB" w:rsidP="003A28CB">
      <w:pPr>
        <w:pStyle w:val="Quote"/>
        <w:rPr>
          <w:szCs w:val="24"/>
        </w:rPr>
      </w:pPr>
      <w:r w:rsidRPr="002F2B00">
        <w:rPr>
          <w:shd w:val="clear" w:color="auto" w:fill="FFFFFF"/>
        </w:rPr>
        <w:t>The [UK] Government is committed to introducing legislation in line with our commitments in ‘New Decade, New Approach’, to move forward and deliver for all communities in Northern Ireland and beyond.</w:t>
      </w:r>
      <w:r w:rsidRPr="002F2B00">
        <w:rPr>
          <w:rStyle w:val="FootnoteReference"/>
          <w:shd w:val="clear" w:color="auto" w:fill="FFFFFF"/>
        </w:rPr>
        <w:footnoteReference w:id="352"/>
      </w:r>
    </w:p>
    <w:p w14:paraId="0DF33C94" w14:textId="77777777" w:rsidR="003A28CB" w:rsidRPr="002F2B00" w:rsidRDefault="003A28CB" w:rsidP="003A28CB">
      <w:pPr>
        <w:pStyle w:val="FootnoteText"/>
        <w:rPr>
          <w:color w:val="7030A0"/>
          <w:sz w:val="16"/>
          <w:szCs w:val="16"/>
        </w:rPr>
      </w:pPr>
    </w:p>
    <w:p w14:paraId="4767A380" w14:textId="77777777" w:rsidR="003A28CB" w:rsidRPr="002F2B00" w:rsidRDefault="003A28CB" w:rsidP="003A28CB">
      <w:pPr>
        <w:pStyle w:val="FootnoteText"/>
        <w:rPr>
          <w:color w:val="7030A0"/>
          <w:sz w:val="16"/>
          <w:szCs w:val="16"/>
        </w:rPr>
      </w:pPr>
    </w:p>
    <w:p w14:paraId="6DF84601" w14:textId="77777777" w:rsidR="003A28CB" w:rsidRPr="002F2B00" w:rsidRDefault="003A28CB" w:rsidP="003A28CB">
      <w:pPr>
        <w:pStyle w:val="Heading2"/>
      </w:pPr>
      <w:bookmarkStart w:id="44" w:name="_Toc113517973"/>
      <w:r w:rsidRPr="002F2B00">
        <w:t>Queen’s Speech 2021</w:t>
      </w:r>
      <w:bookmarkEnd w:id="44"/>
    </w:p>
    <w:p w14:paraId="68A292C4" w14:textId="77777777" w:rsidR="003A28CB" w:rsidRPr="002F2B00" w:rsidRDefault="003A28CB" w:rsidP="00C330BB">
      <w:pPr>
        <w:ind w:left="720" w:hanging="720"/>
        <w:jc w:val="both"/>
        <w:rPr>
          <w:rFonts w:cs="Arial"/>
          <w:szCs w:val="24"/>
        </w:rPr>
      </w:pPr>
      <w:r w:rsidRPr="002F2B00">
        <w:t>1.36</w:t>
      </w:r>
      <w:r w:rsidRPr="002F2B00">
        <w:tab/>
      </w:r>
      <w:r w:rsidRPr="002F2B00">
        <w:rPr>
          <w:rFonts w:cs="Arial"/>
          <w:szCs w:val="24"/>
        </w:rPr>
        <w:t>In May 2021, the Queen’s Speech signalled an intention to address the legacy of the past in NI. The Queen stated that “m</w:t>
      </w:r>
      <w:r w:rsidRPr="002F2B00">
        <w:rPr>
          <w:rFonts w:cs="Arial"/>
          <w:color w:val="0B0C0C"/>
          <w:szCs w:val="24"/>
          <w:shd w:val="clear" w:color="auto" w:fill="FFFFFF"/>
        </w:rPr>
        <w:t>y Ministers will promote the strength and integrity of the union. Measures will be brought forward to strengthen devolved Government in NI and address the legacy of the past”.</w:t>
      </w:r>
      <w:r w:rsidRPr="002F2B00">
        <w:rPr>
          <w:rStyle w:val="FootnoteReference"/>
          <w:rFonts w:cs="Arial"/>
          <w:color w:val="0B0C0C"/>
          <w:szCs w:val="24"/>
          <w:shd w:val="clear" w:color="auto" w:fill="FFFFFF"/>
        </w:rPr>
        <w:footnoteReference w:id="353"/>
      </w:r>
    </w:p>
    <w:p w14:paraId="3FE55387" w14:textId="77777777" w:rsidR="003A28CB" w:rsidRPr="002F2B00" w:rsidRDefault="003A28CB" w:rsidP="003A28CB"/>
    <w:p w14:paraId="5BC23237" w14:textId="77777777" w:rsidR="003A28CB" w:rsidRPr="002F2B00" w:rsidRDefault="003A28CB" w:rsidP="003A28CB">
      <w:pPr>
        <w:pStyle w:val="Heading2"/>
      </w:pPr>
      <w:bookmarkStart w:id="45" w:name="_Toc113517974"/>
      <w:r w:rsidRPr="002F2B00">
        <w:t>Command Paper on Addressing Legacy of the NI’s Past</w:t>
      </w:r>
      <w:bookmarkEnd w:id="45"/>
    </w:p>
    <w:p w14:paraId="440D4F75" w14:textId="077E7906" w:rsidR="003A28CB" w:rsidRPr="002F2B00" w:rsidRDefault="003A28CB" w:rsidP="00C330BB">
      <w:pPr>
        <w:ind w:left="720" w:hanging="720"/>
        <w:jc w:val="both"/>
        <w:rPr>
          <w:rFonts w:cs="Arial"/>
          <w:szCs w:val="24"/>
        </w:rPr>
      </w:pPr>
      <w:r w:rsidRPr="002F2B00">
        <w:t>1.37</w:t>
      </w:r>
      <w:r w:rsidRPr="002F2B00">
        <w:tab/>
        <w:t xml:space="preserve">The </w:t>
      </w:r>
      <w:r w:rsidR="0006454F" w:rsidRPr="002F2B00">
        <w:t xml:space="preserve">former </w:t>
      </w:r>
      <w:r w:rsidRPr="002F2B00">
        <w:rPr>
          <w:rFonts w:cs="Arial"/>
          <w:szCs w:val="24"/>
        </w:rPr>
        <w:t xml:space="preserve">Secretary of State for NI, Brandon Lewis MP, </w:t>
      </w:r>
      <w:r w:rsidRPr="002F2B00">
        <w:t xml:space="preserve">published a Command Paper on addressing the legacy of NI’s past in July 2021. </w:t>
      </w:r>
      <w:r w:rsidRPr="002F2B00">
        <w:rPr>
          <w:rFonts w:cs="Arial"/>
          <w:szCs w:val="24"/>
        </w:rPr>
        <w:t>The Command Paper states that:</w:t>
      </w:r>
    </w:p>
    <w:p w14:paraId="4DAE0F6C" w14:textId="77777777" w:rsidR="003A28CB" w:rsidRPr="002F2B00" w:rsidRDefault="003A28CB" w:rsidP="003A28CB">
      <w:pPr>
        <w:spacing w:line="360" w:lineRule="auto"/>
        <w:jc w:val="both"/>
        <w:rPr>
          <w:rFonts w:cs="Arial"/>
          <w:szCs w:val="24"/>
        </w:rPr>
      </w:pPr>
    </w:p>
    <w:p w14:paraId="29928CDC" w14:textId="77777777" w:rsidR="003A28CB" w:rsidRPr="002F2B00" w:rsidRDefault="003A28CB" w:rsidP="003A28CB">
      <w:pPr>
        <w:pStyle w:val="Quote"/>
      </w:pPr>
      <w:r w:rsidRPr="002F2B00">
        <w:t xml:space="preserve">the intense focus on divisive legal processes continues to drive wedges between communities and undermine public confidence in the police as they go about their work today. </w:t>
      </w:r>
      <w:r w:rsidRPr="002F2B00">
        <w:lastRenderedPageBreak/>
        <w:t>Lengthy, drawn out and complex legal processes stifle the critical information recovery and reconciliation measures that could help many families and frequently lead to years of uncertainty for those under scrutiny. In addition to the grave impact on individuals, this also prevents wider society from moving forward…</w:t>
      </w:r>
    </w:p>
    <w:p w14:paraId="7632999A" w14:textId="77777777" w:rsidR="003A28CB" w:rsidRPr="002F2B00" w:rsidRDefault="003A28CB" w:rsidP="003A28CB">
      <w:pPr>
        <w:pStyle w:val="Quote"/>
      </w:pPr>
    </w:p>
    <w:p w14:paraId="0E3BA64E" w14:textId="77777777" w:rsidR="003A28CB" w:rsidRPr="002F2B00" w:rsidRDefault="003A28CB" w:rsidP="003A28CB">
      <w:pPr>
        <w:pStyle w:val="Quote"/>
      </w:pPr>
      <w:r w:rsidRPr="002F2B00">
        <w:t>We are taking forward an intensive and time-limited period of engagement and have committed to bringing forward legislation to address the legacy of the past as soon as possible in this parliamentary session. We are committed to working closely with the Government of Ireland as we progress these proposals. The purpose of this paper is to set out a series of proposed measures for addressing the past that will be considered as part of the ongoing engagement process with a view to informing discussion and subsequent legislation.</w:t>
      </w:r>
      <w:r w:rsidRPr="002F2B00">
        <w:rPr>
          <w:rStyle w:val="FootnoteReference"/>
          <w:rFonts w:cs="Arial"/>
          <w:szCs w:val="24"/>
        </w:rPr>
        <w:footnoteReference w:id="354"/>
      </w:r>
    </w:p>
    <w:p w14:paraId="2167AD78" w14:textId="77777777" w:rsidR="003A28CB" w:rsidRPr="002F2B00" w:rsidRDefault="003A28CB" w:rsidP="003A28CB"/>
    <w:p w14:paraId="217691BD" w14:textId="77777777" w:rsidR="003A28CB" w:rsidRPr="002F2B00" w:rsidRDefault="003A28CB" w:rsidP="003A28CB">
      <w:pPr>
        <w:pStyle w:val="Heading2"/>
      </w:pPr>
      <w:bookmarkStart w:id="46" w:name="_Toc113517975"/>
      <w:r w:rsidRPr="002F2B00">
        <w:t>NI Troubles (Legacy and Reconciliation) Bill</w:t>
      </w:r>
      <w:bookmarkEnd w:id="46"/>
      <w:r w:rsidRPr="002F2B00">
        <w:t xml:space="preserve"> </w:t>
      </w:r>
    </w:p>
    <w:p w14:paraId="5CC1BB87" w14:textId="77777777" w:rsidR="003A28CB" w:rsidRPr="002F2B00" w:rsidRDefault="003A28CB" w:rsidP="00C330BB">
      <w:pPr>
        <w:ind w:left="720" w:hanging="720"/>
        <w:jc w:val="both"/>
        <w:rPr>
          <w:rFonts w:cs="Arial"/>
          <w:szCs w:val="24"/>
        </w:rPr>
      </w:pPr>
      <w:r w:rsidRPr="002F2B00">
        <w:t>1.38</w:t>
      </w:r>
      <w:r w:rsidRPr="002F2B00">
        <w:tab/>
      </w:r>
      <w:r w:rsidRPr="002F2B00">
        <w:rPr>
          <w:rFonts w:cs="Arial"/>
          <w:szCs w:val="24"/>
        </w:rPr>
        <w:t>The stated intention of the NI Troubles (Legacy and Reconciliation) Bill is to “provide better outcomes for victims, survivors and their families, giving veterans the protections they deserve and focusing on information recovery and reconciliation”.</w:t>
      </w:r>
      <w:r w:rsidRPr="002F2B00">
        <w:rPr>
          <w:rStyle w:val="FootnoteReference"/>
          <w:rFonts w:cs="Arial"/>
          <w:szCs w:val="24"/>
        </w:rPr>
        <w:footnoteReference w:id="355"/>
      </w:r>
      <w:r w:rsidRPr="002F2B00">
        <w:rPr>
          <w:rFonts w:cs="Arial"/>
          <w:szCs w:val="24"/>
        </w:rPr>
        <w:t xml:space="preserve"> The Bill “proposes to end legal proceedings concerning Troubles-related conduct and provide conditional immunity from prosecution for those who cooperate with investigations conducted by a newly established Independent Commission for Reconciliation and Information Recovery”.</w:t>
      </w:r>
      <w:r w:rsidRPr="002F2B00">
        <w:rPr>
          <w:rStyle w:val="FootnoteReference"/>
          <w:rFonts w:cs="Arial"/>
          <w:szCs w:val="24"/>
        </w:rPr>
        <w:footnoteReference w:id="356"/>
      </w:r>
    </w:p>
    <w:p w14:paraId="0F4408E8" w14:textId="77777777" w:rsidR="003A28CB" w:rsidRPr="002F2B00" w:rsidRDefault="003A28CB" w:rsidP="003A28CB">
      <w:pPr>
        <w:spacing w:line="360" w:lineRule="auto"/>
        <w:jc w:val="both"/>
        <w:rPr>
          <w:rFonts w:cs="Arial"/>
          <w:szCs w:val="24"/>
        </w:rPr>
      </w:pPr>
    </w:p>
    <w:p w14:paraId="40165E1C" w14:textId="77777777" w:rsidR="003A28CB" w:rsidRPr="002F2B00" w:rsidRDefault="003A28CB" w:rsidP="003A28CB">
      <w:pPr>
        <w:pStyle w:val="Heading2"/>
      </w:pPr>
      <w:bookmarkStart w:id="47" w:name="_Toc113517976"/>
      <w:r w:rsidRPr="002F2B00">
        <w:t>Equality Impact Assessment of NI Troubles (Legacy and Reconciliation) Bill</w:t>
      </w:r>
      <w:bookmarkEnd w:id="47"/>
      <w:r w:rsidRPr="002F2B00">
        <w:t xml:space="preserve"> </w:t>
      </w:r>
    </w:p>
    <w:p w14:paraId="352529FF" w14:textId="77777777" w:rsidR="003A28CB" w:rsidRPr="002F2B00" w:rsidRDefault="003A28CB" w:rsidP="00C330BB">
      <w:pPr>
        <w:ind w:left="720" w:hanging="720"/>
        <w:jc w:val="both"/>
        <w:rPr>
          <w:rFonts w:cs="Arial"/>
          <w:szCs w:val="24"/>
        </w:rPr>
      </w:pPr>
      <w:r w:rsidRPr="002F2B00">
        <w:t>1.39</w:t>
      </w:r>
      <w:r w:rsidRPr="002F2B00">
        <w:tab/>
      </w:r>
      <w:r w:rsidRPr="002F2B00">
        <w:rPr>
          <w:rFonts w:cs="Arial"/>
          <w:szCs w:val="24"/>
        </w:rPr>
        <w:t>The Equality Impact Assessment of the NI Troubles (Legacy and Reconciliation) Bill states that “the policy intent is to help NI’s wider society to look forward rather than back by delivering measures intended to facilitate reconciliation”.</w:t>
      </w:r>
      <w:r w:rsidRPr="002F2B00">
        <w:rPr>
          <w:rStyle w:val="FootnoteReference"/>
          <w:rFonts w:cs="Arial"/>
          <w:szCs w:val="24"/>
        </w:rPr>
        <w:footnoteReference w:id="357"/>
      </w:r>
      <w:r w:rsidRPr="002F2B00">
        <w:rPr>
          <w:rFonts w:cs="Arial"/>
          <w:szCs w:val="24"/>
        </w:rPr>
        <w:t xml:space="preserve"> It states “these legacy proposals would have a significant positive impact insofar as the </w:t>
      </w:r>
      <w:r w:rsidRPr="002F2B00">
        <w:rPr>
          <w:rFonts w:cs="Arial"/>
          <w:szCs w:val="24"/>
        </w:rPr>
        <w:lastRenderedPageBreak/>
        <w:t>proposals are for the benefit of all victims and families wishing to seek information about Troubles related deaths or very serious injuries, as well as wider society which would benefit from collective truth recovery and the promotion of reconciliation”.</w:t>
      </w:r>
      <w:r w:rsidRPr="002F2B00">
        <w:rPr>
          <w:rStyle w:val="FootnoteReference"/>
          <w:rFonts w:cs="Arial"/>
          <w:szCs w:val="24"/>
        </w:rPr>
        <w:footnoteReference w:id="358"/>
      </w:r>
      <w:r w:rsidRPr="002F2B00">
        <w:rPr>
          <w:rFonts w:cs="Arial"/>
          <w:szCs w:val="24"/>
        </w:rPr>
        <w:t xml:space="preserve"> </w:t>
      </w:r>
    </w:p>
    <w:p w14:paraId="6DC8DC99" w14:textId="77777777" w:rsidR="003A28CB" w:rsidRPr="002F2B00" w:rsidRDefault="003A28CB" w:rsidP="003A28CB"/>
    <w:p w14:paraId="4DC3C5EE" w14:textId="77777777" w:rsidR="003A28CB" w:rsidRPr="002F2B00" w:rsidRDefault="003A28CB" w:rsidP="003A28CB">
      <w:pPr>
        <w:pStyle w:val="Heading2"/>
      </w:pPr>
      <w:bookmarkStart w:id="48" w:name="_Toc113517977"/>
      <w:r w:rsidRPr="002F2B00">
        <w:t>Second Reading of NI Troubles (Legacy and Reconciliation) Bill</w:t>
      </w:r>
      <w:bookmarkEnd w:id="48"/>
      <w:r w:rsidRPr="002F2B00">
        <w:t xml:space="preserve"> </w:t>
      </w:r>
    </w:p>
    <w:p w14:paraId="6A8D081C" w14:textId="714899E7" w:rsidR="003A28CB" w:rsidRPr="002F2B00" w:rsidRDefault="003A28CB" w:rsidP="00C330BB">
      <w:pPr>
        <w:ind w:left="720" w:hanging="720"/>
        <w:jc w:val="both"/>
        <w:rPr>
          <w:rFonts w:cs="Arial"/>
          <w:szCs w:val="24"/>
        </w:rPr>
      </w:pPr>
      <w:r w:rsidRPr="002F2B00">
        <w:rPr>
          <w:rFonts w:cs="Arial"/>
          <w:szCs w:val="24"/>
        </w:rPr>
        <w:t>1.40</w:t>
      </w:r>
      <w:r w:rsidRPr="002F2B00">
        <w:rPr>
          <w:rFonts w:cs="Arial"/>
          <w:szCs w:val="24"/>
        </w:rPr>
        <w:tab/>
        <w:t xml:space="preserve">During second reading of the NI Troubles (Legacy and Reconciliation) Bill the </w:t>
      </w:r>
      <w:r w:rsidR="0006454F" w:rsidRPr="002F2B00">
        <w:rPr>
          <w:rFonts w:cs="Arial"/>
          <w:szCs w:val="24"/>
        </w:rPr>
        <w:t xml:space="preserve">former </w:t>
      </w:r>
      <w:r w:rsidRPr="002F2B00">
        <w:rPr>
          <w:rFonts w:cs="Arial"/>
          <w:szCs w:val="24"/>
        </w:rPr>
        <w:t>Secretary of State for NI, Brandon Lewis MP, noted that</w:t>
      </w:r>
      <w:r w:rsidRPr="002F2B00">
        <w:rPr>
          <w:rFonts w:cs="Arial"/>
          <w:color w:val="0B0C0C"/>
          <w:szCs w:val="24"/>
        </w:rPr>
        <w:t xml:space="preserve"> the legislation “marks a definitive shift in focus to put information recovery for families at its core in recognition of that”.</w:t>
      </w:r>
      <w:r w:rsidRPr="002F2B00">
        <w:rPr>
          <w:rStyle w:val="FootnoteReference"/>
          <w:rFonts w:cs="Arial"/>
          <w:color w:val="0B0C0C"/>
          <w:szCs w:val="24"/>
        </w:rPr>
        <w:footnoteReference w:id="359"/>
      </w:r>
      <w:r w:rsidRPr="002F2B00">
        <w:rPr>
          <w:rFonts w:cs="Arial"/>
          <w:color w:val="0B0C0C"/>
          <w:szCs w:val="24"/>
        </w:rPr>
        <w:t xml:space="preserve"> The Secretary of State for NI explained that</w:t>
      </w:r>
      <w:r w:rsidRPr="002F2B00">
        <w:rPr>
          <w:rFonts w:cs="Arial"/>
          <w:szCs w:val="24"/>
        </w:rPr>
        <w:t xml:space="preserve"> because most Troubles cases were more than 40 years old the chances of success were “vanishingly small”.</w:t>
      </w:r>
      <w:r w:rsidRPr="002F2B00">
        <w:rPr>
          <w:rStyle w:val="FootnoteReference"/>
          <w:rFonts w:cs="Arial"/>
          <w:szCs w:val="24"/>
        </w:rPr>
        <w:footnoteReference w:id="360"/>
      </w:r>
      <w:r w:rsidRPr="002F2B00">
        <w:rPr>
          <w:rFonts w:cs="Arial"/>
          <w:szCs w:val="24"/>
        </w:rPr>
        <w:t xml:space="preserve"> </w:t>
      </w:r>
    </w:p>
    <w:p w14:paraId="3F7D1368" w14:textId="77777777" w:rsidR="003A28CB" w:rsidRPr="002F2B00" w:rsidRDefault="003A28CB" w:rsidP="00C330BB">
      <w:pPr>
        <w:jc w:val="both"/>
        <w:rPr>
          <w:rFonts w:cs="Arial"/>
          <w:szCs w:val="24"/>
        </w:rPr>
      </w:pPr>
    </w:p>
    <w:p w14:paraId="3C5E5293" w14:textId="77777777" w:rsidR="003A28CB" w:rsidRPr="002F2B00" w:rsidRDefault="003A28CB" w:rsidP="00C330BB">
      <w:pPr>
        <w:pStyle w:val="NormalWeb"/>
        <w:shd w:val="clear" w:color="auto" w:fill="FFFFFF"/>
        <w:spacing w:before="0" w:beforeAutospacing="0" w:after="0" w:afterAutospacing="0" w:line="288" w:lineRule="auto"/>
        <w:jc w:val="both"/>
        <w:rPr>
          <w:rFonts w:ascii="Verdana" w:hAnsi="Verdana" w:cs="Arial"/>
        </w:rPr>
      </w:pPr>
      <w:r w:rsidRPr="002F2B00">
        <w:rPr>
          <w:rFonts w:ascii="Verdana" w:hAnsi="Verdana" w:cs="Arial"/>
        </w:rPr>
        <w:t>1.41</w:t>
      </w:r>
      <w:r w:rsidRPr="002F2B00">
        <w:rPr>
          <w:rFonts w:ascii="Verdana" w:hAnsi="Verdana" w:cs="Arial"/>
        </w:rPr>
        <w:tab/>
        <w:t>The Secretary of State for NI said:</w:t>
      </w:r>
    </w:p>
    <w:p w14:paraId="0992AA6C" w14:textId="77777777" w:rsidR="003A28CB" w:rsidRPr="002F2B00" w:rsidRDefault="003A28CB" w:rsidP="003A28CB">
      <w:pPr>
        <w:pStyle w:val="NormalWeb"/>
        <w:shd w:val="clear" w:color="auto" w:fill="FFFFFF"/>
        <w:spacing w:before="0" w:beforeAutospacing="0" w:after="0" w:afterAutospacing="0" w:line="360" w:lineRule="auto"/>
        <w:jc w:val="both"/>
        <w:rPr>
          <w:rFonts w:ascii="Arial" w:hAnsi="Arial" w:cs="Arial"/>
        </w:rPr>
      </w:pPr>
    </w:p>
    <w:p w14:paraId="5AA09C9E" w14:textId="77777777" w:rsidR="003A28CB" w:rsidRPr="002F2B00" w:rsidRDefault="003A28CB" w:rsidP="003A28CB">
      <w:pPr>
        <w:pStyle w:val="Quote"/>
      </w:pPr>
      <w:r w:rsidRPr="002F2B00">
        <w:t xml:space="preserve">the Troubles continues to cast a long shadow over all those impacted and wider society. Community tensions and divisive politics undermine stability. This legacy of the Troubles is an issue that successive governments have attempted but ultimately failed to resolve - bluntly, because it concerns one of the most complex, </w:t>
      </w:r>
      <w:proofErr w:type="gramStart"/>
      <w:r w:rsidRPr="002F2B00">
        <w:t>sensitive</w:t>
      </w:r>
      <w:proofErr w:type="gramEnd"/>
      <w:r w:rsidRPr="002F2B00">
        <w:t xml:space="preserve"> and difficult periods of our history.</w:t>
      </w:r>
      <w:r w:rsidRPr="002F2B00">
        <w:rPr>
          <w:rStyle w:val="FootnoteReference"/>
        </w:rPr>
        <w:footnoteReference w:id="361"/>
      </w:r>
    </w:p>
    <w:p w14:paraId="5EA539C1" w14:textId="77777777" w:rsidR="003A28CB" w:rsidRPr="002F2B00" w:rsidRDefault="003A28CB" w:rsidP="003A28CB">
      <w:pPr>
        <w:pStyle w:val="NormalWeb"/>
        <w:shd w:val="clear" w:color="auto" w:fill="FFFFFF"/>
        <w:spacing w:before="0" w:beforeAutospacing="0" w:after="0" w:afterAutospacing="0" w:line="360" w:lineRule="auto"/>
        <w:jc w:val="both"/>
        <w:rPr>
          <w:rFonts w:ascii="Arial" w:hAnsi="Arial" w:cs="Arial"/>
          <w:color w:val="0B0C0C"/>
        </w:rPr>
      </w:pPr>
    </w:p>
    <w:p w14:paraId="03A59196" w14:textId="77777777" w:rsidR="003A28CB" w:rsidRPr="002F2B00" w:rsidRDefault="003A28CB" w:rsidP="00C330BB">
      <w:pPr>
        <w:pStyle w:val="NormalWeb"/>
        <w:shd w:val="clear" w:color="auto" w:fill="FFFFFF"/>
        <w:spacing w:before="0" w:beforeAutospacing="0" w:after="0" w:afterAutospacing="0" w:line="288" w:lineRule="auto"/>
        <w:jc w:val="both"/>
        <w:rPr>
          <w:rFonts w:ascii="Verdana" w:hAnsi="Verdana" w:cs="Arial"/>
        </w:rPr>
      </w:pPr>
      <w:r w:rsidRPr="002F2B00">
        <w:rPr>
          <w:rFonts w:ascii="Verdana" w:hAnsi="Verdana" w:cs="Arial"/>
        </w:rPr>
        <w:t>1.42</w:t>
      </w:r>
      <w:r w:rsidRPr="002F2B00">
        <w:rPr>
          <w:rFonts w:ascii="Verdana" w:hAnsi="Verdana" w:cs="Arial"/>
        </w:rPr>
        <w:tab/>
        <w:t xml:space="preserve">The Secretary of State for NI added: </w:t>
      </w:r>
    </w:p>
    <w:p w14:paraId="01CECD43" w14:textId="77777777" w:rsidR="003A28CB" w:rsidRPr="002F2B00" w:rsidRDefault="003A28CB" w:rsidP="003A28CB">
      <w:pPr>
        <w:pStyle w:val="NormalWeb"/>
        <w:shd w:val="clear" w:color="auto" w:fill="FFFFFF"/>
        <w:spacing w:before="0" w:beforeAutospacing="0" w:after="0" w:afterAutospacing="0" w:line="360" w:lineRule="auto"/>
        <w:jc w:val="both"/>
        <w:rPr>
          <w:rFonts w:ascii="Verdana" w:hAnsi="Verdana" w:cs="Arial"/>
        </w:rPr>
      </w:pPr>
    </w:p>
    <w:p w14:paraId="75A5256E" w14:textId="77777777" w:rsidR="003A28CB" w:rsidRPr="002F2B00" w:rsidRDefault="003A28CB" w:rsidP="003A28CB">
      <w:pPr>
        <w:pStyle w:val="Quote"/>
      </w:pPr>
      <w:r w:rsidRPr="002F2B00">
        <w:t>faith in the criminal justice model to deal with legacy cases has been undermined. The high standard of proof required to secure a successful prosecution, combined with the passage of time and difficulty in securing sufficient evidence, means that victims and their families very rarely, if ever, obtain the outcome they seek from that process…</w:t>
      </w:r>
    </w:p>
    <w:p w14:paraId="5B99DF9A" w14:textId="77777777" w:rsidR="003A28CB" w:rsidRPr="002F2B00" w:rsidRDefault="003A28CB" w:rsidP="003A28CB">
      <w:pPr>
        <w:pStyle w:val="Quote"/>
      </w:pPr>
    </w:p>
    <w:p w14:paraId="3924046B" w14:textId="77777777" w:rsidR="003A28CB" w:rsidRPr="002F2B00" w:rsidRDefault="003A28CB" w:rsidP="003A28CB">
      <w:pPr>
        <w:pStyle w:val="Quote"/>
      </w:pPr>
      <w:r w:rsidRPr="002F2B00">
        <w:t xml:space="preserve">Drawing its core principles from the important work of the Stormont House Agreement, this legislation is focused on effective and timely information recovery, providing </w:t>
      </w:r>
      <w:r w:rsidRPr="002F2B00">
        <w:lastRenderedPageBreak/>
        <w:t>answers and accountability to families and survivors and aiding reconciliation, to help society move forward.</w:t>
      </w:r>
    </w:p>
    <w:p w14:paraId="35CA3ECF" w14:textId="77777777" w:rsidR="003A28CB" w:rsidRPr="002F2B00" w:rsidRDefault="003A28CB" w:rsidP="003A28CB">
      <w:pPr>
        <w:pStyle w:val="Quote"/>
      </w:pPr>
    </w:p>
    <w:p w14:paraId="2AD85F0C" w14:textId="77777777" w:rsidR="003A28CB" w:rsidRPr="002F2B00" w:rsidRDefault="003A28CB" w:rsidP="003A28CB">
      <w:pPr>
        <w:pStyle w:val="Quote"/>
      </w:pPr>
      <w:r w:rsidRPr="002F2B00">
        <w:t>And it will deliver on our manifesto commitment to the veterans of our armed forces, security services and the Royal Ulster Constabulary. It will provide the men and women who served in NI, to protect life, with the certainty they deserve.</w:t>
      </w:r>
    </w:p>
    <w:p w14:paraId="49C30CA7" w14:textId="77777777" w:rsidR="003A28CB" w:rsidRPr="002F2B00" w:rsidRDefault="003A28CB" w:rsidP="003A28CB">
      <w:pPr>
        <w:pStyle w:val="Quote"/>
      </w:pPr>
    </w:p>
    <w:p w14:paraId="5AC92C79" w14:textId="77777777" w:rsidR="003A28CB" w:rsidRPr="002F2B00" w:rsidRDefault="003A28CB" w:rsidP="003A28CB">
      <w:pPr>
        <w:pStyle w:val="Quote"/>
      </w:pPr>
      <w:r w:rsidRPr="002F2B00">
        <w:t xml:space="preserve">No longer will our veterans, the vast majority of whom served in NI with distinction and honour, </w:t>
      </w:r>
      <w:proofErr w:type="gramStart"/>
      <w:r w:rsidRPr="002F2B00">
        <w:t>have to</w:t>
      </w:r>
      <w:proofErr w:type="gramEnd"/>
      <w:r w:rsidRPr="002F2B00">
        <w:t xml:space="preserve"> live in perpetual fear of getting a knock at the door for actions taken in protection of the rule of law many decades ago. With this Bill, our veterans can have the certainty they deserve - and we will fulfil our manifesto pledge to end the cycle of investigations that has plagued too many of them for too long.</w:t>
      </w:r>
    </w:p>
    <w:p w14:paraId="72BBF492" w14:textId="77777777" w:rsidR="003A28CB" w:rsidRPr="002F2B00" w:rsidRDefault="003A28CB" w:rsidP="003A28CB">
      <w:pPr>
        <w:pStyle w:val="Quote"/>
      </w:pPr>
    </w:p>
    <w:p w14:paraId="2FA28458" w14:textId="77777777" w:rsidR="003A28CB" w:rsidRPr="002F2B00" w:rsidRDefault="003A28CB" w:rsidP="003A28CB">
      <w:pPr>
        <w:pStyle w:val="Quote"/>
      </w:pPr>
      <w:r w:rsidRPr="002F2B00">
        <w:t>My message to victims and survivors, many of whom have engaged with us since we published the Command Paper last year, is that we have listened carefully. We understand that no matter how small the prospects are of successful criminal justice outcomes, that possibility should not be removed entirely.</w:t>
      </w:r>
      <w:r w:rsidRPr="002F2B00">
        <w:rPr>
          <w:rStyle w:val="FootnoteReference"/>
          <w:rFonts w:cs="Arial"/>
        </w:rPr>
        <w:footnoteReference w:id="362"/>
      </w:r>
    </w:p>
    <w:p w14:paraId="073A6FBE" w14:textId="77777777" w:rsidR="00443DB0" w:rsidRPr="002F2B00" w:rsidRDefault="00443DB0" w:rsidP="00D80307">
      <w:pPr>
        <w:rPr>
          <w:szCs w:val="24"/>
        </w:rPr>
      </w:pPr>
    </w:p>
    <w:p w14:paraId="0F9C1247" w14:textId="77777777" w:rsidR="00D80307" w:rsidRPr="002F2B00" w:rsidRDefault="00D80307" w:rsidP="00D80307">
      <w:pPr>
        <w:rPr>
          <w:rFonts w:cs="Arial"/>
          <w:b/>
          <w:bCs/>
          <w:color w:val="77328A"/>
          <w:sz w:val="44"/>
          <w:szCs w:val="44"/>
        </w:rPr>
      </w:pPr>
    </w:p>
    <w:p w14:paraId="7175EE3B" w14:textId="77777777" w:rsidR="00443DB0" w:rsidRPr="002F2B00" w:rsidRDefault="00443DB0" w:rsidP="00443DB0">
      <w:pPr>
        <w:pStyle w:val="BasicParagraph"/>
        <w:suppressAutoHyphens/>
        <w:jc w:val="center"/>
        <w:rPr>
          <w:rFonts w:ascii="Verdana" w:hAnsi="Verdana" w:cs="Arial"/>
          <w:b/>
          <w:bCs/>
          <w:color w:val="77328A"/>
          <w:sz w:val="44"/>
          <w:szCs w:val="44"/>
        </w:rPr>
      </w:pPr>
    </w:p>
    <w:p w14:paraId="54412F5D" w14:textId="77777777" w:rsidR="00443DB0" w:rsidRPr="002F2B00" w:rsidRDefault="00443DB0" w:rsidP="00443DB0">
      <w:pPr>
        <w:pStyle w:val="BasicParagraph"/>
        <w:suppressAutoHyphens/>
        <w:jc w:val="center"/>
        <w:rPr>
          <w:rFonts w:ascii="Verdana" w:hAnsi="Verdana" w:cs="Arial"/>
          <w:b/>
          <w:bCs/>
          <w:color w:val="77328A"/>
          <w:sz w:val="44"/>
          <w:szCs w:val="44"/>
        </w:rPr>
      </w:pPr>
    </w:p>
    <w:p w14:paraId="63C2EC35" w14:textId="77777777" w:rsidR="00443DB0" w:rsidRPr="002F2B00" w:rsidRDefault="00443DB0" w:rsidP="00443DB0">
      <w:pPr>
        <w:pStyle w:val="BasicParagraph"/>
        <w:suppressAutoHyphens/>
        <w:jc w:val="center"/>
        <w:rPr>
          <w:rFonts w:ascii="Verdana" w:hAnsi="Verdana" w:cs="Arial"/>
          <w:b/>
          <w:bCs/>
          <w:color w:val="77328A"/>
          <w:sz w:val="44"/>
          <w:szCs w:val="44"/>
        </w:rPr>
      </w:pPr>
    </w:p>
    <w:p w14:paraId="47EC9CE6" w14:textId="77777777" w:rsidR="00443DB0" w:rsidRPr="002F2B00" w:rsidRDefault="00443DB0" w:rsidP="00443DB0">
      <w:pPr>
        <w:pStyle w:val="BasicParagraph"/>
        <w:suppressAutoHyphens/>
        <w:jc w:val="center"/>
        <w:rPr>
          <w:rFonts w:ascii="Verdana" w:hAnsi="Verdana" w:cs="Arial"/>
          <w:b/>
          <w:bCs/>
          <w:color w:val="77328A"/>
          <w:sz w:val="44"/>
          <w:szCs w:val="44"/>
        </w:rPr>
      </w:pPr>
    </w:p>
    <w:p w14:paraId="5B4BEFC1" w14:textId="7C12A4DB" w:rsidR="00CD7FF5" w:rsidRPr="002F2B00" w:rsidRDefault="00CD7FF5">
      <w:pPr>
        <w:spacing w:line="240" w:lineRule="auto"/>
        <w:rPr>
          <w:rFonts w:eastAsiaTheme="minorEastAsia" w:cs="Arial"/>
          <w:b/>
          <w:bCs/>
          <w:color w:val="77328A"/>
          <w:sz w:val="44"/>
          <w:szCs w:val="44"/>
        </w:rPr>
      </w:pPr>
      <w:r w:rsidRPr="002F2B00">
        <w:rPr>
          <w:rFonts w:cs="Arial"/>
          <w:b/>
          <w:bCs/>
          <w:color w:val="77328A"/>
          <w:sz w:val="44"/>
          <w:szCs w:val="44"/>
        </w:rPr>
        <w:br w:type="page"/>
      </w:r>
    </w:p>
    <w:p w14:paraId="724B5CB1" w14:textId="502FEB4F" w:rsidR="00443DB0" w:rsidRPr="002F2B00" w:rsidRDefault="00443DB0" w:rsidP="00443DB0">
      <w:pPr>
        <w:pStyle w:val="BasicParagraph"/>
        <w:suppressAutoHyphens/>
        <w:jc w:val="center"/>
        <w:rPr>
          <w:rFonts w:ascii="Verdana" w:hAnsi="Verdana" w:cs="Arial"/>
          <w:b/>
          <w:bCs/>
          <w:color w:val="77328A"/>
          <w:sz w:val="44"/>
          <w:szCs w:val="44"/>
        </w:rPr>
      </w:pPr>
    </w:p>
    <w:p w14:paraId="59631D06" w14:textId="4A5D5B87" w:rsidR="00CD7FF5" w:rsidRPr="002F2B00" w:rsidRDefault="00CD7FF5" w:rsidP="00443DB0">
      <w:pPr>
        <w:pStyle w:val="BasicParagraph"/>
        <w:suppressAutoHyphens/>
        <w:jc w:val="center"/>
        <w:rPr>
          <w:rFonts w:ascii="Verdana" w:hAnsi="Verdana" w:cs="Arial"/>
          <w:b/>
          <w:bCs/>
          <w:color w:val="77328A"/>
          <w:sz w:val="44"/>
          <w:szCs w:val="44"/>
        </w:rPr>
      </w:pPr>
    </w:p>
    <w:p w14:paraId="7A8D168B" w14:textId="11A6BDCC" w:rsidR="00CD7FF5" w:rsidRPr="002F2B00" w:rsidRDefault="00CD7FF5" w:rsidP="00443DB0">
      <w:pPr>
        <w:pStyle w:val="BasicParagraph"/>
        <w:suppressAutoHyphens/>
        <w:jc w:val="center"/>
        <w:rPr>
          <w:rFonts w:ascii="Verdana" w:hAnsi="Verdana" w:cs="Arial"/>
          <w:b/>
          <w:bCs/>
          <w:color w:val="77328A"/>
          <w:sz w:val="44"/>
          <w:szCs w:val="44"/>
        </w:rPr>
      </w:pPr>
    </w:p>
    <w:p w14:paraId="44CBF2C8" w14:textId="5F2DBAEC" w:rsidR="00CD7FF5" w:rsidRPr="002F2B00" w:rsidRDefault="00CD7FF5" w:rsidP="00443DB0">
      <w:pPr>
        <w:pStyle w:val="BasicParagraph"/>
        <w:suppressAutoHyphens/>
        <w:jc w:val="center"/>
        <w:rPr>
          <w:rFonts w:ascii="Verdana" w:hAnsi="Verdana" w:cs="Arial"/>
          <w:b/>
          <w:bCs/>
          <w:color w:val="77328A"/>
          <w:sz w:val="44"/>
          <w:szCs w:val="44"/>
        </w:rPr>
      </w:pPr>
    </w:p>
    <w:p w14:paraId="7868C885" w14:textId="77777777" w:rsidR="00CD7FF5" w:rsidRPr="002F2B00" w:rsidRDefault="00CD7FF5" w:rsidP="00443DB0">
      <w:pPr>
        <w:pStyle w:val="BasicParagraph"/>
        <w:suppressAutoHyphens/>
        <w:jc w:val="center"/>
        <w:rPr>
          <w:rFonts w:ascii="Verdana" w:hAnsi="Verdana" w:cs="Arial"/>
          <w:b/>
          <w:bCs/>
          <w:color w:val="77328A"/>
          <w:sz w:val="44"/>
          <w:szCs w:val="44"/>
        </w:rPr>
      </w:pPr>
    </w:p>
    <w:p w14:paraId="0B39B4E7" w14:textId="77777777" w:rsidR="00443DB0" w:rsidRPr="002F2B00" w:rsidRDefault="00443DB0" w:rsidP="00443DB0">
      <w:pPr>
        <w:pStyle w:val="BasicParagraph"/>
        <w:suppressAutoHyphens/>
        <w:jc w:val="center"/>
        <w:rPr>
          <w:rFonts w:ascii="Verdana" w:hAnsi="Verdana" w:cs="Arial"/>
          <w:b/>
          <w:bCs/>
          <w:color w:val="77328A"/>
          <w:sz w:val="44"/>
          <w:szCs w:val="44"/>
        </w:rPr>
      </w:pPr>
      <w:r w:rsidRPr="002F2B00">
        <w:rPr>
          <w:rFonts w:ascii="Verdana" w:hAnsi="Verdana" w:cs="Arial"/>
          <w:b/>
          <w:bCs/>
          <w:color w:val="77328A"/>
          <w:sz w:val="44"/>
          <w:szCs w:val="44"/>
        </w:rPr>
        <w:t xml:space="preserve">Contact Us </w:t>
      </w:r>
    </w:p>
    <w:p w14:paraId="3FDDCA13" w14:textId="77777777" w:rsidR="00443DB0" w:rsidRPr="002F2B00" w:rsidRDefault="00443DB0" w:rsidP="00443DB0">
      <w:pPr>
        <w:pStyle w:val="BasicParagraph"/>
        <w:suppressAutoHyphens/>
        <w:jc w:val="center"/>
        <w:rPr>
          <w:rFonts w:ascii="Verdana" w:hAnsi="Verdana" w:cs="Arial"/>
          <w:b/>
          <w:bCs/>
          <w:color w:val="77328A"/>
          <w:sz w:val="44"/>
          <w:szCs w:val="44"/>
        </w:rPr>
      </w:pPr>
    </w:p>
    <w:p w14:paraId="3A9E11AC" w14:textId="23F65F56" w:rsidR="00443DB0" w:rsidRPr="002F2B00" w:rsidRDefault="00443DB0" w:rsidP="00443DB0">
      <w:pPr>
        <w:pStyle w:val="BasicParagraph"/>
        <w:suppressAutoHyphens/>
        <w:jc w:val="center"/>
        <w:rPr>
          <w:rFonts w:ascii="Verdana" w:hAnsi="Verdana" w:cs="Arial"/>
          <w:b/>
          <w:bCs/>
          <w:color w:val="auto"/>
          <w:sz w:val="28"/>
          <w:szCs w:val="28"/>
        </w:rPr>
      </w:pPr>
      <w:r w:rsidRPr="002F2B00">
        <w:rPr>
          <w:rFonts w:ascii="Verdana" w:hAnsi="Verdana" w:cs="Arial"/>
          <w:b/>
          <w:bCs/>
          <w:color w:val="auto"/>
          <w:sz w:val="28"/>
          <w:szCs w:val="28"/>
        </w:rPr>
        <w:t xml:space="preserve">For queries please contact: </w:t>
      </w:r>
      <w:hyperlink r:id="rId12" w:history="1">
        <w:r w:rsidR="00205A2C" w:rsidRPr="002F2B00">
          <w:rPr>
            <w:rStyle w:val="Hyperlink"/>
            <w:rFonts w:ascii="Verdana" w:hAnsi="Verdana" w:cs="Arial"/>
            <w:b/>
            <w:bCs/>
            <w:sz w:val="28"/>
            <w:szCs w:val="28"/>
          </w:rPr>
          <w:t>Rhyannon.Blythe@nihrc.org</w:t>
        </w:r>
      </w:hyperlink>
    </w:p>
    <w:p w14:paraId="5D18B3FF" w14:textId="77777777" w:rsidR="00443DB0" w:rsidRPr="002F2B00" w:rsidRDefault="00443DB0" w:rsidP="00443DB0">
      <w:pPr>
        <w:rPr>
          <w:rFonts w:cs="Arial"/>
          <w:b/>
          <w:color w:val="232120"/>
          <w:sz w:val="30"/>
          <w:szCs w:val="30"/>
        </w:rPr>
      </w:pPr>
    </w:p>
    <w:p w14:paraId="17BE268A" w14:textId="77777777" w:rsidR="00443DB0" w:rsidRPr="002F2B00" w:rsidRDefault="00443DB0" w:rsidP="00443DB0">
      <w:pPr>
        <w:jc w:val="center"/>
        <w:rPr>
          <w:rFonts w:cs="Arial"/>
          <w:b/>
          <w:color w:val="232120"/>
          <w:sz w:val="30"/>
          <w:szCs w:val="30"/>
        </w:rPr>
      </w:pPr>
    </w:p>
    <w:p w14:paraId="74D93AFF" w14:textId="77777777" w:rsidR="00443DB0" w:rsidRPr="002F2B00" w:rsidRDefault="00367395" w:rsidP="00443DB0">
      <w:pPr>
        <w:jc w:val="center"/>
        <w:rPr>
          <w:rFonts w:cs="Arial"/>
          <w:color w:val="232120"/>
          <w:sz w:val="28"/>
          <w:szCs w:val="28"/>
        </w:rPr>
      </w:pPr>
      <w:hyperlink r:id="rId13" w:history="1">
        <w:r w:rsidR="00443DB0" w:rsidRPr="002F2B00">
          <w:rPr>
            <w:rStyle w:val="Hyperlink"/>
            <w:rFonts w:cs="Arial"/>
            <w:color w:val="232120"/>
            <w:sz w:val="28"/>
            <w:szCs w:val="28"/>
            <w:lang w:val="en-US"/>
          </w:rPr>
          <w:t>www.nihrc.org</w:t>
        </w:r>
      </w:hyperlink>
      <w:r w:rsidR="00443DB0" w:rsidRPr="002F2B00">
        <w:rPr>
          <w:rFonts w:cs="Arial"/>
          <w:color w:val="232120"/>
          <w:sz w:val="28"/>
          <w:szCs w:val="28"/>
          <w:lang w:val="en-US"/>
        </w:rPr>
        <w:t xml:space="preserve">  |  </w:t>
      </w:r>
      <w:hyperlink r:id="rId14" w:history="1">
        <w:r w:rsidR="00443DB0" w:rsidRPr="002F2B00">
          <w:rPr>
            <w:rStyle w:val="Hyperlink"/>
            <w:rFonts w:cs="Arial"/>
            <w:color w:val="232120"/>
            <w:sz w:val="28"/>
            <w:szCs w:val="28"/>
            <w:lang w:val="en-US"/>
          </w:rPr>
          <w:t>info@nihrc.org</w:t>
        </w:r>
      </w:hyperlink>
      <w:r w:rsidR="00443DB0" w:rsidRPr="002F2B00">
        <w:rPr>
          <w:rFonts w:cs="Arial"/>
          <w:color w:val="232120"/>
          <w:sz w:val="28"/>
          <w:szCs w:val="28"/>
          <w:lang w:val="en-US"/>
        </w:rPr>
        <w:t xml:space="preserve">  |  +44 (0)28 9024 3987</w:t>
      </w:r>
    </w:p>
    <w:p w14:paraId="4CB931B0" w14:textId="77777777" w:rsidR="00443DB0" w:rsidRPr="002F2B00" w:rsidRDefault="00443DB0" w:rsidP="00443DB0">
      <w:pPr>
        <w:jc w:val="center"/>
        <w:rPr>
          <w:rFonts w:cs="Arial"/>
          <w:color w:val="232120"/>
          <w:sz w:val="28"/>
          <w:szCs w:val="28"/>
        </w:rPr>
      </w:pPr>
      <w:r w:rsidRPr="002F2B00">
        <w:rPr>
          <w:rFonts w:cs="Arial"/>
          <w:color w:val="232120"/>
          <w:sz w:val="28"/>
          <w:szCs w:val="28"/>
          <w:lang w:val="en-US"/>
        </w:rPr>
        <w:t>Temple Court, 39 North Street, Belfast, BT1NA</w:t>
      </w:r>
    </w:p>
    <w:p w14:paraId="77B3F9E3" w14:textId="77777777" w:rsidR="00443DB0" w:rsidRPr="002F2B00" w:rsidRDefault="00443DB0" w:rsidP="00443DB0">
      <w:pPr>
        <w:jc w:val="center"/>
        <w:rPr>
          <w:rFonts w:cs="Arial"/>
          <w:b/>
          <w:color w:val="232120"/>
          <w:sz w:val="28"/>
          <w:szCs w:val="28"/>
        </w:rPr>
      </w:pPr>
    </w:p>
    <w:p w14:paraId="4E866835" w14:textId="77777777" w:rsidR="00443DB0" w:rsidRPr="002F2B00" w:rsidRDefault="00443DB0" w:rsidP="00443DB0">
      <w:pPr>
        <w:jc w:val="center"/>
        <w:rPr>
          <w:rFonts w:cs="Arial"/>
          <w:color w:val="232120"/>
          <w:sz w:val="20"/>
          <w:szCs w:val="20"/>
        </w:rPr>
      </w:pPr>
    </w:p>
    <w:p w14:paraId="1558A514" w14:textId="77777777" w:rsidR="00443DB0" w:rsidRPr="00860A9B" w:rsidRDefault="00443DB0" w:rsidP="00443DB0">
      <w:pPr>
        <w:pStyle w:val="BasicParagraph"/>
        <w:suppressAutoHyphens/>
        <w:spacing w:line="240" w:lineRule="auto"/>
        <w:jc w:val="center"/>
        <w:rPr>
          <w:rFonts w:ascii="Verdana" w:hAnsi="Verdana" w:cs="Arial"/>
          <w:color w:val="232120"/>
          <w:sz w:val="28"/>
          <w:szCs w:val="28"/>
        </w:rPr>
      </w:pPr>
      <w:r w:rsidRPr="002F2B00">
        <w:rPr>
          <w:rFonts w:ascii="Verdana" w:hAnsi="Verdana" w:cs="Arial"/>
          <w:noProof/>
          <w:color w:val="232120"/>
          <w:sz w:val="28"/>
          <w:szCs w:val="28"/>
          <w:lang w:eastAsia="en-GB"/>
        </w:rPr>
        <w:drawing>
          <wp:inline distT="0" distB="0" distL="0" distR="0" wp14:anchorId="169CF5DA" wp14:editId="1E907BC6">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p w14:paraId="04C1B25B" w14:textId="77777777" w:rsidR="0067791B" w:rsidRPr="0067791B" w:rsidRDefault="0067791B" w:rsidP="0067791B">
      <w:pPr>
        <w:rPr>
          <w:szCs w:val="24"/>
        </w:rPr>
      </w:pPr>
    </w:p>
    <w:sectPr w:rsidR="0067791B" w:rsidRPr="0067791B">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90EF3" w14:textId="77777777" w:rsidR="00D943AB" w:rsidRDefault="00D943AB" w:rsidP="0097031A">
      <w:r>
        <w:separator/>
      </w:r>
    </w:p>
  </w:endnote>
  <w:endnote w:type="continuationSeparator" w:id="0">
    <w:p w14:paraId="72C6BC28" w14:textId="77777777" w:rsidR="00D943AB" w:rsidRDefault="00D943AB" w:rsidP="0097031A">
      <w:r>
        <w:continuationSeparator/>
      </w:r>
    </w:p>
  </w:endnote>
  <w:endnote w:type="continuationNotice" w:id="1">
    <w:p w14:paraId="5E147A8E" w14:textId="77777777" w:rsidR="00D943AB" w:rsidRDefault="00D943A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7328A"/>
        <w:szCs w:val="24"/>
      </w:rPr>
      <w:id w:val="1760181841"/>
      <w:docPartObj>
        <w:docPartGallery w:val="Page Numbers (Bottom of Page)"/>
        <w:docPartUnique/>
      </w:docPartObj>
    </w:sdtPr>
    <w:sdtEndPr>
      <w:rPr>
        <w:noProof/>
      </w:rPr>
    </w:sdtEndPr>
    <w:sdtContent>
      <w:p w14:paraId="575585B6" w14:textId="2A954C6A" w:rsidR="00752176" w:rsidRPr="00DA019D" w:rsidRDefault="00752176">
        <w:pPr>
          <w:pStyle w:val="Footer"/>
          <w:jc w:val="right"/>
          <w:rPr>
            <w:color w:val="77328A"/>
            <w:szCs w:val="24"/>
          </w:rPr>
        </w:pPr>
        <w:r w:rsidRPr="00DA019D">
          <w:rPr>
            <w:color w:val="77328A"/>
            <w:szCs w:val="24"/>
          </w:rPr>
          <w:fldChar w:fldCharType="begin"/>
        </w:r>
        <w:r w:rsidRPr="00DA019D">
          <w:rPr>
            <w:color w:val="77328A"/>
            <w:szCs w:val="24"/>
          </w:rPr>
          <w:instrText xml:space="preserve"> PAGE   \* MERGEFORMAT </w:instrText>
        </w:r>
        <w:r w:rsidRPr="00DA019D">
          <w:rPr>
            <w:color w:val="77328A"/>
            <w:szCs w:val="24"/>
          </w:rPr>
          <w:fldChar w:fldCharType="separate"/>
        </w:r>
        <w:r w:rsidR="00D33120">
          <w:rPr>
            <w:noProof/>
            <w:color w:val="77328A"/>
            <w:szCs w:val="24"/>
          </w:rPr>
          <w:t>22</w:t>
        </w:r>
        <w:r w:rsidRPr="00DA019D">
          <w:rPr>
            <w:noProof/>
            <w:color w:val="77328A"/>
            <w:szCs w:val="24"/>
          </w:rPr>
          <w:fldChar w:fldCharType="end"/>
        </w:r>
      </w:p>
    </w:sdtContent>
  </w:sdt>
  <w:p w14:paraId="06F7790D" w14:textId="77777777" w:rsidR="00752176" w:rsidRDefault="007521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91DC5" w14:textId="77777777" w:rsidR="00D943AB" w:rsidRDefault="00D943AB" w:rsidP="0097031A">
      <w:r>
        <w:separator/>
      </w:r>
    </w:p>
  </w:footnote>
  <w:footnote w:type="continuationSeparator" w:id="0">
    <w:p w14:paraId="5E1C7873" w14:textId="77777777" w:rsidR="00D943AB" w:rsidRDefault="00D943AB" w:rsidP="0097031A">
      <w:r>
        <w:continuationSeparator/>
      </w:r>
    </w:p>
  </w:footnote>
  <w:footnote w:type="continuationNotice" w:id="1">
    <w:p w14:paraId="5D5EC3BD" w14:textId="77777777" w:rsidR="00D943AB" w:rsidRDefault="00D943AB">
      <w:pPr>
        <w:spacing w:line="240" w:lineRule="auto"/>
      </w:pPr>
    </w:p>
  </w:footnote>
  <w:footnote w:id="2">
    <w:p w14:paraId="04B79EAB" w14:textId="73255878" w:rsidR="00A528AE" w:rsidRPr="00C50565" w:rsidRDefault="00A528AE" w:rsidP="00E53F38">
      <w:pPr>
        <w:pStyle w:val="NIHRCFootnotes"/>
      </w:pPr>
      <w:r w:rsidRPr="00C50565">
        <w:rPr>
          <w:rStyle w:val="FootnoteReference"/>
        </w:rPr>
        <w:footnoteRef/>
      </w:r>
      <w:r w:rsidRPr="00C50565">
        <w:t xml:space="preserve"> </w:t>
      </w:r>
      <w:r w:rsidRPr="00970E95">
        <w:t xml:space="preserve">Agreement on the Withdrawal of the </w:t>
      </w:r>
      <w:r w:rsidR="003B5BFE">
        <w:t>UK</w:t>
      </w:r>
      <w:r w:rsidRPr="00970E95">
        <w:t xml:space="preserve"> of Great Britain and </w:t>
      </w:r>
      <w:r w:rsidR="003B5BFE">
        <w:t>NI</w:t>
      </w:r>
      <w:r w:rsidRPr="00970E95">
        <w:t xml:space="preserve"> from the </w:t>
      </w:r>
      <w:r w:rsidR="003B5BFE">
        <w:t>EU</w:t>
      </w:r>
      <w:r w:rsidRPr="00970E95">
        <w:t xml:space="preserve"> and the European Atomic Energy Community [TS No</w:t>
      </w:r>
      <w:r w:rsidR="00AE20AB">
        <w:t xml:space="preserve"> </w:t>
      </w:r>
      <w:r w:rsidRPr="00970E95">
        <w:t>3/2020]</w:t>
      </w:r>
      <w:r w:rsidRPr="00C50565">
        <w:t>.</w:t>
      </w:r>
    </w:p>
  </w:footnote>
  <w:footnote w:id="3">
    <w:p w14:paraId="6D2CAAD2" w14:textId="1F50B1F8" w:rsidR="00BF4148" w:rsidRPr="00601C26" w:rsidRDefault="00BF4148" w:rsidP="00E53F38">
      <w:pPr>
        <w:pStyle w:val="NIHRCFootnotes"/>
        <w:rPr>
          <w:color w:val="7030A0"/>
        </w:rPr>
      </w:pPr>
      <w:r w:rsidRPr="00601C26">
        <w:rPr>
          <w:rStyle w:val="FootnoteReference"/>
          <w:color w:val="7030A0"/>
        </w:rPr>
        <w:footnoteRef/>
      </w:r>
      <w:r w:rsidRPr="00601C26">
        <w:rPr>
          <w:color w:val="7030A0"/>
        </w:rPr>
        <w:t xml:space="preserve"> It is also incompatible with provisions that provide for these rights within the </w:t>
      </w:r>
      <w:r w:rsidR="003B5BFE">
        <w:rPr>
          <w:color w:val="7030A0"/>
        </w:rPr>
        <w:t>UN</w:t>
      </w:r>
      <w:r w:rsidRPr="00601C26">
        <w:rPr>
          <w:color w:val="7030A0"/>
        </w:rPr>
        <w:t xml:space="preserve"> human rights treaties that the UK has ratified and is bound by the obligations contained within as a result. For example, Articles 6 and 7, UN International Covenant on Civil and Political Rights 1966; Article 2(1), UN Convention against Torture 1984; Articles 6 and 37(a), UN Convention on the Rights of the Child 1989; Articles 10 and 15, UN Convention on the Rights of Persons with Disabilities 2006.</w:t>
      </w:r>
    </w:p>
  </w:footnote>
  <w:footnote w:id="4">
    <w:p w14:paraId="18943635" w14:textId="77777777" w:rsidR="00074F1D" w:rsidRPr="00601C26" w:rsidRDefault="00074F1D" w:rsidP="00E53F38">
      <w:pPr>
        <w:pStyle w:val="NIHRCFootnotes"/>
        <w:rPr>
          <w:color w:val="7030A0"/>
        </w:rPr>
      </w:pPr>
      <w:r w:rsidRPr="00601C26">
        <w:rPr>
          <w:rStyle w:val="FootnoteReference"/>
          <w:color w:val="7030A0"/>
        </w:rPr>
        <w:footnoteRef/>
      </w:r>
      <w:r w:rsidRPr="00601C26">
        <w:rPr>
          <w:color w:val="7030A0"/>
        </w:rPr>
        <w:t xml:space="preserve"> Section 3, Human Rights Act 1998.</w:t>
      </w:r>
    </w:p>
  </w:footnote>
  <w:footnote w:id="5">
    <w:p w14:paraId="5D484F70" w14:textId="2D24D3A8" w:rsidR="00F126C1" w:rsidRPr="00601C26" w:rsidRDefault="00F126C1" w:rsidP="00E53F38">
      <w:pPr>
        <w:pStyle w:val="NIHRCFootnotes"/>
        <w:rPr>
          <w:color w:val="7030A0"/>
        </w:rPr>
      </w:pPr>
      <w:r w:rsidRPr="00601C26">
        <w:rPr>
          <w:rStyle w:val="FootnoteReference"/>
          <w:color w:val="7030A0"/>
        </w:rPr>
        <w:footnoteRef/>
      </w:r>
      <w:r w:rsidRPr="00601C26">
        <w:rPr>
          <w:color w:val="7030A0"/>
        </w:rPr>
        <w:t xml:space="preserve"> </w:t>
      </w:r>
      <w:r w:rsidR="00095B73" w:rsidRPr="00601C26">
        <w:rPr>
          <w:color w:val="7030A0"/>
        </w:rPr>
        <w:t>Belfast (Good Friday) Agreement,</w:t>
      </w:r>
      <w:r w:rsidR="007A0B40" w:rsidRPr="00601C26">
        <w:rPr>
          <w:color w:val="7030A0"/>
        </w:rPr>
        <w:t xml:space="preserve"> 10 April 1998,</w:t>
      </w:r>
      <w:r w:rsidR="00095B73" w:rsidRPr="00601C26">
        <w:rPr>
          <w:color w:val="7030A0"/>
        </w:rPr>
        <w:t xml:space="preserve"> at </w:t>
      </w:r>
      <w:r w:rsidR="007F3980" w:rsidRPr="00601C26">
        <w:rPr>
          <w:color w:val="7030A0"/>
        </w:rPr>
        <w:t>5</w:t>
      </w:r>
      <w:r w:rsidR="003A402D" w:rsidRPr="00601C26">
        <w:rPr>
          <w:color w:val="7030A0"/>
        </w:rPr>
        <w:t>.</w:t>
      </w:r>
    </w:p>
  </w:footnote>
  <w:footnote w:id="6">
    <w:p w14:paraId="7E08D3D7" w14:textId="3B93B7EF" w:rsidR="00F126C1" w:rsidRPr="00601C26" w:rsidRDefault="00F126C1" w:rsidP="00E53F38">
      <w:pPr>
        <w:pStyle w:val="NIHRCFootnotes"/>
        <w:rPr>
          <w:color w:val="7030A0"/>
        </w:rPr>
      </w:pPr>
      <w:r w:rsidRPr="00601C26">
        <w:rPr>
          <w:rStyle w:val="FootnoteReference"/>
          <w:color w:val="7030A0"/>
        </w:rPr>
        <w:footnoteRef/>
      </w:r>
      <w:r w:rsidRPr="00601C26">
        <w:rPr>
          <w:color w:val="7030A0"/>
        </w:rPr>
        <w:t xml:space="preserve"> </w:t>
      </w:r>
      <w:r w:rsidR="005F670A" w:rsidRPr="00601C26">
        <w:rPr>
          <w:color w:val="7030A0"/>
        </w:rPr>
        <w:t xml:space="preserve">The Stormont House Agreement committed to separate mechanisms that included a Historical Investigations Unit, </w:t>
      </w:r>
      <w:r w:rsidR="00792E83" w:rsidRPr="00601C26">
        <w:rPr>
          <w:color w:val="7030A0"/>
        </w:rPr>
        <w:t>Independent Commission on Information Retrieval, Oral History Archive, and an Implementation and Reconciliation Group.</w:t>
      </w:r>
    </w:p>
  </w:footnote>
  <w:footnote w:id="7">
    <w:p w14:paraId="52EBA691" w14:textId="4704AF59" w:rsidR="00F126C1" w:rsidRPr="00601C26" w:rsidRDefault="00F126C1" w:rsidP="00E53F38">
      <w:pPr>
        <w:pStyle w:val="NIHRCFootnotes"/>
        <w:rPr>
          <w:color w:val="7030A0"/>
        </w:rPr>
      </w:pPr>
      <w:r w:rsidRPr="00601C26">
        <w:rPr>
          <w:rStyle w:val="FootnoteReference"/>
          <w:color w:val="7030A0"/>
        </w:rPr>
        <w:footnoteRef/>
      </w:r>
      <w:r w:rsidRPr="00601C26">
        <w:rPr>
          <w:color w:val="7030A0"/>
        </w:rPr>
        <w:t xml:space="preserve"> </w:t>
      </w:r>
      <w:r w:rsidR="00D85882" w:rsidRPr="00601C26">
        <w:rPr>
          <w:color w:val="7030A0"/>
        </w:rPr>
        <w:t>‘A Fresh Start: The Stormont Agreement and Implementation Plan’</w:t>
      </w:r>
      <w:r w:rsidR="00126C3E" w:rsidRPr="00601C26">
        <w:rPr>
          <w:color w:val="7030A0"/>
        </w:rPr>
        <w:t>, 17 November 2015, at 8.</w:t>
      </w:r>
    </w:p>
  </w:footnote>
  <w:footnote w:id="8">
    <w:p w14:paraId="3D4EC76C" w14:textId="3C036AB4" w:rsidR="00F126C1" w:rsidRPr="00601C26" w:rsidRDefault="00F126C1" w:rsidP="00E53F38">
      <w:pPr>
        <w:pStyle w:val="NIHRCFootnotes"/>
        <w:rPr>
          <w:color w:val="7030A0"/>
        </w:rPr>
      </w:pPr>
      <w:r w:rsidRPr="00601C26">
        <w:rPr>
          <w:rStyle w:val="FootnoteReference"/>
          <w:color w:val="7030A0"/>
        </w:rPr>
        <w:footnoteRef/>
      </w:r>
      <w:r w:rsidRPr="00601C26">
        <w:rPr>
          <w:color w:val="7030A0"/>
        </w:rPr>
        <w:t xml:space="preserve"> </w:t>
      </w:r>
      <w:r w:rsidR="00365312" w:rsidRPr="00601C26">
        <w:rPr>
          <w:color w:val="7030A0"/>
        </w:rPr>
        <w:t xml:space="preserve">NI Office, ‘New Decade, New Approach’ (NIO, 2020), at </w:t>
      </w:r>
      <w:r w:rsidR="001E6A0F" w:rsidRPr="00601C26">
        <w:rPr>
          <w:color w:val="7030A0"/>
        </w:rPr>
        <w:t>Annex, para 16.</w:t>
      </w:r>
    </w:p>
  </w:footnote>
  <w:footnote w:id="9">
    <w:p w14:paraId="633626D8" w14:textId="77777777" w:rsidR="001659B9" w:rsidRPr="00601C26" w:rsidRDefault="001659B9" w:rsidP="00E53F38">
      <w:pPr>
        <w:pStyle w:val="NIHRCFootnotes"/>
        <w:rPr>
          <w:color w:val="7030A0"/>
        </w:rPr>
      </w:pPr>
      <w:r w:rsidRPr="00601C26">
        <w:rPr>
          <w:rStyle w:val="FootnoteReference"/>
          <w:color w:val="7030A0"/>
        </w:rPr>
        <w:footnoteRef/>
      </w:r>
      <w:r w:rsidRPr="00601C26">
        <w:rPr>
          <w:color w:val="7030A0"/>
        </w:rPr>
        <w:t xml:space="preserve"> NI Office, ‘Addressing the Legacy of NI’s Past: Analysis of the Consultation Responses’ (NIO, 2019), at 4.</w:t>
      </w:r>
    </w:p>
  </w:footnote>
  <w:footnote w:id="10">
    <w:p w14:paraId="4BD1A5B4" w14:textId="146A955B" w:rsidR="008E75CD" w:rsidRDefault="008E75CD" w:rsidP="00E53F38">
      <w:pPr>
        <w:pStyle w:val="NIHRCFootnotes"/>
      </w:pPr>
      <w:r>
        <w:rPr>
          <w:rStyle w:val="FootnoteReference"/>
        </w:rPr>
        <w:footnoteRef/>
      </w:r>
      <w:r>
        <w:t xml:space="preserve"> </w:t>
      </w:r>
      <w:r w:rsidRPr="00601C26">
        <w:rPr>
          <w:color w:val="7030A0"/>
        </w:rPr>
        <w:t xml:space="preserve">NI Affairs Committee, ‘Oral Evidence: Addressing the Legacy of NI’s Past – The UK Government’s Proposals – </w:t>
      </w:r>
      <w:r w:rsidR="003435BD">
        <w:rPr>
          <w:color w:val="7030A0"/>
        </w:rPr>
        <w:t>Oral Evidence’</w:t>
      </w:r>
      <w:r w:rsidRPr="00601C26">
        <w:rPr>
          <w:color w:val="7030A0"/>
        </w:rPr>
        <w:t>, 7 June 2022</w:t>
      </w:r>
      <w:r w:rsidR="003435BD">
        <w:rPr>
          <w:color w:val="7030A0"/>
        </w:rPr>
        <w:t>.</w:t>
      </w:r>
    </w:p>
  </w:footnote>
  <w:footnote w:id="11">
    <w:p w14:paraId="55FE79D1" w14:textId="770C0AE1" w:rsidR="00700FDE" w:rsidRPr="00601C26" w:rsidRDefault="00700FDE" w:rsidP="00E53F38">
      <w:pPr>
        <w:pStyle w:val="NIHRCFootnotes"/>
        <w:rPr>
          <w:color w:val="7030A0"/>
        </w:rPr>
      </w:pPr>
      <w:r w:rsidRPr="00601C26">
        <w:rPr>
          <w:rStyle w:val="FootnoteReference"/>
          <w:color w:val="7030A0"/>
        </w:rPr>
        <w:footnoteRef/>
      </w:r>
      <w:r w:rsidRPr="00601C26">
        <w:rPr>
          <w:color w:val="7030A0"/>
        </w:rPr>
        <w:t xml:space="preserve"> The </w:t>
      </w:r>
      <w:r w:rsidR="00C07619" w:rsidRPr="00601C26">
        <w:rPr>
          <w:color w:val="7030A0"/>
        </w:rPr>
        <w:t>NIHRC</w:t>
      </w:r>
      <w:r w:rsidRPr="00601C26">
        <w:rPr>
          <w:color w:val="7030A0"/>
        </w:rPr>
        <w:t xml:space="preserve"> </w:t>
      </w:r>
      <w:proofErr w:type="gramStart"/>
      <w:r w:rsidRPr="00601C26">
        <w:rPr>
          <w:color w:val="7030A0"/>
        </w:rPr>
        <w:t>refers back</w:t>
      </w:r>
      <w:proofErr w:type="gramEnd"/>
      <w:r w:rsidRPr="00601C26">
        <w:rPr>
          <w:color w:val="7030A0"/>
        </w:rPr>
        <w:t xml:space="preserve"> to its advice on the previous legacy bill</w:t>
      </w:r>
      <w:r w:rsidR="00C07619" w:rsidRPr="00601C26">
        <w:rPr>
          <w:color w:val="7030A0"/>
        </w:rPr>
        <w:t>,</w:t>
      </w:r>
      <w:r w:rsidRPr="00601C26">
        <w:rPr>
          <w:color w:val="7030A0"/>
        </w:rPr>
        <w:t xml:space="preserve"> which was not encumbered in the same respects and was legitimised by the Stormont House Agreement. </w:t>
      </w:r>
      <w:r w:rsidR="00C07619" w:rsidRPr="00601C26">
        <w:rPr>
          <w:color w:val="7030A0"/>
        </w:rPr>
        <w:t xml:space="preserve">See </w:t>
      </w:r>
      <w:r w:rsidR="00FD261E" w:rsidRPr="00601C26">
        <w:rPr>
          <w:color w:val="7030A0"/>
        </w:rPr>
        <w:t>NI Human Rights Commission, ‘Submission to NI Office’s Consultation on Addressing the Legacy of NI’s Past’ (NIHRC, 2018).</w:t>
      </w:r>
    </w:p>
  </w:footnote>
  <w:footnote w:id="12">
    <w:p w14:paraId="459B29F3" w14:textId="3D4CAB25" w:rsidR="00CF4BDA" w:rsidRPr="00C50565" w:rsidRDefault="00CF4BDA" w:rsidP="00E53F38">
      <w:pPr>
        <w:pStyle w:val="NIHRCFootnotes"/>
      </w:pPr>
      <w:r w:rsidRPr="00C50565">
        <w:rPr>
          <w:rStyle w:val="FootnoteReference"/>
        </w:rPr>
        <w:footnoteRef/>
      </w:r>
      <w:r w:rsidRPr="00C50565">
        <w:t xml:space="preserve"> Protocol Article 2 is elaborated </w:t>
      </w:r>
      <w:r w:rsidR="008D41EB">
        <w:t xml:space="preserve">upon </w:t>
      </w:r>
      <w:r w:rsidRPr="00C50565">
        <w:t>further in Annex 2</w:t>
      </w:r>
      <w:r w:rsidR="008D41EB">
        <w:t>,</w:t>
      </w:r>
      <w:r w:rsidRPr="00C50565">
        <w:t xml:space="preserve"> </w:t>
      </w:r>
      <w:r w:rsidR="00EE5229">
        <w:t xml:space="preserve">at </w:t>
      </w:r>
      <w:r w:rsidRPr="00C50565">
        <w:t xml:space="preserve">paras </w:t>
      </w:r>
      <w:r w:rsidRPr="00BD0DFB">
        <w:t>1.10-1.12.</w:t>
      </w:r>
    </w:p>
  </w:footnote>
  <w:footnote w:id="13">
    <w:p w14:paraId="1A10C3C1" w14:textId="3565EF92" w:rsidR="00EB7B6E" w:rsidRPr="00601C26" w:rsidRDefault="00EB7B6E" w:rsidP="00E53F38">
      <w:pPr>
        <w:pStyle w:val="NIHRCFootnotes"/>
        <w:rPr>
          <w:color w:val="7030A0"/>
        </w:rPr>
      </w:pPr>
      <w:r w:rsidRPr="00601C26">
        <w:rPr>
          <w:rStyle w:val="FootnoteReference"/>
          <w:color w:val="7030A0"/>
        </w:rPr>
        <w:footnoteRef/>
      </w:r>
      <w:r w:rsidRPr="00601C26">
        <w:rPr>
          <w:color w:val="7030A0"/>
        </w:rPr>
        <w:t xml:space="preserve"> </w:t>
      </w:r>
      <w:r w:rsidR="00763B09" w:rsidRPr="00601C26">
        <w:rPr>
          <w:i/>
          <w:color w:val="7030A0"/>
        </w:rPr>
        <w:t>ROD v Croatia</w:t>
      </w:r>
      <w:r w:rsidR="00763B09" w:rsidRPr="00601C26">
        <w:rPr>
          <w:color w:val="7030A0"/>
        </w:rPr>
        <w:t xml:space="preserve"> (2008) ECHR 1048, at Section 1; </w:t>
      </w:r>
      <w:proofErr w:type="spellStart"/>
      <w:r w:rsidR="00034E94" w:rsidRPr="00601C26">
        <w:rPr>
          <w:i/>
          <w:color w:val="7030A0"/>
        </w:rPr>
        <w:t>Assenov</w:t>
      </w:r>
      <w:proofErr w:type="spellEnd"/>
      <w:r w:rsidR="00034E94" w:rsidRPr="00601C26">
        <w:rPr>
          <w:i/>
          <w:color w:val="7030A0"/>
        </w:rPr>
        <w:t xml:space="preserve"> and Others v Bulgaria</w:t>
      </w:r>
      <w:r w:rsidR="00034E94" w:rsidRPr="00601C26">
        <w:rPr>
          <w:color w:val="7030A0"/>
        </w:rPr>
        <w:t xml:space="preserve"> (1998) ECHR 98, at para 102</w:t>
      </w:r>
      <w:r w:rsidR="00877CF2" w:rsidRPr="00601C26">
        <w:rPr>
          <w:color w:val="7030A0"/>
        </w:rPr>
        <w:t xml:space="preserve">; </w:t>
      </w:r>
      <w:r w:rsidR="00877CF2" w:rsidRPr="00601C26">
        <w:rPr>
          <w:i/>
          <w:iCs/>
          <w:color w:val="7030A0"/>
        </w:rPr>
        <w:t>M and Others v Italy and Bulgaria</w:t>
      </w:r>
      <w:r w:rsidR="00877CF2" w:rsidRPr="00601C26">
        <w:rPr>
          <w:color w:val="7030A0"/>
        </w:rPr>
        <w:t xml:space="preserve"> (2012) </w:t>
      </w:r>
      <w:r w:rsidR="0061201B" w:rsidRPr="00601C26">
        <w:rPr>
          <w:color w:val="7030A0"/>
        </w:rPr>
        <w:t>ECHR 1967, at para 100</w:t>
      </w:r>
      <w:r w:rsidR="005B1EB0" w:rsidRPr="00601C26">
        <w:rPr>
          <w:color w:val="7030A0"/>
        </w:rPr>
        <w:t>.</w:t>
      </w:r>
    </w:p>
  </w:footnote>
  <w:footnote w:id="14">
    <w:p w14:paraId="55B5BEE4" w14:textId="26AED1F7" w:rsidR="00114C5D" w:rsidRPr="00601C26" w:rsidRDefault="00114C5D"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00970487" w:rsidRPr="00601C26">
        <w:rPr>
          <w:i/>
          <w:color w:val="7030A0"/>
        </w:rPr>
        <w:t>Ergi</w:t>
      </w:r>
      <w:proofErr w:type="spellEnd"/>
      <w:r w:rsidR="00970487" w:rsidRPr="00601C26">
        <w:rPr>
          <w:i/>
          <w:color w:val="7030A0"/>
        </w:rPr>
        <w:t xml:space="preserve"> v Turkey</w:t>
      </w:r>
      <w:r w:rsidR="00970487" w:rsidRPr="00601C26">
        <w:rPr>
          <w:color w:val="7030A0"/>
        </w:rPr>
        <w:t xml:space="preserve"> (1998), ECHR 59, at para 82.</w:t>
      </w:r>
    </w:p>
  </w:footnote>
  <w:footnote w:id="15">
    <w:p w14:paraId="21FB56F7" w14:textId="21688FC9" w:rsidR="005B04E6" w:rsidRPr="00601C26" w:rsidRDefault="005B04E6" w:rsidP="00E53F38">
      <w:pPr>
        <w:pStyle w:val="NIHRCFootnotes"/>
        <w:rPr>
          <w:color w:val="7030A0"/>
        </w:rPr>
      </w:pPr>
      <w:r w:rsidRPr="00601C26">
        <w:rPr>
          <w:rStyle w:val="FootnoteReference"/>
          <w:color w:val="7030A0"/>
        </w:rPr>
        <w:footnoteRef/>
      </w:r>
      <w:r w:rsidRPr="00601C26">
        <w:rPr>
          <w:color w:val="7030A0"/>
        </w:rPr>
        <w:t xml:space="preserve"> </w:t>
      </w:r>
      <w:r w:rsidR="006F1DE8" w:rsidRPr="00601C26">
        <w:rPr>
          <w:color w:val="7030A0"/>
        </w:rPr>
        <w:t xml:space="preserve">Such as </w:t>
      </w:r>
      <w:r w:rsidRPr="00601C26">
        <w:rPr>
          <w:color w:val="7030A0"/>
        </w:rPr>
        <w:t>Articles 6 and 7, UN International Covenant on Civil and Political Rights 1966; Article 2(1), UN Convention against Torture 1984; Articles 6 and 37(a), UN Convention on the Rights of the Child 1989; Articles 10 and 15, UN Convention on the Rights of Persons with Disabilities 2006.</w:t>
      </w:r>
    </w:p>
  </w:footnote>
  <w:footnote w:id="16">
    <w:p w14:paraId="56987319" w14:textId="543660E0" w:rsidR="00976675" w:rsidRDefault="00976675" w:rsidP="00E53F38">
      <w:pPr>
        <w:pStyle w:val="NIHRCFootnotes"/>
      </w:pPr>
      <w:r>
        <w:rPr>
          <w:rStyle w:val="FootnoteReference"/>
        </w:rPr>
        <w:footnoteRef/>
      </w:r>
      <w:r>
        <w:t xml:space="preserve"> </w:t>
      </w:r>
      <w:proofErr w:type="spellStart"/>
      <w:r w:rsidR="00923EC8" w:rsidRPr="00601C26">
        <w:rPr>
          <w:i/>
          <w:color w:val="7030A0"/>
        </w:rPr>
        <w:t>Assenov</w:t>
      </w:r>
      <w:proofErr w:type="spellEnd"/>
      <w:r w:rsidR="00923EC8" w:rsidRPr="00601C26">
        <w:rPr>
          <w:i/>
          <w:color w:val="7030A0"/>
        </w:rPr>
        <w:t xml:space="preserve"> and Others v Bulgaria</w:t>
      </w:r>
      <w:r w:rsidR="00923EC8" w:rsidRPr="00601C26">
        <w:rPr>
          <w:color w:val="7030A0"/>
        </w:rPr>
        <w:t xml:space="preserve"> (1998) ECHR 98, at para 102; </w:t>
      </w:r>
      <w:proofErr w:type="spellStart"/>
      <w:r w:rsidR="00923EC8" w:rsidRPr="00601C26">
        <w:rPr>
          <w:i/>
          <w:color w:val="7030A0"/>
        </w:rPr>
        <w:t>Mocanu</w:t>
      </w:r>
      <w:proofErr w:type="spellEnd"/>
      <w:r w:rsidR="00923EC8" w:rsidRPr="00601C26">
        <w:rPr>
          <w:i/>
          <w:color w:val="7030A0"/>
        </w:rPr>
        <w:t xml:space="preserve"> and Others v Romania </w:t>
      </w:r>
      <w:r w:rsidR="00923EC8" w:rsidRPr="00601C26">
        <w:rPr>
          <w:color w:val="7030A0"/>
        </w:rPr>
        <w:t>(2014) ECHR 958, at paras 319-325; Articles 12 and 14, UN Convention against Torture 1984; CAT/C/GC/2, ‘UN CAT Committee General Comment No 2’, 24 January 2008, at paras 5, 17, 18 and 25; CAT/C/GC/3, ‘UN Committee against Torture General Comment No 3’, 13 December 2012, at para 5.</w:t>
      </w:r>
    </w:p>
  </w:footnote>
  <w:footnote w:id="17">
    <w:p w14:paraId="3BE2EA6B" w14:textId="5DB2BD28" w:rsidR="00F971C1" w:rsidRPr="00601C26" w:rsidRDefault="00F971C1" w:rsidP="00E53F3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 xml:space="preserve">Hugh Jordan v </w:t>
      </w:r>
      <w:r w:rsidR="009918C1">
        <w:rPr>
          <w:i/>
          <w:color w:val="7030A0"/>
        </w:rPr>
        <w:t>UK</w:t>
      </w:r>
      <w:r w:rsidRPr="00601C26">
        <w:rPr>
          <w:color w:val="7030A0"/>
        </w:rPr>
        <w:t xml:space="preserve"> (2001) ECHR 327; </w:t>
      </w:r>
      <w:proofErr w:type="spellStart"/>
      <w:r w:rsidRPr="00601C26">
        <w:rPr>
          <w:i/>
          <w:color w:val="7030A0"/>
        </w:rPr>
        <w:t>McKerr</w:t>
      </w:r>
      <w:proofErr w:type="spellEnd"/>
      <w:r w:rsidRPr="00601C26">
        <w:rPr>
          <w:i/>
          <w:color w:val="7030A0"/>
        </w:rPr>
        <w:t xml:space="preserve"> v </w:t>
      </w:r>
      <w:r w:rsidR="009918C1">
        <w:rPr>
          <w:i/>
          <w:color w:val="7030A0"/>
        </w:rPr>
        <w:t>UK</w:t>
      </w:r>
      <w:r w:rsidRPr="00601C26">
        <w:rPr>
          <w:color w:val="7030A0"/>
        </w:rPr>
        <w:t xml:space="preserve"> (2001) ECHR 329; </w:t>
      </w:r>
      <w:proofErr w:type="spellStart"/>
      <w:r w:rsidRPr="00601C26">
        <w:rPr>
          <w:i/>
          <w:color w:val="7030A0"/>
        </w:rPr>
        <w:t>Assenov</w:t>
      </w:r>
      <w:proofErr w:type="spellEnd"/>
      <w:r w:rsidRPr="00601C26">
        <w:rPr>
          <w:i/>
          <w:color w:val="7030A0"/>
        </w:rPr>
        <w:t xml:space="preserve"> and Others v Bulgaria</w:t>
      </w:r>
      <w:r w:rsidRPr="00601C26">
        <w:rPr>
          <w:color w:val="7030A0"/>
        </w:rPr>
        <w:t xml:space="preserve"> (1998) ECHR 98, at para 102; </w:t>
      </w:r>
      <w:proofErr w:type="spellStart"/>
      <w:r w:rsidRPr="00601C26">
        <w:rPr>
          <w:i/>
          <w:color w:val="7030A0"/>
        </w:rPr>
        <w:t>Mocanu</w:t>
      </w:r>
      <w:proofErr w:type="spellEnd"/>
      <w:r w:rsidRPr="00601C26">
        <w:rPr>
          <w:i/>
          <w:color w:val="7030A0"/>
        </w:rPr>
        <w:t xml:space="preserve"> and Others v Romania </w:t>
      </w:r>
      <w:r w:rsidRPr="00601C26">
        <w:rPr>
          <w:color w:val="7030A0"/>
        </w:rPr>
        <w:t>(2014) ECHR 958, at paras 319-325</w:t>
      </w:r>
      <w:r w:rsidR="00972239" w:rsidRPr="00601C26">
        <w:rPr>
          <w:color w:val="7030A0"/>
        </w:rPr>
        <w:t>; CCPR/C/GC/36, ‘UN Human Rights Committee General Comment No 36: Right to Life’, 30 October 2018, at para</w:t>
      </w:r>
      <w:r w:rsidR="008F67F9" w:rsidRPr="00601C26">
        <w:rPr>
          <w:color w:val="7030A0"/>
        </w:rPr>
        <w:t>s</w:t>
      </w:r>
      <w:r w:rsidR="00972239" w:rsidRPr="00601C26">
        <w:rPr>
          <w:color w:val="7030A0"/>
        </w:rPr>
        <w:t xml:space="preserve"> 27</w:t>
      </w:r>
      <w:r w:rsidR="008F67F9" w:rsidRPr="00601C26">
        <w:rPr>
          <w:color w:val="7030A0"/>
        </w:rPr>
        <w:t xml:space="preserve"> and 28</w:t>
      </w:r>
      <w:r w:rsidR="00984FE1" w:rsidRPr="00601C26">
        <w:rPr>
          <w:color w:val="7030A0"/>
        </w:rPr>
        <w:t>; CAT/C/GC/3, ‘UN Committee against Torture General Comment No 3’, 13 December 2012, at para 5</w:t>
      </w:r>
      <w:r w:rsidR="008600CF" w:rsidRPr="00601C26">
        <w:rPr>
          <w:color w:val="7030A0"/>
        </w:rPr>
        <w:t>; UN General Assembly, ‘Resolution 60/147: Basic Principles and Guidelines on the Right to a Remedy and Reparation for Victims of Gross Violations of International Human Rights Law and Serious Violations of International Humanitarian Law’, 16 December 2005, at para 3(b).</w:t>
      </w:r>
    </w:p>
  </w:footnote>
  <w:footnote w:id="18">
    <w:p w14:paraId="5F5FB995" w14:textId="0275E942" w:rsidR="00A1648D" w:rsidRPr="00601C26" w:rsidRDefault="00A1648D" w:rsidP="00E53F38">
      <w:pPr>
        <w:pStyle w:val="NIHRCFootnotes"/>
        <w:rPr>
          <w:color w:val="7030A0"/>
        </w:rPr>
      </w:pPr>
      <w:r w:rsidRPr="00601C26">
        <w:rPr>
          <w:rStyle w:val="FootnoteReference"/>
          <w:color w:val="7030A0"/>
        </w:rPr>
        <w:footnoteRef/>
      </w:r>
      <w:r w:rsidRPr="00601C26">
        <w:rPr>
          <w:color w:val="7030A0"/>
        </w:rPr>
        <w:t xml:space="preserve"> UK Government, ‘NI Troubles (Legacy and Reconciliation) Bill: Explanatory Notes’ (UK Gov, 2022), at para 1.</w:t>
      </w:r>
    </w:p>
  </w:footnote>
  <w:footnote w:id="19">
    <w:p w14:paraId="4D480618" w14:textId="77777777" w:rsidR="00D3053A" w:rsidRPr="00601C26" w:rsidRDefault="00D3053A" w:rsidP="00E53F38">
      <w:pPr>
        <w:pStyle w:val="NIHRCFootnotes"/>
        <w:rPr>
          <w:color w:val="7030A0"/>
        </w:rPr>
      </w:pPr>
      <w:r w:rsidRPr="00601C26">
        <w:rPr>
          <w:rStyle w:val="FootnoteReference"/>
          <w:color w:val="7030A0"/>
        </w:rPr>
        <w:footnoteRef/>
      </w:r>
      <w:r w:rsidRPr="00601C26">
        <w:rPr>
          <w:color w:val="7030A0"/>
        </w:rPr>
        <w:t xml:space="preserve"> E/CN.4/2005/102/Add.1, ‘Report of the Independent Expert to Update the Set of Principles to Combat Impunity, Diane </w:t>
      </w:r>
      <w:proofErr w:type="spellStart"/>
      <w:r w:rsidRPr="00601C26">
        <w:rPr>
          <w:color w:val="7030A0"/>
        </w:rPr>
        <w:t>Orentlicher</w:t>
      </w:r>
      <w:proofErr w:type="spellEnd"/>
      <w:r w:rsidRPr="00601C26">
        <w:rPr>
          <w:color w:val="7030A0"/>
        </w:rPr>
        <w:t>’, 8 February 2005, at Principle 1.</w:t>
      </w:r>
    </w:p>
  </w:footnote>
  <w:footnote w:id="20">
    <w:p w14:paraId="4832F53F" w14:textId="77777777" w:rsidR="00732479" w:rsidRPr="00601C26" w:rsidRDefault="00732479" w:rsidP="00E53F3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Kaya v Turkey</w:t>
      </w:r>
      <w:r w:rsidRPr="00601C26">
        <w:rPr>
          <w:color w:val="7030A0"/>
        </w:rPr>
        <w:t xml:space="preserve"> (1998) ECHR 10, at para 87.</w:t>
      </w:r>
    </w:p>
  </w:footnote>
  <w:footnote w:id="21">
    <w:p w14:paraId="65F741C2" w14:textId="3EB19F0C" w:rsidR="00732479" w:rsidRPr="00601C26" w:rsidRDefault="00732479" w:rsidP="00E53F38">
      <w:pPr>
        <w:pStyle w:val="NIHRCFootnotes"/>
        <w:rPr>
          <w:color w:val="7030A0"/>
        </w:rPr>
      </w:pPr>
      <w:r w:rsidRPr="00601C26">
        <w:rPr>
          <w:rStyle w:val="FootnoteReference"/>
          <w:color w:val="7030A0"/>
        </w:rPr>
        <w:footnoteRef/>
      </w:r>
      <w:r w:rsidRPr="00601C26">
        <w:rPr>
          <w:color w:val="7030A0"/>
        </w:rPr>
        <w:t xml:space="preserve"> </w:t>
      </w:r>
      <w:r w:rsidR="0045160F" w:rsidRPr="0045160F">
        <w:rPr>
          <w:iCs/>
          <w:color w:val="7030A0"/>
        </w:rPr>
        <w:t>Ibid</w:t>
      </w:r>
      <w:r w:rsidRPr="00601C26">
        <w:rPr>
          <w:color w:val="7030A0"/>
        </w:rPr>
        <w:t>, at paras 106-107.</w:t>
      </w:r>
    </w:p>
  </w:footnote>
  <w:footnote w:id="22">
    <w:p w14:paraId="59A2A171" w14:textId="2F2A503E" w:rsidR="00732479" w:rsidRPr="00601C26" w:rsidRDefault="00732479"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00B375EF" w:rsidRPr="00601C26">
        <w:rPr>
          <w:i/>
          <w:color w:val="7030A0"/>
        </w:rPr>
        <w:t>Assenov</w:t>
      </w:r>
      <w:proofErr w:type="spellEnd"/>
      <w:r w:rsidR="00B375EF" w:rsidRPr="00601C26">
        <w:rPr>
          <w:i/>
          <w:color w:val="7030A0"/>
        </w:rPr>
        <w:t xml:space="preserve"> and Others v Bulgaria</w:t>
      </w:r>
      <w:r w:rsidR="00B375EF" w:rsidRPr="00601C26">
        <w:rPr>
          <w:color w:val="7030A0"/>
        </w:rPr>
        <w:t xml:space="preserve"> (1998) ECHR 98, at para 102</w:t>
      </w:r>
      <w:r w:rsidR="009D2972" w:rsidRPr="00601C26">
        <w:rPr>
          <w:color w:val="7030A0"/>
        </w:rPr>
        <w:t xml:space="preserve">; </w:t>
      </w:r>
      <w:proofErr w:type="spellStart"/>
      <w:r w:rsidR="009D2972" w:rsidRPr="00601C26">
        <w:rPr>
          <w:i/>
          <w:color w:val="7030A0"/>
        </w:rPr>
        <w:t>Mocanu</w:t>
      </w:r>
      <w:proofErr w:type="spellEnd"/>
      <w:r w:rsidR="009D2972" w:rsidRPr="00601C26">
        <w:rPr>
          <w:i/>
          <w:color w:val="7030A0"/>
        </w:rPr>
        <w:t xml:space="preserve"> and Others v Romania </w:t>
      </w:r>
      <w:r w:rsidR="009D2972" w:rsidRPr="00601C26">
        <w:rPr>
          <w:color w:val="7030A0"/>
        </w:rPr>
        <w:t>(2014) ECHR 958, at paras 319-325</w:t>
      </w:r>
      <w:r w:rsidR="00D842C1" w:rsidRPr="00601C26">
        <w:rPr>
          <w:color w:val="7030A0"/>
        </w:rPr>
        <w:t xml:space="preserve">; </w:t>
      </w:r>
      <w:r w:rsidR="006853E3" w:rsidRPr="00601C26">
        <w:rPr>
          <w:color w:val="7030A0"/>
        </w:rPr>
        <w:t xml:space="preserve">Articles 12 and 14, UN Convention against Torture 1984; </w:t>
      </w:r>
      <w:r w:rsidR="00BC50F0" w:rsidRPr="00601C26">
        <w:rPr>
          <w:color w:val="7030A0"/>
        </w:rPr>
        <w:t>CAT/C/GC/2, ‘UN CAT Committee General Comment No 2’, 24 January 2008, at paras 5</w:t>
      </w:r>
      <w:r w:rsidR="009C23D6" w:rsidRPr="00601C26">
        <w:rPr>
          <w:color w:val="7030A0"/>
        </w:rPr>
        <w:t>, 17, 18 and 25</w:t>
      </w:r>
      <w:r w:rsidR="0012273C" w:rsidRPr="00601C26">
        <w:rPr>
          <w:color w:val="7030A0"/>
        </w:rPr>
        <w:t>; CAT/C/GC/3, ‘UN Committee against Torture General Comment No 3’, 13 December 2012, at para 5.</w:t>
      </w:r>
    </w:p>
  </w:footnote>
  <w:footnote w:id="23">
    <w:p w14:paraId="4F185074" w14:textId="77777777" w:rsidR="00732479" w:rsidRPr="00601C26" w:rsidRDefault="00732479"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iCs/>
          <w:color w:val="7030A0"/>
        </w:rPr>
        <w:t>Avsar</w:t>
      </w:r>
      <w:proofErr w:type="spellEnd"/>
      <w:r w:rsidRPr="00601C26">
        <w:rPr>
          <w:i/>
          <w:iCs/>
          <w:color w:val="7030A0"/>
        </w:rPr>
        <w:t xml:space="preserve"> v Turkey</w:t>
      </w:r>
      <w:r w:rsidRPr="00601C26">
        <w:rPr>
          <w:color w:val="7030A0"/>
        </w:rPr>
        <w:t xml:space="preserve"> (2001) ECHR 439.</w:t>
      </w:r>
    </w:p>
  </w:footnote>
  <w:footnote w:id="24">
    <w:p w14:paraId="72D35B43" w14:textId="77777777" w:rsidR="00732479" w:rsidRPr="00601C26" w:rsidRDefault="00732479" w:rsidP="00E53F3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Sirin Yilmaz v Turkey</w:t>
      </w:r>
      <w:r w:rsidRPr="00601C26">
        <w:rPr>
          <w:color w:val="7030A0"/>
        </w:rPr>
        <w:t xml:space="preserve"> (2004) ECHR 405, at para 86.</w:t>
      </w:r>
    </w:p>
  </w:footnote>
  <w:footnote w:id="25">
    <w:p w14:paraId="31611379" w14:textId="77777777" w:rsidR="00732479" w:rsidRPr="00601C26" w:rsidRDefault="00732479"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color w:val="7030A0"/>
        </w:rPr>
        <w:t>Velikova</w:t>
      </w:r>
      <w:proofErr w:type="spellEnd"/>
      <w:r w:rsidRPr="00601C26">
        <w:rPr>
          <w:i/>
          <w:color w:val="7030A0"/>
        </w:rPr>
        <w:t xml:space="preserve"> v Bulgaria</w:t>
      </w:r>
      <w:r w:rsidRPr="00601C26">
        <w:rPr>
          <w:color w:val="7030A0"/>
        </w:rPr>
        <w:t xml:space="preserve"> (2000) ECHR 198, at para 80.</w:t>
      </w:r>
    </w:p>
  </w:footnote>
  <w:footnote w:id="26">
    <w:p w14:paraId="7434E5CA" w14:textId="77777777" w:rsidR="00732479" w:rsidRPr="00601C26" w:rsidRDefault="00732479" w:rsidP="00E53F38">
      <w:pPr>
        <w:pStyle w:val="NIHRCFootnotes"/>
        <w:rPr>
          <w:color w:val="7030A0"/>
        </w:rPr>
      </w:pPr>
      <w:r w:rsidRPr="00601C26">
        <w:rPr>
          <w:rStyle w:val="FootnoteReference"/>
          <w:color w:val="7030A0"/>
        </w:rPr>
        <w:footnoteRef/>
      </w:r>
      <w:r w:rsidRPr="00601C26">
        <w:rPr>
          <w:color w:val="7030A0"/>
        </w:rPr>
        <w:t xml:space="preserve"> CCPR/C/GC/36, ‘UN Human Rights Committee General Comment No 36: Right to Life’, 30 October 2018, at para 27.</w:t>
      </w:r>
    </w:p>
  </w:footnote>
  <w:footnote w:id="27">
    <w:p w14:paraId="2C60789C" w14:textId="475D6DCA" w:rsidR="00732479" w:rsidRPr="00601C26" w:rsidRDefault="00732479" w:rsidP="00E53F38">
      <w:pPr>
        <w:pStyle w:val="NIHRCFootnotes"/>
        <w:rPr>
          <w:color w:val="7030A0"/>
        </w:rPr>
      </w:pPr>
      <w:r w:rsidRPr="00601C26">
        <w:rPr>
          <w:rStyle w:val="FootnoteReference"/>
          <w:color w:val="7030A0"/>
        </w:rPr>
        <w:footnoteRef/>
      </w:r>
      <w:r w:rsidRPr="00601C26">
        <w:rPr>
          <w:color w:val="7030A0"/>
        </w:rPr>
        <w:t xml:space="preserve"> </w:t>
      </w:r>
      <w:r w:rsidR="0045160F">
        <w:rPr>
          <w:color w:val="7030A0"/>
        </w:rPr>
        <w:t>Ibid</w:t>
      </w:r>
      <w:r w:rsidRPr="00601C26">
        <w:rPr>
          <w:color w:val="7030A0"/>
        </w:rPr>
        <w:t>.</w:t>
      </w:r>
    </w:p>
  </w:footnote>
  <w:footnote w:id="28">
    <w:p w14:paraId="0BFFC6D3" w14:textId="63892F50" w:rsidR="00732479" w:rsidRPr="00601C26" w:rsidRDefault="00732479" w:rsidP="00E53F38">
      <w:pPr>
        <w:pStyle w:val="NIHRCFootnotes"/>
        <w:rPr>
          <w:color w:val="7030A0"/>
        </w:rPr>
      </w:pPr>
      <w:r w:rsidRPr="00601C26">
        <w:rPr>
          <w:rStyle w:val="FootnoteReference"/>
          <w:color w:val="7030A0"/>
        </w:rPr>
        <w:footnoteRef/>
      </w:r>
      <w:r w:rsidRPr="00601C26">
        <w:rPr>
          <w:color w:val="7030A0"/>
        </w:rPr>
        <w:t xml:space="preserve"> </w:t>
      </w:r>
      <w:r w:rsidR="0045160F">
        <w:rPr>
          <w:color w:val="7030A0"/>
        </w:rPr>
        <w:t>Ibid</w:t>
      </w:r>
      <w:r w:rsidRPr="00601C26">
        <w:rPr>
          <w:color w:val="7030A0"/>
        </w:rPr>
        <w:t>, at para 28.</w:t>
      </w:r>
    </w:p>
  </w:footnote>
  <w:footnote w:id="29">
    <w:p w14:paraId="3AE3F26F" w14:textId="49A0F9F5" w:rsidR="00517797" w:rsidRPr="00601C26" w:rsidRDefault="00517797" w:rsidP="00E53F38">
      <w:pPr>
        <w:pStyle w:val="NIHRCFootnotes"/>
        <w:rPr>
          <w:color w:val="7030A0"/>
        </w:rPr>
      </w:pPr>
      <w:r w:rsidRPr="00601C26">
        <w:rPr>
          <w:rStyle w:val="FootnoteReference"/>
          <w:color w:val="7030A0"/>
        </w:rPr>
        <w:footnoteRef/>
      </w:r>
      <w:r w:rsidRPr="00601C26">
        <w:rPr>
          <w:color w:val="7030A0"/>
        </w:rPr>
        <w:t xml:space="preserve"> Article</w:t>
      </w:r>
      <w:r w:rsidR="00A170F5" w:rsidRPr="00601C26">
        <w:rPr>
          <w:color w:val="7030A0"/>
        </w:rPr>
        <w:t>s</w:t>
      </w:r>
      <w:r w:rsidRPr="00601C26">
        <w:rPr>
          <w:color w:val="7030A0"/>
        </w:rPr>
        <w:t xml:space="preserve"> 2</w:t>
      </w:r>
      <w:r w:rsidR="00A170F5" w:rsidRPr="00601C26">
        <w:rPr>
          <w:color w:val="7030A0"/>
        </w:rPr>
        <w:t xml:space="preserve"> and 15(2)</w:t>
      </w:r>
      <w:r w:rsidRPr="00601C26">
        <w:rPr>
          <w:color w:val="7030A0"/>
        </w:rPr>
        <w:t>, European Convention on Human Rights 1950</w:t>
      </w:r>
      <w:r w:rsidR="00D766B5" w:rsidRPr="00601C26">
        <w:rPr>
          <w:color w:val="7030A0"/>
        </w:rPr>
        <w:t>; Article 6, UN International Covenant on Civil and Political Rights 1966; Article 6, UN Convention on the Rights of the Child 1989; Article 10, UN Convention on the Rights of Persons with Disabilities 2006.</w:t>
      </w:r>
    </w:p>
  </w:footnote>
  <w:footnote w:id="30">
    <w:p w14:paraId="6A9792F5" w14:textId="54B61264" w:rsidR="00014ACD" w:rsidRPr="00601C26" w:rsidRDefault="00014ACD" w:rsidP="00E53F38">
      <w:pPr>
        <w:pStyle w:val="NIHRCFootnotes"/>
        <w:rPr>
          <w:color w:val="7030A0"/>
        </w:rPr>
      </w:pPr>
      <w:r w:rsidRPr="00601C26">
        <w:rPr>
          <w:rStyle w:val="FootnoteReference"/>
          <w:color w:val="7030A0"/>
        </w:rPr>
        <w:footnoteRef/>
      </w:r>
      <w:r w:rsidRPr="00601C26">
        <w:rPr>
          <w:color w:val="7030A0"/>
        </w:rPr>
        <w:t xml:space="preserve"> Article</w:t>
      </w:r>
      <w:r w:rsidR="00A170F5" w:rsidRPr="00601C26">
        <w:rPr>
          <w:color w:val="7030A0"/>
        </w:rPr>
        <w:t>s</w:t>
      </w:r>
      <w:r w:rsidRPr="00601C26">
        <w:rPr>
          <w:color w:val="7030A0"/>
        </w:rPr>
        <w:t xml:space="preserve"> 3</w:t>
      </w:r>
      <w:r w:rsidR="00A170F5" w:rsidRPr="00601C26">
        <w:rPr>
          <w:color w:val="7030A0"/>
        </w:rPr>
        <w:t xml:space="preserve"> and 15(2)</w:t>
      </w:r>
      <w:r w:rsidRPr="00601C26">
        <w:rPr>
          <w:color w:val="7030A0"/>
        </w:rPr>
        <w:t>, European Convention on Human Rights 1950</w:t>
      </w:r>
      <w:r w:rsidR="00A170F5" w:rsidRPr="00601C26">
        <w:rPr>
          <w:color w:val="7030A0"/>
        </w:rPr>
        <w:t>; Article 7, UN International Covenant on Civil and Political Rights 1966; Article 2(1), UN Convention against Torture 1984; Article 37(a), UN Convention on the Rights of the Child 1989; Article 15, UN Convention on the Rights of Persons with Disabilities 2006.</w:t>
      </w:r>
    </w:p>
  </w:footnote>
  <w:footnote w:id="31">
    <w:p w14:paraId="0032578D" w14:textId="77777777" w:rsidR="00692626" w:rsidRPr="00601C26" w:rsidRDefault="00692626" w:rsidP="00E53F38">
      <w:pPr>
        <w:pStyle w:val="NIHRCFootnotes"/>
        <w:rPr>
          <w:color w:val="7030A0"/>
        </w:rPr>
      </w:pPr>
      <w:r w:rsidRPr="00601C26">
        <w:rPr>
          <w:rStyle w:val="FootnoteReference"/>
          <w:color w:val="7030A0"/>
        </w:rPr>
        <w:footnoteRef/>
      </w:r>
      <w:r w:rsidRPr="00601C26">
        <w:rPr>
          <w:color w:val="7030A0"/>
        </w:rPr>
        <w:t xml:space="preserve"> UN Office of the High Commissioner for Human Rights, ‘The Minnesota Protocol on the Investigation of Potentially Unlawful Death: The Revised UN Manual on the Effective Prevention and Investigation of Extra-legal, Arbitrary and Summary Executions’ (OHCHR, 2016), at para 8(c).</w:t>
      </w:r>
    </w:p>
  </w:footnote>
  <w:footnote w:id="32">
    <w:p w14:paraId="6E7B516F" w14:textId="40F37813" w:rsidR="00732479" w:rsidRPr="00601C26" w:rsidRDefault="00732479" w:rsidP="00E53F38">
      <w:pPr>
        <w:pStyle w:val="NIHRCFootnotes"/>
        <w:rPr>
          <w:color w:val="7030A0"/>
        </w:rPr>
      </w:pPr>
      <w:r w:rsidRPr="00601C26">
        <w:rPr>
          <w:rStyle w:val="FootnoteReference"/>
          <w:color w:val="7030A0"/>
        </w:rPr>
        <w:footnoteRef/>
      </w:r>
      <w:r w:rsidRPr="00601C26">
        <w:rPr>
          <w:color w:val="7030A0"/>
        </w:rPr>
        <w:t xml:space="preserve"> </w:t>
      </w:r>
      <w:r w:rsidR="0045160F">
        <w:rPr>
          <w:color w:val="7030A0"/>
        </w:rPr>
        <w:t>Ibid</w:t>
      </w:r>
      <w:r w:rsidRPr="00601C26">
        <w:rPr>
          <w:color w:val="7030A0"/>
        </w:rPr>
        <w:t>, at para 24.</w:t>
      </w:r>
    </w:p>
  </w:footnote>
  <w:footnote w:id="33">
    <w:p w14:paraId="0BF005CA" w14:textId="77777777" w:rsidR="00732479" w:rsidRPr="00601C26" w:rsidRDefault="00732479" w:rsidP="00E53F38">
      <w:pPr>
        <w:pStyle w:val="NIHRCFootnotes"/>
        <w:rPr>
          <w:color w:val="7030A0"/>
        </w:rPr>
      </w:pPr>
      <w:r w:rsidRPr="00601C26">
        <w:rPr>
          <w:rStyle w:val="FootnoteReference"/>
          <w:color w:val="7030A0"/>
        </w:rPr>
        <w:footnoteRef/>
      </w:r>
      <w:r w:rsidRPr="00601C26">
        <w:rPr>
          <w:color w:val="7030A0"/>
        </w:rPr>
        <w:t xml:space="preserve"> UN Economic and Social Council, ‘Resolution 1989/65: Principles on the Effective Prevention and Investigation of Extra-legal, Arbitrary and Summary Executions’, 24 May 1989, at para 9.</w:t>
      </w:r>
    </w:p>
  </w:footnote>
  <w:footnote w:id="34">
    <w:p w14:paraId="39F61627" w14:textId="77777777" w:rsidR="00F422AA" w:rsidRPr="00601C26" w:rsidRDefault="00F422AA" w:rsidP="00E53F38">
      <w:pPr>
        <w:pStyle w:val="NIHRCFootnotes"/>
        <w:rPr>
          <w:color w:val="7030A0"/>
        </w:rPr>
      </w:pPr>
      <w:r w:rsidRPr="00601C26">
        <w:rPr>
          <w:rStyle w:val="FootnoteReference"/>
          <w:color w:val="7030A0"/>
        </w:rPr>
        <w:footnoteRef/>
      </w:r>
      <w:r w:rsidRPr="00601C26">
        <w:rPr>
          <w:color w:val="7030A0"/>
        </w:rPr>
        <w:t xml:space="preserve"> E/CN.4/2006/91, ‘Study on the Right to the Truth: Report of the Office of the United Nations High Commissioner for Human Rights’, 8 February 2006, at Summary.</w:t>
      </w:r>
    </w:p>
  </w:footnote>
  <w:footnote w:id="35">
    <w:p w14:paraId="30BCB8DA" w14:textId="77777777" w:rsidR="00F422AA" w:rsidRPr="00601C26" w:rsidRDefault="00F422AA" w:rsidP="00E53F38">
      <w:pPr>
        <w:pStyle w:val="NIHRCFootnotes"/>
        <w:rPr>
          <w:color w:val="7030A0"/>
        </w:rPr>
      </w:pPr>
      <w:r w:rsidRPr="00601C26">
        <w:rPr>
          <w:rStyle w:val="FootnoteReference"/>
          <w:color w:val="7030A0"/>
        </w:rPr>
        <w:footnoteRef/>
      </w:r>
      <w:r w:rsidRPr="00601C26">
        <w:rPr>
          <w:color w:val="7030A0"/>
        </w:rPr>
        <w:t xml:space="preserve"> A/HRC/34/62/Add.1, ‘Report of the Special Rapporteur on the Promotion of Truth, Justice, Reparation and Guarantees of Non-recurrence, Pablo de </w:t>
      </w:r>
      <w:proofErr w:type="spellStart"/>
      <w:r w:rsidRPr="00601C26">
        <w:rPr>
          <w:color w:val="7030A0"/>
        </w:rPr>
        <w:t>Greiff</w:t>
      </w:r>
      <w:proofErr w:type="spellEnd"/>
      <w:r w:rsidRPr="00601C26">
        <w:rPr>
          <w:color w:val="7030A0"/>
        </w:rPr>
        <w:t xml:space="preserve"> on his Mission to the UK of Great Britain and NI’, 17 November 2016, at para 125.</w:t>
      </w:r>
    </w:p>
  </w:footnote>
  <w:footnote w:id="36">
    <w:p w14:paraId="62C5630D" w14:textId="5840E314" w:rsidR="00DC601B" w:rsidRPr="00601C26" w:rsidRDefault="00DC601B" w:rsidP="00E53F38">
      <w:pPr>
        <w:pStyle w:val="NIHRCFootnotes"/>
        <w:rPr>
          <w:color w:val="7030A0"/>
        </w:rPr>
      </w:pPr>
      <w:r w:rsidRPr="00601C26">
        <w:rPr>
          <w:rStyle w:val="FootnoteReference"/>
          <w:color w:val="7030A0"/>
        </w:rPr>
        <w:footnoteRef/>
      </w:r>
      <w:r w:rsidRPr="00601C26">
        <w:rPr>
          <w:color w:val="7030A0"/>
        </w:rPr>
        <w:t xml:space="preserve"> </w:t>
      </w:r>
      <w:r w:rsidR="00BD5358">
        <w:rPr>
          <w:color w:val="7030A0"/>
        </w:rPr>
        <w:t>Ibid</w:t>
      </w:r>
      <w:r w:rsidRPr="00601C26">
        <w:rPr>
          <w:color w:val="7030A0"/>
        </w:rPr>
        <w:t>, at para 55.</w:t>
      </w:r>
    </w:p>
  </w:footnote>
  <w:footnote w:id="37">
    <w:p w14:paraId="67A5D8BA" w14:textId="77777777" w:rsidR="00321106" w:rsidRPr="00601C26" w:rsidRDefault="00321106" w:rsidP="00E53F38">
      <w:pPr>
        <w:pStyle w:val="NIHRCFootnotes"/>
        <w:rPr>
          <w:color w:val="7030A0"/>
        </w:rPr>
      </w:pPr>
      <w:r w:rsidRPr="00601C26">
        <w:rPr>
          <w:rStyle w:val="FootnoteReference"/>
          <w:color w:val="7030A0"/>
        </w:rPr>
        <w:footnoteRef/>
      </w:r>
      <w:r w:rsidRPr="00601C26">
        <w:rPr>
          <w:color w:val="7030A0"/>
        </w:rPr>
        <w:t xml:space="preserve"> CCPR/C/GBR/CO/7, ‘UN Human Rights Committee Concluding Observations on the Seventh Periodic Report of the UK of Great Britain and NI’, 17 August 2015, at para 11(b).</w:t>
      </w:r>
    </w:p>
  </w:footnote>
  <w:footnote w:id="38">
    <w:p w14:paraId="2A12C5AD" w14:textId="77777777" w:rsidR="002F0472" w:rsidRPr="00601C26" w:rsidRDefault="002F0472" w:rsidP="00E53F38">
      <w:pPr>
        <w:pStyle w:val="NIHRCFootnotes"/>
        <w:rPr>
          <w:color w:val="7030A0"/>
        </w:rPr>
      </w:pPr>
      <w:r w:rsidRPr="00601C26">
        <w:rPr>
          <w:rStyle w:val="FootnoteReference"/>
          <w:color w:val="7030A0"/>
        </w:rPr>
        <w:footnoteRef/>
      </w:r>
      <w:r w:rsidRPr="00601C26">
        <w:rPr>
          <w:color w:val="7030A0"/>
        </w:rPr>
        <w:t xml:space="preserve"> CAT/C/GBR/CO/6, ‘UN Committee against Torture Concluding Observations on the Sixth Periodic Report of the UK of Great Britain and NI’, 7 June 2019, at paras 41(a) and 41(b).</w:t>
      </w:r>
    </w:p>
  </w:footnote>
  <w:footnote w:id="39">
    <w:p w14:paraId="60784377" w14:textId="5477A817" w:rsidR="00321106" w:rsidRPr="00601C26" w:rsidRDefault="00321106" w:rsidP="00E53F38">
      <w:pPr>
        <w:pStyle w:val="NIHRCFootnotes"/>
        <w:rPr>
          <w:color w:val="7030A0"/>
        </w:rPr>
      </w:pPr>
      <w:r w:rsidRPr="00601C26">
        <w:rPr>
          <w:rStyle w:val="FootnoteReference"/>
          <w:color w:val="7030A0"/>
        </w:rPr>
        <w:footnoteRef/>
      </w:r>
      <w:r w:rsidRPr="00601C26">
        <w:rPr>
          <w:color w:val="7030A0"/>
        </w:rPr>
        <w:t xml:space="preserve"> A/HRC/34/62/Add.1, ‘Report of the Special Rapporteur on the Promotion of Truth, Justice, Reparation and Guarantees of Non-recurrence, Pablo de </w:t>
      </w:r>
      <w:proofErr w:type="spellStart"/>
      <w:r w:rsidRPr="00601C26">
        <w:rPr>
          <w:color w:val="7030A0"/>
        </w:rPr>
        <w:t>Greiff</w:t>
      </w:r>
      <w:proofErr w:type="spellEnd"/>
      <w:r w:rsidRPr="00601C26">
        <w:rPr>
          <w:color w:val="7030A0"/>
        </w:rPr>
        <w:t xml:space="preserve"> on his Mission to the UK of Great Britain and NI’, 17 November 2016, at para 39</w:t>
      </w:r>
      <w:r w:rsidR="00DB4A20" w:rsidRPr="00601C26">
        <w:rPr>
          <w:color w:val="7030A0"/>
        </w:rPr>
        <w:t xml:space="preserve">; </w:t>
      </w:r>
      <w:r w:rsidR="00803626" w:rsidRPr="00601C26">
        <w:rPr>
          <w:color w:val="7030A0"/>
        </w:rPr>
        <w:t>Office of the High Commissioner for Human Rights, ‘Press Release: UN experts voice concern at proposed blanket impunity to address legacy of “the Troubles” in NI, 10 August 2021.</w:t>
      </w:r>
    </w:p>
  </w:footnote>
  <w:footnote w:id="40">
    <w:p w14:paraId="7B056254" w14:textId="293EB143" w:rsidR="005B0D8D" w:rsidRPr="00601C26" w:rsidRDefault="005B0D8D" w:rsidP="00E53F38">
      <w:pPr>
        <w:pStyle w:val="NIHRCFootnotes"/>
        <w:rPr>
          <w:color w:val="7030A0"/>
        </w:rPr>
      </w:pPr>
      <w:r w:rsidRPr="00601C26">
        <w:rPr>
          <w:rStyle w:val="FootnoteReference"/>
          <w:color w:val="7030A0"/>
        </w:rPr>
        <w:footnoteRef/>
      </w:r>
      <w:r w:rsidRPr="00601C26">
        <w:rPr>
          <w:color w:val="7030A0"/>
        </w:rPr>
        <w:t xml:space="preserve"> Letter from </w:t>
      </w:r>
      <w:proofErr w:type="spellStart"/>
      <w:r w:rsidRPr="00601C26">
        <w:rPr>
          <w:color w:val="7030A0"/>
        </w:rPr>
        <w:t>CoE</w:t>
      </w:r>
      <w:proofErr w:type="spellEnd"/>
      <w:r w:rsidRPr="00601C26">
        <w:rPr>
          <w:color w:val="7030A0"/>
        </w:rPr>
        <w:t xml:space="preserve"> Commissioner for Human Rights, </w:t>
      </w:r>
      <w:proofErr w:type="spellStart"/>
      <w:r w:rsidR="00F21485" w:rsidRPr="00601C26">
        <w:rPr>
          <w:color w:val="7030A0"/>
        </w:rPr>
        <w:t>Dunja</w:t>
      </w:r>
      <w:proofErr w:type="spellEnd"/>
      <w:r w:rsidR="00F21485" w:rsidRPr="00601C26">
        <w:rPr>
          <w:color w:val="7030A0"/>
        </w:rPr>
        <w:t xml:space="preserve"> </w:t>
      </w:r>
      <w:proofErr w:type="spellStart"/>
      <w:r w:rsidR="00F21485" w:rsidRPr="00601C26">
        <w:rPr>
          <w:color w:val="7030A0"/>
        </w:rPr>
        <w:t>Mijatovic</w:t>
      </w:r>
      <w:proofErr w:type="spellEnd"/>
      <w:r w:rsidR="00F21485" w:rsidRPr="00601C26">
        <w:rPr>
          <w:color w:val="7030A0"/>
        </w:rPr>
        <w:t xml:space="preserve"> to Secretary of State for NI, Brandon Lewis MP, 13 September 2021.</w:t>
      </w:r>
    </w:p>
  </w:footnote>
  <w:footnote w:id="41">
    <w:p w14:paraId="2941E50F" w14:textId="190AFEBA" w:rsidR="008E2E39" w:rsidRPr="00601C26" w:rsidRDefault="008E2E39" w:rsidP="00E53F38">
      <w:pPr>
        <w:pStyle w:val="NIHRCFootnotes"/>
        <w:rPr>
          <w:color w:val="7030A0"/>
        </w:rPr>
      </w:pPr>
      <w:r w:rsidRPr="00601C26">
        <w:rPr>
          <w:rStyle w:val="FootnoteReference"/>
          <w:color w:val="7030A0"/>
        </w:rPr>
        <w:footnoteRef/>
      </w:r>
      <w:r w:rsidRPr="00601C26">
        <w:rPr>
          <w:color w:val="7030A0"/>
        </w:rPr>
        <w:t xml:space="preserve"> </w:t>
      </w:r>
      <w:r w:rsidR="00B07CE4" w:rsidRPr="00601C26">
        <w:rPr>
          <w:color w:val="7030A0"/>
        </w:rPr>
        <w:t xml:space="preserve">CAT/C/GBR/CO/6, ‘UN CAT Committee Concluding Observations on the Sixth Periodic Report of the UK of Great Britain and NI’, 7 June 2019, at </w:t>
      </w:r>
      <w:r w:rsidRPr="00601C26">
        <w:rPr>
          <w:color w:val="7030A0"/>
        </w:rPr>
        <w:t>para 41(c).</w:t>
      </w:r>
    </w:p>
  </w:footnote>
  <w:footnote w:id="42">
    <w:p w14:paraId="5162F480" w14:textId="46DC1850" w:rsidR="00DB4A20" w:rsidRPr="00601C26" w:rsidRDefault="00DB4A20" w:rsidP="00E53F38">
      <w:pPr>
        <w:pStyle w:val="NIHRCFootnotes"/>
        <w:rPr>
          <w:color w:val="7030A0"/>
        </w:rPr>
      </w:pPr>
      <w:r w:rsidRPr="00601C26">
        <w:rPr>
          <w:rStyle w:val="FootnoteReference"/>
          <w:color w:val="7030A0"/>
        </w:rPr>
        <w:footnoteRef/>
      </w:r>
      <w:r w:rsidRPr="00601C26">
        <w:rPr>
          <w:color w:val="7030A0"/>
        </w:rPr>
        <w:t xml:space="preserve"> Letter from </w:t>
      </w:r>
      <w:proofErr w:type="spellStart"/>
      <w:r w:rsidRPr="00601C26">
        <w:rPr>
          <w:color w:val="7030A0"/>
        </w:rPr>
        <w:t>CoE</w:t>
      </w:r>
      <w:proofErr w:type="spellEnd"/>
      <w:r w:rsidRPr="00601C26">
        <w:rPr>
          <w:color w:val="7030A0"/>
        </w:rPr>
        <w:t xml:space="preserve"> Commissioner for Human Rights, </w:t>
      </w:r>
      <w:proofErr w:type="spellStart"/>
      <w:r w:rsidRPr="00601C26">
        <w:rPr>
          <w:color w:val="7030A0"/>
        </w:rPr>
        <w:t>Dunja</w:t>
      </w:r>
      <w:proofErr w:type="spellEnd"/>
      <w:r w:rsidRPr="00601C26">
        <w:rPr>
          <w:color w:val="7030A0"/>
        </w:rPr>
        <w:t xml:space="preserve"> </w:t>
      </w:r>
      <w:proofErr w:type="spellStart"/>
      <w:r w:rsidRPr="00601C26">
        <w:rPr>
          <w:color w:val="7030A0"/>
        </w:rPr>
        <w:t>Mijatovic</w:t>
      </w:r>
      <w:proofErr w:type="spellEnd"/>
      <w:r w:rsidRPr="00601C26">
        <w:rPr>
          <w:color w:val="7030A0"/>
        </w:rPr>
        <w:t xml:space="preserve"> to Secretary of State for NI, Brandon Lewis MP, 13 September 2021</w:t>
      </w:r>
      <w:r w:rsidR="00E27C87" w:rsidRPr="00601C26">
        <w:rPr>
          <w:color w:val="7030A0"/>
        </w:rPr>
        <w:t>; Office of the High Commissioner for Human Rights, ‘Press Release: UN experts voice concern at proposed blanket impunity to address legacy of “the Troubles” in NI, 10 August 2021</w:t>
      </w:r>
      <w:r w:rsidR="009E3E06">
        <w:rPr>
          <w:color w:val="7030A0"/>
        </w:rPr>
        <w:t xml:space="preserve">; </w:t>
      </w:r>
      <w:proofErr w:type="spellStart"/>
      <w:r w:rsidR="009E3E06">
        <w:rPr>
          <w:color w:val="7030A0"/>
        </w:rPr>
        <w:t>CoE</w:t>
      </w:r>
      <w:proofErr w:type="spellEnd"/>
      <w:r w:rsidR="009E3E06">
        <w:rPr>
          <w:color w:val="7030A0"/>
        </w:rPr>
        <w:t xml:space="preserve"> Commissioner for Human Rights, ‘</w:t>
      </w:r>
      <w:r w:rsidR="00211282">
        <w:rPr>
          <w:color w:val="7030A0"/>
        </w:rPr>
        <w:t>Press Release: UK – Backsliding on human rights must be prevented’, 4 July 2022</w:t>
      </w:r>
      <w:r w:rsidR="0040385C">
        <w:rPr>
          <w:color w:val="7030A0"/>
        </w:rPr>
        <w:t>.</w:t>
      </w:r>
    </w:p>
  </w:footnote>
  <w:footnote w:id="43">
    <w:p w14:paraId="3F87655A" w14:textId="3FDDDE98" w:rsidR="00B1273E" w:rsidRPr="00601C26" w:rsidRDefault="00B1273E" w:rsidP="00E53F38">
      <w:pPr>
        <w:pStyle w:val="NIHRCFootnotes"/>
        <w:rPr>
          <w:color w:val="7030A0"/>
        </w:rPr>
      </w:pPr>
      <w:r w:rsidRPr="00601C26">
        <w:rPr>
          <w:rStyle w:val="FootnoteReference"/>
          <w:color w:val="7030A0"/>
        </w:rPr>
        <w:footnoteRef/>
      </w:r>
      <w:r w:rsidRPr="00601C26">
        <w:rPr>
          <w:color w:val="7030A0"/>
        </w:rPr>
        <w:t xml:space="preserve"> Clause</w:t>
      </w:r>
      <w:r w:rsidR="00931871" w:rsidRPr="00601C26">
        <w:rPr>
          <w:color w:val="7030A0"/>
        </w:rPr>
        <w:t>s</w:t>
      </w:r>
      <w:r w:rsidRPr="00601C26">
        <w:rPr>
          <w:color w:val="7030A0"/>
        </w:rPr>
        <w:t xml:space="preserve"> 2</w:t>
      </w:r>
      <w:r w:rsidR="00F93966" w:rsidRPr="00601C26">
        <w:rPr>
          <w:color w:val="7030A0"/>
        </w:rPr>
        <w:t>(3)</w:t>
      </w:r>
      <w:r w:rsidR="00931871" w:rsidRPr="00601C26">
        <w:rPr>
          <w:color w:val="7030A0"/>
        </w:rPr>
        <w:t xml:space="preserve"> and 3</w:t>
      </w:r>
      <w:r w:rsidRPr="00601C26">
        <w:rPr>
          <w:color w:val="7030A0"/>
        </w:rPr>
        <w:t>, NI Troubles (Legacy and Reconciliation) Bill.</w:t>
      </w:r>
    </w:p>
  </w:footnote>
  <w:footnote w:id="44">
    <w:p w14:paraId="4847FD0B" w14:textId="77777777" w:rsidR="00B1273E" w:rsidRPr="00601C26" w:rsidRDefault="00B1273E" w:rsidP="00E53F38">
      <w:pPr>
        <w:pStyle w:val="NIHRCFootnotes"/>
        <w:rPr>
          <w:color w:val="7030A0"/>
        </w:rPr>
      </w:pPr>
      <w:r w:rsidRPr="00601C26">
        <w:rPr>
          <w:rStyle w:val="FootnoteReference"/>
          <w:color w:val="7030A0"/>
        </w:rPr>
        <w:footnoteRef/>
      </w:r>
      <w:r w:rsidRPr="00601C26">
        <w:rPr>
          <w:color w:val="7030A0"/>
        </w:rPr>
        <w:t xml:space="preserve"> Clauses 9-17, NI Troubles (Legacy and Reconciliation) Bill.</w:t>
      </w:r>
    </w:p>
  </w:footnote>
  <w:footnote w:id="45">
    <w:p w14:paraId="41A7B3BF" w14:textId="417B9337" w:rsidR="00B1273E" w:rsidRPr="00601C26" w:rsidRDefault="00B1273E" w:rsidP="00E53F38">
      <w:pPr>
        <w:pStyle w:val="NIHRCFootnotes"/>
        <w:rPr>
          <w:color w:val="7030A0"/>
        </w:rPr>
      </w:pPr>
      <w:r w:rsidRPr="00601C26">
        <w:rPr>
          <w:rStyle w:val="FootnoteReference"/>
          <w:color w:val="7030A0"/>
        </w:rPr>
        <w:footnoteRef/>
      </w:r>
      <w:r w:rsidRPr="00601C26">
        <w:rPr>
          <w:color w:val="7030A0"/>
        </w:rPr>
        <w:t xml:space="preserve"> Clauses 2</w:t>
      </w:r>
      <w:r w:rsidR="002F5224" w:rsidRPr="00601C26">
        <w:rPr>
          <w:color w:val="7030A0"/>
        </w:rPr>
        <w:t>4</w:t>
      </w:r>
      <w:r w:rsidRPr="00601C26">
        <w:rPr>
          <w:color w:val="7030A0"/>
        </w:rPr>
        <w:t xml:space="preserve"> and 2</w:t>
      </w:r>
      <w:r w:rsidR="002F5224" w:rsidRPr="00601C26">
        <w:rPr>
          <w:color w:val="7030A0"/>
        </w:rPr>
        <w:t>5</w:t>
      </w:r>
      <w:r w:rsidRPr="00601C26">
        <w:rPr>
          <w:color w:val="7030A0"/>
        </w:rPr>
        <w:t>, NI Troubles (Legacy and Reconciliation) Bill.</w:t>
      </w:r>
    </w:p>
  </w:footnote>
  <w:footnote w:id="46">
    <w:p w14:paraId="5D6C3BBF" w14:textId="78BD50EE" w:rsidR="00873F37" w:rsidRPr="00601C26" w:rsidRDefault="00873F37" w:rsidP="00E53F38">
      <w:pPr>
        <w:pStyle w:val="NIHRCFootnotes"/>
        <w:rPr>
          <w:color w:val="7030A0"/>
        </w:rPr>
      </w:pPr>
      <w:r w:rsidRPr="00601C26">
        <w:rPr>
          <w:rStyle w:val="FootnoteReference"/>
          <w:color w:val="7030A0"/>
        </w:rPr>
        <w:footnoteRef/>
      </w:r>
      <w:r w:rsidRPr="00601C26">
        <w:rPr>
          <w:color w:val="7030A0"/>
        </w:rPr>
        <w:t xml:space="preserve"> </w:t>
      </w:r>
      <w:r w:rsidR="00A9721B" w:rsidRPr="00601C26">
        <w:rPr>
          <w:color w:val="7030A0"/>
        </w:rPr>
        <w:t xml:space="preserve">UK Government, ‘NI Troubles (Legacy and Reconciliation) Bill: Explanatory Notes’ (UK Gov, 2022), at </w:t>
      </w:r>
      <w:r w:rsidR="001717C8" w:rsidRPr="00601C26">
        <w:rPr>
          <w:color w:val="7030A0"/>
        </w:rPr>
        <w:t>para 1.</w:t>
      </w:r>
    </w:p>
  </w:footnote>
  <w:footnote w:id="47">
    <w:p w14:paraId="391B10A5" w14:textId="2492A459" w:rsidR="001717C8" w:rsidRPr="00601C26" w:rsidRDefault="001717C8" w:rsidP="00E53F38">
      <w:pPr>
        <w:pStyle w:val="NIHRCFootnotes"/>
        <w:rPr>
          <w:color w:val="7030A0"/>
        </w:rPr>
      </w:pPr>
      <w:r w:rsidRPr="00601C26">
        <w:rPr>
          <w:rStyle w:val="FootnoteReference"/>
          <w:color w:val="7030A0"/>
        </w:rPr>
        <w:footnoteRef/>
      </w:r>
      <w:r w:rsidRPr="00601C26">
        <w:rPr>
          <w:color w:val="7030A0"/>
        </w:rPr>
        <w:t xml:space="preserve"> </w:t>
      </w:r>
      <w:r w:rsidR="001C1986">
        <w:rPr>
          <w:color w:val="7030A0"/>
        </w:rPr>
        <w:t>Ibid</w:t>
      </w:r>
      <w:r w:rsidRPr="00601C26">
        <w:rPr>
          <w:color w:val="7030A0"/>
        </w:rPr>
        <w:t>.</w:t>
      </w:r>
    </w:p>
  </w:footnote>
  <w:footnote w:id="48">
    <w:p w14:paraId="2F52A001" w14:textId="504BFCCD" w:rsidR="00C21F5C" w:rsidRDefault="00C21F5C" w:rsidP="00E53F38">
      <w:pPr>
        <w:pStyle w:val="NIHRCFootnotes"/>
      </w:pPr>
      <w:r>
        <w:rPr>
          <w:rStyle w:val="FootnoteReference"/>
        </w:rPr>
        <w:footnoteRef/>
      </w:r>
      <w:r>
        <w:t xml:space="preserve"> </w:t>
      </w:r>
      <w:r w:rsidR="00152389">
        <w:t>DH-</w:t>
      </w:r>
      <w:proofErr w:type="gramStart"/>
      <w:r w:rsidR="00152389">
        <w:t>DD(</w:t>
      </w:r>
      <w:proofErr w:type="gramEnd"/>
      <w:r w:rsidR="00152389">
        <w:t xml:space="preserve">2022)831, ‘Communication from the Authorities (08/08/2022) Concerning the Case of </w:t>
      </w:r>
      <w:proofErr w:type="spellStart"/>
      <w:r w:rsidR="00152389">
        <w:t>McKerr</w:t>
      </w:r>
      <w:proofErr w:type="spellEnd"/>
      <w:r w:rsidR="00152389">
        <w:t xml:space="preserve"> v UK (Application No 28883/95’, 8 August 2022, at </w:t>
      </w:r>
      <w:r w:rsidR="00453DF1">
        <w:t>2</w:t>
      </w:r>
      <w:r w:rsidR="00152389">
        <w:t>.</w:t>
      </w:r>
    </w:p>
  </w:footnote>
  <w:footnote w:id="49">
    <w:p w14:paraId="6C8429F7" w14:textId="75FB57A6" w:rsidR="00152389" w:rsidRDefault="00152389" w:rsidP="00E53F38">
      <w:pPr>
        <w:pStyle w:val="NIHRCFootnotes"/>
      </w:pPr>
      <w:r>
        <w:rPr>
          <w:rStyle w:val="FootnoteReference"/>
        </w:rPr>
        <w:footnoteRef/>
      </w:r>
      <w:r>
        <w:t xml:space="preserve"> </w:t>
      </w:r>
      <w:r w:rsidR="00BD5358">
        <w:t>Ibid</w:t>
      </w:r>
      <w:r>
        <w:t>.</w:t>
      </w:r>
    </w:p>
  </w:footnote>
  <w:footnote w:id="50">
    <w:p w14:paraId="49599AF9" w14:textId="3060C794" w:rsidR="009D1E7B" w:rsidRDefault="009D1E7B" w:rsidP="00E53F38">
      <w:pPr>
        <w:pStyle w:val="NIHRCFootnotes"/>
      </w:pPr>
      <w:r>
        <w:rPr>
          <w:rStyle w:val="FootnoteReference"/>
        </w:rPr>
        <w:footnoteRef/>
      </w:r>
      <w:r>
        <w:t xml:space="preserve"> </w:t>
      </w:r>
      <w:r w:rsidR="00BD5358">
        <w:t>Ibid</w:t>
      </w:r>
      <w:r w:rsidR="00D31CC1">
        <w:t>.</w:t>
      </w:r>
    </w:p>
  </w:footnote>
  <w:footnote w:id="51">
    <w:p w14:paraId="59A78CE3" w14:textId="77777777" w:rsidR="00B1273E" w:rsidRPr="00601C26" w:rsidRDefault="00B1273E" w:rsidP="00E53F38">
      <w:pPr>
        <w:pStyle w:val="NIHRCFootnotes"/>
        <w:rPr>
          <w:color w:val="7030A0"/>
        </w:rPr>
      </w:pPr>
      <w:r w:rsidRPr="00601C26">
        <w:rPr>
          <w:rStyle w:val="FootnoteReference"/>
          <w:color w:val="7030A0"/>
        </w:rPr>
        <w:footnoteRef/>
      </w:r>
      <w:r w:rsidRPr="00601C26">
        <w:rPr>
          <w:color w:val="7030A0"/>
        </w:rPr>
        <w:t xml:space="preserve"> </w:t>
      </w:r>
      <w:r w:rsidRPr="00601C26">
        <w:rPr>
          <w:i/>
          <w:iCs/>
          <w:color w:val="7030A0"/>
        </w:rPr>
        <w:t>Hugh Jordan v UK</w:t>
      </w:r>
      <w:r w:rsidRPr="00601C26">
        <w:rPr>
          <w:color w:val="7030A0"/>
        </w:rPr>
        <w:t xml:space="preserve"> (2001), at para 107.</w:t>
      </w:r>
    </w:p>
  </w:footnote>
  <w:footnote w:id="52">
    <w:p w14:paraId="0BD4CCE4" w14:textId="77777777" w:rsidR="00B1273E" w:rsidRPr="00601C26" w:rsidRDefault="00B1273E"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iCs/>
          <w:color w:val="7030A0"/>
        </w:rPr>
        <w:t>Kolevi</w:t>
      </w:r>
      <w:proofErr w:type="spellEnd"/>
      <w:r w:rsidRPr="00601C26">
        <w:rPr>
          <w:i/>
          <w:iCs/>
          <w:color w:val="7030A0"/>
        </w:rPr>
        <w:t xml:space="preserve"> v Bulgaria</w:t>
      </w:r>
      <w:r w:rsidRPr="00601C26">
        <w:rPr>
          <w:color w:val="7030A0"/>
        </w:rPr>
        <w:t xml:space="preserve"> (2009), at para 201; </w:t>
      </w:r>
      <w:r w:rsidRPr="00601C26">
        <w:rPr>
          <w:i/>
          <w:iCs/>
          <w:color w:val="7030A0"/>
        </w:rPr>
        <w:t>Armani da Silva v UK</w:t>
      </w:r>
      <w:r w:rsidRPr="00601C26">
        <w:rPr>
          <w:color w:val="7030A0"/>
        </w:rPr>
        <w:t xml:space="preserve"> (2016), at para 234.</w:t>
      </w:r>
    </w:p>
  </w:footnote>
  <w:footnote w:id="53">
    <w:p w14:paraId="7DC4F3EE" w14:textId="6DAD72C3" w:rsidR="00B1273E" w:rsidRPr="00601C26" w:rsidRDefault="00B1273E" w:rsidP="00E53F38">
      <w:pPr>
        <w:pStyle w:val="NIHRCFootnotes"/>
        <w:rPr>
          <w:color w:val="7030A0"/>
        </w:rPr>
      </w:pPr>
      <w:r w:rsidRPr="00601C26">
        <w:rPr>
          <w:rStyle w:val="FootnoteReference"/>
          <w:color w:val="7030A0"/>
        </w:rPr>
        <w:footnoteRef/>
      </w:r>
      <w:r w:rsidRPr="00601C26">
        <w:rPr>
          <w:color w:val="7030A0"/>
        </w:rPr>
        <w:t xml:space="preserve"> UN Office of the High Commissioner for Human Rights, ‘The Minnesota Protocol on the Investigation of Potentially Unlawful Death: The Revised UN Manual on the Effective Prevention and Investigation of Extra-legal, Arbitrary and Summary Executions’ (OHCHR, 2016)</w:t>
      </w:r>
      <w:r w:rsidR="00876476">
        <w:rPr>
          <w:color w:val="7030A0"/>
        </w:rPr>
        <w:t>.</w:t>
      </w:r>
    </w:p>
  </w:footnote>
  <w:footnote w:id="54">
    <w:p w14:paraId="07CEFF01" w14:textId="77777777" w:rsidR="00B1273E" w:rsidRPr="00601C26" w:rsidRDefault="00B1273E" w:rsidP="00E53F3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Kaya v Turkey</w:t>
      </w:r>
      <w:r w:rsidRPr="00601C26">
        <w:rPr>
          <w:color w:val="7030A0"/>
        </w:rPr>
        <w:t xml:space="preserve"> (1998) ECHR 10, at para 87.</w:t>
      </w:r>
    </w:p>
  </w:footnote>
  <w:footnote w:id="55">
    <w:p w14:paraId="2B19817C" w14:textId="1B7A9837" w:rsidR="00B1273E" w:rsidRPr="00601C26" w:rsidRDefault="00B1273E" w:rsidP="00E53F38">
      <w:pPr>
        <w:pStyle w:val="NIHRCFootnotes"/>
        <w:rPr>
          <w:color w:val="7030A0"/>
        </w:rPr>
      </w:pPr>
      <w:r w:rsidRPr="00601C26">
        <w:rPr>
          <w:rStyle w:val="FootnoteReference"/>
          <w:color w:val="7030A0"/>
        </w:rPr>
        <w:footnoteRef/>
      </w:r>
      <w:r w:rsidRPr="00601C26">
        <w:rPr>
          <w:color w:val="7030A0"/>
        </w:rPr>
        <w:t xml:space="preserve"> </w:t>
      </w:r>
      <w:r w:rsidRPr="00601C26">
        <w:rPr>
          <w:i/>
          <w:iCs/>
          <w:color w:val="7030A0"/>
        </w:rPr>
        <w:t>Paniagua Morales et al</w:t>
      </w:r>
      <w:r w:rsidRPr="00601C26">
        <w:rPr>
          <w:color w:val="7030A0"/>
        </w:rPr>
        <w:t xml:space="preserve"> (1998), </w:t>
      </w:r>
      <w:r w:rsidR="0051500C" w:rsidRPr="00601C26">
        <w:rPr>
          <w:color w:val="7030A0"/>
        </w:rPr>
        <w:t xml:space="preserve">Inter-American Court of Human Rights, Judgment of 8 March 1998, </w:t>
      </w:r>
      <w:r w:rsidRPr="00601C26">
        <w:rPr>
          <w:color w:val="7030A0"/>
        </w:rPr>
        <w:t xml:space="preserve">at para 173; </w:t>
      </w:r>
      <w:r w:rsidRPr="00601C26">
        <w:rPr>
          <w:i/>
          <w:iCs/>
          <w:color w:val="7030A0"/>
        </w:rPr>
        <w:t>Armani da Silva v UK</w:t>
      </w:r>
      <w:r w:rsidRPr="00601C26">
        <w:rPr>
          <w:color w:val="7030A0"/>
        </w:rPr>
        <w:t xml:space="preserve"> (2016), at para 230.</w:t>
      </w:r>
    </w:p>
  </w:footnote>
  <w:footnote w:id="56">
    <w:p w14:paraId="7EE05446" w14:textId="624AB9DB" w:rsidR="00F51D6C" w:rsidRPr="00601C26" w:rsidRDefault="00F51D6C" w:rsidP="00E53F38">
      <w:pPr>
        <w:pStyle w:val="NIHRCFootnotes"/>
        <w:rPr>
          <w:color w:val="7030A0"/>
        </w:rPr>
      </w:pPr>
      <w:r w:rsidRPr="00601C26">
        <w:rPr>
          <w:rStyle w:val="FootnoteReference"/>
          <w:color w:val="7030A0"/>
        </w:rPr>
        <w:footnoteRef/>
      </w:r>
      <w:r w:rsidRPr="00601C26">
        <w:rPr>
          <w:color w:val="7030A0"/>
        </w:rPr>
        <w:t xml:space="preserve"> S</w:t>
      </w:r>
      <w:r w:rsidR="008D0082" w:rsidRPr="00601C26">
        <w:rPr>
          <w:color w:val="7030A0"/>
        </w:rPr>
        <w:t>tephanie</w:t>
      </w:r>
      <w:r w:rsidRPr="00601C26">
        <w:rPr>
          <w:color w:val="7030A0"/>
        </w:rPr>
        <w:t xml:space="preserve"> Burns et al, ‘Intergenerational Aspects of the Conflict in NI’ (QUB, 2010), at 78.</w:t>
      </w:r>
    </w:p>
  </w:footnote>
  <w:footnote w:id="57">
    <w:p w14:paraId="1CBEB08F" w14:textId="3BD6E282" w:rsidR="00A4732C" w:rsidRPr="00601C26" w:rsidRDefault="00A4732C" w:rsidP="00E53F38">
      <w:pPr>
        <w:pStyle w:val="NIHRCFootnotes"/>
        <w:rPr>
          <w:color w:val="7030A0"/>
        </w:rPr>
      </w:pPr>
      <w:r w:rsidRPr="00601C26">
        <w:rPr>
          <w:rStyle w:val="FootnoteReference"/>
          <w:color w:val="7030A0"/>
        </w:rPr>
        <w:footnoteRef/>
      </w:r>
      <w:r w:rsidRPr="00601C26">
        <w:rPr>
          <w:color w:val="7030A0"/>
        </w:rPr>
        <w:t xml:space="preserve"> Stephen Breen, </w:t>
      </w:r>
      <w:r w:rsidR="00015C81" w:rsidRPr="00601C26">
        <w:rPr>
          <w:color w:val="7030A0"/>
        </w:rPr>
        <w:t xml:space="preserve">‘Tell me the truth about my granny’, </w:t>
      </w:r>
      <w:r w:rsidR="00015C81" w:rsidRPr="00601C26">
        <w:rPr>
          <w:i/>
          <w:iCs/>
          <w:color w:val="7030A0"/>
        </w:rPr>
        <w:t>Belfast Telegraph</w:t>
      </w:r>
      <w:r w:rsidR="00015C81" w:rsidRPr="00601C26">
        <w:rPr>
          <w:color w:val="7030A0"/>
        </w:rPr>
        <w:t xml:space="preserve">, 4 July 2008; </w:t>
      </w:r>
      <w:r w:rsidR="00B048A9" w:rsidRPr="00601C26">
        <w:rPr>
          <w:color w:val="7030A0"/>
        </w:rPr>
        <w:t xml:space="preserve">Enda </w:t>
      </w:r>
      <w:proofErr w:type="spellStart"/>
      <w:r w:rsidR="00B048A9" w:rsidRPr="00601C26">
        <w:rPr>
          <w:color w:val="7030A0"/>
        </w:rPr>
        <w:t>McClafferty</w:t>
      </w:r>
      <w:proofErr w:type="spellEnd"/>
      <w:r w:rsidR="00B048A9" w:rsidRPr="00601C26">
        <w:rPr>
          <w:color w:val="7030A0"/>
        </w:rPr>
        <w:t xml:space="preserve">, </w:t>
      </w:r>
      <w:r w:rsidR="00C87184" w:rsidRPr="00601C26">
        <w:rPr>
          <w:color w:val="7030A0"/>
        </w:rPr>
        <w:t xml:space="preserve">‘Troubles legacy: Government warned not to “trample” on victims’, </w:t>
      </w:r>
      <w:r w:rsidR="00C87184" w:rsidRPr="00601C26">
        <w:rPr>
          <w:i/>
          <w:iCs/>
          <w:color w:val="7030A0"/>
        </w:rPr>
        <w:t>BBC News</w:t>
      </w:r>
      <w:r w:rsidR="00C87184" w:rsidRPr="00601C26">
        <w:rPr>
          <w:color w:val="7030A0"/>
        </w:rPr>
        <w:t xml:space="preserve">, </w:t>
      </w:r>
      <w:r w:rsidR="00B048A9" w:rsidRPr="00601C26">
        <w:rPr>
          <w:color w:val="7030A0"/>
        </w:rPr>
        <w:t>29 June 2022.</w:t>
      </w:r>
    </w:p>
  </w:footnote>
  <w:footnote w:id="58">
    <w:p w14:paraId="095B9CA9" w14:textId="0B7ECF49" w:rsidR="00620872" w:rsidRPr="00601C26" w:rsidRDefault="00620872" w:rsidP="00E53F38">
      <w:pPr>
        <w:pStyle w:val="NIHRCFootnotes"/>
        <w:rPr>
          <w:color w:val="7030A0"/>
        </w:rPr>
      </w:pPr>
      <w:r w:rsidRPr="00601C26">
        <w:rPr>
          <w:rStyle w:val="FootnoteReference"/>
          <w:color w:val="7030A0"/>
        </w:rPr>
        <w:footnoteRef/>
      </w:r>
      <w:r w:rsidRPr="00601C26">
        <w:rPr>
          <w:color w:val="7030A0"/>
        </w:rPr>
        <w:t xml:space="preserve"> NI Affairs Committee, ‘Oral Evidence: Addressing the Legacy of NI’s Past – The UK Government’s Proposals – Sandra Peake</w:t>
      </w:r>
      <w:r w:rsidR="005F12AD" w:rsidRPr="00601C26">
        <w:rPr>
          <w:color w:val="7030A0"/>
        </w:rPr>
        <w:t>, WAVE Trauma Centre</w:t>
      </w:r>
      <w:r w:rsidRPr="00601C26">
        <w:rPr>
          <w:color w:val="7030A0"/>
        </w:rPr>
        <w:t>’, 7 June 2022, at 4</w:t>
      </w:r>
      <w:r w:rsidR="00DE5B2A" w:rsidRPr="00601C26">
        <w:rPr>
          <w:color w:val="7030A0"/>
        </w:rPr>
        <w:t>22</w:t>
      </w:r>
      <w:r w:rsidRPr="00601C26">
        <w:rPr>
          <w:color w:val="7030A0"/>
        </w:rPr>
        <w:t>.</w:t>
      </w:r>
    </w:p>
  </w:footnote>
  <w:footnote w:id="59">
    <w:p w14:paraId="74E93F23" w14:textId="77777777" w:rsidR="00CD7FF5" w:rsidRPr="00601C26" w:rsidRDefault="00CD7FF5"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color w:val="7030A0"/>
        </w:rPr>
        <w:t>Khashiyev</w:t>
      </w:r>
      <w:proofErr w:type="spellEnd"/>
      <w:r w:rsidRPr="00601C26">
        <w:rPr>
          <w:i/>
          <w:color w:val="7030A0"/>
        </w:rPr>
        <w:t xml:space="preserve"> and </w:t>
      </w:r>
      <w:proofErr w:type="spellStart"/>
      <w:r w:rsidRPr="00601C26">
        <w:rPr>
          <w:i/>
          <w:color w:val="7030A0"/>
        </w:rPr>
        <w:t>Akayeva</w:t>
      </w:r>
      <w:proofErr w:type="spellEnd"/>
      <w:r w:rsidRPr="00601C26">
        <w:rPr>
          <w:i/>
          <w:color w:val="7030A0"/>
        </w:rPr>
        <w:t xml:space="preserve"> v Russia</w:t>
      </w:r>
      <w:r w:rsidRPr="00601C26">
        <w:rPr>
          <w:color w:val="7030A0"/>
        </w:rPr>
        <w:t xml:space="preserve"> (2005) ECHR 132, at para 177.</w:t>
      </w:r>
    </w:p>
  </w:footnote>
  <w:footnote w:id="60">
    <w:p w14:paraId="33281149" w14:textId="77777777" w:rsidR="00CD7FF5" w:rsidRPr="00601C26" w:rsidRDefault="00CD7FF5"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color w:val="7030A0"/>
        </w:rPr>
        <w:t>Kamalak</w:t>
      </w:r>
      <w:proofErr w:type="spellEnd"/>
      <w:r w:rsidRPr="00601C26">
        <w:rPr>
          <w:i/>
          <w:color w:val="7030A0"/>
        </w:rPr>
        <w:t xml:space="preserve"> v Turkey</w:t>
      </w:r>
      <w:r w:rsidRPr="00601C26">
        <w:rPr>
          <w:color w:val="7030A0"/>
        </w:rPr>
        <w:t xml:space="preserve"> (2013), Application No 2251/11, Judgment of 8 October 2013, at para 31; CCPR/C/GC/36, ‘UN Human Rights Committee General Comment No 36: Right to Life’, 30 October 2018, at para 28.</w:t>
      </w:r>
    </w:p>
  </w:footnote>
  <w:footnote w:id="61">
    <w:p w14:paraId="232BE2D5" w14:textId="15DAE4A1" w:rsidR="00CD7FF5" w:rsidRPr="00601C26" w:rsidRDefault="00CD7FF5"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color w:val="7030A0"/>
        </w:rPr>
        <w:t>Ergi</w:t>
      </w:r>
      <w:proofErr w:type="spellEnd"/>
      <w:r w:rsidRPr="00601C26">
        <w:rPr>
          <w:i/>
          <w:color w:val="7030A0"/>
        </w:rPr>
        <w:t xml:space="preserve"> v Turkey</w:t>
      </w:r>
      <w:r w:rsidRPr="00601C26">
        <w:rPr>
          <w:color w:val="7030A0"/>
        </w:rPr>
        <w:t xml:space="preserve"> (1998), ECHR 59, at paras 83-84; </w:t>
      </w:r>
      <w:r w:rsidRPr="00601C26">
        <w:rPr>
          <w:i/>
          <w:color w:val="7030A0"/>
        </w:rPr>
        <w:t xml:space="preserve">Hugh Jordan v </w:t>
      </w:r>
      <w:r w:rsidR="00BF0537">
        <w:rPr>
          <w:i/>
          <w:color w:val="7030A0"/>
        </w:rPr>
        <w:t>UK</w:t>
      </w:r>
      <w:r w:rsidRPr="00601C26">
        <w:rPr>
          <w:color w:val="7030A0"/>
        </w:rPr>
        <w:t xml:space="preserve"> (2001) ECHR 327, at para 120; </w:t>
      </w:r>
      <w:proofErr w:type="spellStart"/>
      <w:r w:rsidRPr="00601C26">
        <w:rPr>
          <w:i/>
          <w:color w:val="7030A0"/>
        </w:rPr>
        <w:t>McKerr</w:t>
      </w:r>
      <w:proofErr w:type="spellEnd"/>
      <w:r w:rsidRPr="00601C26">
        <w:rPr>
          <w:i/>
          <w:color w:val="7030A0"/>
        </w:rPr>
        <w:t xml:space="preserve"> v </w:t>
      </w:r>
      <w:r w:rsidR="00BF0537">
        <w:rPr>
          <w:i/>
          <w:color w:val="7030A0"/>
        </w:rPr>
        <w:t>UK</w:t>
      </w:r>
      <w:r w:rsidRPr="00601C26">
        <w:rPr>
          <w:color w:val="7030A0"/>
        </w:rPr>
        <w:t xml:space="preserve"> (2001) ECHR 329, at para 128.</w:t>
      </w:r>
    </w:p>
  </w:footnote>
  <w:footnote w:id="62">
    <w:p w14:paraId="65A9B987" w14:textId="3AD2B112" w:rsidR="00CD7FF5" w:rsidRPr="00601C26" w:rsidRDefault="00CD7FF5" w:rsidP="00E53F38">
      <w:pPr>
        <w:pStyle w:val="NIHRCFootnotes"/>
        <w:rPr>
          <w:color w:val="7030A0"/>
        </w:rPr>
      </w:pPr>
      <w:r w:rsidRPr="00601C26">
        <w:rPr>
          <w:rStyle w:val="FootnoteReference"/>
          <w:color w:val="7030A0"/>
        </w:rPr>
        <w:footnoteRef/>
      </w:r>
      <w:r w:rsidRPr="00601C26">
        <w:rPr>
          <w:color w:val="7030A0"/>
        </w:rPr>
        <w:t xml:space="preserve"> </w:t>
      </w:r>
      <w:r w:rsidR="00BD5358">
        <w:rPr>
          <w:iCs/>
          <w:color w:val="7030A0"/>
        </w:rPr>
        <w:t>Ibid</w:t>
      </w:r>
      <w:r w:rsidRPr="00601C26">
        <w:rPr>
          <w:color w:val="7030A0"/>
        </w:rPr>
        <w:t>.</w:t>
      </w:r>
    </w:p>
  </w:footnote>
  <w:footnote w:id="63">
    <w:p w14:paraId="3B6761D9" w14:textId="47D890AC" w:rsidR="00CD7FF5" w:rsidRPr="00601C26" w:rsidRDefault="00CD7FF5" w:rsidP="00E53F3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 xml:space="preserve">Hugh Jordan v </w:t>
      </w:r>
      <w:r w:rsidR="00BF0537">
        <w:rPr>
          <w:i/>
          <w:color w:val="7030A0"/>
        </w:rPr>
        <w:t>UK</w:t>
      </w:r>
      <w:r w:rsidRPr="00601C26">
        <w:rPr>
          <w:color w:val="7030A0"/>
        </w:rPr>
        <w:t xml:space="preserve"> (2001) ECHR 327, at para 120; </w:t>
      </w:r>
      <w:proofErr w:type="spellStart"/>
      <w:r w:rsidRPr="00601C26">
        <w:rPr>
          <w:i/>
          <w:color w:val="7030A0"/>
        </w:rPr>
        <w:t>McKerr</w:t>
      </w:r>
      <w:proofErr w:type="spellEnd"/>
      <w:r w:rsidRPr="00601C26">
        <w:rPr>
          <w:i/>
          <w:color w:val="7030A0"/>
        </w:rPr>
        <w:t xml:space="preserve"> v </w:t>
      </w:r>
      <w:r w:rsidR="00BF0537">
        <w:rPr>
          <w:i/>
          <w:color w:val="7030A0"/>
        </w:rPr>
        <w:t>UK</w:t>
      </w:r>
      <w:r w:rsidRPr="00601C26">
        <w:rPr>
          <w:color w:val="7030A0"/>
        </w:rPr>
        <w:t xml:space="preserve"> (2001) ECHR 329, at para 128.</w:t>
      </w:r>
    </w:p>
  </w:footnote>
  <w:footnote w:id="64">
    <w:p w14:paraId="52978DC8" w14:textId="77777777" w:rsidR="00CD7FF5" w:rsidRPr="00601C26" w:rsidRDefault="00CD7FF5" w:rsidP="00E53F38">
      <w:pPr>
        <w:pStyle w:val="NIHRCFootnotes"/>
        <w:rPr>
          <w:color w:val="7030A0"/>
        </w:rPr>
      </w:pPr>
      <w:r w:rsidRPr="00601C26">
        <w:rPr>
          <w:rStyle w:val="FootnoteReference"/>
          <w:color w:val="7030A0"/>
        </w:rPr>
        <w:footnoteRef/>
      </w:r>
      <w:r w:rsidRPr="00601C26">
        <w:rPr>
          <w:color w:val="7030A0"/>
        </w:rPr>
        <w:t xml:space="preserve"> UN Office of the High Commissioner for Human Rights, ‘The Minnesota Protocol on the Investigation of Potentially Unlawful Death: The Revised UN Manual on the Effective Prevention and Investigation of Extra-legal, Arbitrary and Summary Executions’ (OHCHR, 2016), at para 27.</w:t>
      </w:r>
    </w:p>
  </w:footnote>
  <w:footnote w:id="65">
    <w:p w14:paraId="1B2709D9" w14:textId="5F5625DE" w:rsidR="00CD7FF5" w:rsidRPr="00601C26" w:rsidRDefault="00CD7FF5" w:rsidP="00E53F38">
      <w:pPr>
        <w:pStyle w:val="NIHRCFootnotes"/>
        <w:rPr>
          <w:color w:val="7030A0"/>
        </w:rPr>
      </w:pPr>
      <w:r w:rsidRPr="00601C26">
        <w:rPr>
          <w:rStyle w:val="FootnoteReference"/>
          <w:color w:val="7030A0"/>
        </w:rPr>
        <w:footnoteRef/>
      </w:r>
      <w:r w:rsidRPr="00601C26">
        <w:rPr>
          <w:color w:val="7030A0"/>
        </w:rPr>
        <w:t xml:space="preserve"> </w:t>
      </w:r>
      <w:r w:rsidR="00BF0537">
        <w:rPr>
          <w:color w:val="7030A0"/>
        </w:rPr>
        <w:t>Ibid</w:t>
      </w:r>
      <w:r w:rsidRPr="00601C26">
        <w:rPr>
          <w:color w:val="7030A0"/>
        </w:rPr>
        <w:t>, at para 28.</w:t>
      </w:r>
    </w:p>
  </w:footnote>
  <w:footnote w:id="66">
    <w:p w14:paraId="22C311A7" w14:textId="7E2981FE" w:rsidR="00CD7FF5" w:rsidRPr="00601C26" w:rsidRDefault="00CD7FF5" w:rsidP="00E53F38">
      <w:pPr>
        <w:pStyle w:val="NIHRCFootnotes"/>
        <w:rPr>
          <w:color w:val="7030A0"/>
        </w:rPr>
      </w:pPr>
      <w:r w:rsidRPr="00601C26">
        <w:rPr>
          <w:rStyle w:val="FootnoteReference"/>
          <w:color w:val="7030A0"/>
        </w:rPr>
        <w:footnoteRef/>
      </w:r>
      <w:r w:rsidRPr="00601C26">
        <w:rPr>
          <w:color w:val="7030A0"/>
        </w:rPr>
        <w:t xml:space="preserve"> </w:t>
      </w:r>
      <w:r w:rsidR="008F0ACF">
        <w:rPr>
          <w:color w:val="7030A0"/>
        </w:rPr>
        <w:t>Ibid</w:t>
      </w:r>
      <w:r w:rsidRPr="00601C26">
        <w:rPr>
          <w:color w:val="7030A0"/>
        </w:rPr>
        <w:t>.</w:t>
      </w:r>
    </w:p>
  </w:footnote>
  <w:footnote w:id="67">
    <w:p w14:paraId="22053189" w14:textId="42214093" w:rsidR="00CD7FF5" w:rsidRPr="00601C26" w:rsidRDefault="00CD7FF5" w:rsidP="00E53F38">
      <w:pPr>
        <w:pStyle w:val="NIHRCFootnotes"/>
        <w:rPr>
          <w:color w:val="7030A0"/>
        </w:rPr>
      </w:pPr>
      <w:r w:rsidRPr="00601C26">
        <w:rPr>
          <w:rStyle w:val="FootnoteReference"/>
          <w:color w:val="7030A0"/>
        </w:rPr>
        <w:footnoteRef/>
      </w:r>
      <w:r w:rsidRPr="00601C26">
        <w:rPr>
          <w:color w:val="7030A0"/>
        </w:rPr>
        <w:t xml:space="preserve"> </w:t>
      </w:r>
      <w:r w:rsidR="008F0ACF">
        <w:rPr>
          <w:color w:val="7030A0"/>
        </w:rPr>
        <w:t>Ibid</w:t>
      </w:r>
      <w:r w:rsidRPr="00601C26">
        <w:rPr>
          <w:color w:val="7030A0"/>
        </w:rPr>
        <w:t>, at para 31.</w:t>
      </w:r>
    </w:p>
  </w:footnote>
  <w:footnote w:id="68">
    <w:p w14:paraId="281CE925" w14:textId="63EEF9F5" w:rsidR="00CD7FF5" w:rsidRPr="00601C26" w:rsidRDefault="00CD7FF5" w:rsidP="00E53F38">
      <w:pPr>
        <w:pStyle w:val="NIHRCFootnotes"/>
        <w:rPr>
          <w:color w:val="7030A0"/>
        </w:rPr>
      </w:pPr>
      <w:r w:rsidRPr="00601C26">
        <w:rPr>
          <w:rStyle w:val="FootnoteReference"/>
          <w:color w:val="7030A0"/>
        </w:rPr>
        <w:footnoteRef/>
      </w:r>
      <w:r w:rsidRPr="00601C26">
        <w:rPr>
          <w:color w:val="7030A0"/>
        </w:rPr>
        <w:t xml:space="preserve"> </w:t>
      </w:r>
      <w:r w:rsidR="008F0ACF">
        <w:rPr>
          <w:color w:val="7030A0"/>
        </w:rPr>
        <w:t>Ibid</w:t>
      </w:r>
      <w:r w:rsidRPr="00601C26">
        <w:rPr>
          <w:color w:val="7030A0"/>
        </w:rPr>
        <w:t>, at para 30.</w:t>
      </w:r>
    </w:p>
  </w:footnote>
  <w:footnote w:id="69">
    <w:p w14:paraId="66606A0F" w14:textId="77777777" w:rsidR="00CD7FF5" w:rsidRPr="00601C26" w:rsidRDefault="00CD7FF5" w:rsidP="00E53F38">
      <w:pPr>
        <w:pStyle w:val="NIHRCFootnotes"/>
        <w:rPr>
          <w:color w:val="7030A0"/>
        </w:rPr>
      </w:pPr>
      <w:r w:rsidRPr="00601C26">
        <w:rPr>
          <w:rStyle w:val="FootnoteReference"/>
          <w:color w:val="7030A0"/>
        </w:rPr>
        <w:footnoteRef/>
      </w:r>
      <w:r w:rsidRPr="00601C26">
        <w:rPr>
          <w:color w:val="7030A0"/>
        </w:rPr>
        <w:t xml:space="preserve"> UN Economic and Social Council, ‘Resolution 1989/65: Principles on the Effective Prevention and Investigation of Extra-legal, Arbitrary and Summary Executions’, 24 May 1989, at para 11.</w:t>
      </w:r>
    </w:p>
  </w:footnote>
  <w:footnote w:id="70">
    <w:p w14:paraId="6F70DB11" w14:textId="45B2691E" w:rsidR="00CD7FF5" w:rsidRPr="00601C26" w:rsidRDefault="00CD7FF5" w:rsidP="00E53F38">
      <w:pPr>
        <w:pStyle w:val="NIHRCFootnotes"/>
        <w:rPr>
          <w:color w:val="7030A0"/>
        </w:rPr>
      </w:pPr>
      <w:r w:rsidRPr="00601C26">
        <w:rPr>
          <w:rStyle w:val="FootnoteReference"/>
          <w:color w:val="7030A0"/>
        </w:rPr>
        <w:footnoteRef/>
      </w:r>
      <w:r w:rsidRPr="00601C26">
        <w:rPr>
          <w:color w:val="7030A0"/>
        </w:rPr>
        <w:t xml:space="preserve"> Clauses </w:t>
      </w:r>
      <w:r w:rsidR="00087DF5" w:rsidRPr="00601C26">
        <w:rPr>
          <w:color w:val="7030A0"/>
        </w:rPr>
        <w:t>20</w:t>
      </w:r>
      <w:r w:rsidRPr="00601C26">
        <w:rPr>
          <w:color w:val="7030A0"/>
        </w:rPr>
        <w:t>(3), 2</w:t>
      </w:r>
      <w:r w:rsidR="00087DF5" w:rsidRPr="00601C26">
        <w:rPr>
          <w:color w:val="7030A0"/>
        </w:rPr>
        <w:t>1</w:t>
      </w:r>
      <w:r w:rsidRPr="00601C26">
        <w:rPr>
          <w:color w:val="7030A0"/>
        </w:rPr>
        <w:t>(6), 2</w:t>
      </w:r>
      <w:r w:rsidR="00087DF5" w:rsidRPr="00601C26">
        <w:rPr>
          <w:color w:val="7030A0"/>
        </w:rPr>
        <w:t>1</w:t>
      </w:r>
      <w:r w:rsidRPr="00601C26">
        <w:rPr>
          <w:color w:val="7030A0"/>
        </w:rPr>
        <w:t>(7), 2</w:t>
      </w:r>
      <w:r w:rsidR="00087DF5" w:rsidRPr="00601C26">
        <w:rPr>
          <w:color w:val="7030A0"/>
        </w:rPr>
        <w:t>1</w:t>
      </w:r>
      <w:r w:rsidRPr="00601C26">
        <w:rPr>
          <w:color w:val="7030A0"/>
        </w:rPr>
        <w:t>(8), 2</w:t>
      </w:r>
      <w:r w:rsidR="00087DF5" w:rsidRPr="00601C26">
        <w:rPr>
          <w:color w:val="7030A0"/>
        </w:rPr>
        <w:t>9</w:t>
      </w:r>
      <w:r w:rsidRPr="00601C26">
        <w:rPr>
          <w:color w:val="7030A0"/>
        </w:rPr>
        <w:t xml:space="preserve">, </w:t>
      </w:r>
      <w:r w:rsidR="00087DF5" w:rsidRPr="00601C26">
        <w:rPr>
          <w:color w:val="7030A0"/>
        </w:rPr>
        <w:t>30</w:t>
      </w:r>
      <w:r w:rsidRPr="00601C26">
        <w:rPr>
          <w:color w:val="7030A0"/>
        </w:rPr>
        <w:t>, 3</w:t>
      </w:r>
      <w:r w:rsidR="00087DF5" w:rsidRPr="00601C26">
        <w:rPr>
          <w:color w:val="7030A0"/>
        </w:rPr>
        <w:t>1</w:t>
      </w:r>
      <w:r w:rsidRPr="00601C26">
        <w:rPr>
          <w:color w:val="7030A0"/>
        </w:rPr>
        <w:t>, 5</w:t>
      </w:r>
      <w:r w:rsidR="00087DF5" w:rsidRPr="00601C26">
        <w:rPr>
          <w:color w:val="7030A0"/>
        </w:rPr>
        <w:t>3</w:t>
      </w:r>
      <w:r w:rsidRPr="00601C26">
        <w:rPr>
          <w:color w:val="7030A0"/>
        </w:rPr>
        <w:t>, Schedule 1, NI Troubles (Legacy and Reconciliation) Bill.</w:t>
      </w:r>
    </w:p>
  </w:footnote>
  <w:footnote w:id="71">
    <w:p w14:paraId="5790FFCE" w14:textId="77777777" w:rsidR="00CD7FF5" w:rsidRPr="00601C26" w:rsidRDefault="00CD7FF5" w:rsidP="00E53F38">
      <w:pPr>
        <w:pStyle w:val="NIHRCFootnotes"/>
        <w:rPr>
          <w:color w:val="7030A0"/>
        </w:rPr>
      </w:pPr>
      <w:r w:rsidRPr="00601C26">
        <w:rPr>
          <w:rStyle w:val="FootnoteReference"/>
          <w:color w:val="7030A0"/>
        </w:rPr>
        <w:footnoteRef/>
      </w:r>
      <w:r w:rsidRPr="00601C26">
        <w:rPr>
          <w:color w:val="7030A0"/>
        </w:rPr>
        <w:t xml:space="preserve"> Clauses 9(3) and 10(2), NI Troubles (Legacy and Reconciliation) Bill.</w:t>
      </w:r>
    </w:p>
  </w:footnote>
  <w:footnote w:id="72">
    <w:p w14:paraId="70B25993" w14:textId="77777777" w:rsidR="00CD7FF5" w:rsidRPr="00601C26" w:rsidRDefault="00CD7FF5" w:rsidP="00E53F38">
      <w:pPr>
        <w:pStyle w:val="NIHRCFootnotes"/>
        <w:rPr>
          <w:color w:val="7030A0"/>
        </w:rPr>
      </w:pPr>
      <w:r w:rsidRPr="00601C26">
        <w:rPr>
          <w:rStyle w:val="FootnoteReference"/>
          <w:color w:val="7030A0"/>
        </w:rPr>
        <w:footnoteRef/>
      </w:r>
      <w:r w:rsidRPr="00601C26">
        <w:rPr>
          <w:color w:val="7030A0"/>
        </w:rPr>
        <w:t xml:space="preserve"> Clause 2(1), NI Troubles (Legacy and Reconciliation) Bill.</w:t>
      </w:r>
    </w:p>
  </w:footnote>
  <w:footnote w:id="73">
    <w:p w14:paraId="05235125" w14:textId="03485101" w:rsidR="00CD7FF5" w:rsidRPr="00601C26" w:rsidRDefault="00CD7FF5" w:rsidP="00E53F38">
      <w:pPr>
        <w:pStyle w:val="NIHRCFootnotes"/>
        <w:rPr>
          <w:color w:val="7030A0"/>
        </w:rPr>
      </w:pPr>
      <w:r w:rsidRPr="00601C26">
        <w:rPr>
          <w:rStyle w:val="FootnoteReference"/>
          <w:color w:val="7030A0"/>
        </w:rPr>
        <w:footnoteRef/>
      </w:r>
      <w:r w:rsidRPr="00601C26">
        <w:rPr>
          <w:color w:val="7030A0"/>
        </w:rPr>
        <w:t xml:space="preserve"> Clause 3</w:t>
      </w:r>
      <w:r w:rsidR="00E64BEE" w:rsidRPr="00601C26">
        <w:rPr>
          <w:color w:val="7030A0"/>
        </w:rPr>
        <w:t>2</w:t>
      </w:r>
      <w:r w:rsidRPr="00601C26">
        <w:rPr>
          <w:color w:val="7030A0"/>
        </w:rPr>
        <w:t>, NI Troubles (Legacy and Reconciliation) Bill.</w:t>
      </w:r>
    </w:p>
  </w:footnote>
  <w:footnote w:id="74">
    <w:p w14:paraId="36ECABEB" w14:textId="326A5796" w:rsidR="00CD7FF5" w:rsidRPr="00601C26" w:rsidRDefault="00CD7FF5" w:rsidP="00E53F38">
      <w:pPr>
        <w:pStyle w:val="NIHRCFootnotes"/>
        <w:rPr>
          <w:color w:val="7030A0"/>
        </w:rPr>
      </w:pPr>
      <w:r w:rsidRPr="00601C26">
        <w:rPr>
          <w:rStyle w:val="FootnoteReference"/>
          <w:color w:val="7030A0"/>
        </w:rPr>
        <w:footnoteRef/>
      </w:r>
      <w:r w:rsidRPr="00601C26">
        <w:rPr>
          <w:color w:val="7030A0"/>
        </w:rPr>
        <w:t xml:space="preserve"> Clause 3</w:t>
      </w:r>
      <w:r w:rsidR="007106C5" w:rsidRPr="00601C26">
        <w:rPr>
          <w:color w:val="7030A0"/>
        </w:rPr>
        <w:t>3</w:t>
      </w:r>
      <w:r w:rsidRPr="00601C26">
        <w:rPr>
          <w:color w:val="7030A0"/>
        </w:rPr>
        <w:t>(1), NI Troubles (Legacy and Reconciliation) Bill.</w:t>
      </w:r>
    </w:p>
  </w:footnote>
  <w:footnote w:id="75">
    <w:p w14:paraId="37E841CD" w14:textId="77777777" w:rsidR="00B6279D" w:rsidRPr="00601C26" w:rsidRDefault="00B6279D"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color w:val="7030A0"/>
        </w:rPr>
        <w:t>Acar</w:t>
      </w:r>
      <w:proofErr w:type="spellEnd"/>
      <w:r w:rsidRPr="00601C26">
        <w:rPr>
          <w:i/>
          <w:color w:val="7030A0"/>
        </w:rPr>
        <w:t xml:space="preserve"> and Others v Turkey</w:t>
      </w:r>
      <w:r w:rsidRPr="00601C26">
        <w:rPr>
          <w:color w:val="7030A0"/>
        </w:rPr>
        <w:t xml:space="preserve"> (2005) ECHR 313, at para 91.</w:t>
      </w:r>
    </w:p>
  </w:footnote>
  <w:footnote w:id="76">
    <w:p w14:paraId="643136A7" w14:textId="619B57E3" w:rsidR="00B6279D" w:rsidRPr="00601C26" w:rsidRDefault="00B6279D"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color w:val="7030A0"/>
        </w:rPr>
        <w:t>Kolevi</w:t>
      </w:r>
      <w:proofErr w:type="spellEnd"/>
      <w:r w:rsidRPr="00601C26">
        <w:rPr>
          <w:i/>
          <w:color w:val="7030A0"/>
        </w:rPr>
        <w:t xml:space="preserve"> v Bulgaria</w:t>
      </w:r>
      <w:r w:rsidRPr="00601C26">
        <w:rPr>
          <w:color w:val="7030A0"/>
        </w:rPr>
        <w:t xml:space="preserve"> (2009) ECHR 1838, at para 201; </w:t>
      </w:r>
      <w:r w:rsidRPr="00601C26">
        <w:rPr>
          <w:i/>
          <w:color w:val="7030A0"/>
        </w:rPr>
        <w:t xml:space="preserve">Armani da Silva v </w:t>
      </w:r>
      <w:r w:rsidR="008F0ACF">
        <w:rPr>
          <w:i/>
          <w:color w:val="7030A0"/>
        </w:rPr>
        <w:t>UK</w:t>
      </w:r>
      <w:r w:rsidRPr="00601C26">
        <w:rPr>
          <w:color w:val="7030A0"/>
        </w:rPr>
        <w:t xml:space="preserve"> (2016), Application No 5878/08, Judgment of 30 March 2016, at para 234</w:t>
      </w:r>
      <w:r w:rsidR="00B46EAE" w:rsidRPr="00601C26">
        <w:rPr>
          <w:color w:val="7030A0"/>
        </w:rPr>
        <w:t>.</w:t>
      </w:r>
    </w:p>
  </w:footnote>
  <w:footnote w:id="77">
    <w:p w14:paraId="64054BF8" w14:textId="65AE9A1A" w:rsidR="00B6279D" w:rsidRPr="00601C26" w:rsidRDefault="00B6279D" w:rsidP="00E53F3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 xml:space="preserve">Hugh Jordan v </w:t>
      </w:r>
      <w:r w:rsidR="008F0ACF">
        <w:rPr>
          <w:i/>
          <w:color w:val="7030A0"/>
        </w:rPr>
        <w:t>UK</w:t>
      </w:r>
      <w:r w:rsidRPr="00601C26">
        <w:rPr>
          <w:color w:val="7030A0"/>
        </w:rPr>
        <w:t xml:space="preserve"> (2001) ECHR 327, at para 107. For more information on what constitutes reasonable steps, see Hannah Russell, </w:t>
      </w:r>
      <w:r w:rsidRPr="00601C26">
        <w:rPr>
          <w:i/>
          <w:color w:val="7030A0"/>
        </w:rPr>
        <w:t xml:space="preserve">The Use of Force and Article 2 of the ECHR </w:t>
      </w:r>
      <w:proofErr w:type="gramStart"/>
      <w:r w:rsidRPr="00601C26">
        <w:rPr>
          <w:i/>
          <w:color w:val="7030A0"/>
        </w:rPr>
        <w:t>in Light of</w:t>
      </w:r>
      <w:proofErr w:type="gramEnd"/>
      <w:r w:rsidRPr="00601C26">
        <w:rPr>
          <w:i/>
          <w:color w:val="7030A0"/>
        </w:rPr>
        <w:t xml:space="preserve"> European Conflicts</w:t>
      </w:r>
      <w:r w:rsidRPr="00601C26">
        <w:rPr>
          <w:color w:val="7030A0"/>
        </w:rPr>
        <w:t xml:space="preserve"> (Hart Publishing, 2017), at Chapter 7.</w:t>
      </w:r>
    </w:p>
  </w:footnote>
  <w:footnote w:id="78">
    <w:p w14:paraId="3A405C09" w14:textId="77777777" w:rsidR="00B6279D" w:rsidRPr="00601C26" w:rsidRDefault="00B6279D"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color w:val="7030A0"/>
        </w:rPr>
        <w:t>Ramsahai</w:t>
      </w:r>
      <w:proofErr w:type="spellEnd"/>
      <w:r w:rsidRPr="00601C26">
        <w:rPr>
          <w:i/>
          <w:color w:val="7030A0"/>
        </w:rPr>
        <w:t xml:space="preserve"> and Others v Netherlands</w:t>
      </w:r>
      <w:r w:rsidRPr="00601C26">
        <w:rPr>
          <w:color w:val="7030A0"/>
        </w:rPr>
        <w:t xml:space="preserve"> (2007) ECHR 393, at para 324.</w:t>
      </w:r>
    </w:p>
  </w:footnote>
  <w:footnote w:id="79">
    <w:p w14:paraId="5217912C" w14:textId="4906426F" w:rsidR="00B6279D" w:rsidRPr="00601C26" w:rsidRDefault="00B6279D" w:rsidP="00E53F38">
      <w:pPr>
        <w:pStyle w:val="NIHRCFootnotes"/>
        <w:rPr>
          <w:color w:val="7030A0"/>
        </w:rPr>
      </w:pPr>
      <w:r w:rsidRPr="00601C26">
        <w:rPr>
          <w:rStyle w:val="FootnoteReference"/>
          <w:color w:val="7030A0"/>
        </w:rPr>
        <w:footnoteRef/>
      </w:r>
      <w:r w:rsidRPr="00601C26">
        <w:rPr>
          <w:color w:val="7030A0"/>
        </w:rPr>
        <w:t xml:space="preserve"> </w:t>
      </w:r>
      <w:r w:rsidR="00E9463B" w:rsidRPr="00601C26">
        <w:rPr>
          <w:color w:val="7030A0"/>
        </w:rPr>
        <w:t>UN Office of the High Commissioner for Human Rights</w:t>
      </w:r>
      <w:r w:rsidRPr="00601C26">
        <w:rPr>
          <w:color w:val="7030A0"/>
        </w:rPr>
        <w:t>, ‘The Minnesota Protocol on the Investigation of Potentially Unlawful Death: The Revised UN Manual on the Effective Prevention and Investigation of Extra-legal, Arbitrary and Summary Executions’ (OHCHR, 2016), at para 25.</w:t>
      </w:r>
    </w:p>
  </w:footnote>
  <w:footnote w:id="80">
    <w:p w14:paraId="6D291EE5" w14:textId="24526896" w:rsidR="00B6279D" w:rsidRPr="00601C26" w:rsidRDefault="00B6279D" w:rsidP="00E53F38">
      <w:pPr>
        <w:pStyle w:val="NIHRCFootnotes"/>
        <w:rPr>
          <w:color w:val="7030A0"/>
        </w:rPr>
      </w:pPr>
      <w:r w:rsidRPr="00601C26">
        <w:rPr>
          <w:rStyle w:val="FootnoteReference"/>
          <w:color w:val="7030A0"/>
        </w:rPr>
        <w:footnoteRef/>
      </w:r>
      <w:r w:rsidRPr="00601C26">
        <w:rPr>
          <w:color w:val="7030A0"/>
        </w:rPr>
        <w:t xml:space="preserve"> </w:t>
      </w:r>
      <w:r w:rsidR="008F0ACF">
        <w:rPr>
          <w:color w:val="7030A0"/>
        </w:rPr>
        <w:t>Ibid</w:t>
      </w:r>
      <w:r w:rsidRPr="00601C26">
        <w:rPr>
          <w:color w:val="7030A0"/>
        </w:rPr>
        <w:t>, at para 26.</w:t>
      </w:r>
    </w:p>
  </w:footnote>
  <w:footnote w:id="81">
    <w:p w14:paraId="5D933632" w14:textId="70408E3B" w:rsidR="00B6279D" w:rsidRPr="00601C26" w:rsidRDefault="00B6279D" w:rsidP="00E53F38">
      <w:pPr>
        <w:pStyle w:val="NIHRCFootnotes"/>
        <w:rPr>
          <w:color w:val="7030A0"/>
        </w:rPr>
      </w:pPr>
      <w:r w:rsidRPr="00601C26">
        <w:rPr>
          <w:rStyle w:val="FootnoteReference"/>
          <w:color w:val="7030A0"/>
        </w:rPr>
        <w:footnoteRef/>
      </w:r>
      <w:r w:rsidRPr="00601C26">
        <w:rPr>
          <w:color w:val="7030A0"/>
        </w:rPr>
        <w:t xml:space="preserve"> </w:t>
      </w:r>
      <w:r w:rsidR="008F0ACF">
        <w:rPr>
          <w:color w:val="7030A0"/>
        </w:rPr>
        <w:t>Ibid</w:t>
      </w:r>
      <w:r w:rsidRPr="00601C26">
        <w:rPr>
          <w:color w:val="7030A0"/>
        </w:rPr>
        <w:t>, at para 27.</w:t>
      </w:r>
    </w:p>
  </w:footnote>
  <w:footnote w:id="82">
    <w:p w14:paraId="7392F181" w14:textId="140E7517" w:rsidR="00B6279D" w:rsidRPr="00601C26" w:rsidRDefault="00B6279D" w:rsidP="00E53F38">
      <w:pPr>
        <w:pStyle w:val="NIHRCFootnotes"/>
        <w:rPr>
          <w:color w:val="7030A0"/>
        </w:rPr>
      </w:pPr>
      <w:r w:rsidRPr="00601C26">
        <w:rPr>
          <w:rStyle w:val="FootnoteReference"/>
          <w:color w:val="7030A0"/>
        </w:rPr>
        <w:footnoteRef/>
      </w:r>
      <w:r w:rsidRPr="00601C26">
        <w:rPr>
          <w:color w:val="7030A0"/>
        </w:rPr>
        <w:t xml:space="preserve"> </w:t>
      </w:r>
      <w:r w:rsidR="000E3989" w:rsidRPr="00601C26">
        <w:rPr>
          <w:color w:val="7030A0"/>
        </w:rPr>
        <w:t>CCPR/C/GC/36, ‘UN Human Rights Committee General Comment No 36: Right to Life’, 30 October 2018</w:t>
      </w:r>
      <w:r w:rsidRPr="00601C26">
        <w:rPr>
          <w:color w:val="7030A0"/>
        </w:rPr>
        <w:t xml:space="preserve">, at para </w:t>
      </w:r>
      <w:r w:rsidR="000E3989" w:rsidRPr="00601C26">
        <w:rPr>
          <w:color w:val="7030A0"/>
        </w:rPr>
        <w:t>28</w:t>
      </w:r>
      <w:r w:rsidRPr="00601C26">
        <w:rPr>
          <w:color w:val="7030A0"/>
        </w:rPr>
        <w:t>.</w:t>
      </w:r>
    </w:p>
  </w:footnote>
  <w:footnote w:id="83">
    <w:p w14:paraId="6747DDCB" w14:textId="27496B48" w:rsidR="00B6279D" w:rsidRPr="00601C26" w:rsidRDefault="00B6279D" w:rsidP="00E53F38">
      <w:pPr>
        <w:pStyle w:val="NIHRCFootnotes"/>
        <w:rPr>
          <w:color w:val="7030A0"/>
        </w:rPr>
      </w:pPr>
      <w:r w:rsidRPr="00601C26">
        <w:rPr>
          <w:rStyle w:val="FootnoteReference"/>
          <w:color w:val="7030A0"/>
        </w:rPr>
        <w:footnoteRef/>
      </w:r>
      <w:r w:rsidRPr="00601C26">
        <w:rPr>
          <w:color w:val="7030A0"/>
        </w:rPr>
        <w:t xml:space="preserve"> </w:t>
      </w:r>
      <w:r w:rsidR="009B42E3" w:rsidRPr="00601C26">
        <w:rPr>
          <w:color w:val="7030A0"/>
        </w:rPr>
        <w:t>UN Office of the High Commissioner for Human Rights, ‘The Minnesota Protocol on the Investigation of Potentially Unlawful Death: The Revised UN Manual on the Effective Prevention and Investigation of Extra-legal, Arbitrary and Summary Executions’ (OHCHR, 2016)</w:t>
      </w:r>
      <w:r w:rsidRPr="00601C26">
        <w:rPr>
          <w:color w:val="7030A0"/>
        </w:rPr>
        <w:t>, at para 27.</w:t>
      </w:r>
    </w:p>
  </w:footnote>
  <w:footnote w:id="84">
    <w:p w14:paraId="4B149F5E" w14:textId="52D8689D" w:rsidR="00B6279D" w:rsidRPr="00601C26" w:rsidRDefault="00B6279D" w:rsidP="00E53F38">
      <w:pPr>
        <w:pStyle w:val="NIHRCFootnotes"/>
        <w:rPr>
          <w:color w:val="7030A0"/>
        </w:rPr>
      </w:pPr>
      <w:r w:rsidRPr="00601C26">
        <w:rPr>
          <w:rStyle w:val="FootnoteReference"/>
          <w:color w:val="7030A0"/>
        </w:rPr>
        <w:footnoteRef/>
      </w:r>
      <w:r w:rsidRPr="00601C26">
        <w:rPr>
          <w:color w:val="7030A0"/>
        </w:rPr>
        <w:t xml:space="preserve"> </w:t>
      </w:r>
      <w:r w:rsidR="008F0ACF">
        <w:rPr>
          <w:color w:val="7030A0"/>
        </w:rPr>
        <w:t>Ibid</w:t>
      </w:r>
      <w:r w:rsidRPr="00601C26">
        <w:rPr>
          <w:color w:val="7030A0"/>
        </w:rPr>
        <w:t>, at para 36.</w:t>
      </w:r>
    </w:p>
  </w:footnote>
  <w:footnote w:id="85">
    <w:p w14:paraId="7132C531" w14:textId="77777777" w:rsidR="00B6279D" w:rsidRPr="00601C26" w:rsidRDefault="00B6279D" w:rsidP="00E53F38">
      <w:pPr>
        <w:pStyle w:val="NIHRCFootnotes"/>
        <w:rPr>
          <w:color w:val="7030A0"/>
        </w:rPr>
      </w:pPr>
      <w:r w:rsidRPr="00601C26">
        <w:rPr>
          <w:rStyle w:val="FootnoteReference"/>
          <w:color w:val="7030A0"/>
        </w:rPr>
        <w:footnoteRef/>
      </w:r>
      <w:r w:rsidRPr="00601C26">
        <w:rPr>
          <w:color w:val="7030A0"/>
        </w:rPr>
        <w:t xml:space="preserve"> A/RES/47/133, ‘Declaration on the Protection of All Persons from Enforced Disappearance’, 18 December 1992.</w:t>
      </w:r>
    </w:p>
  </w:footnote>
  <w:footnote w:id="86">
    <w:p w14:paraId="43C3E628" w14:textId="4FDB7455" w:rsidR="00B6279D" w:rsidRPr="00601C26" w:rsidRDefault="00B6279D" w:rsidP="00E53F38">
      <w:pPr>
        <w:pStyle w:val="NIHRCFootnotes"/>
        <w:rPr>
          <w:color w:val="7030A0"/>
        </w:rPr>
      </w:pPr>
      <w:r w:rsidRPr="00601C26">
        <w:rPr>
          <w:rStyle w:val="FootnoteReference"/>
          <w:color w:val="7030A0"/>
        </w:rPr>
        <w:footnoteRef/>
      </w:r>
      <w:r w:rsidRPr="00601C26">
        <w:rPr>
          <w:color w:val="7030A0"/>
        </w:rPr>
        <w:t xml:space="preserve"> </w:t>
      </w:r>
      <w:r w:rsidR="008F0ACF">
        <w:rPr>
          <w:color w:val="7030A0"/>
        </w:rPr>
        <w:t>Ibid</w:t>
      </w:r>
      <w:r w:rsidR="009B42E3" w:rsidRPr="00601C26">
        <w:rPr>
          <w:color w:val="7030A0"/>
        </w:rPr>
        <w:t>.</w:t>
      </w:r>
    </w:p>
  </w:footnote>
  <w:footnote w:id="87">
    <w:p w14:paraId="4D616206" w14:textId="77777777" w:rsidR="00B6279D" w:rsidRPr="00601C26" w:rsidRDefault="00B6279D" w:rsidP="00E53F38">
      <w:pPr>
        <w:pStyle w:val="NIHRCFootnotes"/>
        <w:rPr>
          <w:color w:val="7030A0"/>
        </w:rPr>
      </w:pPr>
      <w:r w:rsidRPr="00601C26">
        <w:rPr>
          <w:rStyle w:val="FootnoteReference"/>
          <w:color w:val="7030A0"/>
        </w:rPr>
        <w:footnoteRef/>
      </w:r>
      <w:r w:rsidRPr="00601C26">
        <w:rPr>
          <w:color w:val="7030A0"/>
        </w:rPr>
        <w:t xml:space="preserve"> UN Economic and Social Council, ‘Resolution 1989/65: Principles on the Effective Prevention and Investigation of Extra-legal, Arbitrary and Summary Executions’, 24 May 1989, at para 10.</w:t>
      </w:r>
    </w:p>
  </w:footnote>
  <w:footnote w:id="88">
    <w:p w14:paraId="2BFA63B0" w14:textId="79D93D10" w:rsidR="00B6279D" w:rsidRPr="00601C26" w:rsidRDefault="00B6279D" w:rsidP="00E53F38">
      <w:pPr>
        <w:pStyle w:val="NIHRCFootnotes"/>
        <w:rPr>
          <w:color w:val="7030A0"/>
        </w:rPr>
      </w:pPr>
      <w:r w:rsidRPr="00601C26">
        <w:rPr>
          <w:rStyle w:val="FootnoteReference"/>
          <w:color w:val="7030A0"/>
        </w:rPr>
        <w:footnoteRef/>
      </w:r>
      <w:r w:rsidRPr="00601C26">
        <w:rPr>
          <w:color w:val="7030A0"/>
        </w:rPr>
        <w:t xml:space="preserve"> </w:t>
      </w:r>
      <w:r w:rsidR="008F0ACF">
        <w:rPr>
          <w:color w:val="7030A0"/>
        </w:rPr>
        <w:t>Ibid</w:t>
      </w:r>
      <w:r w:rsidR="009B42E3" w:rsidRPr="00601C26">
        <w:rPr>
          <w:color w:val="7030A0"/>
        </w:rPr>
        <w:t>.</w:t>
      </w:r>
    </w:p>
  </w:footnote>
  <w:footnote w:id="89">
    <w:p w14:paraId="12A9E03B" w14:textId="47F7C196" w:rsidR="00525DC6" w:rsidRPr="00601C26" w:rsidRDefault="00525DC6" w:rsidP="00E53F38">
      <w:pPr>
        <w:pStyle w:val="NIHRCFootnotes"/>
        <w:rPr>
          <w:color w:val="7030A0"/>
        </w:rPr>
      </w:pPr>
      <w:r w:rsidRPr="00601C26">
        <w:rPr>
          <w:rStyle w:val="FootnoteReference"/>
          <w:color w:val="7030A0"/>
        </w:rPr>
        <w:footnoteRef/>
      </w:r>
      <w:r w:rsidRPr="00601C26">
        <w:rPr>
          <w:color w:val="7030A0"/>
        </w:rPr>
        <w:t xml:space="preserve"> Clauses 9-17 and 2</w:t>
      </w:r>
      <w:r w:rsidR="007106C5" w:rsidRPr="00601C26">
        <w:rPr>
          <w:color w:val="7030A0"/>
        </w:rPr>
        <w:t>4</w:t>
      </w:r>
      <w:r w:rsidRPr="00601C26">
        <w:rPr>
          <w:color w:val="7030A0"/>
        </w:rPr>
        <w:t>-2</w:t>
      </w:r>
      <w:r w:rsidR="007106C5" w:rsidRPr="00601C26">
        <w:rPr>
          <w:color w:val="7030A0"/>
        </w:rPr>
        <w:t>5</w:t>
      </w:r>
      <w:r w:rsidRPr="00601C26">
        <w:rPr>
          <w:color w:val="7030A0"/>
        </w:rPr>
        <w:t>, NI Troubles (Legacy and Reconciliation) Bill.</w:t>
      </w:r>
    </w:p>
  </w:footnote>
  <w:footnote w:id="90">
    <w:p w14:paraId="508F2CF7" w14:textId="1EA2350D" w:rsidR="007E2DB5" w:rsidRPr="00601C26" w:rsidRDefault="007E2DB5" w:rsidP="00E53F38">
      <w:pPr>
        <w:pStyle w:val="NIHRCFootnotes"/>
        <w:rPr>
          <w:color w:val="7030A0"/>
        </w:rPr>
      </w:pPr>
      <w:r w:rsidRPr="00601C26">
        <w:rPr>
          <w:rStyle w:val="FootnoteReference"/>
          <w:color w:val="7030A0"/>
        </w:rPr>
        <w:footnoteRef/>
      </w:r>
      <w:r w:rsidRPr="00601C26">
        <w:rPr>
          <w:color w:val="7030A0"/>
        </w:rPr>
        <w:t xml:space="preserve"> This is </w:t>
      </w:r>
      <w:r w:rsidR="00C71C10" w:rsidRPr="00601C26">
        <w:rPr>
          <w:color w:val="7030A0"/>
        </w:rPr>
        <w:t xml:space="preserve">compounded by concerns about compellability below. </w:t>
      </w:r>
    </w:p>
  </w:footnote>
  <w:footnote w:id="91">
    <w:p w14:paraId="695F4058" w14:textId="2D49834C" w:rsidR="00FD27F1" w:rsidRPr="00601C26" w:rsidRDefault="00FD27F1" w:rsidP="00E53F3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 xml:space="preserve">McCann v </w:t>
      </w:r>
      <w:r w:rsidR="008F0ACF">
        <w:rPr>
          <w:i/>
          <w:color w:val="7030A0"/>
        </w:rPr>
        <w:t>UK</w:t>
      </w:r>
      <w:r w:rsidRPr="00601C26">
        <w:rPr>
          <w:color w:val="7030A0"/>
        </w:rPr>
        <w:t xml:space="preserve"> (1995) 21 EHRR 97, at para 79.193.</w:t>
      </w:r>
    </w:p>
  </w:footnote>
  <w:footnote w:id="92">
    <w:p w14:paraId="307C623A" w14:textId="20DA8B00" w:rsidR="002564C0" w:rsidRPr="00601C26" w:rsidRDefault="002564C0" w:rsidP="00E53F38">
      <w:pPr>
        <w:pStyle w:val="NIHRCFootnotes"/>
        <w:rPr>
          <w:color w:val="7030A0"/>
        </w:rPr>
      </w:pPr>
      <w:r w:rsidRPr="00601C26">
        <w:rPr>
          <w:rStyle w:val="FootnoteReference"/>
          <w:color w:val="7030A0"/>
        </w:rPr>
        <w:footnoteRef/>
      </w:r>
      <w:r w:rsidRPr="00601C26">
        <w:rPr>
          <w:color w:val="7030A0"/>
        </w:rPr>
        <w:t xml:space="preserve"> Clauses 13-16 and 2</w:t>
      </w:r>
      <w:r w:rsidR="007106C5" w:rsidRPr="00601C26">
        <w:rPr>
          <w:color w:val="7030A0"/>
        </w:rPr>
        <w:t>4</w:t>
      </w:r>
      <w:r w:rsidRPr="00601C26">
        <w:rPr>
          <w:color w:val="7030A0"/>
        </w:rPr>
        <w:t>(1), NI Troubles (Legacy and Reconciliation) Bill.</w:t>
      </w:r>
    </w:p>
  </w:footnote>
  <w:footnote w:id="93">
    <w:p w14:paraId="558FB995" w14:textId="2BE2F437" w:rsidR="00060EB5" w:rsidRPr="00601C26" w:rsidRDefault="00060EB5" w:rsidP="00E53F38">
      <w:pPr>
        <w:pStyle w:val="NIHRCFootnotes"/>
        <w:rPr>
          <w:color w:val="7030A0"/>
        </w:rPr>
      </w:pPr>
      <w:r w:rsidRPr="00601C26">
        <w:rPr>
          <w:rStyle w:val="FootnoteReference"/>
          <w:color w:val="7030A0"/>
        </w:rPr>
        <w:footnoteRef/>
      </w:r>
      <w:r w:rsidRPr="00601C26">
        <w:rPr>
          <w:color w:val="7030A0"/>
        </w:rPr>
        <w:t xml:space="preserve"> </w:t>
      </w:r>
      <w:r w:rsidR="002C0A8B" w:rsidRPr="00601C26">
        <w:rPr>
          <w:color w:val="7030A0"/>
        </w:rPr>
        <w:t>Clauses 9</w:t>
      </w:r>
      <w:r w:rsidR="00DB3BA5" w:rsidRPr="00601C26">
        <w:rPr>
          <w:color w:val="7030A0"/>
        </w:rPr>
        <w:t xml:space="preserve"> and 2</w:t>
      </w:r>
      <w:r w:rsidR="007106C5" w:rsidRPr="00601C26">
        <w:rPr>
          <w:color w:val="7030A0"/>
        </w:rPr>
        <w:t>4</w:t>
      </w:r>
      <w:r w:rsidR="002C0A8B" w:rsidRPr="00601C26">
        <w:rPr>
          <w:color w:val="7030A0"/>
        </w:rPr>
        <w:t xml:space="preserve">, </w:t>
      </w:r>
      <w:r w:rsidR="00DB3BA5" w:rsidRPr="00601C26">
        <w:rPr>
          <w:color w:val="7030A0"/>
        </w:rPr>
        <w:t>NI Troubles (Legacy and Reconciliation) Bill.</w:t>
      </w:r>
    </w:p>
  </w:footnote>
  <w:footnote w:id="94">
    <w:p w14:paraId="69C7C931" w14:textId="77777777" w:rsidR="00116B7B" w:rsidRPr="00E563EF" w:rsidRDefault="00116B7B" w:rsidP="00E53F38">
      <w:pPr>
        <w:pStyle w:val="NIHRCFootnotes"/>
        <w:rPr>
          <w:color w:val="7030A0"/>
        </w:rPr>
      </w:pPr>
      <w:r w:rsidRPr="00E563EF">
        <w:rPr>
          <w:rStyle w:val="FootnoteReference"/>
          <w:color w:val="7030A0"/>
        </w:rPr>
        <w:footnoteRef/>
      </w:r>
      <w:r w:rsidRPr="00E563EF">
        <w:rPr>
          <w:color w:val="7030A0"/>
        </w:rPr>
        <w:t xml:space="preserve"> Clauses 9 and 23, NI Troubles (Legacy and Reconciliation) Bill.</w:t>
      </w:r>
    </w:p>
  </w:footnote>
  <w:footnote w:id="95">
    <w:p w14:paraId="3E75B4AE" w14:textId="0A478FE1" w:rsidR="00B6279D" w:rsidRPr="00601C26" w:rsidRDefault="00B6279D" w:rsidP="00E53F3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 xml:space="preserve">McCann v </w:t>
      </w:r>
      <w:r w:rsidR="008F0ACF">
        <w:rPr>
          <w:i/>
          <w:color w:val="7030A0"/>
        </w:rPr>
        <w:t>UK</w:t>
      </w:r>
      <w:r w:rsidRPr="00601C26">
        <w:rPr>
          <w:color w:val="7030A0"/>
        </w:rPr>
        <w:t xml:space="preserve"> (1995) 21 EHRR 97, at para 173; </w:t>
      </w:r>
      <w:proofErr w:type="spellStart"/>
      <w:r w:rsidRPr="00601C26">
        <w:rPr>
          <w:i/>
          <w:color w:val="7030A0"/>
        </w:rPr>
        <w:t>McKerr</w:t>
      </w:r>
      <w:proofErr w:type="spellEnd"/>
      <w:r w:rsidRPr="00601C26">
        <w:rPr>
          <w:i/>
          <w:color w:val="7030A0"/>
        </w:rPr>
        <w:t xml:space="preserve"> v </w:t>
      </w:r>
      <w:r w:rsidR="008F0ACF">
        <w:rPr>
          <w:i/>
          <w:color w:val="7030A0"/>
        </w:rPr>
        <w:t>UK</w:t>
      </w:r>
      <w:r w:rsidRPr="00601C26">
        <w:rPr>
          <w:color w:val="7030A0"/>
        </w:rPr>
        <w:t xml:space="preserve"> (2001) ECHR 329, at para 111; </w:t>
      </w:r>
      <w:r w:rsidRPr="00601C26">
        <w:rPr>
          <w:i/>
          <w:color w:val="7030A0"/>
        </w:rPr>
        <w:t xml:space="preserve">Hugh Jordan v </w:t>
      </w:r>
      <w:r w:rsidR="008F0ACF">
        <w:rPr>
          <w:i/>
          <w:color w:val="7030A0"/>
        </w:rPr>
        <w:t>UK</w:t>
      </w:r>
      <w:r w:rsidRPr="00601C26">
        <w:rPr>
          <w:color w:val="7030A0"/>
        </w:rPr>
        <w:t xml:space="preserve"> (2001) ECHR 327, at para 105.</w:t>
      </w:r>
    </w:p>
  </w:footnote>
  <w:footnote w:id="96">
    <w:p w14:paraId="44A1570B" w14:textId="77777777" w:rsidR="00B6279D" w:rsidRPr="00601C26" w:rsidRDefault="00B6279D" w:rsidP="00E53F3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 xml:space="preserve">Ilhan v Turkey </w:t>
      </w:r>
      <w:r w:rsidRPr="00601C26">
        <w:rPr>
          <w:color w:val="7030A0"/>
        </w:rPr>
        <w:t xml:space="preserve">(2000) ECHR 354, at para 63; </w:t>
      </w:r>
      <w:proofErr w:type="spellStart"/>
      <w:r w:rsidRPr="00601C26">
        <w:rPr>
          <w:i/>
          <w:color w:val="7030A0"/>
        </w:rPr>
        <w:t>Jelic</w:t>
      </w:r>
      <w:proofErr w:type="spellEnd"/>
      <w:r w:rsidRPr="00601C26">
        <w:rPr>
          <w:i/>
          <w:color w:val="7030A0"/>
        </w:rPr>
        <w:t xml:space="preserve"> v Croatia</w:t>
      </w:r>
      <w:r w:rsidRPr="00601C26">
        <w:rPr>
          <w:color w:val="7030A0"/>
        </w:rPr>
        <w:t xml:space="preserve"> (2014) ECHR 809, at para 66.</w:t>
      </w:r>
    </w:p>
  </w:footnote>
  <w:footnote w:id="97">
    <w:p w14:paraId="7C95270C" w14:textId="77777777" w:rsidR="00B6279D" w:rsidRPr="00601C26" w:rsidRDefault="00B6279D"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color w:val="7030A0"/>
        </w:rPr>
        <w:t>Ergi</w:t>
      </w:r>
      <w:proofErr w:type="spellEnd"/>
      <w:r w:rsidRPr="00601C26">
        <w:rPr>
          <w:i/>
          <w:color w:val="7030A0"/>
        </w:rPr>
        <w:t xml:space="preserve"> v Turkey</w:t>
      </w:r>
      <w:r w:rsidRPr="00601C26">
        <w:rPr>
          <w:color w:val="7030A0"/>
        </w:rPr>
        <w:t xml:space="preserve"> (1998), ECHR 59, at para 82.</w:t>
      </w:r>
    </w:p>
  </w:footnote>
  <w:footnote w:id="98">
    <w:p w14:paraId="0107E057" w14:textId="7F1D15C8" w:rsidR="00B6279D" w:rsidRPr="00601C26" w:rsidRDefault="00B6279D" w:rsidP="00E53F38">
      <w:pPr>
        <w:pStyle w:val="NIHRCFootnotes"/>
        <w:rPr>
          <w:color w:val="7030A0"/>
        </w:rPr>
      </w:pPr>
      <w:r w:rsidRPr="00601C26">
        <w:rPr>
          <w:rStyle w:val="FootnoteReference"/>
          <w:color w:val="7030A0"/>
        </w:rPr>
        <w:footnoteRef/>
      </w:r>
      <w:r w:rsidRPr="00601C26">
        <w:rPr>
          <w:color w:val="7030A0"/>
        </w:rPr>
        <w:t xml:space="preserve"> </w:t>
      </w:r>
      <w:r w:rsidR="008F0ACF">
        <w:rPr>
          <w:iCs/>
          <w:color w:val="7030A0"/>
        </w:rPr>
        <w:t>Ibid</w:t>
      </w:r>
      <w:r w:rsidR="009B42E3" w:rsidRPr="00601C26">
        <w:rPr>
          <w:color w:val="7030A0"/>
        </w:rPr>
        <w:t>.</w:t>
      </w:r>
    </w:p>
  </w:footnote>
  <w:footnote w:id="99">
    <w:p w14:paraId="26360927" w14:textId="730C1CBA" w:rsidR="00B6279D" w:rsidRPr="00601C26" w:rsidRDefault="00B6279D" w:rsidP="00E53F38">
      <w:pPr>
        <w:pStyle w:val="NIHRCFootnotes"/>
        <w:rPr>
          <w:color w:val="7030A0"/>
        </w:rPr>
      </w:pPr>
      <w:r w:rsidRPr="00601C26">
        <w:rPr>
          <w:rStyle w:val="FootnoteReference"/>
          <w:color w:val="7030A0"/>
        </w:rPr>
        <w:footnoteRef/>
      </w:r>
      <w:r w:rsidRPr="00601C26">
        <w:rPr>
          <w:color w:val="7030A0"/>
        </w:rPr>
        <w:t xml:space="preserve"> </w:t>
      </w:r>
      <w:r w:rsidR="008F0ACF">
        <w:rPr>
          <w:iCs/>
          <w:color w:val="7030A0"/>
        </w:rPr>
        <w:t>Ibid</w:t>
      </w:r>
      <w:r w:rsidR="009B42E3" w:rsidRPr="00601C26">
        <w:rPr>
          <w:color w:val="7030A0"/>
        </w:rPr>
        <w:t>.</w:t>
      </w:r>
    </w:p>
  </w:footnote>
  <w:footnote w:id="100">
    <w:p w14:paraId="0209E2B5" w14:textId="77777777" w:rsidR="00B6279D" w:rsidRPr="00601C26" w:rsidRDefault="00B6279D"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color w:val="7030A0"/>
        </w:rPr>
        <w:t>Brecknell</w:t>
      </w:r>
      <w:proofErr w:type="spellEnd"/>
      <w:r w:rsidRPr="00601C26">
        <w:rPr>
          <w:i/>
          <w:color w:val="7030A0"/>
        </w:rPr>
        <w:t xml:space="preserve"> v UK</w:t>
      </w:r>
      <w:r w:rsidRPr="00601C26">
        <w:rPr>
          <w:color w:val="7030A0"/>
        </w:rPr>
        <w:t xml:space="preserve"> (2007) ECHR 989, at para 70.</w:t>
      </w:r>
    </w:p>
  </w:footnote>
  <w:footnote w:id="101">
    <w:p w14:paraId="504AE7F2" w14:textId="04676273" w:rsidR="00B6279D" w:rsidRPr="00601C26" w:rsidRDefault="00B6279D" w:rsidP="00E53F38">
      <w:pPr>
        <w:pStyle w:val="NIHRCFootnotes"/>
        <w:rPr>
          <w:color w:val="7030A0"/>
        </w:rPr>
      </w:pPr>
      <w:r w:rsidRPr="00601C26">
        <w:rPr>
          <w:rStyle w:val="FootnoteReference"/>
          <w:color w:val="7030A0"/>
        </w:rPr>
        <w:footnoteRef/>
      </w:r>
      <w:r w:rsidRPr="00601C26">
        <w:rPr>
          <w:color w:val="7030A0"/>
        </w:rPr>
        <w:t xml:space="preserve"> </w:t>
      </w:r>
      <w:r w:rsidR="008F0ACF">
        <w:rPr>
          <w:iCs/>
          <w:color w:val="7030A0"/>
        </w:rPr>
        <w:t>Ibid</w:t>
      </w:r>
      <w:r w:rsidR="009B42E3" w:rsidRPr="00601C26">
        <w:rPr>
          <w:color w:val="7030A0"/>
        </w:rPr>
        <w:t xml:space="preserve">, at para </w:t>
      </w:r>
      <w:r w:rsidRPr="00601C26">
        <w:rPr>
          <w:color w:val="7030A0"/>
        </w:rPr>
        <w:t>71.</w:t>
      </w:r>
    </w:p>
  </w:footnote>
  <w:footnote w:id="102">
    <w:p w14:paraId="64B11B39" w14:textId="1468ECDA" w:rsidR="00B6279D" w:rsidRPr="00601C26" w:rsidRDefault="00B6279D" w:rsidP="00E53F38">
      <w:pPr>
        <w:pStyle w:val="NIHRCFootnotes"/>
        <w:rPr>
          <w:color w:val="7030A0"/>
        </w:rPr>
      </w:pPr>
      <w:r w:rsidRPr="00601C26">
        <w:rPr>
          <w:rStyle w:val="FootnoteReference"/>
          <w:color w:val="7030A0"/>
        </w:rPr>
        <w:footnoteRef/>
      </w:r>
      <w:r w:rsidRPr="00601C26">
        <w:rPr>
          <w:color w:val="7030A0"/>
        </w:rPr>
        <w:t xml:space="preserve"> </w:t>
      </w:r>
      <w:r w:rsidR="004B46BB" w:rsidRPr="00601C26">
        <w:rPr>
          <w:color w:val="7030A0"/>
        </w:rPr>
        <w:t>CCPR/C/GC/36, ‘UN Human Rights Committee General Comment No 36: Right to Life’, 30 October 2018</w:t>
      </w:r>
      <w:r w:rsidRPr="00601C26">
        <w:rPr>
          <w:color w:val="7030A0"/>
        </w:rPr>
        <w:t xml:space="preserve">, at para </w:t>
      </w:r>
      <w:r w:rsidR="004B46BB" w:rsidRPr="00601C26">
        <w:rPr>
          <w:color w:val="7030A0"/>
        </w:rPr>
        <w:t>28</w:t>
      </w:r>
      <w:r w:rsidRPr="00601C26">
        <w:rPr>
          <w:color w:val="7030A0"/>
        </w:rPr>
        <w:t>.</w:t>
      </w:r>
    </w:p>
  </w:footnote>
  <w:footnote w:id="103">
    <w:p w14:paraId="796E4CDE" w14:textId="77777777" w:rsidR="00B6279D" w:rsidRPr="00601C26" w:rsidRDefault="00B6279D" w:rsidP="00E53F38">
      <w:pPr>
        <w:pStyle w:val="NIHRCFootnotes"/>
        <w:rPr>
          <w:color w:val="7030A0"/>
        </w:rPr>
      </w:pPr>
      <w:r w:rsidRPr="00601C26">
        <w:rPr>
          <w:rStyle w:val="FootnoteReference"/>
          <w:color w:val="7030A0"/>
        </w:rPr>
        <w:footnoteRef/>
      </w:r>
      <w:r w:rsidRPr="00601C26">
        <w:rPr>
          <w:color w:val="7030A0"/>
        </w:rPr>
        <w:t xml:space="preserve"> A/RES/47/133, ‘Declaration on the Protection of All Persons from Enforced Disappearance’, 18 December 1992.</w:t>
      </w:r>
    </w:p>
  </w:footnote>
  <w:footnote w:id="104">
    <w:p w14:paraId="510A32CF" w14:textId="0766BA24" w:rsidR="00F85DD9" w:rsidRPr="00601C26" w:rsidRDefault="00F85DD9" w:rsidP="00E53F38">
      <w:pPr>
        <w:pStyle w:val="NIHRCFootnotes"/>
        <w:rPr>
          <w:color w:val="7030A0"/>
        </w:rPr>
      </w:pPr>
      <w:r w:rsidRPr="00601C26">
        <w:rPr>
          <w:rStyle w:val="FootnoteReference"/>
          <w:color w:val="7030A0"/>
        </w:rPr>
        <w:footnoteRef/>
      </w:r>
      <w:r w:rsidRPr="00601C26">
        <w:rPr>
          <w:color w:val="7030A0"/>
        </w:rPr>
        <w:t xml:space="preserve"> Clause 9, NI Troubles (Legacy and Reconciliation) Bill.</w:t>
      </w:r>
    </w:p>
  </w:footnote>
  <w:footnote w:id="105">
    <w:p w14:paraId="611B92C5" w14:textId="2405DFD2" w:rsidR="00FE497E" w:rsidRPr="00601C26" w:rsidRDefault="00FE497E" w:rsidP="00E53F3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 xml:space="preserve">McCann v </w:t>
      </w:r>
      <w:r w:rsidR="008F0ACF">
        <w:rPr>
          <w:i/>
          <w:color w:val="7030A0"/>
        </w:rPr>
        <w:t>UK</w:t>
      </w:r>
      <w:r w:rsidRPr="00601C26">
        <w:rPr>
          <w:color w:val="7030A0"/>
        </w:rPr>
        <w:t xml:space="preserve"> (1995) 21 EHRR 97, at para 173; </w:t>
      </w:r>
      <w:proofErr w:type="spellStart"/>
      <w:r w:rsidRPr="00601C26">
        <w:rPr>
          <w:i/>
          <w:color w:val="7030A0"/>
        </w:rPr>
        <w:t>McKerr</w:t>
      </w:r>
      <w:proofErr w:type="spellEnd"/>
      <w:r w:rsidRPr="00601C26">
        <w:rPr>
          <w:i/>
          <w:color w:val="7030A0"/>
        </w:rPr>
        <w:t xml:space="preserve"> v </w:t>
      </w:r>
      <w:r w:rsidR="008F0ACF">
        <w:rPr>
          <w:i/>
          <w:color w:val="7030A0"/>
        </w:rPr>
        <w:t>UK</w:t>
      </w:r>
      <w:r w:rsidRPr="00601C26">
        <w:rPr>
          <w:color w:val="7030A0"/>
        </w:rPr>
        <w:t xml:space="preserve"> (2001) ECHR 329, at para 111; </w:t>
      </w:r>
      <w:r w:rsidRPr="00601C26">
        <w:rPr>
          <w:i/>
          <w:color w:val="7030A0"/>
        </w:rPr>
        <w:t xml:space="preserve">Hugh Jordan v </w:t>
      </w:r>
      <w:r w:rsidR="008F0ACF">
        <w:rPr>
          <w:i/>
          <w:color w:val="7030A0"/>
        </w:rPr>
        <w:t>UK</w:t>
      </w:r>
      <w:r w:rsidRPr="00601C26">
        <w:rPr>
          <w:color w:val="7030A0"/>
        </w:rPr>
        <w:t xml:space="preserve"> (2001) ECHR 327, at para 105.</w:t>
      </w:r>
    </w:p>
  </w:footnote>
  <w:footnote w:id="106">
    <w:p w14:paraId="47380C46" w14:textId="71178C6C" w:rsidR="002F45D0" w:rsidRPr="00601C26" w:rsidRDefault="002F45D0"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color w:val="7030A0"/>
        </w:rPr>
        <w:t>Mentese</w:t>
      </w:r>
      <w:proofErr w:type="spellEnd"/>
      <w:r w:rsidRPr="00601C26">
        <w:rPr>
          <w:i/>
          <w:color w:val="7030A0"/>
        </w:rPr>
        <w:t xml:space="preserve"> and Others v Turkey</w:t>
      </w:r>
      <w:r w:rsidRPr="00601C26">
        <w:rPr>
          <w:color w:val="7030A0"/>
        </w:rPr>
        <w:t xml:space="preserve"> (2005) ECHR 22, at para 54; </w:t>
      </w:r>
      <w:proofErr w:type="spellStart"/>
      <w:r w:rsidRPr="00601C26">
        <w:rPr>
          <w:i/>
          <w:color w:val="7030A0"/>
        </w:rPr>
        <w:t>Aslakhanova</w:t>
      </w:r>
      <w:proofErr w:type="spellEnd"/>
      <w:r w:rsidRPr="00601C26">
        <w:rPr>
          <w:i/>
          <w:color w:val="7030A0"/>
        </w:rPr>
        <w:t xml:space="preserve"> and Others v Russia</w:t>
      </w:r>
      <w:r w:rsidRPr="00601C26">
        <w:rPr>
          <w:color w:val="7030A0"/>
        </w:rPr>
        <w:t xml:space="preserve"> (2012) ECHR 2075, at paras 11-12; </w:t>
      </w:r>
      <w:r w:rsidRPr="00601C26">
        <w:rPr>
          <w:i/>
          <w:color w:val="7030A0"/>
        </w:rPr>
        <w:t xml:space="preserve">Hugh Jordan v </w:t>
      </w:r>
      <w:r w:rsidR="008F0ACF">
        <w:rPr>
          <w:i/>
          <w:color w:val="7030A0"/>
        </w:rPr>
        <w:t>UK</w:t>
      </w:r>
      <w:r w:rsidRPr="00601C26">
        <w:rPr>
          <w:color w:val="7030A0"/>
        </w:rPr>
        <w:t xml:space="preserve"> (2001) ECHR 327, at para 136; </w:t>
      </w:r>
      <w:r w:rsidR="004B46BB" w:rsidRPr="00601C26">
        <w:rPr>
          <w:color w:val="7030A0"/>
        </w:rPr>
        <w:t>CCPR/C/GC/36, ‘UN Human Rights Committee General Comment No 36: Right to Life’, 30 October 2018</w:t>
      </w:r>
      <w:r w:rsidRPr="00601C26">
        <w:rPr>
          <w:color w:val="7030A0"/>
        </w:rPr>
        <w:t xml:space="preserve">, at para </w:t>
      </w:r>
      <w:r w:rsidR="002159C2" w:rsidRPr="00601C26">
        <w:rPr>
          <w:color w:val="7030A0"/>
        </w:rPr>
        <w:t>28</w:t>
      </w:r>
      <w:r w:rsidRPr="00601C26">
        <w:rPr>
          <w:color w:val="7030A0"/>
        </w:rPr>
        <w:t>.</w:t>
      </w:r>
    </w:p>
  </w:footnote>
  <w:footnote w:id="107">
    <w:p w14:paraId="4C3BA9C1" w14:textId="77777777" w:rsidR="002F45D0" w:rsidRPr="00601C26" w:rsidRDefault="002F45D0"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color w:val="7030A0"/>
        </w:rPr>
        <w:t>Mentese</w:t>
      </w:r>
      <w:proofErr w:type="spellEnd"/>
      <w:r w:rsidRPr="00601C26">
        <w:rPr>
          <w:i/>
          <w:color w:val="7030A0"/>
        </w:rPr>
        <w:t xml:space="preserve"> and Others v Turkey</w:t>
      </w:r>
      <w:r w:rsidRPr="00601C26">
        <w:rPr>
          <w:color w:val="7030A0"/>
        </w:rPr>
        <w:t xml:space="preserve"> (2005) ECHR 22, at para 54; </w:t>
      </w:r>
      <w:proofErr w:type="spellStart"/>
      <w:r w:rsidRPr="00601C26">
        <w:rPr>
          <w:i/>
          <w:color w:val="7030A0"/>
        </w:rPr>
        <w:t>Aslakhanova</w:t>
      </w:r>
      <w:proofErr w:type="spellEnd"/>
      <w:r w:rsidRPr="00601C26">
        <w:rPr>
          <w:i/>
          <w:color w:val="7030A0"/>
        </w:rPr>
        <w:t xml:space="preserve"> and Others v Russia</w:t>
      </w:r>
      <w:r w:rsidRPr="00601C26">
        <w:rPr>
          <w:color w:val="7030A0"/>
        </w:rPr>
        <w:t xml:space="preserve"> (2012) ECHR 2075, at paras 11-12.</w:t>
      </w:r>
    </w:p>
  </w:footnote>
  <w:footnote w:id="108">
    <w:p w14:paraId="27EC202A" w14:textId="2BE9F4D5" w:rsidR="002F45D0" w:rsidRPr="00601C26" w:rsidRDefault="002F45D0" w:rsidP="00E53F3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 xml:space="preserve">Hugh Jordan v </w:t>
      </w:r>
      <w:r w:rsidR="008F0ACF">
        <w:rPr>
          <w:i/>
          <w:color w:val="7030A0"/>
        </w:rPr>
        <w:t>UK</w:t>
      </w:r>
      <w:r w:rsidRPr="00601C26">
        <w:rPr>
          <w:color w:val="7030A0"/>
        </w:rPr>
        <w:t xml:space="preserve"> (2001) ECHR 327, at para 136.</w:t>
      </w:r>
    </w:p>
  </w:footnote>
  <w:footnote w:id="109">
    <w:p w14:paraId="289AB6F0" w14:textId="71E7116E" w:rsidR="002F45D0" w:rsidRPr="00601C26" w:rsidRDefault="002F45D0" w:rsidP="00E53F38">
      <w:pPr>
        <w:pStyle w:val="NIHRCFootnotes"/>
        <w:rPr>
          <w:color w:val="7030A0"/>
        </w:rPr>
      </w:pPr>
      <w:r w:rsidRPr="00601C26">
        <w:rPr>
          <w:rStyle w:val="FootnoteReference"/>
          <w:color w:val="7030A0"/>
        </w:rPr>
        <w:footnoteRef/>
      </w:r>
      <w:r w:rsidRPr="00601C26">
        <w:rPr>
          <w:color w:val="7030A0"/>
        </w:rPr>
        <w:t xml:space="preserve"> </w:t>
      </w:r>
      <w:r w:rsidR="008F0ACF">
        <w:rPr>
          <w:iCs/>
          <w:color w:val="7030A0"/>
        </w:rPr>
        <w:t>Ibid</w:t>
      </w:r>
      <w:r w:rsidRPr="00601C26">
        <w:rPr>
          <w:color w:val="7030A0"/>
        </w:rPr>
        <w:t>, at para 136 and 138.</w:t>
      </w:r>
    </w:p>
  </w:footnote>
  <w:footnote w:id="110">
    <w:p w14:paraId="5268DA32" w14:textId="77777777" w:rsidR="002F45D0" w:rsidRPr="00601C26" w:rsidRDefault="002F45D0"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color w:val="7030A0"/>
        </w:rPr>
        <w:t>Betayev</w:t>
      </w:r>
      <w:proofErr w:type="spellEnd"/>
      <w:r w:rsidRPr="00601C26">
        <w:rPr>
          <w:i/>
          <w:color w:val="7030A0"/>
        </w:rPr>
        <w:t xml:space="preserve"> and </w:t>
      </w:r>
      <w:proofErr w:type="spellStart"/>
      <w:r w:rsidRPr="00601C26">
        <w:rPr>
          <w:i/>
          <w:color w:val="7030A0"/>
        </w:rPr>
        <w:t>Betayeva</w:t>
      </w:r>
      <w:proofErr w:type="spellEnd"/>
      <w:r w:rsidRPr="00601C26">
        <w:rPr>
          <w:i/>
          <w:color w:val="7030A0"/>
        </w:rPr>
        <w:t xml:space="preserve"> v Russia</w:t>
      </w:r>
      <w:r w:rsidRPr="00601C26">
        <w:rPr>
          <w:color w:val="7030A0"/>
        </w:rPr>
        <w:t xml:space="preserve"> (2008) ECHR 469, at para 85.</w:t>
      </w:r>
    </w:p>
  </w:footnote>
  <w:footnote w:id="111">
    <w:p w14:paraId="1B87952C" w14:textId="480C1560" w:rsidR="002F45D0" w:rsidRPr="00601C26" w:rsidRDefault="002F45D0" w:rsidP="00E53F38">
      <w:pPr>
        <w:pStyle w:val="NIHRCFootnotes"/>
        <w:rPr>
          <w:color w:val="7030A0"/>
        </w:rPr>
      </w:pPr>
      <w:r w:rsidRPr="00601C26">
        <w:rPr>
          <w:rStyle w:val="FootnoteReference"/>
          <w:color w:val="7030A0"/>
        </w:rPr>
        <w:footnoteRef/>
      </w:r>
      <w:r w:rsidRPr="00601C26">
        <w:rPr>
          <w:color w:val="7030A0"/>
        </w:rPr>
        <w:t xml:space="preserve"> </w:t>
      </w:r>
      <w:r w:rsidR="00A378D4" w:rsidRPr="00601C26">
        <w:rPr>
          <w:color w:val="7030A0"/>
        </w:rPr>
        <w:t>UN Office of the High Commissioner for Human Rights, ‘The Minnesota Protocol on the Investigation of Potentially Unlawful Death: The Revised UN Manual on the Effective Prevention and Investigation of Extra-legal, Arbitrary and Summary Executions’ (OHCHR, 2016)</w:t>
      </w:r>
      <w:r w:rsidRPr="00601C26">
        <w:rPr>
          <w:color w:val="7030A0"/>
        </w:rPr>
        <w:t>, at para 23.</w:t>
      </w:r>
    </w:p>
  </w:footnote>
  <w:footnote w:id="112">
    <w:p w14:paraId="3B7266C4" w14:textId="77777777" w:rsidR="002F45D0" w:rsidRPr="00601C26" w:rsidRDefault="002F45D0" w:rsidP="00E53F38">
      <w:pPr>
        <w:pStyle w:val="NIHRCFootnotes"/>
        <w:rPr>
          <w:color w:val="7030A0"/>
        </w:rPr>
      </w:pPr>
      <w:r w:rsidRPr="00601C26">
        <w:rPr>
          <w:rStyle w:val="FootnoteReference"/>
          <w:color w:val="7030A0"/>
        </w:rPr>
        <w:footnoteRef/>
      </w:r>
      <w:r w:rsidRPr="00601C26">
        <w:rPr>
          <w:color w:val="7030A0"/>
        </w:rPr>
        <w:t xml:space="preserve"> UN Economic and Social Council, ‘Resolution 1989/65: Principles on the Effective Prevention and Investigation of Extra-legal, Arbitrary and Summary Executions’, 24 May 1989, at para 10.</w:t>
      </w:r>
    </w:p>
  </w:footnote>
  <w:footnote w:id="113">
    <w:p w14:paraId="2B84C107" w14:textId="39810392" w:rsidR="002F45D0" w:rsidRPr="00601C26" w:rsidRDefault="002F45D0" w:rsidP="00E53F3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 xml:space="preserve">Hugh Jordan v </w:t>
      </w:r>
      <w:r w:rsidR="000C23A5">
        <w:rPr>
          <w:i/>
          <w:color w:val="7030A0"/>
        </w:rPr>
        <w:t>UK</w:t>
      </w:r>
      <w:r w:rsidRPr="00601C26">
        <w:rPr>
          <w:color w:val="7030A0"/>
        </w:rPr>
        <w:t xml:space="preserve"> (2001) ECHR 327, at paras 108 and 138.</w:t>
      </w:r>
    </w:p>
  </w:footnote>
  <w:footnote w:id="114">
    <w:p w14:paraId="1EEDFA05" w14:textId="77777777" w:rsidR="002F45D0" w:rsidRPr="00601C26" w:rsidRDefault="002F45D0" w:rsidP="00E53F3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Slimani v Turkey</w:t>
      </w:r>
      <w:r w:rsidRPr="00601C26">
        <w:rPr>
          <w:color w:val="7030A0"/>
        </w:rPr>
        <w:t xml:space="preserve"> (2004), Application No 57671/00, Judgment of 27 July 2004, at para 32.</w:t>
      </w:r>
    </w:p>
  </w:footnote>
  <w:footnote w:id="115">
    <w:p w14:paraId="2A9D4871" w14:textId="6C7134BE" w:rsidR="002F45D0" w:rsidRPr="00601C26" w:rsidRDefault="002F45D0"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color w:val="7030A0"/>
        </w:rPr>
        <w:t>McKerr</w:t>
      </w:r>
      <w:proofErr w:type="spellEnd"/>
      <w:r w:rsidRPr="00601C26">
        <w:rPr>
          <w:i/>
          <w:color w:val="7030A0"/>
        </w:rPr>
        <w:t xml:space="preserve"> v </w:t>
      </w:r>
      <w:r w:rsidR="000C23A5">
        <w:rPr>
          <w:i/>
          <w:color w:val="7030A0"/>
        </w:rPr>
        <w:t>UK</w:t>
      </w:r>
      <w:r w:rsidRPr="00601C26">
        <w:rPr>
          <w:color w:val="7030A0"/>
        </w:rPr>
        <w:t xml:space="preserve"> (2001) ECHR 329, at para 114.</w:t>
      </w:r>
    </w:p>
  </w:footnote>
  <w:footnote w:id="116">
    <w:p w14:paraId="6EF0DA7C" w14:textId="77777777" w:rsidR="002F45D0" w:rsidRPr="00601C26" w:rsidRDefault="002F45D0"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color w:val="7030A0"/>
        </w:rPr>
        <w:t>Yasa</w:t>
      </w:r>
      <w:proofErr w:type="spellEnd"/>
      <w:r w:rsidRPr="00601C26">
        <w:rPr>
          <w:i/>
          <w:color w:val="7030A0"/>
        </w:rPr>
        <w:t xml:space="preserve"> v Turkey</w:t>
      </w:r>
      <w:r w:rsidRPr="00601C26">
        <w:rPr>
          <w:color w:val="7030A0"/>
        </w:rPr>
        <w:t xml:space="preserve"> (1998) ECHR 83, at para 104.</w:t>
      </w:r>
    </w:p>
  </w:footnote>
  <w:footnote w:id="117">
    <w:p w14:paraId="28FAB32C" w14:textId="77777777" w:rsidR="002F45D0" w:rsidRPr="00601C26" w:rsidRDefault="002F45D0"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color w:val="7030A0"/>
        </w:rPr>
        <w:t>Mahmut</w:t>
      </w:r>
      <w:proofErr w:type="spellEnd"/>
      <w:r w:rsidRPr="00601C26">
        <w:rPr>
          <w:i/>
          <w:color w:val="7030A0"/>
        </w:rPr>
        <w:t xml:space="preserve"> Kaya v Turkey</w:t>
      </w:r>
      <w:r w:rsidRPr="00601C26">
        <w:rPr>
          <w:color w:val="7030A0"/>
        </w:rPr>
        <w:t xml:space="preserve"> (2000) ECHR 129, at para 107.</w:t>
      </w:r>
    </w:p>
  </w:footnote>
  <w:footnote w:id="118">
    <w:p w14:paraId="34B856A8" w14:textId="7957692F" w:rsidR="002F45D0" w:rsidRPr="00601C26" w:rsidRDefault="002F45D0" w:rsidP="00E53F38">
      <w:pPr>
        <w:pStyle w:val="NIHRCFootnotes"/>
        <w:rPr>
          <w:color w:val="7030A0"/>
        </w:rPr>
      </w:pPr>
      <w:r w:rsidRPr="00601C26">
        <w:rPr>
          <w:rStyle w:val="FootnoteReference"/>
          <w:color w:val="7030A0"/>
        </w:rPr>
        <w:footnoteRef/>
      </w:r>
      <w:r w:rsidRPr="00601C26">
        <w:rPr>
          <w:color w:val="7030A0"/>
        </w:rPr>
        <w:t xml:space="preserve"> </w:t>
      </w:r>
      <w:r w:rsidR="000C23A5">
        <w:rPr>
          <w:iCs/>
          <w:color w:val="7030A0"/>
        </w:rPr>
        <w:t>Ibid</w:t>
      </w:r>
      <w:r w:rsidR="009B42E3" w:rsidRPr="00601C26">
        <w:rPr>
          <w:color w:val="7030A0"/>
        </w:rPr>
        <w:t>.</w:t>
      </w:r>
    </w:p>
  </w:footnote>
  <w:footnote w:id="119">
    <w:p w14:paraId="1EE1434D" w14:textId="77777777" w:rsidR="002F45D0" w:rsidRPr="00601C26" w:rsidRDefault="002F45D0" w:rsidP="00E53F38">
      <w:pPr>
        <w:pStyle w:val="NIHRCFootnotes"/>
        <w:rPr>
          <w:color w:val="7030A0"/>
        </w:rPr>
      </w:pPr>
      <w:r w:rsidRPr="00601C26">
        <w:rPr>
          <w:rStyle w:val="FootnoteReference"/>
          <w:color w:val="7030A0"/>
        </w:rPr>
        <w:footnoteRef/>
      </w:r>
      <w:r w:rsidRPr="00601C26">
        <w:rPr>
          <w:color w:val="7030A0"/>
        </w:rPr>
        <w:t xml:space="preserve"> E/CN.4/2006/53, ‘Report of the Special Rapporteur on Extrajudicial Summary or Arbitrary Executions, Philip Alston’, 8 March 2006, para 36.</w:t>
      </w:r>
    </w:p>
  </w:footnote>
  <w:footnote w:id="120">
    <w:p w14:paraId="42DF9366" w14:textId="77777777" w:rsidR="002F45D0" w:rsidRPr="00601C26" w:rsidRDefault="002F45D0"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color w:val="7030A0"/>
        </w:rPr>
        <w:t>Yasa</w:t>
      </w:r>
      <w:proofErr w:type="spellEnd"/>
      <w:r w:rsidRPr="00601C26">
        <w:rPr>
          <w:i/>
          <w:color w:val="7030A0"/>
        </w:rPr>
        <w:t xml:space="preserve"> v Turkey</w:t>
      </w:r>
      <w:r w:rsidRPr="00601C26">
        <w:rPr>
          <w:color w:val="7030A0"/>
        </w:rPr>
        <w:t xml:space="preserve"> (1998) ECHR 83, at para 104.</w:t>
      </w:r>
    </w:p>
  </w:footnote>
  <w:footnote w:id="121">
    <w:p w14:paraId="16269343" w14:textId="3D9E9A0E" w:rsidR="002F45D0" w:rsidRPr="00601C26" w:rsidRDefault="002F45D0" w:rsidP="00E53F38">
      <w:pPr>
        <w:pStyle w:val="NIHRCFootnotes"/>
        <w:rPr>
          <w:color w:val="7030A0"/>
        </w:rPr>
      </w:pPr>
      <w:r w:rsidRPr="00601C26">
        <w:rPr>
          <w:rStyle w:val="FootnoteReference"/>
          <w:color w:val="7030A0"/>
        </w:rPr>
        <w:footnoteRef/>
      </w:r>
      <w:r w:rsidRPr="00601C26">
        <w:rPr>
          <w:color w:val="7030A0"/>
        </w:rPr>
        <w:t xml:space="preserve"> </w:t>
      </w:r>
      <w:r w:rsidR="00A378D4" w:rsidRPr="00601C26">
        <w:rPr>
          <w:color w:val="7030A0"/>
        </w:rPr>
        <w:t>UN Office of the High Commissioner for Human Rights, ‘The Minnesota Protocol on the Investigation of Potentially Unlawful Death: The Revised UN Manual on the Effective Prevention and Investigation of Extra-legal, Arbitrary and Summary Executions’ (OHCHR, 2016)</w:t>
      </w:r>
      <w:r w:rsidRPr="00601C26">
        <w:rPr>
          <w:color w:val="7030A0"/>
        </w:rPr>
        <w:t>, at para 23.</w:t>
      </w:r>
    </w:p>
  </w:footnote>
  <w:footnote w:id="122">
    <w:p w14:paraId="53FBBE3E" w14:textId="0E01C6CB" w:rsidR="006B6D14" w:rsidRDefault="006B6D14" w:rsidP="00E53F38">
      <w:pPr>
        <w:pStyle w:val="NIHRCFootnotes"/>
      </w:pPr>
      <w:r>
        <w:rPr>
          <w:rStyle w:val="FootnoteReference"/>
        </w:rPr>
        <w:footnoteRef/>
      </w:r>
      <w:r>
        <w:t xml:space="preserve"> </w:t>
      </w:r>
      <w:r w:rsidRPr="00601C26">
        <w:rPr>
          <w:color w:val="7030A0"/>
        </w:rPr>
        <w:t>CM/Notes/1436/H46-35, ‘</w:t>
      </w:r>
      <w:proofErr w:type="spellStart"/>
      <w:r w:rsidRPr="00601C26">
        <w:rPr>
          <w:color w:val="7030A0"/>
        </w:rPr>
        <w:t>CoE</w:t>
      </w:r>
      <w:proofErr w:type="spellEnd"/>
      <w:r w:rsidRPr="00601C26">
        <w:rPr>
          <w:color w:val="7030A0"/>
        </w:rPr>
        <w:t xml:space="preserve"> Committee of Ministers Decision on </w:t>
      </w:r>
      <w:proofErr w:type="spellStart"/>
      <w:r w:rsidRPr="00601C26">
        <w:rPr>
          <w:color w:val="7030A0"/>
        </w:rPr>
        <w:t>McKerr</w:t>
      </w:r>
      <w:proofErr w:type="spellEnd"/>
      <w:r w:rsidRPr="00601C26">
        <w:rPr>
          <w:color w:val="7030A0"/>
        </w:rPr>
        <w:t xml:space="preserve"> Group v UK (Application No 28883/95), 10 June 2022</w:t>
      </w:r>
      <w:r>
        <w:rPr>
          <w:color w:val="7030A0"/>
        </w:rPr>
        <w:t>.</w:t>
      </w:r>
    </w:p>
  </w:footnote>
  <w:footnote w:id="123">
    <w:p w14:paraId="2357CF6B" w14:textId="4CA52A43" w:rsidR="002F0485" w:rsidRPr="00601C26" w:rsidRDefault="002F0485" w:rsidP="00E53F38">
      <w:pPr>
        <w:pStyle w:val="NIHRCFootnotes"/>
        <w:rPr>
          <w:color w:val="7030A0"/>
        </w:rPr>
      </w:pPr>
      <w:r w:rsidRPr="00601C26">
        <w:rPr>
          <w:rStyle w:val="FootnoteReference"/>
          <w:color w:val="7030A0"/>
        </w:rPr>
        <w:footnoteRef/>
      </w:r>
      <w:r w:rsidRPr="00601C26">
        <w:rPr>
          <w:color w:val="7030A0"/>
        </w:rPr>
        <w:t xml:space="preserve"> </w:t>
      </w:r>
      <w:r w:rsidR="000E3A53" w:rsidRPr="00601C26">
        <w:rPr>
          <w:color w:val="7030A0"/>
        </w:rPr>
        <w:t>CDL-</w:t>
      </w:r>
      <w:proofErr w:type="gramStart"/>
      <w:r w:rsidR="000E3A53" w:rsidRPr="00601C26">
        <w:rPr>
          <w:color w:val="7030A0"/>
        </w:rPr>
        <w:t>AD(</w:t>
      </w:r>
      <w:proofErr w:type="gramEnd"/>
      <w:r w:rsidR="000E3A53" w:rsidRPr="00601C26">
        <w:rPr>
          <w:color w:val="7030A0"/>
        </w:rPr>
        <w:t>2016)007rev, ‘</w:t>
      </w:r>
      <w:proofErr w:type="spellStart"/>
      <w:r w:rsidR="002A5990" w:rsidRPr="00601C26">
        <w:rPr>
          <w:color w:val="7030A0"/>
        </w:rPr>
        <w:t>CoE</w:t>
      </w:r>
      <w:proofErr w:type="spellEnd"/>
      <w:r w:rsidR="002A5990" w:rsidRPr="00601C26">
        <w:rPr>
          <w:color w:val="7030A0"/>
        </w:rPr>
        <w:t xml:space="preserve"> European Commission for Democracy Through Law: Rule of Law Checklist’, </w:t>
      </w:r>
      <w:r w:rsidR="008B1968" w:rsidRPr="00601C26">
        <w:rPr>
          <w:color w:val="7030A0"/>
        </w:rPr>
        <w:t xml:space="preserve">18 March 2016, at </w:t>
      </w:r>
      <w:r w:rsidR="00BA1073" w:rsidRPr="00601C26">
        <w:rPr>
          <w:color w:val="7030A0"/>
        </w:rPr>
        <w:t>13.</w:t>
      </w:r>
    </w:p>
  </w:footnote>
  <w:footnote w:id="124">
    <w:p w14:paraId="4AF36333" w14:textId="456CECDA" w:rsidR="000C7F45" w:rsidRPr="00601C26" w:rsidRDefault="000C7F45" w:rsidP="00E53F38">
      <w:pPr>
        <w:pStyle w:val="NIHRCFootnotes"/>
        <w:rPr>
          <w:color w:val="7030A0"/>
        </w:rPr>
      </w:pPr>
      <w:r w:rsidRPr="00601C26">
        <w:rPr>
          <w:rStyle w:val="FootnoteReference"/>
          <w:color w:val="7030A0"/>
        </w:rPr>
        <w:footnoteRef/>
      </w:r>
      <w:r w:rsidRPr="00601C26">
        <w:rPr>
          <w:color w:val="7030A0"/>
        </w:rPr>
        <w:t xml:space="preserve"> </w:t>
      </w:r>
      <w:r w:rsidR="001D5E4A" w:rsidRPr="00601C26">
        <w:rPr>
          <w:color w:val="7030A0"/>
        </w:rPr>
        <w:t xml:space="preserve">UK Government, </w:t>
      </w:r>
      <w:r w:rsidR="00DD5CB8" w:rsidRPr="00601C26">
        <w:rPr>
          <w:color w:val="7030A0"/>
        </w:rPr>
        <w:t xml:space="preserve">‘NI Troubles (Legacy and Reconciliation) Bill: </w:t>
      </w:r>
      <w:r w:rsidRPr="00601C26">
        <w:rPr>
          <w:color w:val="7030A0"/>
        </w:rPr>
        <w:t>Explanatory Notes</w:t>
      </w:r>
      <w:r w:rsidR="00DD5CB8" w:rsidRPr="00601C26">
        <w:rPr>
          <w:color w:val="7030A0"/>
        </w:rPr>
        <w:t>’</w:t>
      </w:r>
      <w:r w:rsidR="001D5E4A" w:rsidRPr="00601C26">
        <w:rPr>
          <w:color w:val="7030A0"/>
        </w:rPr>
        <w:t xml:space="preserve"> (UK Gov, 2022)</w:t>
      </w:r>
      <w:r w:rsidRPr="00601C26">
        <w:rPr>
          <w:color w:val="7030A0"/>
        </w:rPr>
        <w:t>,</w:t>
      </w:r>
      <w:r w:rsidR="001D5E4A" w:rsidRPr="00601C26">
        <w:rPr>
          <w:color w:val="7030A0"/>
        </w:rPr>
        <w:t xml:space="preserve"> at para</w:t>
      </w:r>
      <w:r w:rsidRPr="00601C26">
        <w:rPr>
          <w:color w:val="7030A0"/>
        </w:rPr>
        <w:t xml:space="preserve"> 10</w:t>
      </w:r>
      <w:r w:rsidR="001D5E4A" w:rsidRPr="00601C26">
        <w:rPr>
          <w:color w:val="7030A0"/>
        </w:rPr>
        <w:t>.</w:t>
      </w:r>
    </w:p>
  </w:footnote>
  <w:footnote w:id="125">
    <w:p w14:paraId="376FFB72" w14:textId="6BCEE01C" w:rsidR="00FE2C2B" w:rsidRPr="00601C26" w:rsidRDefault="00FE2C2B" w:rsidP="00E53F38">
      <w:pPr>
        <w:pStyle w:val="NIHRCFootnotes"/>
        <w:rPr>
          <w:i/>
          <w:color w:val="7030A0"/>
        </w:rPr>
      </w:pPr>
      <w:r w:rsidRPr="00601C26">
        <w:rPr>
          <w:rStyle w:val="FootnoteReference"/>
          <w:color w:val="7030A0"/>
        </w:rPr>
        <w:footnoteRef/>
      </w:r>
      <w:r w:rsidRPr="00601C26">
        <w:rPr>
          <w:color w:val="7030A0"/>
        </w:rPr>
        <w:t xml:space="preserve"> </w:t>
      </w:r>
      <w:r w:rsidRPr="00601C26">
        <w:rPr>
          <w:i/>
          <w:color w:val="7030A0"/>
        </w:rPr>
        <w:t xml:space="preserve">McCann v </w:t>
      </w:r>
      <w:r w:rsidR="000C23A5">
        <w:rPr>
          <w:i/>
          <w:color w:val="7030A0"/>
        </w:rPr>
        <w:t>UK</w:t>
      </w:r>
      <w:r w:rsidRPr="00601C26">
        <w:rPr>
          <w:color w:val="7030A0"/>
        </w:rPr>
        <w:t xml:space="preserve"> (1995) 21 EHRR 97, at para 159.</w:t>
      </w:r>
    </w:p>
  </w:footnote>
  <w:footnote w:id="126">
    <w:p w14:paraId="5E0E14A9" w14:textId="4E39C845" w:rsidR="00FE2C2B" w:rsidRPr="00601C26" w:rsidRDefault="00FE2C2B"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color w:val="7030A0"/>
        </w:rPr>
        <w:t>McKerr</w:t>
      </w:r>
      <w:proofErr w:type="spellEnd"/>
      <w:r w:rsidRPr="00601C26">
        <w:rPr>
          <w:i/>
          <w:color w:val="7030A0"/>
        </w:rPr>
        <w:t xml:space="preserve"> v </w:t>
      </w:r>
      <w:r w:rsidR="000C23A5">
        <w:rPr>
          <w:i/>
          <w:color w:val="7030A0"/>
        </w:rPr>
        <w:t>UK</w:t>
      </w:r>
      <w:r w:rsidRPr="00601C26">
        <w:rPr>
          <w:color w:val="7030A0"/>
        </w:rPr>
        <w:t xml:space="preserve"> (2001) ECHR 329, at para 115.</w:t>
      </w:r>
    </w:p>
  </w:footnote>
  <w:footnote w:id="127">
    <w:p w14:paraId="5D3B85D6" w14:textId="7EEAE4CE" w:rsidR="00FE2C2B" w:rsidRPr="00601C26" w:rsidRDefault="00FE2C2B" w:rsidP="00E53F38">
      <w:pPr>
        <w:pStyle w:val="NIHRCFootnotes"/>
        <w:rPr>
          <w:color w:val="7030A0"/>
        </w:rPr>
      </w:pPr>
      <w:r w:rsidRPr="00601C26">
        <w:rPr>
          <w:rStyle w:val="FootnoteReference"/>
          <w:color w:val="7030A0"/>
        </w:rPr>
        <w:footnoteRef/>
      </w:r>
      <w:r w:rsidRPr="00601C26">
        <w:rPr>
          <w:color w:val="7030A0"/>
        </w:rPr>
        <w:t xml:space="preserve"> </w:t>
      </w:r>
      <w:r w:rsidR="000C23A5">
        <w:rPr>
          <w:iCs/>
          <w:color w:val="7030A0"/>
        </w:rPr>
        <w:t>Ibid</w:t>
      </w:r>
      <w:r w:rsidRPr="00601C26">
        <w:rPr>
          <w:color w:val="7030A0"/>
        </w:rPr>
        <w:t>.</w:t>
      </w:r>
    </w:p>
  </w:footnote>
  <w:footnote w:id="128">
    <w:p w14:paraId="4F8A58E7" w14:textId="2B176361" w:rsidR="00FE2C2B" w:rsidRPr="00601C26" w:rsidRDefault="00FE2C2B" w:rsidP="00E53F3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 xml:space="preserve">Hugh Jordan v </w:t>
      </w:r>
      <w:r w:rsidR="000C23A5">
        <w:rPr>
          <w:i/>
          <w:color w:val="7030A0"/>
        </w:rPr>
        <w:t>UK</w:t>
      </w:r>
      <w:r w:rsidRPr="00601C26">
        <w:rPr>
          <w:color w:val="7030A0"/>
        </w:rPr>
        <w:t xml:space="preserve"> (2001) ECHR 327, at paras 122-124.</w:t>
      </w:r>
    </w:p>
  </w:footnote>
  <w:footnote w:id="129">
    <w:p w14:paraId="098180EB" w14:textId="0AEFB6FD" w:rsidR="00FE2C2B" w:rsidRPr="00601C26" w:rsidRDefault="00FE2C2B" w:rsidP="00E53F38">
      <w:pPr>
        <w:pStyle w:val="NIHRCFootnotes"/>
        <w:rPr>
          <w:color w:val="7030A0"/>
        </w:rPr>
      </w:pPr>
      <w:r w:rsidRPr="00601C26">
        <w:rPr>
          <w:rStyle w:val="FootnoteReference"/>
          <w:color w:val="7030A0"/>
        </w:rPr>
        <w:footnoteRef/>
      </w:r>
      <w:r w:rsidRPr="00601C26">
        <w:rPr>
          <w:color w:val="7030A0"/>
        </w:rPr>
        <w:t xml:space="preserve"> </w:t>
      </w:r>
      <w:r w:rsidR="00AB322C">
        <w:rPr>
          <w:iCs/>
          <w:color w:val="7030A0"/>
        </w:rPr>
        <w:t>Ibid</w:t>
      </w:r>
      <w:r w:rsidRPr="00601C26">
        <w:rPr>
          <w:color w:val="7030A0"/>
        </w:rPr>
        <w:t>, at paras 122-124.</w:t>
      </w:r>
    </w:p>
  </w:footnote>
  <w:footnote w:id="130">
    <w:p w14:paraId="483B7988" w14:textId="5CC16056" w:rsidR="00FE2C2B" w:rsidRPr="00601C26" w:rsidRDefault="00FE2C2B" w:rsidP="00E53F38">
      <w:pPr>
        <w:pStyle w:val="NIHRCFootnotes"/>
        <w:rPr>
          <w:color w:val="7030A0"/>
        </w:rPr>
      </w:pPr>
      <w:r w:rsidRPr="00601C26">
        <w:rPr>
          <w:rStyle w:val="FootnoteReference"/>
          <w:color w:val="7030A0"/>
        </w:rPr>
        <w:footnoteRef/>
      </w:r>
      <w:r w:rsidRPr="00601C26">
        <w:rPr>
          <w:color w:val="7030A0"/>
        </w:rPr>
        <w:t xml:space="preserve"> </w:t>
      </w:r>
      <w:r w:rsidR="00AB322C">
        <w:rPr>
          <w:iCs/>
          <w:color w:val="7030A0"/>
        </w:rPr>
        <w:t>Ibid</w:t>
      </w:r>
      <w:r w:rsidRPr="00601C26">
        <w:rPr>
          <w:color w:val="7030A0"/>
        </w:rPr>
        <w:t>, at para 121.</w:t>
      </w:r>
    </w:p>
  </w:footnote>
  <w:footnote w:id="131">
    <w:p w14:paraId="2CB23F28" w14:textId="0D01FE46" w:rsidR="00FE2C2B" w:rsidRPr="00601C26" w:rsidRDefault="00FE2C2B" w:rsidP="00E53F38">
      <w:pPr>
        <w:pStyle w:val="NIHRCFootnotes"/>
        <w:rPr>
          <w:color w:val="7030A0"/>
        </w:rPr>
      </w:pPr>
      <w:r w:rsidRPr="00601C26">
        <w:rPr>
          <w:rStyle w:val="FootnoteReference"/>
          <w:color w:val="7030A0"/>
        </w:rPr>
        <w:footnoteRef/>
      </w:r>
      <w:r w:rsidRPr="00601C26">
        <w:rPr>
          <w:color w:val="7030A0"/>
        </w:rPr>
        <w:t xml:space="preserve"> </w:t>
      </w:r>
      <w:r w:rsidR="00AB322C">
        <w:rPr>
          <w:iCs/>
          <w:color w:val="7030A0"/>
        </w:rPr>
        <w:t>Ibid</w:t>
      </w:r>
      <w:r w:rsidRPr="00601C26">
        <w:rPr>
          <w:color w:val="7030A0"/>
        </w:rPr>
        <w:t>.</w:t>
      </w:r>
    </w:p>
  </w:footnote>
  <w:footnote w:id="132">
    <w:p w14:paraId="4D2DB8D2" w14:textId="77777777" w:rsidR="00FE2C2B" w:rsidRPr="00601C26" w:rsidRDefault="00FE2C2B"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color w:val="7030A0"/>
        </w:rPr>
        <w:t>Eremiásová</w:t>
      </w:r>
      <w:proofErr w:type="spellEnd"/>
      <w:r w:rsidRPr="00601C26">
        <w:rPr>
          <w:i/>
          <w:color w:val="7030A0"/>
        </w:rPr>
        <w:t xml:space="preserve"> and </w:t>
      </w:r>
      <w:proofErr w:type="spellStart"/>
      <w:r w:rsidRPr="00601C26">
        <w:rPr>
          <w:i/>
          <w:color w:val="7030A0"/>
        </w:rPr>
        <w:t>Pechová</w:t>
      </w:r>
      <w:proofErr w:type="spellEnd"/>
      <w:r w:rsidRPr="00601C26">
        <w:rPr>
          <w:i/>
          <w:color w:val="7030A0"/>
        </w:rPr>
        <w:t xml:space="preserve"> v Czech Republic</w:t>
      </w:r>
      <w:r w:rsidRPr="00601C26">
        <w:rPr>
          <w:color w:val="7030A0"/>
        </w:rPr>
        <w:t>, Application No 23944/04, Judgment of 16 May 2012, at para 149.</w:t>
      </w:r>
    </w:p>
  </w:footnote>
  <w:footnote w:id="133">
    <w:p w14:paraId="6E184194" w14:textId="77777777" w:rsidR="00FE2C2B" w:rsidRPr="00601C26" w:rsidRDefault="00FE2C2B"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color w:val="7030A0"/>
        </w:rPr>
        <w:t>Gülec</w:t>
      </w:r>
      <w:proofErr w:type="spellEnd"/>
      <w:r w:rsidRPr="00601C26">
        <w:rPr>
          <w:i/>
          <w:color w:val="7030A0"/>
        </w:rPr>
        <w:t xml:space="preserve"> v Turkey</w:t>
      </w:r>
      <w:r w:rsidRPr="00601C26">
        <w:rPr>
          <w:color w:val="7030A0"/>
        </w:rPr>
        <w:t>, Application No 21593/93, Judgment of 27 July 1998, at para 82.</w:t>
      </w:r>
    </w:p>
  </w:footnote>
  <w:footnote w:id="134">
    <w:p w14:paraId="3398BD2F" w14:textId="77777777" w:rsidR="00FE2C2B" w:rsidRPr="00601C26" w:rsidRDefault="00FE2C2B"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color w:val="7030A0"/>
        </w:rPr>
        <w:t>Ogur</w:t>
      </w:r>
      <w:proofErr w:type="spellEnd"/>
      <w:r w:rsidRPr="00601C26">
        <w:rPr>
          <w:i/>
          <w:color w:val="7030A0"/>
        </w:rPr>
        <w:t xml:space="preserve"> v Turkey </w:t>
      </w:r>
      <w:r w:rsidRPr="00601C26">
        <w:rPr>
          <w:color w:val="7030A0"/>
        </w:rPr>
        <w:t>(1999) ECHR 30, at para 92.</w:t>
      </w:r>
    </w:p>
  </w:footnote>
  <w:footnote w:id="135">
    <w:p w14:paraId="059E75A4" w14:textId="77777777" w:rsidR="00FE2C2B" w:rsidRPr="00601C26" w:rsidRDefault="00FE2C2B" w:rsidP="00E53F3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Gül v Turkey</w:t>
      </w:r>
      <w:r w:rsidRPr="00601C26">
        <w:rPr>
          <w:color w:val="7030A0"/>
        </w:rPr>
        <w:t>, Application No 22676/93, Judgment of 14 December 2000, at para 93.</w:t>
      </w:r>
    </w:p>
  </w:footnote>
  <w:footnote w:id="136">
    <w:p w14:paraId="233BF8F6" w14:textId="4D158DD2" w:rsidR="002164CB" w:rsidRPr="00601C26" w:rsidRDefault="002164CB" w:rsidP="00E53F38">
      <w:pPr>
        <w:pStyle w:val="NIHRCFootnotes"/>
        <w:rPr>
          <w:color w:val="7030A0"/>
        </w:rPr>
      </w:pPr>
      <w:r w:rsidRPr="00601C26">
        <w:rPr>
          <w:rStyle w:val="FootnoteReference"/>
          <w:color w:val="7030A0"/>
        </w:rPr>
        <w:footnoteRef/>
      </w:r>
      <w:r w:rsidRPr="00601C26">
        <w:rPr>
          <w:color w:val="7030A0"/>
        </w:rPr>
        <w:t xml:space="preserve"> Articles 17 and 19, UN International Covenant on Civil and Political Rights 1966</w:t>
      </w:r>
      <w:r w:rsidR="003E0F64" w:rsidRPr="00601C26">
        <w:rPr>
          <w:color w:val="7030A0"/>
        </w:rPr>
        <w:t xml:space="preserve">; Article 5(d)(viii), UN Convention on the Elimination of All Forms of Racial Discrimination 1965; </w:t>
      </w:r>
      <w:r w:rsidR="00DE5BFB" w:rsidRPr="00601C26">
        <w:rPr>
          <w:color w:val="7030A0"/>
        </w:rPr>
        <w:t>Article</w:t>
      </w:r>
      <w:r w:rsidR="0022135B" w:rsidRPr="00601C26">
        <w:rPr>
          <w:color w:val="7030A0"/>
        </w:rPr>
        <w:t>s 12, 13 and</w:t>
      </w:r>
      <w:r w:rsidR="00DE5BFB" w:rsidRPr="00601C26">
        <w:rPr>
          <w:color w:val="7030A0"/>
        </w:rPr>
        <w:t xml:space="preserve"> 16(1), UN Convention on the Rights of the Child 1989; </w:t>
      </w:r>
      <w:r w:rsidR="003514F2" w:rsidRPr="00601C26">
        <w:rPr>
          <w:color w:val="7030A0"/>
        </w:rPr>
        <w:t>Articles 21 and 22, UN Convention on the Rights of Persons with Disabilities 2006.</w:t>
      </w:r>
    </w:p>
  </w:footnote>
  <w:footnote w:id="137">
    <w:p w14:paraId="518D0A00" w14:textId="77777777" w:rsidR="000761F8" w:rsidRPr="00601C26" w:rsidRDefault="000761F8" w:rsidP="00E53F3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Leander v Sweden</w:t>
      </w:r>
      <w:r w:rsidRPr="00601C26">
        <w:rPr>
          <w:color w:val="7030A0"/>
        </w:rPr>
        <w:t xml:space="preserve"> (1987) ECHR 4, at para 51.</w:t>
      </w:r>
    </w:p>
  </w:footnote>
  <w:footnote w:id="138">
    <w:p w14:paraId="2A2D1F21" w14:textId="77777777" w:rsidR="00173082" w:rsidRPr="00601C26" w:rsidRDefault="00173082" w:rsidP="00E53F3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M and Others v Bulgaria</w:t>
      </w:r>
      <w:r w:rsidRPr="00601C26">
        <w:rPr>
          <w:color w:val="7030A0"/>
        </w:rPr>
        <w:t xml:space="preserve"> (2011) ECHR 1195, at para 100.</w:t>
      </w:r>
    </w:p>
  </w:footnote>
  <w:footnote w:id="139">
    <w:p w14:paraId="200FF847" w14:textId="731159B3" w:rsidR="00173082" w:rsidRPr="00601C26" w:rsidRDefault="00173082" w:rsidP="00E53F38">
      <w:pPr>
        <w:pStyle w:val="NIHRCFootnotes"/>
        <w:rPr>
          <w:color w:val="7030A0"/>
        </w:rPr>
      </w:pPr>
      <w:r w:rsidRPr="00601C26">
        <w:rPr>
          <w:rStyle w:val="FootnoteReference"/>
          <w:color w:val="7030A0"/>
        </w:rPr>
        <w:footnoteRef/>
      </w:r>
      <w:r w:rsidRPr="00601C26">
        <w:rPr>
          <w:color w:val="7030A0"/>
        </w:rPr>
        <w:t xml:space="preserve"> </w:t>
      </w:r>
      <w:r w:rsidR="00AB322C">
        <w:rPr>
          <w:iCs/>
          <w:color w:val="7030A0"/>
        </w:rPr>
        <w:t>Ibid</w:t>
      </w:r>
      <w:r w:rsidRPr="00601C26">
        <w:rPr>
          <w:color w:val="7030A0"/>
        </w:rPr>
        <w:t>, at para 101.</w:t>
      </w:r>
    </w:p>
  </w:footnote>
  <w:footnote w:id="140">
    <w:p w14:paraId="0DA357D5" w14:textId="6E24B2AA" w:rsidR="003E3A79" w:rsidRPr="00601C26" w:rsidRDefault="003E3A79" w:rsidP="00E53F38">
      <w:pPr>
        <w:pStyle w:val="NIHRCFootnotes"/>
        <w:rPr>
          <w:color w:val="7030A0"/>
        </w:rPr>
      </w:pPr>
      <w:r w:rsidRPr="00601C26">
        <w:rPr>
          <w:rStyle w:val="FootnoteReference"/>
          <w:color w:val="7030A0"/>
        </w:rPr>
        <w:footnoteRef/>
      </w:r>
      <w:r w:rsidRPr="00601C26">
        <w:rPr>
          <w:color w:val="7030A0"/>
        </w:rPr>
        <w:t xml:space="preserve"> CCPR/C/GC/34, ‘</w:t>
      </w:r>
      <w:r w:rsidR="00586269" w:rsidRPr="00601C26">
        <w:rPr>
          <w:color w:val="7030A0"/>
        </w:rPr>
        <w:t xml:space="preserve">UN Human Rights Committee </w:t>
      </w:r>
      <w:r w:rsidRPr="00601C26">
        <w:rPr>
          <w:color w:val="7030A0"/>
        </w:rPr>
        <w:t>General Comment No 34: Article 19 - Freedom of Opinion and Expression’, 12 September 2011, at para 35.</w:t>
      </w:r>
    </w:p>
  </w:footnote>
  <w:footnote w:id="141">
    <w:p w14:paraId="22DD33CE" w14:textId="77777777" w:rsidR="005E5952" w:rsidRPr="00601C26" w:rsidRDefault="005E5952" w:rsidP="00E53F3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El-</w:t>
      </w:r>
      <w:proofErr w:type="spellStart"/>
      <w:r w:rsidRPr="00601C26">
        <w:rPr>
          <w:i/>
          <w:color w:val="7030A0"/>
        </w:rPr>
        <w:t>Masri</w:t>
      </w:r>
      <w:proofErr w:type="spellEnd"/>
      <w:r w:rsidRPr="00601C26">
        <w:rPr>
          <w:i/>
          <w:color w:val="7030A0"/>
        </w:rPr>
        <w:t xml:space="preserve"> v The Former Yugoslav Republic of Macedonia</w:t>
      </w:r>
      <w:r w:rsidRPr="00601C26">
        <w:rPr>
          <w:color w:val="7030A0"/>
        </w:rPr>
        <w:t xml:space="preserve"> (2012), Application No 39630/09, Judgment of 13 December 2012, at para 191; </w:t>
      </w:r>
      <w:proofErr w:type="spellStart"/>
      <w:r w:rsidRPr="00601C26">
        <w:rPr>
          <w:i/>
          <w:color w:val="7030A0"/>
        </w:rPr>
        <w:t>Janowiec</w:t>
      </w:r>
      <w:proofErr w:type="spellEnd"/>
      <w:r w:rsidRPr="00601C26">
        <w:rPr>
          <w:i/>
          <w:color w:val="7030A0"/>
        </w:rPr>
        <w:t xml:space="preserve"> and Others v Russia</w:t>
      </w:r>
      <w:r w:rsidRPr="00601C26">
        <w:rPr>
          <w:color w:val="7030A0"/>
        </w:rPr>
        <w:t xml:space="preserve"> (2013) ECHR 1003, at para 9 of the Joint Partly Dissenting Opinion of Judges </w:t>
      </w:r>
      <w:proofErr w:type="spellStart"/>
      <w:r w:rsidRPr="00601C26">
        <w:rPr>
          <w:color w:val="7030A0"/>
        </w:rPr>
        <w:t>Ziemele</w:t>
      </w:r>
      <w:proofErr w:type="spellEnd"/>
      <w:r w:rsidRPr="00601C26">
        <w:rPr>
          <w:color w:val="7030A0"/>
        </w:rPr>
        <w:t xml:space="preserve">, De Gaetano, </w:t>
      </w:r>
      <w:proofErr w:type="spellStart"/>
      <w:r w:rsidRPr="00601C26">
        <w:rPr>
          <w:color w:val="7030A0"/>
        </w:rPr>
        <w:t>Laffranque</w:t>
      </w:r>
      <w:proofErr w:type="spellEnd"/>
      <w:r w:rsidRPr="00601C26">
        <w:rPr>
          <w:color w:val="7030A0"/>
        </w:rPr>
        <w:t xml:space="preserve"> and Keller; </w:t>
      </w:r>
      <w:proofErr w:type="spellStart"/>
      <w:r w:rsidRPr="00601C26">
        <w:rPr>
          <w:i/>
          <w:color w:val="7030A0"/>
        </w:rPr>
        <w:t>Varnava</w:t>
      </w:r>
      <w:proofErr w:type="spellEnd"/>
      <w:r w:rsidRPr="00601C26">
        <w:rPr>
          <w:i/>
          <w:color w:val="7030A0"/>
        </w:rPr>
        <w:t xml:space="preserve"> and Others v Turkey</w:t>
      </w:r>
      <w:r w:rsidRPr="00601C26">
        <w:rPr>
          <w:color w:val="7030A0"/>
        </w:rPr>
        <w:t xml:space="preserve"> (2009) ECHR 1313, at paras 200-202. </w:t>
      </w:r>
    </w:p>
  </w:footnote>
  <w:footnote w:id="142">
    <w:p w14:paraId="1B19265A" w14:textId="77777777" w:rsidR="005E5952" w:rsidRPr="00601C26" w:rsidRDefault="005E5952" w:rsidP="00E53F3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El-</w:t>
      </w:r>
      <w:proofErr w:type="spellStart"/>
      <w:r w:rsidRPr="00601C26">
        <w:rPr>
          <w:i/>
          <w:color w:val="7030A0"/>
        </w:rPr>
        <w:t>Masri</w:t>
      </w:r>
      <w:proofErr w:type="spellEnd"/>
      <w:r w:rsidRPr="00601C26">
        <w:rPr>
          <w:i/>
          <w:color w:val="7030A0"/>
        </w:rPr>
        <w:t xml:space="preserve"> v The Former Yugoslav Republic of Macedonia</w:t>
      </w:r>
      <w:r w:rsidRPr="00601C26">
        <w:rPr>
          <w:color w:val="7030A0"/>
        </w:rPr>
        <w:t xml:space="preserve"> (2012), Application No 39630/09, Judgment of 13 December 2012, at para 191.</w:t>
      </w:r>
    </w:p>
  </w:footnote>
  <w:footnote w:id="143">
    <w:p w14:paraId="2EE10D3C" w14:textId="77777777" w:rsidR="005E5952" w:rsidRPr="00601C26" w:rsidRDefault="005E5952" w:rsidP="00E53F38">
      <w:pPr>
        <w:pStyle w:val="NIHRCFootnotes"/>
        <w:rPr>
          <w:color w:val="7030A0"/>
        </w:rPr>
      </w:pPr>
      <w:r w:rsidRPr="00601C26">
        <w:rPr>
          <w:rStyle w:val="FootnoteReference"/>
          <w:color w:val="7030A0"/>
        </w:rPr>
        <w:footnoteRef/>
      </w:r>
      <w:r w:rsidRPr="00601C26">
        <w:rPr>
          <w:color w:val="7030A0"/>
        </w:rPr>
        <w:t xml:space="preserve"> UN Office of the High Commissioner for Human Rights, ‘The Minnesota Protocol on the Investigation of Potentially Unlawful Death: The Revised UN Manual on the Effective Prevention and Investigation of Extra-legal, Arbitrary and Summary Executions’ (OHCHR, 2016), at para 13.</w:t>
      </w:r>
    </w:p>
  </w:footnote>
  <w:footnote w:id="144">
    <w:p w14:paraId="0AC575AA" w14:textId="77777777" w:rsidR="005E5952" w:rsidRPr="00601C26" w:rsidRDefault="005E5952"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iCs/>
          <w:color w:val="7030A0"/>
        </w:rPr>
        <w:t>McKerr</w:t>
      </w:r>
      <w:proofErr w:type="spellEnd"/>
      <w:r w:rsidRPr="00601C26">
        <w:rPr>
          <w:i/>
          <w:iCs/>
          <w:color w:val="7030A0"/>
        </w:rPr>
        <w:t xml:space="preserve"> v UK</w:t>
      </w:r>
      <w:r w:rsidRPr="00601C26">
        <w:rPr>
          <w:color w:val="7030A0"/>
        </w:rPr>
        <w:t xml:space="preserve"> (2001) ECHR 329, at para 114.</w:t>
      </w:r>
    </w:p>
  </w:footnote>
  <w:footnote w:id="145">
    <w:p w14:paraId="3B672548" w14:textId="0EE13B31" w:rsidR="00EA75BE" w:rsidRPr="00EA75BE" w:rsidRDefault="00EA75BE" w:rsidP="00E53F38">
      <w:pPr>
        <w:pStyle w:val="NIHRCFootnotes"/>
        <w:rPr>
          <w:color w:val="7030A0"/>
        </w:rPr>
      </w:pPr>
      <w:r>
        <w:rPr>
          <w:rStyle w:val="FootnoteReference"/>
        </w:rPr>
        <w:footnoteRef/>
      </w:r>
      <w:r>
        <w:t xml:space="preserve"> </w:t>
      </w:r>
      <w:proofErr w:type="spellStart"/>
      <w:r>
        <w:rPr>
          <w:color w:val="7030A0"/>
        </w:rPr>
        <w:t>CoE</w:t>
      </w:r>
      <w:proofErr w:type="spellEnd"/>
      <w:r>
        <w:rPr>
          <w:color w:val="7030A0"/>
        </w:rPr>
        <w:t xml:space="preserve"> Commissioner for Human Rights, ‘Press Release: UK – Backsliding on human rights must be prevented’, 4 July 2022.</w:t>
      </w:r>
    </w:p>
  </w:footnote>
  <w:footnote w:id="146">
    <w:p w14:paraId="543FBD71" w14:textId="77777777" w:rsidR="005E5952" w:rsidRPr="00601C26" w:rsidRDefault="005E5952" w:rsidP="00E53F38">
      <w:pPr>
        <w:pStyle w:val="NIHRCFootnotes"/>
        <w:rPr>
          <w:color w:val="7030A0"/>
        </w:rPr>
      </w:pPr>
      <w:r w:rsidRPr="00601C26">
        <w:rPr>
          <w:rStyle w:val="FootnoteReference"/>
          <w:color w:val="7030A0"/>
        </w:rPr>
        <w:footnoteRef/>
      </w:r>
      <w:r w:rsidRPr="00601C26">
        <w:rPr>
          <w:color w:val="7030A0"/>
        </w:rPr>
        <w:t xml:space="preserve"> CM/Notes/1436/H46-35, ‘</w:t>
      </w:r>
      <w:proofErr w:type="spellStart"/>
      <w:r w:rsidRPr="00601C26">
        <w:rPr>
          <w:color w:val="7030A0"/>
        </w:rPr>
        <w:t>CoE</w:t>
      </w:r>
      <w:proofErr w:type="spellEnd"/>
      <w:r w:rsidRPr="00601C26">
        <w:rPr>
          <w:color w:val="7030A0"/>
        </w:rPr>
        <w:t xml:space="preserve"> Committee of Ministers Decision on </w:t>
      </w:r>
      <w:proofErr w:type="spellStart"/>
      <w:r w:rsidRPr="00601C26">
        <w:rPr>
          <w:color w:val="7030A0"/>
        </w:rPr>
        <w:t>McKerr</w:t>
      </w:r>
      <w:proofErr w:type="spellEnd"/>
      <w:r w:rsidRPr="00601C26">
        <w:rPr>
          <w:color w:val="7030A0"/>
        </w:rPr>
        <w:t xml:space="preserve"> Group v UK (Application No 28883/95), 10 June 2022, at para 5.</w:t>
      </w:r>
    </w:p>
  </w:footnote>
  <w:footnote w:id="147">
    <w:p w14:paraId="00A1FB44" w14:textId="4404FABF" w:rsidR="00BC40F1" w:rsidRPr="00601C26" w:rsidRDefault="00BC40F1" w:rsidP="00E53F38">
      <w:pPr>
        <w:pStyle w:val="NIHRCFootnotes"/>
        <w:rPr>
          <w:color w:val="7030A0"/>
        </w:rPr>
      </w:pPr>
      <w:r w:rsidRPr="00601C26">
        <w:rPr>
          <w:rStyle w:val="FootnoteReference"/>
          <w:color w:val="7030A0"/>
        </w:rPr>
        <w:footnoteRef/>
      </w:r>
      <w:r w:rsidRPr="00601C26">
        <w:rPr>
          <w:color w:val="7030A0"/>
        </w:rPr>
        <w:t xml:space="preserve"> </w:t>
      </w:r>
      <w:r w:rsidR="00C96BF7" w:rsidRPr="00601C26">
        <w:rPr>
          <w:color w:val="7030A0"/>
        </w:rPr>
        <w:t xml:space="preserve">Letter from </w:t>
      </w:r>
      <w:proofErr w:type="spellStart"/>
      <w:r w:rsidR="00C96BF7" w:rsidRPr="00601C26">
        <w:rPr>
          <w:color w:val="7030A0"/>
        </w:rPr>
        <w:t>CoE</w:t>
      </w:r>
      <w:proofErr w:type="spellEnd"/>
      <w:r w:rsidR="00C96BF7" w:rsidRPr="00601C26">
        <w:rPr>
          <w:color w:val="7030A0"/>
        </w:rPr>
        <w:t xml:space="preserve"> Commissioner for Human Rights, </w:t>
      </w:r>
      <w:proofErr w:type="spellStart"/>
      <w:r w:rsidR="00C96BF7" w:rsidRPr="00601C26">
        <w:rPr>
          <w:color w:val="7030A0"/>
        </w:rPr>
        <w:t>Dunja</w:t>
      </w:r>
      <w:proofErr w:type="spellEnd"/>
      <w:r w:rsidR="00C96BF7" w:rsidRPr="00601C26">
        <w:rPr>
          <w:color w:val="7030A0"/>
        </w:rPr>
        <w:t xml:space="preserve"> </w:t>
      </w:r>
      <w:proofErr w:type="spellStart"/>
      <w:r w:rsidR="00C96BF7" w:rsidRPr="00601C26">
        <w:rPr>
          <w:color w:val="7030A0"/>
        </w:rPr>
        <w:t>Mijatovic</w:t>
      </w:r>
      <w:proofErr w:type="spellEnd"/>
      <w:r w:rsidR="00C96BF7" w:rsidRPr="00601C26">
        <w:rPr>
          <w:color w:val="7030A0"/>
        </w:rPr>
        <w:t xml:space="preserve"> to Secretary of State for NI, Brandon Lewis MP, 13 September 2021; Office of the High Commissioner for Human Rights, ‘Press Release: UN experts voice concern at proposed blanket impunity to address legacy of “the Troubles” in NI, 10 August 2021.</w:t>
      </w:r>
    </w:p>
  </w:footnote>
  <w:footnote w:id="148">
    <w:p w14:paraId="06A0A20F" w14:textId="0E1437AC" w:rsidR="00C96BF7" w:rsidRPr="00601C26" w:rsidRDefault="00C96BF7" w:rsidP="00E53F38">
      <w:pPr>
        <w:pStyle w:val="NIHRCFootnotes"/>
        <w:rPr>
          <w:color w:val="7030A0"/>
        </w:rPr>
      </w:pPr>
      <w:r w:rsidRPr="00601C26">
        <w:rPr>
          <w:rStyle w:val="FootnoteReference"/>
          <w:color w:val="7030A0"/>
        </w:rPr>
        <w:footnoteRef/>
      </w:r>
      <w:r w:rsidRPr="00601C26">
        <w:rPr>
          <w:color w:val="7030A0"/>
        </w:rPr>
        <w:t xml:space="preserve"> Letter from </w:t>
      </w:r>
      <w:proofErr w:type="spellStart"/>
      <w:r w:rsidRPr="00601C26">
        <w:rPr>
          <w:color w:val="7030A0"/>
        </w:rPr>
        <w:t>CoE</w:t>
      </w:r>
      <w:proofErr w:type="spellEnd"/>
      <w:r w:rsidRPr="00601C26">
        <w:rPr>
          <w:color w:val="7030A0"/>
        </w:rPr>
        <w:t xml:space="preserve"> Commissioner for Human Rights, </w:t>
      </w:r>
      <w:proofErr w:type="spellStart"/>
      <w:r w:rsidRPr="00601C26">
        <w:rPr>
          <w:color w:val="7030A0"/>
        </w:rPr>
        <w:t>Dunja</w:t>
      </w:r>
      <w:proofErr w:type="spellEnd"/>
      <w:r w:rsidRPr="00601C26">
        <w:rPr>
          <w:color w:val="7030A0"/>
        </w:rPr>
        <w:t xml:space="preserve"> </w:t>
      </w:r>
      <w:proofErr w:type="spellStart"/>
      <w:r w:rsidRPr="00601C26">
        <w:rPr>
          <w:color w:val="7030A0"/>
        </w:rPr>
        <w:t>Mijatovic</w:t>
      </w:r>
      <w:proofErr w:type="spellEnd"/>
      <w:r w:rsidRPr="00601C26">
        <w:rPr>
          <w:color w:val="7030A0"/>
        </w:rPr>
        <w:t xml:space="preserve"> to Secretary of State for NI, Brandon Lewis MP, 13 September 2021.</w:t>
      </w:r>
    </w:p>
  </w:footnote>
  <w:footnote w:id="149">
    <w:p w14:paraId="3754AE69" w14:textId="173B1028" w:rsidR="005747EF" w:rsidRPr="00601C26" w:rsidRDefault="005747EF" w:rsidP="00E53F38">
      <w:pPr>
        <w:pStyle w:val="NIHRCFootnotes"/>
        <w:rPr>
          <w:color w:val="7030A0"/>
        </w:rPr>
      </w:pPr>
      <w:r w:rsidRPr="00601C26">
        <w:rPr>
          <w:rStyle w:val="FootnoteReference"/>
          <w:color w:val="7030A0"/>
        </w:rPr>
        <w:footnoteRef/>
      </w:r>
      <w:r w:rsidRPr="00601C26">
        <w:rPr>
          <w:color w:val="7030A0"/>
        </w:rPr>
        <w:t xml:space="preserve"> </w:t>
      </w:r>
      <w:r w:rsidR="004F3266" w:rsidRPr="00601C26">
        <w:rPr>
          <w:color w:val="7030A0"/>
        </w:rPr>
        <w:t>Clause 15, NI Troubles (Legacy and Reconciliation) Bill.</w:t>
      </w:r>
    </w:p>
  </w:footnote>
  <w:footnote w:id="150">
    <w:p w14:paraId="637CF148" w14:textId="12E3A877" w:rsidR="00816C6E" w:rsidRPr="00601C26" w:rsidRDefault="00816C6E" w:rsidP="00E53F38">
      <w:pPr>
        <w:pStyle w:val="NIHRCFootnotes"/>
        <w:rPr>
          <w:color w:val="7030A0"/>
        </w:rPr>
      </w:pPr>
      <w:r w:rsidRPr="00601C26">
        <w:rPr>
          <w:rStyle w:val="FootnoteReference"/>
          <w:color w:val="7030A0"/>
        </w:rPr>
        <w:footnoteRef/>
      </w:r>
      <w:r w:rsidRPr="00601C26">
        <w:rPr>
          <w:color w:val="7030A0"/>
        </w:rPr>
        <w:t xml:space="preserve"> Clauses 4(1), 2</w:t>
      </w:r>
      <w:r w:rsidR="006044F2" w:rsidRPr="00601C26">
        <w:rPr>
          <w:color w:val="7030A0"/>
        </w:rPr>
        <w:t>5</w:t>
      </w:r>
      <w:r w:rsidRPr="00601C26">
        <w:rPr>
          <w:color w:val="7030A0"/>
        </w:rPr>
        <w:t>(2), 2</w:t>
      </w:r>
      <w:r w:rsidR="006044F2" w:rsidRPr="00601C26">
        <w:rPr>
          <w:color w:val="7030A0"/>
        </w:rPr>
        <w:t>5</w:t>
      </w:r>
      <w:r w:rsidRPr="00601C26">
        <w:rPr>
          <w:color w:val="7030A0"/>
        </w:rPr>
        <w:t>(3), 2</w:t>
      </w:r>
      <w:r w:rsidR="006044F2" w:rsidRPr="00601C26">
        <w:rPr>
          <w:color w:val="7030A0"/>
        </w:rPr>
        <w:t>6</w:t>
      </w:r>
      <w:r w:rsidRPr="00601C26">
        <w:rPr>
          <w:color w:val="7030A0"/>
        </w:rPr>
        <w:t>(2) and 2</w:t>
      </w:r>
      <w:r w:rsidR="006044F2" w:rsidRPr="00601C26">
        <w:rPr>
          <w:color w:val="7030A0"/>
        </w:rPr>
        <w:t>6</w:t>
      </w:r>
      <w:r w:rsidRPr="00601C26">
        <w:rPr>
          <w:color w:val="7030A0"/>
        </w:rPr>
        <w:t>(3), NI Troubles (Legacy and Reconciliation) Bill.</w:t>
      </w:r>
    </w:p>
  </w:footnote>
  <w:footnote w:id="151">
    <w:p w14:paraId="2C538B38" w14:textId="77777777" w:rsidR="005E5952" w:rsidRPr="00601C26" w:rsidRDefault="005E5952" w:rsidP="00E53F38">
      <w:pPr>
        <w:pStyle w:val="NIHRCFootnotes"/>
        <w:rPr>
          <w:color w:val="7030A0"/>
        </w:rPr>
      </w:pPr>
      <w:r w:rsidRPr="00601C26">
        <w:rPr>
          <w:rStyle w:val="FootnoteReference"/>
          <w:color w:val="7030A0"/>
        </w:rPr>
        <w:footnoteRef/>
      </w:r>
      <w:r w:rsidRPr="00601C26">
        <w:rPr>
          <w:color w:val="7030A0"/>
        </w:rPr>
        <w:t xml:space="preserve"> Clause 16(3), NI Troubles (Legacy and Reconciliation) Bill.</w:t>
      </w:r>
    </w:p>
  </w:footnote>
  <w:footnote w:id="152">
    <w:p w14:paraId="1C109DCA" w14:textId="3F91E645" w:rsidR="005E5952" w:rsidRPr="00601C26" w:rsidRDefault="005E5952" w:rsidP="00E53F38">
      <w:pPr>
        <w:pStyle w:val="NIHRCFootnotes"/>
        <w:rPr>
          <w:color w:val="7030A0"/>
        </w:rPr>
      </w:pPr>
      <w:r w:rsidRPr="00601C26">
        <w:rPr>
          <w:rStyle w:val="FootnoteReference"/>
          <w:color w:val="7030A0"/>
        </w:rPr>
        <w:footnoteRef/>
      </w:r>
      <w:r w:rsidRPr="00601C26">
        <w:rPr>
          <w:color w:val="7030A0"/>
        </w:rPr>
        <w:t xml:space="preserve"> Clause 2</w:t>
      </w:r>
      <w:r w:rsidR="006044F2" w:rsidRPr="00601C26">
        <w:rPr>
          <w:color w:val="7030A0"/>
        </w:rPr>
        <w:t>5</w:t>
      </w:r>
      <w:r w:rsidRPr="00601C26">
        <w:rPr>
          <w:color w:val="7030A0"/>
        </w:rPr>
        <w:t>(1), NI Troubles (Legacy and Reconciliation) Bill.</w:t>
      </w:r>
    </w:p>
  </w:footnote>
  <w:footnote w:id="153">
    <w:p w14:paraId="44821BEF" w14:textId="43DF30E4" w:rsidR="005E5952" w:rsidRPr="00601C26" w:rsidRDefault="005E5952" w:rsidP="00E53F38">
      <w:pPr>
        <w:pStyle w:val="NIHRCFootnotes"/>
        <w:rPr>
          <w:color w:val="7030A0"/>
        </w:rPr>
      </w:pPr>
      <w:r w:rsidRPr="00601C26">
        <w:rPr>
          <w:rStyle w:val="FootnoteReference"/>
          <w:color w:val="7030A0"/>
        </w:rPr>
        <w:footnoteRef/>
      </w:r>
      <w:r w:rsidRPr="00601C26">
        <w:rPr>
          <w:color w:val="7030A0"/>
        </w:rPr>
        <w:t xml:space="preserve"> Clauses 4(1), </w:t>
      </w:r>
      <w:r w:rsidR="00E52F75" w:rsidRPr="00601C26">
        <w:rPr>
          <w:color w:val="7030A0"/>
        </w:rPr>
        <w:t xml:space="preserve">15(8), </w:t>
      </w:r>
      <w:r w:rsidRPr="00601C26">
        <w:rPr>
          <w:color w:val="7030A0"/>
        </w:rPr>
        <w:t>2</w:t>
      </w:r>
      <w:r w:rsidR="006044F2" w:rsidRPr="00601C26">
        <w:rPr>
          <w:color w:val="7030A0"/>
        </w:rPr>
        <w:t>5</w:t>
      </w:r>
      <w:r w:rsidRPr="00601C26">
        <w:rPr>
          <w:color w:val="7030A0"/>
        </w:rPr>
        <w:t>(2), 2</w:t>
      </w:r>
      <w:r w:rsidR="006044F2" w:rsidRPr="00601C26">
        <w:rPr>
          <w:color w:val="7030A0"/>
        </w:rPr>
        <w:t>5</w:t>
      </w:r>
      <w:r w:rsidRPr="00601C26">
        <w:rPr>
          <w:color w:val="7030A0"/>
        </w:rPr>
        <w:t>(3), 2</w:t>
      </w:r>
      <w:r w:rsidR="006044F2" w:rsidRPr="00601C26">
        <w:rPr>
          <w:color w:val="7030A0"/>
        </w:rPr>
        <w:t>6</w:t>
      </w:r>
      <w:r w:rsidRPr="00601C26">
        <w:rPr>
          <w:color w:val="7030A0"/>
        </w:rPr>
        <w:t>(2) and 2</w:t>
      </w:r>
      <w:r w:rsidR="006044F2" w:rsidRPr="00601C26">
        <w:rPr>
          <w:color w:val="7030A0"/>
        </w:rPr>
        <w:t>6</w:t>
      </w:r>
      <w:r w:rsidRPr="00601C26">
        <w:rPr>
          <w:color w:val="7030A0"/>
        </w:rPr>
        <w:t>(3), NI Troubles (Legacy and Reconciliation) Bill.</w:t>
      </w:r>
    </w:p>
  </w:footnote>
  <w:footnote w:id="154">
    <w:p w14:paraId="3D984DA2" w14:textId="53B6BDE4" w:rsidR="004D6B5A" w:rsidRPr="00601C26" w:rsidRDefault="004D6B5A" w:rsidP="00E53F38">
      <w:pPr>
        <w:pStyle w:val="NIHRCFootnotes"/>
        <w:rPr>
          <w:color w:val="7030A0"/>
        </w:rPr>
      </w:pPr>
      <w:r w:rsidRPr="00601C26">
        <w:rPr>
          <w:rStyle w:val="FootnoteReference"/>
          <w:color w:val="7030A0"/>
        </w:rPr>
        <w:footnoteRef/>
      </w:r>
      <w:r w:rsidRPr="00601C26">
        <w:rPr>
          <w:color w:val="7030A0"/>
        </w:rPr>
        <w:t xml:space="preserve"> </w:t>
      </w:r>
      <w:r w:rsidR="004132B6" w:rsidRPr="00601C26">
        <w:rPr>
          <w:color w:val="7030A0"/>
        </w:rPr>
        <w:t>Clause 8 of Schedule 5, NI Troubles (Legacy and Reconciliation) Bill.</w:t>
      </w:r>
    </w:p>
  </w:footnote>
  <w:footnote w:id="155">
    <w:p w14:paraId="76B29287" w14:textId="4A5A7057" w:rsidR="00767C7C" w:rsidRPr="00601C26" w:rsidRDefault="00767C7C" w:rsidP="00E53F38">
      <w:pPr>
        <w:pStyle w:val="NIHRCFootnotes"/>
        <w:rPr>
          <w:color w:val="7030A0"/>
        </w:rPr>
      </w:pPr>
      <w:r w:rsidRPr="00601C26">
        <w:rPr>
          <w:rStyle w:val="FootnoteReference"/>
          <w:color w:val="7030A0"/>
        </w:rPr>
        <w:footnoteRef/>
      </w:r>
      <w:r w:rsidRPr="00601C26">
        <w:rPr>
          <w:color w:val="7030A0"/>
        </w:rPr>
        <w:t xml:space="preserve"> Clause 8 of Schedule 5, NI Troubles (Legacy and Reconciliation) Bill.</w:t>
      </w:r>
    </w:p>
  </w:footnote>
  <w:footnote w:id="156">
    <w:p w14:paraId="448FE788" w14:textId="5214B16D" w:rsidR="00752176" w:rsidRPr="00601C26" w:rsidRDefault="00752176" w:rsidP="00E53F3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Tanas v Moldova</w:t>
      </w:r>
      <w:r w:rsidRPr="00601C26">
        <w:rPr>
          <w:color w:val="7030A0"/>
        </w:rPr>
        <w:t xml:space="preserve">, Application No 7/08, Judgment of 27 April 2010, at para 104; </w:t>
      </w:r>
      <w:r w:rsidRPr="00601C26">
        <w:rPr>
          <w:i/>
          <w:color w:val="7030A0"/>
        </w:rPr>
        <w:t xml:space="preserve">Burden v </w:t>
      </w:r>
      <w:r w:rsidR="00124D43">
        <w:rPr>
          <w:i/>
          <w:color w:val="7030A0"/>
        </w:rPr>
        <w:t>UK</w:t>
      </w:r>
      <w:r w:rsidRPr="00601C26">
        <w:rPr>
          <w:i/>
          <w:color w:val="7030A0"/>
        </w:rPr>
        <w:t xml:space="preserve"> </w:t>
      </w:r>
      <w:r w:rsidRPr="00601C26">
        <w:rPr>
          <w:color w:val="7030A0"/>
        </w:rPr>
        <w:t xml:space="preserve">(2008) ECHR 356, at para 33; </w:t>
      </w:r>
      <w:r w:rsidRPr="00601C26">
        <w:rPr>
          <w:i/>
          <w:color w:val="7030A0"/>
        </w:rPr>
        <w:t xml:space="preserve">Lambert and Others v France </w:t>
      </w:r>
      <w:r w:rsidRPr="00601C26">
        <w:rPr>
          <w:color w:val="7030A0"/>
        </w:rPr>
        <w:t>(2015) ECHR 545, at para 89.</w:t>
      </w:r>
    </w:p>
  </w:footnote>
  <w:footnote w:id="157">
    <w:p w14:paraId="5FB21AB4" w14:textId="77777777" w:rsidR="00752176" w:rsidRPr="00601C26" w:rsidRDefault="00752176"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color w:val="7030A0"/>
        </w:rPr>
        <w:t>Varnava</w:t>
      </w:r>
      <w:proofErr w:type="spellEnd"/>
      <w:r w:rsidRPr="00601C26">
        <w:rPr>
          <w:i/>
          <w:color w:val="7030A0"/>
        </w:rPr>
        <w:t xml:space="preserve"> and Others v Turkey </w:t>
      </w:r>
      <w:r w:rsidRPr="00601C26">
        <w:rPr>
          <w:color w:val="7030A0"/>
        </w:rPr>
        <w:t>(2009) ECHR 1313, at para 112.</w:t>
      </w:r>
    </w:p>
  </w:footnote>
  <w:footnote w:id="158">
    <w:p w14:paraId="4EB76479" w14:textId="27107EC8" w:rsidR="00752176" w:rsidRPr="00601C26" w:rsidRDefault="00752176" w:rsidP="00E53F3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 xml:space="preserve">Van Colle v </w:t>
      </w:r>
      <w:r w:rsidR="00124D43">
        <w:rPr>
          <w:i/>
          <w:color w:val="7030A0"/>
        </w:rPr>
        <w:t>UK</w:t>
      </w:r>
      <w:r w:rsidRPr="00601C26">
        <w:rPr>
          <w:i/>
          <w:color w:val="7030A0"/>
        </w:rPr>
        <w:t xml:space="preserve"> </w:t>
      </w:r>
      <w:r w:rsidRPr="00601C26">
        <w:rPr>
          <w:color w:val="7030A0"/>
        </w:rPr>
        <w:t>(2012) ECHR 1928, at para 86.</w:t>
      </w:r>
    </w:p>
  </w:footnote>
  <w:footnote w:id="159">
    <w:p w14:paraId="6C96642D" w14:textId="45FBB460" w:rsidR="00752176" w:rsidRPr="00601C26" w:rsidRDefault="00752176" w:rsidP="00E53F3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 xml:space="preserve">McCann v </w:t>
      </w:r>
      <w:r w:rsidR="00124D43">
        <w:rPr>
          <w:i/>
          <w:color w:val="7030A0"/>
        </w:rPr>
        <w:t>UK</w:t>
      </w:r>
      <w:r w:rsidRPr="00601C26">
        <w:rPr>
          <w:color w:val="7030A0"/>
        </w:rPr>
        <w:t xml:space="preserve"> (1995) 21 EHRR 97; </w:t>
      </w:r>
      <w:r w:rsidRPr="00601C26">
        <w:rPr>
          <w:i/>
          <w:color w:val="7030A0"/>
        </w:rPr>
        <w:t xml:space="preserve">Salman v Turkey </w:t>
      </w:r>
      <w:r w:rsidRPr="00601C26">
        <w:rPr>
          <w:color w:val="7030A0"/>
        </w:rPr>
        <w:t>(2000) ECHR 357.</w:t>
      </w:r>
    </w:p>
  </w:footnote>
  <w:footnote w:id="160">
    <w:p w14:paraId="608DF39A" w14:textId="77777777" w:rsidR="00752176" w:rsidRPr="00601C26" w:rsidRDefault="00752176"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color w:val="7030A0"/>
        </w:rPr>
        <w:t>Velikova</w:t>
      </w:r>
      <w:proofErr w:type="spellEnd"/>
      <w:r w:rsidRPr="00601C26">
        <w:rPr>
          <w:i/>
          <w:color w:val="7030A0"/>
        </w:rPr>
        <w:t xml:space="preserve"> v Bulgaria</w:t>
      </w:r>
      <w:r w:rsidRPr="00601C26">
        <w:rPr>
          <w:color w:val="7030A0"/>
        </w:rPr>
        <w:t xml:space="preserve"> (2000) ECHR 198.</w:t>
      </w:r>
    </w:p>
  </w:footnote>
  <w:footnote w:id="161">
    <w:p w14:paraId="40C75275" w14:textId="77777777" w:rsidR="00752176" w:rsidRPr="00601C26" w:rsidRDefault="00752176"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color w:val="7030A0"/>
        </w:rPr>
        <w:t>Ramsahai</w:t>
      </w:r>
      <w:proofErr w:type="spellEnd"/>
      <w:r w:rsidRPr="00601C26">
        <w:rPr>
          <w:i/>
          <w:color w:val="7030A0"/>
        </w:rPr>
        <w:t xml:space="preserve"> and Others v the Netherlands </w:t>
      </w:r>
      <w:r w:rsidRPr="00601C26">
        <w:rPr>
          <w:color w:val="7030A0"/>
        </w:rPr>
        <w:t xml:space="preserve">(2007) ECHR 393; </w:t>
      </w:r>
      <w:r w:rsidRPr="00601C26">
        <w:rPr>
          <w:i/>
          <w:color w:val="7030A0"/>
        </w:rPr>
        <w:t xml:space="preserve">Giuliani and </w:t>
      </w:r>
      <w:proofErr w:type="spellStart"/>
      <w:r w:rsidRPr="00601C26">
        <w:rPr>
          <w:i/>
          <w:color w:val="7030A0"/>
        </w:rPr>
        <w:t>Gaggio</w:t>
      </w:r>
      <w:proofErr w:type="spellEnd"/>
      <w:r w:rsidRPr="00601C26">
        <w:rPr>
          <w:i/>
          <w:color w:val="7030A0"/>
        </w:rPr>
        <w:t xml:space="preserve"> v Italy</w:t>
      </w:r>
      <w:r w:rsidRPr="00601C26">
        <w:rPr>
          <w:color w:val="7030A0"/>
        </w:rPr>
        <w:t xml:space="preserve"> (2011) ECHR 513.</w:t>
      </w:r>
    </w:p>
  </w:footnote>
  <w:footnote w:id="162">
    <w:p w14:paraId="39B3217B" w14:textId="77777777" w:rsidR="00752176" w:rsidRPr="00601C26" w:rsidRDefault="00752176"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color w:val="7030A0"/>
        </w:rPr>
        <w:t>Andronicou</w:t>
      </w:r>
      <w:proofErr w:type="spellEnd"/>
      <w:r w:rsidRPr="00601C26">
        <w:rPr>
          <w:i/>
          <w:color w:val="7030A0"/>
        </w:rPr>
        <w:t xml:space="preserve"> and </w:t>
      </w:r>
      <w:proofErr w:type="spellStart"/>
      <w:r w:rsidRPr="00601C26">
        <w:rPr>
          <w:i/>
          <w:color w:val="7030A0"/>
        </w:rPr>
        <w:t>Constntinou</w:t>
      </w:r>
      <w:proofErr w:type="spellEnd"/>
      <w:r w:rsidRPr="00601C26">
        <w:rPr>
          <w:i/>
          <w:color w:val="7030A0"/>
        </w:rPr>
        <w:t xml:space="preserve"> v Cyprus</w:t>
      </w:r>
      <w:r w:rsidRPr="00601C26">
        <w:rPr>
          <w:color w:val="7030A0"/>
        </w:rPr>
        <w:t>, Application No 86-1996-705-897, Judgment of 9 October 1997.</w:t>
      </w:r>
    </w:p>
  </w:footnote>
  <w:footnote w:id="163">
    <w:p w14:paraId="28183065" w14:textId="2B065E81" w:rsidR="00752176" w:rsidRPr="00601C26" w:rsidRDefault="00752176"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color w:val="7030A0"/>
        </w:rPr>
        <w:t>McKerr</w:t>
      </w:r>
      <w:proofErr w:type="spellEnd"/>
      <w:r w:rsidRPr="00601C26">
        <w:rPr>
          <w:i/>
          <w:color w:val="7030A0"/>
        </w:rPr>
        <w:t xml:space="preserve"> v </w:t>
      </w:r>
      <w:r w:rsidR="00124D43">
        <w:rPr>
          <w:i/>
          <w:color w:val="7030A0"/>
        </w:rPr>
        <w:t>UK</w:t>
      </w:r>
      <w:r w:rsidRPr="00601C26">
        <w:rPr>
          <w:color w:val="7030A0"/>
        </w:rPr>
        <w:t xml:space="preserve"> (2001) ECHR 329.</w:t>
      </w:r>
    </w:p>
  </w:footnote>
  <w:footnote w:id="164">
    <w:p w14:paraId="43055BD2" w14:textId="77777777" w:rsidR="00752176" w:rsidRPr="00601C26" w:rsidRDefault="00752176"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color w:val="7030A0"/>
        </w:rPr>
        <w:t>Yasa</w:t>
      </w:r>
      <w:proofErr w:type="spellEnd"/>
      <w:r w:rsidRPr="00601C26">
        <w:rPr>
          <w:i/>
          <w:color w:val="7030A0"/>
        </w:rPr>
        <w:t xml:space="preserve"> v Turkey</w:t>
      </w:r>
      <w:r w:rsidRPr="00601C26">
        <w:rPr>
          <w:color w:val="7030A0"/>
        </w:rPr>
        <w:t xml:space="preserve"> (1998) ECHR 83.</w:t>
      </w:r>
    </w:p>
  </w:footnote>
  <w:footnote w:id="165">
    <w:p w14:paraId="3FA06BEB" w14:textId="77777777" w:rsidR="00752176" w:rsidRPr="00601C26" w:rsidRDefault="00752176"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color w:val="7030A0"/>
        </w:rPr>
        <w:t>Karpylenko</w:t>
      </w:r>
      <w:proofErr w:type="spellEnd"/>
      <w:r w:rsidRPr="00601C26">
        <w:rPr>
          <w:i/>
          <w:color w:val="7030A0"/>
        </w:rPr>
        <w:t xml:space="preserve"> v Ukraine </w:t>
      </w:r>
      <w:r w:rsidRPr="00601C26">
        <w:rPr>
          <w:color w:val="7030A0"/>
        </w:rPr>
        <w:t xml:space="preserve">(2016) ECHR 173, at para 104; </w:t>
      </w:r>
      <w:r w:rsidRPr="00601C26">
        <w:rPr>
          <w:i/>
          <w:color w:val="7030A0"/>
        </w:rPr>
        <w:t xml:space="preserve">Nassau </w:t>
      </w:r>
      <w:proofErr w:type="spellStart"/>
      <w:r w:rsidRPr="00601C26">
        <w:rPr>
          <w:i/>
          <w:color w:val="7030A0"/>
        </w:rPr>
        <w:t>Verzekering</w:t>
      </w:r>
      <w:proofErr w:type="spellEnd"/>
      <w:r w:rsidRPr="00601C26">
        <w:rPr>
          <w:i/>
          <w:color w:val="7030A0"/>
        </w:rPr>
        <w:t xml:space="preserve"> </w:t>
      </w:r>
      <w:proofErr w:type="spellStart"/>
      <w:r w:rsidRPr="00601C26">
        <w:rPr>
          <w:i/>
          <w:color w:val="7030A0"/>
        </w:rPr>
        <w:t>Maatschappij</w:t>
      </w:r>
      <w:proofErr w:type="spellEnd"/>
      <w:r w:rsidRPr="00601C26">
        <w:rPr>
          <w:i/>
          <w:color w:val="7030A0"/>
        </w:rPr>
        <w:t xml:space="preserve"> NV v the Netherlands</w:t>
      </w:r>
      <w:r w:rsidRPr="00601C26">
        <w:rPr>
          <w:color w:val="7030A0"/>
        </w:rPr>
        <w:t xml:space="preserve"> (2011) ECHR </w:t>
      </w:r>
      <w:proofErr w:type="gramStart"/>
      <w:r w:rsidRPr="00601C26">
        <w:rPr>
          <w:color w:val="7030A0"/>
        </w:rPr>
        <w:t>1798,at</w:t>
      </w:r>
      <w:proofErr w:type="gramEnd"/>
      <w:r w:rsidRPr="00601C26">
        <w:rPr>
          <w:color w:val="7030A0"/>
        </w:rPr>
        <w:t xml:space="preserve"> para 20.</w:t>
      </w:r>
    </w:p>
  </w:footnote>
  <w:footnote w:id="166">
    <w:p w14:paraId="0858EE0A" w14:textId="77777777" w:rsidR="00752176" w:rsidRPr="00601C26" w:rsidRDefault="00752176" w:rsidP="00E53F3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See</w:t>
      </w:r>
      <w:r w:rsidRPr="00601C26">
        <w:rPr>
          <w:color w:val="7030A0"/>
        </w:rPr>
        <w:t xml:space="preserve"> Hannah Russell, </w:t>
      </w:r>
      <w:r w:rsidRPr="00601C26">
        <w:rPr>
          <w:i/>
          <w:color w:val="7030A0"/>
        </w:rPr>
        <w:t xml:space="preserve">The Use of Force and Article 2 of the ECHR </w:t>
      </w:r>
      <w:proofErr w:type="gramStart"/>
      <w:r w:rsidRPr="00601C26">
        <w:rPr>
          <w:i/>
          <w:color w:val="7030A0"/>
        </w:rPr>
        <w:t>in Light of</w:t>
      </w:r>
      <w:proofErr w:type="gramEnd"/>
      <w:r w:rsidRPr="00601C26">
        <w:rPr>
          <w:i/>
          <w:color w:val="7030A0"/>
        </w:rPr>
        <w:t xml:space="preserve"> European Conflicts</w:t>
      </w:r>
      <w:r w:rsidRPr="00601C26">
        <w:rPr>
          <w:color w:val="7030A0"/>
        </w:rPr>
        <w:t xml:space="preserve"> (Hart Publishing, 2017), at Chapter 5.</w:t>
      </w:r>
    </w:p>
  </w:footnote>
  <w:footnote w:id="167">
    <w:p w14:paraId="56B0BD0A" w14:textId="561788FB" w:rsidR="00752176" w:rsidRPr="00601C26" w:rsidRDefault="00752176" w:rsidP="00E53F38">
      <w:pPr>
        <w:pStyle w:val="NIHRCFootnotes"/>
        <w:rPr>
          <w:color w:val="7030A0"/>
        </w:rPr>
      </w:pPr>
      <w:r w:rsidRPr="00601C26">
        <w:rPr>
          <w:rStyle w:val="FootnoteReference"/>
          <w:color w:val="7030A0"/>
        </w:rPr>
        <w:footnoteRef/>
      </w:r>
      <w:r w:rsidRPr="00601C26">
        <w:rPr>
          <w:color w:val="7030A0"/>
        </w:rPr>
        <w:t xml:space="preserve"> </w:t>
      </w:r>
      <w:r w:rsidR="00364F33" w:rsidRPr="00601C26">
        <w:rPr>
          <w:color w:val="7030A0"/>
        </w:rPr>
        <w:t>CCPR/C/GC/36, ‘UN Human Rights Committee General Comment No 36: Right to Life’, 30 October 2018</w:t>
      </w:r>
      <w:r w:rsidRPr="00601C26">
        <w:rPr>
          <w:color w:val="7030A0"/>
        </w:rPr>
        <w:t xml:space="preserve">, at para </w:t>
      </w:r>
      <w:r w:rsidR="00364F33" w:rsidRPr="00601C26">
        <w:rPr>
          <w:color w:val="7030A0"/>
        </w:rPr>
        <w:t>28</w:t>
      </w:r>
      <w:r w:rsidRPr="00601C26">
        <w:rPr>
          <w:color w:val="7030A0"/>
        </w:rPr>
        <w:t>.</w:t>
      </w:r>
    </w:p>
  </w:footnote>
  <w:footnote w:id="168">
    <w:p w14:paraId="55510671" w14:textId="77777777" w:rsidR="00752176" w:rsidRPr="00601C26" w:rsidRDefault="00752176" w:rsidP="00E53F38">
      <w:pPr>
        <w:pStyle w:val="NIHRCFootnotes"/>
        <w:rPr>
          <w:color w:val="7030A0"/>
        </w:rPr>
      </w:pPr>
      <w:r w:rsidRPr="00601C26">
        <w:rPr>
          <w:rStyle w:val="FootnoteReference"/>
          <w:color w:val="7030A0"/>
        </w:rPr>
        <w:footnoteRef/>
      </w:r>
      <w:r w:rsidRPr="00601C26">
        <w:rPr>
          <w:color w:val="7030A0"/>
        </w:rPr>
        <w:t xml:space="preserve"> A/HRC/21/46, ‘Report of the Special Rapporteur on the Promotion of Truth, Justice, Reparation and Guarantees of Non-recurrence, Pablo de </w:t>
      </w:r>
      <w:proofErr w:type="spellStart"/>
      <w:r w:rsidRPr="00601C26">
        <w:rPr>
          <w:color w:val="7030A0"/>
        </w:rPr>
        <w:t>Greiff</w:t>
      </w:r>
      <w:proofErr w:type="spellEnd"/>
      <w:r w:rsidRPr="00601C26">
        <w:rPr>
          <w:color w:val="7030A0"/>
        </w:rPr>
        <w:t>’, 9 August 2012, at para 54.</w:t>
      </w:r>
    </w:p>
  </w:footnote>
  <w:footnote w:id="169">
    <w:p w14:paraId="207106C7" w14:textId="77777777" w:rsidR="00752176" w:rsidRPr="00601C26" w:rsidRDefault="00752176" w:rsidP="00E53F38">
      <w:pPr>
        <w:pStyle w:val="NIHRCFootnotes"/>
        <w:rPr>
          <w:color w:val="7030A0"/>
        </w:rPr>
      </w:pPr>
      <w:r w:rsidRPr="00601C26">
        <w:rPr>
          <w:rStyle w:val="FootnoteReference"/>
          <w:color w:val="7030A0"/>
        </w:rPr>
        <w:footnoteRef/>
      </w:r>
      <w:r w:rsidRPr="00601C26">
        <w:rPr>
          <w:color w:val="7030A0"/>
        </w:rPr>
        <w:t xml:space="preserve"> UN General Assembly, ‘Guidance Note of the Secretary-General: UN Approach to Transitional Justice’ (UNGA, 2010), at 2.</w:t>
      </w:r>
    </w:p>
  </w:footnote>
  <w:footnote w:id="170">
    <w:p w14:paraId="2B1DBF16" w14:textId="55AB2A7B" w:rsidR="00752176" w:rsidRPr="00601C26" w:rsidRDefault="00752176" w:rsidP="00E53F38">
      <w:pPr>
        <w:pStyle w:val="NIHRCFootnotes"/>
        <w:rPr>
          <w:color w:val="7030A0"/>
        </w:rPr>
      </w:pPr>
      <w:r w:rsidRPr="00601C26">
        <w:rPr>
          <w:rStyle w:val="FootnoteReference"/>
          <w:color w:val="7030A0"/>
        </w:rPr>
        <w:footnoteRef/>
      </w:r>
      <w:r w:rsidRPr="00601C26">
        <w:rPr>
          <w:color w:val="7030A0"/>
        </w:rPr>
        <w:t xml:space="preserve"> </w:t>
      </w:r>
      <w:r w:rsidR="00670074" w:rsidRPr="00601C26">
        <w:rPr>
          <w:color w:val="7030A0"/>
        </w:rPr>
        <w:t>UN Office of the High Commissioner for Human Rights</w:t>
      </w:r>
      <w:r w:rsidRPr="00601C26">
        <w:rPr>
          <w:color w:val="7030A0"/>
        </w:rPr>
        <w:t>, ‘The Minnesota Protocol on the Investigation of Potentially Unlawful Death: The Revised UN Manual on the Effective Prevention and Investigation of Extra-legal, Arbitrary and Summary Executions’ (OHCHR, 2016), at para 11.</w:t>
      </w:r>
    </w:p>
  </w:footnote>
  <w:footnote w:id="171">
    <w:p w14:paraId="2F386AB6" w14:textId="379EF4E1" w:rsidR="00752176" w:rsidRPr="00601C26" w:rsidRDefault="00752176" w:rsidP="00E53F38">
      <w:pPr>
        <w:pStyle w:val="NIHRCFootnotes"/>
        <w:rPr>
          <w:color w:val="7030A0"/>
        </w:rPr>
      </w:pPr>
      <w:r w:rsidRPr="00601C26">
        <w:rPr>
          <w:rStyle w:val="FootnoteReference"/>
          <w:color w:val="7030A0"/>
        </w:rPr>
        <w:footnoteRef/>
      </w:r>
      <w:r w:rsidRPr="00601C26">
        <w:rPr>
          <w:color w:val="7030A0"/>
        </w:rPr>
        <w:t xml:space="preserve"> </w:t>
      </w:r>
      <w:r w:rsidR="005A1890">
        <w:rPr>
          <w:color w:val="7030A0"/>
        </w:rPr>
        <w:t>Ibid</w:t>
      </w:r>
      <w:r w:rsidR="00670074" w:rsidRPr="00601C26">
        <w:rPr>
          <w:color w:val="7030A0"/>
        </w:rPr>
        <w:t xml:space="preserve">, at para </w:t>
      </w:r>
      <w:r w:rsidRPr="00601C26">
        <w:rPr>
          <w:color w:val="7030A0"/>
        </w:rPr>
        <w:t>35.</w:t>
      </w:r>
    </w:p>
  </w:footnote>
  <w:footnote w:id="172">
    <w:p w14:paraId="362AA583" w14:textId="77777777" w:rsidR="00C57BB6" w:rsidRPr="00601C26" w:rsidRDefault="00C57BB6" w:rsidP="00E53F38">
      <w:pPr>
        <w:pStyle w:val="NIHRCFootnotes"/>
        <w:rPr>
          <w:color w:val="7030A0"/>
        </w:rPr>
      </w:pPr>
      <w:r w:rsidRPr="00601C26">
        <w:rPr>
          <w:rStyle w:val="FootnoteReference"/>
          <w:color w:val="7030A0"/>
        </w:rPr>
        <w:footnoteRef/>
      </w:r>
      <w:r w:rsidRPr="00601C26">
        <w:rPr>
          <w:color w:val="7030A0"/>
        </w:rPr>
        <w:t xml:space="preserve"> UN Economic and Social Council, ‘Resolution 1989/65: Principles on the Effective Prevention and Investigation of Extra-legal, Arbitrary and Summary Executions’, 24 May 1989, at para 9.</w:t>
      </w:r>
    </w:p>
  </w:footnote>
  <w:footnote w:id="173">
    <w:p w14:paraId="0F601E1D" w14:textId="31BD7547" w:rsidR="00752176" w:rsidRPr="00601C26" w:rsidRDefault="00752176" w:rsidP="00E53F38">
      <w:pPr>
        <w:pStyle w:val="NIHRCFootnotes"/>
        <w:rPr>
          <w:color w:val="7030A0"/>
        </w:rPr>
      </w:pPr>
      <w:r w:rsidRPr="00601C26">
        <w:rPr>
          <w:rStyle w:val="FootnoteReference"/>
          <w:color w:val="7030A0"/>
        </w:rPr>
        <w:footnoteRef/>
      </w:r>
      <w:r w:rsidRPr="00601C26">
        <w:rPr>
          <w:color w:val="7030A0"/>
        </w:rPr>
        <w:t xml:space="preserve"> A/RES/47/133, ‘Declaration on the Protection of All Persons from Enforced Disappearance’, 18 December 1992.</w:t>
      </w:r>
    </w:p>
  </w:footnote>
  <w:footnote w:id="174">
    <w:p w14:paraId="05221CCF" w14:textId="77777777" w:rsidR="003E360D" w:rsidRPr="00601C26" w:rsidRDefault="003E360D" w:rsidP="00E53F38">
      <w:pPr>
        <w:pStyle w:val="NIHRCFootnotes"/>
        <w:rPr>
          <w:color w:val="7030A0"/>
        </w:rPr>
      </w:pPr>
      <w:r w:rsidRPr="00601C26">
        <w:rPr>
          <w:rStyle w:val="FootnoteReference"/>
          <w:color w:val="7030A0"/>
        </w:rPr>
        <w:footnoteRef/>
      </w:r>
      <w:r w:rsidRPr="00601C26">
        <w:rPr>
          <w:color w:val="7030A0"/>
        </w:rPr>
        <w:t xml:space="preserve"> Clauses 15 and 16, NI Troubles (Legacy and Reconciliation) Bill.</w:t>
      </w:r>
    </w:p>
  </w:footnote>
  <w:footnote w:id="175">
    <w:p w14:paraId="267E3B89" w14:textId="17FF4383" w:rsidR="00AC2BFB" w:rsidRPr="00601C26" w:rsidRDefault="00AC2BFB" w:rsidP="00E53F38">
      <w:pPr>
        <w:pStyle w:val="NIHRCFootnotes"/>
        <w:rPr>
          <w:color w:val="7030A0"/>
        </w:rPr>
      </w:pPr>
      <w:r w:rsidRPr="00601C26">
        <w:rPr>
          <w:rStyle w:val="FootnoteReference"/>
          <w:color w:val="7030A0"/>
        </w:rPr>
        <w:footnoteRef/>
      </w:r>
      <w:r w:rsidRPr="00601C26">
        <w:rPr>
          <w:color w:val="7030A0"/>
        </w:rPr>
        <w:t xml:space="preserve"> </w:t>
      </w:r>
      <w:r w:rsidR="005E33F1" w:rsidRPr="00601C26">
        <w:rPr>
          <w:color w:val="7030A0"/>
        </w:rPr>
        <w:t>Clauses 9(1), 9(2) and Schedule 3, NI Troubles (Legacy and Reconciliation) Bill.</w:t>
      </w:r>
    </w:p>
  </w:footnote>
  <w:footnote w:id="176">
    <w:p w14:paraId="4FBB86A9" w14:textId="77777777" w:rsidR="003E360D" w:rsidRPr="00601C26" w:rsidRDefault="003E360D"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iCs/>
          <w:color w:val="7030A0"/>
        </w:rPr>
        <w:t>McKerr</w:t>
      </w:r>
      <w:proofErr w:type="spellEnd"/>
      <w:r w:rsidRPr="00601C26">
        <w:rPr>
          <w:i/>
          <w:iCs/>
          <w:color w:val="7030A0"/>
        </w:rPr>
        <w:t xml:space="preserve"> v UK</w:t>
      </w:r>
      <w:r w:rsidRPr="00601C26">
        <w:rPr>
          <w:color w:val="7030A0"/>
        </w:rPr>
        <w:t xml:space="preserve"> (2001) ECHR 329; </w:t>
      </w:r>
      <w:r w:rsidRPr="00601C26">
        <w:rPr>
          <w:i/>
          <w:iCs/>
          <w:color w:val="7030A0"/>
        </w:rPr>
        <w:t>Hugh Jordan v UK</w:t>
      </w:r>
      <w:r w:rsidRPr="00601C26">
        <w:rPr>
          <w:color w:val="7030A0"/>
        </w:rPr>
        <w:t xml:space="preserve"> (2001) ECHR 327; </w:t>
      </w:r>
      <w:r w:rsidRPr="00601C26">
        <w:rPr>
          <w:i/>
          <w:iCs/>
          <w:color w:val="7030A0"/>
        </w:rPr>
        <w:t>Gül v Turkey</w:t>
      </w:r>
      <w:r w:rsidRPr="00601C26">
        <w:rPr>
          <w:color w:val="7030A0"/>
        </w:rPr>
        <w:t xml:space="preserve">, Application No 22676/93, 14 December 2000; </w:t>
      </w:r>
      <w:proofErr w:type="spellStart"/>
      <w:r w:rsidRPr="00601C26">
        <w:rPr>
          <w:i/>
          <w:iCs/>
          <w:color w:val="7030A0"/>
        </w:rPr>
        <w:t>Ogur</w:t>
      </w:r>
      <w:proofErr w:type="spellEnd"/>
      <w:r w:rsidRPr="00601C26">
        <w:rPr>
          <w:i/>
          <w:iCs/>
          <w:color w:val="7030A0"/>
        </w:rPr>
        <w:t xml:space="preserve"> v Turkey</w:t>
      </w:r>
      <w:r w:rsidRPr="00601C26">
        <w:rPr>
          <w:color w:val="7030A0"/>
        </w:rPr>
        <w:t xml:space="preserve"> (1999) ECHR 30;</w:t>
      </w:r>
      <w:r w:rsidRPr="00601C26">
        <w:rPr>
          <w:i/>
          <w:iCs/>
          <w:color w:val="7030A0"/>
        </w:rPr>
        <w:t xml:space="preserve"> </w:t>
      </w:r>
      <w:proofErr w:type="spellStart"/>
      <w:r w:rsidRPr="00601C26">
        <w:rPr>
          <w:i/>
          <w:iCs/>
          <w:color w:val="7030A0"/>
        </w:rPr>
        <w:t>Gülec</w:t>
      </w:r>
      <w:proofErr w:type="spellEnd"/>
      <w:r w:rsidRPr="00601C26">
        <w:rPr>
          <w:i/>
          <w:iCs/>
          <w:color w:val="7030A0"/>
        </w:rPr>
        <w:t xml:space="preserve"> v Turkey</w:t>
      </w:r>
      <w:r w:rsidRPr="00601C26">
        <w:rPr>
          <w:color w:val="7030A0"/>
        </w:rPr>
        <w:t>, Application No 21593/93, 27 July 1998;</w:t>
      </w:r>
      <w:r w:rsidRPr="00601C26">
        <w:rPr>
          <w:i/>
          <w:iCs/>
          <w:color w:val="7030A0"/>
        </w:rPr>
        <w:t xml:space="preserve"> McCann v UK</w:t>
      </w:r>
      <w:r w:rsidRPr="00601C26">
        <w:rPr>
          <w:color w:val="7030A0"/>
        </w:rPr>
        <w:t xml:space="preserve"> (1995) 21 EHRR 97.</w:t>
      </w:r>
    </w:p>
  </w:footnote>
  <w:footnote w:id="177">
    <w:p w14:paraId="11AC2C80" w14:textId="6BCBD4D9" w:rsidR="00AF0D0D" w:rsidRPr="00601C26" w:rsidRDefault="00AF0D0D" w:rsidP="00E53F38">
      <w:pPr>
        <w:pStyle w:val="NIHRCFootnotes"/>
        <w:rPr>
          <w:color w:val="7030A0"/>
        </w:rPr>
      </w:pPr>
      <w:r w:rsidRPr="00601C26">
        <w:rPr>
          <w:rStyle w:val="FootnoteReference"/>
          <w:color w:val="7030A0"/>
        </w:rPr>
        <w:footnoteRef/>
      </w:r>
      <w:r w:rsidRPr="00601C26">
        <w:rPr>
          <w:color w:val="7030A0"/>
        </w:rPr>
        <w:t xml:space="preserve"> </w:t>
      </w:r>
      <w:r w:rsidR="0030624F" w:rsidRPr="00601C26">
        <w:rPr>
          <w:color w:val="7030A0"/>
        </w:rPr>
        <w:t>Clause 1(2) of Schedule 3, NI Troubles (Legacy and Reconciliation) Bill.</w:t>
      </w:r>
    </w:p>
  </w:footnote>
  <w:footnote w:id="178">
    <w:p w14:paraId="3D528D8F" w14:textId="33C11B11" w:rsidR="00F437C7" w:rsidRPr="00601C26" w:rsidRDefault="00F437C7" w:rsidP="00E53F3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 xml:space="preserve">McCann v </w:t>
      </w:r>
      <w:r w:rsidR="005A1890">
        <w:rPr>
          <w:i/>
          <w:color w:val="7030A0"/>
        </w:rPr>
        <w:t>UK</w:t>
      </w:r>
      <w:r w:rsidRPr="00601C26">
        <w:rPr>
          <w:color w:val="7030A0"/>
        </w:rPr>
        <w:t xml:space="preserve"> (1995) 21 EHRR 97; </w:t>
      </w:r>
      <w:r w:rsidRPr="00601C26">
        <w:rPr>
          <w:i/>
          <w:color w:val="7030A0"/>
        </w:rPr>
        <w:t xml:space="preserve">Salman v Turkey </w:t>
      </w:r>
      <w:r w:rsidRPr="00601C26">
        <w:rPr>
          <w:color w:val="7030A0"/>
        </w:rPr>
        <w:t>(2000) ECHR 357.</w:t>
      </w:r>
    </w:p>
  </w:footnote>
  <w:footnote w:id="179">
    <w:p w14:paraId="230D7B52" w14:textId="77777777" w:rsidR="00F437C7" w:rsidRPr="00601C26" w:rsidRDefault="00F437C7"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color w:val="7030A0"/>
        </w:rPr>
        <w:t>Velikova</w:t>
      </w:r>
      <w:proofErr w:type="spellEnd"/>
      <w:r w:rsidRPr="00601C26">
        <w:rPr>
          <w:i/>
          <w:color w:val="7030A0"/>
        </w:rPr>
        <w:t xml:space="preserve"> v Bulgaria</w:t>
      </w:r>
      <w:r w:rsidRPr="00601C26">
        <w:rPr>
          <w:color w:val="7030A0"/>
        </w:rPr>
        <w:t xml:space="preserve"> (2000) ECHR 198.</w:t>
      </w:r>
    </w:p>
  </w:footnote>
  <w:footnote w:id="180">
    <w:p w14:paraId="5740C07F" w14:textId="77777777" w:rsidR="00F437C7" w:rsidRPr="00601C26" w:rsidRDefault="00F437C7"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color w:val="7030A0"/>
        </w:rPr>
        <w:t>Ramsahai</w:t>
      </w:r>
      <w:proofErr w:type="spellEnd"/>
      <w:r w:rsidRPr="00601C26">
        <w:rPr>
          <w:i/>
          <w:color w:val="7030A0"/>
        </w:rPr>
        <w:t xml:space="preserve"> and Others v the Netherlands </w:t>
      </w:r>
      <w:r w:rsidRPr="00601C26">
        <w:rPr>
          <w:color w:val="7030A0"/>
        </w:rPr>
        <w:t xml:space="preserve">(2007) ECHR 393; </w:t>
      </w:r>
      <w:r w:rsidRPr="00601C26">
        <w:rPr>
          <w:i/>
          <w:color w:val="7030A0"/>
        </w:rPr>
        <w:t xml:space="preserve">Giuliani and </w:t>
      </w:r>
      <w:proofErr w:type="spellStart"/>
      <w:r w:rsidRPr="00601C26">
        <w:rPr>
          <w:i/>
          <w:color w:val="7030A0"/>
        </w:rPr>
        <w:t>Gaggio</w:t>
      </w:r>
      <w:proofErr w:type="spellEnd"/>
      <w:r w:rsidRPr="00601C26">
        <w:rPr>
          <w:i/>
          <w:color w:val="7030A0"/>
        </w:rPr>
        <w:t xml:space="preserve"> v Italy</w:t>
      </w:r>
      <w:r w:rsidRPr="00601C26">
        <w:rPr>
          <w:color w:val="7030A0"/>
        </w:rPr>
        <w:t xml:space="preserve"> (2011) ECHR 513.</w:t>
      </w:r>
    </w:p>
  </w:footnote>
  <w:footnote w:id="181">
    <w:p w14:paraId="6A259B74" w14:textId="77777777" w:rsidR="00F437C7" w:rsidRPr="00601C26" w:rsidRDefault="00F437C7"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color w:val="7030A0"/>
        </w:rPr>
        <w:t>Andronicou</w:t>
      </w:r>
      <w:proofErr w:type="spellEnd"/>
      <w:r w:rsidRPr="00601C26">
        <w:rPr>
          <w:i/>
          <w:color w:val="7030A0"/>
        </w:rPr>
        <w:t xml:space="preserve"> and </w:t>
      </w:r>
      <w:proofErr w:type="spellStart"/>
      <w:r w:rsidRPr="00601C26">
        <w:rPr>
          <w:i/>
          <w:color w:val="7030A0"/>
        </w:rPr>
        <w:t>Constntinou</w:t>
      </w:r>
      <w:proofErr w:type="spellEnd"/>
      <w:r w:rsidRPr="00601C26">
        <w:rPr>
          <w:i/>
          <w:color w:val="7030A0"/>
        </w:rPr>
        <w:t xml:space="preserve"> v Cyprus</w:t>
      </w:r>
      <w:r w:rsidRPr="00601C26">
        <w:rPr>
          <w:color w:val="7030A0"/>
        </w:rPr>
        <w:t>, Application No 86-1996-705-897, Judgment of 9 October 1997.</w:t>
      </w:r>
    </w:p>
  </w:footnote>
  <w:footnote w:id="182">
    <w:p w14:paraId="3FC9B0BE" w14:textId="414858E3" w:rsidR="00F437C7" w:rsidRPr="00601C26" w:rsidRDefault="00F437C7"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color w:val="7030A0"/>
        </w:rPr>
        <w:t>McKerr</w:t>
      </w:r>
      <w:proofErr w:type="spellEnd"/>
      <w:r w:rsidRPr="00601C26">
        <w:rPr>
          <w:i/>
          <w:color w:val="7030A0"/>
        </w:rPr>
        <w:t xml:space="preserve"> v </w:t>
      </w:r>
      <w:r w:rsidR="005A1890">
        <w:rPr>
          <w:i/>
          <w:color w:val="7030A0"/>
        </w:rPr>
        <w:t>UK</w:t>
      </w:r>
      <w:r w:rsidRPr="00601C26">
        <w:rPr>
          <w:color w:val="7030A0"/>
        </w:rPr>
        <w:t xml:space="preserve"> (2001) ECHR 329.</w:t>
      </w:r>
    </w:p>
  </w:footnote>
  <w:footnote w:id="183">
    <w:p w14:paraId="378E4FAD" w14:textId="77777777" w:rsidR="00F437C7" w:rsidRPr="00601C26" w:rsidRDefault="00F437C7"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color w:val="7030A0"/>
        </w:rPr>
        <w:t>Yasa</w:t>
      </w:r>
      <w:proofErr w:type="spellEnd"/>
      <w:r w:rsidRPr="00601C26">
        <w:rPr>
          <w:i/>
          <w:color w:val="7030A0"/>
        </w:rPr>
        <w:t xml:space="preserve"> v Turkey</w:t>
      </w:r>
      <w:r w:rsidRPr="00601C26">
        <w:rPr>
          <w:color w:val="7030A0"/>
        </w:rPr>
        <w:t xml:space="preserve"> (1998) ECHR 83.</w:t>
      </w:r>
    </w:p>
  </w:footnote>
  <w:footnote w:id="184">
    <w:p w14:paraId="48FD2BC3" w14:textId="77777777" w:rsidR="00E50256" w:rsidRPr="00601C26" w:rsidRDefault="00E50256"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iCs/>
          <w:color w:val="7030A0"/>
        </w:rPr>
        <w:t>Guberina</w:t>
      </w:r>
      <w:proofErr w:type="spellEnd"/>
      <w:r w:rsidRPr="00601C26">
        <w:rPr>
          <w:i/>
          <w:iCs/>
          <w:color w:val="7030A0"/>
        </w:rPr>
        <w:t xml:space="preserve"> v Croatia</w:t>
      </w:r>
      <w:r w:rsidRPr="00601C26">
        <w:rPr>
          <w:color w:val="7030A0"/>
        </w:rPr>
        <w:t xml:space="preserve"> (2016) ECHR 287, at paras 77-79.</w:t>
      </w:r>
    </w:p>
  </w:footnote>
  <w:footnote w:id="185">
    <w:p w14:paraId="3384A697" w14:textId="77777777" w:rsidR="00E50256" w:rsidRPr="00601C26" w:rsidRDefault="00E50256" w:rsidP="00E53F38">
      <w:pPr>
        <w:pStyle w:val="NIHRCFootnotes"/>
        <w:rPr>
          <w:color w:val="7030A0"/>
        </w:rPr>
      </w:pPr>
      <w:r w:rsidRPr="00601C26">
        <w:rPr>
          <w:rStyle w:val="FootnoteReference"/>
          <w:color w:val="7030A0"/>
        </w:rPr>
        <w:footnoteRef/>
      </w:r>
      <w:r w:rsidRPr="00601C26">
        <w:rPr>
          <w:color w:val="7030A0"/>
        </w:rPr>
        <w:t xml:space="preserve"> </w:t>
      </w:r>
      <w:r w:rsidRPr="00601C26">
        <w:rPr>
          <w:i/>
          <w:iCs/>
          <w:color w:val="7030A0"/>
        </w:rPr>
        <w:t xml:space="preserve">Belli and </w:t>
      </w:r>
      <w:proofErr w:type="spellStart"/>
      <w:r w:rsidRPr="00601C26">
        <w:rPr>
          <w:i/>
          <w:iCs/>
          <w:color w:val="7030A0"/>
        </w:rPr>
        <w:t>Arquier</w:t>
      </w:r>
      <w:proofErr w:type="spellEnd"/>
      <w:r w:rsidRPr="00601C26">
        <w:rPr>
          <w:i/>
          <w:iCs/>
          <w:color w:val="7030A0"/>
        </w:rPr>
        <w:t>-Martinez v Switzerland</w:t>
      </w:r>
      <w:r w:rsidRPr="00601C26">
        <w:rPr>
          <w:color w:val="7030A0"/>
        </w:rPr>
        <w:t xml:space="preserve"> (2018) ECHR 1012, at para 97.</w:t>
      </w:r>
    </w:p>
  </w:footnote>
  <w:footnote w:id="186">
    <w:p w14:paraId="002613ED" w14:textId="737FD533" w:rsidR="0095354E" w:rsidRPr="00601C26" w:rsidRDefault="0095354E" w:rsidP="00E53F38">
      <w:pPr>
        <w:pStyle w:val="NIHRCFootnotes"/>
        <w:rPr>
          <w:color w:val="7030A0"/>
        </w:rPr>
      </w:pPr>
      <w:r w:rsidRPr="00601C26">
        <w:rPr>
          <w:rStyle w:val="FootnoteReference"/>
          <w:color w:val="7030A0"/>
        </w:rPr>
        <w:footnoteRef/>
      </w:r>
      <w:r w:rsidRPr="00601C26">
        <w:rPr>
          <w:color w:val="7030A0"/>
        </w:rPr>
        <w:t xml:space="preserve"> Clause</w:t>
      </w:r>
      <w:r w:rsidR="00822DAA" w:rsidRPr="00601C26">
        <w:rPr>
          <w:color w:val="7030A0"/>
        </w:rPr>
        <w:t>s</w:t>
      </w:r>
      <w:r w:rsidRPr="00601C26">
        <w:rPr>
          <w:color w:val="7030A0"/>
        </w:rPr>
        <w:t xml:space="preserve"> 1(6)</w:t>
      </w:r>
      <w:r w:rsidR="00822DAA" w:rsidRPr="00601C26">
        <w:rPr>
          <w:color w:val="7030A0"/>
        </w:rPr>
        <w:t>, 9 and 10, NI Troubles (Legacy and Reconciliation) Bill.</w:t>
      </w:r>
    </w:p>
  </w:footnote>
  <w:footnote w:id="187">
    <w:p w14:paraId="54ED4955" w14:textId="22F0623E" w:rsidR="00CC4CBF" w:rsidRPr="00601C26" w:rsidRDefault="00CC4CBF" w:rsidP="00E53F38">
      <w:pPr>
        <w:pStyle w:val="NIHRCFootnotes"/>
        <w:rPr>
          <w:color w:val="7030A0"/>
        </w:rPr>
      </w:pPr>
      <w:r w:rsidRPr="00601C26">
        <w:rPr>
          <w:rStyle w:val="FootnoteReference"/>
          <w:color w:val="7030A0"/>
        </w:rPr>
        <w:footnoteRef/>
      </w:r>
      <w:r w:rsidRPr="00601C26">
        <w:rPr>
          <w:color w:val="7030A0"/>
        </w:rPr>
        <w:t xml:space="preserve"> Clauses 2</w:t>
      </w:r>
      <w:r w:rsidR="006044F2" w:rsidRPr="00601C26">
        <w:rPr>
          <w:color w:val="7030A0"/>
        </w:rPr>
        <w:t>4</w:t>
      </w:r>
      <w:r w:rsidRPr="00601C26">
        <w:rPr>
          <w:color w:val="7030A0"/>
        </w:rPr>
        <w:t xml:space="preserve"> and 2</w:t>
      </w:r>
      <w:r w:rsidR="006044F2" w:rsidRPr="00601C26">
        <w:rPr>
          <w:color w:val="7030A0"/>
        </w:rPr>
        <w:t>5</w:t>
      </w:r>
      <w:r w:rsidRPr="00601C26">
        <w:rPr>
          <w:color w:val="7030A0"/>
        </w:rPr>
        <w:t>, NI Troubles (Legacy and Reconciliation) Bill.</w:t>
      </w:r>
    </w:p>
  </w:footnote>
  <w:footnote w:id="188">
    <w:p w14:paraId="42B5BF7D" w14:textId="77777777" w:rsidR="00DE464C" w:rsidRPr="00601C26" w:rsidRDefault="00DE464C" w:rsidP="00E53F38">
      <w:pPr>
        <w:pStyle w:val="NIHRCFootnotes"/>
        <w:rPr>
          <w:color w:val="7030A0"/>
        </w:rPr>
      </w:pPr>
      <w:r w:rsidRPr="00601C26">
        <w:rPr>
          <w:rStyle w:val="FootnoteReference"/>
          <w:color w:val="7030A0"/>
        </w:rPr>
        <w:footnoteRef/>
      </w:r>
      <w:r w:rsidRPr="00601C26">
        <w:rPr>
          <w:color w:val="7030A0"/>
        </w:rPr>
        <w:t xml:space="preserve"> Article 15(2), ECHR.</w:t>
      </w:r>
    </w:p>
  </w:footnote>
  <w:footnote w:id="189">
    <w:p w14:paraId="51800237" w14:textId="77777777" w:rsidR="00DE464C" w:rsidRPr="00601C26" w:rsidRDefault="00DE464C"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iCs/>
          <w:color w:val="7030A0"/>
        </w:rPr>
        <w:t>Mursic</w:t>
      </w:r>
      <w:proofErr w:type="spellEnd"/>
      <w:r w:rsidRPr="00601C26">
        <w:rPr>
          <w:i/>
          <w:iCs/>
          <w:color w:val="7030A0"/>
        </w:rPr>
        <w:t xml:space="preserve"> v Croatia</w:t>
      </w:r>
      <w:r w:rsidRPr="00601C26">
        <w:rPr>
          <w:color w:val="7030A0"/>
        </w:rPr>
        <w:t xml:space="preserve"> (2016) ECHR 927, at para 97.</w:t>
      </w:r>
    </w:p>
  </w:footnote>
  <w:footnote w:id="190">
    <w:p w14:paraId="728394CB" w14:textId="5FC2CF9C" w:rsidR="00E408D2" w:rsidRPr="00601C26" w:rsidRDefault="00E408D2" w:rsidP="00E53F38">
      <w:pPr>
        <w:pStyle w:val="NIHRCFootnotes"/>
        <w:rPr>
          <w:color w:val="7030A0"/>
        </w:rPr>
      </w:pPr>
      <w:r w:rsidRPr="00601C26">
        <w:rPr>
          <w:rStyle w:val="FootnoteReference"/>
          <w:color w:val="7030A0"/>
        </w:rPr>
        <w:footnoteRef/>
      </w:r>
      <w:r w:rsidRPr="00601C26">
        <w:rPr>
          <w:color w:val="7030A0"/>
        </w:rPr>
        <w:t xml:space="preserve"> </w:t>
      </w:r>
      <w:r w:rsidR="00DD5192" w:rsidRPr="00601C26">
        <w:rPr>
          <w:color w:val="7030A0"/>
        </w:rPr>
        <w:t>Article 3, Victims and Survivors (NI) Order 2006.</w:t>
      </w:r>
    </w:p>
  </w:footnote>
  <w:footnote w:id="191">
    <w:p w14:paraId="14BDAE20" w14:textId="3D270C64" w:rsidR="00153D7B" w:rsidRPr="00601C26" w:rsidRDefault="00153D7B" w:rsidP="00E53F3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Hemsworth v</w:t>
      </w:r>
      <w:r w:rsidR="007F0ACD">
        <w:rPr>
          <w:i/>
          <w:color w:val="7030A0"/>
        </w:rPr>
        <w:t xml:space="preserve"> UK</w:t>
      </w:r>
      <w:r w:rsidRPr="00601C26">
        <w:rPr>
          <w:i/>
          <w:color w:val="7030A0"/>
        </w:rPr>
        <w:t xml:space="preserve"> </w:t>
      </w:r>
      <w:r w:rsidRPr="00601C26">
        <w:rPr>
          <w:color w:val="7030A0"/>
        </w:rPr>
        <w:t>(2013) ECHR 683.</w:t>
      </w:r>
    </w:p>
  </w:footnote>
  <w:footnote w:id="192">
    <w:p w14:paraId="4BCDCB94" w14:textId="625C70F5" w:rsidR="00153D7B" w:rsidRPr="00601C26" w:rsidRDefault="00153D7B" w:rsidP="00E53F38">
      <w:pPr>
        <w:pStyle w:val="NIHRCFootnotes"/>
        <w:rPr>
          <w:color w:val="7030A0"/>
        </w:rPr>
      </w:pPr>
      <w:r w:rsidRPr="00601C26">
        <w:rPr>
          <w:rStyle w:val="FootnoteReference"/>
          <w:color w:val="7030A0"/>
        </w:rPr>
        <w:footnoteRef/>
      </w:r>
      <w:r w:rsidRPr="00601C26">
        <w:rPr>
          <w:color w:val="7030A0"/>
        </w:rPr>
        <w:t xml:space="preserve"> </w:t>
      </w:r>
      <w:r w:rsidR="009F6712" w:rsidRPr="00601C26">
        <w:rPr>
          <w:color w:val="7030A0"/>
        </w:rPr>
        <w:t>‘</w:t>
      </w:r>
      <w:proofErr w:type="spellStart"/>
      <w:r w:rsidR="00C8000D" w:rsidRPr="00601C26">
        <w:rPr>
          <w:color w:val="7030A0"/>
        </w:rPr>
        <w:t>CoE</w:t>
      </w:r>
      <w:proofErr w:type="spellEnd"/>
      <w:r w:rsidR="00C8000D" w:rsidRPr="00601C26">
        <w:rPr>
          <w:color w:val="7030A0"/>
        </w:rPr>
        <w:t xml:space="preserve"> </w:t>
      </w:r>
      <w:r w:rsidRPr="00601C26">
        <w:rPr>
          <w:color w:val="7030A0"/>
        </w:rPr>
        <w:t>Committee of Ministers</w:t>
      </w:r>
      <w:r w:rsidR="009F6712" w:rsidRPr="00601C26">
        <w:rPr>
          <w:color w:val="7030A0"/>
        </w:rPr>
        <w:t xml:space="preserve"> </w:t>
      </w:r>
      <w:r w:rsidRPr="00601C26">
        <w:rPr>
          <w:color w:val="7030A0"/>
        </w:rPr>
        <w:t xml:space="preserve">Item H46-42 </w:t>
      </w:r>
      <w:proofErr w:type="spellStart"/>
      <w:r w:rsidRPr="00601C26">
        <w:rPr>
          <w:color w:val="7030A0"/>
        </w:rPr>
        <w:t>McKerr</w:t>
      </w:r>
      <w:proofErr w:type="spellEnd"/>
      <w:r w:rsidRPr="00601C26">
        <w:rPr>
          <w:color w:val="7030A0"/>
        </w:rPr>
        <w:t xml:space="preserve"> </w:t>
      </w:r>
      <w:r w:rsidR="009F6712" w:rsidRPr="00601C26">
        <w:rPr>
          <w:color w:val="7030A0"/>
        </w:rPr>
        <w:t>G</w:t>
      </w:r>
      <w:r w:rsidRPr="00601C26">
        <w:rPr>
          <w:color w:val="7030A0"/>
        </w:rPr>
        <w:t>roup v</w:t>
      </w:r>
      <w:r w:rsidR="009F6712" w:rsidRPr="00601C26">
        <w:rPr>
          <w:color w:val="7030A0"/>
        </w:rPr>
        <w:t xml:space="preserve"> UK</w:t>
      </w:r>
      <w:r w:rsidRPr="00601C26">
        <w:rPr>
          <w:color w:val="7030A0"/>
        </w:rPr>
        <w:t xml:space="preserve"> (Application No. 28883/95)’, 7-8 June 2016.</w:t>
      </w:r>
    </w:p>
  </w:footnote>
  <w:footnote w:id="193">
    <w:p w14:paraId="0063FD6A" w14:textId="27A75347" w:rsidR="006E7616" w:rsidRPr="00601C26" w:rsidRDefault="006E7616" w:rsidP="00E53F38">
      <w:pPr>
        <w:pStyle w:val="NIHRCFootnotes"/>
        <w:rPr>
          <w:color w:val="7030A0"/>
        </w:rPr>
      </w:pPr>
      <w:r w:rsidRPr="00601C26">
        <w:rPr>
          <w:rStyle w:val="FootnoteReference"/>
          <w:color w:val="7030A0"/>
        </w:rPr>
        <w:footnoteRef/>
      </w:r>
      <w:r w:rsidRPr="00601C26">
        <w:rPr>
          <w:color w:val="7030A0"/>
        </w:rPr>
        <w:t xml:space="preserve"> </w:t>
      </w:r>
      <w:r w:rsidR="00FF44FE" w:rsidRPr="00601C26">
        <w:rPr>
          <w:color w:val="7030A0"/>
        </w:rPr>
        <w:t>CM/Notes/1436/H46-35, ‘</w:t>
      </w:r>
      <w:proofErr w:type="spellStart"/>
      <w:r w:rsidR="00FF44FE" w:rsidRPr="00601C26">
        <w:rPr>
          <w:color w:val="7030A0"/>
        </w:rPr>
        <w:t>CoE</w:t>
      </w:r>
      <w:proofErr w:type="spellEnd"/>
      <w:r w:rsidR="00FF44FE" w:rsidRPr="00601C26">
        <w:rPr>
          <w:color w:val="7030A0"/>
        </w:rPr>
        <w:t xml:space="preserve"> Committee of Ministers Decision on </w:t>
      </w:r>
      <w:proofErr w:type="spellStart"/>
      <w:r w:rsidR="00FF44FE" w:rsidRPr="00601C26">
        <w:rPr>
          <w:color w:val="7030A0"/>
        </w:rPr>
        <w:t>McKerr</w:t>
      </w:r>
      <w:proofErr w:type="spellEnd"/>
      <w:r w:rsidR="00FF44FE" w:rsidRPr="00601C26">
        <w:rPr>
          <w:color w:val="7030A0"/>
        </w:rPr>
        <w:t xml:space="preserve"> Group v UK (Application No 28883/95), 10 June 2022, at para 4.</w:t>
      </w:r>
    </w:p>
  </w:footnote>
  <w:footnote w:id="194">
    <w:p w14:paraId="3107D152" w14:textId="1CAE8768" w:rsidR="00153D7B" w:rsidRPr="00601C26" w:rsidRDefault="00153D7B" w:rsidP="00E53F38">
      <w:pPr>
        <w:pStyle w:val="NIHRCFootnotes"/>
        <w:rPr>
          <w:color w:val="7030A0"/>
        </w:rPr>
      </w:pPr>
      <w:r w:rsidRPr="00601C26">
        <w:rPr>
          <w:rStyle w:val="FootnoteReference"/>
          <w:color w:val="7030A0"/>
        </w:rPr>
        <w:footnoteRef/>
      </w:r>
      <w:r w:rsidRPr="00601C26">
        <w:rPr>
          <w:color w:val="7030A0"/>
        </w:rPr>
        <w:t xml:space="preserve"> Her Majesty’s Inspectorate of Constabulary, ‘Inspection of the P</w:t>
      </w:r>
      <w:r w:rsidR="002A0467" w:rsidRPr="00601C26">
        <w:rPr>
          <w:color w:val="7030A0"/>
        </w:rPr>
        <w:t xml:space="preserve">olice </w:t>
      </w:r>
      <w:r w:rsidRPr="00601C26">
        <w:rPr>
          <w:color w:val="7030A0"/>
        </w:rPr>
        <w:t>S</w:t>
      </w:r>
      <w:r w:rsidR="002A0467" w:rsidRPr="00601C26">
        <w:rPr>
          <w:color w:val="7030A0"/>
        </w:rPr>
        <w:t xml:space="preserve">ervice </w:t>
      </w:r>
      <w:r w:rsidRPr="00601C26">
        <w:rPr>
          <w:color w:val="7030A0"/>
        </w:rPr>
        <w:t>NI H</w:t>
      </w:r>
      <w:r w:rsidR="002A0467" w:rsidRPr="00601C26">
        <w:rPr>
          <w:color w:val="7030A0"/>
        </w:rPr>
        <w:t xml:space="preserve">istorical </w:t>
      </w:r>
      <w:r w:rsidRPr="00601C26">
        <w:rPr>
          <w:color w:val="7030A0"/>
        </w:rPr>
        <w:t>E</w:t>
      </w:r>
      <w:r w:rsidR="002A0467" w:rsidRPr="00601C26">
        <w:rPr>
          <w:color w:val="7030A0"/>
        </w:rPr>
        <w:t xml:space="preserve">nquiries </w:t>
      </w:r>
      <w:r w:rsidRPr="00601C26">
        <w:rPr>
          <w:color w:val="7030A0"/>
        </w:rPr>
        <w:t>T</w:t>
      </w:r>
      <w:r w:rsidR="002A0467" w:rsidRPr="00601C26">
        <w:rPr>
          <w:color w:val="7030A0"/>
        </w:rPr>
        <w:t>eam</w:t>
      </w:r>
      <w:r w:rsidRPr="00601C26">
        <w:rPr>
          <w:color w:val="7030A0"/>
        </w:rPr>
        <w:t>’ (HMIC, 2013), at 28.</w:t>
      </w:r>
    </w:p>
  </w:footnote>
  <w:footnote w:id="195">
    <w:p w14:paraId="13F6077D" w14:textId="77777777" w:rsidR="00153D7B" w:rsidRPr="00601C26" w:rsidRDefault="00153D7B" w:rsidP="00E53F38">
      <w:pPr>
        <w:pStyle w:val="NIHRCFootnotes"/>
        <w:rPr>
          <w:color w:val="7030A0"/>
        </w:rPr>
      </w:pPr>
      <w:r w:rsidRPr="00601C26">
        <w:rPr>
          <w:rStyle w:val="FootnoteReference"/>
          <w:color w:val="7030A0"/>
        </w:rPr>
        <w:footnoteRef/>
      </w:r>
      <w:r w:rsidRPr="00601C26">
        <w:rPr>
          <w:color w:val="7030A0"/>
        </w:rPr>
        <w:t xml:space="preserve"> UK Joint Committee on Human Rights, ‘HL Paper 130, HC 1088: Human Rights Judgments Seventh Report of Session 2014-15’, 11 March 2015.</w:t>
      </w:r>
    </w:p>
  </w:footnote>
  <w:footnote w:id="196">
    <w:p w14:paraId="608A11F0" w14:textId="77777777" w:rsidR="00153D7B" w:rsidRPr="00601C26" w:rsidRDefault="00153D7B" w:rsidP="00E53F38">
      <w:pPr>
        <w:pStyle w:val="NIHRCFootnotes"/>
        <w:rPr>
          <w:color w:val="7030A0"/>
        </w:rPr>
      </w:pPr>
      <w:r w:rsidRPr="00601C26">
        <w:rPr>
          <w:rStyle w:val="FootnoteReference"/>
          <w:color w:val="7030A0"/>
        </w:rPr>
        <w:footnoteRef/>
      </w:r>
      <w:r w:rsidRPr="00601C26">
        <w:rPr>
          <w:color w:val="7030A0"/>
        </w:rPr>
        <w:t xml:space="preserve"> Police Ombudsman NI, ‘Historical Investigations’. Available at: https://policeombudsman.org/About-Us/Historical-Investigations</w:t>
      </w:r>
    </w:p>
  </w:footnote>
  <w:footnote w:id="197">
    <w:p w14:paraId="2BDF01A0" w14:textId="0C358FE5" w:rsidR="00153D7B" w:rsidRPr="00601C26" w:rsidRDefault="00153D7B" w:rsidP="00E53F38">
      <w:pPr>
        <w:pStyle w:val="NIHRCFootnotes"/>
        <w:rPr>
          <w:color w:val="7030A0"/>
        </w:rPr>
      </w:pPr>
      <w:r w:rsidRPr="00601C26">
        <w:rPr>
          <w:rStyle w:val="FootnoteReference"/>
          <w:color w:val="7030A0"/>
        </w:rPr>
        <w:footnoteRef/>
      </w:r>
      <w:r w:rsidRPr="00601C26">
        <w:rPr>
          <w:color w:val="7030A0"/>
        </w:rPr>
        <w:t xml:space="preserve"> </w:t>
      </w:r>
      <w:r w:rsidR="00D21261">
        <w:rPr>
          <w:color w:val="7030A0"/>
        </w:rPr>
        <w:t>Ibid.</w:t>
      </w:r>
    </w:p>
  </w:footnote>
  <w:footnote w:id="198">
    <w:p w14:paraId="254E1E02" w14:textId="06BD3189" w:rsidR="00153D7B" w:rsidRPr="00601C26" w:rsidRDefault="00153D7B" w:rsidP="00E53F38">
      <w:pPr>
        <w:pStyle w:val="NIHRCFootnotes"/>
        <w:rPr>
          <w:color w:val="7030A0"/>
        </w:rPr>
      </w:pPr>
      <w:r w:rsidRPr="00601C26">
        <w:rPr>
          <w:rStyle w:val="FootnoteReference"/>
          <w:color w:val="7030A0"/>
        </w:rPr>
        <w:footnoteRef/>
      </w:r>
      <w:r w:rsidRPr="00601C26">
        <w:rPr>
          <w:color w:val="7030A0"/>
        </w:rPr>
        <w:t xml:space="preserve"> </w:t>
      </w:r>
      <w:r w:rsidR="00D21261">
        <w:rPr>
          <w:color w:val="7030A0"/>
        </w:rPr>
        <w:t>Ibid.</w:t>
      </w:r>
    </w:p>
  </w:footnote>
  <w:footnote w:id="199">
    <w:p w14:paraId="3A11B378" w14:textId="77777777" w:rsidR="00153D7B" w:rsidRPr="00601C26" w:rsidRDefault="00153D7B"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iCs/>
          <w:color w:val="7030A0"/>
        </w:rPr>
        <w:t>McKerr</w:t>
      </w:r>
      <w:proofErr w:type="spellEnd"/>
      <w:r w:rsidRPr="00601C26">
        <w:rPr>
          <w:i/>
          <w:iCs/>
          <w:color w:val="7030A0"/>
        </w:rPr>
        <w:t xml:space="preserve"> v UK</w:t>
      </w:r>
      <w:r w:rsidRPr="00601C26">
        <w:rPr>
          <w:color w:val="7030A0"/>
        </w:rPr>
        <w:t xml:space="preserve"> (2001) ECHR 329; </w:t>
      </w:r>
      <w:r w:rsidRPr="00601C26">
        <w:rPr>
          <w:i/>
          <w:iCs/>
          <w:color w:val="7030A0"/>
        </w:rPr>
        <w:t>Kelly and Others v UK</w:t>
      </w:r>
      <w:r w:rsidRPr="00601C26">
        <w:rPr>
          <w:color w:val="7030A0"/>
        </w:rPr>
        <w:t xml:space="preserve"> (2001) ECHR 328; </w:t>
      </w:r>
      <w:proofErr w:type="spellStart"/>
      <w:r w:rsidRPr="00601C26">
        <w:rPr>
          <w:i/>
          <w:iCs/>
          <w:color w:val="7030A0"/>
        </w:rPr>
        <w:t>Shanaghan</w:t>
      </w:r>
      <w:proofErr w:type="spellEnd"/>
      <w:r w:rsidRPr="00601C26">
        <w:rPr>
          <w:i/>
          <w:iCs/>
          <w:color w:val="7030A0"/>
        </w:rPr>
        <w:t xml:space="preserve"> v UK</w:t>
      </w:r>
      <w:r w:rsidRPr="00601C26">
        <w:rPr>
          <w:color w:val="7030A0"/>
        </w:rPr>
        <w:t xml:space="preserve"> (2001) ECHR 330.</w:t>
      </w:r>
    </w:p>
  </w:footnote>
  <w:footnote w:id="200">
    <w:p w14:paraId="541EE520" w14:textId="77777777" w:rsidR="00153D7B" w:rsidRPr="00601C26" w:rsidRDefault="00153D7B" w:rsidP="00E53F38">
      <w:pPr>
        <w:pStyle w:val="NIHRCFootnotes"/>
        <w:rPr>
          <w:color w:val="7030A0"/>
        </w:rPr>
      </w:pPr>
      <w:r w:rsidRPr="00601C26">
        <w:rPr>
          <w:rStyle w:val="FootnoteReference"/>
          <w:color w:val="7030A0"/>
        </w:rPr>
        <w:footnoteRef/>
      </w:r>
      <w:r w:rsidRPr="00601C26">
        <w:rPr>
          <w:color w:val="7030A0"/>
        </w:rPr>
        <w:t xml:space="preserve"> CM/</w:t>
      </w:r>
      <w:proofErr w:type="spellStart"/>
      <w:proofErr w:type="gramStart"/>
      <w:r w:rsidRPr="00601C26">
        <w:rPr>
          <w:color w:val="7030A0"/>
        </w:rPr>
        <w:t>ResDH</w:t>
      </w:r>
      <w:proofErr w:type="spellEnd"/>
      <w:r w:rsidRPr="00601C26">
        <w:rPr>
          <w:color w:val="7030A0"/>
        </w:rPr>
        <w:t>(</w:t>
      </w:r>
      <w:proofErr w:type="gramEnd"/>
      <w:r w:rsidRPr="00601C26">
        <w:rPr>
          <w:color w:val="7030A0"/>
        </w:rPr>
        <w:t>2020)367, ‘</w:t>
      </w:r>
      <w:proofErr w:type="spellStart"/>
      <w:r w:rsidRPr="00601C26">
        <w:rPr>
          <w:color w:val="7030A0"/>
        </w:rPr>
        <w:t>CoE</w:t>
      </w:r>
      <w:proofErr w:type="spellEnd"/>
      <w:r w:rsidRPr="00601C26">
        <w:rPr>
          <w:color w:val="7030A0"/>
        </w:rPr>
        <w:t xml:space="preserve"> Committee of Ministers Execution of the Judgments of the European Court of Human Rights: </w:t>
      </w:r>
      <w:proofErr w:type="spellStart"/>
      <w:r w:rsidRPr="00601C26">
        <w:rPr>
          <w:color w:val="7030A0"/>
        </w:rPr>
        <w:t>McKerr</w:t>
      </w:r>
      <w:proofErr w:type="spellEnd"/>
      <w:r w:rsidRPr="00601C26">
        <w:rPr>
          <w:color w:val="7030A0"/>
        </w:rPr>
        <w:t xml:space="preserve"> and Other Seven Cases Against the UK’, 3 December 2020.</w:t>
      </w:r>
    </w:p>
  </w:footnote>
  <w:footnote w:id="201">
    <w:p w14:paraId="30A88F57" w14:textId="56503359" w:rsidR="00FE3DA6" w:rsidRPr="00601C26" w:rsidRDefault="00FE3DA6"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iCs/>
          <w:color w:val="7030A0"/>
        </w:rPr>
        <w:t>Silih</w:t>
      </w:r>
      <w:proofErr w:type="spellEnd"/>
      <w:r w:rsidRPr="00601C26">
        <w:rPr>
          <w:i/>
          <w:iCs/>
          <w:color w:val="7030A0"/>
        </w:rPr>
        <w:t xml:space="preserve"> v Slovenia</w:t>
      </w:r>
      <w:r w:rsidRPr="00601C26">
        <w:rPr>
          <w:color w:val="7030A0"/>
        </w:rPr>
        <w:t xml:space="preserve"> (2009) ECHR 571, at para 164.</w:t>
      </w:r>
    </w:p>
  </w:footnote>
  <w:footnote w:id="202">
    <w:p w14:paraId="183B91E5" w14:textId="0442FD68" w:rsidR="009633E2" w:rsidRPr="00601C26" w:rsidRDefault="009633E2" w:rsidP="00E53F38">
      <w:pPr>
        <w:pStyle w:val="NIHRCFootnotes"/>
        <w:rPr>
          <w:color w:val="7030A0"/>
        </w:rPr>
      </w:pPr>
      <w:r w:rsidRPr="00601C26">
        <w:rPr>
          <w:rStyle w:val="FootnoteReference"/>
          <w:color w:val="7030A0"/>
        </w:rPr>
        <w:footnoteRef/>
      </w:r>
      <w:r w:rsidRPr="00601C26">
        <w:rPr>
          <w:color w:val="7030A0"/>
        </w:rPr>
        <w:t xml:space="preserve"> </w:t>
      </w:r>
      <w:r w:rsidRPr="00601C26">
        <w:rPr>
          <w:i/>
          <w:iCs/>
          <w:color w:val="7030A0"/>
        </w:rPr>
        <w:t>Chong and Others v UK</w:t>
      </w:r>
      <w:r w:rsidRPr="00601C26">
        <w:rPr>
          <w:color w:val="7030A0"/>
        </w:rPr>
        <w:t xml:space="preserve"> </w:t>
      </w:r>
      <w:r w:rsidR="00017AFF" w:rsidRPr="00601C26">
        <w:rPr>
          <w:color w:val="7030A0"/>
        </w:rPr>
        <w:t>(2018) ECHR 802</w:t>
      </w:r>
      <w:r w:rsidR="00C9118D" w:rsidRPr="00601C26">
        <w:rPr>
          <w:color w:val="7030A0"/>
        </w:rPr>
        <w:t>, at paras 84-90.</w:t>
      </w:r>
    </w:p>
  </w:footnote>
  <w:footnote w:id="203">
    <w:p w14:paraId="041D4BB1" w14:textId="2CF34617" w:rsidR="00A4745B" w:rsidRPr="00601C26" w:rsidRDefault="00A4745B" w:rsidP="00E53F38">
      <w:pPr>
        <w:pStyle w:val="NIHRCFootnotes"/>
        <w:rPr>
          <w:color w:val="7030A0"/>
        </w:rPr>
      </w:pPr>
      <w:r w:rsidRPr="00601C26">
        <w:rPr>
          <w:rStyle w:val="FootnoteReference"/>
          <w:color w:val="7030A0"/>
        </w:rPr>
        <w:footnoteRef/>
      </w:r>
      <w:r w:rsidRPr="00601C26">
        <w:rPr>
          <w:color w:val="7030A0"/>
        </w:rPr>
        <w:t xml:space="preserve"> Sections 2 and 6, Human Rights Act 1998.</w:t>
      </w:r>
    </w:p>
  </w:footnote>
  <w:footnote w:id="204">
    <w:p w14:paraId="2C42F022" w14:textId="1A2B1EFE" w:rsidR="00F012E1" w:rsidRPr="00601C26" w:rsidRDefault="00F012E1" w:rsidP="00E53F38">
      <w:pPr>
        <w:pStyle w:val="NIHRCFootnotes"/>
        <w:rPr>
          <w:color w:val="7030A0"/>
        </w:rPr>
      </w:pPr>
      <w:r w:rsidRPr="00601C26">
        <w:rPr>
          <w:rStyle w:val="FootnoteReference"/>
          <w:color w:val="7030A0"/>
        </w:rPr>
        <w:footnoteRef/>
      </w:r>
      <w:r w:rsidRPr="00601C26">
        <w:rPr>
          <w:color w:val="7030A0"/>
        </w:rPr>
        <w:t xml:space="preserve"> </w:t>
      </w:r>
      <w:r w:rsidR="00AE6008" w:rsidRPr="00601C26">
        <w:rPr>
          <w:i/>
          <w:iCs/>
          <w:color w:val="7030A0"/>
        </w:rPr>
        <w:t>Mc Kerr</w:t>
      </w:r>
      <w:r w:rsidR="00AE6008" w:rsidRPr="00601C26">
        <w:rPr>
          <w:color w:val="7030A0"/>
        </w:rPr>
        <w:t xml:space="preserve"> [2004]</w:t>
      </w:r>
      <w:r w:rsidR="00703BCA" w:rsidRPr="00601C26">
        <w:rPr>
          <w:color w:val="7030A0"/>
        </w:rPr>
        <w:t xml:space="preserve"> UKHL 12.</w:t>
      </w:r>
    </w:p>
  </w:footnote>
  <w:footnote w:id="205">
    <w:p w14:paraId="382E149B" w14:textId="12640ABD" w:rsidR="00F012E1" w:rsidRPr="00601C26" w:rsidRDefault="00F012E1" w:rsidP="00E53F38">
      <w:pPr>
        <w:pStyle w:val="NIHRCFootnotes"/>
        <w:rPr>
          <w:color w:val="7030A0"/>
        </w:rPr>
      </w:pPr>
      <w:r w:rsidRPr="00601C26">
        <w:rPr>
          <w:rStyle w:val="FootnoteReference"/>
          <w:color w:val="7030A0"/>
        </w:rPr>
        <w:footnoteRef/>
      </w:r>
      <w:r w:rsidRPr="00601C26">
        <w:rPr>
          <w:color w:val="7030A0"/>
        </w:rPr>
        <w:t xml:space="preserve"> </w:t>
      </w:r>
      <w:r w:rsidR="0057288C" w:rsidRPr="00601C26">
        <w:rPr>
          <w:i/>
          <w:iCs/>
          <w:color w:val="7030A0"/>
        </w:rPr>
        <w:t xml:space="preserve">Re McCaughey and </w:t>
      </w:r>
      <w:proofErr w:type="spellStart"/>
      <w:r w:rsidR="0057288C" w:rsidRPr="00601C26">
        <w:rPr>
          <w:i/>
          <w:iCs/>
          <w:color w:val="7030A0"/>
        </w:rPr>
        <w:t>Ancor</w:t>
      </w:r>
      <w:proofErr w:type="spellEnd"/>
      <w:r w:rsidR="0057288C" w:rsidRPr="00601C26">
        <w:rPr>
          <w:i/>
          <w:iCs/>
          <w:color w:val="7030A0"/>
        </w:rPr>
        <w:t xml:space="preserve"> </w:t>
      </w:r>
      <w:r w:rsidR="00703BCA" w:rsidRPr="00601C26">
        <w:rPr>
          <w:color w:val="7030A0"/>
        </w:rPr>
        <w:t>[2011] UKSC 20.</w:t>
      </w:r>
    </w:p>
  </w:footnote>
  <w:footnote w:id="206">
    <w:p w14:paraId="5AD3DB4E" w14:textId="5479EBF0" w:rsidR="00B71CFE" w:rsidRPr="00601C26" w:rsidRDefault="00B71CFE" w:rsidP="00E53F38">
      <w:pPr>
        <w:pStyle w:val="NIHRCFootnotes"/>
        <w:rPr>
          <w:iCs/>
          <w:color w:val="7030A0"/>
        </w:rPr>
      </w:pPr>
      <w:r w:rsidRPr="00601C26">
        <w:rPr>
          <w:rStyle w:val="FootnoteReference"/>
          <w:color w:val="7030A0"/>
        </w:rPr>
        <w:footnoteRef/>
      </w:r>
      <w:r w:rsidRPr="00601C26">
        <w:rPr>
          <w:color w:val="7030A0"/>
        </w:rPr>
        <w:t xml:space="preserve"> </w:t>
      </w:r>
      <w:proofErr w:type="spellStart"/>
      <w:r w:rsidR="005542B8" w:rsidRPr="00601C26">
        <w:rPr>
          <w:i/>
          <w:iCs/>
          <w:color w:val="7030A0"/>
        </w:rPr>
        <w:t>McQuillian</w:t>
      </w:r>
      <w:proofErr w:type="spellEnd"/>
      <w:r w:rsidR="005542B8" w:rsidRPr="00601C26">
        <w:rPr>
          <w:i/>
          <w:iCs/>
          <w:color w:val="7030A0"/>
        </w:rPr>
        <w:t xml:space="preserve">, McGuigan and </w:t>
      </w:r>
      <w:r w:rsidR="005542B8" w:rsidRPr="00601C26">
        <w:rPr>
          <w:i/>
          <w:color w:val="7030A0"/>
        </w:rPr>
        <w:t xml:space="preserve">McKenna </w:t>
      </w:r>
      <w:r w:rsidR="005542B8" w:rsidRPr="00601C26">
        <w:rPr>
          <w:iCs/>
          <w:color w:val="7030A0"/>
        </w:rPr>
        <w:t>[2021] UKSC 55.</w:t>
      </w:r>
    </w:p>
  </w:footnote>
  <w:footnote w:id="207">
    <w:p w14:paraId="4668A445" w14:textId="605C5DFE" w:rsidR="00F012E1" w:rsidRPr="00601C26" w:rsidRDefault="00F012E1"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0057288C" w:rsidRPr="00601C26">
        <w:rPr>
          <w:i/>
          <w:iCs/>
          <w:color w:val="7030A0"/>
        </w:rPr>
        <w:t>Silih</w:t>
      </w:r>
      <w:proofErr w:type="spellEnd"/>
      <w:r w:rsidR="0057288C" w:rsidRPr="00601C26">
        <w:rPr>
          <w:i/>
          <w:iCs/>
          <w:color w:val="7030A0"/>
        </w:rPr>
        <w:t xml:space="preserve"> v Slovenia</w:t>
      </w:r>
      <w:r w:rsidR="0057288C" w:rsidRPr="00601C26">
        <w:rPr>
          <w:color w:val="7030A0"/>
        </w:rPr>
        <w:t xml:space="preserve"> (2009)</w:t>
      </w:r>
      <w:r w:rsidR="00B2304A" w:rsidRPr="00601C26">
        <w:rPr>
          <w:color w:val="7030A0"/>
        </w:rPr>
        <w:t xml:space="preserve"> ECHR </w:t>
      </w:r>
      <w:r w:rsidR="00FD2A87" w:rsidRPr="00601C26">
        <w:rPr>
          <w:color w:val="7030A0"/>
        </w:rPr>
        <w:t>571</w:t>
      </w:r>
      <w:r w:rsidR="0057288C" w:rsidRPr="00601C26">
        <w:rPr>
          <w:color w:val="7030A0"/>
        </w:rPr>
        <w:t xml:space="preserve">, at para </w:t>
      </w:r>
      <w:r w:rsidR="00C968B7" w:rsidRPr="00601C26">
        <w:rPr>
          <w:color w:val="7030A0"/>
        </w:rPr>
        <w:t>159</w:t>
      </w:r>
      <w:r w:rsidR="00FD2A87" w:rsidRPr="00601C26">
        <w:rPr>
          <w:color w:val="7030A0"/>
        </w:rPr>
        <w:t>.</w:t>
      </w:r>
    </w:p>
  </w:footnote>
  <w:footnote w:id="208">
    <w:p w14:paraId="7B89B698" w14:textId="092D8BD7" w:rsidR="00F012E1" w:rsidRPr="00601C26" w:rsidRDefault="00F012E1" w:rsidP="00E53F38">
      <w:pPr>
        <w:pStyle w:val="NIHRCFootnotes"/>
        <w:rPr>
          <w:color w:val="7030A0"/>
        </w:rPr>
      </w:pPr>
      <w:r w:rsidRPr="00601C26">
        <w:rPr>
          <w:rStyle w:val="FootnoteReference"/>
          <w:color w:val="7030A0"/>
        </w:rPr>
        <w:footnoteRef/>
      </w:r>
      <w:r w:rsidRPr="00601C26">
        <w:rPr>
          <w:color w:val="7030A0"/>
        </w:rPr>
        <w:t xml:space="preserve"> </w:t>
      </w:r>
      <w:r w:rsidR="00D21261">
        <w:rPr>
          <w:color w:val="7030A0"/>
        </w:rPr>
        <w:t>Ibid</w:t>
      </w:r>
      <w:r w:rsidR="00FD2A87" w:rsidRPr="00601C26">
        <w:rPr>
          <w:color w:val="7030A0"/>
        </w:rPr>
        <w:t>.</w:t>
      </w:r>
    </w:p>
  </w:footnote>
  <w:footnote w:id="209">
    <w:p w14:paraId="164C7E4E" w14:textId="77777777" w:rsidR="00C56672" w:rsidRPr="00601C26" w:rsidRDefault="00C56672" w:rsidP="00E53F38">
      <w:pPr>
        <w:pStyle w:val="NIHRCFootnotes"/>
        <w:rPr>
          <w:color w:val="7030A0"/>
        </w:rPr>
      </w:pPr>
      <w:r w:rsidRPr="00601C26">
        <w:rPr>
          <w:rStyle w:val="FootnoteReference"/>
          <w:color w:val="7030A0"/>
        </w:rPr>
        <w:footnoteRef/>
      </w:r>
      <w:r w:rsidRPr="00601C26">
        <w:rPr>
          <w:color w:val="7030A0"/>
        </w:rPr>
        <w:t xml:space="preserve"> David McKittrick et al, ‘Lost Lives: The Stories of the Men, Women and Children Who Died as a Result of the NI Troubles’ (Mainstream Publishing, 2007), at 23.</w:t>
      </w:r>
    </w:p>
  </w:footnote>
  <w:footnote w:id="210">
    <w:p w14:paraId="5F433CC0" w14:textId="77777777" w:rsidR="002917BF" w:rsidRPr="00601C26" w:rsidRDefault="002917BF"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iCs/>
          <w:color w:val="7030A0"/>
        </w:rPr>
        <w:t>Silih</w:t>
      </w:r>
      <w:proofErr w:type="spellEnd"/>
      <w:r w:rsidRPr="00601C26">
        <w:rPr>
          <w:i/>
          <w:iCs/>
          <w:color w:val="7030A0"/>
        </w:rPr>
        <w:t xml:space="preserve"> v Slovenia</w:t>
      </w:r>
      <w:r w:rsidRPr="00601C26">
        <w:rPr>
          <w:color w:val="7030A0"/>
        </w:rPr>
        <w:t xml:space="preserve"> (2009) ECHR 571, at para 159.</w:t>
      </w:r>
    </w:p>
  </w:footnote>
  <w:footnote w:id="211">
    <w:p w14:paraId="23C8DDBE" w14:textId="5D8C1D78" w:rsidR="009E53C3" w:rsidRPr="00601C26" w:rsidRDefault="009E53C3"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iCs/>
          <w:color w:val="7030A0"/>
        </w:rPr>
        <w:t>McQuillian</w:t>
      </w:r>
      <w:proofErr w:type="spellEnd"/>
      <w:r w:rsidRPr="00601C26">
        <w:rPr>
          <w:i/>
          <w:iCs/>
          <w:color w:val="7030A0"/>
        </w:rPr>
        <w:t xml:space="preserve">, McGuigan and </w:t>
      </w:r>
      <w:r w:rsidRPr="00601C26">
        <w:rPr>
          <w:i/>
          <w:color w:val="7030A0"/>
        </w:rPr>
        <w:t xml:space="preserve">McKenna </w:t>
      </w:r>
      <w:r w:rsidRPr="00601C26">
        <w:rPr>
          <w:iCs/>
          <w:color w:val="7030A0"/>
        </w:rPr>
        <w:t>[2021] UKSC 55.</w:t>
      </w:r>
    </w:p>
  </w:footnote>
  <w:footnote w:id="212">
    <w:p w14:paraId="74539893" w14:textId="460DB5F6" w:rsidR="003B7B39" w:rsidRPr="00601C26" w:rsidRDefault="003B7B39" w:rsidP="00E53F38">
      <w:pPr>
        <w:pStyle w:val="NIHRCFootnotes"/>
        <w:rPr>
          <w:color w:val="7030A0"/>
        </w:rPr>
      </w:pPr>
      <w:r w:rsidRPr="00601C26">
        <w:rPr>
          <w:rStyle w:val="FootnoteReference"/>
          <w:color w:val="7030A0"/>
        </w:rPr>
        <w:footnoteRef/>
      </w:r>
      <w:r w:rsidRPr="00601C26">
        <w:rPr>
          <w:color w:val="7030A0"/>
        </w:rPr>
        <w:t xml:space="preserve"> </w:t>
      </w:r>
      <w:r w:rsidRPr="00601C26">
        <w:rPr>
          <w:i/>
          <w:iCs/>
          <w:color w:val="7030A0"/>
        </w:rPr>
        <w:t>Al-</w:t>
      </w:r>
      <w:proofErr w:type="spellStart"/>
      <w:r w:rsidRPr="00601C26">
        <w:rPr>
          <w:i/>
          <w:iCs/>
          <w:color w:val="7030A0"/>
        </w:rPr>
        <w:t>Adsani</w:t>
      </w:r>
      <w:proofErr w:type="spellEnd"/>
      <w:r w:rsidRPr="00601C26">
        <w:rPr>
          <w:i/>
          <w:iCs/>
          <w:color w:val="7030A0"/>
        </w:rPr>
        <w:t xml:space="preserve"> v UK</w:t>
      </w:r>
      <w:r w:rsidRPr="00601C26">
        <w:rPr>
          <w:color w:val="7030A0"/>
        </w:rPr>
        <w:t xml:space="preserve"> (2001)</w:t>
      </w:r>
      <w:r w:rsidR="005F470B" w:rsidRPr="00601C26">
        <w:rPr>
          <w:color w:val="7030A0"/>
        </w:rPr>
        <w:t xml:space="preserve"> ECHR 761</w:t>
      </w:r>
      <w:r w:rsidRPr="00601C26">
        <w:rPr>
          <w:color w:val="7030A0"/>
        </w:rPr>
        <w:t xml:space="preserve">, at para 40; </w:t>
      </w:r>
      <w:proofErr w:type="spellStart"/>
      <w:r w:rsidR="00274688" w:rsidRPr="00601C26">
        <w:rPr>
          <w:i/>
          <w:iCs/>
          <w:color w:val="7030A0"/>
        </w:rPr>
        <w:t>Emin</w:t>
      </w:r>
      <w:proofErr w:type="spellEnd"/>
      <w:r w:rsidR="00274688" w:rsidRPr="00601C26">
        <w:rPr>
          <w:i/>
          <w:iCs/>
          <w:color w:val="7030A0"/>
        </w:rPr>
        <w:t xml:space="preserve"> and Others v Cyprus</w:t>
      </w:r>
      <w:r w:rsidR="00274688" w:rsidRPr="00601C26">
        <w:rPr>
          <w:color w:val="7030A0"/>
        </w:rPr>
        <w:t xml:space="preserve"> (2010)</w:t>
      </w:r>
      <w:r w:rsidR="009665BB" w:rsidRPr="00601C26">
        <w:rPr>
          <w:color w:val="7030A0"/>
        </w:rPr>
        <w:t xml:space="preserve"> ECHR 909</w:t>
      </w:r>
      <w:r w:rsidR="00274688" w:rsidRPr="00601C26">
        <w:rPr>
          <w:color w:val="7030A0"/>
        </w:rPr>
        <w:t xml:space="preserve">, at para </w:t>
      </w:r>
      <w:r w:rsidR="00A3336D" w:rsidRPr="00601C26">
        <w:rPr>
          <w:color w:val="7030A0"/>
        </w:rPr>
        <w:t xml:space="preserve">2a; </w:t>
      </w:r>
      <w:proofErr w:type="spellStart"/>
      <w:r w:rsidR="000D3FC7" w:rsidRPr="00601C26">
        <w:rPr>
          <w:i/>
          <w:iCs/>
          <w:color w:val="7030A0"/>
        </w:rPr>
        <w:t>Rantsev</w:t>
      </w:r>
      <w:proofErr w:type="spellEnd"/>
      <w:r w:rsidR="000D3FC7" w:rsidRPr="00601C26">
        <w:rPr>
          <w:i/>
          <w:iCs/>
          <w:color w:val="7030A0"/>
        </w:rPr>
        <w:t xml:space="preserve"> v Cyprus and Russia</w:t>
      </w:r>
      <w:r w:rsidR="000D3FC7" w:rsidRPr="00601C26">
        <w:rPr>
          <w:color w:val="7030A0"/>
        </w:rPr>
        <w:t xml:space="preserve"> (2010) ECHR 22, at para 241.</w:t>
      </w:r>
    </w:p>
  </w:footnote>
  <w:footnote w:id="213">
    <w:p w14:paraId="1D6CD553" w14:textId="5A0283BD" w:rsidR="008F4EB9" w:rsidRPr="00601C26" w:rsidRDefault="008F4EB9"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0021153C" w:rsidRPr="00601C26">
        <w:rPr>
          <w:i/>
          <w:iCs/>
          <w:color w:val="7030A0"/>
        </w:rPr>
        <w:t>Rantsev</w:t>
      </w:r>
      <w:proofErr w:type="spellEnd"/>
      <w:r w:rsidR="0021153C" w:rsidRPr="00601C26">
        <w:rPr>
          <w:i/>
          <w:iCs/>
          <w:color w:val="7030A0"/>
        </w:rPr>
        <w:t xml:space="preserve"> v Cyprus and Russia</w:t>
      </w:r>
      <w:r w:rsidR="0021153C" w:rsidRPr="00601C26">
        <w:rPr>
          <w:color w:val="7030A0"/>
        </w:rPr>
        <w:t xml:space="preserve"> (2010)</w:t>
      </w:r>
      <w:r w:rsidR="00043C9F" w:rsidRPr="00601C26">
        <w:rPr>
          <w:color w:val="7030A0"/>
        </w:rPr>
        <w:t xml:space="preserve"> ECHR 22</w:t>
      </w:r>
      <w:r w:rsidR="0021153C" w:rsidRPr="00601C26">
        <w:rPr>
          <w:color w:val="7030A0"/>
        </w:rPr>
        <w:t>, at para 241.</w:t>
      </w:r>
    </w:p>
  </w:footnote>
  <w:footnote w:id="214">
    <w:p w14:paraId="670DC5A3" w14:textId="4920C883" w:rsidR="003C0DE7" w:rsidRPr="00601C26" w:rsidRDefault="003C0DE7"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00D05C9E" w:rsidRPr="00601C26">
        <w:rPr>
          <w:i/>
          <w:iCs/>
          <w:color w:val="7030A0"/>
        </w:rPr>
        <w:t>Güzelyurtlu</w:t>
      </w:r>
      <w:proofErr w:type="spellEnd"/>
      <w:r w:rsidR="00D05C9E" w:rsidRPr="00601C26">
        <w:rPr>
          <w:i/>
          <w:iCs/>
          <w:color w:val="7030A0"/>
        </w:rPr>
        <w:t xml:space="preserve"> and Others v Cyprus and Turkey</w:t>
      </w:r>
      <w:r w:rsidR="00D05C9E" w:rsidRPr="00601C26">
        <w:rPr>
          <w:color w:val="7030A0"/>
        </w:rPr>
        <w:t xml:space="preserve"> (2017) </w:t>
      </w:r>
      <w:r w:rsidR="007A14E4" w:rsidRPr="00601C26">
        <w:rPr>
          <w:color w:val="7030A0"/>
        </w:rPr>
        <w:t>ECHR 308, a</w:t>
      </w:r>
      <w:r w:rsidRPr="00601C26">
        <w:rPr>
          <w:color w:val="7030A0"/>
        </w:rPr>
        <w:t>t para 284.</w:t>
      </w:r>
    </w:p>
  </w:footnote>
  <w:footnote w:id="215">
    <w:p w14:paraId="6922C038" w14:textId="402139DE" w:rsidR="008B5256" w:rsidRPr="00601C26" w:rsidRDefault="008B5256" w:rsidP="00E53F38">
      <w:pPr>
        <w:pStyle w:val="NIHRCFootnotes"/>
        <w:rPr>
          <w:color w:val="7030A0"/>
        </w:rPr>
      </w:pPr>
      <w:r w:rsidRPr="00601C26">
        <w:rPr>
          <w:rStyle w:val="FootnoteReference"/>
          <w:color w:val="7030A0"/>
        </w:rPr>
        <w:footnoteRef/>
      </w:r>
      <w:r w:rsidRPr="00601C26">
        <w:rPr>
          <w:color w:val="7030A0"/>
        </w:rPr>
        <w:t xml:space="preserve"> </w:t>
      </w:r>
      <w:r w:rsidR="00D21261">
        <w:rPr>
          <w:color w:val="7030A0"/>
        </w:rPr>
        <w:t>Ibid</w:t>
      </w:r>
      <w:r w:rsidR="007A14E4" w:rsidRPr="00601C26">
        <w:rPr>
          <w:color w:val="7030A0"/>
        </w:rPr>
        <w:t>, a</w:t>
      </w:r>
      <w:r w:rsidRPr="00601C26">
        <w:rPr>
          <w:color w:val="7030A0"/>
        </w:rPr>
        <w:t>t para 287.</w:t>
      </w:r>
    </w:p>
  </w:footnote>
  <w:footnote w:id="216">
    <w:p w14:paraId="26FEAF02" w14:textId="43D3026E" w:rsidR="00B352C1" w:rsidRPr="00601C26" w:rsidRDefault="00B352C1" w:rsidP="00E53F38">
      <w:pPr>
        <w:pStyle w:val="NIHRCFootnotes"/>
        <w:rPr>
          <w:color w:val="7030A0"/>
        </w:rPr>
      </w:pPr>
      <w:r w:rsidRPr="00601C26">
        <w:rPr>
          <w:rStyle w:val="FootnoteReference"/>
          <w:color w:val="7030A0"/>
        </w:rPr>
        <w:footnoteRef/>
      </w:r>
      <w:r w:rsidRPr="00601C26">
        <w:rPr>
          <w:color w:val="7030A0"/>
        </w:rPr>
        <w:t xml:space="preserve"> </w:t>
      </w:r>
      <w:r w:rsidR="00D21261">
        <w:rPr>
          <w:color w:val="7030A0"/>
        </w:rPr>
        <w:t>Ibid</w:t>
      </w:r>
      <w:r w:rsidR="007A14E4" w:rsidRPr="00601C26">
        <w:rPr>
          <w:color w:val="7030A0"/>
        </w:rPr>
        <w:t>, a</w:t>
      </w:r>
      <w:r w:rsidRPr="00601C26">
        <w:rPr>
          <w:color w:val="7030A0"/>
        </w:rPr>
        <w:t>t para 296.</w:t>
      </w:r>
    </w:p>
  </w:footnote>
  <w:footnote w:id="217">
    <w:p w14:paraId="50882DFF" w14:textId="130D7331" w:rsidR="001921FE" w:rsidRPr="00601C26" w:rsidRDefault="001921FE" w:rsidP="00E53F38">
      <w:pPr>
        <w:pStyle w:val="NIHRCFootnotes"/>
        <w:rPr>
          <w:color w:val="7030A0"/>
        </w:rPr>
      </w:pPr>
      <w:r w:rsidRPr="00601C26">
        <w:rPr>
          <w:rStyle w:val="FootnoteReference"/>
          <w:color w:val="7030A0"/>
        </w:rPr>
        <w:footnoteRef/>
      </w:r>
      <w:r w:rsidRPr="00601C26">
        <w:rPr>
          <w:color w:val="7030A0"/>
        </w:rPr>
        <w:t xml:space="preserve"> </w:t>
      </w:r>
      <w:r w:rsidRPr="00601C26">
        <w:rPr>
          <w:i/>
          <w:iCs/>
          <w:color w:val="7030A0"/>
        </w:rPr>
        <w:t>Cummins and Others v UK</w:t>
      </w:r>
      <w:r w:rsidR="0010432E" w:rsidRPr="00601C26">
        <w:rPr>
          <w:color w:val="7030A0"/>
        </w:rPr>
        <w:t>, Application No 27306/05, Judgment of 13 December 2005</w:t>
      </w:r>
      <w:r w:rsidR="0058596E" w:rsidRPr="00601C26">
        <w:rPr>
          <w:color w:val="7030A0"/>
        </w:rPr>
        <w:t>.</w:t>
      </w:r>
    </w:p>
  </w:footnote>
  <w:footnote w:id="218">
    <w:p w14:paraId="6A8ADB90" w14:textId="728455F8" w:rsidR="00752176" w:rsidRPr="00601C26" w:rsidRDefault="00752176" w:rsidP="00E53F3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 xml:space="preserve">S and </w:t>
      </w:r>
      <w:proofErr w:type="spellStart"/>
      <w:r w:rsidRPr="00601C26">
        <w:rPr>
          <w:i/>
          <w:color w:val="7030A0"/>
        </w:rPr>
        <w:t>Marper</w:t>
      </w:r>
      <w:proofErr w:type="spellEnd"/>
      <w:r w:rsidRPr="00601C26">
        <w:rPr>
          <w:i/>
          <w:color w:val="7030A0"/>
        </w:rPr>
        <w:t xml:space="preserve"> v </w:t>
      </w:r>
      <w:r w:rsidR="00D21261">
        <w:rPr>
          <w:i/>
          <w:color w:val="7030A0"/>
        </w:rPr>
        <w:t>UK</w:t>
      </w:r>
      <w:r w:rsidRPr="00601C26">
        <w:rPr>
          <w:color w:val="7030A0"/>
        </w:rPr>
        <w:t xml:space="preserve"> (2008) ECHR 1581.</w:t>
      </w:r>
    </w:p>
  </w:footnote>
  <w:footnote w:id="219">
    <w:p w14:paraId="4F0A62E6" w14:textId="370DD0D9" w:rsidR="001761F8" w:rsidRPr="00601C26" w:rsidRDefault="001761F8" w:rsidP="00E53F38">
      <w:pPr>
        <w:pStyle w:val="NIHRCFootnotes"/>
        <w:rPr>
          <w:color w:val="7030A0"/>
        </w:rPr>
      </w:pPr>
      <w:r w:rsidRPr="00601C26">
        <w:rPr>
          <w:rStyle w:val="FootnoteReference"/>
          <w:color w:val="7030A0"/>
        </w:rPr>
        <w:footnoteRef/>
      </w:r>
      <w:r w:rsidRPr="00601C26">
        <w:rPr>
          <w:color w:val="7030A0"/>
        </w:rPr>
        <w:t xml:space="preserve"> Article 17, UN International Covenant on Civil and Political Rights 1966</w:t>
      </w:r>
      <w:r w:rsidR="004F2F48" w:rsidRPr="00601C26">
        <w:rPr>
          <w:color w:val="7030A0"/>
        </w:rPr>
        <w:t xml:space="preserve">; </w:t>
      </w:r>
      <w:r w:rsidR="00717308" w:rsidRPr="00601C26">
        <w:rPr>
          <w:color w:val="7030A0"/>
        </w:rPr>
        <w:t xml:space="preserve">Article 16(1), UN Convention on the Rights of the Child 1989; </w:t>
      </w:r>
      <w:r w:rsidR="004F2F48" w:rsidRPr="00601C26">
        <w:rPr>
          <w:color w:val="7030A0"/>
        </w:rPr>
        <w:t>Article 22, UN Convention on the Rights of Persons with Disabilities 2006.</w:t>
      </w:r>
    </w:p>
  </w:footnote>
  <w:footnote w:id="220">
    <w:p w14:paraId="6C161FB1" w14:textId="4AE57312" w:rsidR="00752176" w:rsidRPr="00601C26" w:rsidRDefault="00752176" w:rsidP="00E53F3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 xml:space="preserve">Malone v </w:t>
      </w:r>
      <w:r w:rsidR="00D21261">
        <w:rPr>
          <w:i/>
          <w:color w:val="7030A0"/>
        </w:rPr>
        <w:t>UK</w:t>
      </w:r>
      <w:r w:rsidRPr="00601C26">
        <w:rPr>
          <w:color w:val="7030A0"/>
        </w:rPr>
        <w:t xml:space="preserve"> (1984) ECHR 10, at paras 66-68.</w:t>
      </w:r>
    </w:p>
  </w:footnote>
  <w:footnote w:id="221">
    <w:p w14:paraId="27CAB739" w14:textId="2EA826BC" w:rsidR="00752176" w:rsidRPr="00601C26" w:rsidRDefault="00752176" w:rsidP="00E53F38">
      <w:pPr>
        <w:pStyle w:val="NIHRCFootnotes"/>
        <w:rPr>
          <w:color w:val="7030A0"/>
        </w:rPr>
      </w:pPr>
      <w:r w:rsidRPr="00601C26">
        <w:rPr>
          <w:rStyle w:val="FootnoteReference"/>
          <w:color w:val="7030A0"/>
        </w:rPr>
        <w:footnoteRef/>
      </w:r>
      <w:r w:rsidRPr="00601C26">
        <w:rPr>
          <w:color w:val="7030A0"/>
        </w:rPr>
        <w:t xml:space="preserve"> </w:t>
      </w:r>
      <w:r w:rsidR="00D21261">
        <w:rPr>
          <w:iCs/>
          <w:color w:val="7030A0"/>
        </w:rPr>
        <w:t>Ibid</w:t>
      </w:r>
      <w:r w:rsidRPr="00601C26">
        <w:rPr>
          <w:color w:val="7030A0"/>
        </w:rPr>
        <w:t xml:space="preserve">, at para 66; </w:t>
      </w:r>
      <w:r w:rsidRPr="00601C26">
        <w:rPr>
          <w:i/>
          <w:color w:val="7030A0"/>
        </w:rPr>
        <w:t xml:space="preserve">Silver and Others v </w:t>
      </w:r>
      <w:r w:rsidR="00D21261">
        <w:rPr>
          <w:i/>
          <w:color w:val="7030A0"/>
        </w:rPr>
        <w:t>UK</w:t>
      </w:r>
      <w:r w:rsidRPr="00601C26">
        <w:rPr>
          <w:i/>
          <w:color w:val="7030A0"/>
        </w:rPr>
        <w:t xml:space="preserve"> </w:t>
      </w:r>
      <w:r w:rsidRPr="00601C26">
        <w:rPr>
          <w:color w:val="7030A0"/>
        </w:rPr>
        <w:t>(1983) ECHR 5, at paras 87-88.</w:t>
      </w:r>
    </w:p>
  </w:footnote>
  <w:footnote w:id="222">
    <w:p w14:paraId="26E3CB2B" w14:textId="74403DD9" w:rsidR="00752176" w:rsidRPr="00601C26" w:rsidRDefault="00752176" w:rsidP="00E53F3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 xml:space="preserve">S and </w:t>
      </w:r>
      <w:proofErr w:type="spellStart"/>
      <w:r w:rsidRPr="00601C26">
        <w:rPr>
          <w:i/>
          <w:color w:val="7030A0"/>
        </w:rPr>
        <w:t>Marper</w:t>
      </w:r>
      <w:proofErr w:type="spellEnd"/>
      <w:r w:rsidRPr="00601C26">
        <w:rPr>
          <w:i/>
          <w:color w:val="7030A0"/>
        </w:rPr>
        <w:t xml:space="preserve"> v </w:t>
      </w:r>
      <w:r w:rsidR="00D21261">
        <w:rPr>
          <w:i/>
          <w:color w:val="7030A0"/>
        </w:rPr>
        <w:t>UK</w:t>
      </w:r>
      <w:r w:rsidRPr="00601C26">
        <w:rPr>
          <w:color w:val="7030A0"/>
        </w:rPr>
        <w:t xml:space="preserve"> (2008) ECHR 1581, at para 103.</w:t>
      </w:r>
    </w:p>
  </w:footnote>
  <w:footnote w:id="223">
    <w:p w14:paraId="0BF5F2B6" w14:textId="79943D7E" w:rsidR="00752176" w:rsidRPr="00601C26" w:rsidRDefault="00752176" w:rsidP="00E53F38">
      <w:pPr>
        <w:pStyle w:val="NIHRCFootnotes"/>
        <w:rPr>
          <w:color w:val="7030A0"/>
        </w:rPr>
      </w:pPr>
      <w:r w:rsidRPr="00601C26">
        <w:rPr>
          <w:rStyle w:val="FootnoteReference"/>
          <w:color w:val="7030A0"/>
        </w:rPr>
        <w:footnoteRef/>
      </w:r>
      <w:r w:rsidRPr="00601C26">
        <w:rPr>
          <w:color w:val="7030A0"/>
        </w:rPr>
        <w:t xml:space="preserve"> </w:t>
      </w:r>
      <w:r w:rsidR="00D21261">
        <w:rPr>
          <w:iCs/>
          <w:color w:val="7030A0"/>
        </w:rPr>
        <w:t>Ibid,</w:t>
      </w:r>
      <w:r w:rsidR="00670074" w:rsidRPr="00601C26">
        <w:rPr>
          <w:color w:val="7030A0"/>
        </w:rPr>
        <w:t xml:space="preserve"> </w:t>
      </w:r>
      <w:r w:rsidRPr="00601C26">
        <w:rPr>
          <w:color w:val="7030A0"/>
        </w:rPr>
        <w:t>at para 114.</w:t>
      </w:r>
    </w:p>
  </w:footnote>
  <w:footnote w:id="224">
    <w:p w14:paraId="756CEB88" w14:textId="5AC2DE0D" w:rsidR="00752176" w:rsidRPr="00601C26" w:rsidRDefault="00752176" w:rsidP="00E53F38">
      <w:pPr>
        <w:pStyle w:val="NIHRCFootnotes"/>
        <w:rPr>
          <w:color w:val="7030A0"/>
        </w:rPr>
      </w:pPr>
      <w:r w:rsidRPr="00601C26">
        <w:rPr>
          <w:rStyle w:val="FootnoteReference"/>
          <w:color w:val="7030A0"/>
        </w:rPr>
        <w:footnoteRef/>
      </w:r>
      <w:r w:rsidRPr="00601C26">
        <w:rPr>
          <w:color w:val="7030A0"/>
        </w:rPr>
        <w:t xml:space="preserve"> </w:t>
      </w:r>
      <w:r w:rsidR="00D21261">
        <w:rPr>
          <w:iCs/>
          <w:color w:val="7030A0"/>
        </w:rPr>
        <w:t>Ibid</w:t>
      </w:r>
      <w:r w:rsidR="00670074" w:rsidRPr="00601C26">
        <w:rPr>
          <w:color w:val="7030A0"/>
        </w:rPr>
        <w:t xml:space="preserve">, </w:t>
      </w:r>
      <w:r w:rsidRPr="00601C26">
        <w:rPr>
          <w:color w:val="7030A0"/>
        </w:rPr>
        <w:t>at para 118.</w:t>
      </w:r>
    </w:p>
  </w:footnote>
  <w:footnote w:id="225">
    <w:p w14:paraId="6E94C22E" w14:textId="2F75DBE2" w:rsidR="00752176" w:rsidRPr="00601C26" w:rsidRDefault="00752176"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009F3D92" w:rsidRPr="00601C26">
        <w:rPr>
          <w:i/>
          <w:iCs/>
          <w:color w:val="7030A0"/>
        </w:rPr>
        <w:t>Gaughran</w:t>
      </w:r>
      <w:proofErr w:type="spellEnd"/>
      <w:r w:rsidR="009F3D92" w:rsidRPr="00601C26">
        <w:rPr>
          <w:i/>
          <w:iCs/>
          <w:color w:val="7030A0"/>
        </w:rPr>
        <w:t xml:space="preserve"> v UK</w:t>
      </w:r>
      <w:r w:rsidR="009F3D92" w:rsidRPr="00601C26">
        <w:rPr>
          <w:color w:val="7030A0"/>
        </w:rPr>
        <w:t xml:space="preserve"> (2020) ECHR 144; </w:t>
      </w:r>
      <w:r w:rsidR="00670074" w:rsidRPr="00601C26">
        <w:rPr>
          <w:i/>
          <w:color w:val="7030A0"/>
        </w:rPr>
        <w:t xml:space="preserve">S and </w:t>
      </w:r>
      <w:proofErr w:type="spellStart"/>
      <w:r w:rsidR="00670074" w:rsidRPr="00601C26">
        <w:rPr>
          <w:i/>
          <w:color w:val="7030A0"/>
        </w:rPr>
        <w:t>Marper</w:t>
      </w:r>
      <w:proofErr w:type="spellEnd"/>
      <w:r w:rsidR="00670074" w:rsidRPr="00601C26">
        <w:rPr>
          <w:i/>
          <w:color w:val="7030A0"/>
        </w:rPr>
        <w:t xml:space="preserve"> v United Kingdom</w:t>
      </w:r>
      <w:r w:rsidR="00670074" w:rsidRPr="00601C26">
        <w:rPr>
          <w:color w:val="7030A0"/>
        </w:rPr>
        <w:t xml:space="preserve"> (2008) ECHR 1581, </w:t>
      </w:r>
      <w:r w:rsidRPr="00601C26">
        <w:rPr>
          <w:color w:val="7030A0"/>
        </w:rPr>
        <w:t>at para 125.</w:t>
      </w:r>
    </w:p>
  </w:footnote>
  <w:footnote w:id="226">
    <w:p w14:paraId="5BEA4FA0" w14:textId="55C7D388" w:rsidR="00752176" w:rsidRPr="00601C26" w:rsidRDefault="00752176" w:rsidP="00E53F38">
      <w:pPr>
        <w:pStyle w:val="NIHRCFootnotes"/>
        <w:rPr>
          <w:color w:val="7030A0"/>
        </w:rPr>
      </w:pPr>
      <w:r w:rsidRPr="00601C26">
        <w:rPr>
          <w:rStyle w:val="FootnoteReference"/>
          <w:color w:val="7030A0"/>
        </w:rPr>
        <w:footnoteRef/>
      </w:r>
      <w:r w:rsidRPr="00601C26">
        <w:rPr>
          <w:color w:val="7030A0"/>
        </w:rPr>
        <w:t xml:space="preserve"> </w:t>
      </w:r>
      <w:r w:rsidR="00D21261" w:rsidRPr="00D21261">
        <w:rPr>
          <w:color w:val="7030A0"/>
        </w:rPr>
        <w:t>Ibid</w:t>
      </w:r>
      <w:r w:rsidRPr="00601C26">
        <w:rPr>
          <w:color w:val="7030A0"/>
        </w:rPr>
        <w:t>.</w:t>
      </w:r>
    </w:p>
  </w:footnote>
  <w:footnote w:id="227">
    <w:p w14:paraId="46FDA323" w14:textId="36DFF6EC" w:rsidR="00752176" w:rsidRPr="00601C26" w:rsidRDefault="00752176" w:rsidP="00E53F38">
      <w:pPr>
        <w:pStyle w:val="NIHRCFootnotes"/>
        <w:rPr>
          <w:color w:val="7030A0"/>
        </w:rPr>
      </w:pPr>
      <w:r w:rsidRPr="00601C26">
        <w:rPr>
          <w:rStyle w:val="FootnoteReference"/>
          <w:color w:val="7030A0"/>
        </w:rPr>
        <w:footnoteRef/>
      </w:r>
      <w:r w:rsidRPr="00601C26">
        <w:rPr>
          <w:color w:val="7030A0"/>
        </w:rPr>
        <w:t xml:space="preserve"> UN Human Rights Committee, ‘</w:t>
      </w:r>
      <w:r w:rsidR="00BE215A" w:rsidRPr="00601C26">
        <w:rPr>
          <w:color w:val="7030A0"/>
        </w:rPr>
        <w:t>UN Human Rights Committee</w:t>
      </w:r>
      <w:r w:rsidRPr="00601C26">
        <w:rPr>
          <w:color w:val="7030A0"/>
        </w:rPr>
        <w:t xml:space="preserve"> General Comment No 16: Article 17 (Right to Privacy), The Right to Respect of Privacy, Family, Home and Correspondence, and Protection of Honour and Reputation’, 8 April 1988, at paras 3-4.</w:t>
      </w:r>
    </w:p>
  </w:footnote>
  <w:footnote w:id="228">
    <w:p w14:paraId="0B6852C8" w14:textId="7EC3CFBD" w:rsidR="00752176" w:rsidRPr="00601C26" w:rsidRDefault="00752176" w:rsidP="00E53F38">
      <w:pPr>
        <w:pStyle w:val="NIHRCFootnotes"/>
        <w:rPr>
          <w:color w:val="7030A0"/>
        </w:rPr>
      </w:pPr>
      <w:r w:rsidRPr="00601C26">
        <w:rPr>
          <w:rStyle w:val="FootnoteReference"/>
          <w:color w:val="7030A0"/>
        </w:rPr>
        <w:footnoteRef/>
      </w:r>
      <w:r w:rsidRPr="00601C26">
        <w:rPr>
          <w:color w:val="7030A0"/>
        </w:rPr>
        <w:t xml:space="preserve"> </w:t>
      </w:r>
      <w:r w:rsidR="00D21261">
        <w:rPr>
          <w:color w:val="7030A0"/>
        </w:rPr>
        <w:t>Ibid</w:t>
      </w:r>
      <w:r w:rsidRPr="00601C26">
        <w:rPr>
          <w:color w:val="7030A0"/>
        </w:rPr>
        <w:t>, at para 8.</w:t>
      </w:r>
    </w:p>
  </w:footnote>
  <w:footnote w:id="229">
    <w:p w14:paraId="3C3C66B3" w14:textId="47071E8E" w:rsidR="00752176" w:rsidRPr="00601C26" w:rsidRDefault="00752176" w:rsidP="00E53F38">
      <w:pPr>
        <w:pStyle w:val="NIHRCFootnotes"/>
        <w:rPr>
          <w:color w:val="7030A0"/>
        </w:rPr>
      </w:pPr>
      <w:r w:rsidRPr="00601C26">
        <w:rPr>
          <w:rStyle w:val="FootnoteReference"/>
          <w:color w:val="7030A0"/>
        </w:rPr>
        <w:footnoteRef/>
      </w:r>
      <w:r w:rsidRPr="00601C26">
        <w:rPr>
          <w:color w:val="7030A0"/>
        </w:rPr>
        <w:t xml:space="preserve"> </w:t>
      </w:r>
      <w:r w:rsidR="00D21261">
        <w:rPr>
          <w:color w:val="7030A0"/>
        </w:rPr>
        <w:t>Ibid</w:t>
      </w:r>
      <w:r w:rsidRPr="00601C26">
        <w:rPr>
          <w:color w:val="7030A0"/>
        </w:rPr>
        <w:t>, at para 10.</w:t>
      </w:r>
    </w:p>
  </w:footnote>
  <w:footnote w:id="230">
    <w:p w14:paraId="6BD6A97E" w14:textId="7DF08D3D" w:rsidR="00185F7F" w:rsidRPr="00601C26" w:rsidRDefault="00185F7F" w:rsidP="00E53F38">
      <w:pPr>
        <w:pStyle w:val="NIHRCFootnotes"/>
        <w:rPr>
          <w:color w:val="7030A0"/>
        </w:rPr>
      </w:pPr>
      <w:r w:rsidRPr="00601C26">
        <w:rPr>
          <w:rStyle w:val="FootnoteReference"/>
          <w:color w:val="7030A0"/>
        </w:rPr>
        <w:footnoteRef/>
      </w:r>
      <w:r w:rsidRPr="00601C26">
        <w:rPr>
          <w:color w:val="7030A0"/>
        </w:rPr>
        <w:t xml:space="preserve"> Clause 3</w:t>
      </w:r>
      <w:r w:rsidR="00B52B1E" w:rsidRPr="00601C26">
        <w:rPr>
          <w:color w:val="7030A0"/>
        </w:rPr>
        <w:t>1</w:t>
      </w:r>
      <w:r w:rsidRPr="00601C26">
        <w:rPr>
          <w:color w:val="7030A0"/>
        </w:rPr>
        <w:t>(1)(d), NI Troubles (Legacy and Reconciliation) Bill.</w:t>
      </w:r>
    </w:p>
  </w:footnote>
  <w:footnote w:id="231">
    <w:p w14:paraId="25313CF0" w14:textId="77777777" w:rsidR="00185F7F" w:rsidRPr="00601C26" w:rsidRDefault="00185F7F"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iCs/>
          <w:color w:val="7030A0"/>
        </w:rPr>
        <w:t>Mozer</w:t>
      </w:r>
      <w:proofErr w:type="spellEnd"/>
      <w:r w:rsidRPr="00601C26">
        <w:rPr>
          <w:i/>
          <w:iCs/>
          <w:color w:val="7030A0"/>
        </w:rPr>
        <w:t xml:space="preserve"> v Republic of Moldova and Russia</w:t>
      </w:r>
      <w:r w:rsidRPr="00601C26">
        <w:rPr>
          <w:color w:val="7030A0"/>
        </w:rPr>
        <w:t xml:space="preserve"> (2016) ECHR 213, at para 194.</w:t>
      </w:r>
    </w:p>
  </w:footnote>
  <w:footnote w:id="232">
    <w:p w14:paraId="757454D3" w14:textId="0E38A70E" w:rsidR="00710594" w:rsidRPr="00601C26" w:rsidRDefault="00710594"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iCs/>
          <w:color w:val="7030A0"/>
        </w:rPr>
        <w:t>Margus</w:t>
      </w:r>
      <w:proofErr w:type="spellEnd"/>
      <w:r w:rsidRPr="00601C26">
        <w:rPr>
          <w:i/>
          <w:iCs/>
          <w:color w:val="7030A0"/>
        </w:rPr>
        <w:t xml:space="preserve"> v Croatia</w:t>
      </w:r>
      <w:r w:rsidRPr="00601C26">
        <w:rPr>
          <w:color w:val="7030A0"/>
        </w:rPr>
        <w:t xml:space="preserve"> (2014) ECHR 523, at para 126; </w:t>
      </w:r>
      <w:proofErr w:type="spellStart"/>
      <w:r w:rsidR="00611918" w:rsidRPr="00601C26">
        <w:rPr>
          <w:i/>
          <w:iCs/>
          <w:color w:val="7030A0"/>
        </w:rPr>
        <w:t>Abdülsamet</w:t>
      </w:r>
      <w:proofErr w:type="spellEnd"/>
      <w:r w:rsidR="00611918" w:rsidRPr="00601C26">
        <w:rPr>
          <w:i/>
          <w:iCs/>
          <w:color w:val="7030A0"/>
        </w:rPr>
        <w:t xml:space="preserve"> </w:t>
      </w:r>
      <w:proofErr w:type="spellStart"/>
      <w:r w:rsidR="00611918" w:rsidRPr="00601C26">
        <w:rPr>
          <w:i/>
          <w:iCs/>
          <w:color w:val="7030A0"/>
        </w:rPr>
        <w:t>Yamana</w:t>
      </w:r>
      <w:proofErr w:type="spellEnd"/>
      <w:r w:rsidR="00611918" w:rsidRPr="00601C26">
        <w:rPr>
          <w:i/>
          <w:iCs/>
          <w:color w:val="7030A0"/>
        </w:rPr>
        <w:t xml:space="preserve"> v Turkey</w:t>
      </w:r>
      <w:r w:rsidR="00611918" w:rsidRPr="00601C26">
        <w:rPr>
          <w:color w:val="7030A0"/>
        </w:rPr>
        <w:t xml:space="preserve"> (2004) ECHR 572, at para 55</w:t>
      </w:r>
      <w:r w:rsidRPr="00601C26">
        <w:rPr>
          <w:color w:val="7030A0"/>
        </w:rPr>
        <w:t xml:space="preserve">; </w:t>
      </w:r>
      <w:r w:rsidRPr="00601C26">
        <w:rPr>
          <w:i/>
          <w:iCs/>
          <w:color w:val="7030A0"/>
        </w:rPr>
        <w:t xml:space="preserve">Ali and </w:t>
      </w:r>
      <w:proofErr w:type="spellStart"/>
      <w:r w:rsidRPr="00601C26">
        <w:rPr>
          <w:i/>
          <w:iCs/>
          <w:color w:val="7030A0"/>
        </w:rPr>
        <w:t>Ayse</w:t>
      </w:r>
      <w:proofErr w:type="spellEnd"/>
      <w:r w:rsidRPr="00601C26">
        <w:rPr>
          <w:i/>
          <w:iCs/>
          <w:color w:val="7030A0"/>
        </w:rPr>
        <w:t xml:space="preserve"> Duran v Turkey</w:t>
      </w:r>
      <w:r w:rsidRPr="00601C26">
        <w:rPr>
          <w:color w:val="7030A0"/>
        </w:rPr>
        <w:t xml:space="preserve"> (2008) ECHR 289, at para 69; </w:t>
      </w:r>
      <w:proofErr w:type="spellStart"/>
      <w:r w:rsidRPr="00601C26">
        <w:rPr>
          <w:i/>
          <w:iCs/>
          <w:color w:val="7030A0"/>
        </w:rPr>
        <w:t>Okkali</w:t>
      </w:r>
      <w:proofErr w:type="spellEnd"/>
      <w:r w:rsidRPr="00601C26">
        <w:rPr>
          <w:i/>
          <w:iCs/>
          <w:color w:val="7030A0"/>
        </w:rPr>
        <w:t xml:space="preserve"> v Turkey</w:t>
      </w:r>
      <w:r w:rsidRPr="00601C26">
        <w:rPr>
          <w:color w:val="7030A0"/>
        </w:rPr>
        <w:t xml:space="preserve">, Application No 52067/99, Judgment of 17 October 2006, at para 76; </w:t>
      </w:r>
      <w:proofErr w:type="spellStart"/>
      <w:r w:rsidRPr="00601C26">
        <w:rPr>
          <w:i/>
          <w:iCs/>
          <w:color w:val="7030A0"/>
        </w:rPr>
        <w:t>Yesil</w:t>
      </w:r>
      <w:proofErr w:type="spellEnd"/>
      <w:r w:rsidRPr="00601C26">
        <w:rPr>
          <w:i/>
          <w:iCs/>
          <w:color w:val="7030A0"/>
        </w:rPr>
        <w:t xml:space="preserve"> and </w:t>
      </w:r>
      <w:proofErr w:type="spellStart"/>
      <w:r w:rsidRPr="00601C26">
        <w:rPr>
          <w:i/>
          <w:iCs/>
          <w:color w:val="7030A0"/>
        </w:rPr>
        <w:t>Sevim</w:t>
      </w:r>
      <w:proofErr w:type="spellEnd"/>
      <w:r w:rsidRPr="00601C26">
        <w:rPr>
          <w:i/>
          <w:iCs/>
          <w:color w:val="7030A0"/>
        </w:rPr>
        <w:t xml:space="preserve"> v Turkey</w:t>
      </w:r>
      <w:r w:rsidRPr="00601C26">
        <w:rPr>
          <w:color w:val="7030A0"/>
        </w:rPr>
        <w:t>, Application No 34738/04, Judgment of 5 June 2007, at para 38.</w:t>
      </w:r>
    </w:p>
  </w:footnote>
  <w:footnote w:id="233">
    <w:p w14:paraId="4B51F084" w14:textId="154E11FF" w:rsidR="000D6145" w:rsidRDefault="000D6145" w:rsidP="00E53F38">
      <w:pPr>
        <w:pStyle w:val="NIHRCFootnotes"/>
      </w:pPr>
      <w:r>
        <w:rPr>
          <w:rStyle w:val="FootnoteReference"/>
        </w:rPr>
        <w:footnoteRef/>
      </w:r>
      <w:r>
        <w:t xml:space="preserve"> Articles 2, 3 and 15(2), European Convention on Human Rights 1950.</w:t>
      </w:r>
    </w:p>
  </w:footnote>
  <w:footnote w:id="234">
    <w:p w14:paraId="25229535" w14:textId="70510DF4" w:rsidR="006661F9" w:rsidRPr="00EE5229" w:rsidRDefault="006661F9" w:rsidP="00E53F38">
      <w:pPr>
        <w:pStyle w:val="NIHRCFootnotes"/>
      </w:pPr>
      <w:r w:rsidRPr="00EE5229">
        <w:rPr>
          <w:rStyle w:val="FootnoteReference"/>
        </w:rPr>
        <w:footnoteRef/>
      </w:r>
      <w:r>
        <w:t xml:space="preserve"> </w:t>
      </w:r>
      <w:r w:rsidRPr="00EE5229">
        <w:t xml:space="preserve">Directive 2012/29/EU of the European Parliament and of the Council of 25 October 2012 establishing minimum standards on the rights, </w:t>
      </w:r>
      <w:proofErr w:type="gramStart"/>
      <w:r w:rsidRPr="00EE5229">
        <w:t>support</w:t>
      </w:r>
      <w:proofErr w:type="gramEnd"/>
      <w:r w:rsidRPr="00EE5229">
        <w:t xml:space="preserve"> and protection of victims of crime, and replacing Council Framework Decision 2001/220/JHA</w:t>
      </w:r>
      <w:r>
        <w:t>.</w:t>
      </w:r>
    </w:p>
  </w:footnote>
  <w:footnote w:id="235">
    <w:p w14:paraId="339BE016" w14:textId="38A2D867" w:rsidR="00BD7DC9" w:rsidRPr="00601C26" w:rsidRDefault="00BD7DC9"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iCs/>
          <w:color w:val="7030A0"/>
        </w:rPr>
        <w:t>Margus</w:t>
      </w:r>
      <w:proofErr w:type="spellEnd"/>
      <w:r w:rsidRPr="00601C26">
        <w:rPr>
          <w:i/>
          <w:iCs/>
          <w:color w:val="7030A0"/>
        </w:rPr>
        <w:t xml:space="preserve"> v Croatia</w:t>
      </w:r>
      <w:r w:rsidRPr="00601C26">
        <w:rPr>
          <w:color w:val="7030A0"/>
        </w:rPr>
        <w:t xml:space="preserve"> (2014) ECHR 523, at para 126.</w:t>
      </w:r>
    </w:p>
  </w:footnote>
  <w:footnote w:id="236">
    <w:p w14:paraId="17F4F29F" w14:textId="78E9F385" w:rsidR="0022678C" w:rsidRPr="00601C26" w:rsidRDefault="0022678C" w:rsidP="00E53F38">
      <w:pPr>
        <w:pStyle w:val="NIHRCFootnotes"/>
        <w:rPr>
          <w:color w:val="7030A0"/>
        </w:rPr>
      </w:pPr>
      <w:r w:rsidRPr="00601C26">
        <w:rPr>
          <w:rStyle w:val="FootnoteReference"/>
          <w:color w:val="7030A0"/>
        </w:rPr>
        <w:footnoteRef/>
      </w:r>
      <w:r w:rsidRPr="00601C26">
        <w:rPr>
          <w:color w:val="7030A0"/>
        </w:rPr>
        <w:t xml:space="preserve"> </w:t>
      </w:r>
      <w:r w:rsidR="00D328E7" w:rsidRPr="00601C26">
        <w:rPr>
          <w:color w:val="7030A0"/>
        </w:rPr>
        <w:t xml:space="preserve">CAT/C/GBR/CO/6, ‘UN CAT Committee Concluding Observations on the Sixth Periodic Report of the UK of Great Britain and NI’, </w:t>
      </w:r>
      <w:r w:rsidR="005B6865" w:rsidRPr="00601C26">
        <w:rPr>
          <w:color w:val="7030A0"/>
        </w:rPr>
        <w:t>7 June 2019, a</w:t>
      </w:r>
      <w:r w:rsidRPr="00601C26">
        <w:rPr>
          <w:color w:val="7030A0"/>
        </w:rPr>
        <w:t>t para 41(f).</w:t>
      </w:r>
    </w:p>
  </w:footnote>
  <w:footnote w:id="237">
    <w:p w14:paraId="606A7AB8" w14:textId="77777777" w:rsidR="00710594" w:rsidRPr="00601C26" w:rsidRDefault="00710594"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iCs/>
          <w:color w:val="7030A0"/>
        </w:rPr>
        <w:t>Duarjdin</w:t>
      </w:r>
      <w:proofErr w:type="spellEnd"/>
      <w:r w:rsidRPr="00601C26">
        <w:rPr>
          <w:i/>
          <w:iCs/>
          <w:color w:val="7030A0"/>
        </w:rPr>
        <w:t xml:space="preserve"> v France</w:t>
      </w:r>
      <w:r w:rsidRPr="00601C26">
        <w:rPr>
          <w:color w:val="7030A0"/>
        </w:rPr>
        <w:t xml:space="preserve">, Application No 16734/90, Judgment of 2 September 1991; </w:t>
      </w:r>
      <w:proofErr w:type="spellStart"/>
      <w:r w:rsidRPr="00601C26">
        <w:rPr>
          <w:i/>
          <w:iCs/>
          <w:color w:val="7030A0"/>
        </w:rPr>
        <w:t>Tarbuk</w:t>
      </w:r>
      <w:proofErr w:type="spellEnd"/>
      <w:r w:rsidRPr="00601C26">
        <w:rPr>
          <w:i/>
          <w:iCs/>
          <w:color w:val="7030A0"/>
        </w:rPr>
        <w:t xml:space="preserve"> v Croatia</w:t>
      </w:r>
      <w:r w:rsidRPr="00601C26">
        <w:rPr>
          <w:color w:val="7030A0"/>
        </w:rPr>
        <w:t xml:space="preserve"> (2012) ECHR 2049, at para 50.</w:t>
      </w:r>
    </w:p>
  </w:footnote>
  <w:footnote w:id="238">
    <w:p w14:paraId="6FF2BF81" w14:textId="77777777" w:rsidR="00710594" w:rsidRPr="00601C26" w:rsidRDefault="00710594"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iCs/>
          <w:color w:val="7030A0"/>
        </w:rPr>
        <w:t>Ould</w:t>
      </w:r>
      <w:proofErr w:type="spellEnd"/>
      <w:r w:rsidRPr="00601C26">
        <w:rPr>
          <w:i/>
          <w:iCs/>
          <w:color w:val="7030A0"/>
        </w:rPr>
        <w:t xml:space="preserve"> Dah v France</w:t>
      </w:r>
      <w:r w:rsidRPr="00601C26">
        <w:rPr>
          <w:color w:val="7030A0"/>
        </w:rPr>
        <w:t xml:space="preserve"> (2009) ECHR 532; </w:t>
      </w:r>
      <w:r w:rsidRPr="00601C26">
        <w:rPr>
          <w:i/>
          <w:iCs/>
          <w:color w:val="7030A0"/>
        </w:rPr>
        <w:t>Association 21 December 1989 and Others v Romania</w:t>
      </w:r>
      <w:r w:rsidRPr="00601C26">
        <w:rPr>
          <w:color w:val="7030A0"/>
        </w:rPr>
        <w:t xml:space="preserve"> (2012), Application Nos 33810/07 and 18817/08, Judgment of 24 May 2011.</w:t>
      </w:r>
    </w:p>
  </w:footnote>
  <w:footnote w:id="239">
    <w:p w14:paraId="48D10997" w14:textId="77777777" w:rsidR="001D4832" w:rsidRPr="00E563EF" w:rsidRDefault="001D4832" w:rsidP="00E53F38">
      <w:pPr>
        <w:pStyle w:val="NIHRCFootnotes"/>
        <w:rPr>
          <w:color w:val="7030A0"/>
        </w:rPr>
      </w:pPr>
      <w:r w:rsidRPr="00E563EF">
        <w:rPr>
          <w:rStyle w:val="FootnoteReference"/>
          <w:color w:val="7030A0"/>
        </w:rPr>
        <w:footnoteRef/>
      </w:r>
      <w:r w:rsidRPr="00E563EF">
        <w:rPr>
          <w:color w:val="7030A0"/>
        </w:rPr>
        <w:t xml:space="preserve"> UK Government, ‘NI Troubles (Legacy and Reconciliation) Bill: ECHR Memorandum’ (UK Gov, 2022), at paras 56-63.</w:t>
      </w:r>
    </w:p>
  </w:footnote>
  <w:footnote w:id="240">
    <w:p w14:paraId="1669B701" w14:textId="77777777" w:rsidR="001D4832" w:rsidRPr="00E563EF" w:rsidRDefault="001D4832" w:rsidP="00E53F38">
      <w:pPr>
        <w:pStyle w:val="NIHRCFootnotes"/>
        <w:rPr>
          <w:color w:val="7030A0"/>
        </w:rPr>
      </w:pPr>
      <w:r w:rsidRPr="00E563EF">
        <w:rPr>
          <w:rStyle w:val="FootnoteReference"/>
          <w:color w:val="7030A0"/>
        </w:rPr>
        <w:footnoteRef/>
      </w:r>
      <w:r w:rsidRPr="00E563EF">
        <w:rPr>
          <w:color w:val="7030A0"/>
        </w:rPr>
        <w:t xml:space="preserve"> Victims’ Payments Regulations 2020.</w:t>
      </w:r>
    </w:p>
  </w:footnote>
  <w:footnote w:id="241">
    <w:p w14:paraId="15D32F81" w14:textId="77777777" w:rsidR="00664074" w:rsidRPr="00E563EF" w:rsidRDefault="00664074" w:rsidP="00E53F38">
      <w:pPr>
        <w:pStyle w:val="NIHRCFootnotes"/>
        <w:rPr>
          <w:color w:val="7030A0"/>
        </w:rPr>
      </w:pPr>
      <w:r w:rsidRPr="00E563EF">
        <w:rPr>
          <w:rStyle w:val="FootnoteReference"/>
          <w:color w:val="7030A0"/>
        </w:rPr>
        <w:footnoteRef/>
      </w:r>
      <w:r w:rsidRPr="00E563EF">
        <w:rPr>
          <w:color w:val="7030A0"/>
        </w:rPr>
        <w:t xml:space="preserve"> UK Government, ‘NI Troubles (Legacy and Reconciliation) Bill: ECHR Memorandum’ (UK Gov, 2022), at paras 48-50.</w:t>
      </w:r>
    </w:p>
  </w:footnote>
  <w:footnote w:id="242">
    <w:p w14:paraId="7CCE4093" w14:textId="4263F62C" w:rsidR="002E1A78" w:rsidRPr="00601C26" w:rsidRDefault="002E1A78" w:rsidP="00E53F38">
      <w:pPr>
        <w:pStyle w:val="NIHRCFootnotes"/>
        <w:rPr>
          <w:color w:val="7030A0"/>
        </w:rPr>
      </w:pPr>
      <w:r w:rsidRPr="00601C26">
        <w:rPr>
          <w:rStyle w:val="FootnoteReference"/>
          <w:color w:val="7030A0"/>
        </w:rPr>
        <w:footnoteRef/>
      </w:r>
      <w:r w:rsidRPr="00601C26">
        <w:rPr>
          <w:color w:val="7030A0"/>
        </w:rPr>
        <w:t xml:space="preserve"> </w:t>
      </w:r>
      <w:r w:rsidRPr="00601C26">
        <w:rPr>
          <w:rFonts w:eastAsia="Times New Roman"/>
          <w:color w:val="7030A0"/>
        </w:rPr>
        <w:t>Promotion of National Unity and Reconciliation Act 1995.</w:t>
      </w:r>
    </w:p>
  </w:footnote>
  <w:footnote w:id="243">
    <w:p w14:paraId="71D463D7" w14:textId="77777777" w:rsidR="00930051" w:rsidRPr="00601C26" w:rsidRDefault="00930051" w:rsidP="00E53F38">
      <w:pPr>
        <w:pStyle w:val="NIHRCFootnotes"/>
        <w:rPr>
          <w:color w:val="7030A0"/>
        </w:rPr>
      </w:pPr>
      <w:r w:rsidRPr="00601C26">
        <w:rPr>
          <w:rStyle w:val="FootnoteReference"/>
          <w:color w:val="7030A0"/>
        </w:rPr>
        <w:footnoteRef/>
      </w:r>
      <w:r w:rsidRPr="00601C26">
        <w:rPr>
          <w:color w:val="7030A0"/>
        </w:rPr>
        <w:t xml:space="preserve"> Clause 18, NI Troubles (Legacy and Reconciliation) Bill.</w:t>
      </w:r>
    </w:p>
  </w:footnote>
  <w:footnote w:id="244">
    <w:p w14:paraId="5ECB0426" w14:textId="246D6648" w:rsidR="00710594" w:rsidRPr="00601C26" w:rsidRDefault="00710594" w:rsidP="00E53F38">
      <w:pPr>
        <w:pStyle w:val="NIHRCFootnotes"/>
        <w:rPr>
          <w:color w:val="7030A0"/>
        </w:rPr>
      </w:pPr>
      <w:r w:rsidRPr="00601C26">
        <w:rPr>
          <w:rStyle w:val="FootnoteReference"/>
          <w:color w:val="7030A0"/>
        </w:rPr>
        <w:footnoteRef/>
      </w:r>
      <w:r w:rsidRPr="00601C26">
        <w:rPr>
          <w:color w:val="7030A0"/>
        </w:rPr>
        <w:t xml:space="preserve"> Clause </w:t>
      </w:r>
      <w:r w:rsidR="000A0B3B" w:rsidRPr="00601C26">
        <w:rPr>
          <w:color w:val="7030A0"/>
        </w:rPr>
        <w:t>20</w:t>
      </w:r>
      <w:r w:rsidRPr="00601C26">
        <w:rPr>
          <w:color w:val="7030A0"/>
        </w:rPr>
        <w:t>(1), NI Troubles (Legacy and Reconciliation) Bill.</w:t>
      </w:r>
    </w:p>
  </w:footnote>
  <w:footnote w:id="245">
    <w:p w14:paraId="0D992A8C" w14:textId="413B23C1" w:rsidR="005E1C83" w:rsidRPr="00601C26" w:rsidRDefault="005E1C83" w:rsidP="00E53F38">
      <w:pPr>
        <w:pStyle w:val="NIHRCFootnotes"/>
        <w:rPr>
          <w:color w:val="7030A0"/>
        </w:rPr>
      </w:pPr>
      <w:r w:rsidRPr="00601C26">
        <w:rPr>
          <w:rStyle w:val="FootnoteReference"/>
          <w:color w:val="7030A0"/>
        </w:rPr>
        <w:footnoteRef/>
      </w:r>
      <w:r w:rsidRPr="00601C26">
        <w:rPr>
          <w:color w:val="7030A0"/>
        </w:rPr>
        <w:t xml:space="preserve"> Clause </w:t>
      </w:r>
      <w:r w:rsidR="000A0B3B" w:rsidRPr="00601C26">
        <w:rPr>
          <w:color w:val="7030A0"/>
        </w:rPr>
        <w:t>20</w:t>
      </w:r>
      <w:r w:rsidRPr="00601C26">
        <w:rPr>
          <w:color w:val="7030A0"/>
        </w:rPr>
        <w:t>(1), NI Troubles (Legacy and Reconciliation) Bill.</w:t>
      </w:r>
    </w:p>
  </w:footnote>
  <w:footnote w:id="246">
    <w:p w14:paraId="61B2EB85" w14:textId="7BE7460E" w:rsidR="00A1576C" w:rsidRPr="00601C26" w:rsidRDefault="00A1576C" w:rsidP="00E53F38">
      <w:pPr>
        <w:pStyle w:val="NIHRCFootnotes"/>
        <w:rPr>
          <w:color w:val="7030A0"/>
        </w:rPr>
      </w:pPr>
      <w:r w:rsidRPr="00601C26">
        <w:rPr>
          <w:rStyle w:val="FootnoteReference"/>
          <w:color w:val="7030A0"/>
        </w:rPr>
        <w:footnoteRef/>
      </w:r>
      <w:r w:rsidRPr="00601C26">
        <w:rPr>
          <w:color w:val="7030A0"/>
        </w:rPr>
        <w:t xml:space="preserve"> </w:t>
      </w:r>
      <w:r w:rsidR="00DA3E32" w:rsidRPr="00601C26">
        <w:rPr>
          <w:color w:val="7030A0"/>
        </w:rPr>
        <w:t>Brandon Lewis, ‘</w:t>
      </w:r>
      <w:r w:rsidR="006D67D8" w:rsidRPr="00601C26">
        <w:rPr>
          <w:color w:val="7030A0"/>
        </w:rPr>
        <w:t xml:space="preserve">My NI legacy plan. No longer will our veterans be hounded about events that happened decades ago’, </w:t>
      </w:r>
      <w:r w:rsidR="006D67D8" w:rsidRPr="00601C26">
        <w:rPr>
          <w:i/>
          <w:iCs/>
          <w:color w:val="7030A0"/>
        </w:rPr>
        <w:t>Conservative Home</w:t>
      </w:r>
      <w:r w:rsidR="006D67D8" w:rsidRPr="00601C26">
        <w:rPr>
          <w:color w:val="7030A0"/>
        </w:rPr>
        <w:t>, 9 June 2022.</w:t>
      </w:r>
    </w:p>
  </w:footnote>
  <w:footnote w:id="247">
    <w:p w14:paraId="25AF89D9" w14:textId="77777777" w:rsidR="00C461C7" w:rsidRPr="00601C26" w:rsidRDefault="00C461C7"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color w:val="7030A0"/>
        </w:rPr>
        <w:t>Eremiásová</w:t>
      </w:r>
      <w:proofErr w:type="spellEnd"/>
      <w:r w:rsidRPr="00601C26">
        <w:rPr>
          <w:i/>
          <w:color w:val="7030A0"/>
        </w:rPr>
        <w:t xml:space="preserve"> and </w:t>
      </w:r>
      <w:proofErr w:type="spellStart"/>
      <w:r w:rsidRPr="00601C26">
        <w:rPr>
          <w:i/>
          <w:color w:val="7030A0"/>
        </w:rPr>
        <w:t>Pechová</w:t>
      </w:r>
      <w:proofErr w:type="spellEnd"/>
      <w:r w:rsidRPr="00601C26">
        <w:rPr>
          <w:i/>
          <w:color w:val="7030A0"/>
        </w:rPr>
        <w:t xml:space="preserve"> v Czech Republic</w:t>
      </w:r>
      <w:r w:rsidRPr="00601C26">
        <w:rPr>
          <w:color w:val="7030A0"/>
        </w:rPr>
        <w:t>, Application No 23944/04, Judgment of 16 May 2012, at para 149.</w:t>
      </w:r>
    </w:p>
  </w:footnote>
  <w:footnote w:id="248">
    <w:p w14:paraId="03BEC0B5" w14:textId="77777777" w:rsidR="00317B8E" w:rsidRPr="00601C26" w:rsidRDefault="00317B8E"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color w:val="7030A0"/>
        </w:rPr>
        <w:t>Gülec</w:t>
      </w:r>
      <w:proofErr w:type="spellEnd"/>
      <w:r w:rsidRPr="00601C26">
        <w:rPr>
          <w:i/>
          <w:color w:val="7030A0"/>
        </w:rPr>
        <w:t xml:space="preserve"> v Turkey</w:t>
      </w:r>
      <w:r w:rsidRPr="00601C26">
        <w:rPr>
          <w:color w:val="7030A0"/>
        </w:rPr>
        <w:t>, Application No 21593/93, Judgment of 27 July 1998, at para 82.</w:t>
      </w:r>
    </w:p>
  </w:footnote>
  <w:footnote w:id="249">
    <w:p w14:paraId="54EDD1C0" w14:textId="145D4FF2" w:rsidR="00B777AA" w:rsidRPr="00601C26" w:rsidRDefault="00B777AA" w:rsidP="00E53F38">
      <w:pPr>
        <w:pStyle w:val="NIHRCFootnotes"/>
        <w:rPr>
          <w:color w:val="7030A0"/>
        </w:rPr>
      </w:pPr>
      <w:r w:rsidRPr="00601C26">
        <w:rPr>
          <w:rStyle w:val="FootnoteReference"/>
          <w:color w:val="7030A0"/>
        </w:rPr>
        <w:footnoteRef/>
      </w:r>
      <w:r w:rsidRPr="00601C26">
        <w:rPr>
          <w:color w:val="7030A0"/>
        </w:rPr>
        <w:t xml:space="preserve"> </w:t>
      </w:r>
      <w:r w:rsidRPr="00601C26">
        <w:rPr>
          <w:i/>
          <w:iCs/>
          <w:color w:val="7030A0"/>
        </w:rPr>
        <w:t>Finucane v UK</w:t>
      </w:r>
      <w:r w:rsidRPr="00601C26">
        <w:rPr>
          <w:color w:val="7030A0"/>
        </w:rPr>
        <w:t xml:space="preserve"> </w:t>
      </w:r>
      <w:r w:rsidR="003227DF" w:rsidRPr="00601C26">
        <w:rPr>
          <w:color w:val="7030A0"/>
        </w:rPr>
        <w:t>(2003) ECHR 328</w:t>
      </w:r>
      <w:r w:rsidRPr="00601C26">
        <w:rPr>
          <w:color w:val="7030A0"/>
        </w:rPr>
        <w:t>, at paras 82 and 83.</w:t>
      </w:r>
    </w:p>
  </w:footnote>
  <w:footnote w:id="250">
    <w:p w14:paraId="47F39614" w14:textId="77777777" w:rsidR="00317B8E" w:rsidRPr="00601C26" w:rsidRDefault="00317B8E" w:rsidP="00E53F3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Gül v Turkey</w:t>
      </w:r>
      <w:r w:rsidRPr="00601C26">
        <w:rPr>
          <w:color w:val="7030A0"/>
        </w:rPr>
        <w:t>, Application No 22676/93, Judgment of 14 December 2000, at para 93.</w:t>
      </w:r>
    </w:p>
  </w:footnote>
  <w:footnote w:id="251">
    <w:p w14:paraId="4DC73C5E" w14:textId="4C217166" w:rsidR="001E1FD8" w:rsidRPr="00601C26" w:rsidRDefault="001E1FD8"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iCs/>
          <w:color w:val="7030A0"/>
        </w:rPr>
        <w:t>McKerr</w:t>
      </w:r>
      <w:proofErr w:type="spellEnd"/>
      <w:r w:rsidRPr="00601C26">
        <w:rPr>
          <w:i/>
          <w:iCs/>
          <w:color w:val="7030A0"/>
        </w:rPr>
        <w:t xml:space="preserve"> v UK</w:t>
      </w:r>
      <w:r w:rsidRPr="00601C26">
        <w:rPr>
          <w:color w:val="7030A0"/>
        </w:rPr>
        <w:t xml:space="preserve"> (2001) ECHR 329, at para 114</w:t>
      </w:r>
      <w:r w:rsidR="00055F80" w:rsidRPr="00601C26">
        <w:rPr>
          <w:color w:val="7030A0"/>
        </w:rPr>
        <w:t xml:space="preserve">; </w:t>
      </w:r>
      <w:r w:rsidR="00055F80" w:rsidRPr="00601C26">
        <w:rPr>
          <w:i/>
          <w:iCs/>
          <w:color w:val="7030A0"/>
        </w:rPr>
        <w:t>Finucane v UK</w:t>
      </w:r>
      <w:r w:rsidR="00055F80" w:rsidRPr="00601C26">
        <w:rPr>
          <w:color w:val="7030A0"/>
        </w:rPr>
        <w:t xml:space="preserve"> (2003) ECHR 328, at paras 82 and 83.</w:t>
      </w:r>
    </w:p>
  </w:footnote>
  <w:footnote w:id="252">
    <w:p w14:paraId="43091E4E" w14:textId="2E798D6B" w:rsidR="00594AF8" w:rsidRPr="00EE5229" w:rsidRDefault="00594AF8" w:rsidP="00E53F38">
      <w:pPr>
        <w:pStyle w:val="NIHRCFootnotes"/>
        <w:rPr>
          <w:color w:val="7030A0"/>
        </w:rPr>
      </w:pPr>
      <w:r w:rsidRPr="00EE5229">
        <w:rPr>
          <w:rStyle w:val="FootnoteReference"/>
          <w:color w:val="7030A0"/>
        </w:rPr>
        <w:footnoteRef/>
      </w:r>
      <w:r>
        <w:t xml:space="preserve"> </w:t>
      </w:r>
      <w:r w:rsidRPr="00EE5229">
        <w:rPr>
          <w:color w:val="7030A0"/>
        </w:rPr>
        <w:t xml:space="preserve">Directive 2012/29/EU of the European Parliament and of the Council of 25 October 2012 establishing minimum standards on the rights, </w:t>
      </w:r>
      <w:proofErr w:type="gramStart"/>
      <w:r w:rsidRPr="00EE5229">
        <w:rPr>
          <w:color w:val="7030A0"/>
        </w:rPr>
        <w:t>support</w:t>
      </w:r>
      <w:proofErr w:type="gramEnd"/>
      <w:r w:rsidRPr="00EE5229">
        <w:rPr>
          <w:color w:val="7030A0"/>
        </w:rPr>
        <w:t xml:space="preserve"> and protection of victims of crime, and replacing Council Framework Decision 2001/220/JHA</w:t>
      </w:r>
      <w:r w:rsidR="00907BB8">
        <w:rPr>
          <w:color w:val="7030A0"/>
        </w:rPr>
        <w:t>.</w:t>
      </w:r>
    </w:p>
  </w:footnote>
  <w:footnote w:id="253">
    <w:p w14:paraId="57CC7E76" w14:textId="5B16E731" w:rsidR="008E4A18" w:rsidRPr="00EE5229" w:rsidRDefault="008E4A18" w:rsidP="00E53F38">
      <w:pPr>
        <w:pStyle w:val="NIHRCFootnotes"/>
        <w:rPr>
          <w:color w:val="7030A0"/>
        </w:rPr>
      </w:pPr>
      <w:r w:rsidRPr="00EE5229">
        <w:rPr>
          <w:rStyle w:val="FootnoteReference"/>
          <w:color w:val="7030A0"/>
        </w:rPr>
        <w:footnoteRef/>
      </w:r>
      <w:r>
        <w:t xml:space="preserve"> </w:t>
      </w:r>
      <w:r w:rsidR="00502D89" w:rsidRPr="00EE5229">
        <w:rPr>
          <w:color w:val="7030A0"/>
        </w:rPr>
        <w:t>NI Office, ‘UK Government Commitment to “No Diminution of Rights, Safeguards and Equality of Opportunity” in Northern Ireland: What does it Mean and How will it be Implemented?’ (NIO, 2020), at para</w:t>
      </w:r>
      <w:r w:rsidR="0062400D">
        <w:rPr>
          <w:color w:val="7030A0"/>
        </w:rPr>
        <w:t>. 13.</w:t>
      </w:r>
    </w:p>
  </w:footnote>
  <w:footnote w:id="254">
    <w:p w14:paraId="7B95ACD4" w14:textId="403FB1B4" w:rsidR="007B0F98" w:rsidRDefault="007B0F98" w:rsidP="00E53F38">
      <w:pPr>
        <w:pStyle w:val="NIHRCFootnotes"/>
      </w:pPr>
      <w:r w:rsidRPr="00EE5229">
        <w:rPr>
          <w:rStyle w:val="FootnoteReference"/>
          <w:color w:val="7030A0"/>
        </w:rPr>
        <w:footnoteRef/>
      </w:r>
      <w:r>
        <w:t xml:space="preserve"> </w:t>
      </w:r>
      <w:r w:rsidRPr="00EE5229">
        <w:rPr>
          <w:color w:val="7030A0"/>
        </w:rPr>
        <w:t>Recital 9 of</w:t>
      </w:r>
      <w:r w:rsidR="00907BB8">
        <w:rPr>
          <w:color w:val="7030A0"/>
        </w:rPr>
        <w:t xml:space="preserve"> the</w:t>
      </w:r>
      <w:r w:rsidRPr="00EE5229">
        <w:rPr>
          <w:color w:val="7030A0"/>
        </w:rPr>
        <w:t xml:space="preserve"> Directive</w:t>
      </w:r>
      <w:r w:rsidR="00907BB8">
        <w:rPr>
          <w:color w:val="7030A0"/>
        </w:rPr>
        <w:t>.</w:t>
      </w:r>
      <w:r>
        <w:t xml:space="preserve"> </w:t>
      </w:r>
    </w:p>
  </w:footnote>
  <w:footnote w:id="255">
    <w:p w14:paraId="35E6EDAD" w14:textId="3B272894" w:rsidR="008648A1" w:rsidRDefault="008648A1" w:rsidP="00E53F38">
      <w:pPr>
        <w:pStyle w:val="NIHRCFootnotes"/>
      </w:pPr>
      <w:r w:rsidRPr="00EE5229">
        <w:rPr>
          <w:rStyle w:val="FootnoteReference"/>
          <w:color w:val="7030A0"/>
        </w:rPr>
        <w:footnoteRef/>
      </w:r>
      <w:r w:rsidRPr="00EE5229">
        <w:rPr>
          <w:rStyle w:val="FootnoteReference"/>
          <w:color w:val="7030A0"/>
          <w:vertAlign w:val="baseline"/>
        </w:rPr>
        <w:t xml:space="preserve"> </w:t>
      </w:r>
      <w:r w:rsidR="00605916" w:rsidRPr="003B35DD">
        <w:rPr>
          <w:color w:val="7030A0"/>
        </w:rPr>
        <w:t>Article 4</w:t>
      </w:r>
      <w:r w:rsidR="00605916">
        <w:rPr>
          <w:color w:val="7030A0"/>
        </w:rPr>
        <w:t xml:space="preserve">, </w:t>
      </w:r>
      <w:r w:rsidR="005C23A4" w:rsidRPr="00EE5229">
        <w:rPr>
          <w:color w:val="7030A0"/>
        </w:rPr>
        <w:t>Agreement on the Withdrawal of the UK of Great Britain and NI from the EU and the European Atomic Energy Community 2020 (UK-EU Withdrawal Agreement)</w:t>
      </w:r>
      <w:r w:rsidR="00907BB8">
        <w:rPr>
          <w:color w:val="7030A0"/>
        </w:rPr>
        <w:t>.</w:t>
      </w:r>
      <w:r w:rsidR="00137008">
        <w:t xml:space="preserve"> </w:t>
      </w:r>
    </w:p>
  </w:footnote>
  <w:footnote w:id="256">
    <w:p w14:paraId="0873DC0E" w14:textId="484E5234" w:rsidR="00B63D86" w:rsidRDefault="00B63D86" w:rsidP="00E53F38">
      <w:pPr>
        <w:pStyle w:val="NIHRCFootnotes"/>
      </w:pPr>
      <w:r>
        <w:rPr>
          <w:rStyle w:val="FootnoteReference"/>
        </w:rPr>
        <w:footnoteRef/>
      </w:r>
      <w:r>
        <w:t xml:space="preserve"> DH-</w:t>
      </w:r>
      <w:proofErr w:type="gramStart"/>
      <w:r>
        <w:t>DD(</w:t>
      </w:r>
      <w:proofErr w:type="gramEnd"/>
      <w:r>
        <w:t xml:space="preserve">2022)831, ‘Communication from the Authorities (08/08/2022) Concerning the Case of </w:t>
      </w:r>
      <w:proofErr w:type="spellStart"/>
      <w:r>
        <w:t>McKerr</w:t>
      </w:r>
      <w:proofErr w:type="spellEnd"/>
      <w:r>
        <w:t xml:space="preserve"> v UK (Application No 28883/95’, 8 August 2022, at 6</w:t>
      </w:r>
      <w:r w:rsidR="00B74A9A">
        <w:t xml:space="preserve">; UK Government, ‘UK Government Response to the NIHRC’s Rule 9 Submission to the </w:t>
      </w:r>
      <w:proofErr w:type="spellStart"/>
      <w:r w:rsidR="00B74A9A">
        <w:t>CoE</w:t>
      </w:r>
      <w:proofErr w:type="spellEnd"/>
      <w:r w:rsidR="00B74A9A">
        <w:t xml:space="preserve"> Committee of Ministers in Relation to the Supervision of the Cases Concerning the Actions of the Security Forces in NI: Advice on NI Troubles (Legacy and Reconciliation) Bill’ (UK Gov, 2022), at 10.</w:t>
      </w:r>
    </w:p>
  </w:footnote>
  <w:footnote w:id="257">
    <w:p w14:paraId="03A7E98F" w14:textId="2EBD89B5" w:rsidR="00B63D86" w:rsidRDefault="00B63D86" w:rsidP="00E53F38">
      <w:pPr>
        <w:pStyle w:val="NIHRCFootnotes"/>
      </w:pPr>
      <w:r>
        <w:rPr>
          <w:rStyle w:val="FootnoteReference"/>
        </w:rPr>
        <w:footnoteRef/>
      </w:r>
      <w:r>
        <w:t xml:space="preserve"> </w:t>
      </w:r>
      <w:r w:rsidR="00E53F38">
        <w:t>Ibid</w:t>
      </w:r>
      <w:r w:rsidR="00B74A9A">
        <w:t>.</w:t>
      </w:r>
    </w:p>
  </w:footnote>
  <w:footnote w:id="258">
    <w:p w14:paraId="7F26F8D4" w14:textId="2F757203" w:rsidR="00142A39" w:rsidRDefault="00142A39" w:rsidP="00E53F38">
      <w:pPr>
        <w:pStyle w:val="NIHRCFootnotes"/>
      </w:pPr>
      <w:r>
        <w:rPr>
          <w:rStyle w:val="FootnoteReference"/>
        </w:rPr>
        <w:footnoteRef/>
      </w:r>
      <w:r>
        <w:t xml:space="preserve"> </w:t>
      </w:r>
      <w:r w:rsidR="00E53F38">
        <w:t>Ibid</w:t>
      </w:r>
      <w:r w:rsidR="00DF2B00">
        <w:t>.</w:t>
      </w:r>
    </w:p>
  </w:footnote>
  <w:footnote w:id="259">
    <w:p w14:paraId="2269AE95" w14:textId="723564DC" w:rsidR="00BA7B3D" w:rsidRPr="00B806F9" w:rsidRDefault="00BA7B3D" w:rsidP="00E53F38">
      <w:pPr>
        <w:pStyle w:val="NIHRCFootnotes"/>
      </w:pPr>
      <w:r w:rsidRPr="00B806F9">
        <w:rPr>
          <w:rStyle w:val="FootnoteReference"/>
        </w:rPr>
        <w:footnoteRef/>
      </w:r>
      <w:r>
        <w:t xml:space="preserve"> </w:t>
      </w:r>
      <w:r w:rsidRPr="00B806F9">
        <w:t>Clauses 36 and 37</w:t>
      </w:r>
      <w:r w:rsidR="005F033D">
        <w:t>, NI Troubles (Legacy and Reconciliation) Bill.</w:t>
      </w:r>
    </w:p>
  </w:footnote>
  <w:footnote w:id="260">
    <w:p w14:paraId="2DD7E55B" w14:textId="77777777" w:rsidR="00234DD8" w:rsidRPr="00601C26" w:rsidRDefault="00234DD8" w:rsidP="00E53F38">
      <w:pPr>
        <w:pStyle w:val="NIHRCFootnotes"/>
        <w:rPr>
          <w:color w:val="7030A0"/>
        </w:rPr>
      </w:pPr>
      <w:r w:rsidRPr="00601C26">
        <w:rPr>
          <w:rStyle w:val="FootnoteReference"/>
          <w:color w:val="7030A0"/>
        </w:rPr>
        <w:footnoteRef/>
      </w:r>
      <w:r w:rsidRPr="00601C26">
        <w:rPr>
          <w:color w:val="7030A0"/>
        </w:rPr>
        <w:t xml:space="preserve"> A/HRC/34/62/Add.1, ‘Report of the Special Rapporteur on the Promotion of Truth, Justice, Reparation and Guarantees of Non-recurrence, Pablo de </w:t>
      </w:r>
      <w:proofErr w:type="spellStart"/>
      <w:r w:rsidRPr="00601C26">
        <w:rPr>
          <w:color w:val="7030A0"/>
        </w:rPr>
        <w:t>Greiff</w:t>
      </w:r>
      <w:proofErr w:type="spellEnd"/>
      <w:r w:rsidRPr="00601C26">
        <w:rPr>
          <w:color w:val="7030A0"/>
        </w:rPr>
        <w:t xml:space="preserve"> on his Mission to the UK of Great Britain and NI’, 17 November 2016, at para 126.</w:t>
      </w:r>
    </w:p>
  </w:footnote>
  <w:footnote w:id="261">
    <w:p w14:paraId="4E8695EC" w14:textId="77777777" w:rsidR="00234DD8" w:rsidRPr="00601C26" w:rsidRDefault="00234DD8" w:rsidP="00E53F38">
      <w:pPr>
        <w:pStyle w:val="NIHRCFootnotes"/>
        <w:rPr>
          <w:color w:val="7030A0"/>
        </w:rPr>
      </w:pPr>
      <w:r w:rsidRPr="00601C26">
        <w:rPr>
          <w:rStyle w:val="FootnoteReference"/>
          <w:color w:val="7030A0"/>
        </w:rPr>
        <w:footnoteRef/>
      </w:r>
      <w:r w:rsidRPr="00601C26">
        <w:rPr>
          <w:color w:val="7030A0"/>
        </w:rPr>
        <w:t xml:space="preserve"> CEDAW/C/GC/35, ‘UN CEDAW Committee General Comment No 35: Gender Based Violence Against Women Updating General Comment No 19’, 14 July 2017, at para 30.</w:t>
      </w:r>
    </w:p>
  </w:footnote>
  <w:footnote w:id="262">
    <w:p w14:paraId="1C324B9D" w14:textId="4DF1592C" w:rsidR="00234DD8" w:rsidRPr="00601C26" w:rsidRDefault="00234DD8" w:rsidP="00E53F38">
      <w:pPr>
        <w:pStyle w:val="NIHRCFootnotes"/>
        <w:rPr>
          <w:color w:val="7030A0"/>
        </w:rPr>
      </w:pPr>
      <w:r w:rsidRPr="00601C26">
        <w:rPr>
          <w:rStyle w:val="FootnoteReference"/>
          <w:color w:val="7030A0"/>
        </w:rPr>
        <w:footnoteRef/>
      </w:r>
      <w:r w:rsidRPr="00601C26">
        <w:rPr>
          <w:color w:val="7030A0"/>
        </w:rPr>
        <w:t xml:space="preserve"> </w:t>
      </w:r>
      <w:r w:rsidR="00010829">
        <w:rPr>
          <w:color w:val="7030A0"/>
        </w:rPr>
        <w:t>Ibid</w:t>
      </w:r>
      <w:r w:rsidRPr="00601C26">
        <w:rPr>
          <w:color w:val="7030A0"/>
        </w:rPr>
        <w:t>, at para 31.</w:t>
      </w:r>
    </w:p>
  </w:footnote>
  <w:footnote w:id="263">
    <w:p w14:paraId="508B8772" w14:textId="77777777" w:rsidR="00234DD8" w:rsidRPr="00601C26" w:rsidRDefault="00234DD8" w:rsidP="00E53F38">
      <w:pPr>
        <w:pStyle w:val="NIHRCFootnotes"/>
        <w:rPr>
          <w:color w:val="7030A0"/>
        </w:rPr>
      </w:pPr>
      <w:r w:rsidRPr="00601C26">
        <w:rPr>
          <w:rStyle w:val="FootnoteReference"/>
          <w:color w:val="7030A0"/>
        </w:rPr>
        <w:footnoteRef/>
      </w:r>
      <w:r w:rsidRPr="00601C26">
        <w:rPr>
          <w:color w:val="7030A0"/>
        </w:rPr>
        <w:t xml:space="preserve"> CAT/C/GBR/CO/6, ‘UN CAT Committee Concluding Observations on the Sixth Periodic Report of the UK of Great Britain and NI’, 7 June 2019, at para 41(e).</w:t>
      </w:r>
    </w:p>
  </w:footnote>
  <w:footnote w:id="264">
    <w:p w14:paraId="548F6513" w14:textId="77777777" w:rsidR="002954BA" w:rsidRPr="00601C26" w:rsidRDefault="002954BA" w:rsidP="00E53F38">
      <w:pPr>
        <w:pStyle w:val="NIHRCFootnotes"/>
        <w:rPr>
          <w:color w:val="7030A0"/>
        </w:rPr>
      </w:pPr>
      <w:r w:rsidRPr="00601C26">
        <w:rPr>
          <w:rStyle w:val="FootnoteReference"/>
          <w:color w:val="7030A0"/>
        </w:rPr>
        <w:footnoteRef/>
      </w:r>
      <w:r w:rsidRPr="00601C26">
        <w:rPr>
          <w:color w:val="7030A0"/>
        </w:rPr>
        <w:t xml:space="preserve"> Article 7, European Convention on Human Rights 1950.</w:t>
      </w:r>
    </w:p>
  </w:footnote>
  <w:footnote w:id="265">
    <w:p w14:paraId="1C2567DD" w14:textId="77777777" w:rsidR="002954BA" w:rsidRPr="00601C26" w:rsidRDefault="002954BA" w:rsidP="00E53F38">
      <w:pPr>
        <w:pStyle w:val="NIHRCFootnotes"/>
        <w:rPr>
          <w:color w:val="7030A0"/>
        </w:rPr>
      </w:pPr>
      <w:r w:rsidRPr="00601C26">
        <w:rPr>
          <w:rStyle w:val="FootnoteReference"/>
          <w:color w:val="7030A0"/>
        </w:rPr>
        <w:footnoteRef/>
      </w:r>
      <w:r w:rsidRPr="00601C26">
        <w:rPr>
          <w:color w:val="7030A0"/>
        </w:rPr>
        <w:t xml:space="preserve"> Article 7(1), European Convention on Human Rights 1950.</w:t>
      </w:r>
    </w:p>
  </w:footnote>
  <w:footnote w:id="266">
    <w:p w14:paraId="13D81036" w14:textId="77777777" w:rsidR="00234DD8" w:rsidRPr="00601C26" w:rsidRDefault="00234DD8" w:rsidP="00E53F38">
      <w:pPr>
        <w:pStyle w:val="NIHRCFootnotes"/>
        <w:rPr>
          <w:color w:val="7030A0"/>
        </w:rPr>
      </w:pPr>
      <w:r w:rsidRPr="00601C26">
        <w:rPr>
          <w:rStyle w:val="FootnoteReference"/>
          <w:color w:val="7030A0"/>
        </w:rPr>
        <w:footnoteRef/>
      </w:r>
      <w:r w:rsidRPr="00601C26">
        <w:rPr>
          <w:color w:val="7030A0"/>
        </w:rPr>
        <w:t xml:space="preserve"> Clause 18, NI Troubles (Legacy and Reconciliation) Bill.</w:t>
      </w:r>
    </w:p>
  </w:footnote>
  <w:footnote w:id="267">
    <w:p w14:paraId="62F29B64" w14:textId="0F93CF95" w:rsidR="00234DD8" w:rsidRPr="00601C26" w:rsidRDefault="00234DD8" w:rsidP="00E53F38">
      <w:pPr>
        <w:pStyle w:val="NIHRCFootnotes"/>
        <w:rPr>
          <w:color w:val="7030A0"/>
        </w:rPr>
      </w:pPr>
      <w:r w:rsidRPr="00601C26">
        <w:rPr>
          <w:rStyle w:val="FootnoteReference"/>
          <w:color w:val="7030A0"/>
        </w:rPr>
        <w:footnoteRef/>
      </w:r>
      <w:r w:rsidRPr="00601C26">
        <w:rPr>
          <w:color w:val="7030A0"/>
        </w:rPr>
        <w:t xml:space="preserve"> Clauses 3</w:t>
      </w:r>
      <w:r w:rsidR="000A0B3B" w:rsidRPr="00601C26">
        <w:rPr>
          <w:color w:val="7030A0"/>
        </w:rPr>
        <w:t>7</w:t>
      </w:r>
      <w:r w:rsidRPr="00601C26">
        <w:rPr>
          <w:color w:val="7030A0"/>
        </w:rPr>
        <w:t xml:space="preserve"> and 3</w:t>
      </w:r>
      <w:r w:rsidR="000A0B3B" w:rsidRPr="00601C26">
        <w:rPr>
          <w:color w:val="7030A0"/>
        </w:rPr>
        <w:t>9</w:t>
      </w:r>
      <w:r w:rsidRPr="00601C26">
        <w:rPr>
          <w:color w:val="7030A0"/>
        </w:rPr>
        <w:t>-4</w:t>
      </w:r>
      <w:r w:rsidR="000A0B3B" w:rsidRPr="00601C26">
        <w:rPr>
          <w:color w:val="7030A0"/>
        </w:rPr>
        <w:t>1</w:t>
      </w:r>
      <w:r w:rsidRPr="00601C26">
        <w:rPr>
          <w:color w:val="7030A0"/>
        </w:rPr>
        <w:t>, NI Troubles (Legacy and Reconciliation) Bill.</w:t>
      </w:r>
    </w:p>
  </w:footnote>
  <w:footnote w:id="268">
    <w:p w14:paraId="104038E0" w14:textId="23BAA2AD" w:rsidR="00234DD8" w:rsidRPr="00601C26" w:rsidRDefault="00234DD8" w:rsidP="00E53F38">
      <w:pPr>
        <w:pStyle w:val="NIHRCFootnotes"/>
        <w:rPr>
          <w:color w:val="7030A0"/>
        </w:rPr>
      </w:pPr>
      <w:r w:rsidRPr="00601C26">
        <w:rPr>
          <w:rStyle w:val="FootnoteReference"/>
          <w:color w:val="7030A0"/>
        </w:rPr>
        <w:footnoteRef/>
      </w:r>
      <w:r w:rsidRPr="00601C26">
        <w:rPr>
          <w:color w:val="7030A0"/>
        </w:rPr>
        <w:t xml:space="preserve"> </w:t>
      </w:r>
      <w:r w:rsidR="003F1ADD" w:rsidRPr="00601C26">
        <w:rPr>
          <w:color w:val="7030A0"/>
        </w:rPr>
        <w:t>Clause 19, NI Troubles (Legacy and Reconciliation) Bill.</w:t>
      </w:r>
    </w:p>
  </w:footnote>
  <w:footnote w:id="269">
    <w:p w14:paraId="644BD16F" w14:textId="2E2ABE61" w:rsidR="00C17404" w:rsidRPr="00601C26" w:rsidRDefault="00C17404" w:rsidP="00E53F38">
      <w:pPr>
        <w:pStyle w:val="NIHRCFootnotes"/>
        <w:rPr>
          <w:color w:val="7030A0"/>
        </w:rPr>
      </w:pPr>
      <w:r w:rsidRPr="00601C26">
        <w:rPr>
          <w:rStyle w:val="FootnoteReference"/>
          <w:color w:val="7030A0"/>
        </w:rPr>
        <w:footnoteRef/>
      </w:r>
      <w:r w:rsidRPr="00601C26">
        <w:rPr>
          <w:color w:val="7030A0"/>
        </w:rPr>
        <w:t xml:space="preserve"> </w:t>
      </w:r>
      <w:r w:rsidR="002619B9" w:rsidRPr="00601C26">
        <w:rPr>
          <w:color w:val="7030A0"/>
        </w:rPr>
        <w:t>Clauses 19(7)-19(9)</w:t>
      </w:r>
      <w:r w:rsidR="00601C26" w:rsidRPr="00601C26">
        <w:rPr>
          <w:color w:val="7030A0"/>
        </w:rPr>
        <w:t>, NI Troubles (Legacy and Reconciliation) Bill.</w:t>
      </w:r>
    </w:p>
  </w:footnote>
  <w:footnote w:id="270">
    <w:p w14:paraId="093463C3" w14:textId="27AF2879" w:rsidR="00F64A57" w:rsidRPr="00601C26" w:rsidRDefault="00F64A57" w:rsidP="00E53F38">
      <w:pPr>
        <w:pStyle w:val="NIHRCFootnotes"/>
        <w:rPr>
          <w:color w:val="7030A0"/>
        </w:rPr>
      </w:pPr>
      <w:r w:rsidRPr="00601C26">
        <w:rPr>
          <w:rStyle w:val="FootnoteReference"/>
          <w:color w:val="7030A0"/>
        </w:rPr>
        <w:footnoteRef/>
      </w:r>
      <w:r w:rsidRPr="00601C26">
        <w:rPr>
          <w:color w:val="7030A0"/>
        </w:rPr>
        <w:t xml:space="preserve"> Article 6</w:t>
      </w:r>
      <w:r w:rsidR="00B8490E" w:rsidRPr="00601C26">
        <w:rPr>
          <w:color w:val="7030A0"/>
        </w:rPr>
        <w:t>(1)</w:t>
      </w:r>
      <w:r w:rsidRPr="00601C26">
        <w:rPr>
          <w:color w:val="7030A0"/>
        </w:rPr>
        <w:t xml:space="preserve">, European Convention on Human Rights 1950; </w:t>
      </w:r>
      <w:r w:rsidR="002342A3" w:rsidRPr="00601C26">
        <w:rPr>
          <w:color w:val="7030A0"/>
        </w:rPr>
        <w:t>Article 14</w:t>
      </w:r>
      <w:r w:rsidR="00B8490E" w:rsidRPr="00601C26">
        <w:rPr>
          <w:color w:val="7030A0"/>
        </w:rPr>
        <w:t>(1)</w:t>
      </w:r>
      <w:r w:rsidR="002342A3" w:rsidRPr="00601C26">
        <w:rPr>
          <w:color w:val="7030A0"/>
        </w:rPr>
        <w:t>, UN International Covenant on Civil and Political Rights 1966</w:t>
      </w:r>
      <w:r w:rsidR="0060054A" w:rsidRPr="00601C26">
        <w:rPr>
          <w:color w:val="7030A0"/>
        </w:rPr>
        <w:t>.</w:t>
      </w:r>
    </w:p>
  </w:footnote>
  <w:footnote w:id="271">
    <w:p w14:paraId="6B8BB9A2" w14:textId="77777777" w:rsidR="00A76B14" w:rsidRPr="00601C26" w:rsidRDefault="00A76B14" w:rsidP="00E53F38">
      <w:pPr>
        <w:pStyle w:val="NIHRCFootnotes"/>
        <w:rPr>
          <w:color w:val="7030A0"/>
        </w:rPr>
      </w:pPr>
      <w:r w:rsidRPr="00601C26">
        <w:rPr>
          <w:rStyle w:val="FootnoteReference"/>
          <w:color w:val="7030A0"/>
        </w:rPr>
        <w:footnoteRef/>
      </w:r>
      <w:r w:rsidRPr="00601C26">
        <w:rPr>
          <w:color w:val="7030A0"/>
        </w:rPr>
        <w:t xml:space="preserve"> </w:t>
      </w:r>
      <w:r w:rsidRPr="00601C26">
        <w:rPr>
          <w:i/>
          <w:iCs/>
          <w:color w:val="7030A0"/>
        </w:rPr>
        <w:t>Golder v UK</w:t>
      </w:r>
      <w:r w:rsidRPr="00601C26">
        <w:rPr>
          <w:color w:val="7030A0"/>
        </w:rPr>
        <w:t xml:space="preserve"> (1975) 1 EHRR 524, at para 28.</w:t>
      </w:r>
    </w:p>
  </w:footnote>
  <w:footnote w:id="272">
    <w:p w14:paraId="6A5D6E44" w14:textId="77777777" w:rsidR="00A76B14" w:rsidRPr="00601C26" w:rsidRDefault="00A76B14"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iCs/>
          <w:color w:val="7030A0"/>
        </w:rPr>
        <w:t>Philis</w:t>
      </w:r>
      <w:proofErr w:type="spellEnd"/>
      <w:r w:rsidRPr="00601C26">
        <w:rPr>
          <w:i/>
          <w:iCs/>
          <w:color w:val="7030A0"/>
        </w:rPr>
        <w:t xml:space="preserve"> v Greece</w:t>
      </w:r>
      <w:r w:rsidRPr="00601C26">
        <w:rPr>
          <w:color w:val="7030A0"/>
        </w:rPr>
        <w:t xml:space="preserve"> (1991) 13 EHRR 741, at para 59.</w:t>
      </w:r>
    </w:p>
  </w:footnote>
  <w:footnote w:id="273">
    <w:p w14:paraId="3177F8ED" w14:textId="77777777" w:rsidR="00212970" w:rsidRDefault="00212970" w:rsidP="00E53F38">
      <w:pPr>
        <w:pStyle w:val="NIHRCFootnotes"/>
      </w:pPr>
      <w:r>
        <w:rPr>
          <w:rStyle w:val="FootnoteReference"/>
        </w:rPr>
        <w:footnoteRef/>
      </w:r>
      <w:r>
        <w:t xml:space="preserve"> Article 1, Protocol No 1 of the European Convention on Human Rights 1952</w:t>
      </w:r>
    </w:p>
  </w:footnote>
  <w:footnote w:id="274">
    <w:p w14:paraId="52350BA7" w14:textId="1B4640CD" w:rsidR="00E04400" w:rsidRPr="00EA5544" w:rsidRDefault="00E04400" w:rsidP="00E53F38">
      <w:pPr>
        <w:pStyle w:val="NIHRCFootnotes"/>
      </w:pPr>
      <w:r>
        <w:rPr>
          <w:rStyle w:val="FootnoteReference"/>
        </w:rPr>
        <w:footnoteRef/>
      </w:r>
      <w:r>
        <w:t xml:space="preserve"> </w:t>
      </w:r>
      <w:proofErr w:type="spellStart"/>
      <w:r w:rsidR="00EA5544" w:rsidRPr="00EA5544">
        <w:rPr>
          <w:i/>
          <w:iCs/>
        </w:rPr>
        <w:t>Vilho</w:t>
      </w:r>
      <w:proofErr w:type="spellEnd"/>
      <w:r w:rsidR="00EA5544" w:rsidRPr="00EA5544">
        <w:rPr>
          <w:i/>
          <w:iCs/>
        </w:rPr>
        <w:t xml:space="preserve"> </w:t>
      </w:r>
      <w:proofErr w:type="spellStart"/>
      <w:r w:rsidR="00EA5544" w:rsidRPr="00EA5544">
        <w:rPr>
          <w:i/>
          <w:iCs/>
        </w:rPr>
        <w:t>Eskelinen</w:t>
      </w:r>
      <w:proofErr w:type="spellEnd"/>
      <w:r w:rsidR="00EA5544" w:rsidRPr="00EA5544">
        <w:rPr>
          <w:i/>
          <w:iCs/>
        </w:rPr>
        <w:t xml:space="preserve"> v Finland</w:t>
      </w:r>
      <w:r w:rsidR="00EA5544">
        <w:t xml:space="preserve"> </w:t>
      </w:r>
      <w:r w:rsidR="00DF63B6">
        <w:t>(2007) ECHR 314.</w:t>
      </w:r>
    </w:p>
  </w:footnote>
  <w:footnote w:id="275">
    <w:p w14:paraId="2B3E238A" w14:textId="77777777" w:rsidR="00A76B14" w:rsidRPr="00601C26" w:rsidRDefault="00A76B14" w:rsidP="00E53F38">
      <w:pPr>
        <w:pStyle w:val="NIHRCFootnotes"/>
        <w:rPr>
          <w:color w:val="7030A0"/>
        </w:rPr>
      </w:pPr>
      <w:r w:rsidRPr="00601C26">
        <w:rPr>
          <w:rStyle w:val="FootnoteReference"/>
          <w:color w:val="7030A0"/>
        </w:rPr>
        <w:footnoteRef/>
      </w:r>
      <w:r w:rsidRPr="00601C26">
        <w:rPr>
          <w:color w:val="7030A0"/>
        </w:rPr>
        <w:t xml:space="preserve"> </w:t>
      </w:r>
      <w:r w:rsidRPr="00601C26">
        <w:rPr>
          <w:i/>
          <w:iCs/>
          <w:color w:val="7030A0"/>
        </w:rPr>
        <w:t>Isayeva v Russia</w:t>
      </w:r>
      <w:r w:rsidRPr="00601C26">
        <w:rPr>
          <w:color w:val="7030A0"/>
        </w:rPr>
        <w:t xml:space="preserve"> (2005) ECHR 128, at para 229.</w:t>
      </w:r>
    </w:p>
  </w:footnote>
  <w:footnote w:id="276">
    <w:p w14:paraId="27C07E45" w14:textId="77777777" w:rsidR="00A76B14" w:rsidRPr="00601C26" w:rsidRDefault="00A76B14"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i/>
          <w:color w:val="7030A0"/>
        </w:rPr>
        <w:t>Bityeva</w:t>
      </w:r>
      <w:proofErr w:type="spellEnd"/>
      <w:r w:rsidRPr="00601C26">
        <w:rPr>
          <w:i/>
          <w:color w:val="7030A0"/>
        </w:rPr>
        <w:t xml:space="preserve"> and Others v Russia</w:t>
      </w:r>
      <w:r w:rsidRPr="00601C26">
        <w:rPr>
          <w:color w:val="7030A0"/>
        </w:rPr>
        <w:t xml:space="preserve"> (2009) ECHR 672, at para 121; </w:t>
      </w:r>
      <w:proofErr w:type="spellStart"/>
      <w:r w:rsidRPr="00601C26">
        <w:rPr>
          <w:i/>
          <w:color w:val="7030A0"/>
        </w:rPr>
        <w:t>Akhmadova</w:t>
      </w:r>
      <w:proofErr w:type="spellEnd"/>
      <w:r w:rsidRPr="00601C26">
        <w:rPr>
          <w:i/>
          <w:color w:val="7030A0"/>
        </w:rPr>
        <w:t xml:space="preserve"> and </w:t>
      </w:r>
      <w:proofErr w:type="spellStart"/>
      <w:r w:rsidRPr="00601C26">
        <w:rPr>
          <w:i/>
          <w:color w:val="7030A0"/>
        </w:rPr>
        <w:t>Akhmadov</w:t>
      </w:r>
      <w:proofErr w:type="spellEnd"/>
      <w:r w:rsidRPr="00601C26">
        <w:rPr>
          <w:i/>
          <w:color w:val="7030A0"/>
        </w:rPr>
        <w:t xml:space="preserve"> v Russia</w:t>
      </w:r>
      <w:r w:rsidRPr="00601C26">
        <w:rPr>
          <w:color w:val="7030A0"/>
        </w:rPr>
        <w:t xml:space="preserve"> (2008) </w:t>
      </w:r>
      <w:proofErr w:type="spellStart"/>
      <w:r w:rsidRPr="00601C26">
        <w:rPr>
          <w:color w:val="7030A0"/>
        </w:rPr>
        <w:t>ECHr</w:t>
      </w:r>
      <w:proofErr w:type="spellEnd"/>
      <w:r w:rsidRPr="00601C26">
        <w:rPr>
          <w:color w:val="7030A0"/>
        </w:rPr>
        <w:t xml:space="preserve"> 869, at para 103.</w:t>
      </w:r>
    </w:p>
  </w:footnote>
  <w:footnote w:id="277">
    <w:p w14:paraId="1EB8E24D" w14:textId="77777777" w:rsidR="00A76B14" w:rsidRPr="00601C26" w:rsidRDefault="00A76B14" w:rsidP="00E53F38">
      <w:pPr>
        <w:pStyle w:val="NIHRCFootnotes"/>
        <w:rPr>
          <w:color w:val="7030A0"/>
        </w:rPr>
      </w:pPr>
      <w:r w:rsidRPr="00601C26">
        <w:rPr>
          <w:rStyle w:val="FootnoteReference"/>
          <w:color w:val="7030A0"/>
        </w:rPr>
        <w:footnoteRef/>
      </w:r>
      <w:r w:rsidRPr="00601C26">
        <w:rPr>
          <w:color w:val="7030A0"/>
        </w:rPr>
        <w:t xml:space="preserve"> </w:t>
      </w:r>
      <w:r w:rsidRPr="00601C26">
        <w:rPr>
          <w:i/>
          <w:color w:val="7030A0"/>
        </w:rPr>
        <w:t>El-</w:t>
      </w:r>
      <w:proofErr w:type="spellStart"/>
      <w:r w:rsidRPr="00601C26">
        <w:rPr>
          <w:i/>
          <w:color w:val="7030A0"/>
        </w:rPr>
        <w:t>Masri</w:t>
      </w:r>
      <w:proofErr w:type="spellEnd"/>
      <w:r w:rsidRPr="00601C26">
        <w:rPr>
          <w:i/>
          <w:color w:val="7030A0"/>
        </w:rPr>
        <w:t xml:space="preserve"> v The Former Yugoslav Republic of Macedonia</w:t>
      </w:r>
      <w:r w:rsidRPr="00601C26">
        <w:rPr>
          <w:color w:val="7030A0"/>
        </w:rPr>
        <w:t xml:space="preserve"> (2012), Application No 39630/09, Judgment of 13 December 2012, at para 255.</w:t>
      </w:r>
    </w:p>
  </w:footnote>
  <w:footnote w:id="278">
    <w:p w14:paraId="6433E0C2" w14:textId="77777777" w:rsidR="004748EB" w:rsidRPr="00601C26" w:rsidRDefault="004748EB" w:rsidP="00E53F38">
      <w:pPr>
        <w:pStyle w:val="NIHRCFootnotes"/>
        <w:rPr>
          <w:color w:val="7030A0"/>
        </w:rPr>
      </w:pPr>
      <w:r w:rsidRPr="00601C26">
        <w:rPr>
          <w:color w:val="7030A0"/>
          <w:vertAlign w:val="superscript"/>
        </w:rPr>
        <w:footnoteRef/>
      </w:r>
      <w:r w:rsidRPr="00601C26">
        <w:rPr>
          <w:color w:val="7030A0"/>
          <w:vertAlign w:val="superscript"/>
        </w:rPr>
        <w:t xml:space="preserve"> </w:t>
      </w:r>
      <w:r w:rsidRPr="00601C26">
        <w:rPr>
          <w:color w:val="7030A0"/>
        </w:rPr>
        <w:t>The Good Friday Agreement 1998, Rights, Safeguards and Equality of Opportunity, at para 2.</w:t>
      </w:r>
    </w:p>
  </w:footnote>
  <w:footnote w:id="279">
    <w:p w14:paraId="556FD4E2" w14:textId="3039C159" w:rsidR="003050C0" w:rsidRDefault="003050C0" w:rsidP="00E53F38">
      <w:pPr>
        <w:pStyle w:val="NIHRCFootnotes"/>
      </w:pPr>
      <w:r w:rsidRPr="00035E91">
        <w:rPr>
          <w:color w:val="7030A0"/>
        </w:rPr>
        <w:footnoteRef/>
      </w:r>
      <w:r>
        <w:t xml:space="preserve"> </w:t>
      </w:r>
      <w:r w:rsidR="00035E91">
        <w:rPr>
          <w:color w:val="7030A0"/>
        </w:rPr>
        <w:t xml:space="preserve">See for example, </w:t>
      </w:r>
      <w:proofErr w:type="spellStart"/>
      <w:r w:rsidR="005E166F" w:rsidRPr="00035E91">
        <w:rPr>
          <w:color w:val="7030A0"/>
        </w:rPr>
        <w:t>Gaviero</w:t>
      </w:r>
      <w:proofErr w:type="spellEnd"/>
      <w:r w:rsidR="005E166F" w:rsidRPr="00035E91">
        <w:rPr>
          <w:color w:val="7030A0"/>
        </w:rPr>
        <w:t xml:space="preserve"> Joined Cases C-444/09 and C-456/09</w:t>
      </w:r>
      <w:r w:rsidR="00242B48" w:rsidRPr="00035E91">
        <w:rPr>
          <w:color w:val="7030A0"/>
        </w:rPr>
        <w:t>.</w:t>
      </w:r>
    </w:p>
  </w:footnote>
  <w:footnote w:id="280">
    <w:p w14:paraId="4FF68B38" w14:textId="6CB9A0D6" w:rsidR="006E248E" w:rsidRDefault="006E248E" w:rsidP="00E53F38">
      <w:pPr>
        <w:pStyle w:val="NIHRCFootnotes"/>
      </w:pPr>
      <w:r w:rsidRPr="00035E91">
        <w:rPr>
          <w:color w:val="7030A0"/>
        </w:rPr>
        <w:footnoteRef/>
      </w:r>
      <w:r>
        <w:t xml:space="preserve"> </w:t>
      </w:r>
      <w:r w:rsidR="00242B48" w:rsidRPr="005F033D">
        <w:rPr>
          <w:color w:val="7030A0"/>
        </w:rPr>
        <w:t>Section 5(5)</w:t>
      </w:r>
      <w:r w:rsidR="005F033D">
        <w:rPr>
          <w:color w:val="7030A0"/>
        </w:rPr>
        <w:t>, EU Withdrawal Act 2018.</w:t>
      </w:r>
    </w:p>
  </w:footnote>
  <w:footnote w:id="281">
    <w:p w14:paraId="14FDF4EB" w14:textId="77777777" w:rsidR="00A355B8" w:rsidRPr="003B35DD" w:rsidRDefault="00A355B8" w:rsidP="00E53F38">
      <w:pPr>
        <w:pStyle w:val="NIHRCFootnotes"/>
        <w:rPr>
          <w:color w:val="7030A0"/>
        </w:rPr>
      </w:pPr>
      <w:r w:rsidRPr="003B35DD">
        <w:rPr>
          <w:rStyle w:val="FootnoteReference"/>
          <w:color w:val="7030A0"/>
        </w:rPr>
        <w:footnoteRef/>
      </w:r>
      <w:r>
        <w:t xml:space="preserve"> </w:t>
      </w:r>
      <w:r w:rsidRPr="003B35DD">
        <w:rPr>
          <w:color w:val="7030A0"/>
        </w:rPr>
        <w:t xml:space="preserve">Directive 2012/29/EU of the European Parliament and of the Council of 25 October 2012 establishing minimum standards on the rights, </w:t>
      </w:r>
      <w:proofErr w:type="gramStart"/>
      <w:r w:rsidRPr="003B35DD">
        <w:rPr>
          <w:color w:val="7030A0"/>
        </w:rPr>
        <w:t>support</w:t>
      </w:r>
      <w:proofErr w:type="gramEnd"/>
      <w:r w:rsidRPr="003B35DD">
        <w:rPr>
          <w:color w:val="7030A0"/>
        </w:rPr>
        <w:t xml:space="preserve"> and protection of victims of crime, and replacing Council Framework Decision 2001/220/JHA</w:t>
      </w:r>
      <w:r>
        <w:rPr>
          <w:color w:val="7030A0"/>
        </w:rPr>
        <w:t>.</w:t>
      </w:r>
    </w:p>
  </w:footnote>
  <w:footnote w:id="282">
    <w:p w14:paraId="0674E6E1" w14:textId="4CE2DF2F" w:rsidR="00843D16" w:rsidRPr="00601C26" w:rsidRDefault="00843D16" w:rsidP="00E53F38">
      <w:pPr>
        <w:pStyle w:val="NIHRCFootnotes"/>
        <w:rPr>
          <w:color w:val="7030A0"/>
        </w:rPr>
      </w:pPr>
      <w:r w:rsidRPr="00601C26">
        <w:rPr>
          <w:rStyle w:val="FootnoteReference"/>
          <w:color w:val="7030A0"/>
        </w:rPr>
        <w:footnoteRef/>
      </w:r>
      <w:r w:rsidRPr="00601C26">
        <w:rPr>
          <w:color w:val="7030A0"/>
        </w:rPr>
        <w:t xml:space="preserve"> Clauses 3</w:t>
      </w:r>
      <w:r w:rsidR="00C170C6" w:rsidRPr="00601C26">
        <w:rPr>
          <w:color w:val="7030A0"/>
        </w:rPr>
        <w:t>4</w:t>
      </w:r>
      <w:r w:rsidRPr="00601C26">
        <w:rPr>
          <w:color w:val="7030A0"/>
        </w:rPr>
        <w:t>-4</w:t>
      </w:r>
      <w:r w:rsidR="00C170C6" w:rsidRPr="00601C26">
        <w:rPr>
          <w:color w:val="7030A0"/>
        </w:rPr>
        <w:t>1</w:t>
      </w:r>
      <w:r w:rsidRPr="00601C26">
        <w:rPr>
          <w:color w:val="7030A0"/>
        </w:rPr>
        <w:t>, NI Troubles (Legacy and Reconciliation) Bill.</w:t>
      </w:r>
    </w:p>
  </w:footnote>
  <w:footnote w:id="283">
    <w:p w14:paraId="43D7E78D" w14:textId="4B683C4A" w:rsidR="00F213E8" w:rsidRPr="00601C26" w:rsidRDefault="00F213E8" w:rsidP="00E53F38">
      <w:pPr>
        <w:pStyle w:val="NIHRCFootnotes"/>
        <w:rPr>
          <w:color w:val="7030A0"/>
        </w:rPr>
      </w:pPr>
      <w:r w:rsidRPr="00601C26">
        <w:rPr>
          <w:rStyle w:val="FootnoteReference"/>
          <w:color w:val="7030A0"/>
        </w:rPr>
        <w:footnoteRef/>
      </w:r>
      <w:r w:rsidRPr="00601C26">
        <w:rPr>
          <w:color w:val="7030A0"/>
        </w:rPr>
        <w:t xml:space="preserve"> Protocol No 15 of the European Convention on Human Rights, </w:t>
      </w:r>
      <w:r w:rsidR="00B7452A" w:rsidRPr="00601C26">
        <w:rPr>
          <w:color w:val="7030A0"/>
        </w:rPr>
        <w:t>24 June 2013.</w:t>
      </w:r>
    </w:p>
  </w:footnote>
  <w:footnote w:id="284">
    <w:p w14:paraId="14510B67" w14:textId="6450B906" w:rsidR="002623F9" w:rsidRPr="00601C26" w:rsidRDefault="002623F9" w:rsidP="00E53F38">
      <w:pPr>
        <w:pStyle w:val="NIHRCFootnotes"/>
        <w:rPr>
          <w:color w:val="7030A0"/>
        </w:rPr>
      </w:pPr>
      <w:r w:rsidRPr="00601C26">
        <w:rPr>
          <w:rStyle w:val="FootnoteReference"/>
          <w:color w:val="7030A0"/>
        </w:rPr>
        <w:footnoteRef/>
      </w:r>
      <w:r w:rsidRPr="00601C26">
        <w:rPr>
          <w:color w:val="7030A0"/>
        </w:rPr>
        <w:t xml:space="preserve"> </w:t>
      </w:r>
      <w:r w:rsidR="001676B8" w:rsidRPr="00601C26">
        <w:rPr>
          <w:color w:val="7030A0"/>
        </w:rPr>
        <w:t>‘</w:t>
      </w:r>
      <w:proofErr w:type="spellStart"/>
      <w:r w:rsidR="001676B8" w:rsidRPr="00601C26">
        <w:rPr>
          <w:color w:val="7030A0"/>
        </w:rPr>
        <w:t>CoE</w:t>
      </w:r>
      <w:proofErr w:type="spellEnd"/>
      <w:r w:rsidR="001676B8" w:rsidRPr="00601C26">
        <w:rPr>
          <w:color w:val="7030A0"/>
        </w:rPr>
        <w:t xml:space="preserve"> Committee of Ministers Item H46-42 </w:t>
      </w:r>
      <w:proofErr w:type="spellStart"/>
      <w:r w:rsidR="001676B8" w:rsidRPr="00601C26">
        <w:rPr>
          <w:color w:val="7030A0"/>
        </w:rPr>
        <w:t>McKerr</w:t>
      </w:r>
      <w:proofErr w:type="spellEnd"/>
      <w:r w:rsidR="001676B8" w:rsidRPr="00601C26">
        <w:rPr>
          <w:color w:val="7030A0"/>
        </w:rPr>
        <w:t xml:space="preserve"> Group v UK (Application No. 28883/95)’, 7-8 June 2016; CM/Notes/1436/H46-35, ‘</w:t>
      </w:r>
      <w:proofErr w:type="spellStart"/>
      <w:r w:rsidR="001676B8" w:rsidRPr="00601C26">
        <w:rPr>
          <w:color w:val="7030A0"/>
        </w:rPr>
        <w:t>CoE</w:t>
      </w:r>
      <w:proofErr w:type="spellEnd"/>
      <w:r w:rsidR="001676B8" w:rsidRPr="00601C26">
        <w:rPr>
          <w:color w:val="7030A0"/>
        </w:rPr>
        <w:t xml:space="preserve"> Committee of Ministers Decision on </w:t>
      </w:r>
      <w:proofErr w:type="spellStart"/>
      <w:r w:rsidR="001676B8" w:rsidRPr="00601C26">
        <w:rPr>
          <w:color w:val="7030A0"/>
        </w:rPr>
        <w:t>McKerr</w:t>
      </w:r>
      <w:proofErr w:type="spellEnd"/>
      <w:r w:rsidR="001676B8" w:rsidRPr="00601C26">
        <w:rPr>
          <w:color w:val="7030A0"/>
        </w:rPr>
        <w:t xml:space="preserve"> Group v UK (Application No 28883/95), 10 June 2022, at para 4.</w:t>
      </w:r>
    </w:p>
  </w:footnote>
  <w:footnote w:id="285">
    <w:p w14:paraId="2C49FD88" w14:textId="45AD4654" w:rsidR="0073503B" w:rsidRPr="00601C26" w:rsidRDefault="0073503B" w:rsidP="00E53F38">
      <w:pPr>
        <w:pStyle w:val="NIHRCFootnotes"/>
        <w:rPr>
          <w:color w:val="7030A0"/>
        </w:rPr>
      </w:pPr>
      <w:r w:rsidRPr="00601C26">
        <w:rPr>
          <w:rStyle w:val="FootnoteReference"/>
          <w:color w:val="7030A0"/>
        </w:rPr>
        <w:footnoteRef/>
      </w:r>
      <w:r w:rsidRPr="00601C26">
        <w:rPr>
          <w:color w:val="7030A0"/>
        </w:rPr>
        <w:t xml:space="preserve"> UK Parliament Hansard, ‘NI Troubles (Legacy and Reconciliation) Bill: House of Commons Committee Stage Debate </w:t>
      </w:r>
      <w:r w:rsidR="007D77D1" w:rsidRPr="00601C26">
        <w:rPr>
          <w:color w:val="7030A0"/>
        </w:rPr>
        <w:t>–</w:t>
      </w:r>
      <w:r w:rsidRPr="00601C26">
        <w:rPr>
          <w:color w:val="7030A0"/>
        </w:rPr>
        <w:t xml:space="preserve"> </w:t>
      </w:r>
      <w:r w:rsidR="007D77D1" w:rsidRPr="00601C26">
        <w:rPr>
          <w:color w:val="7030A0"/>
        </w:rPr>
        <w:t xml:space="preserve">Minister of State, NIO – Conor Burns </w:t>
      </w:r>
      <w:proofErr w:type="gramStart"/>
      <w:r w:rsidR="007D77D1" w:rsidRPr="00601C26">
        <w:rPr>
          <w:color w:val="7030A0"/>
        </w:rPr>
        <w:t>MP</w:t>
      </w:r>
      <w:r w:rsidRPr="00601C26">
        <w:rPr>
          <w:color w:val="7030A0"/>
        </w:rPr>
        <w:t>‘</w:t>
      </w:r>
      <w:proofErr w:type="gramEnd"/>
      <w:r w:rsidRPr="00601C26">
        <w:rPr>
          <w:color w:val="7030A0"/>
        </w:rPr>
        <w:t>, 29 June 2022</w:t>
      </w:r>
      <w:r w:rsidR="007D77D1" w:rsidRPr="00601C26">
        <w:rPr>
          <w:color w:val="7030A0"/>
        </w:rPr>
        <w:t>, at Volume 717, Column 341.</w:t>
      </w:r>
    </w:p>
  </w:footnote>
  <w:footnote w:id="286">
    <w:p w14:paraId="4443A98C" w14:textId="77777777" w:rsidR="00967539" w:rsidRPr="00601C26" w:rsidRDefault="00967539" w:rsidP="00E53F38">
      <w:pPr>
        <w:pStyle w:val="NIHRCFootnotes"/>
        <w:rPr>
          <w:color w:val="7030A0"/>
        </w:rPr>
      </w:pPr>
      <w:r w:rsidRPr="00601C26">
        <w:rPr>
          <w:rStyle w:val="FootnoteReference"/>
          <w:color w:val="7030A0"/>
        </w:rPr>
        <w:footnoteRef/>
      </w:r>
      <w:r w:rsidRPr="00601C26">
        <w:rPr>
          <w:color w:val="7030A0"/>
        </w:rPr>
        <w:t xml:space="preserve"> NI Office, ‘NI Troubles (Legacy and Reconciliation) Bill: Second Reading Opening Speech by Secretary of State for NI, Brandon Lewis MP’, 24 May 2022.</w:t>
      </w:r>
    </w:p>
  </w:footnote>
  <w:footnote w:id="287">
    <w:p w14:paraId="1E35DD85" w14:textId="73E2E16E" w:rsidR="00FB7A52" w:rsidRPr="00601C26" w:rsidRDefault="00FB7A52" w:rsidP="00E53F38">
      <w:pPr>
        <w:pStyle w:val="NIHRCFootnotes"/>
        <w:rPr>
          <w:color w:val="7030A0"/>
        </w:rPr>
      </w:pPr>
      <w:r w:rsidRPr="00601C26">
        <w:rPr>
          <w:rStyle w:val="FootnoteReference"/>
          <w:color w:val="7030A0"/>
        </w:rPr>
        <w:footnoteRef/>
      </w:r>
      <w:r w:rsidRPr="00601C26">
        <w:rPr>
          <w:color w:val="7030A0"/>
        </w:rPr>
        <w:t xml:space="preserve"> </w:t>
      </w:r>
      <w:r w:rsidR="004E0AA3">
        <w:rPr>
          <w:color w:val="7030A0"/>
        </w:rPr>
        <w:t>Ibid</w:t>
      </w:r>
      <w:r w:rsidRPr="00601C26">
        <w:rPr>
          <w:color w:val="7030A0"/>
        </w:rPr>
        <w:t>.</w:t>
      </w:r>
    </w:p>
  </w:footnote>
  <w:footnote w:id="288">
    <w:p w14:paraId="6AA67083" w14:textId="2FD92D80" w:rsidR="001A649A" w:rsidRPr="00601C26" w:rsidRDefault="001A649A" w:rsidP="00E53F38">
      <w:pPr>
        <w:pStyle w:val="NIHRCFootnotes"/>
        <w:rPr>
          <w:color w:val="7030A0"/>
        </w:rPr>
      </w:pPr>
      <w:r w:rsidRPr="00601C26">
        <w:rPr>
          <w:rStyle w:val="FootnoteReference"/>
          <w:color w:val="7030A0"/>
        </w:rPr>
        <w:footnoteRef/>
      </w:r>
      <w:r w:rsidRPr="00601C26">
        <w:rPr>
          <w:color w:val="7030A0"/>
        </w:rPr>
        <w:t xml:space="preserve"> </w:t>
      </w:r>
      <w:r w:rsidR="008960F6" w:rsidRPr="00601C26">
        <w:rPr>
          <w:color w:val="7030A0"/>
        </w:rPr>
        <w:t xml:space="preserve">See for example </w:t>
      </w:r>
      <w:r w:rsidR="00E644B6" w:rsidRPr="00601C26">
        <w:rPr>
          <w:i/>
          <w:iCs/>
          <w:color w:val="7030A0"/>
        </w:rPr>
        <w:t>Re Bridget Irvine</w:t>
      </w:r>
      <w:r w:rsidR="00E644B6" w:rsidRPr="00601C26">
        <w:rPr>
          <w:color w:val="7030A0"/>
        </w:rPr>
        <w:t xml:space="preserve"> [2022] NIQB 49; </w:t>
      </w:r>
      <w:r w:rsidR="000E13CF" w:rsidRPr="00601C26">
        <w:rPr>
          <w:color w:val="7030A0"/>
        </w:rPr>
        <w:t xml:space="preserve">‘Kathleen Thompson: Mother-of-six’s killing “unjustified”’, </w:t>
      </w:r>
      <w:r w:rsidR="000E13CF" w:rsidRPr="00601C26">
        <w:rPr>
          <w:i/>
          <w:iCs/>
          <w:color w:val="7030A0"/>
        </w:rPr>
        <w:t>BBC News</w:t>
      </w:r>
      <w:r w:rsidR="000E13CF" w:rsidRPr="00601C26">
        <w:rPr>
          <w:color w:val="7030A0"/>
        </w:rPr>
        <w:t xml:space="preserve">, </w:t>
      </w:r>
      <w:r w:rsidR="008F51B9" w:rsidRPr="00601C26">
        <w:rPr>
          <w:color w:val="7030A0"/>
        </w:rPr>
        <w:t xml:space="preserve">29 June 2022; </w:t>
      </w:r>
      <w:r w:rsidR="005D35FF" w:rsidRPr="00601C26">
        <w:rPr>
          <w:i/>
          <w:iCs/>
          <w:color w:val="7030A0"/>
        </w:rPr>
        <w:t>In the Matter of a Series of Deaths that Occurred in August 1971 at Ballymurphy, West Belfast</w:t>
      </w:r>
      <w:r w:rsidR="005D35FF" w:rsidRPr="00601C26">
        <w:rPr>
          <w:color w:val="7030A0"/>
        </w:rPr>
        <w:t xml:space="preserve"> [2021] </w:t>
      </w:r>
      <w:proofErr w:type="spellStart"/>
      <w:r w:rsidR="005D35FF" w:rsidRPr="00601C26">
        <w:rPr>
          <w:color w:val="7030A0"/>
        </w:rPr>
        <w:t>NICoroner</w:t>
      </w:r>
      <w:proofErr w:type="spellEnd"/>
      <w:r w:rsidR="005D35FF" w:rsidRPr="00601C26">
        <w:rPr>
          <w:color w:val="7030A0"/>
        </w:rPr>
        <w:t xml:space="preserve"> 6</w:t>
      </w:r>
      <w:r w:rsidR="00B51C4C" w:rsidRPr="00601C26">
        <w:rPr>
          <w:color w:val="7030A0"/>
        </w:rPr>
        <w:t xml:space="preserve">; </w:t>
      </w:r>
      <w:r w:rsidR="00B51C4C" w:rsidRPr="00601C26">
        <w:rPr>
          <w:i/>
          <w:iCs/>
          <w:color w:val="7030A0"/>
        </w:rPr>
        <w:t>In the Matter of an Inquest into the Death of Patrick McElhone</w:t>
      </w:r>
      <w:r w:rsidR="00B51C4C" w:rsidRPr="00601C26">
        <w:rPr>
          <w:color w:val="7030A0"/>
        </w:rPr>
        <w:t xml:space="preserve"> [2021] </w:t>
      </w:r>
      <w:proofErr w:type="spellStart"/>
      <w:r w:rsidR="00B51C4C" w:rsidRPr="00601C26">
        <w:rPr>
          <w:color w:val="7030A0"/>
        </w:rPr>
        <w:t>NICoroner</w:t>
      </w:r>
      <w:proofErr w:type="spellEnd"/>
      <w:r w:rsidR="00B51C4C" w:rsidRPr="00601C26">
        <w:rPr>
          <w:color w:val="7030A0"/>
        </w:rPr>
        <w:t xml:space="preserve"> 1</w:t>
      </w:r>
      <w:r w:rsidR="002B316D" w:rsidRPr="00601C26">
        <w:rPr>
          <w:color w:val="7030A0"/>
        </w:rPr>
        <w:t>; Lord Saville, ‘Report of the Bloody Sunday Inquiry’</w:t>
      </w:r>
      <w:r w:rsidR="00F6464D" w:rsidRPr="00601C26">
        <w:rPr>
          <w:color w:val="7030A0"/>
        </w:rPr>
        <w:t xml:space="preserve"> (TSO, 2010).</w:t>
      </w:r>
    </w:p>
  </w:footnote>
  <w:footnote w:id="289">
    <w:p w14:paraId="2E24FA2C" w14:textId="5AEC3D17" w:rsidR="00092DBF" w:rsidRPr="00601C26" w:rsidRDefault="00092DBF" w:rsidP="00E53F38">
      <w:pPr>
        <w:pStyle w:val="NIHRCFootnotes"/>
        <w:rPr>
          <w:color w:val="7030A0"/>
        </w:rPr>
      </w:pPr>
      <w:r w:rsidRPr="00601C26">
        <w:rPr>
          <w:rStyle w:val="FootnoteReference"/>
          <w:color w:val="7030A0"/>
        </w:rPr>
        <w:footnoteRef/>
      </w:r>
      <w:r w:rsidRPr="00601C26">
        <w:rPr>
          <w:color w:val="7030A0"/>
        </w:rPr>
        <w:t xml:space="preserve"> </w:t>
      </w:r>
      <w:r w:rsidR="00E32840" w:rsidRPr="00601C26">
        <w:rPr>
          <w:color w:val="7030A0"/>
        </w:rPr>
        <w:t>NI Affairs Committee, ‘Oral Evidence: Addressing the Legacy of NI’s Past – The UK Government’s Proposals</w:t>
      </w:r>
      <w:r w:rsidR="00510CA6" w:rsidRPr="00601C26">
        <w:rPr>
          <w:color w:val="7030A0"/>
        </w:rPr>
        <w:t xml:space="preserve"> – Sandra Peake</w:t>
      </w:r>
      <w:r w:rsidR="005F12AD" w:rsidRPr="00601C26">
        <w:rPr>
          <w:color w:val="7030A0"/>
        </w:rPr>
        <w:t>, WAVE Trauma Centre</w:t>
      </w:r>
      <w:r w:rsidR="008D5E61" w:rsidRPr="00601C26">
        <w:rPr>
          <w:color w:val="7030A0"/>
        </w:rPr>
        <w:t xml:space="preserve">’, 7 June 2022, at </w:t>
      </w:r>
      <w:r w:rsidR="00510CA6" w:rsidRPr="00601C26">
        <w:rPr>
          <w:color w:val="7030A0"/>
        </w:rPr>
        <w:t>418.</w:t>
      </w:r>
    </w:p>
  </w:footnote>
  <w:footnote w:id="290">
    <w:p w14:paraId="67A9C9D6" w14:textId="66C93BE8" w:rsidR="001A649A" w:rsidRPr="00601C26" w:rsidRDefault="001A649A" w:rsidP="00E53F38">
      <w:pPr>
        <w:pStyle w:val="NIHRCFootnotes"/>
        <w:rPr>
          <w:color w:val="7030A0"/>
        </w:rPr>
      </w:pPr>
      <w:r w:rsidRPr="00601C26">
        <w:rPr>
          <w:rStyle w:val="FootnoteReference"/>
          <w:color w:val="7030A0"/>
        </w:rPr>
        <w:footnoteRef/>
      </w:r>
      <w:r w:rsidRPr="00601C26">
        <w:rPr>
          <w:color w:val="7030A0"/>
        </w:rPr>
        <w:t xml:space="preserve"> </w:t>
      </w:r>
      <w:r w:rsidR="004E0AA3">
        <w:rPr>
          <w:color w:val="7030A0"/>
        </w:rPr>
        <w:t>Ibid</w:t>
      </w:r>
      <w:r w:rsidRPr="00601C26">
        <w:rPr>
          <w:color w:val="7030A0"/>
        </w:rPr>
        <w:t>, at 4</w:t>
      </w:r>
      <w:r w:rsidR="00D81909" w:rsidRPr="00601C26">
        <w:rPr>
          <w:color w:val="7030A0"/>
        </w:rPr>
        <w:t>22.</w:t>
      </w:r>
    </w:p>
  </w:footnote>
  <w:footnote w:id="291">
    <w:p w14:paraId="07AE628E" w14:textId="77777777" w:rsidR="00CD7FF5" w:rsidRPr="00601C26" w:rsidRDefault="00CD7FF5" w:rsidP="00E53F38">
      <w:pPr>
        <w:pStyle w:val="NIHRCFootnotes"/>
        <w:rPr>
          <w:color w:val="7030A0"/>
        </w:rPr>
      </w:pPr>
      <w:r w:rsidRPr="00601C26">
        <w:rPr>
          <w:rStyle w:val="FootnoteReference"/>
          <w:color w:val="7030A0"/>
        </w:rPr>
        <w:footnoteRef/>
      </w:r>
      <w:r w:rsidRPr="00601C26">
        <w:rPr>
          <w:color w:val="7030A0"/>
        </w:rPr>
        <w:t xml:space="preserve"> The NI Executive is subject to the obligations contained within the specified regional and international treaties by virtue of the United Kingdom (UK) government’s ratification. In addition, the NI Act 1998, Section 26(1) provides that “if the Secretary of State considers that any action proposed to be taken by a Minister or NI department would be incompatible with any international obligations… [s]he may by order direct that the proposed action shall be taken”. The NIHRC further recalls that the NI Act 1998, Section 24(1)(a) states that “a Minister or NI department has no power to make, confirm or approve any subordinate legislation, or to do any act, so far as the legislation or act… is incompatible with any of the Convention rights”.</w:t>
      </w:r>
    </w:p>
  </w:footnote>
  <w:footnote w:id="292">
    <w:p w14:paraId="4807A83E" w14:textId="77777777" w:rsidR="00CD7FF5" w:rsidRPr="00601C26" w:rsidRDefault="00CD7FF5" w:rsidP="00E53F38">
      <w:pPr>
        <w:pStyle w:val="NIHRCFootnotes"/>
        <w:rPr>
          <w:color w:val="7030A0"/>
        </w:rPr>
      </w:pPr>
      <w:r w:rsidRPr="00601C26">
        <w:rPr>
          <w:rStyle w:val="FootnoteReference"/>
          <w:color w:val="7030A0"/>
        </w:rPr>
        <w:footnoteRef/>
      </w:r>
      <w:r w:rsidRPr="00601C26">
        <w:rPr>
          <w:color w:val="7030A0"/>
        </w:rPr>
        <w:t xml:space="preserve"> Ratified by the UK in 1951.</w:t>
      </w:r>
    </w:p>
  </w:footnote>
  <w:footnote w:id="293">
    <w:p w14:paraId="68CE3760" w14:textId="77777777" w:rsidR="00CD7FF5" w:rsidRPr="00601C26" w:rsidRDefault="00CD7FF5" w:rsidP="00E53F38">
      <w:pPr>
        <w:pStyle w:val="NIHRCFootnotes"/>
        <w:rPr>
          <w:color w:val="7030A0"/>
        </w:rPr>
      </w:pPr>
      <w:r w:rsidRPr="00601C26">
        <w:rPr>
          <w:rStyle w:val="FootnoteReference"/>
          <w:color w:val="7030A0"/>
        </w:rPr>
        <w:footnoteRef/>
      </w:r>
      <w:r w:rsidRPr="00601C26">
        <w:rPr>
          <w:color w:val="7030A0"/>
        </w:rPr>
        <w:t xml:space="preserve"> Ratified by the UK in 1976.</w:t>
      </w:r>
    </w:p>
  </w:footnote>
  <w:footnote w:id="294">
    <w:p w14:paraId="4A2F4A72" w14:textId="77777777" w:rsidR="00CD7FF5" w:rsidRPr="00601C26" w:rsidRDefault="00CD7FF5" w:rsidP="00E53F38">
      <w:pPr>
        <w:pStyle w:val="NIHRCFootnotes"/>
        <w:rPr>
          <w:color w:val="7030A0"/>
        </w:rPr>
      </w:pPr>
      <w:r w:rsidRPr="00601C26">
        <w:rPr>
          <w:rStyle w:val="FootnoteReference"/>
          <w:color w:val="7030A0"/>
        </w:rPr>
        <w:footnoteRef/>
      </w:r>
      <w:r w:rsidRPr="00601C26">
        <w:rPr>
          <w:color w:val="7030A0"/>
        </w:rPr>
        <w:t xml:space="preserve"> Ratified by the UK in 1969.</w:t>
      </w:r>
    </w:p>
  </w:footnote>
  <w:footnote w:id="295">
    <w:p w14:paraId="3D5C8D31" w14:textId="1099CDC0" w:rsidR="004D2C7D" w:rsidRPr="00601C26" w:rsidRDefault="004D2C7D" w:rsidP="00E53F38">
      <w:pPr>
        <w:pStyle w:val="NIHRCFootnotes"/>
        <w:rPr>
          <w:color w:val="7030A0"/>
        </w:rPr>
      </w:pPr>
      <w:r w:rsidRPr="00601C26">
        <w:rPr>
          <w:rStyle w:val="FootnoteReference"/>
          <w:color w:val="7030A0"/>
        </w:rPr>
        <w:footnoteRef/>
      </w:r>
      <w:r w:rsidRPr="00601C26">
        <w:rPr>
          <w:color w:val="7030A0"/>
        </w:rPr>
        <w:t xml:space="preserve"> Ratified by the UK in </w:t>
      </w:r>
      <w:r w:rsidR="00F42D47" w:rsidRPr="00601C26">
        <w:rPr>
          <w:color w:val="7030A0"/>
        </w:rPr>
        <w:t>1986.</w:t>
      </w:r>
    </w:p>
  </w:footnote>
  <w:footnote w:id="296">
    <w:p w14:paraId="1347D8D3" w14:textId="77777777" w:rsidR="00CD7FF5" w:rsidRPr="00601C26" w:rsidRDefault="00CD7FF5" w:rsidP="00E53F38">
      <w:pPr>
        <w:pStyle w:val="NIHRCFootnotes"/>
        <w:rPr>
          <w:color w:val="7030A0"/>
        </w:rPr>
      </w:pPr>
      <w:r w:rsidRPr="00601C26">
        <w:rPr>
          <w:rStyle w:val="FootnoteReference"/>
          <w:color w:val="7030A0"/>
        </w:rPr>
        <w:footnoteRef/>
      </w:r>
      <w:r w:rsidRPr="00601C26">
        <w:rPr>
          <w:color w:val="7030A0"/>
        </w:rPr>
        <w:t xml:space="preserve"> Ratified by the UK in 1988.</w:t>
      </w:r>
    </w:p>
  </w:footnote>
  <w:footnote w:id="297">
    <w:p w14:paraId="4655CF39" w14:textId="77777777" w:rsidR="00CD7FF5" w:rsidRPr="00601C26" w:rsidRDefault="00CD7FF5" w:rsidP="00E53F38">
      <w:pPr>
        <w:pStyle w:val="NIHRCFootnotes"/>
        <w:rPr>
          <w:color w:val="7030A0"/>
        </w:rPr>
      </w:pPr>
      <w:r w:rsidRPr="00601C26">
        <w:rPr>
          <w:rStyle w:val="FootnoteReference"/>
          <w:color w:val="7030A0"/>
        </w:rPr>
        <w:footnoteRef/>
      </w:r>
      <w:r w:rsidRPr="00601C26">
        <w:rPr>
          <w:color w:val="7030A0"/>
        </w:rPr>
        <w:t xml:space="preserve"> Ratified by the UK in 1991.</w:t>
      </w:r>
    </w:p>
  </w:footnote>
  <w:footnote w:id="298">
    <w:p w14:paraId="23BDBE5A" w14:textId="77777777" w:rsidR="00CD7FF5" w:rsidRPr="00601C26" w:rsidRDefault="00CD7FF5" w:rsidP="00E53F38">
      <w:pPr>
        <w:pStyle w:val="NIHRCFootnotes"/>
        <w:rPr>
          <w:color w:val="7030A0"/>
        </w:rPr>
      </w:pPr>
      <w:r w:rsidRPr="00601C26">
        <w:rPr>
          <w:rStyle w:val="FootnoteReference"/>
          <w:color w:val="7030A0"/>
        </w:rPr>
        <w:footnoteRef/>
      </w:r>
      <w:r w:rsidRPr="00601C26">
        <w:rPr>
          <w:color w:val="7030A0"/>
        </w:rPr>
        <w:t xml:space="preserve"> Ratified by the UK in 2009.</w:t>
      </w:r>
    </w:p>
  </w:footnote>
  <w:footnote w:id="299">
    <w:p w14:paraId="363308EA" w14:textId="77777777" w:rsidR="007E52F8" w:rsidRPr="00601C26" w:rsidRDefault="007E52F8" w:rsidP="00E53F38">
      <w:pPr>
        <w:pStyle w:val="NIHRCFootnotes"/>
        <w:rPr>
          <w:color w:val="7030A0"/>
        </w:rPr>
      </w:pPr>
      <w:r w:rsidRPr="00601C26">
        <w:rPr>
          <w:rStyle w:val="FootnoteReference"/>
          <w:color w:val="7030A0"/>
        </w:rPr>
        <w:footnoteRef/>
      </w:r>
      <w:r w:rsidRPr="00601C26">
        <w:rPr>
          <w:color w:val="7030A0"/>
        </w:rPr>
        <w:t xml:space="preserve"> UN Human Rights Committee, ‘UN Human Rights Committee General Comment No 16: Article 17 (Right to Privacy), The Right to Respect of Privacy, Family, Home and Correspondence, and Protection of Honour and Reputation’, 8 April 1988.</w:t>
      </w:r>
    </w:p>
  </w:footnote>
  <w:footnote w:id="300">
    <w:p w14:paraId="5EE9C37C" w14:textId="77777777" w:rsidR="007E52F8" w:rsidRPr="00601C26" w:rsidRDefault="007E52F8" w:rsidP="00E53F38">
      <w:pPr>
        <w:pStyle w:val="NIHRCFootnotes"/>
        <w:rPr>
          <w:color w:val="7030A0"/>
        </w:rPr>
      </w:pPr>
      <w:r w:rsidRPr="00601C26">
        <w:rPr>
          <w:rStyle w:val="FootnoteReference"/>
          <w:color w:val="7030A0"/>
        </w:rPr>
        <w:footnoteRef/>
      </w:r>
      <w:r w:rsidRPr="00601C26">
        <w:rPr>
          <w:color w:val="7030A0"/>
        </w:rPr>
        <w:t xml:space="preserve"> UN Economic and Social Council, ‘Resolution 1989/65: Principles on the Effective Prevention and Investigation of Extra-legal, Arbitrary and Summary Executions’, 24 May 1989.</w:t>
      </w:r>
    </w:p>
  </w:footnote>
  <w:footnote w:id="301">
    <w:p w14:paraId="48FD5B04" w14:textId="77777777" w:rsidR="007E52F8" w:rsidRPr="00601C26" w:rsidRDefault="007E52F8" w:rsidP="00E53F38">
      <w:pPr>
        <w:pStyle w:val="NIHRCFootnotes"/>
        <w:rPr>
          <w:color w:val="7030A0"/>
        </w:rPr>
      </w:pPr>
      <w:r w:rsidRPr="00601C26">
        <w:rPr>
          <w:rStyle w:val="FootnoteReference"/>
          <w:color w:val="7030A0"/>
        </w:rPr>
        <w:footnoteRef/>
      </w:r>
      <w:r w:rsidRPr="00601C26">
        <w:rPr>
          <w:color w:val="7030A0"/>
        </w:rPr>
        <w:t xml:space="preserve"> A/RES/47/133, ‘Declaration on the Protection of All Persons from Enforced Disappearance’, 18 December 1992.</w:t>
      </w:r>
    </w:p>
  </w:footnote>
  <w:footnote w:id="302">
    <w:p w14:paraId="3A9982AB" w14:textId="77777777" w:rsidR="007E52F8" w:rsidRPr="00601C26" w:rsidRDefault="007E52F8" w:rsidP="00E53F38">
      <w:pPr>
        <w:pStyle w:val="NIHRCFootnotes"/>
        <w:rPr>
          <w:color w:val="7030A0"/>
        </w:rPr>
      </w:pPr>
      <w:r w:rsidRPr="00601C26">
        <w:rPr>
          <w:rStyle w:val="FootnoteReference"/>
          <w:color w:val="7030A0"/>
        </w:rPr>
        <w:footnoteRef/>
      </w:r>
      <w:r w:rsidRPr="00601C26">
        <w:rPr>
          <w:color w:val="7030A0"/>
        </w:rPr>
        <w:t xml:space="preserve"> E/CN.4/2005/102/Add.1, ‘Report of the Independent Expert to Update the Set of Principles to Combat Impunity, Diane </w:t>
      </w:r>
      <w:proofErr w:type="spellStart"/>
      <w:r w:rsidRPr="00601C26">
        <w:rPr>
          <w:color w:val="7030A0"/>
        </w:rPr>
        <w:t>Orentlicher</w:t>
      </w:r>
      <w:proofErr w:type="spellEnd"/>
      <w:r w:rsidRPr="00601C26">
        <w:rPr>
          <w:color w:val="7030A0"/>
        </w:rPr>
        <w:t>’, 8 February 2005.</w:t>
      </w:r>
    </w:p>
  </w:footnote>
  <w:footnote w:id="303">
    <w:p w14:paraId="2E36A846" w14:textId="77777777" w:rsidR="007E52F8" w:rsidRPr="00601C26" w:rsidRDefault="007E52F8" w:rsidP="00E53F38">
      <w:pPr>
        <w:pStyle w:val="NIHRCFootnotes"/>
        <w:rPr>
          <w:color w:val="7030A0"/>
        </w:rPr>
      </w:pPr>
      <w:r w:rsidRPr="00601C26">
        <w:rPr>
          <w:rStyle w:val="FootnoteReference"/>
          <w:color w:val="7030A0"/>
        </w:rPr>
        <w:footnoteRef/>
      </w:r>
      <w:r w:rsidRPr="00601C26">
        <w:rPr>
          <w:color w:val="7030A0"/>
        </w:rPr>
        <w:t xml:space="preserve"> UN General Assembly, ‘Resolution 60/147: Basic Principles and Guidelines on the Right to a Remedy and Reparation for Victims of Gross Violations of International Human Rights Law and Serious Violations of International Humanitarian Law’, 16 December 2005.</w:t>
      </w:r>
    </w:p>
  </w:footnote>
  <w:footnote w:id="304">
    <w:p w14:paraId="01E24A38" w14:textId="77777777" w:rsidR="007E52F8" w:rsidRPr="00601C26" w:rsidRDefault="007E52F8" w:rsidP="00E53F38">
      <w:pPr>
        <w:pStyle w:val="NIHRCFootnotes"/>
        <w:rPr>
          <w:color w:val="7030A0"/>
        </w:rPr>
      </w:pPr>
      <w:r w:rsidRPr="00601C26">
        <w:rPr>
          <w:rStyle w:val="FootnoteReference"/>
          <w:color w:val="7030A0"/>
        </w:rPr>
        <w:footnoteRef/>
      </w:r>
      <w:r w:rsidRPr="00601C26">
        <w:rPr>
          <w:color w:val="7030A0"/>
        </w:rPr>
        <w:t xml:space="preserve"> E/CN.4/2006/91, ‘Study on the Right to the Truth: Report of the Office of the United Nations High Commissioner for Human Rights’, 8 February 2006.</w:t>
      </w:r>
    </w:p>
  </w:footnote>
  <w:footnote w:id="305">
    <w:p w14:paraId="6145F014" w14:textId="77777777" w:rsidR="007E52F8" w:rsidRPr="00601C26" w:rsidRDefault="007E52F8" w:rsidP="00E53F38">
      <w:pPr>
        <w:pStyle w:val="NIHRCFootnotes"/>
        <w:rPr>
          <w:color w:val="7030A0"/>
        </w:rPr>
      </w:pPr>
      <w:r w:rsidRPr="00601C26">
        <w:rPr>
          <w:rStyle w:val="FootnoteReference"/>
          <w:color w:val="7030A0"/>
        </w:rPr>
        <w:footnoteRef/>
      </w:r>
      <w:r w:rsidRPr="00601C26">
        <w:rPr>
          <w:color w:val="7030A0"/>
        </w:rPr>
        <w:t xml:space="preserve"> E/CN.4/2006/53, ‘Report of the UN Special Rapporteur on Extrajudicial Summary or Arbitrary Executions, Philip Alston’, 8 March 2006</w:t>
      </w:r>
    </w:p>
  </w:footnote>
  <w:footnote w:id="306">
    <w:p w14:paraId="53180FC6" w14:textId="77777777" w:rsidR="007E52F8" w:rsidRPr="00601C26" w:rsidRDefault="007E52F8" w:rsidP="00E53F38">
      <w:pPr>
        <w:pStyle w:val="NIHRCFootnotes"/>
        <w:rPr>
          <w:color w:val="7030A0"/>
        </w:rPr>
      </w:pPr>
      <w:r w:rsidRPr="00601C26">
        <w:rPr>
          <w:rStyle w:val="FootnoteReference"/>
          <w:color w:val="7030A0"/>
        </w:rPr>
        <w:footnoteRef/>
      </w:r>
      <w:r w:rsidRPr="00601C26">
        <w:rPr>
          <w:color w:val="7030A0"/>
        </w:rPr>
        <w:t xml:space="preserve"> CAT/C/GC/2, ‘UN CAT Committee General Comment No 2’, 24 January 2008.</w:t>
      </w:r>
    </w:p>
  </w:footnote>
  <w:footnote w:id="307">
    <w:p w14:paraId="5D220DF9" w14:textId="77777777" w:rsidR="007E52F8" w:rsidRPr="00601C26" w:rsidRDefault="007E52F8" w:rsidP="00E53F38">
      <w:pPr>
        <w:pStyle w:val="NIHRCFootnotes"/>
        <w:rPr>
          <w:color w:val="7030A0"/>
        </w:rPr>
      </w:pPr>
      <w:r w:rsidRPr="00601C26">
        <w:rPr>
          <w:rStyle w:val="FootnoteReference"/>
          <w:color w:val="7030A0"/>
        </w:rPr>
        <w:footnoteRef/>
      </w:r>
      <w:r w:rsidRPr="00601C26">
        <w:rPr>
          <w:color w:val="7030A0"/>
        </w:rPr>
        <w:t xml:space="preserve"> UN General Assembly, ‘Guidance Note of the Secretary-General: UN Approach to Transitional Justice’ (UNGA, 2010).</w:t>
      </w:r>
    </w:p>
  </w:footnote>
  <w:footnote w:id="308">
    <w:p w14:paraId="7E7EEAA3" w14:textId="77777777" w:rsidR="007E52F8" w:rsidRPr="00601C26" w:rsidRDefault="007E52F8" w:rsidP="00E53F38">
      <w:pPr>
        <w:pStyle w:val="NIHRCFootnotes"/>
        <w:rPr>
          <w:color w:val="7030A0"/>
        </w:rPr>
      </w:pPr>
      <w:r w:rsidRPr="00601C26">
        <w:rPr>
          <w:rStyle w:val="FootnoteReference"/>
          <w:color w:val="7030A0"/>
        </w:rPr>
        <w:footnoteRef/>
      </w:r>
      <w:r w:rsidRPr="00601C26">
        <w:rPr>
          <w:color w:val="7030A0"/>
        </w:rPr>
        <w:t xml:space="preserve"> A/HRC/21/46, ‘Report of the Special Rapporteur on the Promotion of Truth, Justice, Reparation and Guarantees of Non-recurrence, Pablo de </w:t>
      </w:r>
      <w:proofErr w:type="spellStart"/>
      <w:r w:rsidRPr="00601C26">
        <w:rPr>
          <w:color w:val="7030A0"/>
        </w:rPr>
        <w:t>Greiff</w:t>
      </w:r>
      <w:proofErr w:type="spellEnd"/>
      <w:r w:rsidRPr="00601C26">
        <w:rPr>
          <w:color w:val="7030A0"/>
        </w:rPr>
        <w:t>’, 9 August 2012.</w:t>
      </w:r>
    </w:p>
  </w:footnote>
  <w:footnote w:id="309">
    <w:p w14:paraId="65FC5F9B" w14:textId="77777777" w:rsidR="007E52F8" w:rsidRPr="00601C26" w:rsidRDefault="007E52F8" w:rsidP="00E53F38">
      <w:pPr>
        <w:pStyle w:val="NIHRCFootnotes"/>
        <w:rPr>
          <w:color w:val="7030A0"/>
        </w:rPr>
      </w:pPr>
      <w:r w:rsidRPr="00601C26">
        <w:rPr>
          <w:rStyle w:val="FootnoteReference"/>
          <w:color w:val="7030A0"/>
        </w:rPr>
        <w:footnoteRef/>
      </w:r>
      <w:r w:rsidRPr="00601C26">
        <w:rPr>
          <w:color w:val="7030A0"/>
        </w:rPr>
        <w:t xml:space="preserve"> CAT/C/GC/3, ‘UN Committee against Torture General Comment No 3’, 13 December 2012.</w:t>
      </w:r>
    </w:p>
  </w:footnote>
  <w:footnote w:id="310">
    <w:p w14:paraId="1DECA8D5" w14:textId="77777777" w:rsidR="007E52F8" w:rsidRPr="00601C26" w:rsidRDefault="007E52F8" w:rsidP="00E53F38">
      <w:pPr>
        <w:pStyle w:val="NIHRCFootnotes"/>
        <w:rPr>
          <w:color w:val="7030A0"/>
        </w:rPr>
      </w:pPr>
      <w:r w:rsidRPr="00601C26">
        <w:rPr>
          <w:rStyle w:val="FootnoteReference"/>
          <w:color w:val="7030A0"/>
        </w:rPr>
        <w:footnoteRef/>
      </w:r>
      <w:r w:rsidRPr="00601C26">
        <w:rPr>
          <w:color w:val="7030A0"/>
        </w:rPr>
        <w:t xml:space="preserve"> CRPD/C/GC/2, ‘UN CRPD Committee General Comment No 2: Accessibility’, 22 May 2014</w:t>
      </w:r>
    </w:p>
  </w:footnote>
  <w:footnote w:id="311">
    <w:p w14:paraId="1B15BFF5" w14:textId="77777777" w:rsidR="007E52F8" w:rsidRPr="00601C26" w:rsidRDefault="007E52F8" w:rsidP="00E53F38">
      <w:pPr>
        <w:pStyle w:val="NIHRCFootnotes"/>
        <w:rPr>
          <w:color w:val="7030A0"/>
        </w:rPr>
      </w:pPr>
      <w:r w:rsidRPr="00601C26">
        <w:rPr>
          <w:rStyle w:val="FootnoteReference"/>
          <w:color w:val="7030A0"/>
        </w:rPr>
        <w:footnoteRef/>
      </w:r>
      <w:r w:rsidRPr="00601C26">
        <w:rPr>
          <w:color w:val="7030A0"/>
        </w:rPr>
        <w:t xml:space="preserve"> CCPR/C/GBR/CO/7, ‘UN Human Rights Committee Concluding Observations on the Seventh Periodic Report of the UK of Great Britain and NI’, 17 August 2015</w:t>
      </w:r>
    </w:p>
    <w:p w14:paraId="2C71E5E8" w14:textId="77777777" w:rsidR="007E52F8" w:rsidRPr="00601C26" w:rsidRDefault="007E52F8" w:rsidP="00E53F38">
      <w:pPr>
        <w:pStyle w:val="NIHRCFootnotes"/>
        <w:rPr>
          <w:color w:val="7030A0"/>
        </w:rPr>
      </w:pPr>
    </w:p>
  </w:footnote>
  <w:footnote w:id="312">
    <w:p w14:paraId="288DCF32" w14:textId="77777777" w:rsidR="007E52F8" w:rsidRPr="00601C26" w:rsidRDefault="007E52F8" w:rsidP="00E53F38">
      <w:pPr>
        <w:pStyle w:val="NIHRCFootnotes"/>
        <w:rPr>
          <w:color w:val="7030A0"/>
        </w:rPr>
      </w:pPr>
      <w:r w:rsidRPr="00601C26">
        <w:rPr>
          <w:rStyle w:val="FootnoteReference"/>
          <w:color w:val="7030A0"/>
        </w:rPr>
        <w:footnoteRef/>
      </w:r>
      <w:r w:rsidRPr="00601C26">
        <w:rPr>
          <w:color w:val="7030A0"/>
        </w:rPr>
        <w:t xml:space="preserve"> UN Office of the High Commissioner for Human Rights, ‘The Minnesota Protocol on the Investigation of Potentially Unlawful Death: The Revised UN Manual on the Effective Prevention and Investigation of Extra-legal, Arbitrary and Summary Executions’ (OHCHR, 2016).</w:t>
      </w:r>
    </w:p>
  </w:footnote>
  <w:footnote w:id="313">
    <w:p w14:paraId="635289CD" w14:textId="77777777" w:rsidR="007E52F8" w:rsidRPr="00601C26" w:rsidRDefault="007E52F8" w:rsidP="00E53F38">
      <w:pPr>
        <w:pStyle w:val="NIHRCFootnotes"/>
        <w:rPr>
          <w:color w:val="7030A0"/>
        </w:rPr>
      </w:pPr>
      <w:r w:rsidRPr="00601C26">
        <w:rPr>
          <w:rStyle w:val="FootnoteReference"/>
          <w:color w:val="7030A0"/>
        </w:rPr>
        <w:footnoteRef/>
      </w:r>
      <w:r w:rsidRPr="00601C26">
        <w:rPr>
          <w:color w:val="7030A0"/>
        </w:rPr>
        <w:t xml:space="preserve"> CDL-</w:t>
      </w:r>
      <w:proofErr w:type="gramStart"/>
      <w:r w:rsidRPr="00601C26">
        <w:rPr>
          <w:color w:val="7030A0"/>
        </w:rPr>
        <w:t>AD(</w:t>
      </w:r>
      <w:proofErr w:type="gramEnd"/>
      <w:r w:rsidRPr="00601C26">
        <w:rPr>
          <w:color w:val="7030A0"/>
        </w:rPr>
        <w:t>2016)007rev, ‘</w:t>
      </w:r>
      <w:proofErr w:type="spellStart"/>
      <w:r w:rsidRPr="00601C26">
        <w:rPr>
          <w:color w:val="7030A0"/>
        </w:rPr>
        <w:t>CoE</w:t>
      </w:r>
      <w:proofErr w:type="spellEnd"/>
      <w:r w:rsidRPr="00601C26">
        <w:rPr>
          <w:color w:val="7030A0"/>
        </w:rPr>
        <w:t xml:space="preserve"> European Commission for Democracy Through Law: Rule of Law Checklist’, 18 March 2016.</w:t>
      </w:r>
    </w:p>
  </w:footnote>
  <w:footnote w:id="314">
    <w:p w14:paraId="707D791A" w14:textId="77777777" w:rsidR="007E52F8" w:rsidRPr="00601C26" w:rsidRDefault="007E52F8" w:rsidP="00E53F38">
      <w:pPr>
        <w:pStyle w:val="NIHRCFootnotes"/>
        <w:rPr>
          <w:color w:val="7030A0"/>
        </w:rPr>
      </w:pPr>
      <w:r w:rsidRPr="00601C26">
        <w:rPr>
          <w:rStyle w:val="FootnoteReference"/>
          <w:color w:val="7030A0"/>
        </w:rPr>
        <w:footnoteRef/>
      </w:r>
      <w:r w:rsidRPr="00601C26">
        <w:rPr>
          <w:color w:val="7030A0"/>
        </w:rPr>
        <w:t xml:space="preserve"> ‘</w:t>
      </w:r>
      <w:proofErr w:type="spellStart"/>
      <w:r w:rsidRPr="00601C26">
        <w:rPr>
          <w:color w:val="7030A0"/>
        </w:rPr>
        <w:t>CoE</w:t>
      </w:r>
      <w:proofErr w:type="spellEnd"/>
      <w:r w:rsidRPr="00601C26">
        <w:rPr>
          <w:color w:val="7030A0"/>
        </w:rPr>
        <w:t xml:space="preserve"> Committee of Ministers Item H46-42 </w:t>
      </w:r>
      <w:proofErr w:type="spellStart"/>
      <w:r w:rsidRPr="00601C26">
        <w:rPr>
          <w:color w:val="7030A0"/>
        </w:rPr>
        <w:t>McKerr</w:t>
      </w:r>
      <w:proofErr w:type="spellEnd"/>
      <w:r w:rsidRPr="00601C26">
        <w:rPr>
          <w:color w:val="7030A0"/>
        </w:rPr>
        <w:t xml:space="preserve"> Group v UK (Application No. 28883/95)’, 7-8 June 2016.</w:t>
      </w:r>
    </w:p>
  </w:footnote>
  <w:footnote w:id="315">
    <w:p w14:paraId="189BCF69" w14:textId="77777777" w:rsidR="007E52F8" w:rsidRPr="00601C26" w:rsidRDefault="007E52F8" w:rsidP="00E53F38">
      <w:pPr>
        <w:pStyle w:val="NIHRCFootnotes"/>
        <w:rPr>
          <w:color w:val="7030A0"/>
        </w:rPr>
      </w:pPr>
      <w:r w:rsidRPr="00601C26">
        <w:rPr>
          <w:rStyle w:val="FootnoteReference"/>
          <w:color w:val="7030A0"/>
        </w:rPr>
        <w:footnoteRef/>
      </w:r>
      <w:r w:rsidRPr="00601C26">
        <w:rPr>
          <w:color w:val="7030A0"/>
        </w:rPr>
        <w:t xml:space="preserve"> A/HRC/34/62/Add.1, ‘Report of the UN Special Rapporteur on the Promotion of Truth, Justice, Reparation and Guarantees of Non-recurrence, Pablo de </w:t>
      </w:r>
      <w:proofErr w:type="spellStart"/>
      <w:r w:rsidRPr="00601C26">
        <w:rPr>
          <w:color w:val="7030A0"/>
        </w:rPr>
        <w:t>Greiff</w:t>
      </w:r>
      <w:proofErr w:type="spellEnd"/>
      <w:r w:rsidRPr="00601C26">
        <w:rPr>
          <w:color w:val="7030A0"/>
        </w:rPr>
        <w:t xml:space="preserve"> on his Mission to the UK of Great Britain and NI’, 17 November 2016.</w:t>
      </w:r>
    </w:p>
  </w:footnote>
  <w:footnote w:id="316">
    <w:p w14:paraId="2C70B774" w14:textId="77777777" w:rsidR="007E52F8" w:rsidRPr="00601C26" w:rsidRDefault="007E52F8" w:rsidP="00E53F38">
      <w:pPr>
        <w:pStyle w:val="NIHRCFootnotes"/>
        <w:rPr>
          <w:color w:val="7030A0"/>
        </w:rPr>
      </w:pPr>
      <w:r w:rsidRPr="00601C26">
        <w:rPr>
          <w:rStyle w:val="FootnoteReference"/>
          <w:color w:val="7030A0"/>
        </w:rPr>
        <w:footnoteRef/>
      </w:r>
      <w:r w:rsidRPr="00601C26">
        <w:rPr>
          <w:color w:val="7030A0"/>
        </w:rPr>
        <w:t xml:space="preserve"> CEDAW/C/GC/35, ‘UN CEDAW Committee General Comment No 35: Gender Based Violence Against Women Updating General Comment No 19’, 14 July 2017.</w:t>
      </w:r>
    </w:p>
  </w:footnote>
  <w:footnote w:id="317">
    <w:p w14:paraId="7B3A9B7A" w14:textId="77777777" w:rsidR="007E52F8" w:rsidRPr="00601C26" w:rsidRDefault="007E52F8" w:rsidP="00E53F38">
      <w:pPr>
        <w:pStyle w:val="NIHRCFootnotes"/>
        <w:rPr>
          <w:color w:val="7030A0"/>
        </w:rPr>
      </w:pPr>
      <w:r w:rsidRPr="00601C26">
        <w:rPr>
          <w:rStyle w:val="FootnoteReference"/>
          <w:color w:val="7030A0"/>
        </w:rPr>
        <w:footnoteRef/>
      </w:r>
      <w:r w:rsidRPr="00601C26">
        <w:rPr>
          <w:color w:val="7030A0"/>
        </w:rPr>
        <w:t xml:space="preserve"> CCPR/C/GC/36, ‘UN Human Rights Committee General Comment No 36: Right to Life’, 30 October 2018.</w:t>
      </w:r>
    </w:p>
  </w:footnote>
  <w:footnote w:id="318">
    <w:p w14:paraId="126B9C52" w14:textId="77777777" w:rsidR="007E52F8" w:rsidRPr="00601C26" w:rsidRDefault="007E52F8" w:rsidP="00E53F38">
      <w:pPr>
        <w:pStyle w:val="NIHRCFootnotes"/>
        <w:rPr>
          <w:color w:val="7030A0"/>
        </w:rPr>
      </w:pPr>
      <w:r w:rsidRPr="00601C26">
        <w:rPr>
          <w:rStyle w:val="FootnoteReference"/>
          <w:color w:val="7030A0"/>
        </w:rPr>
        <w:footnoteRef/>
      </w:r>
      <w:r w:rsidRPr="00601C26">
        <w:rPr>
          <w:color w:val="7030A0"/>
        </w:rPr>
        <w:t xml:space="preserve"> CAT/C/GBR/CO/6, ‘UN Committee against Torture Concluding Observations on the Sixth Periodic Report of the UK of Great Britain and NI’, 7 June 2019.</w:t>
      </w:r>
    </w:p>
  </w:footnote>
  <w:footnote w:id="319">
    <w:p w14:paraId="4558B926" w14:textId="77777777" w:rsidR="007E52F8" w:rsidRPr="00601C26" w:rsidRDefault="007E52F8" w:rsidP="00E53F38">
      <w:pPr>
        <w:pStyle w:val="NIHRCFootnotes"/>
        <w:rPr>
          <w:color w:val="7030A0"/>
        </w:rPr>
      </w:pPr>
      <w:r w:rsidRPr="00601C26">
        <w:rPr>
          <w:rStyle w:val="FootnoteReference"/>
          <w:color w:val="7030A0"/>
        </w:rPr>
        <w:footnoteRef/>
      </w:r>
      <w:r w:rsidRPr="00601C26">
        <w:rPr>
          <w:color w:val="7030A0"/>
        </w:rPr>
        <w:t xml:space="preserve"> CM/Notes/1436/H46-35, ‘</w:t>
      </w:r>
      <w:proofErr w:type="spellStart"/>
      <w:r w:rsidRPr="00601C26">
        <w:rPr>
          <w:color w:val="7030A0"/>
        </w:rPr>
        <w:t>CoE</w:t>
      </w:r>
      <w:proofErr w:type="spellEnd"/>
      <w:r w:rsidRPr="00601C26">
        <w:rPr>
          <w:color w:val="7030A0"/>
        </w:rPr>
        <w:t xml:space="preserve"> Committee of Ministers Decision on </w:t>
      </w:r>
      <w:proofErr w:type="spellStart"/>
      <w:r w:rsidRPr="00601C26">
        <w:rPr>
          <w:color w:val="7030A0"/>
        </w:rPr>
        <w:t>McKerr</w:t>
      </w:r>
      <w:proofErr w:type="spellEnd"/>
      <w:r w:rsidRPr="00601C26">
        <w:rPr>
          <w:color w:val="7030A0"/>
        </w:rPr>
        <w:t xml:space="preserve"> Group v UK (Application No 28883/95), 10 June 2022.</w:t>
      </w:r>
    </w:p>
  </w:footnote>
  <w:footnote w:id="320">
    <w:p w14:paraId="71D06F08" w14:textId="5CBB06B4" w:rsidR="00573A2C" w:rsidRPr="00C50565" w:rsidRDefault="00573A2C" w:rsidP="00E53F38">
      <w:pPr>
        <w:pStyle w:val="NIHRCFootnotes"/>
      </w:pPr>
      <w:r w:rsidRPr="00C50565">
        <w:rPr>
          <w:rStyle w:val="FootnoteReference"/>
        </w:rPr>
        <w:footnoteRef/>
      </w:r>
      <w:r w:rsidRPr="00C50565">
        <w:t xml:space="preserve"> Directive 2012/29/EU, ‘Directive of the European Parliament and of the Council </w:t>
      </w:r>
      <w:r w:rsidR="004E0AA3">
        <w:t>E</w:t>
      </w:r>
      <w:r w:rsidRPr="00C50565">
        <w:t xml:space="preserve">stablishing </w:t>
      </w:r>
      <w:r w:rsidR="004E0AA3">
        <w:t>M</w:t>
      </w:r>
      <w:r w:rsidRPr="00C50565">
        <w:t xml:space="preserve">inimum </w:t>
      </w:r>
      <w:r w:rsidR="004E0AA3">
        <w:t>S</w:t>
      </w:r>
      <w:r w:rsidRPr="00C50565">
        <w:t xml:space="preserve">tandards on the </w:t>
      </w:r>
      <w:r w:rsidR="004E0AA3">
        <w:t>R</w:t>
      </w:r>
      <w:r w:rsidRPr="00C50565">
        <w:t xml:space="preserve">ights, </w:t>
      </w:r>
      <w:r w:rsidR="004E0AA3">
        <w:t>S</w:t>
      </w:r>
      <w:r w:rsidRPr="00C50565">
        <w:t xml:space="preserve">upport and </w:t>
      </w:r>
      <w:r w:rsidR="004E0AA3">
        <w:t>P</w:t>
      </w:r>
      <w:r w:rsidRPr="00C50565">
        <w:t xml:space="preserve">rotection of </w:t>
      </w:r>
      <w:r w:rsidR="004E0AA3">
        <w:t>V</w:t>
      </w:r>
      <w:r w:rsidRPr="00C50565">
        <w:t xml:space="preserve">ictims of </w:t>
      </w:r>
      <w:r w:rsidR="004E0AA3">
        <w:t>C</w:t>
      </w:r>
      <w:r w:rsidRPr="00C50565">
        <w:t>rime’, 25 October 2012</w:t>
      </w:r>
      <w:r w:rsidR="004E0AA3">
        <w:t>.</w:t>
      </w:r>
    </w:p>
  </w:footnote>
  <w:footnote w:id="321">
    <w:p w14:paraId="64407985" w14:textId="2B6978E9" w:rsidR="00573A2C" w:rsidRPr="00C50565" w:rsidRDefault="00573A2C" w:rsidP="00E53F38">
      <w:pPr>
        <w:pStyle w:val="NIHRCFootnotes"/>
      </w:pPr>
      <w:r w:rsidRPr="00C50565">
        <w:rPr>
          <w:rStyle w:val="FootnoteReference"/>
        </w:rPr>
        <w:footnoteRef/>
      </w:r>
      <w:r w:rsidRPr="00C50565">
        <w:t xml:space="preserve"> Regulation (EU) 2016/679, ‘Regulation of the European Parliament and of the Council on the </w:t>
      </w:r>
      <w:r w:rsidR="004E0AA3">
        <w:t>P</w:t>
      </w:r>
      <w:r w:rsidRPr="00C50565">
        <w:t xml:space="preserve">rotection of </w:t>
      </w:r>
      <w:r w:rsidR="004E0AA3">
        <w:t>N</w:t>
      </w:r>
      <w:r w:rsidRPr="00C50565">
        <w:t xml:space="preserve">atural </w:t>
      </w:r>
      <w:r w:rsidR="004E0AA3">
        <w:t>P</w:t>
      </w:r>
      <w:r w:rsidRPr="00C50565">
        <w:t xml:space="preserve">ersons </w:t>
      </w:r>
      <w:proofErr w:type="gramStart"/>
      <w:r w:rsidRPr="00C50565">
        <w:t>with regard to</w:t>
      </w:r>
      <w:proofErr w:type="gramEnd"/>
      <w:r w:rsidRPr="00C50565">
        <w:t xml:space="preserve"> the </w:t>
      </w:r>
      <w:r w:rsidR="004E0AA3">
        <w:t>P</w:t>
      </w:r>
      <w:r w:rsidRPr="00C50565">
        <w:t xml:space="preserve">rocessing of </w:t>
      </w:r>
      <w:r w:rsidR="004E0AA3">
        <w:t>P</w:t>
      </w:r>
      <w:r w:rsidRPr="00C50565">
        <w:t xml:space="preserve">ersonal </w:t>
      </w:r>
      <w:r w:rsidR="004E0AA3">
        <w:t>D</w:t>
      </w:r>
      <w:r w:rsidRPr="00C50565">
        <w:t xml:space="preserve">ata on the </w:t>
      </w:r>
      <w:r w:rsidR="004E0AA3">
        <w:t>F</w:t>
      </w:r>
      <w:r w:rsidRPr="00C50565">
        <w:t xml:space="preserve">ree </w:t>
      </w:r>
      <w:r w:rsidR="004E0AA3">
        <w:t>M</w:t>
      </w:r>
      <w:r w:rsidRPr="00C50565">
        <w:t xml:space="preserve">ovement of such </w:t>
      </w:r>
      <w:r w:rsidR="004E0AA3">
        <w:t>D</w:t>
      </w:r>
      <w:r w:rsidRPr="00C50565">
        <w:t xml:space="preserve">ata, and </w:t>
      </w:r>
      <w:r w:rsidR="004E0AA3">
        <w:t>R</w:t>
      </w:r>
      <w:r w:rsidRPr="00C50565">
        <w:t>epealing Directive 95/46/EC’, 27 April 2016.</w:t>
      </w:r>
    </w:p>
  </w:footnote>
  <w:footnote w:id="322">
    <w:p w14:paraId="08BBEED3" w14:textId="77777777" w:rsidR="003A28CB" w:rsidRPr="00601C26" w:rsidRDefault="003A28CB" w:rsidP="00E53F38">
      <w:pPr>
        <w:pStyle w:val="NIHRCFootnotes"/>
        <w:rPr>
          <w:color w:val="7030A0"/>
        </w:rPr>
      </w:pPr>
      <w:r w:rsidRPr="00601C26">
        <w:rPr>
          <w:rStyle w:val="FootnoteReference"/>
          <w:color w:val="7030A0"/>
        </w:rPr>
        <w:footnoteRef/>
      </w:r>
      <w:r w:rsidRPr="00601C26">
        <w:rPr>
          <w:color w:val="7030A0"/>
        </w:rPr>
        <w:t xml:space="preserve"> Belfast (Good Friday) Agreement, 10 April 1998, at Declaration of Support.</w:t>
      </w:r>
    </w:p>
  </w:footnote>
  <w:footnote w:id="323">
    <w:p w14:paraId="2CC5D9BD" w14:textId="7C7CA2BD" w:rsidR="003A28CB" w:rsidRPr="00601C26" w:rsidRDefault="003A28CB" w:rsidP="00E53F38">
      <w:pPr>
        <w:pStyle w:val="NIHRCFootnotes"/>
        <w:rPr>
          <w:color w:val="7030A0"/>
        </w:rPr>
      </w:pPr>
      <w:r w:rsidRPr="00601C26">
        <w:rPr>
          <w:rStyle w:val="FootnoteReference"/>
          <w:color w:val="7030A0"/>
        </w:rPr>
        <w:footnoteRef/>
      </w:r>
      <w:r w:rsidRPr="00601C26">
        <w:rPr>
          <w:color w:val="7030A0"/>
        </w:rPr>
        <w:t xml:space="preserve"> </w:t>
      </w:r>
      <w:r w:rsidR="004E0AA3">
        <w:rPr>
          <w:color w:val="7030A0"/>
        </w:rPr>
        <w:t>Ibid</w:t>
      </w:r>
      <w:r w:rsidRPr="00601C26">
        <w:rPr>
          <w:color w:val="7030A0"/>
        </w:rPr>
        <w:t>, at Declaration of Support.</w:t>
      </w:r>
    </w:p>
  </w:footnote>
  <w:footnote w:id="324">
    <w:p w14:paraId="3D3EED45" w14:textId="6FB187CD" w:rsidR="003A28CB" w:rsidRPr="00601C26" w:rsidRDefault="003A28CB" w:rsidP="00E53F38">
      <w:pPr>
        <w:pStyle w:val="NIHRCFootnotes"/>
        <w:rPr>
          <w:color w:val="7030A0"/>
        </w:rPr>
      </w:pPr>
      <w:r w:rsidRPr="00601C26">
        <w:rPr>
          <w:rStyle w:val="FootnoteReference"/>
          <w:color w:val="7030A0"/>
        </w:rPr>
        <w:footnoteRef/>
      </w:r>
      <w:r w:rsidRPr="00601C26">
        <w:rPr>
          <w:color w:val="7030A0"/>
        </w:rPr>
        <w:t xml:space="preserve"> </w:t>
      </w:r>
      <w:r w:rsidR="004E0AA3">
        <w:rPr>
          <w:color w:val="7030A0"/>
        </w:rPr>
        <w:t>Ibid</w:t>
      </w:r>
      <w:r w:rsidRPr="00601C26">
        <w:rPr>
          <w:color w:val="7030A0"/>
        </w:rPr>
        <w:t>, at UK Legislation.</w:t>
      </w:r>
    </w:p>
  </w:footnote>
  <w:footnote w:id="325">
    <w:p w14:paraId="32214017" w14:textId="77777777" w:rsidR="003A28CB" w:rsidRPr="00601C26" w:rsidRDefault="003A28CB" w:rsidP="00E53F38">
      <w:pPr>
        <w:pStyle w:val="NIHRCFootnotes"/>
        <w:rPr>
          <w:color w:val="7030A0"/>
        </w:rPr>
      </w:pPr>
      <w:r w:rsidRPr="00601C26">
        <w:rPr>
          <w:rStyle w:val="FootnoteReference"/>
          <w:color w:val="7030A0"/>
        </w:rPr>
        <w:footnoteRef/>
      </w:r>
      <w:r w:rsidRPr="00601C26">
        <w:rPr>
          <w:color w:val="7030A0"/>
        </w:rPr>
        <w:t xml:space="preserve"> The Commission for Victims and Survivors (NI) has commented on the compatibility of the NI Troubles (Legacy and Reconciliation) Bill with the wishes and needs of victims of violence. </w:t>
      </w:r>
    </w:p>
  </w:footnote>
  <w:footnote w:id="326">
    <w:p w14:paraId="40A48BE5" w14:textId="77777777" w:rsidR="003A28CB" w:rsidRPr="00601C26" w:rsidRDefault="003A28CB" w:rsidP="00E53F38">
      <w:pPr>
        <w:pStyle w:val="NIHRCFootnotes"/>
        <w:rPr>
          <w:color w:val="7030A0"/>
        </w:rPr>
      </w:pPr>
      <w:r w:rsidRPr="00601C26">
        <w:rPr>
          <w:rStyle w:val="FootnoteReference"/>
          <w:color w:val="7030A0"/>
        </w:rPr>
        <w:footnoteRef/>
      </w:r>
      <w:r w:rsidRPr="00601C26">
        <w:rPr>
          <w:color w:val="7030A0"/>
        </w:rPr>
        <w:t xml:space="preserve"> Section 69(1), NI Act 1998.</w:t>
      </w:r>
    </w:p>
  </w:footnote>
  <w:footnote w:id="327">
    <w:p w14:paraId="1B650BE7" w14:textId="77777777" w:rsidR="00066CEB" w:rsidRPr="00C50565" w:rsidRDefault="00066CEB" w:rsidP="00E53F38">
      <w:pPr>
        <w:pStyle w:val="NIHRCFootnotes"/>
      </w:pPr>
      <w:r w:rsidRPr="00C50565">
        <w:rPr>
          <w:rStyle w:val="FootnoteReference"/>
        </w:rPr>
        <w:footnoteRef/>
      </w:r>
      <w:r w:rsidRPr="00C50565">
        <w:t xml:space="preserve"> UK Government, ‘UK Government commitment to no-diminution of rights, safeguards and equality of opportunity in Northern Ireland’ (NIO, 2020), at 13.</w:t>
      </w:r>
    </w:p>
  </w:footnote>
  <w:footnote w:id="328">
    <w:p w14:paraId="0E865F15" w14:textId="77777777" w:rsidR="00066CEB" w:rsidRPr="00C50565" w:rsidRDefault="00066CEB" w:rsidP="00E53F38">
      <w:pPr>
        <w:pStyle w:val="NIHRCFootnotes"/>
      </w:pPr>
      <w:r w:rsidRPr="00C50565">
        <w:rPr>
          <w:rStyle w:val="FootnoteReference"/>
        </w:rPr>
        <w:footnoteRef/>
      </w:r>
      <w:r w:rsidRPr="00C50565">
        <w:t xml:space="preserve"> Directive 2000/43/EC, ‘EU Council Directive on Implementing the Principle of Equal Treatment between Persons Irrespective of Racial or Ethnic Origin’, 29 June 2000; Directive 2000/78/EC, ‘EU Council Directive on Establishing a General Framework for Equal Treatment in Employment and Occupation’, 27 November 2000; Directive 2004/113/EC, ‘EU Council Directive on Implementing the Principle of Equal Treatment between Men and Women in the access to and supply of goods and Services’, 13 December 2004; Directive 2006/54/EC, ‘EU Council Directive on the Implementation of the Principle of Equal Opportunities and Equal Treatment of Men and Women in Matters of Employment and Occupation’, 5 July 2006; Directive 2010/41/EU, ‘EU Parliament and EU Council Directive on the Application of the Principle of Equal Treatment between Men and Women Engaged in an Activity in a Self-employed Capacity’, 7 July 2010.; Directive 79/7/EEC, ‘EU Council Directive on the Progressive Implementation of the Principle of Equal Treatment for Men and Women in Matters of Social Security’, 19 December 1978.</w:t>
      </w:r>
    </w:p>
  </w:footnote>
  <w:footnote w:id="329">
    <w:p w14:paraId="53FA6B04" w14:textId="73B8ED40" w:rsidR="00066CEB" w:rsidRPr="00C50565" w:rsidRDefault="00066CEB" w:rsidP="00E53F38">
      <w:pPr>
        <w:pStyle w:val="NIHRCFootnotes"/>
      </w:pPr>
      <w:r w:rsidRPr="00C50565">
        <w:rPr>
          <w:rStyle w:val="FootnoteReference"/>
        </w:rPr>
        <w:footnoteRef/>
      </w:r>
      <w:r w:rsidRPr="00C50565">
        <w:t xml:space="preserve"> Belfast (Good Friday) Agreement, 10 April 1998, </w:t>
      </w:r>
      <w:r w:rsidR="00787757">
        <w:t xml:space="preserve">at </w:t>
      </w:r>
      <w:r w:rsidRPr="00C50565">
        <w:t>Part 6 on Rights, Safeguards and Equality of Opportunity.</w:t>
      </w:r>
    </w:p>
  </w:footnote>
  <w:footnote w:id="330">
    <w:p w14:paraId="48E84FBF" w14:textId="77777777" w:rsidR="00066CEB" w:rsidRPr="00C50565" w:rsidRDefault="00066CEB" w:rsidP="00E53F38">
      <w:pPr>
        <w:pStyle w:val="NIHRCFootnotes"/>
      </w:pPr>
      <w:r w:rsidRPr="00C50565">
        <w:rPr>
          <w:rStyle w:val="FootnoteReference"/>
        </w:rPr>
        <w:footnoteRef/>
      </w:r>
      <w:r w:rsidRPr="00C50565">
        <w:t xml:space="preserve"> UK Government, ‘UK Government commitment to no-diminution of rights, safeguards and equality of opportunity in Northern Ireland’ (NIO, 2020), at 13.</w:t>
      </w:r>
    </w:p>
  </w:footnote>
  <w:footnote w:id="331">
    <w:p w14:paraId="0397AC5B" w14:textId="77777777" w:rsidR="003A28CB" w:rsidRPr="00601C26" w:rsidRDefault="003A28CB" w:rsidP="00E53F38">
      <w:pPr>
        <w:pStyle w:val="NIHRCFootnotes"/>
        <w:rPr>
          <w:color w:val="7030A0"/>
        </w:rPr>
      </w:pPr>
      <w:r w:rsidRPr="00601C26">
        <w:rPr>
          <w:rStyle w:val="FootnoteReference"/>
          <w:color w:val="7030A0"/>
        </w:rPr>
        <w:footnoteRef/>
      </w:r>
      <w:r w:rsidRPr="00601C26">
        <w:rPr>
          <w:color w:val="7030A0"/>
        </w:rPr>
        <w:t xml:space="preserve"> Stormont House Agreement, 23 December 2014, at para 21.</w:t>
      </w:r>
    </w:p>
  </w:footnote>
  <w:footnote w:id="332">
    <w:p w14:paraId="6CBBE291" w14:textId="77777777" w:rsidR="003A28CB" w:rsidRPr="00601C26" w:rsidRDefault="003A28CB" w:rsidP="00E53F38">
      <w:pPr>
        <w:pStyle w:val="NIHRCFootnotes"/>
        <w:rPr>
          <w:color w:val="7030A0"/>
        </w:rPr>
      </w:pPr>
      <w:r w:rsidRPr="00601C26">
        <w:rPr>
          <w:rStyle w:val="FootnoteReference"/>
          <w:color w:val="7030A0"/>
        </w:rPr>
        <w:footnoteRef/>
      </w:r>
      <w:r w:rsidRPr="00601C26">
        <w:rPr>
          <w:color w:val="7030A0"/>
        </w:rPr>
        <w:t xml:space="preserve"> UK Government, ‘NI Troubles (Legacy and Reconciliation) Bill: Explanatory Notes’ (UK Gov, 2022), at paras 30-36.</w:t>
      </w:r>
    </w:p>
  </w:footnote>
  <w:footnote w:id="333">
    <w:p w14:paraId="7EEFC7C3" w14:textId="77777777" w:rsidR="003A28CB" w:rsidRPr="00601C26" w:rsidRDefault="003A28CB" w:rsidP="00E53F38">
      <w:pPr>
        <w:pStyle w:val="NIHRCFootnotes"/>
        <w:rPr>
          <w:color w:val="7030A0"/>
        </w:rPr>
      </w:pPr>
      <w:r w:rsidRPr="00601C26">
        <w:rPr>
          <w:rStyle w:val="FootnoteReference"/>
          <w:color w:val="7030A0"/>
        </w:rPr>
        <w:footnoteRef/>
      </w:r>
      <w:r w:rsidRPr="00601C26">
        <w:rPr>
          <w:color w:val="7030A0"/>
        </w:rPr>
        <w:t xml:space="preserve"> ‘A Fresh Start: The Stormont Agreement and Implementation Plan’, 17 November 2015, at 6.</w:t>
      </w:r>
    </w:p>
  </w:footnote>
  <w:footnote w:id="334">
    <w:p w14:paraId="4FCF840B" w14:textId="0463B940" w:rsidR="003A28CB" w:rsidRPr="00601C26" w:rsidRDefault="003A28CB" w:rsidP="00E53F38">
      <w:pPr>
        <w:pStyle w:val="NIHRCFootnotes"/>
        <w:rPr>
          <w:color w:val="7030A0"/>
        </w:rPr>
      </w:pPr>
      <w:r w:rsidRPr="00601C26">
        <w:rPr>
          <w:rStyle w:val="FootnoteReference"/>
          <w:color w:val="7030A0"/>
        </w:rPr>
        <w:footnoteRef/>
      </w:r>
      <w:r w:rsidRPr="00601C26">
        <w:rPr>
          <w:color w:val="7030A0"/>
        </w:rPr>
        <w:t xml:space="preserve"> </w:t>
      </w:r>
      <w:r w:rsidR="0020627E">
        <w:rPr>
          <w:color w:val="7030A0"/>
        </w:rPr>
        <w:t>Ibid</w:t>
      </w:r>
      <w:r w:rsidRPr="00601C26">
        <w:rPr>
          <w:color w:val="7030A0"/>
        </w:rPr>
        <w:t>, at 8.</w:t>
      </w:r>
    </w:p>
  </w:footnote>
  <w:footnote w:id="335">
    <w:p w14:paraId="67096BBE" w14:textId="228764FB" w:rsidR="003A28CB" w:rsidRPr="00601C26" w:rsidRDefault="003A28CB" w:rsidP="00E53F38">
      <w:pPr>
        <w:pStyle w:val="NIHRCFootnotes"/>
        <w:rPr>
          <w:color w:val="7030A0"/>
        </w:rPr>
      </w:pPr>
      <w:r w:rsidRPr="00601C26">
        <w:rPr>
          <w:rStyle w:val="FootnoteReference"/>
          <w:color w:val="7030A0"/>
        </w:rPr>
        <w:footnoteRef/>
      </w:r>
      <w:r w:rsidRPr="00601C26">
        <w:rPr>
          <w:color w:val="7030A0"/>
        </w:rPr>
        <w:t xml:space="preserve"> </w:t>
      </w:r>
      <w:r w:rsidR="0020627E">
        <w:rPr>
          <w:color w:val="7030A0"/>
        </w:rPr>
        <w:t>Ibid</w:t>
      </w:r>
      <w:r w:rsidRPr="00601C26">
        <w:rPr>
          <w:color w:val="7030A0"/>
        </w:rPr>
        <w:t>.</w:t>
      </w:r>
    </w:p>
  </w:footnote>
  <w:footnote w:id="336">
    <w:p w14:paraId="6F773861" w14:textId="66B4AFBE" w:rsidR="003A28CB" w:rsidRPr="00601C26" w:rsidRDefault="003A28CB" w:rsidP="00E53F38">
      <w:pPr>
        <w:pStyle w:val="NIHRCFootnotes"/>
        <w:rPr>
          <w:color w:val="7030A0"/>
        </w:rPr>
      </w:pPr>
      <w:r w:rsidRPr="00601C26">
        <w:rPr>
          <w:rStyle w:val="FootnoteReference"/>
          <w:color w:val="7030A0"/>
        </w:rPr>
        <w:footnoteRef/>
      </w:r>
      <w:r w:rsidRPr="00601C26">
        <w:rPr>
          <w:color w:val="7030A0"/>
        </w:rPr>
        <w:t xml:space="preserve"> </w:t>
      </w:r>
      <w:r w:rsidR="0020627E">
        <w:rPr>
          <w:color w:val="7030A0"/>
        </w:rPr>
        <w:t>Ibid</w:t>
      </w:r>
      <w:r w:rsidRPr="00601C26">
        <w:rPr>
          <w:color w:val="7030A0"/>
        </w:rPr>
        <w:t>, at 11.</w:t>
      </w:r>
    </w:p>
  </w:footnote>
  <w:footnote w:id="337">
    <w:p w14:paraId="368EFE6E" w14:textId="77777777" w:rsidR="003A28CB" w:rsidRPr="00601C26" w:rsidRDefault="003A28CB" w:rsidP="00E53F38">
      <w:pPr>
        <w:pStyle w:val="NIHRCFootnotes"/>
        <w:rPr>
          <w:color w:val="7030A0"/>
        </w:rPr>
      </w:pPr>
      <w:r w:rsidRPr="00601C26">
        <w:rPr>
          <w:rStyle w:val="FootnoteReference"/>
          <w:color w:val="7030A0"/>
        </w:rPr>
        <w:footnoteRef/>
      </w:r>
      <w:r w:rsidRPr="00601C26">
        <w:rPr>
          <w:color w:val="7030A0"/>
        </w:rPr>
        <w:t xml:space="preserve"> NI Office, ‘Addressing the Legacy of NI’s Past: Analysis of the Consultation Responses’ (NIO, 2019), at 4.</w:t>
      </w:r>
    </w:p>
  </w:footnote>
  <w:footnote w:id="338">
    <w:p w14:paraId="26C38A1E" w14:textId="77777777" w:rsidR="003A28CB" w:rsidRPr="00601C26" w:rsidRDefault="003A28CB" w:rsidP="00E53F38">
      <w:pPr>
        <w:pStyle w:val="NIHRCFootnotes"/>
        <w:rPr>
          <w:color w:val="7030A0"/>
        </w:rPr>
      </w:pPr>
      <w:r w:rsidRPr="00601C26">
        <w:rPr>
          <w:rStyle w:val="FootnoteReference"/>
          <w:color w:val="7030A0"/>
        </w:rPr>
        <w:footnoteRef/>
      </w:r>
      <w:r w:rsidRPr="00601C26">
        <w:rPr>
          <w:color w:val="7030A0"/>
        </w:rPr>
        <w:t xml:space="preserve"> NI Office, ‘Addressing the Legacy of NI’s Past: Consultation Paper’ (NIO, 2018), at 4.</w:t>
      </w:r>
    </w:p>
  </w:footnote>
  <w:footnote w:id="339">
    <w:p w14:paraId="369677AB" w14:textId="4E6BDD8E" w:rsidR="003A28CB" w:rsidRPr="00601C26" w:rsidRDefault="003A28CB" w:rsidP="00E53F38">
      <w:pPr>
        <w:pStyle w:val="NIHRCFootnotes"/>
        <w:rPr>
          <w:color w:val="7030A0"/>
        </w:rPr>
      </w:pPr>
      <w:r w:rsidRPr="00601C26">
        <w:rPr>
          <w:rStyle w:val="FootnoteReference"/>
          <w:color w:val="7030A0"/>
        </w:rPr>
        <w:footnoteRef/>
      </w:r>
      <w:r w:rsidRPr="00601C26">
        <w:rPr>
          <w:color w:val="7030A0"/>
        </w:rPr>
        <w:t xml:space="preserve"> </w:t>
      </w:r>
      <w:r w:rsidR="0020627E">
        <w:rPr>
          <w:color w:val="7030A0"/>
        </w:rPr>
        <w:t>Ibid</w:t>
      </w:r>
      <w:r w:rsidRPr="00601C26">
        <w:rPr>
          <w:color w:val="7030A0"/>
        </w:rPr>
        <w:t>.</w:t>
      </w:r>
    </w:p>
  </w:footnote>
  <w:footnote w:id="340">
    <w:p w14:paraId="45799BA2" w14:textId="77777777" w:rsidR="003A28CB" w:rsidRPr="00601C26" w:rsidRDefault="003A28CB" w:rsidP="00E53F38">
      <w:pPr>
        <w:pStyle w:val="NIHRCFootnotes"/>
        <w:rPr>
          <w:color w:val="7030A0"/>
        </w:rPr>
      </w:pPr>
      <w:r w:rsidRPr="00601C26">
        <w:rPr>
          <w:rStyle w:val="FootnoteReference"/>
          <w:color w:val="7030A0"/>
        </w:rPr>
        <w:footnoteRef/>
      </w:r>
      <w:r w:rsidRPr="00601C26">
        <w:rPr>
          <w:color w:val="7030A0"/>
        </w:rPr>
        <w:t xml:space="preserve"> NI Human Rights Commission, ‘Submission to NI Office’s Consultation on Addressing the Legacy of Northern Ireland’s Past’ (NIHRC, 2018).</w:t>
      </w:r>
    </w:p>
  </w:footnote>
  <w:footnote w:id="341">
    <w:p w14:paraId="65547EC0" w14:textId="77777777" w:rsidR="003A28CB" w:rsidRPr="00601C26" w:rsidRDefault="003A28CB" w:rsidP="00E53F38">
      <w:pPr>
        <w:pStyle w:val="NIHRCFootnotes"/>
        <w:rPr>
          <w:color w:val="7030A0"/>
        </w:rPr>
      </w:pPr>
      <w:r w:rsidRPr="00601C26">
        <w:rPr>
          <w:rStyle w:val="FootnoteReference"/>
          <w:color w:val="7030A0"/>
        </w:rPr>
        <w:footnoteRef/>
      </w:r>
      <w:r w:rsidRPr="00601C26">
        <w:rPr>
          <w:color w:val="7030A0"/>
        </w:rPr>
        <w:t xml:space="preserve"> NI Office, ‘Addressing the Legacy of NI’s Past: Analysis of the Consultation Responses’ (NIO, 2019), at 3.</w:t>
      </w:r>
    </w:p>
  </w:footnote>
  <w:footnote w:id="342">
    <w:p w14:paraId="758F70FA" w14:textId="5BBECE81" w:rsidR="003A28CB" w:rsidRPr="00601C26" w:rsidRDefault="003A28CB" w:rsidP="00E53F38">
      <w:pPr>
        <w:pStyle w:val="NIHRCFootnotes"/>
        <w:rPr>
          <w:color w:val="7030A0"/>
        </w:rPr>
      </w:pPr>
      <w:r w:rsidRPr="00601C26">
        <w:rPr>
          <w:rStyle w:val="FootnoteReference"/>
          <w:color w:val="7030A0"/>
        </w:rPr>
        <w:footnoteRef/>
      </w:r>
      <w:r w:rsidRPr="00601C26">
        <w:rPr>
          <w:color w:val="7030A0"/>
        </w:rPr>
        <w:t xml:space="preserve"> </w:t>
      </w:r>
      <w:r w:rsidR="004B3F5B">
        <w:rPr>
          <w:color w:val="7030A0"/>
        </w:rPr>
        <w:t xml:space="preserve">Ibid, </w:t>
      </w:r>
      <w:r w:rsidRPr="00601C26">
        <w:rPr>
          <w:color w:val="7030A0"/>
        </w:rPr>
        <w:t>at 4.</w:t>
      </w:r>
    </w:p>
  </w:footnote>
  <w:footnote w:id="343">
    <w:p w14:paraId="1AEE0FDF" w14:textId="71AC3943" w:rsidR="003A28CB" w:rsidRPr="00601C26" w:rsidRDefault="003A28CB" w:rsidP="00E53F38">
      <w:pPr>
        <w:pStyle w:val="NIHRCFootnotes"/>
        <w:rPr>
          <w:color w:val="7030A0"/>
        </w:rPr>
      </w:pPr>
      <w:r w:rsidRPr="00601C26">
        <w:rPr>
          <w:rStyle w:val="FootnoteReference"/>
          <w:color w:val="7030A0"/>
        </w:rPr>
        <w:footnoteRef/>
      </w:r>
      <w:r w:rsidRPr="00601C26">
        <w:rPr>
          <w:color w:val="7030A0"/>
        </w:rPr>
        <w:t xml:space="preserve"> </w:t>
      </w:r>
      <w:r w:rsidR="004B3F5B">
        <w:rPr>
          <w:color w:val="7030A0"/>
        </w:rPr>
        <w:t>Ibid,</w:t>
      </w:r>
      <w:r w:rsidRPr="00601C26">
        <w:rPr>
          <w:color w:val="7030A0"/>
        </w:rPr>
        <w:t xml:space="preserve"> at 6.</w:t>
      </w:r>
    </w:p>
  </w:footnote>
  <w:footnote w:id="344">
    <w:p w14:paraId="39E3AAF7" w14:textId="31CB5859" w:rsidR="003A28CB" w:rsidRPr="00601C26" w:rsidRDefault="003A28CB" w:rsidP="00E53F38">
      <w:pPr>
        <w:pStyle w:val="NIHRCFootnotes"/>
        <w:rPr>
          <w:color w:val="7030A0"/>
        </w:rPr>
      </w:pPr>
      <w:r w:rsidRPr="00601C26">
        <w:rPr>
          <w:rStyle w:val="FootnoteReference"/>
          <w:color w:val="7030A0"/>
        </w:rPr>
        <w:footnoteRef/>
      </w:r>
      <w:r w:rsidRPr="00601C26">
        <w:rPr>
          <w:color w:val="7030A0"/>
        </w:rPr>
        <w:t xml:space="preserve"> </w:t>
      </w:r>
      <w:r w:rsidR="004B3F5B">
        <w:rPr>
          <w:color w:val="7030A0"/>
        </w:rPr>
        <w:t>Ibid,</w:t>
      </w:r>
      <w:r w:rsidRPr="00601C26">
        <w:rPr>
          <w:color w:val="7030A0"/>
        </w:rPr>
        <w:t xml:space="preserve"> at 7.</w:t>
      </w:r>
    </w:p>
  </w:footnote>
  <w:footnote w:id="345">
    <w:p w14:paraId="3EB2B3D8" w14:textId="77777777" w:rsidR="003A28CB" w:rsidRPr="00601C26" w:rsidRDefault="003A28CB" w:rsidP="00E53F38">
      <w:pPr>
        <w:pStyle w:val="NIHRCFootnotes"/>
        <w:rPr>
          <w:color w:val="7030A0"/>
        </w:rPr>
      </w:pPr>
      <w:r w:rsidRPr="00601C26">
        <w:rPr>
          <w:rStyle w:val="FootnoteReference"/>
          <w:color w:val="7030A0"/>
        </w:rPr>
        <w:footnoteRef/>
      </w:r>
      <w:r w:rsidRPr="00601C26">
        <w:rPr>
          <w:color w:val="7030A0"/>
        </w:rPr>
        <w:t xml:space="preserve"> NI Office, ‘New Decade, New Approach’ (NIO, 2020), at Part 2, para 20.</w:t>
      </w:r>
    </w:p>
  </w:footnote>
  <w:footnote w:id="346">
    <w:p w14:paraId="68AA400E" w14:textId="780DBE2B" w:rsidR="003A28CB" w:rsidRPr="00601C26" w:rsidRDefault="003A28CB" w:rsidP="00E53F38">
      <w:pPr>
        <w:pStyle w:val="NIHRCFootnotes"/>
        <w:rPr>
          <w:color w:val="7030A0"/>
        </w:rPr>
      </w:pPr>
      <w:r w:rsidRPr="00601C26">
        <w:rPr>
          <w:rStyle w:val="FootnoteReference"/>
          <w:color w:val="7030A0"/>
        </w:rPr>
        <w:footnoteRef/>
      </w:r>
      <w:r w:rsidRPr="00601C26">
        <w:rPr>
          <w:color w:val="7030A0"/>
        </w:rPr>
        <w:t xml:space="preserve"> </w:t>
      </w:r>
      <w:r w:rsidR="004B3F5B">
        <w:rPr>
          <w:color w:val="7030A0"/>
        </w:rPr>
        <w:t>Ibid</w:t>
      </w:r>
      <w:r w:rsidRPr="00601C26">
        <w:rPr>
          <w:color w:val="7030A0"/>
        </w:rPr>
        <w:t>, at Part 2, para 24.</w:t>
      </w:r>
    </w:p>
  </w:footnote>
  <w:footnote w:id="347">
    <w:p w14:paraId="66684A13" w14:textId="256CE222" w:rsidR="003A28CB" w:rsidRPr="00601C26" w:rsidRDefault="003A28CB" w:rsidP="00E53F38">
      <w:pPr>
        <w:pStyle w:val="NIHRCFootnotes"/>
        <w:rPr>
          <w:color w:val="7030A0"/>
        </w:rPr>
      </w:pPr>
      <w:r w:rsidRPr="00601C26">
        <w:rPr>
          <w:rStyle w:val="FootnoteReference"/>
          <w:color w:val="7030A0"/>
        </w:rPr>
        <w:footnoteRef/>
      </w:r>
      <w:r w:rsidRPr="00601C26">
        <w:rPr>
          <w:color w:val="7030A0"/>
        </w:rPr>
        <w:t xml:space="preserve"> </w:t>
      </w:r>
      <w:r w:rsidR="004B3F5B">
        <w:rPr>
          <w:color w:val="7030A0"/>
        </w:rPr>
        <w:t>Ibid</w:t>
      </w:r>
      <w:r w:rsidRPr="00601C26">
        <w:rPr>
          <w:color w:val="7030A0"/>
        </w:rPr>
        <w:t>, at Annex A, para 16.</w:t>
      </w:r>
    </w:p>
  </w:footnote>
  <w:footnote w:id="348">
    <w:p w14:paraId="49EEB7CF" w14:textId="067EB48D" w:rsidR="003A28CB" w:rsidRPr="00601C26" w:rsidRDefault="003A28CB" w:rsidP="00E53F38">
      <w:pPr>
        <w:pStyle w:val="NIHRCFootnotes"/>
        <w:rPr>
          <w:color w:val="7030A0"/>
        </w:rPr>
      </w:pPr>
      <w:r w:rsidRPr="00601C26">
        <w:rPr>
          <w:rStyle w:val="FootnoteReference"/>
          <w:color w:val="7030A0"/>
        </w:rPr>
        <w:footnoteRef/>
      </w:r>
      <w:r w:rsidR="004B3F5B">
        <w:rPr>
          <w:color w:val="7030A0"/>
        </w:rPr>
        <w:t xml:space="preserve"> Ibid</w:t>
      </w:r>
      <w:r w:rsidRPr="00601C26">
        <w:rPr>
          <w:color w:val="7030A0"/>
        </w:rPr>
        <w:t>, at Annex A.</w:t>
      </w:r>
    </w:p>
  </w:footnote>
  <w:footnote w:id="349">
    <w:p w14:paraId="660E522B" w14:textId="05DAF85F" w:rsidR="003A28CB" w:rsidRPr="00601C26" w:rsidRDefault="003A28CB" w:rsidP="00E53F38">
      <w:pPr>
        <w:pStyle w:val="NIHRCFootnotes"/>
        <w:rPr>
          <w:color w:val="7030A0"/>
        </w:rPr>
      </w:pPr>
      <w:r w:rsidRPr="00601C26">
        <w:rPr>
          <w:rStyle w:val="FootnoteReference"/>
          <w:color w:val="7030A0"/>
        </w:rPr>
        <w:footnoteRef/>
      </w:r>
      <w:r w:rsidRPr="00601C26">
        <w:rPr>
          <w:color w:val="7030A0"/>
        </w:rPr>
        <w:t xml:space="preserve"> </w:t>
      </w:r>
      <w:r w:rsidR="004B3F5B">
        <w:rPr>
          <w:color w:val="7030A0"/>
        </w:rPr>
        <w:t>Ibid</w:t>
      </w:r>
      <w:r w:rsidRPr="00601C26">
        <w:rPr>
          <w:color w:val="7030A0"/>
        </w:rPr>
        <w:t>, at Annex B.</w:t>
      </w:r>
    </w:p>
  </w:footnote>
  <w:footnote w:id="350">
    <w:p w14:paraId="4E7330E2" w14:textId="64244680" w:rsidR="003A28CB" w:rsidRPr="00601C26" w:rsidRDefault="003A28CB" w:rsidP="00E53F38">
      <w:pPr>
        <w:pStyle w:val="NIHRCFootnotes"/>
        <w:rPr>
          <w:color w:val="7030A0"/>
        </w:rPr>
      </w:pPr>
      <w:r w:rsidRPr="00601C26">
        <w:rPr>
          <w:rStyle w:val="FootnoteReference"/>
          <w:color w:val="7030A0"/>
        </w:rPr>
        <w:footnoteRef/>
      </w:r>
      <w:r w:rsidRPr="00601C26">
        <w:rPr>
          <w:color w:val="7030A0"/>
        </w:rPr>
        <w:t xml:space="preserve"> </w:t>
      </w:r>
      <w:r w:rsidR="004B3F5B">
        <w:rPr>
          <w:color w:val="7030A0"/>
        </w:rPr>
        <w:t>Ibid</w:t>
      </w:r>
      <w:r w:rsidRPr="00601C26">
        <w:rPr>
          <w:color w:val="7030A0"/>
        </w:rPr>
        <w:t>, at Annex A, paras 18-21.</w:t>
      </w:r>
    </w:p>
  </w:footnote>
  <w:footnote w:id="351">
    <w:p w14:paraId="34273235" w14:textId="77777777" w:rsidR="003A28CB" w:rsidRPr="00601C26" w:rsidRDefault="003A28CB" w:rsidP="00E53F38">
      <w:pPr>
        <w:pStyle w:val="NIHRCFootnotes"/>
        <w:rPr>
          <w:color w:val="7030A0"/>
        </w:rPr>
      </w:pPr>
      <w:r w:rsidRPr="00601C26">
        <w:rPr>
          <w:rStyle w:val="FootnoteReference"/>
          <w:color w:val="7030A0"/>
        </w:rPr>
        <w:footnoteRef/>
      </w:r>
      <w:r w:rsidRPr="00601C26">
        <w:rPr>
          <w:color w:val="7030A0"/>
        </w:rPr>
        <w:t xml:space="preserve"> NI Office, ‘Press Release: UK Government sets out way forward on the legacy of the past in NI’, 18 March 2020.</w:t>
      </w:r>
    </w:p>
  </w:footnote>
  <w:footnote w:id="352">
    <w:p w14:paraId="5EBDE881" w14:textId="633E834A" w:rsidR="003A28CB" w:rsidRPr="00601C26" w:rsidRDefault="003A28CB" w:rsidP="00E53F38">
      <w:pPr>
        <w:pStyle w:val="NIHRCFootnotes"/>
        <w:rPr>
          <w:color w:val="7030A0"/>
        </w:rPr>
      </w:pPr>
      <w:r w:rsidRPr="00601C26">
        <w:rPr>
          <w:rStyle w:val="FootnoteReference"/>
          <w:color w:val="7030A0"/>
        </w:rPr>
        <w:footnoteRef/>
      </w:r>
      <w:r w:rsidRPr="00601C26">
        <w:rPr>
          <w:color w:val="7030A0"/>
        </w:rPr>
        <w:t xml:space="preserve"> </w:t>
      </w:r>
      <w:r w:rsidR="00816502">
        <w:rPr>
          <w:color w:val="7030A0"/>
        </w:rPr>
        <w:t>Ibid</w:t>
      </w:r>
      <w:r w:rsidRPr="00601C26">
        <w:rPr>
          <w:color w:val="7030A0"/>
        </w:rPr>
        <w:t>.</w:t>
      </w:r>
    </w:p>
  </w:footnote>
  <w:footnote w:id="353">
    <w:p w14:paraId="368D811E" w14:textId="77777777" w:rsidR="003A28CB" w:rsidRPr="00601C26" w:rsidRDefault="003A28CB" w:rsidP="00E53F38">
      <w:pPr>
        <w:pStyle w:val="NIHRCFootnotes"/>
        <w:rPr>
          <w:color w:val="7030A0"/>
        </w:rPr>
      </w:pPr>
      <w:r w:rsidRPr="00601C26">
        <w:rPr>
          <w:rStyle w:val="FootnoteReference"/>
          <w:color w:val="7030A0"/>
        </w:rPr>
        <w:footnoteRef/>
      </w:r>
      <w:r w:rsidRPr="00601C26">
        <w:rPr>
          <w:color w:val="7030A0"/>
        </w:rPr>
        <w:t xml:space="preserve"> UK Government, ‘Queen’s Speech 2021’, 11 May 2021.</w:t>
      </w:r>
    </w:p>
  </w:footnote>
  <w:footnote w:id="354">
    <w:p w14:paraId="6D9F3715" w14:textId="77777777" w:rsidR="003A28CB" w:rsidRPr="00601C26" w:rsidRDefault="003A28CB" w:rsidP="00E53F38">
      <w:pPr>
        <w:pStyle w:val="NIHRCFootnotes"/>
        <w:rPr>
          <w:color w:val="7030A0"/>
        </w:rPr>
      </w:pPr>
      <w:r w:rsidRPr="00601C26">
        <w:rPr>
          <w:rStyle w:val="FootnoteReference"/>
          <w:color w:val="7030A0"/>
        </w:rPr>
        <w:footnoteRef/>
      </w:r>
      <w:r w:rsidRPr="00601C26">
        <w:rPr>
          <w:color w:val="7030A0"/>
        </w:rPr>
        <w:t xml:space="preserve"> Secretary of State for NI, ‘Command Paper: Addressing the Legacy of NI’s Past’ (UK Gov, 2021), at 6.</w:t>
      </w:r>
    </w:p>
  </w:footnote>
  <w:footnote w:id="355">
    <w:p w14:paraId="10112302" w14:textId="77777777" w:rsidR="003A28CB" w:rsidRPr="00601C26" w:rsidRDefault="003A28CB" w:rsidP="00E53F38">
      <w:pPr>
        <w:pStyle w:val="NIHRCFootnotes"/>
        <w:rPr>
          <w:color w:val="7030A0"/>
        </w:rPr>
      </w:pPr>
      <w:r w:rsidRPr="00601C26">
        <w:rPr>
          <w:rStyle w:val="FootnoteReference"/>
          <w:color w:val="7030A0"/>
        </w:rPr>
        <w:footnoteRef/>
      </w:r>
      <w:r w:rsidRPr="00601C26">
        <w:rPr>
          <w:color w:val="7030A0"/>
        </w:rPr>
        <w:t xml:space="preserve"> Joanna Dawson et al, ‘NI Troubles (Legacy and Reconciliation) Bill 2022-2023’ (</w:t>
      </w:r>
      <w:proofErr w:type="spellStart"/>
      <w:r w:rsidRPr="00601C26">
        <w:rPr>
          <w:color w:val="7030A0"/>
        </w:rPr>
        <w:t>HoC</w:t>
      </w:r>
      <w:proofErr w:type="spellEnd"/>
      <w:r w:rsidRPr="00601C26">
        <w:rPr>
          <w:color w:val="7030A0"/>
        </w:rPr>
        <w:t>, 2022), at 6.</w:t>
      </w:r>
    </w:p>
  </w:footnote>
  <w:footnote w:id="356">
    <w:p w14:paraId="7C78B94C" w14:textId="28142EC1" w:rsidR="003A28CB" w:rsidRPr="00601C26" w:rsidRDefault="003A28CB" w:rsidP="00E53F38">
      <w:pPr>
        <w:pStyle w:val="NIHRCFootnotes"/>
        <w:rPr>
          <w:color w:val="7030A0"/>
        </w:rPr>
      </w:pPr>
      <w:r w:rsidRPr="00601C26">
        <w:rPr>
          <w:rStyle w:val="FootnoteReference"/>
          <w:color w:val="7030A0"/>
        </w:rPr>
        <w:footnoteRef/>
      </w:r>
      <w:r w:rsidRPr="00601C26">
        <w:rPr>
          <w:color w:val="7030A0"/>
        </w:rPr>
        <w:t xml:space="preserve"> </w:t>
      </w:r>
      <w:r w:rsidR="00816502">
        <w:rPr>
          <w:color w:val="7030A0"/>
        </w:rPr>
        <w:t>Ibid</w:t>
      </w:r>
      <w:r w:rsidRPr="00601C26">
        <w:rPr>
          <w:color w:val="7030A0"/>
        </w:rPr>
        <w:t>.</w:t>
      </w:r>
    </w:p>
  </w:footnote>
  <w:footnote w:id="357">
    <w:p w14:paraId="3E6993F1" w14:textId="77777777" w:rsidR="003A28CB" w:rsidRPr="00601C26" w:rsidRDefault="003A28CB" w:rsidP="00E53F38">
      <w:pPr>
        <w:pStyle w:val="NIHRCFootnotes"/>
        <w:rPr>
          <w:color w:val="7030A0"/>
        </w:rPr>
      </w:pPr>
      <w:r w:rsidRPr="00601C26">
        <w:rPr>
          <w:rStyle w:val="FootnoteReference"/>
          <w:color w:val="7030A0"/>
        </w:rPr>
        <w:footnoteRef/>
      </w:r>
      <w:r w:rsidRPr="00601C26">
        <w:rPr>
          <w:color w:val="7030A0"/>
        </w:rPr>
        <w:t xml:space="preserve"> NI Office, ‘Equality Impact Assessment: Proposals for Addressing the Legacy of NI’s Past’ (NIO, 2022), at para 2. </w:t>
      </w:r>
    </w:p>
  </w:footnote>
  <w:footnote w:id="358">
    <w:p w14:paraId="735D5DCA" w14:textId="77777777" w:rsidR="003A28CB" w:rsidRPr="00601C26" w:rsidRDefault="003A28CB" w:rsidP="00E53F38">
      <w:pPr>
        <w:pStyle w:val="NIHRCFootnotes"/>
        <w:rPr>
          <w:color w:val="7030A0"/>
        </w:rPr>
      </w:pPr>
      <w:r w:rsidRPr="00601C26">
        <w:rPr>
          <w:rStyle w:val="FootnoteReference"/>
          <w:color w:val="7030A0"/>
        </w:rPr>
        <w:footnoteRef/>
      </w:r>
      <w:r w:rsidRPr="00601C26">
        <w:rPr>
          <w:color w:val="7030A0"/>
        </w:rPr>
        <w:t xml:space="preserve"> NI Office, ‘Equality Impact Assessment: Proposals for Addressing the Legacy of NI’s Past’ (NIO, 2022), at para 5.</w:t>
      </w:r>
    </w:p>
  </w:footnote>
  <w:footnote w:id="359">
    <w:p w14:paraId="5FE3F508" w14:textId="77777777" w:rsidR="003A28CB" w:rsidRPr="00601C26" w:rsidRDefault="003A28CB" w:rsidP="00E53F38">
      <w:pPr>
        <w:pStyle w:val="NIHRCFootnotes"/>
        <w:rPr>
          <w:color w:val="7030A0"/>
        </w:rPr>
      </w:pPr>
      <w:r w:rsidRPr="00601C26">
        <w:rPr>
          <w:rStyle w:val="FootnoteReference"/>
          <w:color w:val="7030A0"/>
        </w:rPr>
        <w:footnoteRef/>
      </w:r>
      <w:r w:rsidRPr="00601C26">
        <w:rPr>
          <w:color w:val="7030A0"/>
        </w:rPr>
        <w:t xml:space="preserve"> NI Office, ‘NI Troubles (Legacy and Reconciliation) Bill: Second Reading Opening Speech by Secretary of State for NI, Brandon Lewis MP’, 24 May 2022.</w:t>
      </w:r>
    </w:p>
  </w:footnote>
  <w:footnote w:id="360">
    <w:p w14:paraId="473C2E6A" w14:textId="14C4FF30" w:rsidR="003A28CB" w:rsidRPr="00601C26" w:rsidRDefault="003A28CB" w:rsidP="00E53F38">
      <w:pPr>
        <w:pStyle w:val="NIHRCFootnotes"/>
        <w:rPr>
          <w:color w:val="7030A0"/>
        </w:rPr>
      </w:pPr>
      <w:r w:rsidRPr="00601C26">
        <w:rPr>
          <w:rStyle w:val="FootnoteReference"/>
          <w:color w:val="7030A0"/>
        </w:rPr>
        <w:footnoteRef/>
      </w:r>
      <w:r w:rsidRPr="00601C26">
        <w:rPr>
          <w:color w:val="7030A0"/>
        </w:rPr>
        <w:t xml:space="preserve"> </w:t>
      </w:r>
      <w:r w:rsidR="00816502">
        <w:rPr>
          <w:color w:val="7030A0"/>
        </w:rPr>
        <w:t>Ibid.</w:t>
      </w:r>
    </w:p>
  </w:footnote>
  <w:footnote w:id="361">
    <w:p w14:paraId="6ACD71AC" w14:textId="6ED24C46" w:rsidR="003A28CB" w:rsidRPr="00601C26" w:rsidRDefault="003A28CB" w:rsidP="00E53F38">
      <w:pPr>
        <w:pStyle w:val="NIHRCFootnotes"/>
        <w:rPr>
          <w:color w:val="7030A0"/>
        </w:rPr>
      </w:pPr>
      <w:r w:rsidRPr="00601C26">
        <w:rPr>
          <w:rStyle w:val="FootnoteReference"/>
          <w:color w:val="7030A0"/>
        </w:rPr>
        <w:footnoteRef/>
      </w:r>
      <w:r w:rsidRPr="00601C26">
        <w:rPr>
          <w:color w:val="7030A0"/>
        </w:rPr>
        <w:t xml:space="preserve"> </w:t>
      </w:r>
      <w:r w:rsidR="00816502">
        <w:rPr>
          <w:color w:val="7030A0"/>
        </w:rPr>
        <w:t>Ibid.</w:t>
      </w:r>
    </w:p>
  </w:footnote>
  <w:footnote w:id="362">
    <w:p w14:paraId="668EB32A" w14:textId="562560A7" w:rsidR="003A28CB" w:rsidRPr="00601C26" w:rsidRDefault="003A28CB" w:rsidP="00E53F38">
      <w:pPr>
        <w:pStyle w:val="NIHRCFootnotes"/>
        <w:rPr>
          <w:color w:val="7030A0"/>
        </w:rPr>
      </w:pPr>
      <w:r w:rsidRPr="00601C26">
        <w:rPr>
          <w:rStyle w:val="FootnoteReference"/>
          <w:color w:val="7030A0"/>
        </w:rPr>
        <w:footnoteRef/>
      </w:r>
      <w:r w:rsidRPr="00601C26">
        <w:rPr>
          <w:color w:val="7030A0"/>
        </w:rPr>
        <w:t xml:space="preserve"> </w:t>
      </w:r>
      <w:r w:rsidR="00816502">
        <w:rPr>
          <w:color w:val="7030A0"/>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14B08" w14:textId="37E37A61" w:rsidR="00752176" w:rsidRDefault="007521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D15F9"/>
    <w:multiLevelType w:val="hybridMultilevel"/>
    <w:tmpl w:val="8976E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2AC40A3"/>
    <w:multiLevelType w:val="multilevel"/>
    <w:tmpl w:val="D7963F80"/>
    <w:lvl w:ilvl="0">
      <w:start w:val="1"/>
      <w:numFmt w:val="decimal"/>
      <w:lvlText w:val="%1"/>
      <w:lvlJc w:val="left"/>
      <w:pPr>
        <w:ind w:left="660" w:hanging="66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1200" w:hanging="108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680" w:hanging="1440"/>
      </w:pPr>
      <w:rPr>
        <w:rFonts w:hint="default"/>
      </w:rPr>
    </w:lvl>
    <w:lvl w:ilvl="5">
      <w:start w:val="1"/>
      <w:numFmt w:val="decimal"/>
      <w:lvlText w:val="%1.%2.%3.%4.%5.%6"/>
      <w:lvlJc w:val="left"/>
      <w:pPr>
        <w:ind w:left="2100" w:hanging="1800"/>
      </w:pPr>
      <w:rPr>
        <w:rFonts w:hint="default"/>
      </w:rPr>
    </w:lvl>
    <w:lvl w:ilvl="6">
      <w:start w:val="1"/>
      <w:numFmt w:val="decimal"/>
      <w:lvlText w:val="%1.%2.%3.%4.%5.%6.%7"/>
      <w:lvlJc w:val="left"/>
      <w:pPr>
        <w:ind w:left="2520" w:hanging="2160"/>
      </w:pPr>
      <w:rPr>
        <w:rFonts w:hint="default"/>
      </w:rPr>
    </w:lvl>
    <w:lvl w:ilvl="7">
      <w:start w:val="1"/>
      <w:numFmt w:val="decimal"/>
      <w:lvlText w:val="%1.%2.%3.%4.%5.%6.%7.%8"/>
      <w:lvlJc w:val="left"/>
      <w:pPr>
        <w:ind w:left="2940" w:hanging="2520"/>
      </w:pPr>
      <w:rPr>
        <w:rFonts w:hint="default"/>
      </w:rPr>
    </w:lvl>
    <w:lvl w:ilvl="8">
      <w:start w:val="1"/>
      <w:numFmt w:val="decimal"/>
      <w:lvlText w:val="%1.%2.%3.%4.%5.%6.%7.%8.%9"/>
      <w:lvlJc w:val="left"/>
      <w:pPr>
        <w:ind w:left="3000" w:hanging="2520"/>
      </w:pPr>
      <w:rPr>
        <w:rFonts w:hint="default"/>
      </w:rPr>
    </w:lvl>
  </w:abstractNum>
  <w:abstractNum w:abstractNumId="2" w15:restartNumberingAfterBreak="0">
    <w:nsid w:val="0BBC5439"/>
    <w:multiLevelType w:val="multilevel"/>
    <w:tmpl w:val="AEC2B444"/>
    <w:lvl w:ilvl="0">
      <w:start w:val="2"/>
      <w:numFmt w:val="decimal"/>
      <w:lvlText w:val="%1"/>
      <w:lvlJc w:val="left"/>
      <w:pPr>
        <w:ind w:left="540" w:hanging="540"/>
      </w:pPr>
      <w:rPr>
        <w:rFonts w:hint="default"/>
      </w:rPr>
    </w:lvl>
    <w:lvl w:ilvl="1">
      <w:start w:val="3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0CD507A8"/>
    <w:multiLevelType w:val="hybridMultilevel"/>
    <w:tmpl w:val="CB0AE3DA"/>
    <w:lvl w:ilvl="0" w:tplc="B314B762">
      <w:start w:val="1"/>
      <w:numFmt w:val="decimal"/>
      <w:lvlText w:val="%1)"/>
      <w:lvlJc w:val="left"/>
      <w:pPr>
        <w:ind w:left="1324" w:hanging="36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4" w15:restartNumberingAfterBreak="0">
    <w:nsid w:val="11B20A02"/>
    <w:multiLevelType w:val="multilevel"/>
    <w:tmpl w:val="4DE6C554"/>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557529D"/>
    <w:multiLevelType w:val="multilevel"/>
    <w:tmpl w:val="2214CE90"/>
    <w:lvl w:ilvl="0">
      <w:start w:val="1"/>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164D455A"/>
    <w:multiLevelType w:val="multilevel"/>
    <w:tmpl w:val="6CA6BE46"/>
    <w:lvl w:ilvl="0">
      <w:start w:val="7"/>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16863844"/>
    <w:multiLevelType w:val="multilevel"/>
    <w:tmpl w:val="F118DF08"/>
    <w:lvl w:ilvl="0">
      <w:start w:val="1"/>
      <w:numFmt w:val="decimal"/>
      <w:lvlText w:val="%1"/>
      <w:lvlJc w:val="left"/>
      <w:pPr>
        <w:ind w:left="420" w:hanging="420"/>
      </w:pPr>
      <w:rPr>
        <w:rFonts w:hint="default"/>
      </w:rPr>
    </w:lvl>
    <w:lvl w:ilvl="1">
      <w:start w:val="1"/>
      <w:numFmt w:val="decimal"/>
      <w:lvlText w:val="%1.%2"/>
      <w:lvlJc w:val="left"/>
      <w:pPr>
        <w:ind w:left="720" w:hanging="720"/>
      </w:p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1B3F7994"/>
    <w:multiLevelType w:val="multilevel"/>
    <w:tmpl w:val="4ECC719E"/>
    <w:lvl w:ilvl="0">
      <w:start w:val="2"/>
      <w:numFmt w:val="decimal"/>
      <w:lvlText w:val="%1"/>
      <w:lvlJc w:val="left"/>
      <w:pPr>
        <w:ind w:left="540" w:hanging="540"/>
      </w:pPr>
      <w:rPr>
        <w:rFonts w:hint="default"/>
      </w:rPr>
    </w:lvl>
    <w:lvl w:ilvl="1">
      <w:start w:val="7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9" w15:restartNumberingAfterBreak="0">
    <w:nsid w:val="1B553659"/>
    <w:multiLevelType w:val="hybridMultilevel"/>
    <w:tmpl w:val="589CD6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C0B0164"/>
    <w:multiLevelType w:val="hybridMultilevel"/>
    <w:tmpl w:val="8E78377E"/>
    <w:lvl w:ilvl="0" w:tplc="5192DF48">
      <w:start w:val="1"/>
      <w:numFmt w:val="decimal"/>
      <w:lvlText w:val="%1)"/>
      <w:lvlJc w:val="left"/>
      <w:pPr>
        <w:ind w:left="1324" w:hanging="36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11" w15:restartNumberingAfterBreak="0">
    <w:nsid w:val="1E8922DC"/>
    <w:multiLevelType w:val="multilevel"/>
    <w:tmpl w:val="25D60914"/>
    <w:lvl w:ilvl="0">
      <w:start w:val="2"/>
      <w:numFmt w:val="decimal"/>
      <w:lvlText w:val="%1"/>
      <w:lvlJc w:val="left"/>
      <w:pPr>
        <w:ind w:left="585" w:hanging="585"/>
      </w:pPr>
      <w:rPr>
        <w:rFonts w:cs="Verdana" w:hint="default"/>
      </w:rPr>
    </w:lvl>
    <w:lvl w:ilvl="1">
      <w:start w:val="41"/>
      <w:numFmt w:val="decimal"/>
      <w:lvlText w:val="%1.%2"/>
      <w:lvlJc w:val="left"/>
      <w:pPr>
        <w:ind w:left="720" w:hanging="720"/>
      </w:pPr>
      <w:rPr>
        <w:rFonts w:cs="Verdana" w:hint="default"/>
      </w:rPr>
    </w:lvl>
    <w:lvl w:ilvl="2">
      <w:start w:val="1"/>
      <w:numFmt w:val="decimal"/>
      <w:lvlText w:val="%1.%2.%3"/>
      <w:lvlJc w:val="left"/>
      <w:pPr>
        <w:ind w:left="1080" w:hanging="1080"/>
      </w:pPr>
      <w:rPr>
        <w:rFonts w:cs="Verdana" w:hint="default"/>
      </w:rPr>
    </w:lvl>
    <w:lvl w:ilvl="3">
      <w:start w:val="1"/>
      <w:numFmt w:val="decimal"/>
      <w:lvlText w:val="%1.%2.%3.%4"/>
      <w:lvlJc w:val="left"/>
      <w:pPr>
        <w:ind w:left="1440" w:hanging="1440"/>
      </w:pPr>
      <w:rPr>
        <w:rFonts w:cs="Verdana" w:hint="default"/>
      </w:rPr>
    </w:lvl>
    <w:lvl w:ilvl="4">
      <w:start w:val="1"/>
      <w:numFmt w:val="decimal"/>
      <w:lvlText w:val="%1.%2.%3.%4.%5"/>
      <w:lvlJc w:val="left"/>
      <w:pPr>
        <w:ind w:left="1440" w:hanging="1440"/>
      </w:pPr>
      <w:rPr>
        <w:rFonts w:cs="Verdana" w:hint="default"/>
      </w:rPr>
    </w:lvl>
    <w:lvl w:ilvl="5">
      <w:start w:val="1"/>
      <w:numFmt w:val="decimal"/>
      <w:lvlText w:val="%1.%2.%3.%4.%5.%6"/>
      <w:lvlJc w:val="left"/>
      <w:pPr>
        <w:ind w:left="1800" w:hanging="1800"/>
      </w:pPr>
      <w:rPr>
        <w:rFonts w:cs="Verdana" w:hint="default"/>
      </w:rPr>
    </w:lvl>
    <w:lvl w:ilvl="6">
      <w:start w:val="1"/>
      <w:numFmt w:val="decimal"/>
      <w:lvlText w:val="%1.%2.%3.%4.%5.%6.%7"/>
      <w:lvlJc w:val="left"/>
      <w:pPr>
        <w:ind w:left="2160" w:hanging="2160"/>
      </w:pPr>
      <w:rPr>
        <w:rFonts w:cs="Verdana" w:hint="default"/>
      </w:rPr>
    </w:lvl>
    <w:lvl w:ilvl="7">
      <w:start w:val="1"/>
      <w:numFmt w:val="decimal"/>
      <w:lvlText w:val="%1.%2.%3.%4.%5.%6.%7.%8"/>
      <w:lvlJc w:val="left"/>
      <w:pPr>
        <w:ind w:left="2520" w:hanging="2520"/>
      </w:pPr>
      <w:rPr>
        <w:rFonts w:cs="Verdana" w:hint="default"/>
      </w:rPr>
    </w:lvl>
    <w:lvl w:ilvl="8">
      <w:start w:val="1"/>
      <w:numFmt w:val="decimal"/>
      <w:lvlText w:val="%1.%2.%3.%4.%5.%6.%7.%8.%9"/>
      <w:lvlJc w:val="left"/>
      <w:pPr>
        <w:ind w:left="2880" w:hanging="2880"/>
      </w:pPr>
      <w:rPr>
        <w:rFonts w:cs="Verdana" w:hint="default"/>
      </w:rPr>
    </w:lvl>
  </w:abstractNum>
  <w:abstractNum w:abstractNumId="12" w15:restartNumberingAfterBreak="0">
    <w:nsid w:val="23704520"/>
    <w:multiLevelType w:val="multilevel"/>
    <w:tmpl w:val="44B66D02"/>
    <w:lvl w:ilvl="0">
      <w:start w:val="2"/>
      <w:numFmt w:val="decimal"/>
      <w:lvlText w:val="%1"/>
      <w:lvlJc w:val="left"/>
      <w:pPr>
        <w:ind w:left="608" w:hanging="608"/>
      </w:pPr>
      <w:rPr>
        <w:rFonts w:hint="default"/>
      </w:rPr>
    </w:lvl>
    <w:lvl w:ilvl="1">
      <w:start w:val="2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29182C6B"/>
    <w:multiLevelType w:val="hybridMultilevel"/>
    <w:tmpl w:val="3D9AD0C6"/>
    <w:lvl w:ilvl="0" w:tplc="08090017">
      <w:start w:val="1"/>
      <w:numFmt w:val="lowerLetter"/>
      <w:lvlText w:val="%1)"/>
      <w:lvlJc w:val="left"/>
      <w:pPr>
        <w:ind w:left="1770" w:hanging="360"/>
      </w:pPr>
    </w:lvl>
    <w:lvl w:ilvl="1" w:tplc="08090019" w:tentative="1">
      <w:start w:val="1"/>
      <w:numFmt w:val="lowerLetter"/>
      <w:lvlText w:val="%2."/>
      <w:lvlJc w:val="left"/>
      <w:pPr>
        <w:ind w:left="2490" w:hanging="360"/>
      </w:pPr>
    </w:lvl>
    <w:lvl w:ilvl="2" w:tplc="0809001B" w:tentative="1">
      <w:start w:val="1"/>
      <w:numFmt w:val="lowerRoman"/>
      <w:lvlText w:val="%3."/>
      <w:lvlJc w:val="right"/>
      <w:pPr>
        <w:ind w:left="3210" w:hanging="180"/>
      </w:pPr>
    </w:lvl>
    <w:lvl w:ilvl="3" w:tplc="0809000F" w:tentative="1">
      <w:start w:val="1"/>
      <w:numFmt w:val="decimal"/>
      <w:lvlText w:val="%4."/>
      <w:lvlJc w:val="left"/>
      <w:pPr>
        <w:ind w:left="3930" w:hanging="360"/>
      </w:pPr>
    </w:lvl>
    <w:lvl w:ilvl="4" w:tplc="08090019" w:tentative="1">
      <w:start w:val="1"/>
      <w:numFmt w:val="lowerLetter"/>
      <w:lvlText w:val="%5."/>
      <w:lvlJc w:val="left"/>
      <w:pPr>
        <w:ind w:left="4650" w:hanging="360"/>
      </w:pPr>
    </w:lvl>
    <w:lvl w:ilvl="5" w:tplc="0809001B" w:tentative="1">
      <w:start w:val="1"/>
      <w:numFmt w:val="lowerRoman"/>
      <w:lvlText w:val="%6."/>
      <w:lvlJc w:val="right"/>
      <w:pPr>
        <w:ind w:left="5370" w:hanging="180"/>
      </w:pPr>
    </w:lvl>
    <w:lvl w:ilvl="6" w:tplc="0809000F" w:tentative="1">
      <w:start w:val="1"/>
      <w:numFmt w:val="decimal"/>
      <w:lvlText w:val="%7."/>
      <w:lvlJc w:val="left"/>
      <w:pPr>
        <w:ind w:left="6090" w:hanging="360"/>
      </w:pPr>
    </w:lvl>
    <w:lvl w:ilvl="7" w:tplc="08090019" w:tentative="1">
      <w:start w:val="1"/>
      <w:numFmt w:val="lowerLetter"/>
      <w:lvlText w:val="%8."/>
      <w:lvlJc w:val="left"/>
      <w:pPr>
        <w:ind w:left="6810" w:hanging="360"/>
      </w:pPr>
    </w:lvl>
    <w:lvl w:ilvl="8" w:tplc="0809001B" w:tentative="1">
      <w:start w:val="1"/>
      <w:numFmt w:val="lowerRoman"/>
      <w:lvlText w:val="%9."/>
      <w:lvlJc w:val="right"/>
      <w:pPr>
        <w:ind w:left="7530" w:hanging="180"/>
      </w:pPr>
    </w:lvl>
  </w:abstractNum>
  <w:abstractNum w:abstractNumId="14" w15:restartNumberingAfterBreak="0">
    <w:nsid w:val="29491618"/>
    <w:multiLevelType w:val="hybridMultilevel"/>
    <w:tmpl w:val="F91C65AC"/>
    <w:lvl w:ilvl="0" w:tplc="0CE85D84">
      <w:start w:val="1"/>
      <w:numFmt w:val="lowerLetter"/>
      <w:lvlText w:val="%1)"/>
      <w:lvlJc w:val="left"/>
      <w:pPr>
        <w:ind w:left="1804" w:hanging="360"/>
      </w:pPr>
      <w:rPr>
        <w:rFonts w:hint="default"/>
      </w:rPr>
    </w:lvl>
    <w:lvl w:ilvl="1" w:tplc="08090019" w:tentative="1">
      <w:start w:val="1"/>
      <w:numFmt w:val="lowerLetter"/>
      <w:lvlText w:val="%2."/>
      <w:lvlJc w:val="left"/>
      <w:pPr>
        <w:ind w:left="2524" w:hanging="360"/>
      </w:pPr>
    </w:lvl>
    <w:lvl w:ilvl="2" w:tplc="0809001B" w:tentative="1">
      <w:start w:val="1"/>
      <w:numFmt w:val="lowerRoman"/>
      <w:lvlText w:val="%3."/>
      <w:lvlJc w:val="right"/>
      <w:pPr>
        <w:ind w:left="3244" w:hanging="180"/>
      </w:pPr>
    </w:lvl>
    <w:lvl w:ilvl="3" w:tplc="0809000F" w:tentative="1">
      <w:start w:val="1"/>
      <w:numFmt w:val="decimal"/>
      <w:lvlText w:val="%4."/>
      <w:lvlJc w:val="left"/>
      <w:pPr>
        <w:ind w:left="3964" w:hanging="360"/>
      </w:pPr>
    </w:lvl>
    <w:lvl w:ilvl="4" w:tplc="08090019" w:tentative="1">
      <w:start w:val="1"/>
      <w:numFmt w:val="lowerLetter"/>
      <w:lvlText w:val="%5."/>
      <w:lvlJc w:val="left"/>
      <w:pPr>
        <w:ind w:left="4684" w:hanging="360"/>
      </w:pPr>
    </w:lvl>
    <w:lvl w:ilvl="5" w:tplc="0809001B" w:tentative="1">
      <w:start w:val="1"/>
      <w:numFmt w:val="lowerRoman"/>
      <w:lvlText w:val="%6."/>
      <w:lvlJc w:val="right"/>
      <w:pPr>
        <w:ind w:left="5404" w:hanging="180"/>
      </w:pPr>
    </w:lvl>
    <w:lvl w:ilvl="6" w:tplc="0809000F" w:tentative="1">
      <w:start w:val="1"/>
      <w:numFmt w:val="decimal"/>
      <w:lvlText w:val="%7."/>
      <w:lvlJc w:val="left"/>
      <w:pPr>
        <w:ind w:left="6124" w:hanging="360"/>
      </w:pPr>
    </w:lvl>
    <w:lvl w:ilvl="7" w:tplc="08090019" w:tentative="1">
      <w:start w:val="1"/>
      <w:numFmt w:val="lowerLetter"/>
      <w:lvlText w:val="%8."/>
      <w:lvlJc w:val="left"/>
      <w:pPr>
        <w:ind w:left="6844" w:hanging="360"/>
      </w:pPr>
    </w:lvl>
    <w:lvl w:ilvl="8" w:tplc="0809001B" w:tentative="1">
      <w:start w:val="1"/>
      <w:numFmt w:val="lowerRoman"/>
      <w:lvlText w:val="%9."/>
      <w:lvlJc w:val="right"/>
      <w:pPr>
        <w:ind w:left="7564" w:hanging="180"/>
      </w:pPr>
    </w:lvl>
  </w:abstractNum>
  <w:abstractNum w:abstractNumId="15" w15:restartNumberingAfterBreak="0">
    <w:nsid w:val="2DD512D2"/>
    <w:multiLevelType w:val="hybridMultilevel"/>
    <w:tmpl w:val="F6DE2A96"/>
    <w:lvl w:ilvl="0" w:tplc="5A444218">
      <w:start w:val="1"/>
      <w:numFmt w:val="lowerLetter"/>
      <w:lvlText w:val="%1)"/>
      <w:lvlJc w:val="left"/>
      <w:pPr>
        <w:ind w:left="1324" w:hanging="36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16" w15:restartNumberingAfterBreak="0">
    <w:nsid w:val="2FBF6A4A"/>
    <w:multiLevelType w:val="multilevel"/>
    <w:tmpl w:val="CC1E29B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7" w15:restartNumberingAfterBreak="0">
    <w:nsid w:val="30555A15"/>
    <w:multiLevelType w:val="hybridMultilevel"/>
    <w:tmpl w:val="480E9B48"/>
    <w:lvl w:ilvl="0" w:tplc="292A7732">
      <w:start w:val="1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862D8E"/>
    <w:multiLevelType w:val="multilevel"/>
    <w:tmpl w:val="C91EFA90"/>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36CC7318"/>
    <w:multiLevelType w:val="hybridMultilevel"/>
    <w:tmpl w:val="CC76804C"/>
    <w:lvl w:ilvl="0" w:tplc="2182C20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409856CC"/>
    <w:multiLevelType w:val="hybridMultilevel"/>
    <w:tmpl w:val="2F60DDE0"/>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43414FF8"/>
    <w:multiLevelType w:val="hybridMultilevel"/>
    <w:tmpl w:val="64EC0E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37A6DC4"/>
    <w:multiLevelType w:val="multilevel"/>
    <w:tmpl w:val="7892E74A"/>
    <w:lvl w:ilvl="0">
      <w:start w:val="2"/>
      <w:numFmt w:val="decimal"/>
      <w:lvlText w:val="%1"/>
      <w:lvlJc w:val="left"/>
      <w:pPr>
        <w:ind w:left="540" w:hanging="540"/>
      </w:pPr>
      <w:rPr>
        <w:rFonts w:hint="default"/>
      </w:rPr>
    </w:lvl>
    <w:lvl w:ilvl="1">
      <w:start w:val="9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444E190E"/>
    <w:multiLevelType w:val="multilevel"/>
    <w:tmpl w:val="2506E114"/>
    <w:lvl w:ilvl="0">
      <w:start w:val="3"/>
      <w:numFmt w:val="decimal"/>
      <w:lvlText w:val="%1"/>
      <w:lvlJc w:val="left"/>
      <w:pPr>
        <w:ind w:left="540" w:hanging="540"/>
      </w:pPr>
      <w:rPr>
        <w:rFonts w:hint="default"/>
      </w:rPr>
    </w:lvl>
    <w:lvl w:ilvl="1">
      <w:start w:val="3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44A2452D"/>
    <w:multiLevelType w:val="hybridMultilevel"/>
    <w:tmpl w:val="36549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3D3AAD"/>
    <w:multiLevelType w:val="multilevel"/>
    <w:tmpl w:val="8C3442A6"/>
    <w:lvl w:ilvl="0">
      <w:start w:val="3"/>
      <w:numFmt w:val="decimal"/>
      <w:lvlText w:val="%1"/>
      <w:lvlJc w:val="left"/>
      <w:pPr>
        <w:ind w:left="600" w:hanging="600"/>
      </w:pPr>
      <w:rPr>
        <w:rFonts w:hint="default"/>
      </w:rPr>
    </w:lvl>
    <w:lvl w:ilvl="1">
      <w:start w:val="3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6" w15:restartNumberingAfterBreak="0">
    <w:nsid w:val="4EAF66E9"/>
    <w:multiLevelType w:val="hybridMultilevel"/>
    <w:tmpl w:val="712ADBE4"/>
    <w:lvl w:ilvl="0" w:tplc="1A8E20EC">
      <w:start w:val="1"/>
      <w:numFmt w:val="lowerLetter"/>
      <w:lvlText w:val="%1)"/>
      <w:lvlJc w:val="left"/>
      <w:pPr>
        <w:ind w:left="1804" w:hanging="360"/>
      </w:pPr>
      <w:rPr>
        <w:rFonts w:hint="default"/>
      </w:rPr>
    </w:lvl>
    <w:lvl w:ilvl="1" w:tplc="08090019" w:tentative="1">
      <w:start w:val="1"/>
      <w:numFmt w:val="lowerLetter"/>
      <w:lvlText w:val="%2."/>
      <w:lvlJc w:val="left"/>
      <w:pPr>
        <w:ind w:left="2524" w:hanging="360"/>
      </w:pPr>
    </w:lvl>
    <w:lvl w:ilvl="2" w:tplc="0809001B" w:tentative="1">
      <w:start w:val="1"/>
      <w:numFmt w:val="lowerRoman"/>
      <w:lvlText w:val="%3."/>
      <w:lvlJc w:val="right"/>
      <w:pPr>
        <w:ind w:left="3244" w:hanging="180"/>
      </w:pPr>
    </w:lvl>
    <w:lvl w:ilvl="3" w:tplc="0809000F" w:tentative="1">
      <w:start w:val="1"/>
      <w:numFmt w:val="decimal"/>
      <w:lvlText w:val="%4."/>
      <w:lvlJc w:val="left"/>
      <w:pPr>
        <w:ind w:left="3964" w:hanging="360"/>
      </w:pPr>
    </w:lvl>
    <w:lvl w:ilvl="4" w:tplc="08090019" w:tentative="1">
      <w:start w:val="1"/>
      <w:numFmt w:val="lowerLetter"/>
      <w:lvlText w:val="%5."/>
      <w:lvlJc w:val="left"/>
      <w:pPr>
        <w:ind w:left="4684" w:hanging="360"/>
      </w:pPr>
    </w:lvl>
    <w:lvl w:ilvl="5" w:tplc="0809001B" w:tentative="1">
      <w:start w:val="1"/>
      <w:numFmt w:val="lowerRoman"/>
      <w:lvlText w:val="%6."/>
      <w:lvlJc w:val="right"/>
      <w:pPr>
        <w:ind w:left="5404" w:hanging="180"/>
      </w:pPr>
    </w:lvl>
    <w:lvl w:ilvl="6" w:tplc="0809000F" w:tentative="1">
      <w:start w:val="1"/>
      <w:numFmt w:val="decimal"/>
      <w:lvlText w:val="%7."/>
      <w:lvlJc w:val="left"/>
      <w:pPr>
        <w:ind w:left="6124" w:hanging="360"/>
      </w:pPr>
    </w:lvl>
    <w:lvl w:ilvl="7" w:tplc="08090019" w:tentative="1">
      <w:start w:val="1"/>
      <w:numFmt w:val="lowerLetter"/>
      <w:lvlText w:val="%8."/>
      <w:lvlJc w:val="left"/>
      <w:pPr>
        <w:ind w:left="6844" w:hanging="360"/>
      </w:pPr>
    </w:lvl>
    <w:lvl w:ilvl="8" w:tplc="0809001B" w:tentative="1">
      <w:start w:val="1"/>
      <w:numFmt w:val="lowerRoman"/>
      <w:lvlText w:val="%9."/>
      <w:lvlJc w:val="right"/>
      <w:pPr>
        <w:ind w:left="7564" w:hanging="180"/>
      </w:pPr>
    </w:lvl>
  </w:abstractNum>
  <w:abstractNum w:abstractNumId="27" w15:restartNumberingAfterBreak="0">
    <w:nsid w:val="508B1BC7"/>
    <w:multiLevelType w:val="multilevel"/>
    <w:tmpl w:val="2E68A9C6"/>
    <w:lvl w:ilvl="0">
      <w:start w:val="1"/>
      <w:numFmt w:val="decimal"/>
      <w:lvlText w:val="%1.0"/>
      <w:lvlJc w:val="left"/>
      <w:pPr>
        <w:ind w:left="720" w:hanging="72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28" w15:restartNumberingAfterBreak="0">
    <w:nsid w:val="53A224B1"/>
    <w:multiLevelType w:val="hybridMultilevel"/>
    <w:tmpl w:val="B3D0A1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557F3B9A"/>
    <w:multiLevelType w:val="hybridMultilevel"/>
    <w:tmpl w:val="A874FC8E"/>
    <w:lvl w:ilvl="0" w:tplc="08090001">
      <w:start w:val="1"/>
      <w:numFmt w:val="bullet"/>
      <w:lvlText w:val=""/>
      <w:lvlJc w:val="left"/>
      <w:pPr>
        <w:ind w:left="1530" w:hanging="360"/>
      </w:pPr>
      <w:rPr>
        <w:rFonts w:ascii="Symbol" w:hAnsi="Symbol" w:hint="default"/>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30" w15:restartNumberingAfterBreak="0">
    <w:nsid w:val="563B51FD"/>
    <w:multiLevelType w:val="multilevel"/>
    <w:tmpl w:val="9EFCBD4E"/>
    <w:lvl w:ilvl="0">
      <w:start w:val="2"/>
      <w:numFmt w:val="decimal"/>
      <w:lvlText w:val="%1"/>
      <w:lvlJc w:val="left"/>
      <w:pPr>
        <w:ind w:left="540" w:hanging="540"/>
      </w:pPr>
      <w:rPr>
        <w:rFonts w:hint="default"/>
      </w:rPr>
    </w:lvl>
    <w:lvl w:ilvl="1">
      <w:start w:val="3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1" w15:restartNumberingAfterBreak="0">
    <w:nsid w:val="59FC6BFF"/>
    <w:multiLevelType w:val="multilevel"/>
    <w:tmpl w:val="B3EAAAFC"/>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32" w15:restartNumberingAfterBreak="0">
    <w:nsid w:val="638B0E35"/>
    <w:multiLevelType w:val="hybridMultilevel"/>
    <w:tmpl w:val="5DBE9F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5A41781"/>
    <w:multiLevelType w:val="multilevel"/>
    <w:tmpl w:val="65CC9E1A"/>
    <w:lvl w:ilvl="0">
      <w:start w:val="2"/>
      <w:numFmt w:val="decimal"/>
      <w:lvlText w:val="%1"/>
      <w:lvlJc w:val="left"/>
      <w:pPr>
        <w:ind w:left="540" w:hanging="540"/>
      </w:pPr>
      <w:rPr>
        <w:rFonts w:hint="default"/>
      </w:rPr>
    </w:lvl>
    <w:lvl w:ilvl="1">
      <w:start w:val="77"/>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66DD0879"/>
    <w:multiLevelType w:val="multilevel"/>
    <w:tmpl w:val="5CA6A698"/>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5" w15:restartNumberingAfterBreak="0">
    <w:nsid w:val="678F2B9C"/>
    <w:multiLevelType w:val="multilevel"/>
    <w:tmpl w:val="9EFCBD4E"/>
    <w:lvl w:ilvl="0">
      <w:start w:val="2"/>
      <w:numFmt w:val="decimal"/>
      <w:lvlText w:val="%1"/>
      <w:lvlJc w:val="left"/>
      <w:pPr>
        <w:ind w:left="540" w:hanging="540"/>
      </w:pPr>
      <w:rPr>
        <w:rFonts w:hint="default"/>
      </w:rPr>
    </w:lvl>
    <w:lvl w:ilvl="1">
      <w:start w:val="3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6" w15:restartNumberingAfterBreak="0">
    <w:nsid w:val="679F17D1"/>
    <w:multiLevelType w:val="multilevel"/>
    <w:tmpl w:val="838AE250"/>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37" w15:restartNumberingAfterBreak="0">
    <w:nsid w:val="689161EB"/>
    <w:multiLevelType w:val="hybridMultilevel"/>
    <w:tmpl w:val="89AE385E"/>
    <w:lvl w:ilvl="0" w:tplc="6CB6FBE8">
      <w:start w:val="1"/>
      <w:numFmt w:val="decimal"/>
      <w:lvlText w:val="%1)"/>
      <w:lvlJc w:val="left"/>
      <w:pPr>
        <w:ind w:left="1324" w:hanging="360"/>
      </w:pPr>
      <w:rPr>
        <w:rFonts w:hint="default"/>
      </w:rPr>
    </w:lvl>
    <w:lvl w:ilvl="1" w:tplc="08090019" w:tentative="1">
      <w:start w:val="1"/>
      <w:numFmt w:val="lowerLetter"/>
      <w:lvlText w:val="%2."/>
      <w:lvlJc w:val="left"/>
      <w:pPr>
        <w:ind w:left="2044" w:hanging="360"/>
      </w:pPr>
    </w:lvl>
    <w:lvl w:ilvl="2" w:tplc="0809001B" w:tentative="1">
      <w:start w:val="1"/>
      <w:numFmt w:val="lowerRoman"/>
      <w:lvlText w:val="%3."/>
      <w:lvlJc w:val="right"/>
      <w:pPr>
        <w:ind w:left="2764" w:hanging="180"/>
      </w:pPr>
    </w:lvl>
    <w:lvl w:ilvl="3" w:tplc="0809000F" w:tentative="1">
      <w:start w:val="1"/>
      <w:numFmt w:val="decimal"/>
      <w:lvlText w:val="%4."/>
      <w:lvlJc w:val="left"/>
      <w:pPr>
        <w:ind w:left="3484" w:hanging="360"/>
      </w:pPr>
    </w:lvl>
    <w:lvl w:ilvl="4" w:tplc="08090019" w:tentative="1">
      <w:start w:val="1"/>
      <w:numFmt w:val="lowerLetter"/>
      <w:lvlText w:val="%5."/>
      <w:lvlJc w:val="left"/>
      <w:pPr>
        <w:ind w:left="4204" w:hanging="360"/>
      </w:pPr>
    </w:lvl>
    <w:lvl w:ilvl="5" w:tplc="0809001B" w:tentative="1">
      <w:start w:val="1"/>
      <w:numFmt w:val="lowerRoman"/>
      <w:lvlText w:val="%6."/>
      <w:lvlJc w:val="right"/>
      <w:pPr>
        <w:ind w:left="4924" w:hanging="180"/>
      </w:pPr>
    </w:lvl>
    <w:lvl w:ilvl="6" w:tplc="0809000F" w:tentative="1">
      <w:start w:val="1"/>
      <w:numFmt w:val="decimal"/>
      <w:lvlText w:val="%7."/>
      <w:lvlJc w:val="left"/>
      <w:pPr>
        <w:ind w:left="5644" w:hanging="360"/>
      </w:pPr>
    </w:lvl>
    <w:lvl w:ilvl="7" w:tplc="08090019" w:tentative="1">
      <w:start w:val="1"/>
      <w:numFmt w:val="lowerLetter"/>
      <w:lvlText w:val="%8."/>
      <w:lvlJc w:val="left"/>
      <w:pPr>
        <w:ind w:left="6364" w:hanging="360"/>
      </w:pPr>
    </w:lvl>
    <w:lvl w:ilvl="8" w:tplc="0809001B" w:tentative="1">
      <w:start w:val="1"/>
      <w:numFmt w:val="lowerRoman"/>
      <w:lvlText w:val="%9."/>
      <w:lvlJc w:val="right"/>
      <w:pPr>
        <w:ind w:left="7084" w:hanging="180"/>
      </w:pPr>
    </w:lvl>
  </w:abstractNum>
  <w:abstractNum w:abstractNumId="38" w15:restartNumberingAfterBreak="0">
    <w:nsid w:val="6D1B6931"/>
    <w:multiLevelType w:val="multilevel"/>
    <w:tmpl w:val="9C0E71AC"/>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39" w15:restartNumberingAfterBreak="0">
    <w:nsid w:val="6E6C06F1"/>
    <w:multiLevelType w:val="multilevel"/>
    <w:tmpl w:val="DCFEA1F6"/>
    <w:lvl w:ilvl="0">
      <w:start w:val="3"/>
      <w:numFmt w:val="decimal"/>
      <w:lvlText w:val="%1"/>
      <w:lvlJc w:val="left"/>
      <w:pPr>
        <w:ind w:left="540" w:hanging="54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0" w15:restartNumberingAfterBreak="0">
    <w:nsid w:val="70636851"/>
    <w:multiLevelType w:val="multilevel"/>
    <w:tmpl w:val="95C4FEA2"/>
    <w:lvl w:ilvl="0">
      <w:start w:val="3"/>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1" w15:restartNumberingAfterBreak="0">
    <w:nsid w:val="71300426"/>
    <w:multiLevelType w:val="multilevel"/>
    <w:tmpl w:val="64C8AC24"/>
    <w:lvl w:ilvl="0">
      <w:start w:val="1"/>
      <w:numFmt w:val="decimal"/>
      <w:lvlText w:val="%1.0"/>
      <w:lvlJc w:val="left"/>
      <w:pPr>
        <w:ind w:left="720" w:hanging="720"/>
      </w:pPr>
      <w:rPr>
        <w:rFonts w:hint="default"/>
      </w:rPr>
    </w:lvl>
    <w:lvl w:ilvl="1">
      <w:start w:val="3"/>
      <w:numFmt w:val="decimal"/>
      <w:lvlText w:val="%1.%2"/>
      <w:lvlJc w:val="left"/>
      <w:pPr>
        <w:ind w:left="720" w:hanging="720"/>
      </w:pPr>
      <w:rPr>
        <w:rFonts w:hint="default"/>
        <w:b w:val="0"/>
        <w:bCs w:val="0"/>
        <w:sz w:val="24"/>
        <w:szCs w:val="24"/>
        <w:vertAlign w:val="baseline"/>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42" w15:restartNumberingAfterBreak="0">
    <w:nsid w:val="71BC7688"/>
    <w:multiLevelType w:val="multilevel"/>
    <w:tmpl w:val="47028E3A"/>
    <w:lvl w:ilvl="0">
      <w:start w:val="1"/>
      <w:numFmt w:val="decimal"/>
      <w:lvlText w:val="%1.0"/>
      <w:lvlJc w:val="left"/>
      <w:pPr>
        <w:ind w:left="720" w:hanging="720"/>
      </w:pPr>
      <w:rPr>
        <w:rFonts w:hint="default"/>
      </w:rPr>
    </w:lvl>
    <w:lvl w:ilvl="1">
      <w:start w:val="1"/>
      <w:numFmt w:val="decimal"/>
      <w:lvlText w:val="%1.%2"/>
      <w:lvlJc w:val="left"/>
      <w:pPr>
        <w:ind w:left="9084" w:hanging="720"/>
      </w:pPr>
      <w:rPr>
        <w:rFonts w:hint="default"/>
        <w:b w:val="0"/>
        <w:bCs w:val="0"/>
        <w:sz w:val="24"/>
        <w:szCs w:val="24"/>
        <w:vertAlign w:val="baseline"/>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43" w15:restartNumberingAfterBreak="0">
    <w:nsid w:val="73321712"/>
    <w:multiLevelType w:val="multilevel"/>
    <w:tmpl w:val="4F725C96"/>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44" w15:restartNumberingAfterBreak="0">
    <w:nsid w:val="74A11393"/>
    <w:multiLevelType w:val="multilevel"/>
    <w:tmpl w:val="34F2A612"/>
    <w:lvl w:ilvl="0">
      <w:start w:val="2"/>
      <w:numFmt w:val="decimal"/>
      <w:lvlText w:val="%1"/>
      <w:lvlJc w:val="left"/>
      <w:pPr>
        <w:ind w:left="540" w:hanging="540"/>
      </w:pPr>
      <w:rPr>
        <w:rFonts w:hint="default"/>
      </w:rPr>
    </w:lvl>
    <w:lvl w:ilvl="1">
      <w:start w:val="10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5" w15:restartNumberingAfterBreak="0">
    <w:nsid w:val="760866BE"/>
    <w:multiLevelType w:val="multilevel"/>
    <w:tmpl w:val="CAE2C8F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46" w15:restartNumberingAfterBreak="0">
    <w:nsid w:val="787C0C0E"/>
    <w:multiLevelType w:val="multilevel"/>
    <w:tmpl w:val="5FDAAAA6"/>
    <w:lvl w:ilvl="0">
      <w:start w:val="1"/>
      <w:numFmt w:val="decimal"/>
      <w:lvlText w:val="%1"/>
      <w:lvlJc w:val="left"/>
      <w:pPr>
        <w:ind w:left="420" w:hanging="42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47" w15:restartNumberingAfterBreak="0">
    <w:nsid w:val="79E67C27"/>
    <w:multiLevelType w:val="multilevel"/>
    <w:tmpl w:val="FFFFFFFF"/>
    <w:lvl w:ilvl="0">
      <w:start w:val="1"/>
      <w:numFmt w:val="decimal"/>
      <w:lvlText w:val="%1."/>
      <w:lvlJc w:val="left"/>
      <w:pPr>
        <w:ind w:left="720" w:hanging="360"/>
      </w:pPr>
    </w:lvl>
    <w:lvl w:ilvl="1">
      <w:start w:val="1"/>
      <w:numFmt w:val="decimal"/>
      <w:lvlText w:val="%1.%2"/>
      <w:lvlJc w:val="left"/>
      <w:pPr>
        <w:ind w:left="72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B6A759D"/>
    <w:multiLevelType w:val="multilevel"/>
    <w:tmpl w:val="E83E54B0"/>
    <w:lvl w:ilvl="0">
      <w:start w:val="2"/>
      <w:numFmt w:val="decimal"/>
      <w:lvlText w:val="%1"/>
      <w:lvlJc w:val="left"/>
      <w:pPr>
        <w:ind w:left="540" w:hanging="540"/>
      </w:pPr>
      <w:rPr>
        <w:rFonts w:hint="default"/>
      </w:rPr>
    </w:lvl>
    <w:lvl w:ilvl="1">
      <w:start w:val="3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49" w15:restartNumberingAfterBreak="0">
    <w:nsid w:val="7F801A81"/>
    <w:multiLevelType w:val="hybridMultilevel"/>
    <w:tmpl w:val="F2EA965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1963534428">
    <w:abstractNumId w:val="47"/>
  </w:num>
  <w:num w:numId="2" w16cid:durableId="149952573">
    <w:abstractNumId w:val="31"/>
  </w:num>
  <w:num w:numId="3" w16cid:durableId="1087656535">
    <w:abstractNumId w:val="43"/>
  </w:num>
  <w:num w:numId="4" w16cid:durableId="2138252816">
    <w:abstractNumId w:val="7"/>
  </w:num>
  <w:num w:numId="5" w16cid:durableId="983972626">
    <w:abstractNumId w:val="17"/>
  </w:num>
  <w:num w:numId="6" w16cid:durableId="1722561218">
    <w:abstractNumId w:val="13"/>
  </w:num>
  <w:num w:numId="7" w16cid:durableId="1309820089">
    <w:abstractNumId w:val="20"/>
  </w:num>
  <w:num w:numId="8" w16cid:durableId="1142455464">
    <w:abstractNumId w:val="15"/>
  </w:num>
  <w:num w:numId="9" w16cid:durableId="1070883783">
    <w:abstractNumId w:val="10"/>
  </w:num>
  <w:num w:numId="10" w16cid:durableId="980306583">
    <w:abstractNumId w:val="49"/>
  </w:num>
  <w:num w:numId="11" w16cid:durableId="915867562">
    <w:abstractNumId w:val="28"/>
  </w:num>
  <w:num w:numId="12" w16cid:durableId="2115711654">
    <w:abstractNumId w:val="14"/>
  </w:num>
  <w:num w:numId="13" w16cid:durableId="1401825389">
    <w:abstractNumId w:val="45"/>
  </w:num>
  <w:num w:numId="14" w16cid:durableId="1249731868">
    <w:abstractNumId w:val="21"/>
  </w:num>
  <w:num w:numId="15" w16cid:durableId="347830430">
    <w:abstractNumId w:val="9"/>
  </w:num>
  <w:num w:numId="16" w16cid:durableId="1868054825">
    <w:abstractNumId w:val="27"/>
  </w:num>
  <w:num w:numId="17" w16cid:durableId="978657598">
    <w:abstractNumId w:val="32"/>
  </w:num>
  <w:num w:numId="18" w16cid:durableId="1424690109">
    <w:abstractNumId w:val="3"/>
  </w:num>
  <w:num w:numId="19" w16cid:durableId="1391344310">
    <w:abstractNumId w:val="0"/>
  </w:num>
  <w:num w:numId="20" w16cid:durableId="235894481">
    <w:abstractNumId w:val="38"/>
  </w:num>
  <w:num w:numId="21" w16cid:durableId="1128402997">
    <w:abstractNumId w:val="37"/>
  </w:num>
  <w:num w:numId="22" w16cid:durableId="1722483593">
    <w:abstractNumId w:val="26"/>
  </w:num>
  <w:num w:numId="23" w16cid:durableId="1670061515">
    <w:abstractNumId w:val="36"/>
  </w:num>
  <w:num w:numId="24" w16cid:durableId="1025134979">
    <w:abstractNumId w:val="19"/>
  </w:num>
  <w:num w:numId="25" w16cid:durableId="779303594">
    <w:abstractNumId w:val="46"/>
  </w:num>
  <w:num w:numId="26" w16cid:durableId="1839151833">
    <w:abstractNumId w:val="11"/>
  </w:num>
  <w:num w:numId="27" w16cid:durableId="1749112007">
    <w:abstractNumId w:val="42"/>
  </w:num>
  <w:num w:numId="28" w16cid:durableId="613055773">
    <w:abstractNumId w:val="6"/>
  </w:num>
  <w:num w:numId="29" w16cid:durableId="2090996703">
    <w:abstractNumId w:val="39"/>
  </w:num>
  <w:num w:numId="30" w16cid:durableId="1387946584">
    <w:abstractNumId w:val="34"/>
  </w:num>
  <w:num w:numId="31" w16cid:durableId="768358881">
    <w:abstractNumId w:val="30"/>
  </w:num>
  <w:num w:numId="32" w16cid:durableId="1986346829">
    <w:abstractNumId w:val="44"/>
  </w:num>
  <w:num w:numId="33" w16cid:durableId="688139513">
    <w:abstractNumId w:val="24"/>
  </w:num>
  <w:num w:numId="34" w16cid:durableId="1931742428">
    <w:abstractNumId w:val="1"/>
  </w:num>
  <w:num w:numId="35" w16cid:durableId="54940897">
    <w:abstractNumId w:val="18"/>
  </w:num>
  <w:num w:numId="36" w16cid:durableId="785081869">
    <w:abstractNumId w:val="22"/>
  </w:num>
  <w:num w:numId="37" w16cid:durableId="682098899">
    <w:abstractNumId w:val="40"/>
  </w:num>
  <w:num w:numId="38" w16cid:durableId="1001273572">
    <w:abstractNumId w:val="23"/>
  </w:num>
  <w:num w:numId="39" w16cid:durableId="345986833">
    <w:abstractNumId w:val="16"/>
  </w:num>
  <w:num w:numId="40" w16cid:durableId="1737319527">
    <w:abstractNumId w:val="48"/>
  </w:num>
  <w:num w:numId="41" w16cid:durableId="1732461031">
    <w:abstractNumId w:val="8"/>
  </w:num>
  <w:num w:numId="42" w16cid:durableId="816000086">
    <w:abstractNumId w:val="35"/>
  </w:num>
  <w:num w:numId="43" w16cid:durableId="1555778867">
    <w:abstractNumId w:val="33"/>
  </w:num>
  <w:num w:numId="44" w16cid:durableId="918248320">
    <w:abstractNumId w:val="25"/>
  </w:num>
  <w:num w:numId="45" w16cid:durableId="1756172100">
    <w:abstractNumId w:val="41"/>
  </w:num>
  <w:num w:numId="46" w16cid:durableId="1154488105">
    <w:abstractNumId w:val="29"/>
  </w:num>
  <w:num w:numId="47" w16cid:durableId="1631399800">
    <w:abstractNumId w:val="4"/>
  </w:num>
  <w:num w:numId="48" w16cid:durableId="1925141432">
    <w:abstractNumId w:val="5"/>
  </w:num>
  <w:num w:numId="49" w16cid:durableId="522787312">
    <w:abstractNumId w:val="2"/>
  </w:num>
  <w:num w:numId="50" w16cid:durableId="3195807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C5B"/>
    <w:rsid w:val="00000048"/>
    <w:rsid w:val="00000C47"/>
    <w:rsid w:val="00001505"/>
    <w:rsid w:val="000017F6"/>
    <w:rsid w:val="00001875"/>
    <w:rsid w:val="000018FD"/>
    <w:rsid w:val="00001B24"/>
    <w:rsid w:val="00001BE7"/>
    <w:rsid w:val="00003DE2"/>
    <w:rsid w:val="00005776"/>
    <w:rsid w:val="00005879"/>
    <w:rsid w:val="00006140"/>
    <w:rsid w:val="00006990"/>
    <w:rsid w:val="00006A0C"/>
    <w:rsid w:val="00006C59"/>
    <w:rsid w:val="00007572"/>
    <w:rsid w:val="00010650"/>
    <w:rsid w:val="00010829"/>
    <w:rsid w:val="000113D3"/>
    <w:rsid w:val="00013069"/>
    <w:rsid w:val="00014ACD"/>
    <w:rsid w:val="00015B7D"/>
    <w:rsid w:val="00015C81"/>
    <w:rsid w:val="00016A2D"/>
    <w:rsid w:val="00016C5A"/>
    <w:rsid w:val="00016FE6"/>
    <w:rsid w:val="00017402"/>
    <w:rsid w:val="000174DC"/>
    <w:rsid w:val="00017AFF"/>
    <w:rsid w:val="00020AA6"/>
    <w:rsid w:val="00021177"/>
    <w:rsid w:val="00022368"/>
    <w:rsid w:val="00022C17"/>
    <w:rsid w:val="00025CFD"/>
    <w:rsid w:val="0002604B"/>
    <w:rsid w:val="00027310"/>
    <w:rsid w:val="00027B6A"/>
    <w:rsid w:val="0003072E"/>
    <w:rsid w:val="0003073C"/>
    <w:rsid w:val="00031135"/>
    <w:rsid w:val="00032004"/>
    <w:rsid w:val="0003380C"/>
    <w:rsid w:val="00034706"/>
    <w:rsid w:val="000348D6"/>
    <w:rsid w:val="00034E94"/>
    <w:rsid w:val="0003580F"/>
    <w:rsid w:val="000359C4"/>
    <w:rsid w:val="00035E91"/>
    <w:rsid w:val="0003618B"/>
    <w:rsid w:val="0003783D"/>
    <w:rsid w:val="00037F73"/>
    <w:rsid w:val="000409CF"/>
    <w:rsid w:val="00041158"/>
    <w:rsid w:val="00041C28"/>
    <w:rsid w:val="00041FC8"/>
    <w:rsid w:val="00042E53"/>
    <w:rsid w:val="00043C9F"/>
    <w:rsid w:val="00044A5E"/>
    <w:rsid w:val="000456B7"/>
    <w:rsid w:val="00045D5D"/>
    <w:rsid w:val="000466C0"/>
    <w:rsid w:val="00046F4B"/>
    <w:rsid w:val="000512A7"/>
    <w:rsid w:val="000513B7"/>
    <w:rsid w:val="000519DD"/>
    <w:rsid w:val="00052D79"/>
    <w:rsid w:val="00052F45"/>
    <w:rsid w:val="00053777"/>
    <w:rsid w:val="00053990"/>
    <w:rsid w:val="00053F70"/>
    <w:rsid w:val="0005442D"/>
    <w:rsid w:val="00054FB0"/>
    <w:rsid w:val="00054FBB"/>
    <w:rsid w:val="00055476"/>
    <w:rsid w:val="00055F80"/>
    <w:rsid w:val="0005736F"/>
    <w:rsid w:val="00060593"/>
    <w:rsid w:val="0006068C"/>
    <w:rsid w:val="000606F3"/>
    <w:rsid w:val="000606FB"/>
    <w:rsid w:val="00060986"/>
    <w:rsid w:val="00060EB5"/>
    <w:rsid w:val="000612E6"/>
    <w:rsid w:val="000613F6"/>
    <w:rsid w:val="00062EA3"/>
    <w:rsid w:val="00063F89"/>
    <w:rsid w:val="0006454F"/>
    <w:rsid w:val="000648A2"/>
    <w:rsid w:val="00064B5A"/>
    <w:rsid w:val="00064FCA"/>
    <w:rsid w:val="00065DB6"/>
    <w:rsid w:val="00065DFD"/>
    <w:rsid w:val="00066CEB"/>
    <w:rsid w:val="00067C5F"/>
    <w:rsid w:val="00070000"/>
    <w:rsid w:val="0007081A"/>
    <w:rsid w:val="000716F0"/>
    <w:rsid w:val="0007248F"/>
    <w:rsid w:val="00073421"/>
    <w:rsid w:val="000736F5"/>
    <w:rsid w:val="00074132"/>
    <w:rsid w:val="00074F1D"/>
    <w:rsid w:val="0007577A"/>
    <w:rsid w:val="000761F8"/>
    <w:rsid w:val="0007632A"/>
    <w:rsid w:val="00080EAF"/>
    <w:rsid w:val="00081553"/>
    <w:rsid w:val="00081AF2"/>
    <w:rsid w:val="00082835"/>
    <w:rsid w:val="00082F90"/>
    <w:rsid w:val="000845FB"/>
    <w:rsid w:val="00085235"/>
    <w:rsid w:val="00087DF5"/>
    <w:rsid w:val="00090C91"/>
    <w:rsid w:val="00091DC5"/>
    <w:rsid w:val="00091FDD"/>
    <w:rsid w:val="00092DBF"/>
    <w:rsid w:val="000930FA"/>
    <w:rsid w:val="00093EF5"/>
    <w:rsid w:val="00095B73"/>
    <w:rsid w:val="000965FC"/>
    <w:rsid w:val="000971C4"/>
    <w:rsid w:val="00097809"/>
    <w:rsid w:val="00097BCA"/>
    <w:rsid w:val="000A0125"/>
    <w:rsid w:val="000A0535"/>
    <w:rsid w:val="000A0B3B"/>
    <w:rsid w:val="000A2B06"/>
    <w:rsid w:val="000A2F56"/>
    <w:rsid w:val="000A38A8"/>
    <w:rsid w:val="000A5B10"/>
    <w:rsid w:val="000A72D6"/>
    <w:rsid w:val="000A7699"/>
    <w:rsid w:val="000B0408"/>
    <w:rsid w:val="000B1350"/>
    <w:rsid w:val="000B45FD"/>
    <w:rsid w:val="000B5AD2"/>
    <w:rsid w:val="000B6825"/>
    <w:rsid w:val="000B7543"/>
    <w:rsid w:val="000B7705"/>
    <w:rsid w:val="000C0177"/>
    <w:rsid w:val="000C046A"/>
    <w:rsid w:val="000C0E9A"/>
    <w:rsid w:val="000C0F64"/>
    <w:rsid w:val="000C180F"/>
    <w:rsid w:val="000C21B1"/>
    <w:rsid w:val="000C23A5"/>
    <w:rsid w:val="000C45CB"/>
    <w:rsid w:val="000C4F4D"/>
    <w:rsid w:val="000C6015"/>
    <w:rsid w:val="000C60FF"/>
    <w:rsid w:val="000C68BA"/>
    <w:rsid w:val="000C7EA0"/>
    <w:rsid w:val="000C7F45"/>
    <w:rsid w:val="000CE32C"/>
    <w:rsid w:val="000D146C"/>
    <w:rsid w:val="000D1536"/>
    <w:rsid w:val="000D1D3D"/>
    <w:rsid w:val="000D2053"/>
    <w:rsid w:val="000D2ECB"/>
    <w:rsid w:val="000D3FC7"/>
    <w:rsid w:val="000D48D9"/>
    <w:rsid w:val="000D4C93"/>
    <w:rsid w:val="000D567D"/>
    <w:rsid w:val="000D6131"/>
    <w:rsid w:val="000D6145"/>
    <w:rsid w:val="000D6591"/>
    <w:rsid w:val="000D6884"/>
    <w:rsid w:val="000D6AFF"/>
    <w:rsid w:val="000D7931"/>
    <w:rsid w:val="000D7AFE"/>
    <w:rsid w:val="000E13CF"/>
    <w:rsid w:val="000E1892"/>
    <w:rsid w:val="000E3989"/>
    <w:rsid w:val="000E3A53"/>
    <w:rsid w:val="000E45A0"/>
    <w:rsid w:val="000E5E0E"/>
    <w:rsid w:val="000E6EB5"/>
    <w:rsid w:val="000E719E"/>
    <w:rsid w:val="000F0899"/>
    <w:rsid w:val="000F2DAF"/>
    <w:rsid w:val="000F2E52"/>
    <w:rsid w:val="000F2F8B"/>
    <w:rsid w:val="000F34CC"/>
    <w:rsid w:val="000F48FD"/>
    <w:rsid w:val="000F52BA"/>
    <w:rsid w:val="000F5509"/>
    <w:rsid w:val="000F56E6"/>
    <w:rsid w:val="000F721C"/>
    <w:rsid w:val="000F72D9"/>
    <w:rsid w:val="000F7994"/>
    <w:rsid w:val="000F79B0"/>
    <w:rsid w:val="001016B1"/>
    <w:rsid w:val="00102A43"/>
    <w:rsid w:val="0010345A"/>
    <w:rsid w:val="00103F79"/>
    <w:rsid w:val="0010415F"/>
    <w:rsid w:val="0010432E"/>
    <w:rsid w:val="00104C39"/>
    <w:rsid w:val="0010749B"/>
    <w:rsid w:val="00107EFA"/>
    <w:rsid w:val="00110B99"/>
    <w:rsid w:val="00110E74"/>
    <w:rsid w:val="0011274D"/>
    <w:rsid w:val="00114B69"/>
    <w:rsid w:val="00114C5D"/>
    <w:rsid w:val="00115E99"/>
    <w:rsid w:val="0011685E"/>
    <w:rsid w:val="00116B7B"/>
    <w:rsid w:val="00116E85"/>
    <w:rsid w:val="00117EBF"/>
    <w:rsid w:val="0012095A"/>
    <w:rsid w:val="00120B12"/>
    <w:rsid w:val="0012155B"/>
    <w:rsid w:val="0012273C"/>
    <w:rsid w:val="0012495A"/>
    <w:rsid w:val="00124D43"/>
    <w:rsid w:val="00125760"/>
    <w:rsid w:val="001257FD"/>
    <w:rsid w:val="001263E7"/>
    <w:rsid w:val="001266BC"/>
    <w:rsid w:val="00126C3E"/>
    <w:rsid w:val="001271F3"/>
    <w:rsid w:val="00127862"/>
    <w:rsid w:val="00130168"/>
    <w:rsid w:val="00130AB2"/>
    <w:rsid w:val="00130C6B"/>
    <w:rsid w:val="001314CC"/>
    <w:rsid w:val="00131A31"/>
    <w:rsid w:val="00133B7B"/>
    <w:rsid w:val="0013444A"/>
    <w:rsid w:val="00135141"/>
    <w:rsid w:val="001352C0"/>
    <w:rsid w:val="00137008"/>
    <w:rsid w:val="0013701D"/>
    <w:rsid w:val="0013711D"/>
    <w:rsid w:val="001375FF"/>
    <w:rsid w:val="00141577"/>
    <w:rsid w:val="00141917"/>
    <w:rsid w:val="0014194B"/>
    <w:rsid w:val="00141A65"/>
    <w:rsid w:val="00141DD6"/>
    <w:rsid w:val="00142192"/>
    <w:rsid w:val="001427B2"/>
    <w:rsid w:val="00142A39"/>
    <w:rsid w:val="00144507"/>
    <w:rsid w:val="00144A26"/>
    <w:rsid w:val="00145475"/>
    <w:rsid w:val="00145892"/>
    <w:rsid w:val="00146412"/>
    <w:rsid w:val="00146D4A"/>
    <w:rsid w:val="001500AC"/>
    <w:rsid w:val="0015010C"/>
    <w:rsid w:val="00150AC8"/>
    <w:rsid w:val="001515E3"/>
    <w:rsid w:val="00151680"/>
    <w:rsid w:val="001519B7"/>
    <w:rsid w:val="00152389"/>
    <w:rsid w:val="0015279F"/>
    <w:rsid w:val="001530B8"/>
    <w:rsid w:val="00153965"/>
    <w:rsid w:val="00153D7B"/>
    <w:rsid w:val="00154445"/>
    <w:rsid w:val="00154AA6"/>
    <w:rsid w:val="00155F86"/>
    <w:rsid w:val="0015728C"/>
    <w:rsid w:val="00160617"/>
    <w:rsid w:val="00161655"/>
    <w:rsid w:val="00161A23"/>
    <w:rsid w:val="00161B1B"/>
    <w:rsid w:val="00161B75"/>
    <w:rsid w:val="00163028"/>
    <w:rsid w:val="001658C0"/>
    <w:rsid w:val="001659B9"/>
    <w:rsid w:val="00165FC6"/>
    <w:rsid w:val="001672F8"/>
    <w:rsid w:val="001676B8"/>
    <w:rsid w:val="00171718"/>
    <w:rsid w:val="001717C8"/>
    <w:rsid w:val="001718E1"/>
    <w:rsid w:val="00171F7E"/>
    <w:rsid w:val="00173082"/>
    <w:rsid w:val="0017316D"/>
    <w:rsid w:val="00173560"/>
    <w:rsid w:val="00174244"/>
    <w:rsid w:val="00174B0B"/>
    <w:rsid w:val="001761F8"/>
    <w:rsid w:val="001774EF"/>
    <w:rsid w:val="0018012D"/>
    <w:rsid w:val="0018049C"/>
    <w:rsid w:val="001805EF"/>
    <w:rsid w:val="0018191B"/>
    <w:rsid w:val="00182369"/>
    <w:rsid w:val="0018293A"/>
    <w:rsid w:val="00183E1D"/>
    <w:rsid w:val="0018541E"/>
    <w:rsid w:val="00185F7F"/>
    <w:rsid w:val="001863EF"/>
    <w:rsid w:val="00190ED2"/>
    <w:rsid w:val="001921FE"/>
    <w:rsid w:val="00192F42"/>
    <w:rsid w:val="001931D9"/>
    <w:rsid w:val="001947D9"/>
    <w:rsid w:val="001965A8"/>
    <w:rsid w:val="001972CC"/>
    <w:rsid w:val="00197FBC"/>
    <w:rsid w:val="001A037C"/>
    <w:rsid w:val="001A0BF3"/>
    <w:rsid w:val="001A1210"/>
    <w:rsid w:val="001A1900"/>
    <w:rsid w:val="001A1CFA"/>
    <w:rsid w:val="001A275D"/>
    <w:rsid w:val="001A2D63"/>
    <w:rsid w:val="001A34CF"/>
    <w:rsid w:val="001A52AF"/>
    <w:rsid w:val="001A5F67"/>
    <w:rsid w:val="001A649A"/>
    <w:rsid w:val="001A7514"/>
    <w:rsid w:val="001A7617"/>
    <w:rsid w:val="001A7C2D"/>
    <w:rsid w:val="001B05CB"/>
    <w:rsid w:val="001B2082"/>
    <w:rsid w:val="001B2649"/>
    <w:rsid w:val="001B280D"/>
    <w:rsid w:val="001B3CCA"/>
    <w:rsid w:val="001B4AD8"/>
    <w:rsid w:val="001B7AEA"/>
    <w:rsid w:val="001B7D21"/>
    <w:rsid w:val="001C026F"/>
    <w:rsid w:val="001C0980"/>
    <w:rsid w:val="001C166A"/>
    <w:rsid w:val="001C1986"/>
    <w:rsid w:val="001C1DF0"/>
    <w:rsid w:val="001C3052"/>
    <w:rsid w:val="001C319D"/>
    <w:rsid w:val="001C39EE"/>
    <w:rsid w:val="001C3D60"/>
    <w:rsid w:val="001C550D"/>
    <w:rsid w:val="001C6BAB"/>
    <w:rsid w:val="001C6ED2"/>
    <w:rsid w:val="001C7688"/>
    <w:rsid w:val="001C7D75"/>
    <w:rsid w:val="001C7E3D"/>
    <w:rsid w:val="001D1F94"/>
    <w:rsid w:val="001D1FA9"/>
    <w:rsid w:val="001D4832"/>
    <w:rsid w:val="001D50A8"/>
    <w:rsid w:val="001D599E"/>
    <w:rsid w:val="001D59A0"/>
    <w:rsid w:val="001D5CA4"/>
    <w:rsid w:val="001D5E4A"/>
    <w:rsid w:val="001D635A"/>
    <w:rsid w:val="001D78C6"/>
    <w:rsid w:val="001E1D36"/>
    <w:rsid w:val="001E1FD8"/>
    <w:rsid w:val="001E2884"/>
    <w:rsid w:val="001E28EF"/>
    <w:rsid w:val="001E3458"/>
    <w:rsid w:val="001E4941"/>
    <w:rsid w:val="001E60B6"/>
    <w:rsid w:val="001E6A0F"/>
    <w:rsid w:val="001E7405"/>
    <w:rsid w:val="001E7ED4"/>
    <w:rsid w:val="001F1780"/>
    <w:rsid w:val="001F23A7"/>
    <w:rsid w:val="001F2DA1"/>
    <w:rsid w:val="001F4BC7"/>
    <w:rsid w:val="001F506C"/>
    <w:rsid w:val="001F50BC"/>
    <w:rsid w:val="001F559A"/>
    <w:rsid w:val="001F5ABB"/>
    <w:rsid w:val="001F5DF2"/>
    <w:rsid w:val="001F60CF"/>
    <w:rsid w:val="001F6CB2"/>
    <w:rsid w:val="001F6D45"/>
    <w:rsid w:val="002006DD"/>
    <w:rsid w:val="00201399"/>
    <w:rsid w:val="002015AB"/>
    <w:rsid w:val="00201E3B"/>
    <w:rsid w:val="00202071"/>
    <w:rsid w:val="002041DC"/>
    <w:rsid w:val="00204D41"/>
    <w:rsid w:val="002056A2"/>
    <w:rsid w:val="00205A2C"/>
    <w:rsid w:val="0020627E"/>
    <w:rsid w:val="00206C1A"/>
    <w:rsid w:val="00207BB6"/>
    <w:rsid w:val="00210320"/>
    <w:rsid w:val="00210C12"/>
    <w:rsid w:val="00211282"/>
    <w:rsid w:val="00211399"/>
    <w:rsid w:val="0021153C"/>
    <w:rsid w:val="00211DA5"/>
    <w:rsid w:val="00211FEB"/>
    <w:rsid w:val="00212188"/>
    <w:rsid w:val="00212563"/>
    <w:rsid w:val="002125A9"/>
    <w:rsid w:val="00212970"/>
    <w:rsid w:val="002159C2"/>
    <w:rsid w:val="00216298"/>
    <w:rsid w:val="002164CB"/>
    <w:rsid w:val="00217182"/>
    <w:rsid w:val="0022135B"/>
    <w:rsid w:val="00221F56"/>
    <w:rsid w:val="00222842"/>
    <w:rsid w:val="00223285"/>
    <w:rsid w:val="00224EC3"/>
    <w:rsid w:val="00225949"/>
    <w:rsid w:val="00226113"/>
    <w:rsid w:val="00226512"/>
    <w:rsid w:val="002265E1"/>
    <w:rsid w:val="0022678C"/>
    <w:rsid w:val="00226A82"/>
    <w:rsid w:val="002270D7"/>
    <w:rsid w:val="00227BB2"/>
    <w:rsid w:val="00231722"/>
    <w:rsid w:val="00231DD9"/>
    <w:rsid w:val="00232016"/>
    <w:rsid w:val="00232AB6"/>
    <w:rsid w:val="002342A3"/>
    <w:rsid w:val="00234DD8"/>
    <w:rsid w:val="0023544A"/>
    <w:rsid w:val="00235BD2"/>
    <w:rsid w:val="00240205"/>
    <w:rsid w:val="002402E2"/>
    <w:rsid w:val="00240EB0"/>
    <w:rsid w:val="00242B48"/>
    <w:rsid w:val="00242F0C"/>
    <w:rsid w:val="00243A93"/>
    <w:rsid w:val="00244373"/>
    <w:rsid w:val="002450C5"/>
    <w:rsid w:val="0024605B"/>
    <w:rsid w:val="00246B6E"/>
    <w:rsid w:val="00247E0A"/>
    <w:rsid w:val="002504D8"/>
    <w:rsid w:val="00250504"/>
    <w:rsid w:val="002518A9"/>
    <w:rsid w:val="00252A65"/>
    <w:rsid w:val="00252F61"/>
    <w:rsid w:val="00254693"/>
    <w:rsid w:val="002546AA"/>
    <w:rsid w:val="002559AA"/>
    <w:rsid w:val="00255C2E"/>
    <w:rsid w:val="002564C0"/>
    <w:rsid w:val="00256D40"/>
    <w:rsid w:val="00257CE8"/>
    <w:rsid w:val="00260785"/>
    <w:rsid w:val="00260E23"/>
    <w:rsid w:val="002616D6"/>
    <w:rsid w:val="002619B9"/>
    <w:rsid w:val="00261B18"/>
    <w:rsid w:val="00261C08"/>
    <w:rsid w:val="002623F9"/>
    <w:rsid w:val="00262A95"/>
    <w:rsid w:val="0026304F"/>
    <w:rsid w:val="0026476D"/>
    <w:rsid w:val="002658E2"/>
    <w:rsid w:val="00265ECA"/>
    <w:rsid w:val="0026654D"/>
    <w:rsid w:val="00266DEC"/>
    <w:rsid w:val="0026766C"/>
    <w:rsid w:val="00267C0D"/>
    <w:rsid w:val="00267F6E"/>
    <w:rsid w:val="002725AC"/>
    <w:rsid w:val="00272CB2"/>
    <w:rsid w:val="00274688"/>
    <w:rsid w:val="00274B87"/>
    <w:rsid w:val="00274F17"/>
    <w:rsid w:val="00274FAD"/>
    <w:rsid w:val="00274FCC"/>
    <w:rsid w:val="00276CA6"/>
    <w:rsid w:val="0028013B"/>
    <w:rsid w:val="002802FD"/>
    <w:rsid w:val="0028333A"/>
    <w:rsid w:val="0028405D"/>
    <w:rsid w:val="0028409C"/>
    <w:rsid w:val="00284BC9"/>
    <w:rsid w:val="002857F1"/>
    <w:rsid w:val="002858A7"/>
    <w:rsid w:val="00286095"/>
    <w:rsid w:val="00286362"/>
    <w:rsid w:val="00287429"/>
    <w:rsid w:val="00287F46"/>
    <w:rsid w:val="00290537"/>
    <w:rsid w:val="002917BF"/>
    <w:rsid w:val="00291A64"/>
    <w:rsid w:val="0029215B"/>
    <w:rsid w:val="002925AF"/>
    <w:rsid w:val="0029390B"/>
    <w:rsid w:val="002954BA"/>
    <w:rsid w:val="00295BBE"/>
    <w:rsid w:val="00296717"/>
    <w:rsid w:val="00296C62"/>
    <w:rsid w:val="00296D6D"/>
    <w:rsid w:val="00296FB3"/>
    <w:rsid w:val="00297DAD"/>
    <w:rsid w:val="00297E61"/>
    <w:rsid w:val="00297EF8"/>
    <w:rsid w:val="002A0188"/>
    <w:rsid w:val="002A0353"/>
    <w:rsid w:val="002A0467"/>
    <w:rsid w:val="002A07D2"/>
    <w:rsid w:val="002A1119"/>
    <w:rsid w:val="002A3D06"/>
    <w:rsid w:val="002A3F13"/>
    <w:rsid w:val="002A4088"/>
    <w:rsid w:val="002A45F1"/>
    <w:rsid w:val="002A4641"/>
    <w:rsid w:val="002A5569"/>
    <w:rsid w:val="002A5990"/>
    <w:rsid w:val="002A6259"/>
    <w:rsid w:val="002A63BB"/>
    <w:rsid w:val="002A702E"/>
    <w:rsid w:val="002A73AB"/>
    <w:rsid w:val="002A766E"/>
    <w:rsid w:val="002A7CD5"/>
    <w:rsid w:val="002A7D71"/>
    <w:rsid w:val="002B0229"/>
    <w:rsid w:val="002B0D9F"/>
    <w:rsid w:val="002B0E18"/>
    <w:rsid w:val="002B1C62"/>
    <w:rsid w:val="002B27D3"/>
    <w:rsid w:val="002B316D"/>
    <w:rsid w:val="002B3300"/>
    <w:rsid w:val="002B39E5"/>
    <w:rsid w:val="002B4827"/>
    <w:rsid w:val="002B5AA6"/>
    <w:rsid w:val="002B7D2A"/>
    <w:rsid w:val="002C0A8B"/>
    <w:rsid w:val="002C1362"/>
    <w:rsid w:val="002C3B62"/>
    <w:rsid w:val="002C79CA"/>
    <w:rsid w:val="002D06B1"/>
    <w:rsid w:val="002D2057"/>
    <w:rsid w:val="002D269E"/>
    <w:rsid w:val="002D3946"/>
    <w:rsid w:val="002D5053"/>
    <w:rsid w:val="002D585B"/>
    <w:rsid w:val="002D5F21"/>
    <w:rsid w:val="002D7D3E"/>
    <w:rsid w:val="002E05A5"/>
    <w:rsid w:val="002E1089"/>
    <w:rsid w:val="002E1A78"/>
    <w:rsid w:val="002E1F75"/>
    <w:rsid w:val="002E1F84"/>
    <w:rsid w:val="002E2681"/>
    <w:rsid w:val="002E269F"/>
    <w:rsid w:val="002E2A13"/>
    <w:rsid w:val="002E36C9"/>
    <w:rsid w:val="002E3BE6"/>
    <w:rsid w:val="002E59B8"/>
    <w:rsid w:val="002E6932"/>
    <w:rsid w:val="002E7E39"/>
    <w:rsid w:val="002F0472"/>
    <w:rsid w:val="002F0485"/>
    <w:rsid w:val="002F123A"/>
    <w:rsid w:val="002F1400"/>
    <w:rsid w:val="002F185B"/>
    <w:rsid w:val="002F2380"/>
    <w:rsid w:val="002F2B00"/>
    <w:rsid w:val="002F2C6B"/>
    <w:rsid w:val="002F3BA8"/>
    <w:rsid w:val="002F44B9"/>
    <w:rsid w:val="002F454C"/>
    <w:rsid w:val="002F45D0"/>
    <w:rsid w:val="002F4A45"/>
    <w:rsid w:val="002F51E5"/>
    <w:rsid w:val="002F5224"/>
    <w:rsid w:val="002F5A4D"/>
    <w:rsid w:val="002F69FE"/>
    <w:rsid w:val="002F7B32"/>
    <w:rsid w:val="00300933"/>
    <w:rsid w:val="003014C0"/>
    <w:rsid w:val="003025EE"/>
    <w:rsid w:val="003027C0"/>
    <w:rsid w:val="00302994"/>
    <w:rsid w:val="003034B3"/>
    <w:rsid w:val="00304571"/>
    <w:rsid w:val="0030483C"/>
    <w:rsid w:val="003050C0"/>
    <w:rsid w:val="003053BB"/>
    <w:rsid w:val="00305436"/>
    <w:rsid w:val="00305CC8"/>
    <w:rsid w:val="00306143"/>
    <w:rsid w:val="0030624F"/>
    <w:rsid w:val="003100BB"/>
    <w:rsid w:val="00311A57"/>
    <w:rsid w:val="003125BA"/>
    <w:rsid w:val="003125D2"/>
    <w:rsid w:val="00313D8D"/>
    <w:rsid w:val="00314650"/>
    <w:rsid w:val="00315354"/>
    <w:rsid w:val="003156BE"/>
    <w:rsid w:val="00316453"/>
    <w:rsid w:val="00316670"/>
    <w:rsid w:val="003166EB"/>
    <w:rsid w:val="00317B8E"/>
    <w:rsid w:val="0032088F"/>
    <w:rsid w:val="00320C6A"/>
    <w:rsid w:val="00321106"/>
    <w:rsid w:val="00321CBC"/>
    <w:rsid w:val="00321DF0"/>
    <w:rsid w:val="00321F08"/>
    <w:rsid w:val="00322321"/>
    <w:rsid w:val="003227DF"/>
    <w:rsid w:val="00324CD4"/>
    <w:rsid w:val="0032530B"/>
    <w:rsid w:val="00325AAA"/>
    <w:rsid w:val="00326F8C"/>
    <w:rsid w:val="00326F9B"/>
    <w:rsid w:val="003271A6"/>
    <w:rsid w:val="003273C7"/>
    <w:rsid w:val="00330267"/>
    <w:rsid w:val="00330B65"/>
    <w:rsid w:val="00331D91"/>
    <w:rsid w:val="00332907"/>
    <w:rsid w:val="003331C8"/>
    <w:rsid w:val="0033376C"/>
    <w:rsid w:val="00334DA3"/>
    <w:rsid w:val="00335115"/>
    <w:rsid w:val="0033574A"/>
    <w:rsid w:val="0033576C"/>
    <w:rsid w:val="0033576E"/>
    <w:rsid w:val="00335C92"/>
    <w:rsid w:val="00336DDC"/>
    <w:rsid w:val="00337DE2"/>
    <w:rsid w:val="0034131C"/>
    <w:rsid w:val="00342DEE"/>
    <w:rsid w:val="003435BD"/>
    <w:rsid w:val="00343C36"/>
    <w:rsid w:val="003447C5"/>
    <w:rsid w:val="003448AA"/>
    <w:rsid w:val="00344F36"/>
    <w:rsid w:val="00347905"/>
    <w:rsid w:val="00350377"/>
    <w:rsid w:val="00350C08"/>
    <w:rsid w:val="003514F2"/>
    <w:rsid w:val="0035175F"/>
    <w:rsid w:val="00351D82"/>
    <w:rsid w:val="00351EBB"/>
    <w:rsid w:val="003535FF"/>
    <w:rsid w:val="003550E0"/>
    <w:rsid w:val="003553FB"/>
    <w:rsid w:val="0035558A"/>
    <w:rsid w:val="00355B47"/>
    <w:rsid w:val="00356589"/>
    <w:rsid w:val="00360E58"/>
    <w:rsid w:val="003615BE"/>
    <w:rsid w:val="003625AA"/>
    <w:rsid w:val="0036278C"/>
    <w:rsid w:val="00362876"/>
    <w:rsid w:val="00363466"/>
    <w:rsid w:val="00363AE9"/>
    <w:rsid w:val="003648EC"/>
    <w:rsid w:val="00364CAD"/>
    <w:rsid w:val="00364DB0"/>
    <w:rsid w:val="00364F33"/>
    <w:rsid w:val="00365312"/>
    <w:rsid w:val="0036612C"/>
    <w:rsid w:val="0036628C"/>
    <w:rsid w:val="00367395"/>
    <w:rsid w:val="003705AB"/>
    <w:rsid w:val="003709B1"/>
    <w:rsid w:val="003710E2"/>
    <w:rsid w:val="00371709"/>
    <w:rsid w:val="00371BDB"/>
    <w:rsid w:val="00372145"/>
    <w:rsid w:val="0037337E"/>
    <w:rsid w:val="0037385D"/>
    <w:rsid w:val="00374C6D"/>
    <w:rsid w:val="00374E8C"/>
    <w:rsid w:val="003750F2"/>
    <w:rsid w:val="00375203"/>
    <w:rsid w:val="003753B2"/>
    <w:rsid w:val="003754DC"/>
    <w:rsid w:val="0037666F"/>
    <w:rsid w:val="003768AA"/>
    <w:rsid w:val="00377787"/>
    <w:rsid w:val="00379199"/>
    <w:rsid w:val="003802D8"/>
    <w:rsid w:val="00381035"/>
    <w:rsid w:val="00381096"/>
    <w:rsid w:val="003816BF"/>
    <w:rsid w:val="00381E3C"/>
    <w:rsid w:val="00381EB0"/>
    <w:rsid w:val="003827F3"/>
    <w:rsid w:val="00382BBA"/>
    <w:rsid w:val="00382BE9"/>
    <w:rsid w:val="00385522"/>
    <w:rsid w:val="00385D13"/>
    <w:rsid w:val="00385F21"/>
    <w:rsid w:val="003865B7"/>
    <w:rsid w:val="003866B5"/>
    <w:rsid w:val="00387F67"/>
    <w:rsid w:val="00390C5E"/>
    <w:rsid w:val="003921AC"/>
    <w:rsid w:val="003925E3"/>
    <w:rsid w:val="00393342"/>
    <w:rsid w:val="003937D8"/>
    <w:rsid w:val="00394AE7"/>
    <w:rsid w:val="003953AB"/>
    <w:rsid w:val="0039544C"/>
    <w:rsid w:val="00395D12"/>
    <w:rsid w:val="00395DFD"/>
    <w:rsid w:val="00396982"/>
    <w:rsid w:val="00397440"/>
    <w:rsid w:val="003A1BF9"/>
    <w:rsid w:val="003A28CB"/>
    <w:rsid w:val="003A2EED"/>
    <w:rsid w:val="003A3E01"/>
    <w:rsid w:val="003A402D"/>
    <w:rsid w:val="003A4677"/>
    <w:rsid w:val="003A4892"/>
    <w:rsid w:val="003A7969"/>
    <w:rsid w:val="003A7F49"/>
    <w:rsid w:val="003B01CA"/>
    <w:rsid w:val="003B0872"/>
    <w:rsid w:val="003B18FE"/>
    <w:rsid w:val="003B22E8"/>
    <w:rsid w:val="003B2971"/>
    <w:rsid w:val="003B37ED"/>
    <w:rsid w:val="003B38BF"/>
    <w:rsid w:val="003B45C6"/>
    <w:rsid w:val="003B481B"/>
    <w:rsid w:val="003B5234"/>
    <w:rsid w:val="003B5BFE"/>
    <w:rsid w:val="003B6520"/>
    <w:rsid w:val="003B760A"/>
    <w:rsid w:val="003B7B39"/>
    <w:rsid w:val="003C0DE7"/>
    <w:rsid w:val="003C1162"/>
    <w:rsid w:val="003C12F1"/>
    <w:rsid w:val="003C19A8"/>
    <w:rsid w:val="003C1E1E"/>
    <w:rsid w:val="003C27EA"/>
    <w:rsid w:val="003C2F7B"/>
    <w:rsid w:val="003C32DE"/>
    <w:rsid w:val="003C3450"/>
    <w:rsid w:val="003C4100"/>
    <w:rsid w:val="003C4440"/>
    <w:rsid w:val="003C56A3"/>
    <w:rsid w:val="003C5731"/>
    <w:rsid w:val="003CBCF0"/>
    <w:rsid w:val="003D18C4"/>
    <w:rsid w:val="003D1A46"/>
    <w:rsid w:val="003D2994"/>
    <w:rsid w:val="003D2F91"/>
    <w:rsid w:val="003D31E0"/>
    <w:rsid w:val="003D32DD"/>
    <w:rsid w:val="003D3684"/>
    <w:rsid w:val="003D3F29"/>
    <w:rsid w:val="003D68ED"/>
    <w:rsid w:val="003E04D1"/>
    <w:rsid w:val="003E0802"/>
    <w:rsid w:val="003E0E17"/>
    <w:rsid w:val="003E0F64"/>
    <w:rsid w:val="003E193C"/>
    <w:rsid w:val="003E360D"/>
    <w:rsid w:val="003E3A79"/>
    <w:rsid w:val="003E3B96"/>
    <w:rsid w:val="003E49F8"/>
    <w:rsid w:val="003E5E9E"/>
    <w:rsid w:val="003F0704"/>
    <w:rsid w:val="003F160D"/>
    <w:rsid w:val="003F1ADD"/>
    <w:rsid w:val="003F31FC"/>
    <w:rsid w:val="003F37BF"/>
    <w:rsid w:val="003F3A42"/>
    <w:rsid w:val="003F6465"/>
    <w:rsid w:val="003F65FD"/>
    <w:rsid w:val="003F66C6"/>
    <w:rsid w:val="003F6992"/>
    <w:rsid w:val="003F6A91"/>
    <w:rsid w:val="003F7B86"/>
    <w:rsid w:val="00401B47"/>
    <w:rsid w:val="004022AA"/>
    <w:rsid w:val="00402327"/>
    <w:rsid w:val="004029EB"/>
    <w:rsid w:val="00402A53"/>
    <w:rsid w:val="0040385C"/>
    <w:rsid w:val="00403C5F"/>
    <w:rsid w:val="00403D23"/>
    <w:rsid w:val="004041BA"/>
    <w:rsid w:val="00404994"/>
    <w:rsid w:val="00404CA5"/>
    <w:rsid w:val="0040547A"/>
    <w:rsid w:val="004054B6"/>
    <w:rsid w:val="0040556B"/>
    <w:rsid w:val="0040575B"/>
    <w:rsid w:val="00405D1E"/>
    <w:rsid w:val="0040666F"/>
    <w:rsid w:val="00407A9D"/>
    <w:rsid w:val="0041092E"/>
    <w:rsid w:val="00411DCE"/>
    <w:rsid w:val="00412471"/>
    <w:rsid w:val="00413160"/>
    <w:rsid w:val="004132B6"/>
    <w:rsid w:val="00413BC1"/>
    <w:rsid w:val="00416B09"/>
    <w:rsid w:val="00420A93"/>
    <w:rsid w:val="004212DF"/>
    <w:rsid w:val="0042165D"/>
    <w:rsid w:val="00421B52"/>
    <w:rsid w:val="00422AA9"/>
    <w:rsid w:val="00422AFE"/>
    <w:rsid w:val="00422D89"/>
    <w:rsid w:val="004237BE"/>
    <w:rsid w:val="0042433F"/>
    <w:rsid w:val="00424EBC"/>
    <w:rsid w:val="00425256"/>
    <w:rsid w:val="004259D2"/>
    <w:rsid w:val="004262EF"/>
    <w:rsid w:val="0042696E"/>
    <w:rsid w:val="00426BDA"/>
    <w:rsid w:val="00430086"/>
    <w:rsid w:val="00432220"/>
    <w:rsid w:val="00432F3D"/>
    <w:rsid w:val="00433CCB"/>
    <w:rsid w:val="004357DC"/>
    <w:rsid w:val="00440D79"/>
    <w:rsid w:val="00441BA1"/>
    <w:rsid w:val="00443DB0"/>
    <w:rsid w:val="00444C20"/>
    <w:rsid w:val="00446717"/>
    <w:rsid w:val="0045160F"/>
    <w:rsid w:val="00451BEB"/>
    <w:rsid w:val="00451C5B"/>
    <w:rsid w:val="00452658"/>
    <w:rsid w:val="00452948"/>
    <w:rsid w:val="00453162"/>
    <w:rsid w:val="00453DF1"/>
    <w:rsid w:val="00455A78"/>
    <w:rsid w:val="0045678F"/>
    <w:rsid w:val="004568B6"/>
    <w:rsid w:val="0045770E"/>
    <w:rsid w:val="004611F0"/>
    <w:rsid w:val="00462417"/>
    <w:rsid w:val="00462E5D"/>
    <w:rsid w:val="00462F21"/>
    <w:rsid w:val="004635D8"/>
    <w:rsid w:val="00463780"/>
    <w:rsid w:val="0046404B"/>
    <w:rsid w:val="004646EB"/>
    <w:rsid w:val="00464761"/>
    <w:rsid w:val="0046482D"/>
    <w:rsid w:val="00464EA9"/>
    <w:rsid w:val="0046566F"/>
    <w:rsid w:val="00466277"/>
    <w:rsid w:val="004668AA"/>
    <w:rsid w:val="004676CA"/>
    <w:rsid w:val="00467E6B"/>
    <w:rsid w:val="00467F5F"/>
    <w:rsid w:val="0047035A"/>
    <w:rsid w:val="004703AA"/>
    <w:rsid w:val="004708BF"/>
    <w:rsid w:val="00471E9B"/>
    <w:rsid w:val="00472837"/>
    <w:rsid w:val="004732E9"/>
    <w:rsid w:val="00474072"/>
    <w:rsid w:val="0047486A"/>
    <w:rsid w:val="004748C3"/>
    <w:rsid w:val="004748EB"/>
    <w:rsid w:val="00474D65"/>
    <w:rsid w:val="00475003"/>
    <w:rsid w:val="00475630"/>
    <w:rsid w:val="00476E58"/>
    <w:rsid w:val="00476FB8"/>
    <w:rsid w:val="004773EB"/>
    <w:rsid w:val="0047778A"/>
    <w:rsid w:val="004810CC"/>
    <w:rsid w:val="00481315"/>
    <w:rsid w:val="004822F7"/>
    <w:rsid w:val="004824CC"/>
    <w:rsid w:val="004828BD"/>
    <w:rsid w:val="0048295D"/>
    <w:rsid w:val="00483497"/>
    <w:rsid w:val="0048415A"/>
    <w:rsid w:val="00485614"/>
    <w:rsid w:val="00485A76"/>
    <w:rsid w:val="00486869"/>
    <w:rsid w:val="0048714D"/>
    <w:rsid w:val="0049153A"/>
    <w:rsid w:val="004922CF"/>
    <w:rsid w:val="00492546"/>
    <w:rsid w:val="00492C64"/>
    <w:rsid w:val="00493AC5"/>
    <w:rsid w:val="0049455F"/>
    <w:rsid w:val="00494BC5"/>
    <w:rsid w:val="004966B4"/>
    <w:rsid w:val="00496768"/>
    <w:rsid w:val="00497BAD"/>
    <w:rsid w:val="004A20A7"/>
    <w:rsid w:val="004A391F"/>
    <w:rsid w:val="004A39E3"/>
    <w:rsid w:val="004A3BCE"/>
    <w:rsid w:val="004A4109"/>
    <w:rsid w:val="004A44A5"/>
    <w:rsid w:val="004A4DEA"/>
    <w:rsid w:val="004A52DB"/>
    <w:rsid w:val="004A55FC"/>
    <w:rsid w:val="004A5835"/>
    <w:rsid w:val="004A6312"/>
    <w:rsid w:val="004A6A33"/>
    <w:rsid w:val="004A71B9"/>
    <w:rsid w:val="004A76DB"/>
    <w:rsid w:val="004A7FA6"/>
    <w:rsid w:val="004B0931"/>
    <w:rsid w:val="004B1A14"/>
    <w:rsid w:val="004B1B1C"/>
    <w:rsid w:val="004B26B7"/>
    <w:rsid w:val="004B27B8"/>
    <w:rsid w:val="004B3F5B"/>
    <w:rsid w:val="004B46BB"/>
    <w:rsid w:val="004B5B1B"/>
    <w:rsid w:val="004B6188"/>
    <w:rsid w:val="004C08D9"/>
    <w:rsid w:val="004C0BA4"/>
    <w:rsid w:val="004C1970"/>
    <w:rsid w:val="004C27A8"/>
    <w:rsid w:val="004C29B1"/>
    <w:rsid w:val="004C2CFF"/>
    <w:rsid w:val="004C349B"/>
    <w:rsid w:val="004C4F4F"/>
    <w:rsid w:val="004C5CDC"/>
    <w:rsid w:val="004C5EB5"/>
    <w:rsid w:val="004C7709"/>
    <w:rsid w:val="004D017B"/>
    <w:rsid w:val="004D09F1"/>
    <w:rsid w:val="004D0A93"/>
    <w:rsid w:val="004D1F00"/>
    <w:rsid w:val="004D23BE"/>
    <w:rsid w:val="004D2C7D"/>
    <w:rsid w:val="004D343D"/>
    <w:rsid w:val="004D4604"/>
    <w:rsid w:val="004D4F91"/>
    <w:rsid w:val="004D6B5A"/>
    <w:rsid w:val="004D6C14"/>
    <w:rsid w:val="004D7CD5"/>
    <w:rsid w:val="004E0AA3"/>
    <w:rsid w:val="004E1F5B"/>
    <w:rsid w:val="004E328F"/>
    <w:rsid w:val="004E478C"/>
    <w:rsid w:val="004E4E38"/>
    <w:rsid w:val="004E6377"/>
    <w:rsid w:val="004E7977"/>
    <w:rsid w:val="004F0A3A"/>
    <w:rsid w:val="004F1598"/>
    <w:rsid w:val="004F18F0"/>
    <w:rsid w:val="004F1FD6"/>
    <w:rsid w:val="004F2790"/>
    <w:rsid w:val="004F2F48"/>
    <w:rsid w:val="004F3266"/>
    <w:rsid w:val="004F3F50"/>
    <w:rsid w:val="004F4E2D"/>
    <w:rsid w:val="004F4F0C"/>
    <w:rsid w:val="004F5281"/>
    <w:rsid w:val="004F54E8"/>
    <w:rsid w:val="004F657D"/>
    <w:rsid w:val="004F6E9B"/>
    <w:rsid w:val="004F741E"/>
    <w:rsid w:val="00500425"/>
    <w:rsid w:val="00501139"/>
    <w:rsid w:val="0050140C"/>
    <w:rsid w:val="00501724"/>
    <w:rsid w:val="00501F6F"/>
    <w:rsid w:val="0050257D"/>
    <w:rsid w:val="005026E7"/>
    <w:rsid w:val="00502D89"/>
    <w:rsid w:val="00502E03"/>
    <w:rsid w:val="00503330"/>
    <w:rsid w:val="00503A38"/>
    <w:rsid w:val="00503EC7"/>
    <w:rsid w:val="00504B7F"/>
    <w:rsid w:val="00504ECA"/>
    <w:rsid w:val="00505332"/>
    <w:rsid w:val="00505790"/>
    <w:rsid w:val="005076AF"/>
    <w:rsid w:val="00507AC9"/>
    <w:rsid w:val="0051092F"/>
    <w:rsid w:val="00510C93"/>
    <w:rsid w:val="00510CA6"/>
    <w:rsid w:val="00510F93"/>
    <w:rsid w:val="00512524"/>
    <w:rsid w:val="0051275C"/>
    <w:rsid w:val="00513C55"/>
    <w:rsid w:val="0051407C"/>
    <w:rsid w:val="0051464F"/>
    <w:rsid w:val="00514D0A"/>
    <w:rsid w:val="0051500C"/>
    <w:rsid w:val="005150C4"/>
    <w:rsid w:val="005163D7"/>
    <w:rsid w:val="00516E26"/>
    <w:rsid w:val="00517797"/>
    <w:rsid w:val="00517873"/>
    <w:rsid w:val="00521418"/>
    <w:rsid w:val="00523BE2"/>
    <w:rsid w:val="00523D6D"/>
    <w:rsid w:val="00524DD9"/>
    <w:rsid w:val="00524F95"/>
    <w:rsid w:val="00525650"/>
    <w:rsid w:val="0052576A"/>
    <w:rsid w:val="00525DC6"/>
    <w:rsid w:val="00526094"/>
    <w:rsid w:val="0052620C"/>
    <w:rsid w:val="00527077"/>
    <w:rsid w:val="0052764C"/>
    <w:rsid w:val="00527C0C"/>
    <w:rsid w:val="0053012B"/>
    <w:rsid w:val="005304C5"/>
    <w:rsid w:val="00530975"/>
    <w:rsid w:val="00533692"/>
    <w:rsid w:val="00533EEB"/>
    <w:rsid w:val="00537504"/>
    <w:rsid w:val="00537753"/>
    <w:rsid w:val="00537948"/>
    <w:rsid w:val="00537F08"/>
    <w:rsid w:val="00540B11"/>
    <w:rsid w:val="00540D5B"/>
    <w:rsid w:val="00541898"/>
    <w:rsid w:val="005418D4"/>
    <w:rsid w:val="00541ED8"/>
    <w:rsid w:val="005423FD"/>
    <w:rsid w:val="00543598"/>
    <w:rsid w:val="00544B09"/>
    <w:rsid w:val="00544CFE"/>
    <w:rsid w:val="0054535D"/>
    <w:rsid w:val="005464D2"/>
    <w:rsid w:val="0054758F"/>
    <w:rsid w:val="00552B55"/>
    <w:rsid w:val="005542B8"/>
    <w:rsid w:val="00555AF6"/>
    <w:rsid w:val="00555D73"/>
    <w:rsid w:val="0055672C"/>
    <w:rsid w:val="00556CA9"/>
    <w:rsid w:val="00560669"/>
    <w:rsid w:val="005611FF"/>
    <w:rsid w:val="0056293B"/>
    <w:rsid w:val="00565050"/>
    <w:rsid w:val="00565431"/>
    <w:rsid w:val="00565F6B"/>
    <w:rsid w:val="005665E0"/>
    <w:rsid w:val="00566987"/>
    <w:rsid w:val="00566A66"/>
    <w:rsid w:val="005702BC"/>
    <w:rsid w:val="0057288C"/>
    <w:rsid w:val="005735CA"/>
    <w:rsid w:val="00573A2C"/>
    <w:rsid w:val="005747EF"/>
    <w:rsid w:val="00574C40"/>
    <w:rsid w:val="0057576E"/>
    <w:rsid w:val="00575A06"/>
    <w:rsid w:val="00576B0E"/>
    <w:rsid w:val="00580BD8"/>
    <w:rsid w:val="005817E3"/>
    <w:rsid w:val="005824A7"/>
    <w:rsid w:val="005832AA"/>
    <w:rsid w:val="005834E9"/>
    <w:rsid w:val="00584F2D"/>
    <w:rsid w:val="0058596E"/>
    <w:rsid w:val="00586269"/>
    <w:rsid w:val="0058659E"/>
    <w:rsid w:val="005866B1"/>
    <w:rsid w:val="00586B13"/>
    <w:rsid w:val="00590D78"/>
    <w:rsid w:val="00590DBA"/>
    <w:rsid w:val="00591211"/>
    <w:rsid w:val="00591E4D"/>
    <w:rsid w:val="00592779"/>
    <w:rsid w:val="005928FB"/>
    <w:rsid w:val="005939EB"/>
    <w:rsid w:val="00594AF8"/>
    <w:rsid w:val="00595957"/>
    <w:rsid w:val="00595BA6"/>
    <w:rsid w:val="005A0388"/>
    <w:rsid w:val="005A0C41"/>
    <w:rsid w:val="005A0E02"/>
    <w:rsid w:val="005A0EFF"/>
    <w:rsid w:val="005A1360"/>
    <w:rsid w:val="005A1890"/>
    <w:rsid w:val="005A1A33"/>
    <w:rsid w:val="005A1A39"/>
    <w:rsid w:val="005A1D34"/>
    <w:rsid w:val="005A1DE0"/>
    <w:rsid w:val="005A277B"/>
    <w:rsid w:val="005A3FCA"/>
    <w:rsid w:val="005A4164"/>
    <w:rsid w:val="005A4524"/>
    <w:rsid w:val="005A4E4D"/>
    <w:rsid w:val="005A4F70"/>
    <w:rsid w:val="005A6F48"/>
    <w:rsid w:val="005A7212"/>
    <w:rsid w:val="005A755D"/>
    <w:rsid w:val="005B0456"/>
    <w:rsid w:val="005B04E6"/>
    <w:rsid w:val="005B0B98"/>
    <w:rsid w:val="005B0D8D"/>
    <w:rsid w:val="005B0DE5"/>
    <w:rsid w:val="005B11A9"/>
    <w:rsid w:val="005B1EB0"/>
    <w:rsid w:val="005B2B27"/>
    <w:rsid w:val="005B3E7F"/>
    <w:rsid w:val="005B3F48"/>
    <w:rsid w:val="005B5EBA"/>
    <w:rsid w:val="005B6865"/>
    <w:rsid w:val="005B7F78"/>
    <w:rsid w:val="005C1A1B"/>
    <w:rsid w:val="005C21D6"/>
    <w:rsid w:val="005C23A4"/>
    <w:rsid w:val="005C2FBB"/>
    <w:rsid w:val="005C47A8"/>
    <w:rsid w:val="005C61C4"/>
    <w:rsid w:val="005C7A43"/>
    <w:rsid w:val="005C7AF4"/>
    <w:rsid w:val="005C7F9A"/>
    <w:rsid w:val="005D217E"/>
    <w:rsid w:val="005D26A2"/>
    <w:rsid w:val="005D35FF"/>
    <w:rsid w:val="005D36F7"/>
    <w:rsid w:val="005D3AD2"/>
    <w:rsid w:val="005D3EAA"/>
    <w:rsid w:val="005D462B"/>
    <w:rsid w:val="005D4E48"/>
    <w:rsid w:val="005D4FBD"/>
    <w:rsid w:val="005D52FB"/>
    <w:rsid w:val="005D59E3"/>
    <w:rsid w:val="005D63BC"/>
    <w:rsid w:val="005DCC92"/>
    <w:rsid w:val="005E01F3"/>
    <w:rsid w:val="005E0AC4"/>
    <w:rsid w:val="005E1506"/>
    <w:rsid w:val="005E1584"/>
    <w:rsid w:val="005E166F"/>
    <w:rsid w:val="005E1C83"/>
    <w:rsid w:val="005E2508"/>
    <w:rsid w:val="005E2DBD"/>
    <w:rsid w:val="005E33F1"/>
    <w:rsid w:val="005E36B2"/>
    <w:rsid w:val="005E3F27"/>
    <w:rsid w:val="005E467F"/>
    <w:rsid w:val="005E5952"/>
    <w:rsid w:val="005F033D"/>
    <w:rsid w:val="005F12AD"/>
    <w:rsid w:val="005F1907"/>
    <w:rsid w:val="005F3DF3"/>
    <w:rsid w:val="005F470B"/>
    <w:rsid w:val="005F5137"/>
    <w:rsid w:val="005F670A"/>
    <w:rsid w:val="005F6D58"/>
    <w:rsid w:val="005F7683"/>
    <w:rsid w:val="0060054A"/>
    <w:rsid w:val="00601C26"/>
    <w:rsid w:val="006024CD"/>
    <w:rsid w:val="00602606"/>
    <w:rsid w:val="00602FC3"/>
    <w:rsid w:val="00603344"/>
    <w:rsid w:val="006040B0"/>
    <w:rsid w:val="006044F2"/>
    <w:rsid w:val="00604767"/>
    <w:rsid w:val="00604A83"/>
    <w:rsid w:val="00604BAA"/>
    <w:rsid w:val="006053E9"/>
    <w:rsid w:val="00605483"/>
    <w:rsid w:val="00605916"/>
    <w:rsid w:val="0060777A"/>
    <w:rsid w:val="00607B95"/>
    <w:rsid w:val="00610753"/>
    <w:rsid w:val="00611918"/>
    <w:rsid w:val="00611963"/>
    <w:rsid w:val="0061201B"/>
    <w:rsid w:val="00612285"/>
    <w:rsid w:val="006124A6"/>
    <w:rsid w:val="00612949"/>
    <w:rsid w:val="00613979"/>
    <w:rsid w:val="00613C7C"/>
    <w:rsid w:val="00615373"/>
    <w:rsid w:val="006159AB"/>
    <w:rsid w:val="00616A0F"/>
    <w:rsid w:val="00616DEC"/>
    <w:rsid w:val="006172AD"/>
    <w:rsid w:val="00617C02"/>
    <w:rsid w:val="00620872"/>
    <w:rsid w:val="00620F7D"/>
    <w:rsid w:val="00621BB5"/>
    <w:rsid w:val="0062400D"/>
    <w:rsid w:val="00624308"/>
    <w:rsid w:val="006246A4"/>
    <w:rsid w:val="006246C1"/>
    <w:rsid w:val="006247E6"/>
    <w:rsid w:val="00624838"/>
    <w:rsid w:val="00626B83"/>
    <w:rsid w:val="00626CDF"/>
    <w:rsid w:val="00627380"/>
    <w:rsid w:val="0063092B"/>
    <w:rsid w:val="00630B2E"/>
    <w:rsid w:val="00630DA0"/>
    <w:rsid w:val="00632672"/>
    <w:rsid w:val="006347D4"/>
    <w:rsid w:val="006350F9"/>
    <w:rsid w:val="006354C4"/>
    <w:rsid w:val="006366DE"/>
    <w:rsid w:val="0063696A"/>
    <w:rsid w:val="006378BE"/>
    <w:rsid w:val="00637A68"/>
    <w:rsid w:val="00640AC7"/>
    <w:rsid w:val="00642AF3"/>
    <w:rsid w:val="00643715"/>
    <w:rsid w:val="0064392B"/>
    <w:rsid w:val="00644B7B"/>
    <w:rsid w:val="00645197"/>
    <w:rsid w:val="00645915"/>
    <w:rsid w:val="006459AA"/>
    <w:rsid w:val="006467FF"/>
    <w:rsid w:val="006473DF"/>
    <w:rsid w:val="00647F88"/>
    <w:rsid w:val="0065059F"/>
    <w:rsid w:val="006513DF"/>
    <w:rsid w:val="0065150D"/>
    <w:rsid w:val="00652363"/>
    <w:rsid w:val="00653466"/>
    <w:rsid w:val="00653658"/>
    <w:rsid w:val="006540EB"/>
    <w:rsid w:val="0065429E"/>
    <w:rsid w:val="00655605"/>
    <w:rsid w:val="006576D8"/>
    <w:rsid w:val="006602C5"/>
    <w:rsid w:val="00662D63"/>
    <w:rsid w:val="006632AA"/>
    <w:rsid w:val="00664074"/>
    <w:rsid w:val="00664922"/>
    <w:rsid w:val="006656D7"/>
    <w:rsid w:val="00665E25"/>
    <w:rsid w:val="006661F9"/>
    <w:rsid w:val="00666E56"/>
    <w:rsid w:val="00667D76"/>
    <w:rsid w:val="00670074"/>
    <w:rsid w:val="006703AA"/>
    <w:rsid w:val="00670722"/>
    <w:rsid w:val="006726D6"/>
    <w:rsid w:val="006731DB"/>
    <w:rsid w:val="00674ABA"/>
    <w:rsid w:val="006754AD"/>
    <w:rsid w:val="00675768"/>
    <w:rsid w:val="0067791B"/>
    <w:rsid w:val="00680405"/>
    <w:rsid w:val="00680B0C"/>
    <w:rsid w:val="00680CC3"/>
    <w:rsid w:val="00681206"/>
    <w:rsid w:val="00681623"/>
    <w:rsid w:val="00681CD6"/>
    <w:rsid w:val="00681D87"/>
    <w:rsid w:val="00684F15"/>
    <w:rsid w:val="006853E3"/>
    <w:rsid w:val="00685896"/>
    <w:rsid w:val="00685DF9"/>
    <w:rsid w:val="00686EEA"/>
    <w:rsid w:val="00687859"/>
    <w:rsid w:val="0069016B"/>
    <w:rsid w:val="00690370"/>
    <w:rsid w:val="00690680"/>
    <w:rsid w:val="00690BF3"/>
    <w:rsid w:val="00691002"/>
    <w:rsid w:val="006912AC"/>
    <w:rsid w:val="0069177A"/>
    <w:rsid w:val="0069196E"/>
    <w:rsid w:val="006923EB"/>
    <w:rsid w:val="00692626"/>
    <w:rsid w:val="0069288B"/>
    <w:rsid w:val="00693819"/>
    <w:rsid w:val="00695C16"/>
    <w:rsid w:val="00695FAC"/>
    <w:rsid w:val="00697955"/>
    <w:rsid w:val="00697BC9"/>
    <w:rsid w:val="00697BCF"/>
    <w:rsid w:val="006A1880"/>
    <w:rsid w:val="006A1C4E"/>
    <w:rsid w:val="006A3126"/>
    <w:rsid w:val="006A323D"/>
    <w:rsid w:val="006A33EF"/>
    <w:rsid w:val="006A34F4"/>
    <w:rsid w:val="006A3698"/>
    <w:rsid w:val="006A42F6"/>
    <w:rsid w:val="006A43C1"/>
    <w:rsid w:val="006A476B"/>
    <w:rsid w:val="006A477A"/>
    <w:rsid w:val="006A4867"/>
    <w:rsid w:val="006A4E97"/>
    <w:rsid w:val="006A53A9"/>
    <w:rsid w:val="006A5F3E"/>
    <w:rsid w:val="006A649A"/>
    <w:rsid w:val="006A6B3F"/>
    <w:rsid w:val="006A6C9E"/>
    <w:rsid w:val="006A78DB"/>
    <w:rsid w:val="006B080D"/>
    <w:rsid w:val="006B1A00"/>
    <w:rsid w:val="006B26D5"/>
    <w:rsid w:val="006B2A6A"/>
    <w:rsid w:val="006B2EB1"/>
    <w:rsid w:val="006B31D7"/>
    <w:rsid w:val="006B3508"/>
    <w:rsid w:val="006B362C"/>
    <w:rsid w:val="006B41F0"/>
    <w:rsid w:val="006B5217"/>
    <w:rsid w:val="006B533B"/>
    <w:rsid w:val="006B5815"/>
    <w:rsid w:val="006B6D14"/>
    <w:rsid w:val="006B6FD2"/>
    <w:rsid w:val="006B7197"/>
    <w:rsid w:val="006B7A2C"/>
    <w:rsid w:val="006B7C7E"/>
    <w:rsid w:val="006C02D8"/>
    <w:rsid w:val="006C0D1F"/>
    <w:rsid w:val="006C11BD"/>
    <w:rsid w:val="006C1BF2"/>
    <w:rsid w:val="006C23B1"/>
    <w:rsid w:val="006C2BF6"/>
    <w:rsid w:val="006C34CB"/>
    <w:rsid w:val="006C3EF1"/>
    <w:rsid w:val="006C3F22"/>
    <w:rsid w:val="006C4055"/>
    <w:rsid w:val="006C45C0"/>
    <w:rsid w:val="006C518C"/>
    <w:rsid w:val="006C51BB"/>
    <w:rsid w:val="006C53BA"/>
    <w:rsid w:val="006C66F1"/>
    <w:rsid w:val="006C7440"/>
    <w:rsid w:val="006C7FEC"/>
    <w:rsid w:val="006D17AF"/>
    <w:rsid w:val="006D333D"/>
    <w:rsid w:val="006D3518"/>
    <w:rsid w:val="006D3EFD"/>
    <w:rsid w:val="006D4619"/>
    <w:rsid w:val="006D491F"/>
    <w:rsid w:val="006D67D8"/>
    <w:rsid w:val="006D6D72"/>
    <w:rsid w:val="006D78C7"/>
    <w:rsid w:val="006E0E49"/>
    <w:rsid w:val="006E15F0"/>
    <w:rsid w:val="006E248E"/>
    <w:rsid w:val="006E34F5"/>
    <w:rsid w:val="006E3B67"/>
    <w:rsid w:val="006E4B88"/>
    <w:rsid w:val="006E52E0"/>
    <w:rsid w:val="006E66D7"/>
    <w:rsid w:val="006E7616"/>
    <w:rsid w:val="006E7EC0"/>
    <w:rsid w:val="006F16B3"/>
    <w:rsid w:val="006F1DE8"/>
    <w:rsid w:val="006F21BD"/>
    <w:rsid w:val="006F2842"/>
    <w:rsid w:val="006F337A"/>
    <w:rsid w:val="006F3416"/>
    <w:rsid w:val="006F391B"/>
    <w:rsid w:val="006F3C53"/>
    <w:rsid w:val="006F3FA9"/>
    <w:rsid w:val="006FEF6C"/>
    <w:rsid w:val="00700C94"/>
    <w:rsid w:val="00700FDE"/>
    <w:rsid w:val="00701354"/>
    <w:rsid w:val="00701776"/>
    <w:rsid w:val="00701C58"/>
    <w:rsid w:val="00703981"/>
    <w:rsid w:val="00703A0F"/>
    <w:rsid w:val="00703A5B"/>
    <w:rsid w:val="00703BCA"/>
    <w:rsid w:val="00704C34"/>
    <w:rsid w:val="0070679E"/>
    <w:rsid w:val="00706899"/>
    <w:rsid w:val="00706EF7"/>
    <w:rsid w:val="0071013E"/>
    <w:rsid w:val="00710241"/>
    <w:rsid w:val="00710594"/>
    <w:rsid w:val="0071066C"/>
    <w:rsid w:val="007106C5"/>
    <w:rsid w:val="00710DAD"/>
    <w:rsid w:val="00712022"/>
    <w:rsid w:val="00712471"/>
    <w:rsid w:val="007125F0"/>
    <w:rsid w:val="007128BD"/>
    <w:rsid w:val="0071496D"/>
    <w:rsid w:val="00717308"/>
    <w:rsid w:val="00717A59"/>
    <w:rsid w:val="00720449"/>
    <w:rsid w:val="00722752"/>
    <w:rsid w:val="007233E7"/>
    <w:rsid w:val="00727057"/>
    <w:rsid w:val="00731D6F"/>
    <w:rsid w:val="00732479"/>
    <w:rsid w:val="0073503B"/>
    <w:rsid w:val="007350B4"/>
    <w:rsid w:val="00735B1D"/>
    <w:rsid w:val="00735C56"/>
    <w:rsid w:val="00737B8C"/>
    <w:rsid w:val="007404D1"/>
    <w:rsid w:val="00740D3F"/>
    <w:rsid w:val="0074166D"/>
    <w:rsid w:val="007419FC"/>
    <w:rsid w:val="00743E08"/>
    <w:rsid w:val="0074421D"/>
    <w:rsid w:val="00744D26"/>
    <w:rsid w:val="00745434"/>
    <w:rsid w:val="007456FE"/>
    <w:rsid w:val="00745BB2"/>
    <w:rsid w:val="007506BD"/>
    <w:rsid w:val="00752176"/>
    <w:rsid w:val="007536EE"/>
    <w:rsid w:val="0075380A"/>
    <w:rsid w:val="007551D3"/>
    <w:rsid w:val="00755522"/>
    <w:rsid w:val="00755F60"/>
    <w:rsid w:val="00757F06"/>
    <w:rsid w:val="007608D6"/>
    <w:rsid w:val="00761E1B"/>
    <w:rsid w:val="00763216"/>
    <w:rsid w:val="00763AFE"/>
    <w:rsid w:val="00763B09"/>
    <w:rsid w:val="0076438B"/>
    <w:rsid w:val="007646C9"/>
    <w:rsid w:val="00765168"/>
    <w:rsid w:val="00765951"/>
    <w:rsid w:val="00765AEC"/>
    <w:rsid w:val="00765EDC"/>
    <w:rsid w:val="00766309"/>
    <w:rsid w:val="007676BC"/>
    <w:rsid w:val="00767C7C"/>
    <w:rsid w:val="00770F5E"/>
    <w:rsid w:val="00770FA7"/>
    <w:rsid w:val="007716F7"/>
    <w:rsid w:val="00771C5B"/>
    <w:rsid w:val="00771E79"/>
    <w:rsid w:val="00772654"/>
    <w:rsid w:val="00772E12"/>
    <w:rsid w:val="007730AD"/>
    <w:rsid w:val="00773401"/>
    <w:rsid w:val="00773FE8"/>
    <w:rsid w:val="0077407C"/>
    <w:rsid w:val="007754A2"/>
    <w:rsid w:val="00775C63"/>
    <w:rsid w:val="007764B0"/>
    <w:rsid w:val="00777967"/>
    <w:rsid w:val="00777F07"/>
    <w:rsid w:val="007807C7"/>
    <w:rsid w:val="00781DFF"/>
    <w:rsid w:val="007834AC"/>
    <w:rsid w:val="00783BDA"/>
    <w:rsid w:val="007854CA"/>
    <w:rsid w:val="00785C4F"/>
    <w:rsid w:val="007865E9"/>
    <w:rsid w:val="00786864"/>
    <w:rsid w:val="00786EEA"/>
    <w:rsid w:val="0078722D"/>
    <w:rsid w:val="00787757"/>
    <w:rsid w:val="007916EB"/>
    <w:rsid w:val="00791A22"/>
    <w:rsid w:val="007924C9"/>
    <w:rsid w:val="00792E83"/>
    <w:rsid w:val="00793584"/>
    <w:rsid w:val="007944DA"/>
    <w:rsid w:val="00794D44"/>
    <w:rsid w:val="00794F1B"/>
    <w:rsid w:val="007957DC"/>
    <w:rsid w:val="00796251"/>
    <w:rsid w:val="0079671A"/>
    <w:rsid w:val="007A044A"/>
    <w:rsid w:val="007A0981"/>
    <w:rsid w:val="007A0B40"/>
    <w:rsid w:val="007A14DB"/>
    <w:rsid w:val="007A14E4"/>
    <w:rsid w:val="007A1D8A"/>
    <w:rsid w:val="007A2298"/>
    <w:rsid w:val="007A2427"/>
    <w:rsid w:val="007A5B89"/>
    <w:rsid w:val="007A5CCB"/>
    <w:rsid w:val="007A5FD7"/>
    <w:rsid w:val="007A6600"/>
    <w:rsid w:val="007A67C6"/>
    <w:rsid w:val="007A6E23"/>
    <w:rsid w:val="007A7200"/>
    <w:rsid w:val="007B0961"/>
    <w:rsid w:val="007B0E93"/>
    <w:rsid w:val="007B0F98"/>
    <w:rsid w:val="007B1012"/>
    <w:rsid w:val="007B1532"/>
    <w:rsid w:val="007B2310"/>
    <w:rsid w:val="007B4A95"/>
    <w:rsid w:val="007B56E9"/>
    <w:rsid w:val="007B6360"/>
    <w:rsid w:val="007B6439"/>
    <w:rsid w:val="007B70F2"/>
    <w:rsid w:val="007B7126"/>
    <w:rsid w:val="007B7381"/>
    <w:rsid w:val="007B7410"/>
    <w:rsid w:val="007C0D37"/>
    <w:rsid w:val="007C0D99"/>
    <w:rsid w:val="007C2297"/>
    <w:rsid w:val="007C26E0"/>
    <w:rsid w:val="007C2751"/>
    <w:rsid w:val="007C35B1"/>
    <w:rsid w:val="007C4C67"/>
    <w:rsid w:val="007C54C7"/>
    <w:rsid w:val="007C5E52"/>
    <w:rsid w:val="007C71AD"/>
    <w:rsid w:val="007C764C"/>
    <w:rsid w:val="007C7EF9"/>
    <w:rsid w:val="007D035D"/>
    <w:rsid w:val="007D2583"/>
    <w:rsid w:val="007D2D30"/>
    <w:rsid w:val="007D3616"/>
    <w:rsid w:val="007D3B49"/>
    <w:rsid w:val="007D6096"/>
    <w:rsid w:val="007D64DD"/>
    <w:rsid w:val="007D6ACB"/>
    <w:rsid w:val="007D7007"/>
    <w:rsid w:val="007D750B"/>
    <w:rsid w:val="007D77D1"/>
    <w:rsid w:val="007E0C72"/>
    <w:rsid w:val="007E173D"/>
    <w:rsid w:val="007E2D01"/>
    <w:rsid w:val="007E2DB5"/>
    <w:rsid w:val="007E2F89"/>
    <w:rsid w:val="007E3971"/>
    <w:rsid w:val="007E4F88"/>
    <w:rsid w:val="007E52F8"/>
    <w:rsid w:val="007E623D"/>
    <w:rsid w:val="007E654B"/>
    <w:rsid w:val="007E71FB"/>
    <w:rsid w:val="007E73AF"/>
    <w:rsid w:val="007F02FF"/>
    <w:rsid w:val="007F0AB5"/>
    <w:rsid w:val="007F0ACD"/>
    <w:rsid w:val="007F2DF1"/>
    <w:rsid w:val="007F3005"/>
    <w:rsid w:val="007F3525"/>
    <w:rsid w:val="007F3980"/>
    <w:rsid w:val="007F4145"/>
    <w:rsid w:val="007F4F1B"/>
    <w:rsid w:val="007F5440"/>
    <w:rsid w:val="007F6585"/>
    <w:rsid w:val="007F66FA"/>
    <w:rsid w:val="007F6A0A"/>
    <w:rsid w:val="007F72E0"/>
    <w:rsid w:val="0080050D"/>
    <w:rsid w:val="00801411"/>
    <w:rsid w:val="00801486"/>
    <w:rsid w:val="008015FD"/>
    <w:rsid w:val="00803114"/>
    <w:rsid w:val="00803626"/>
    <w:rsid w:val="00803980"/>
    <w:rsid w:val="00804160"/>
    <w:rsid w:val="008053D8"/>
    <w:rsid w:val="00805E1E"/>
    <w:rsid w:val="00805F69"/>
    <w:rsid w:val="00805F78"/>
    <w:rsid w:val="00807569"/>
    <w:rsid w:val="008078D9"/>
    <w:rsid w:val="00807AFE"/>
    <w:rsid w:val="00810C9E"/>
    <w:rsid w:val="008113EB"/>
    <w:rsid w:val="00811EFC"/>
    <w:rsid w:val="008142D6"/>
    <w:rsid w:val="00814D56"/>
    <w:rsid w:val="00814E88"/>
    <w:rsid w:val="008155CE"/>
    <w:rsid w:val="00816108"/>
    <w:rsid w:val="008163AF"/>
    <w:rsid w:val="00816502"/>
    <w:rsid w:val="008169DE"/>
    <w:rsid w:val="00816C6E"/>
    <w:rsid w:val="00816E6E"/>
    <w:rsid w:val="00817B40"/>
    <w:rsid w:val="00817DB9"/>
    <w:rsid w:val="00820BFA"/>
    <w:rsid w:val="00821439"/>
    <w:rsid w:val="00822DAA"/>
    <w:rsid w:val="00822E44"/>
    <w:rsid w:val="00824441"/>
    <w:rsid w:val="0082459D"/>
    <w:rsid w:val="00824E41"/>
    <w:rsid w:val="0082564B"/>
    <w:rsid w:val="00825E3D"/>
    <w:rsid w:val="008270A2"/>
    <w:rsid w:val="008270B6"/>
    <w:rsid w:val="0082715C"/>
    <w:rsid w:val="00827579"/>
    <w:rsid w:val="0082768F"/>
    <w:rsid w:val="00831624"/>
    <w:rsid w:val="00831B9D"/>
    <w:rsid w:val="00832344"/>
    <w:rsid w:val="008323D0"/>
    <w:rsid w:val="008330BC"/>
    <w:rsid w:val="008337BA"/>
    <w:rsid w:val="00834AAD"/>
    <w:rsid w:val="00834FC0"/>
    <w:rsid w:val="00836079"/>
    <w:rsid w:val="0083638A"/>
    <w:rsid w:val="008379B8"/>
    <w:rsid w:val="00837E0E"/>
    <w:rsid w:val="00840254"/>
    <w:rsid w:val="00840A32"/>
    <w:rsid w:val="0084167F"/>
    <w:rsid w:val="00841DF5"/>
    <w:rsid w:val="00842D01"/>
    <w:rsid w:val="00843D16"/>
    <w:rsid w:val="00846B73"/>
    <w:rsid w:val="008474EF"/>
    <w:rsid w:val="0085090B"/>
    <w:rsid w:val="00850E24"/>
    <w:rsid w:val="008525C4"/>
    <w:rsid w:val="00854135"/>
    <w:rsid w:val="00855CB8"/>
    <w:rsid w:val="00855FB5"/>
    <w:rsid w:val="0085619C"/>
    <w:rsid w:val="0085652E"/>
    <w:rsid w:val="00856987"/>
    <w:rsid w:val="00856ACE"/>
    <w:rsid w:val="00857AFB"/>
    <w:rsid w:val="008600CF"/>
    <w:rsid w:val="00860134"/>
    <w:rsid w:val="0086013B"/>
    <w:rsid w:val="0086096B"/>
    <w:rsid w:val="008625DA"/>
    <w:rsid w:val="0086287D"/>
    <w:rsid w:val="008634B5"/>
    <w:rsid w:val="00863668"/>
    <w:rsid w:val="008648A1"/>
    <w:rsid w:val="00864BFE"/>
    <w:rsid w:val="00865824"/>
    <w:rsid w:val="00866226"/>
    <w:rsid w:val="0086641C"/>
    <w:rsid w:val="0086778B"/>
    <w:rsid w:val="00867B4A"/>
    <w:rsid w:val="0087031D"/>
    <w:rsid w:val="00870350"/>
    <w:rsid w:val="008703DD"/>
    <w:rsid w:val="00870FFF"/>
    <w:rsid w:val="00871425"/>
    <w:rsid w:val="00871F93"/>
    <w:rsid w:val="00872CD0"/>
    <w:rsid w:val="00873269"/>
    <w:rsid w:val="00873719"/>
    <w:rsid w:val="00873F37"/>
    <w:rsid w:val="00876476"/>
    <w:rsid w:val="00877CF2"/>
    <w:rsid w:val="00882E29"/>
    <w:rsid w:val="00883AB5"/>
    <w:rsid w:val="008846CF"/>
    <w:rsid w:val="008849E9"/>
    <w:rsid w:val="00885B76"/>
    <w:rsid w:val="00885CFE"/>
    <w:rsid w:val="00885EE2"/>
    <w:rsid w:val="00886A8E"/>
    <w:rsid w:val="008874F0"/>
    <w:rsid w:val="00887BAF"/>
    <w:rsid w:val="00891273"/>
    <w:rsid w:val="00891B2F"/>
    <w:rsid w:val="008921C3"/>
    <w:rsid w:val="008921DA"/>
    <w:rsid w:val="00895040"/>
    <w:rsid w:val="008960F6"/>
    <w:rsid w:val="00896C79"/>
    <w:rsid w:val="00897EF2"/>
    <w:rsid w:val="008A10F9"/>
    <w:rsid w:val="008A373C"/>
    <w:rsid w:val="008A3EC6"/>
    <w:rsid w:val="008A5707"/>
    <w:rsid w:val="008A6961"/>
    <w:rsid w:val="008A75D7"/>
    <w:rsid w:val="008B114F"/>
    <w:rsid w:val="008B1968"/>
    <w:rsid w:val="008B1A54"/>
    <w:rsid w:val="008B1F12"/>
    <w:rsid w:val="008B3759"/>
    <w:rsid w:val="008B4887"/>
    <w:rsid w:val="008B5256"/>
    <w:rsid w:val="008B544C"/>
    <w:rsid w:val="008B5573"/>
    <w:rsid w:val="008B61A0"/>
    <w:rsid w:val="008B62B2"/>
    <w:rsid w:val="008B64DA"/>
    <w:rsid w:val="008B691B"/>
    <w:rsid w:val="008B73A7"/>
    <w:rsid w:val="008B776C"/>
    <w:rsid w:val="008C1F34"/>
    <w:rsid w:val="008C21DF"/>
    <w:rsid w:val="008C2717"/>
    <w:rsid w:val="008C2E52"/>
    <w:rsid w:val="008C32EB"/>
    <w:rsid w:val="008C4E78"/>
    <w:rsid w:val="008C6681"/>
    <w:rsid w:val="008C74A7"/>
    <w:rsid w:val="008C7BED"/>
    <w:rsid w:val="008D0082"/>
    <w:rsid w:val="008D2138"/>
    <w:rsid w:val="008D26E8"/>
    <w:rsid w:val="008D2AF6"/>
    <w:rsid w:val="008D41EB"/>
    <w:rsid w:val="008D4607"/>
    <w:rsid w:val="008D5101"/>
    <w:rsid w:val="008D5222"/>
    <w:rsid w:val="008D5307"/>
    <w:rsid w:val="008D5E61"/>
    <w:rsid w:val="008D60E4"/>
    <w:rsid w:val="008D742E"/>
    <w:rsid w:val="008E0338"/>
    <w:rsid w:val="008E15DF"/>
    <w:rsid w:val="008E1960"/>
    <w:rsid w:val="008E1D05"/>
    <w:rsid w:val="008E2E39"/>
    <w:rsid w:val="008E4A18"/>
    <w:rsid w:val="008E4EDF"/>
    <w:rsid w:val="008E5EDE"/>
    <w:rsid w:val="008E72B0"/>
    <w:rsid w:val="008E75CD"/>
    <w:rsid w:val="008E791E"/>
    <w:rsid w:val="008F037B"/>
    <w:rsid w:val="008F0ACF"/>
    <w:rsid w:val="008F16E2"/>
    <w:rsid w:val="008F1A1B"/>
    <w:rsid w:val="008F2E1F"/>
    <w:rsid w:val="008F3197"/>
    <w:rsid w:val="008F33E8"/>
    <w:rsid w:val="008F3AC2"/>
    <w:rsid w:val="008F43DE"/>
    <w:rsid w:val="008F49B8"/>
    <w:rsid w:val="008F4A0D"/>
    <w:rsid w:val="008F4EB9"/>
    <w:rsid w:val="008F5175"/>
    <w:rsid w:val="008F51B9"/>
    <w:rsid w:val="008F59BC"/>
    <w:rsid w:val="008F6591"/>
    <w:rsid w:val="008F65BA"/>
    <w:rsid w:val="008F67F9"/>
    <w:rsid w:val="008F6C8C"/>
    <w:rsid w:val="008F7E29"/>
    <w:rsid w:val="009007D5"/>
    <w:rsid w:val="00900D99"/>
    <w:rsid w:val="00901493"/>
    <w:rsid w:val="009017C7"/>
    <w:rsid w:val="009033A1"/>
    <w:rsid w:val="009035B7"/>
    <w:rsid w:val="009045B3"/>
    <w:rsid w:val="009048FB"/>
    <w:rsid w:val="00905480"/>
    <w:rsid w:val="00905759"/>
    <w:rsid w:val="00905F99"/>
    <w:rsid w:val="009068A2"/>
    <w:rsid w:val="00907BB8"/>
    <w:rsid w:val="0091035E"/>
    <w:rsid w:val="009111AB"/>
    <w:rsid w:val="00911ED1"/>
    <w:rsid w:val="00911F7A"/>
    <w:rsid w:val="00912286"/>
    <w:rsid w:val="00913936"/>
    <w:rsid w:val="00913F9D"/>
    <w:rsid w:val="009154F3"/>
    <w:rsid w:val="00917E58"/>
    <w:rsid w:val="0092030D"/>
    <w:rsid w:val="00920F1D"/>
    <w:rsid w:val="00921368"/>
    <w:rsid w:val="00922072"/>
    <w:rsid w:val="00922736"/>
    <w:rsid w:val="00922B68"/>
    <w:rsid w:val="009233AF"/>
    <w:rsid w:val="00923EC8"/>
    <w:rsid w:val="00924306"/>
    <w:rsid w:val="00924687"/>
    <w:rsid w:val="00926B50"/>
    <w:rsid w:val="009277A5"/>
    <w:rsid w:val="0093001C"/>
    <w:rsid w:val="00930051"/>
    <w:rsid w:val="00931871"/>
    <w:rsid w:val="009326C1"/>
    <w:rsid w:val="00933401"/>
    <w:rsid w:val="00933983"/>
    <w:rsid w:val="00933CFD"/>
    <w:rsid w:val="00933E81"/>
    <w:rsid w:val="0093450F"/>
    <w:rsid w:val="009351B7"/>
    <w:rsid w:val="009353EB"/>
    <w:rsid w:val="00935E39"/>
    <w:rsid w:val="00936542"/>
    <w:rsid w:val="00936FF8"/>
    <w:rsid w:val="0093717A"/>
    <w:rsid w:val="009379F0"/>
    <w:rsid w:val="00940569"/>
    <w:rsid w:val="00940EC1"/>
    <w:rsid w:val="00941453"/>
    <w:rsid w:val="00941699"/>
    <w:rsid w:val="009418D5"/>
    <w:rsid w:val="00942769"/>
    <w:rsid w:val="00943390"/>
    <w:rsid w:val="00944E10"/>
    <w:rsid w:val="00945B3C"/>
    <w:rsid w:val="009515E8"/>
    <w:rsid w:val="00951801"/>
    <w:rsid w:val="0095354E"/>
    <w:rsid w:val="009554C0"/>
    <w:rsid w:val="00957493"/>
    <w:rsid w:val="00961450"/>
    <w:rsid w:val="0096181B"/>
    <w:rsid w:val="00962182"/>
    <w:rsid w:val="00962305"/>
    <w:rsid w:val="00962EA4"/>
    <w:rsid w:val="009633E2"/>
    <w:rsid w:val="00964D26"/>
    <w:rsid w:val="0096607A"/>
    <w:rsid w:val="009665BB"/>
    <w:rsid w:val="0096692E"/>
    <w:rsid w:val="00966AF2"/>
    <w:rsid w:val="00967539"/>
    <w:rsid w:val="0097031A"/>
    <w:rsid w:val="00970487"/>
    <w:rsid w:val="009704A5"/>
    <w:rsid w:val="00970665"/>
    <w:rsid w:val="00970E95"/>
    <w:rsid w:val="009713BC"/>
    <w:rsid w:val="0097197E"/>
    <w:rsid w:val="00971F6E"/>
    <w:rsid w:val="009720B1"/>
    <w:rsid w:val="00972239"/>
    <w:rsid w:val="00972F8B"/>
    <w:rsid w:val="0097332A"/>
    <w:rsid w:val="00974734"/>
    <w:rsid w:val="009750ED"/>
    <w:rsid w:val="00976675"/>
    <w:rsid w:val="0098110E"/>
    <w:rsid w:val="00982851"/>
    <w:rsid w:val="00983201"/>
    <w:rsid w:val="00984FE1"/>
    <w:rsid w:val="00985926"/>
    <w:rsid w:val="009862B2"/>
    <w:rsid w:val="00986590"/>
    <w:rsid w:val="0098699F"/>
    <w:rsid w:val="00986E0E"/>
    <w:rsid w:val="009877FF"/>
    <w:rsid w:val="00987CCA"/>
    <w:rsid w:val="00987CCD"/>
    <w:rsid w:val="00987EAB"/>
    <w:rsid w:val="009901E1"/>
    <w:rsid w:val="00990BE8"/>
    <w:rsid w:val="00990E96"/>
    <w:rsid w:val="009918C1"/>
    <w:rsid w:val="00992024"/>
    <w:rsid w:val="00992279"/>
    <w:rsid w:val="009922CF"/>
    <w:rsid w:val="009968FA"/>
    <w:rsid w:val="00996975"/>
    <w:rsid w:val="00996DE6"/>
    <w:rsid w:val="00996F14"/>
    <w:rsid w:val="00997E06"/>
    <w:rsid w:val="009A1BF9"/>
    <w:rsid w:val="009A21AF"/>
    <w:rsid w:val="009A2D6D"/>
    <w:rsid w:val="009A32D5"/>
    <w:rsid w:val="009A3E00"/>
    <w:rsid w:val="009A4223"/>
    <w:rsid w:val="009A5346"/>
    <w:rsid w:val="009A63EF"/>
    <w:rsid w:val="009A78FA"/>
    <w:rsid w:val="009B057E"/>
    <w:rsid w:val="009B0700"/>
    <w:rsid w:val="009B3822"/>
    <w:rsid w:val="009B3CCC"/>
    <w:rsid w:val="009B42E3"/>
    <w:rsid w:val="009B431F"/>
    <w:rsid w:val="009B51B7"/>
    <w:rsid w:val="009B5A18"/>
    <w:rsid w:val="009B7BD9"/>
    <w:rsid w:val="009B7C13"/>
    <w:rsid w:val="009B7E08"/>
    <w:rsid w:val="009C0007"/>
    <w:rsid w:val="009C00C6"/>
    <w:rsid w:val="009C129D"/>
    <w:rsid w:val="009C185C"/>
    <w:rsid w:val="009C20E7"/>
    <w:rsid w:val="009C23D6"/>
    <w:rsid w:val="009C2956"/>
    <w:rsid w:val="009C3A9B"/>
    <w:rsid w:val="009C3FA5"/>
    <w:rsid w:val="009C3FF5"/>
    <w:rsid w:val="009C554A"/>
    <w:rsid w:val="009C5A2B"/>
    <w:rsid w:val="009C6416"/>
    <w:rsid w:val="009C7B2A"/>
    <w:rsid w:val="009C7B6A"/>
    <w:rsid w:val="009D1E7B"/>
    <w:rsid w:val="009D2972"/>
    <w:rsid w:val="009D2D70"/>
    <w:rsid w:val="009D5123"/>
    <w:rsid w:val="009D546E"/>
    <w:rsid w:val="009D617C"/>
    <w:rsid w:val="009D6E10"/>
    <w:rsid w:val="009D7739"/>
    <w:rsid w:val="009D7945"/>
    <w:rsid w:val="009E1082"/>
    <w:rsid w:val="009E138B"/>
    <w:rsid w:val="009E21BC"/>
    <w:rsid w:val="009E280E"/>
    <w:rsid w:val="009E2B2E"/>
    <w:rsid w:val="009E2D35"/>
    <w:rsid w:val="009E3E06"/>
    <w:rsid w:val="009E4153"/>
    <w:rsid w:val="009E53C3"/>
    <w:rsid w:val="009E5500"/>
    <w:rsid w:val="009E6551"/>
    <w:rsid w:val="009E6A35"/>
    <w:rsid w:val="009E6AFD"/>
    <w:rsid w:val="009E6B91"/>
    <w:rsid w:val="009E74FD"/>
    <w:rsid w:val="009F00B7"/>
    <w:rsid w:val="009F08D7"/>
    <w:rsid w:val="009F094F"/>
    <w:rsid w:val="009F2065"/>
    <w:rsid w:val="009F2EB2"/>
    <w:rsid w:val="009F3D92"/>
    <w:rsid w:val="009F44A2"/>
    <w:rsid w:val="009F457A"/>
    <w:rsid w:val="009F4C9A"/>
    <w:rsid w:val="009F51F4"/>
    <w:rsid w:val="009F645C"/>
    <w:rsid w:val="009F6712"/>
    <w:rsid w:val="009F7A0A"/>
    <w:rsid w:val="00A0104B"/>
    <w:rsid w:val="00A014CC"/>
    <w:rsid w:val="00A0246C"/>
    <w:rsid w:val="00A044D7"/>
    <w:rsid w:val="00A07403"/>
    <w:rsid w:val="00A074D3"/>
    <w:rsid w:val="00A10547"/>
    <w:rsid w:val="00A106C1"/>
    <w:rsid w:val="00A11C6B"/>
    <w:rsid w:val="00A12295"/>
    <w:rsid w:val="00A13EE8"/>
    <w:rsid w:val="00A14E73"/>
    <w:rsid w:val="00A1576C"/>
    <w:rsid w:val="00A1597B"/>
    <w:rsid w:val="00A15984"/>
    <w:rsid w:val="00A15E66"/>
    <w:rsid w:val="00A1648D"/>
    <w:rsid w:val="00A164CA"/>
    <w:rsid w:val="00A170F5"/>
    <w:rsid w:val="00A171D7"/>
    <w:rsid w:val="00A17C51"/>
    <w:rsid w:val="00A17E8C"/>
    <w:rsid w:val="00A20DA3"/>
    <w:rsid w:val="00A22A24"/>
    <w:rsid w:val="00A238E4"/>
    <w:rsid w:val="00A238F3"/>
    <w:rsid w:val="00A24E9A"/>
    <w:rsid w:val="00A256CB"/>
    <w:rsid w:val="00A26639"/>
    <w:rsid w:val="00A26EF7"/>
    <w:rsid w:val="00A305E2"/>
    <w:rsid w:val="00A30DE1"/>
    <w:rsid w:val="00A3205D"/>
    <w:rsid w:val="00A3244F"/>
    <w:rsid w:val="00A32874"/>
    <w:rsid w:val="00A32DE5"/>
    <w:rsid w:val="00A3336D"/>
    <w:rsid w:val="00A338C1"/>
    <w:rsid w:val="00A33D6A"/>
    <w:rsid w:val="00A34016"/>
    <w:rsid w:val="00A3404B"/>
    <w:rsid w:val="00A355B8"/>
    <w:rsid w:val="00A3752A"/>
    <w:rsid w:val="00A376E1"/>
    <w:rsid w:val="00A378D4"/>
    <w:rsid w:val="00A402CC"/>
    <w:rsid w:val="00A40F66"/>
    <w:rsid w:val="00A4157C"/>
    <w:rsid w:val="00A41B9B"/>
    <w:rsid w:val="00A4287B"/>
    <w:rsid w:val="00A4296A"/>
    <w:rsid w:val="00A43C3E"/>
    <w:rsid w:val="00A44788"/>
    <w:rsid w:val="00A44E3C"/>
    <w:rsid w:val="00A455CE"/>
    <w:rsid w:val="00A46457"/>
    <w:rsid w:val="00A468B5"/>
    <w:rsid w:val="00A4732C"/>
    <w:rsid w:val="00A4745B"/>
    <w:rsid w:val="00A50000"/>
    <w:rsid w:val="00A50013"/>
    <w:rsid w:val="00A50D32"/>
    <w:rsid w:val="00A52617"/>
    <w:rsid w:val="00A528AE"/>
    <w:rsid w:val="00A54003"/>
    <w:rsid w:val="00A543F6"/>
    <w:rsid w:val="00A54612"/>
    <w:rsid w:val="00A54C0C"/>
    <w:rsid w:val="00A56464"/>
    <w:rsid w:val="00A56BEB"/>
    <w:rsid w:val="00A602C5"/>
    <w:rsid w:val="00A60910"/>
    <w:rsid w:val="00A61C60"/>
    <w:rsid w:val="00A61E91"/>
    <w:rsid w:val="00A63216"/>
    <w:rsid w:val="00A63598"/>
    <w:rsid w:val="00A65DB6"/>
    <w:rsid w:val="00A65E97"/>
    <w:rsid w:val="00A701A0"/>
    <w:rsid w:val="00A728ED"/>
    <w:rsid w:val="00A72A67"/>
    <w:rsid w:val="00A741D9"/>
    <w:rsid w:val="00A74341"/>
    <w:rsid w:val="00A76B14"/>
    <w:rsid w:val="00A76B6C"/>
    <w:rsid w:val="00A771ED"/>
    <w:rsid w:val="00A772EE"/>
    <w:rsid w:val="00A813D9"/>
    <w:rsid w:val="00A82520"/>
    <w:rsid w:val="00A8264A"/>
    <w:rsid w:val="00A82BF2"/>
    <w:rsid w:val="00A83D93"/>
    <w:rsid w:val="00A83F65"/>
    <w:rsid w:val="00A83F84"/>
    <w:rsid w:val="00A851C5"/>
    <w:rsid w:val="00A93074"/>
    <w:rsid w:val="00A93ACA"/>
    <w:rsid w:val="00A95A5E"/>
    <w:rsid w:val="00A95B6D"/>
    <w:rsid w:val="00A968FA"/>
    <w:rsid w:val="00A96B04"/>
    <w:rsid w:val="00A9721B"/>
    <w:rsid w:val="00A97812"/>
    <w:rsid w:val="00AA033E"/>
    <w:rsid w:val="00AA0409"/>
    <w:rsid w:val="00AA0B5A"/>
    <w:rsid w:val="00AA1B1B"/>
    <w:rsid w:val="00AA377F"/>
    <w:rsid w:val="00AA4905"/>
    <w:rsid w:val="00AA5DB9"/>
    <w:rsid w:val="00AA614B"/>
    <w:rsid w:val="00AA6199"/>
    <w:rsid w:val="00AA79BB"/>
    <w:rsid w:val="00AB1CAE"/>
    <w:rsid w:val="00AB2082"/>
    <w:rsid w:val="00AB2646"/>
    <w:rsid w:val="00AB2B0D"/>
    <w:rsid w:val="00AB322C"/>
    <w:rsid w:val="00AB3251"/>
    <w:rsid w:val="00AB372E"/>
    <w:rsid w:val="00AB45C1"/>
    <w:rsid w:val="00AB5499"/>
    <w:rsid w:val="00AB56D6"/>
    <w:rsid w:val="00AB571A"/>
    <w:rsid w:val="00AB6F25"/>
    <w:rsid w:val="00AB73A0"/>
    <w:rsid w:val="00AC032E"/>
    <w:rsid w:val="00AC061F"/>
    <w:rsid w:val="00AC1889"/>
    <w:rsid w:val="00AC2BFB"/>
    <w:rsid w:val="00AC33B2"/>
    <w:rsid w:val="00AC3CCD"/>
    <w:rsid w:val="00AC3DA4"/>
    <w:rsid w:val="00AC4A4C"/>
    <w:rsid w:val="00AC4D4B"/>
    <w:rsid w:val="00AC515D"/>
    <w:rsid w:val="00AC5B22"/>
    <w:rsid w:val="00AC5E64"/>
    <w:rsid w:val="00AC6F31"/>
    <w:rsid w:val="00AC76D6"/>
    <w:rsid w:val="00AC7DF6"/>
    <w:rsid w:val="00AD090A"/>
    <w:rsid w:val="00AD0AA1"/>
    <w:rsid w:val="00AD2A5C"/>
    <w:rsid w:val="00AD2D70"/>
    <w:rsid w:val="00AD5532"/>
    <w:rsid w:val="00AD59CA"/>
    <w:rsid w:val="00AD5F8D"/>
    <w:rsid w:val="00AD6C91"/>
    <w:rsid w:val="00AD6FCE"/>
    <w:rsid w:val="00AE18A6"/>
    <w:rsid w:val="00AE1ED4"/>
    <w:rsid w:val="00AE20AB"/>
    <w:rsid w:val="00AE21C5"/>
    <w:rsid w:val="00AE2A38"/>
    <w:rsid w:val="00AE2C0F"/>
    <w:rsid w:val="00AE3D52"/>
    <w:rsid w:val="00AE3FF8"/>
    <w:rsid w:val="00AE5908"/>
    <w:rsid w:val="00AE6008"/>
    <w:rsid w:val="00AE78E3"/>
    <w:rsid w:val="00AE7A15"/>
    <w:rsid w:val="00AE7B99"/>
    <w:rsid w:val="00AE7DB3"/>
    <w:rsid w:val="00AE7E36"/>
    <w:rsid w:val="00AF0CE2"/>
    <w:rsid w:val="00AF0D0D"/>
    <w:rsid w:val="00AF19AC"/>
    <w:rsid w:val="00AF1C59"/>
    <w:rsid w:val="00AF2870"/>
    <w:rsid w:val="00AF2ABA"/>
    <w:rsid w:val="00AF2C6D"/>
    <w:rsid w:val="00AF3EAB"/>
    <w:rsid w:val="00AF452D"/>
    <w:rsid w:val="00AF568D"/>
    <w:rsid w:val="00AF5E2F"/>
    <w:rsid w:val="00AF5E7B"/>
    <w:rsid w:val="00AF60AA"/>
    <w:rsid w:val="00AF6591"/>
    <w:rsid w:val="00AF6697"/>
    <w:rsid w:val="00AF7C11"/>
    <w:rsid w:val="00AF7D35"/>
    <w:rsid w:val="00AF7F16"/>
    <w:rsid w:val="00B0010A"/>
    <w:rsid w:val="00B01ADB"/>
    <w:rsid w:val="00B0257D"/>
    <w:rsid w:val="00B039E7"/>
    <w:rsid w:val="00B03B0F"/>
    <w:rsid w:val="00B048A9"/>
    <w:rsid w:val="00B04B48"/>
    <w:rsid w:val="00B0574A"/>
    <w:rsid w:val="00B05E77"/>
    <w:rsid w:val="00B07852"/>
    <w:rsid w:val="00B07CE4"/>
    <w:rsid w:val="00B107C1"/>
    <w:rsid w:val="00B121F0"/>
    <w:rsid w:val="00B12259"/>
    <w:rsid w:val="00B1273E"/>
    <w:rsid w:val="00B12E7E"/>
    <w:rsid w:val="00B158A2"/>
    <w:rsid w:val="00B15ACD"/>
    <w:rsid w:val="00B15BC8"/>
    <w:rsid w:val="00B17462"/>
    <w:rsid w:val="00B17E3C"/>
    <w:rsid w:val="00B21A58"/>
    <w:rsid w:val="00B2204C"/>
    <w:rsid w:val="00B22156"/>
    <w:rsid w:val="00B223BB"/>
    <w:rsid w:val="00B22990"/>
    <w:rsid w:val="00B2304A"/>
    <w:rsid w:val="00B239F6"/>
    <w:rsid w:val="00B24040"/>
    <w:rsid w:val="00B24114"/>
    <w:rsid w:val="00B241F6"/>
    <w:rsid w:val="00B2488D"/>
    <w:rsid w:val="00B25729"/>
    <w:rsid w:val="00B257CA"/>
    <w:rsid w:val="00B26E3F"/>
    <w:rsid w:val="00B27C92"/>
    <w:rsid w:val="00B309B9"/>
    <w:rsid w:val="00B31926"/>
    <w:rsid w:val="00B33C6C"/>
    <w:rsid w:val="00B33CDA"/>
    <w:rsid w:val="00B33E8F"/>
    <w:rsid w:val="00B341C1"/>
    <w:rsid w:val="00B34381"/>
    <w:rsid w:val="00B345CC"/>
    <w:rsid w:val="00B352C1"/>
    <w:rsid w:val="00B35CB5"/>
    <w:rsid w:val="00B35E41"/>
    <w:rsid w:val="00B367D1"/>
    <w:rsid w:val="00B375EF"/>
    <w:rsid w:val="00B37B7B"/>
    <w:rsid w:val="00B405FE"/>
    <w:rsid w:val="00B410A6"/>
    <w:rsid w:val="00B41595"/>
    <w:rsid w:val="00B41E8D"/>
    <w:rsid w:val="00B42609"/>
    <w:rsid w:val="00B42B69"/>
    <w:rsid w:val="00B43F40"/>
    <w:rsid w:val="00B44B97"/>
    <w:rsid w:val="00B44D84"/>
    <w:rsid w:val="00B45B9A"/>
    <w:rsid w:val="00B462AA"/>
    <w:rsid w:val="00B46EAE"/>
    <w:rsid w:val="00B474FF"/>
    <w:rsid w:val="00B47F57"/>
    <w:rsid w:val="00B5143A"/>
    <w:rsid w:val="00B51C4C"/>
    <w:rsid w:val="00B51CFA"/>
    <w:rsid w:val="00B52B1E"/>
    <w:rsid w:val="00B54539"/>
    <w:rsid w:val="00B54FDF"/>
    <w:rsid w:val="00B566E5"/>
    <w:rsid w:val="00B5713F"/>
    <w:rsid w:val="00B57A63"/>
    <w:rsid w:val="00B61460"/>
    <w:rsid w:val="00B62522"/>
    <w:rsid w:val="00B62793"/>
    <w:rsid w:val="00B6279D"/>
    <w:rsid w:val="00B63D86"/>
    <w:rsid w:val="00B65054"/>
    <w:rsid w:val="00B657E3"/>
    <w:rsid w:val="00B673F7"/>
    <w:rsid w:val="00B70A4A"/>
    <w:rsid w:val="00B70CC3"/>
    <w:rsid w:val="00B71CFE"/>
    <w:rsid w:val="00B72485"/>
    <w:rsid w:val="00B72507"/>
    <w:rsid w:val="00B74259"/>
    <w:rsid w:val="00B7452A"/>
    <w:rsid w:val="00B748B4"/>
    <w:rsid w:val="00B74A9A"/>
    <w:rsid w:val="00B74B41"/>
    <w:rsid w:val="00B777AA"/>
    <w:rsid w:val="00B77976"/>
    <w:rsid w:val="00B77C6B"/>
    <w:rsid w:val="00B80EB9"/>
    <w:rsid w:val="00B82136"/>
    <w:rsid w:val="00B8238D"/>
    <w:rsid w:val="00B8312B"/>
    <w:rsid w:val="00B8490E"/>
    <w:rsid w:val="00B857A6"/>
    <w:rsid w:val="00B857B7"/>
    <w:rsid w:val="00B86990"/>
    <w:rsid w:val="00B8762C"/>
    <w:rsid w:val="00B90C02"/>
    <w:rsid w:val="00B920FA"/>
    <w:rsid w:val="00B921EC"/>
    <w:rsid w:val="00B932A7"/>
    <w:rsid w:val="00B934B6"/>
    <w:rsid w:val="00B956CD"/>
    <w:rsid w:val="00B95D1A"/>
    <w:rsid w:val="00B96BED"/>
    <w:rsid w:val="00B97716"/>
    <w:rsid w:val="00BA07CE"/>
    <w:rsid w:val="00BA1073"/>
    <w:rsid w:val="00BA4D2A"/>
    <w:rsid w:val="00BA53FA"/>
    <w:rsid w:val="00BA5738"/>
    <w:rsid w:val="00BA6A58"/>
    <w:rsid w:val="00BA72A6"/>
    <w:rsid w:val="00BA78D0"/>
    <w:rsid w:val="00BA7B3D"/>
    <w:rsid w:val="00BA7E56"/>
    <w:rsid w:val="00BB04C8"/>
    <w:rsid w:val="00BB1AA7"/>
    <w:rsid w:val="00BB1F71"/>
    <w:rsid w:val="00BB21F7"/>
    <w:rsid w:val="00BB2993"/>
    <w:rsid w:val="00BB2FA4"/>
    <w:rsid w:val="00BB391B"/>
    <w:rsid w:val="00BB49E2"/>
    <w:rsid w:val="00BB5085"/>
    <w:rsid w:val="00BB5652"/>
    <w:rsid w:val="00BB61CF"/>
    <w:rsid w:val="00BB6D62"/>
    <w:rsid w:val="00BB7153"/>
    <w:rsid w:val="00BB7C9F"/>
    <w:rsid w:val="00BC0414"/>
    <w:rsid w:val="00BC07B9"/>
    <w:rsid w:val="00BC0E9B"/>
    <w:rsid w:val="00BC10ED"/>
    <w:rsid w:val="00BC1505"/>
    <w:rsid w:val="00BC1C53"/>
    <w:rsid w:val="00BC20F2"/>
    <w:rsid w:val="00BC40F1"/>
    <w:rsid w:val="00BC4E99"/>
    <w:rsid w:val="00BC50F0"/>
    <w:rsid w:val="00BC638D"/>
    <w:rsid w:val="00BC740C"/>
    <w:rsid w:val="00BC7629"/>
    <w:rsid w:val="00BC7ECC"/>
    <w:rsid w:val="00BD0DFB"/>
    <w:rsid w:val="00BD0E82"/>
    <w:rsid w:val="00BD1087"/>
    <w:rsid w:val="00BD20C6"/>
    <w:rsid w:val="00BD30DE"/>
    <w:rsid w:val="00BD3AC5"/>
    <w:rsid w:val="00BD3DED"/>
    <w:rsid w:val="00BD4CE8"/>
    <w:rsid w:val="00BD4FB9"/>
    <w:rsid w:val="00BD5358"/>
    <w:rsid w:val="00BD62E0"/>
    <w:rsid w:val="00BD6643"/>
    <w:rsid w:val="00BD6AFB"/>
    <w:rsid w:val="00BD7DC9"/>
    <w:rsid w:val="00BD7E5D"/>
    <w:rsid w:val="00BE0405"/>
    <w:rsid w:val="00BE18FC"/>
    <w:rsid w:val="00BE215A"/>
    <w:rsid w:val="00BE27E3"/>
    <w:rsid w:val="00BE308D"/>
    <w:rsid w:val="00BE3A1D"/>
    <w:rsid w:val="00BE66CB"/>
    <w:rsid w:val="00BE777F"/>
    <w:rsid w:val="00BF0021"/>
    <w:rsid w:val="00BF03D6"/>
    <w:rsid w:val="00BF0534"/>
    <w:rsid w:val="00BF0537"/>
    <w:rsid w:val="00BF11A3"/>
    <w:rsid w:val="00BF1228"/>
    <w:rsid w:val="00BF1E0E"/>
    <w:rsid w:val="00BF24D8"/>
    <w:rsid w:val="00BF2E9C"/>
    <w:rsid w:val="00BF3F18"/>
    <w:rsid w:val="00BF4148"/>
    <w:rsid w:val="00BF5305"/>
    <w:rsid w:val="00BF78AB"/>
    <w:rsid w:val="00C00C7B"/>
    <w:rsid w:val="00C00D46"/>
    <w:rsid w:val="00C01B3D"/>
    <w:rsid w:val="00C01F0C"/>
    <w:rsid w:val="00C033C3"/>
    <w:rsid w:val="00C04BF5"/>
    <w:rsid w:val="00C05087"/>
    <w:rsid w:val="00C054A6"/>
    <w:rsid w:val="00C054B3"/>
    <w:rsid w:val="00C06037"/>
    <w:rsid w:val="00C0741D"/>
    <w:rsid w:val="00C07619"/>
    <w:rsid w:val="00C07829"/>
    <w:rsid w:val="00C11A26"/>
    <w:rsid w:val="00C11FFA"/>
    <w:rsid w:val="00C122D0"/>
    <w:rsid w:val="00C125EF"/>
    <w:rsid w:val="00C1302C"/>
    <w:rsid w:val="00C15321"/>
    <w:rsid w:val="00C15438"/>
    <w:rsid w:val="00C154A0"/>
    <w:rsid w:val="00C15C05"/>
    <w:rsid w:val="00C170C6"/>
    <w:rsid w:val="00C1719F"/>
    <w:rsid w:val="00C17292"/>
    <w:rsid w:val="00C17404"/>
    <w:rsid w:val="00C2033E"/>
    <w:rsid w:val="00C20868"/>
    <w:rsid w:val="00C21575"/>
    <w:rsid w:val="00C217B5"/>
    <w:rsid w:val="00C21F5C"/>
    <w:rsid w:val="00C242EC"/>
    <w:rsid w:val="00C2546B"/>
    <w:rsid w:val="00C2731B"/>
    <w:rsid w:val="00C274D9"/>
    <w:rsid w:val="00C27C28"/>
    <w:rsid w:val="00C307A1"/>
    <w:rsid w:val="00C30BDB"/>
    <w:rsid w:val="00C31621"/>
    <w:rsid w:val="00C31E20"/>
    <w:rsid w:val="00C3212D"/>
    <w:rsid w:val="00C32303"/>
    <w:rsid w:val="00C32428"/>
    <w:rsid w:val="00C3285D"/>
    <w:rsid w:val="00C330BB"/>
    <w:rsid w:val="00C333B8"/>
    <w:rsid w:val="00C33B4C"/>
    <w:rsid w:val="00C34307"/>
    <w:rsid w:val="00C3534B"/>
    <w:rsid w:val="00C3558F"/>
    <w:rsid w:val="00C363D2"/>
    <w:rsid w:val="00C36B6B"/>
    <w:rsid w:val="00C36CD0"/>
    <w:rsid w:val="00C37A37"/>
    <w:rsid w:val="00C40564"/>
    <w:rsid w:val="00C40CCC"/>
    <w:rsid w:val="00C415E2"/>
    <w:rsid w:val="00C425C7"/>
    <w:rsid w:val="00C42AA8"/>
    <w:rsid w:val="00C42E06"/>
    <w:rsid w:val="00C434F9"/>
    <w:rsid w:val="00C44088"/>
    <w:rsid w:val="00C44531"/>
    <w:rsid w:val="00C44726"/>
    <w:rsid w:val="00C44C6E"/>
    <w:rsid w:val="00C450DD"/>
    <w:rsid w:val="00C461C7"/>
    <w:rsid w:val="00C471A8"/>
    <w:rsid w:val="00C503FD"/>
    <w:rsid w:val="00C50A7D"/>
    <w:rsid w:val="00C50D5C"/>
    <w:rsid w:val="00C50DF9"/>
    <w:rsid w:val="00C53795"/>
    <w:rsid w:val="00C53EFC"/>
    <w:rsid w:val="00C54655"/>
    <w:rsid w:val="00C55933"/>
    <w:rsid w:val="00C56672"/>
    <w:rsid w:val="00C56FA0"/>
    <w:rsid w:val="00C572EC"/>
    <w:rsid w:val="00C57BB6"/>
    <w:rsid w:val="00C60211"/>
    <w:rsid w:val="00C61965"/>
    <w:rsid w:val="00C61C9B"/>
    <w:rsid w:val="00C623EC"/>
    <w:rsid w:val="00C6340F"/>
    <w:rsid w:val="00C64178"/>
    <w:rsid w:val="00C657C2"/>
    <w:rsid w:val="00C66705"/>
    <w:rsid w:val="00C67027"/>
    <w:rsid w:val="00C673CF"/>
    <w:rsid w:val="00C677AA"/>
    <w:rsid w:val="00C67D18"/>
    <w:rsid w:val="00C71C10"/>
    <w:rsid w:val="00C71E1B"/>
    <w:rsid w:val="00C71EC9"/>
    <w:rsid w:val="00C746FE"/>
    <w:rsid w:val="00C77002"/>
    <w:rsid w:val="00C77365"/>
    <w:rsid w:val="00C8000D"/>
    <w:rsid w:val="00C80609"/>
    <w:rsid w:val="00C80BE8"/>
    <w:rsid w:val="00C814E3"/>
    <w:rsid w:val="00C854FE"/>
    <w:rsid w:val="00C8562E"/>
    <w:rsid w:val="00C85685"/>
    <w:rsid w:val="00C87184"/>
    <w:rsid w:val="00C9005C"/>
    <w:rsid w:val="00C9088D"/>
    <w:rsid w:val="00C9118D"/>
    <w:rsid w:val="00C923DD"/>
    <w:rsid w:val="00C92634"/>
    <w:rsid w:val="00C93D96"/>
    <w:rsid w:val="00C94DAB"/>
    <w:rsid w:val="00C968B7"/>
    <w:rsid w:val="00C96BF7"/>
    <w:rsid w:val="00C96D43"/>
    <w:rsid w:val="00C9794F"/>
    <w:rsid w:val="00CA009F"/>
    <w:rsid w:val="00CA0FB3"/>
    <w:rsid w:val="00CA15A9"/>
    <w:rsid w:val="00CA213C"/>
    <w:rsid w:val="00CA2FDE"/>
    <w:rsid w:val="00CA3160"/>
    <w:rsid w:val="00CA3A83"/>
    <w:rsid w:val="00CA5124"/>
    <w:rsid w:val="00CA5D32"/>
    <w:rsid w:val="00CA5EC3"/>
    <w:rsid w:val="00CA6AD6"/>
    <w:rsid w:val="00CB1330"/>
    <w:rsid w:val="00CB2C00"/>
    <w:rsid w:val="00CB2C84"/>
    <w:rsid w:val="00CB35CA"/>
    <w:rsid w:val="00CB4709"/>
    <w:rsid w:val="00CB511F"/>
    <w:rsid w:val="00CB5D96"/>
    <w:rsid w:val="00CB5E66"/>
    <w:rsid w:val="00CC0647"/>
    <w:rsid w:val="00CC1991"/>
    <w:rsid w:val="00CC2B82"/>
    <w:rsid w:val="00CC4CBF"/>
    <w:rsid w:val="00CC68C9"/>
    <w:rsid w:val="00CC6BB5"/>
    <w:rsid w:val="00CC79FD"/>
    <w:rsid w:val="00CD007A"/>
    <w:rsid w:val="00CD01B4"/>
    <w:rsid w:val="00CD0606"/>
    <w:rsid w:val="00CD1726"/>
    <w:rsid w:val="00CD19AE"/>
    <w:rsid w:val="00CD3C13"/>
    <w:rsid w:val="00CD3DB2"/>
    <w:rsid w:val="00CD5441"/>
    <w:rsid w:val="00CD6180"/>
    <w:rsid w:val="00CD6214"/>
    <w:rsid w:val="00CD6FD0"/>
    <w:rsid w:val="00CD7393"/>
    <w:rsid w:val="00CD7FF5"/>
    <w:rsid w:val="00CE12AC"/>
    <w:rsid w:val="00CE2444"/>
    <w:rsid w:val="00CE2AC3"/>
    <w:rsid w:val="00CE3297"/>
    <w:rsid w:val="00CE32F8"/>
    <w:rsid w:val="00CE381D"/>
    <w:rsid w:val="00CE3A7D"/>
    <w:rsid w:val="00CE4BDB"/>
    <w:rsid w:val="00CE5778"/>
    <w:rsid w:val="00CE5DB1"/>
    <w:rsid w:val="00CE6954"/>
    <w:rsid w:val="00CE6E32"/>
    <w:rsid w:val="00CE72ED"/>
    <w:rsid w:val="00CE7590"/>
    <w:rsid w:val="00CE77ED"/>
    <w:rsid w:val="00CF07B4"/>
    <w:rsid w:val="00CF1BF4"/>
    <w:rsid w:val="00CF235F"/>
    <w:rsid w:val="00CF36A2"/>
    <w:rsid w:val="00CF47F5"/>
    <w:rsid w:val="00CF4A12"/>
    <w:rsid w:val="00CF4B96"/>
    <w:rsid w:val="00CF4BDA"/>
    <w:rsid w:val="00CF5105"/>
    <w:rsid w:val="00CF768E"/>
    <w:rsid w:val="00D004A8"/>
    <w:rsid w:val="00D02858"/>
    <w:rsid w:val="00D02CD5"/>
    <w:rsid w:val="00D0429D"/>
    <w:rsid w:val="00D05327"/>
    <w:rsid w:val="00D05C9E"/>
    <w:rsid w:val="00D064EE"/>
    <w:rsid w:val="00D06D64"/>
    <w:rsid w:val="00D06DCA"/>
    <w:rsid w:val="00D10126"/>
    <w:rsid w:val="00D1217B"/>
    <w:rsid w:val="00D13756"/>
    <w:rsid w:val="00D148EF"/>
    <w:rsid w:val="00D14D7B"/>
    <w:rsid w:val="00D14E78"/>
    <w:rsid w:val="00D14EF4"/>
    <w:rsid w:val="00D15479"/>
    <w:rsid w:val="00D16C3C"/>
    <w:rsid w:val="00D17197"/>
    <w:rsid w:val="00D2023E"/>
    <w:rsid w:val="00D2108B"/>
    <w:rsid w:val="00D21261"/>
    <w:rsid w:val="00D21A45"/>
    <w:rsid w:val="00D234FE"/>
    <w:rsid w:val="00D257E1"/>
    <w:rsid w:val="00D25A41"/>
    <w:rsid w:val="00D25F83"/>
    <w:rsid w:val="00D267BA"/>
    <w:rsid w:val="00D26B53"/>
    <w:rsid w:val="00D27315"/>
    <w:rsid w:val="00D27749"/>
    <w:rsid w:val="00D27762"/>
    <w:rsid w:val="00D27AFA"/>
    <w:rsid w:val="00D3053A"/>
    <w:rsid w:val="00D3123C"/>
    <w:rsid w:val="00D31412"/>
    <w:rsid w:val="00D31857"/>
    <w:rsid w:val="00D319C6"/>
    <w:rsid w:val="00D31CC1"/>
    <w:rsid w:val="00D31FB6"/>
    <w:rsid w:val="00D32395"/>
    <w:rsid w:val="00D3247B"/>
    <w:rsid w:val="00D32888"/>
    <w:rsid w:val="00D328E7"/>
    <w:rsid w:val="00D32ADD"/>
    <w:rsid w:val="00D32B61"/>
    <w:rsid w:val="00D33120"/>
    <w:rsid w:val="00D3342B"/>
    <w:rsid w:val="00D336E6"/>
    <w:rsid w:val="00D366E8"/>
    <w:rsid w:val="00D36C97"/>
    <w:rsid w:val="00D40842"/>
    <w:rsid w:val="00D40C9A"/>
    <w:rsid w:val="00D43204"/>
    <w:rsid w:val="00D44938"/>
    <w:rsid w:val="00D44AE2"/>
    <w:rsid w:val="00D511C4"/>
    <w:rsid w:val="00D514EB"/>
    <w:rsid w:val="00D53FAF"/>
    <w:rsid w:val="00D543C1"/>
    <w:rsid w:val="00D54BC4"/>
    <w:rsid w:val="00D55492"/>
    <w:rsid w:val="00D556CF"/>
    <w:rsid w:val="00D56356"/>
    <w:rsid w:val="00D573C1"/>
    <w:rsid w:val="00D57740"/>
    <w:rsid w:val="00D577BC"/>
    <w:rsid w:val="00D60457"/>
    <w:rsid w:val="00D6047E"/>
    <w:rsid w:val="00D61435"/>
    <w:rsid w:val="00D61C41"/>
    <w:rsid w:val="00D65196"/>
    <w:rsid w:val="00D66137"/>
    <w:rsid w:val="00D6629E"/>
    <w:rsid w:val="00D6672F"/>
    <w:rsid w:val="00D667CB"/>
    <w:rsid w:val="00D705CF"/>
    <w:rsid w:val="00D72BA8"/>
    <w:rsid w:val="00D747CA"/>
    <w:rsid w:val="00D7628F"/>
    <w:rsid w:val="00D766B5"/>
    <w:rsid w:val="00D773CD"/>
    <w:rsid w:val="00D80307"/>
    <w:rsid w:val="00D8040E"/>
    <w:rsid w:val="00D813FD"/>
    <w:rsid w:val="00D815E9"/>
    <w:rsid w:val="00D81909"/>
    <w:rsid w:val="00D823F9"/>
    <w:rsid w:val="00D82B49"/>
    <w:rsid w:val="00D8303A"/>
    <w:rsid w:val="00D83112"/>
    <w:rsid w:val="00D83DF0"/>
    <w:rsid w:val="00D842C1"/>
    <w:rsid w:val="00D84597"/>
    <w:rsid w:val="00D85882"/>
    <w:rsid w:val="00D85E12"/>
    <w:rsid w:val="00D8681A"/>
    <w:rsid w:val="00D90407"/>
    <w:rsid w:val="00D9108B"/>
    <w:rsid w:val="00D910E9"/>
    <w:rsid w:val="00D943AB"/>
    <w:rsid w:val="00D944B8"/>
    <w:rsid w:val="00D95CD0"/>
    <w:rsid w:val="00D96E1E"/>
    <w:rsid w:val="00DA019D"/>
    <w:rsid w:val="00DA1A3B"/>
    <w:rsid w:val="00DA1FFF"/>
    <w:rsid w:val="00DA2619"/>
    <w:rsid w:val="00DA3D35"/>
    <w:rsid w:val="00DA3E32"/>
    <w:rsid w:val="00DA4344"/>
    <w:rsid w:val="00DA458D"/>
    <w:rsid w:val="00DA6211"/>
    <w:rsid w:val="00DA62A0"/>
    <w:rsid w:val="00DA70C4"/>
    <w:rsid w:val="00DA7498"/>
    <w:rsid w:val="00DB02F6"/>
    <w:rsid w:val="00DB04B6"/>
    <w:rsid w:val="00DB077B"/>
    <w:rsid w:val="00DB3315"/>
    <w:rsid w:val="00DB3BA5"/>
    <w:rsid w:val="00DB45F6"/>
    <w:rsid w:val="00DB4A20"/>
    <w:rsid w:val="00DB4BB9"/>
    <w:rsid w:val="00DB4C29"/>
    <w:rsid w:val="00DB500A"/>
    <w:rsid w:val="00DB6517"/>
    <w:rsid w:val="00DC0917"/>
    <w:rsid w:val="00DC15B6"/>
    <w:rsid w:val="00DC1E50"/>
    <w:rsid w:val="00DC3448"/>
    <w:rsid w:val="00DC42EF"/>
    <w:rsid w:val="00DC5F90"/>
    <w:rsid w:val="00DC601B"/>
    <w:rsid w:val="00DC6AEE"/>
    <w:rsid w:val="00DD02EE"/>
    <w:rsid w:val="00DD0461"/>
    <w:rsid w:val="00DD05F1"/>
    <w:rsid w:val="00DD09C0"/>
    <w:rsid w:val="00DD0B5E"/>
    <w:rsid w:val="00DD19F4"/>
    <w:rsid w:val="00DD2AD3"/>
    <w:rsid w:val="00DD3923"/>
    <w:rsid w:val="00DD407F"/>
    <w:rsid w:val="00DD4967"/>
    <w:rsid w:val="00DD5192"/>
    <w:rsid w:val="00DD5CB8"/>
    <w:rsid w:val="00DD7DC7"/>
    <w:rsid w:val="00DD7E0B"/>
    <w:rsid w:val="00DE105A"/>
    <w:rsid w:val="00DE1584"/>
    <w:rsid w:val="00DE158A"/>
    <w:rsid w:val="00DE16F2"/>
    <w:rsid w:val="00DE19F6"/>
    <w:rsid w:val="00DE1D86"/>
    <w:rsid w:val="00DE252B"/>
    <w:rsid w:val="00DE2B1F"/>
    <w:rsid w:val="00DE2CDB"/>
    <w:rsid w:val="00DE3783"/>
    <w:rsid w:val="00DE464C"/>
    <w:rsid w:val="00DE50BF"/>
    <w:rsid w:val="00DE5B2A"/>
    <w:rsid w:val="00DE5BFB"/>
    <w:rsid w:val="00DE652E"/>
    <w:rsid w:val="00DE7FEB"/>
    <w:rsid w:val="00DF0DDB"/>
    <w:rsid w:val="00DF136C"/>
    <w:rsid w:val="00DF14AF"/>
    <w:rsid w:val="00DF253E"/>
    <w:rsid w:val="00DF2B00"/>
    <w:rsid w:val="00DF3011"/>
    <w:rsid w:val="00DF5578"/>
    <w:rsid w:val="00DF5D54"/>
    <w:rsid w:val="00DF63B6"/>
    <w:rsid w:val="00DF6667"/>
    <w:rsid w:val="00DF7240"/>
    <w:rsid w:val="00DF7244"/>
    <w:rsid w:val="00DF7277"/>
    <w:rsid w:val="00E01792"/>
    <w:rsid w:val="00E026D9"/>
    <w:rsid w:val="00E027D4"/>
    <w:rsid w:val="00E02F61"/>
    <w:rsid w:val="00E04400"/>
    <w:rsid w:val="00E05E4F"/>
    <w:rsid w:val="00E06A18"/>
    <w:rsid w:val="00E06DA8"/>
    <w:rsid w:val="00E07B08"/>
    <w:rsid w:val="00E09105"/>
    <w:rsid w:val="00E10374"/>
    <w:rsid w:val="00E10EDB"/>
    <w:rsid w:val="00E127D8"/>
    <w:rsid w:val="00E12CCA"/>
    <w:rsid w:val="00E13775"/>
    <w:rsid w:val="00E13891"/>
    <w:rsid w:val="00E13C4C"/>
    <w:rsid w:val="00E15FDA"/>
    <w:rsid w:val="00E17AD0"/>
    <w:rsid w:val="00E17E56"/>
    <w:rsid w:val="00E17F33"/>
    <w:rsid w:val="00E20CFB"/>
    <w:rsid w:val="00E223B4"/>
    <w:rsid w:val="00E23B85"/>
    <w:rsid w:val="00E24226"/>
    <w:rsid w:val="00E256CD"/>
    <w:rsid w:val="00E25CB3"/>
    <w:rsid w:val="00E26806"/>
    <w:rsid w:val="00E2710E"/>
    <w:rsid w:val="00E27C87"/>
    <w:rsid w:val="00E308FB"/>
    <w:rsid w:val="00E3203B"/>
    <w:rsid w:val="00E322A9"/>
    <w:rsid w:val="00E32840"/>
    <w:rsid w:val="00E3309B"/>
    <w:rsid w:val="00E33123"/>
    <w:rsid w:val="00E3330E"/>
    <w:rsid w:val="00E35EF9"/>
    <w:rsid w:val="00E37395"/>
    <w:rsid w:val="00E405F7"/>
    <w:rsid w:val="00E408D2"/>
    <w:rsid w:val="00E40CD8"/>
    <w:rsid w:val="00E41284"/>
    <w:rsid w:val="00E44753"/>
    <w:rsid w:val="00E451C0"/>
    <w:rsid w:val="00E4662B"/>
    <w:rsid w:val="00E46769"/>
    <w:rsid w:val="00E50256"/>
    <w:rsid w:val="00E50822"/>
    <w:rsid w:val="00E50A1E"/>
    <w:rsid w:val="00E51BF1"/>
    <w:rsid w:val="00E52A91"/>
    <w:rsid w:val="00E52F75"/>
    <w:rsid w:val="00E53472"/>
    <w:rsid w:val="00E53C9B"/>
    <w:rsid w:val="00E53F38"/>
    <w:rsid w:val="00E53FA3"/>
    <w:rsid w:val="00E5428D"/>
    <w:rsid w:val="00E54303"/>
    <w:rsid w:val="00E54C32"/>
    <w:rsid w:val="00E563EF"/>
    <w:rsid w:val="00E56A1E"/>
    <w:rsid w:val="00E56ECC"/>
    <w:rsid w:val="00E57406"/>
    <w:rsid w:val="00E611AD"/>
    <w:rsid w:val="00E61D78"/>
    <w:rsid w:val="00E621EB"/>
    <w:rsid w:val="00E635F2"/>
    <w:rsid w:val="00E63796"/>
    <w:rsid w:val="00E63A2E"/>
    <w:rsid w:val="00E63F13"/>
    <w:rsid w:val="00E644B6"/>
    <w:rsid w:val="00E64BEE"/>
    <w:rsid w:val="00E64DDC"/>
    <w:rsid w:val="00E64EA3"/>
    <w:rsid w:val="00E65CCE"/>
    <w:rsid w:val="00E66D08"/>
    <w:rsid w:val="00E67428"/>
    <w:rsid w:val="00E70C17"/>
    <w:rsid w:val="00E714C0"/>
    <w:rsid w:val="00E747DA"/>
    <w:rsid w:val="00E7503D"/>
    <w:rsid w:val="00E75FDA"/>
    <w:rsid w:val="00E760A1"/>
    <w:rsid w:val="00E77112"/>
    <w:rsid w:val="00E8163B"/>
    <w:rsid w:val="00E81A28"/>
    <w:rsid w:val="00E81B63"/>
    <w:rsid w:val="00E829E9"/>
    <w:rsid w:val="00E843F4"/>
    <w:rsid w:val="00E84746"/>
    <w:rsid w:val="00E84791"/>
    <w:rsid w:val="00E85CF4"/>
    <w:rsid w:val="00E8634B"/>
    <w:rsid w:val="00E87FC0"/>
    <w:rsid w:val="00E90069"/>
    <w:rsid w:val="00E9146C"/>
    <w:rsid w:val="00E931A5"/>
    <w:rsid w:val="00E9380B"/>
    <w:rsid w:val="00E93B72"/>
    <w:rsid w:val="00E9463B"/>
    <w:rsid w:val="00E9464F"/>
    <w:rsid w:val="00E95375"/>
    <w:rsid w:val="00E957FF"/>
    <w:rsid w:val="00E95ED6"/>
    <w:rsid w:val="00E9618A"/>
    <w:rsid w:val="00E9757A"/>
    <w:rsid w:val="00EA14E5"/>
    <w:rsid w:val="00EA1586"/>
    <w:rsid w:val="00EA233F"/>
    <w:rsid w:val="00EA260E"/>
    <w:rsid w:val="00EA46CD"/>
    <w:rsid w:val="00EA4C60"/>
    <w:rsid w:val="00EA5544"/>
    <w:rsid w:val="00EA5C2B"/>
    <w:rsid w:val="00EA63EC"/>
    <w:rsid w:val="00EA6839"/>
    <w:rsid w:val="00EA75BE"/>
    <w:rsid w:val="00EB11E4"/>
    <w:rsid w:val="00EB1E39"/>
    <w:rsid w:val="00EB224B"/>
    <w:rsid w:val="00EB4AFC"/>
    <w:rsid w:val="00EB53E7"/>
    <w:rsid w:val="00EB6F6D"/>
    <w:rsid w:val="00EB765E"/>
    <w:rsid w:val="00EB7B6E"/>
    <w:rsid w:val="00EB7C38"/>
    <w:rsid w:val="00EB7DBD"/>
    <w:rsid w:val="00EC0F14"/>
    <w:rsid w:val="00EC1457"/>
    <w:rsid w:val="00EC186C"/>
    <w:rsid w:val="00EC1BE2"/>
    <w:rsid w:val="00EC1CAA"/>
    <w:rsid w:val="00EC1CB3"/>
    <w:rsid w:val="00EC24F7"/>
    <w:rsid w:val="00EC2525"/>
    <w:rsid w:val="00EC2D56"/>
    <w:rsid w:val="00EC3E42"/>
    <w:rsid w:val="00EC40ED"/>
    <w:rsid w:val="00EC49F4"/>
    <w:rsid w:val="00EC5367"/>
    <w:rsid w:val="00EC5FED"/>
    <w:rsid w:val="00EC6062"/>
    <w:rsid w:val="00EC6DC1"/>
    <w:rsid w:val="00EC6E7E"/>
    <w:rsid w:val="00EC7176"/>
    <w:rsid w:val="00ED142E"/>
    <w:rsid w:val="00ED1451"/>
    <w:rsid w:val="00ED1F3F"/>
    <w:rsid w:val="00ED23C9"/>
    <w:rsid w:val="00ED26B3"/>
    <w:rsid w:val="00ED3157"/>
    <w:rsid w:val="00ED35AA"/>
    <w:rsid w:val="00ED388B"/>
    <w:rsid w:val="00ED3C99"/>
    <w:rsid w:val="00ED5A11"/>
    <w:rsid w:val="00ED5ED8"/>
    <w:rsid w:val="00ED6923"/>
    <w:rsid w:val="00EE10FE"/>
    <w:rsid w:val="00EE111F"/>
    <w:rsid w:val="00EE16E3"/>
    <w:rsid w:val="00EE1DA9"/>
    <w:rsid w:val="00EE2520"/>
    <w:rsid w:val="00EE2E84"/>
    <w:rsid w:val="00EE3A24"/>
    <w:rsid w:val="00EE458D"/>
    <w:rsid w:val="00EE47A1"/>
    <w:rsid w:val="00EE5229"/>
    <w:rsid w:val="00EE5B4C"/>
    <w:rsid w:val="00EE6C92"/>
    <w:rsid w:val="00EE6F10"/>
    <w:rsid w:val="00EE724D"/>
    <w:rsid w:val="00EF0628"/>
    <w:rsid w:val="00EF0B81"/>
    <w:rsid w:val="00EF14F3"/>
    <w:rsid w:val="00EF1631"/>
    <w:rsid w:val="00EF2A10"/>
    <w:rsid w:val="00EF46E1"/>
    <w:rsid w:val="00EF4808"/>
    <w:rsid w:val="00EF5727"/>
    <w:rsid w:val="00EF6325"/>
    <w:rsid w:val="00EF6B7E"/>
    <w:rsid w:val="00EF6BD8"/>
    <w:rsid w:val="00EF727A"/>
    <w:rsid w:val="00F012E1"/>
    <w:rsid w:val="00F01A7C"/>
    <w:rsid w:val="00F03AB7"/>
    <w:rsid w:val="00F03FD4"/>
    <w:rsid w:val="00F0431B"/>
    <w:rsid w:val="00F04912"/>
    <w:rsid w:val="00F0517B"/>
    <w:rsid w:val="00F0542E"/>
    <w:rsid w:val="00F05F9B"/>
    <w:rsid w:val="00F06232"/>
    <w:rsid w:val="00F069C7"/>
    <w:rsid w:val="00F07221"/>
    <w:rsid w:val="00F11C49"/>
    <w:rsid w:val="00F12388"/>
    <w:rsid w:val="00F126C1"/>
    <w:rsid w:val="00F129C3"/>
    <w:rsid w:val="00F13F9A"/>
    <w:rsid w:val="00F1436D"/>
    <w:rsid w:val="00F1445C"/>
    <w:rsid w:val="00F14FBA"/>
    <w:rsid w:val="00F15195"/>
    <w:rsid w:val="00F1522C"/>
    <w:rsid w:val="00F15262"/>
    <w:rsid w:val="00F15731"/>
    <w:rsid w:val="00F15DB7"/>
    <w:rsid w:val="00F15EF6"/>
    <w:rsid w:val="00F1617D"/>
    <w:rsid w:val="00F170E0"/>
    <w:rsid w:val="00F17263"/>
    <w:rsid w:val="00F201EA"/>
    <w:rsid w:val="00F20651"/>
    <w:rsid w:val="00F20710"/>
    <w:rsid w:val="00F2087A"/>
    <w:rsid w:val="00F20EE8"/>
    <w:rsid w:val="00F213E8"/>
    <w:rsid w:val="00F21485"/>
    <w:rsid w:val="00F229C3"/>
    <w:rsid w:val="00F22A0F"/>
    <w:rsid w:val="00F23093"/>
    <w:rsid w:val="00F24AF9"/>
    <w:rsid w:val="00F25B04"/>
    <w:rsid w:val="00F26A33"/>
    <w:rsid w:val="00F27C60"/>
    <w:rsid w:val="00F3011C"/>
    <w:rsid w:val="00F3054A"/>
    <w:rsid w:val="00F30C83"/>
    <w:rsid w:val="00F3169C"/>
    <w:rsid w:val="00F317FC"/>
    <w:rsid w:val="00F33C12"/>
    <w:rsid w:val="00F34BC2"/>
    <w:rsid w:val="00F34CEA"/>
    <w:rsid w:val="00F357C2"/>
    <w:rsid w:val="00F3779A"/>
    <w:rsid w:val="00F40313"/>
    <w:rsid w:val="00F422AA"/>
    <w:rsid w:val="00F4260D"/>
    <w:rsid w:val="00F42D47"/>
    <w:rsid w:val="00F437C7"/>
    <w:rsid w:val="00F44869"/>
    <w:rsid w:val="00F45E51"/>
    <w:rsid w:val="00F46DE9"/>
    <w:rsid w:val="00F507EA"/>
    <w:rsid w:val="00F51246"/>
    <w:rsid w:val="00F51519"/>
    <w:rsid w:val="00F51D6C"/>
    <w:rsid w:val="00F5491D"/>
    <w:rsid w:val="00F55AAC"/>
    <w:rsid w:val="00F55EBB"/>
    <w:rsid w:val="00F562B3"/>
    <w:rsid w:val="00F566D8"/>
    <w:rsid w:val="00F56A1C"/>
    <w:rsid w:val="00F572B1"/>
    <w:rsid w:val="00F57A60"/>
    <w:rsid w:val="00F61055"/>
    <w:rsid w:val="00F6464D"/>
    <w:rsid w:val="00F64A57"/>
    <w:rsid w:val="00F653B6"/>
    <w:rsid w:val="00F658D9"/>
    <w:rsid w:val="00F6592E"/>
    <w:rsid w:val="00F65DEC"/>
    <w:rsid w:val="00F666E4"/>
    <w:rsid w:val="00F70BF0"/>
    <w:rsid w:val="00F710C3"/>
    <w:rsid w:val="00F72903"/>
    <w:rsid w:val="00F7306E"/>
    <w:rsid w:val="00F7340A"/>
    <w:rsid w:val="00F73E8D"/>
    <w:rsid w:val="00F7541E"/>
    <w:rsid w:val="00F778C7"/>
    <w:rsid w:val="00F77DA8"/>
    <w:rsid w:val="00F807FB"/>
    <w:rsid w:val="00F80CBC"/>
    <w:rsid w:val="00F80D61"/>
    <w:rsid w:val="00F83930"/>
    <w:rsid w:val="00F840B3"/>
    <w:rsid w:val="00F8528B"/>
    <w:rsid w:val="00F85A76"/>
    <w:rsid w:val="00F85DD9"/>
    <w:rsid w:val="00F86773"/>
    <w:rsid w:val="00F86AC9"/>
    <w:rsid w:val="00F87BCD"/>
    <w:rsid w:val="00F91087"/>
    <w:rsid w:val="00F913C3"/>
    <w:rsid w:val="00F92478"/>
    <w:rsid w:val="00F9262A"/>
    <w:rsid w:val="00F92847"/>
    <w:rsid w:val="00F929A9"/>
    <w:rsid w:val="00F92D37"/>
    <w:rsid w:val="00F93966"/>
    <w:rsid w:val="00F93BD5"/>
    <w:rsid w:val="00F9581E"/>
    <w:rsid w:val="00F971C1"/>
    <w:rsid w:val="00F97A71"/>
    <w:rsid w:val="00FA0409"/>
    <w:rsid w:val="00FA15CF"/>
    <w:rsid w:val="00FA1803"/>
    <w:rsid w:val="00FA2EBC"/>
    <w:rsid w:val="00FA3662"/>
    <w:rsid w:val="00FA5060"/>
    <w:rsid w:val="00FA510C"/>
    <w:rsid w:val="00FA518F"/>
    <w:rsid w:val="00FA5CAC"/>
    <w:rsid w:val="00FA6440"/>
    <w:rsid w:val="00FA697C"/>
    <w:rsid w:val="00FA6CE0"/>
    <w:rsid w:val="00FA6F5C"/>
    <w:rsid w:val="00FA729A"/>
    <w:rsid w:val="00FA7327"/>
    <w:rsid w:val="00FA7B17"/>
    <w:rsid w:val="00FA7FBF"/>
    <w:rsid w:val="00FB0B58"/>
    <w:rsid w:val="00FB0DE0"/>
    <w:rsid w:val="00FB1598"/>
    <w:rsid w:val="00FB1BC1"/>
    <w:rsid w:val="00FB37C0"/>
    <w:rsid w:val="00FB394E"/>
    <w:rsid w:val="00FB45E6"/>
    <w:rsid w:val="00FB476E"/>
    <w:rsid w:val="00FB4812"/>
    <w:rsid w:val="00FB63D6"/>
    <w:rsid w:val="00FB6C34"/>
    <w:rsid w:val="00FB7A52"/>
    <w:rsid w:val="00FC0BCB"/>
    <w:rsid w:val="00FC1E3B"/>
    <w:rsid w:val="00FC3BA8"/>
    <w:rsid w:val="00FC586E"/>
    <w:rsid w:val="00FC67DD"/>
    <w:rsid w:val="00FC72DC"/>
    <w:rsid w:val="00FD0158"/>
    <w:rsid w:val="00FD0919"/>
    <w:rsid w:val="00FD14F6"/>
    <w:rsid w:val="00FD261E"/>
    <w:rsid w:val="00FD27F1"/>
    <w:rsid w:val="00FD2A87"/>
    <w:rsid w:val="00FD3B29"/>
    <w:rsid w:val="00FD3ED9"/>
    <w:rsid w:val="00FD4087"/>
    <w:rsid w:val="00FD425A"/>
    <w:rsid w:val="00FD5019"/>
    <w:rsid w:val="00FD579A"/>
    <w:rsid w:val="00FD5A90"/>
    <w:rsid w:val="00FD6CA1"/>
    <w:rsid w:val="00FD77C7"/>
    <w:rsid w:val="00FD7BEC"/>
    <w:rsid w:val="00FE0A7A"/>
    <w:rsid w:val="00FE0DF2"/>
    <w:rsid w:val="00FE2468"/>
    <w:rsid w:val="00FE2C2B"/>
    <w:rsid w:val="00FE353F"/>
    <w:rsid w:val="00FE359E"/>
    <w:rsid w:val="00FE3DA6"/>
    <w:rsid w:val="00FE497E"/>
    <w:rsid w:val="00FE5722"/>
    <w:rsid w:val="00FE6129"/>
    <w:rsid w:val="00FF06B7"/>
    <w:rsid w:val="00FF0879"/>
    <w:rsid w:val="00FF1904"/>
    <w:rsid w:val="00FF1974"/>
    <w:rsid w:val="00FF1990"/>
    <w:rsid w:val="00FF1E10"/>
    <w:rsid w:val="00FF260C"/>
    <w:rsid w:val="00FF44FE"/>
    <w:rsid w:val="00FF5233"/>
    <w:rsid w:val="00FF558C"/>
    <w:rsid w:val="00FF5C15"/>
    <w:rsid w:val="00FF6B0E"/>
    <w:rsid w:val="00FF6B21"/>
    <w:rsid w:val="00FF6D05"/>
    <w:rsid w:val="01106E55"/>
    <w:rsid w:val="011FE65E"/>
    <w:rsid w:val="01AFA80F"/>
    <w:rsid w:val="01B67688"/>
    <w:rsid w:val="01DA61ED"/>
    <w:rsid w:val="020C6928"/>
    <w:rsid w:val="0257A455"/>
    <w:rsid w:val="026A2966"/>
    <w:rsid w:val="028C64D3"/>
    <w:rsid w:val="02D41C33"/>
    <w:rsid w:val="02DC8460"/>
    <w:rsid w:val="032945DF"/>
    <w:rsid w:val="033D5ABE"/>
    <w:rsid w:val="034DC794"/>
    <w:rsid w:val="036EB215"/>
    <w:rsid w:val="0385E0CC"/>
    <w:rsid w:val="03A4E4E1"/>
    <w:rsid w:val="03CEB1B1"/>
    <w:rsid w:val="03DF371C"/>
    <w:rsid w:val="04168C35"/>
    <w:rsid w:val="041A0FAF"/>
    <w:rsid w:val="041CAAC8"/>
    <w:rsid w:val="04A989E8"/>
    <w:rsid w:val="04AE6AD2"/>
    <w:rsid w:val="04C34FF2"/>
    <w:rsid w:val="04C5B5B2"/>
    <w:rsid w:val="04D30DA4"/>
    <w:rsid w:val="04DA8456"/>
    <w:rsid w:val="04E788BF"/>
    <w:rsid w:val="04E9799F"/>
    <w:rsid w:val="04F05C0C"/>
    <w:rsid w:val="04FA024E"/>
    <w:rsid w:val="050D5D83"/>
    <w:rsid w:val="0519DCC7"/>
    <w:rsid w:val="051FE33B"/>
    <w:rsid w:val="052215DC"/>
    <w:rsid w:val="05452D48"/>
    <w:rsid w:val="056EC1C0"/>
    <w:rsid w:val="0585BC67"/>
    <w:rsid w:val="05AA8987"/>
    <w:rsid w:val="05B860D0"/>
    <w:rsid w:val="05C55928"/>
    <w:rsid w:val="05CBBB16"/>
    <w:rsid w:val="05DAEFD3"/>
    <w:rsid w:val="05FF5662"/>
    <w:rsid w:val="05FF99B7"/>
    <w:rsid w:val="062F3E2A"/>
    <w:rsid w:val="0671A2A0"/>
    <w:rsid w:val="06A4E79E"/>
    <w:rsid w:val="06A8181B"/>
    <w:rsid w:val="06ABEF23"/>
    <w:rsid w:val="06C550C2"/>
    <w:rsid w:val="06D8563D"/>
    <w:rsid w:val="06D9F083"/>
    <w:rsid w:val="072BC8DC"/>
    <w:rsid w:val="076D8FCB"/>
    <w:rsid w:val="07AB4125"/>
    <w:rsid w:val="07B05080"/>
    <w:rsid w:val="07BECC2F"/>
    <w:rsid w:val="07C52577"/>
    <w:rsid w:val="07CF2F37"/>
    <w:rsid w:val="07D90F20"/>
    <w:rsid w:val="08496EA1"/>
    <w:rsid w:val="0850EFC4"/>
    <w:rsid w:val="08519B51"/>
    <w:rsid w:val="088BE129"/>
    <w:rsid w:val="08A14EC9"/>
    <w:rsid w:val="08B8EBFC"/>
    <w:rsid w:val="08C2B739"/>
    <w:rsid w:val="08C470BA"/>
    <w:rsid w:val="08CACD39"/>
    <w:rsid w:val="08DC8892"/>
    <w:rsid w:val="091C052F"/>
    <w:rsid w:val="092CE438"/>
    <w:rsid w:val="094E83E5"/>
    <w:rsid w:val="095532D1"/>
    <w:rsid w:val="0979295A"/>
    <w:rsid w:val="09843918"/>
    <w:rsid w:val="098CE6D9"/>
    <w:rsid w:val="099FE916"/>
    <w:rsid w:val="09AC4B1B"/>
    <w:rsid w:val="09AFF484"/>
    <w:rsid w:val="09BFE860"/>
    <w:rsid w:val="09C352FA"/>
    <w:rsid w:val="09CC3D5A"/>
    <w:rsid w:val="09F240F9"/>
    <w:rsid w:val="0A07B9A8"/>
    <w:rsid w:val="0A184C20"/>
    <w:rsid w:val="0A3AB3F2"/>
    <w:rsid w:val="0A5108BB"/>
    <w:rsid w:val="0A637060"/>
    <w:rsid w:val="0A6B5910"/>
    <w:rsid w:val="0A6DA9E1"/>
    <w:rsid w:val="0AA75292"/>
    <w:rsid w:val="0AB111C3"/>
    <w:rsid w:val="0AB51537"/>
    <w:rsid w:val="0AE3DA82"/>
    <w:rsid w:val="0AF4D3CC"/>
    <w:rsid w:val="0B6FA946"/>
    <w:rsid w:val="0BA7A7E3"/>
    <w:rsid w:val="0BABFDB1"/>
    <w:rsid w:val="0BE8D06F"/>
    <w:rsid w:val="0BF0F51B"/>
    <w:rsid w:val="0BFC4018"/>
    <w:rsid w:val="0BFD0FBE"/>
    <w:rsid w:val="0C59C77E"/>
    <w:rsid w:val="0C642F35"/>
    <w:rsid w:val="0C770AA0"/>
    <w:rsid w:val="0C8AB744"/>
    <w:rsid w:val="0CDEA90E"/>
    <w:rsid w:val="0D09AC34"/>
    <w:rsid w:val="0D284BB0"/>
    <w:rsid w:val="0D7A5102"/>
    <w:rsid w:val="0D845355"/>
    <w:rsid w:val="0D84E82B"/>
    <w:rsid w:val="0D8BC848"/>
    <w:rsid w:val="0D94C6C8"/>
    <w:rsid w:val="0D96410D"/>
    <w:rsid w:val="0DB00FE0"/>
    <w:rsid w:val="0DB96991"/>
    <w:rsid w:val="0DD44D9B"/>
    <w:rsid w:val="0DDA6308"/>
    <w:rsid w:val="0DF92F20"/>
    <w:rsid w:val="0E1AEEFC"/>
    <w:rsid w:val="0E595320"/>
    <w:rsid w:val="0E62E936"/>
    <w:rsid w:val="0E63D461"/>
    <w:rsid w:val="0EB68DF3"/>
    <w:rsid w:val="0EC177E7"/>
    <w:rsid w:val="0ED346B7"/>
    <w:rsid w:val="0EFF562B"/>
    <w:rsid w:val="0EFFB76B"/>
    <w:rsid w:val="0F12C98E"/>
    <w:rsid w:val="0F217B00"/>
    <w:rsid w:val="0F3EAB51"/>
    <w:rsid w:val="0F494823"/>
    <w:rsid w:val="0F571CDD"/>
    <w:rsid w:val="0F756C8B"/>
    <w:rsid w:val="0F814DBF"/>
    <w:rsid w:val="0FB12129"/>
    <w:rsid w:val="0FE29CAD"/>
    <w:rsid w:val="0FE990D7"/>
    <w:rsid w:val="0FF00B0E"/>
    <w:rsid w:val="1014CE99"/>
    <w:rsid w:val="10400E3D"/>
    <w:rsid w:val="10569228"/>
    <w:rsid w:val="105C4C6D"/>
    <w:rsid w:val="10B5EE7D"/>
    <w:rsid w:val="10C4F7FA"/>
    <w:rsid w:val="10E4EF22"/>
    <w:rsid w:val="10F3C017"/>
    <w:rsid w:val="10F5A298"/>
    <w:rsid w:val="10FB44F6"/>
    <w:rsid w:val="1106784C"/>
    <w:rsid w:val="1137122F"/>
    <w:rsid w:val="11751D60"/>
    <w:rsid w:val="11AAA142"/>
    <w:rsid w:val="11E2D699"/>
    <w:rsid w:val="11F9C5E3"/>
    <w:rsid w:val="12123519"/>
    <w:rsid w:val="1226EBA6"/>
    <w:rsid w:val="122EEC8D"/>
    <w:rsid w:val="123E73E9"/>
    <w:rsid w:val="124909DD"/>
    <w:rsid w:val="125283EB"/>
    <w:rsid w:val="127527B1"/>
    <w:rsid w:val="12E872E5"/>
    <w:rsid w:val="130D060C"/>
    <w:rsid w:val="13356AB8"/>
    <w:rsid w:val="133C3D72"/>
    <w:rsid w:val="134581FB"/>
    <w:rsid w:val="13545E6F"/>
    <w:rsid w:val="1386D50B"/>
    <w:rsid w:val="13A72720"/>
    <w:rsid w:val="13ACD54B"/>
    <w:rsid w:val="13C67D22"/>
    <w:rsid w:val="13ED000E"/>
    <w:rsid w:val="14057C5F"/>
    <w:rsid w:val="141A094B"/>
    <w:rsid w:val="1424E14A"/>
    <w:rsid w:val="14259F31"/>
    <w:rsid w:val="14315D51"/>
    <w:rsid w:val="1453B65B"/>
    <w:rsid w:val="14634BA4"/>
    <w:rsid w:val="1463F1AA"/>
    <w:rsid w:val="147350FA"/>
    <w:rsid w:val="149C9388"/>
    <w:rsid w:val="1525B643"/>
    <w:rsid w:val="152C09E3"/>
    <w:rsid w:val="15334F46"/>
    <w:rsid w:val="15371635"/>
    <w:rsid w:val="1559EE62"/>
    <w:rsid w:val="15623406"/>
    <w:rsid w:val="156FAB4C"/>
    <w:rsid w:val="1597ACD3"/>
    <w:rsid w:val="15D93F23"/>
    <w:rsid w:val="15EC9CA3"/>
    <w:rsid w:val="15FB6ADB"/>
    <w:rsid w:val="16253260"/>
    <w:rsid w:val="16314A72"/>
    <w:rsid w:val="169A4DB2"/>
    <w:rsid w:val="169CE847"/>
    <w:rsid w:val="16CECCE8"/>
    <w:rsid w:val="16D47D63"/>
    <w:rsid w:val="16D6AC42"/>
    <w:rsid w:val="16E58F5A"/>
    <w:rsid w:val="17072E17"/>
    <w:rsid w:val="170A3D1E"/>
    <w:rsid w:val="171BF45B"/>
    <w:rsid w:val="17596820"/>
    <w:rsid w:val="17746441"/>
    <w:rsid w:val="1789A731"/>
    <w:rsid w:val="17B281F8"/>
    <w:rsid w:val="17B8C5DF"/>
    <w:rsid w:val="17C08195"/>
    <w:rsid w:val="17C273CF"/>
    <w:rsid w:val="17DF601A"/>
    <w:rsid w:val="180F5809"/>
    <w:rsid w:val="18101F7C"/>
    <w:rsid w:val="189CC11B"/>
    <w:rsid w:val="18AEDF16"/>
    <w:rsid w:val="18D2B736"/>
    <w:rsid w:val="18F0B34E"/>
    <w:rsid w:val="193822D9"/>
    <w:rsid w:val="19457B07"/>
    <w:rsid w:val="1947A291"/>
    <w:rsid w:val="19D94F09"/>
    <w:rsid w:val="19F9987A"/>
    <w:rsid w:val="19FA5418"/>
    <w:rsid w:val="1A18DDD9"/>
    <w:rsid w:val="1A1A5583"/>
    <w:rsid w:val="1A3B6DB6"/>
    <w:rsid w:val="1A5915CD"/>
    <w:rsid w:val="1A8D63F1"/>
    <w:rsid w:val="1AA384F0"/>
    <w:rsid w:val="1AC53D35"/>
    <w:rsid w:val="1AE80679"/>
    <w:rsid w:val="1B3404F5"/>
    <w:rsid w:val="1B991359"/>
    <w:rsid w:val="1B9B6C02"/>
    <w:rsid w:val="1BCA9072"/>
    <w:rsid w:val="1BDBAE96"/>
    <w:rsid w:val="1BF55204"/>
    <w:rsid w:val="1BFDDA9B"/>
    <w:rsid w:val="1C468C48"/>
    <w:rsid w:val="1C602318"/>
    <w:rsid w:val="1C63260F"/>
    <w:rsid w:val="1CAA79C7"/>
    <w:rsid w:val="1CCDC841"/>
    <w:rsid w:val="1CD342F4"/>
    <w:rsid w:val="1CDAAB30"/>
    <w:rsid w:val="1D19F3D6"/>
    <w:rsid w:val="1D1B95B9"/>
    <w:rsid w:val="1D23AC6F"/>
    <w:rsid w:val="1D28882F"/>
    <w:rsid w:val="1D2A4B21"/>
    <w:rsid w:val="1D4C09C3"/>
    <w:rsid w:val="1D527606"/>
    <w:rsid w:val="1D775211"/>
    <w:rsid w:val="1D93FDC6"/>
    <w:rsid w:val="1DAA8211"/>
    <w:rsid w:val="1DACF825"/>
    <w:rsid w:val="1DBFD16D"/>
    <w:rsid w:val="1DC49B23"/>
    <w:rsid w:val="1DC99F29"/>
    <w:rsid w:val="1DDFB33A"/>
    <w:rsid w:val="1DEB176D"/>
    <w:rsid w:val="1DEF8F2C"/>
    <w:rsid w:val="1DF24620"/>
    <w:rsid w:val="1DF31C2F"/>
    <w:rsid w:val="1DFCC20F"/>
    <w:rsid w:val="1E01F01F"/>
    <w:rsid w:val="1E151B02"/>
    <w:rsid w:val="1E245840"/>
    <w:rsid w:val="1E31D38B"/>
    <w:rsid w:val="1E52E7DA"/>
    <w:rsid w:val="1E6700BB"/>
    <w:rsid w:val="1E67C348"/>
    <w:rsid w:val="1E8F9E01"/>
    <w:rsid w:val="1EB1432A"/>
    <w:rsid w:val="1EC49F9A"/>
    <w:rsid w:val="1ECB61D5"/>
    <w:rsid w:val="1ECD5677"/>
    <w:rsid w:val="1ED19D31"/>
    <w:rsid w:val="1ED83DF5"/>
    <w:rsid w:val="1EEE65B9"/>
    <w:rsid w:val="1EF5AE2A"/>
    <w:rsid w:val="1F3DDC6E"/>
    <w:rsid w:val="1F7764F4"/>
    <w:rsid w:val="1F7C8A50"/>
    <w:rsid w:val="1F94D3D0"/>
    <w:rsid w:val="1FABC8AD"/>
    <w:rsid w:val="1FC03E59"/>
    <w:rsid w:val="1FD2F4EA"/>
    <w:rsid w:val="1FD4E057"/>
    <w:rsid w:val="1FF40201"/>
    <w:rsid w:val="20227711"/>
    <w:rsid w:val="20345EDE"/>
    <w:rsid w:val="204048CF"/>
    <w:rsid w:val="20543D34"/>
    <w:rsid w:val="20651AD5"/>
    <w:rsid w:val="20F32467"/>
    <w:rsid w:val="20F6341C"/>
    <w:rsid w:val="20FA9A13"/>
    <w:rsid w:val="212DDB7C"/>
    <w:rsid w:val="2138CB9B"/>
    <w:rsid w:val="2142BED1"/>
    <w:rsid w:val="215D628F"/>
    <w:rsid w:val="21991416"/>
    <w:rsid w:val="219AC93C"/>
    <w:rsid w:val="21A7FFEB"/>
    <w:rsid w:val="21ADB570"/>
    <w:rsid w:val="21BF85BC"/>
    <w:rsid w:val="21D6FC75"/>
    <w:rsid w:val="21E833CF"/>
    <w:rsid w:val="22005D44"/>
    <w:rsid w:val="2208087A"/>
    <w:rsid w:val="2214AB1A"/>
    <w:rsid w:val="22286D9F"/>
    <w:rsid w:val="222A02A9"/>
    <w:rsid w:val="223618F6"/>
    <w:rsid w:val="225CACF7"/>
    <w:rsid w:val="22659D01"/>
    <w:rsid w:val="226D2395"/>
    <w:rsid w:val="22734703"/>
    <w:rsid w:val="2281B527"/>
    <w:rsid w:val="22967653"/>
    <w:rsid w:val="22BD732C"/>
    <w:rsid w:val="22C1CD42"/>
    <w:rsid w:val="22D1BFA4"/>
    <w:rsid w:val="22DADE13"/>
    <w:rsid w:val="2310B8F9"/>
    <w:rsid w:val="2312B9C6"/>
    <w:rsid w:val="2375B654"/>
    <w:rsid w:val="238FC313"/>
    <w:rsid w:val="239D1FD6"/>
    <w:rsid w:val="23C2C44F"/>
    <w:rsid w:val="23C6E28F"/>
    <w:rsid w:val="23C7042D"/>
    <w:rsid w:val="2415015B"/>
    <w:rsid w:val="241C7F49"/>
    <w:rsid w:val="2423F15B"/>
    <w:rsid w:val="2427B904"/>
    <w:rsid w:val="245A4C2F"/>
    <w:rsid w:val="245AB09E"/>
    <w:rsid w:val="249F66E9"/>
    <w:rsid w:val="24E3DC8B"/>
    <w:rsid w:val="24FE5A1B"/>
    <w:rsid w:val="25156F79"/>
    <w:rsid w:val="251E6DF9"/>
    <w:rsid w:val="25238014"/>
    <w:rsid w:val="252B5996"/>
    <w:rsid w:val="25745D00"/>
    <w:rsid w:val="25D38945"/>
    <w:rsid w:val="25E3B048"/>
    <w:rsid w:val="25F724E6"/>
    <w:rsid w:val="2602B2F1"/>
    <w:rsid w:val="26043486"/>
    <w:rsid w:val="267F5B72"/>
    <w:rsid w:val="269ABD78"/>
    <w:rsid w:val="26A6999F"/>
    <w:rsid w:val="26BC5E9D"/>
    <w:rsid w:val="26C0CECF"/>
    <w:rsid w:val="26C97509"/>
    <w:rsid w:val="26CCB781"/>
    <w:rsid w:val="26E2B3BB"/>
    <w:rsid w:val="26F9F075"/>
    <w:rsid w:val="2706FDFB"/>
    <w:rsid w:val="272AC3B6"/>
    <w:rsid w:val="273FD649"/>
    <w:rsid w:val="27445E83"/>
    <w:rsid w:val="27450AD2"/>
    <w:rsid w:val="274B3C40"/>
    <w:rsid w:val="27729BE9"/>
    <w:rsid w:val="27766807"/>
    <w:rsid w:val="27836A2C"/>
    <w:rsid w:val="27BA1E2F"/>
    <w:rsid w:val="27C35407"/>
    <w:rsid w:val="2847BC21"/>
    <w:rsid w:val="287FB0E2"/>
    <w:rsid w:val="2883023C"/>
    <w:rsid w:val="28953A46"/>
    <w:rsid w:val="28A15F9D"/>
    <w:rsid w:val="28AA0ECC"/>
    <w:rsid w:val="28E37231"/>
    <w:rsid w:val="290B86B2"/>
    <w:rsid w:val="290BD016"/>
    <w:rsid w:val="29303E02"/>
    <w:rsid w:val="295980B6"/>
    <w:rsid w:val="295CC078"/>
    <w:rsid w:val="2968D45B"/>
    <w:rsid w:val="2983C31C"/>
    <w:rsid w:val="29959E05"/>
    <w:rsid w:val="29ADA4BD"/>
    <w:rsid w:val="29D3D5F4"/>
    <w:rsid w:val="29D5ED4C"/>
    <w:rsid w:val="29DC4764"/>
    <w:rsid w:val="2A4486E6"/>
    <w:rsid w:val="2A7474D5"/>
    <w:rsid w:val="2A825DAA"/>
    <w:rsid w:val="2A9AEDE4"/>
    <w:rsid w:val="2AE1C440"/>
    <w:rsid w:val="2AE89A8E"/>
    <w:rsid w:val="2AF14A66"/>
    <w:rsid w:val="2B154A5D"/>
    <w:rsid w:val="2B19AABB"/>
    <w:rsid w:val="2B5CD592"/>
    <w:rsid w:val="2B7D3041"/>
    <w:rsid w:val="2BAA0596"/>
    <w:rsid w:val="2BC00855"/>
    <w:rsid w:val="2BCBB9F0"/>
    <w:rsid w:val="2C2A0F7B"/>
    <w:rsid w:val="2C7194C9"/>
    <w:rsid w:val="2C76162C"/>
    <w:rsid w:val="2C8C2556"/>
    <w:rsid w:val="2C8F7C37"/>
    <w:rsid w:val="2C9C1B8C"/>
    <w:rsid w:val="2CA5F001"/>
    <w:rsid w:val="2CDF3682"/>
    <w:rsid w:val="2CE652B9"/>
    <w:rsid w:val="2D06043D"/>
    <w:rsid w:val="2D5C727B"/>
    <w:rsid w:val="2D70271B"/>
    <w:rsid w:val="2D8A518E"/>
    <w:rsid w:val="2DBF3567"/>
    <w:rsid w:val="2DD088C9"/>
    <w:rsid w:val="2DE4ECA1"/>
    <w:rsid w:val="2E09272F"/>
    <w:rsid w:val="2E6D9A7E"/>
    <w:rsid w:val="2E9FE4D1"/>
    <w:rsid w:val="2EA9B7D0"/>
    <w:rsid w:val="2EB54848"/>
    <w:rsid w:val="2F1002FD"/>
    <w:rsid w:val="2F40D795"/>
    <w:rsid w:val="2F631201"/>
    <w:rsid w:val="2F8CE0DD"/>
    <w:rsid w:val="2F9C63B0"/>
    <w:rsid w:val="2FB95815"/>
    <w:rsid w:val="2FD34BFC"/>
    <w:rsid w:val="2FFD7974"/>
    <w:rsid w:val="302E0494"/>
    <w:rsid w:val="30550D61"/>
    <w:rsid w:val="3074BE76"/>
    <w:rsid w:val="30D43D34"/>
    <w:rsid w:val="31309230"/>
    <w:rsid w:val="313981C5"/>
    <w:rsid w:val="316C0EA9"/>
    <w:rsid w:val="31729432"/>
    <w:rsid w:val="3217A3A0"/>
    <w:rsid w:val="322FF76A"/>
    <w:rsid w:val="3234131F"/>
    <w:rsid w:val="325F68B9"/>
    <w:rsid w:val="32B224E8"/>
    <w:rsid w:val="32BB3320"/>
    <w:rsid w:val="32BEF686"/>
    <w:rsid w:val="32C20F7E"/>
    <w:rsid w:val="32EFDE21"/>
    <w:rsid w:val="330A88A5"/>
    <w:rsid w:val="331D2629"/>
    <w:rsid w:val="33362FA6"/>
    <w:rsid w:val="334658D5"/>
    <w:rsid w:val="3360B9E2"/>
    <w:rsid w:val="336E6836"/>
    <w:rsid w:val="3383A70E"/>
    <w:rsid w:val="33A16B6B"/>
    <w:rsid w:val="33B869CA"/>
    <w:rsid w:val="33E207F1"/>
    <w:rsid w:val="33E807A7"/>
    <w:rsid w:val="341EA980"/>
    <w:rsid w:val="3451AC80"/>
    <w:rsid w:val="3463C77B"/>
    <w:rsid w:val="3472FAEE"/>
    <w:rsid w:val="34861AE7"/>
    <w:rsid w:val="348A77A7"/>
    <w:rsid w:val="34D73F76"/>
    <w:rsid w:val="34E38428"/>
    <w:rsid w:val="34E7BC46"/>
    <w:rsid w:val="34E8506C"/>
    <w:rsid w:val="35276244"/>
    <w:rsid w:val="354C30D3"/>
    <w:rsid w:val="354F0647"/>
    <w:rsid w:val="356220B4"/>
    <w:rsid w:val="35B944A8"/>
    <w:rsid w:val="35BAE14F"/>
    <w:rsid w:val="35C72AAD"/>
    <w:rsid w:val="35DB1DEB"/>
    <w:rsid w:val="35DE4EFD"/>
    <w:rsid w:val="35F7ECE0"/>
    <w:rsid w:val="360CA4AE"/>
    <w:rsid w:val="36381F75"/>
    <w:rsid w:val="3645F86F"/>
    <w:rsid w:val="36481DC8"/>
    <w:rsid w:val="364F7BCC"/>
    <w:rsid w:val="366AA8F4"/>
    <w:rsid w:val="366BFB18"/>
    <w:rsid w:val="3685A031"/>
    <w:rsid w:val="36B0BCC1"/>
    <w:rsid w:val="36C2F2EE"/>
    <w:rsid w:val="36C728BF"/>
    <w:rsid w:val="36D84287"/>
    <w:rsid w:val="36E155F2"/>
    <w:rsid w:val="374D3DDB"/>
    <w:rsid w:val="37504996"/>
    <w:rsid w:val="37A751FB"/>
    <w:rsid w:val="37C2A6C8"/>
    <w:rsid w:val="37CBED3A"/>
    <w:rsid w:val="37F246C2"/>
    <w:rsid w:val="37F92A3A"/>
    <w:rsid w:val="380AA6D1"/>
    <w:rsid w:val="3810DAAB"/>
    <w:rsid w:val="38307AD5"/>
    <w:rsid w:val="38313C02"/>
    <w:rsid w:val="383F08E3"/>
    <w:rsid w:val="3897FBF5"/>
    <w:rsid w:val="38A80BA7"/>
    <w:rsid w:val="38BACD5A"/>
    <w:rsid w:val="38F0441E"/>
    <w:rsid w:val="38F75ACE"/>
    <w:rsid w:val="391EDCB9"/>
    <w:rsid w:val="3932B855"/>
    <w:rsid w:val="39367335"/>
    <w:rsid w:val="393F5657"/>
    <w:rsid w:val="3978F378"/>
    <w:rsid w:val="39836572"/>
    <w:rsid w:val="39AD82DA"/>
    <w:rsid w:val="39AF07E5"/>
    <w:rsid w:val="39C09DF9"/>
    <w:rsid w:val="39E1BD29"/>
    <w:rsid w:val="39ED6C7F"/>
    <w:rsid w:val="39FAF571"/>
    <w:rsid w:val="3A21CD26"/>
    <w:rsid w:val="3A26C803"/>
    <w:rsid w:val="3A98D343"/>
    <w:rsid w:val="3AAF0A2F"/>
    <w:rsid w:val="3AC25EA3"/>
    <w:rsid w:val="3AFFBE39"/>
    <w:rsid w:val="3B05AD8A"/>
    <w:rsid w:val="3B2D2971"/>
    <w:rsid w:val="3B4C2F78"/>
    <w:rsid w:val="3B5CA408"/>
    <w:rsid w:val="3B893269"/>
    <w:rsid w:val="3B99926F"/>
    <w:rsid w:val="3BA1E9E2"/>
    <w:rsid w:val="3BAA7057"/>
    <w:rsid w:val="3BC3936A"/>
    <w:rsid w:val="3BDE84B6"/>
    <w:rsid w:val="3C40F3D2"/>
    <w:rsid w:val="3C8ACAE4"/>
    <w:rsid w:val="3C978AF5"/>
    <w:rsid w:val="3CEB93DA"/>
    <w:rsid w:val="3D0EDA5D"/>
    <w:rsid w:val="3D1900CE"/>
    <w:rsid w:val="3D7072BF"/>
    <w:rsid w:val="3D71E6A7"/>
    <w:rsid w:val="3D857FF2"/>
    <w:rsid w:val="3D8CBE87"/>
    <w:rsid w:val="3DDBB253"/>
    <w:rsid w:val="3DE2C724"/>
    <w:rsid w:val="3E0F13A0"/>
    <w:rsid w:val="3E1B8049"/>
    <w:rsid w:val="3E1F3920"/>
    <w:rsid w:val="3E1F4609"/>
    <w:rsid w:val="3E2C5700"/>
    <w:rsid w:val="3E355E0D"/>
    <w:rsid w:val="3E36C7D1"/>
    <w:rsid w:val="3E4467F5"/>
    <w:rsid w:val="3E45E245"/>
    <w:rsid w:val="3E56DEB7"/>
    <w:rsid w:val="3E7A57A3"/>
    <w:rsid w:val="3E937699"/>
    <w:rsid w:val="3EDF9C41"/>
    <w:rsid w:val="3EF20103"/>
    <w:rsid w:val="3F291779"/>
    <w:rsid w:val="3F5F2A9E"/>
    <w:rsid w:val="3FBD420C"/>
    <w:rsid w:val="3FE39C4A"/>
    <w:rsid w:val="3FF3AC77"/>
    <w:rsid w:val="400A0B2C"/>
    <w:rsid w:val="4011EF4A"/>
    <w:rsid w:val="4028620A"/>
    <w:rsid w:val="404539CF"/>
    <w:rsid w:val="405BD628"/>
    <w:rsid w:val="40875107"/>
    <w:rsid w:val="40A1A618"/>
    <w:rsid w:val="40ACA782"/>
    <w:rsid w:val="40B0DA58"/>
    <w:rsid w:val="40C01041"/>
    <w:rsid w:val="40C5F923"/>
    <w:rsid w:val="40D76B77"/>
    <w:rsid w:val="40DC2ABC"/>
    <w:rsid w:val="40F4A01F"/>
    <w:rsid w:val="40FCC158"/>
    <w:rsid w:val="41122376"/>
    <w:rsid w:val="41212C4F"/>
    <w:rsid w:val="41345835"/>
    <w:rsid w:val="416D66A6"/>
    <w:rsid w:val="4179824D"/>
    <w:rsid w:val="4184C186"/>
    <w:rsid w:val="418AD3D4"/>
    <w:rsid w:val="418BB01A"/>
    <w:rsid w:val="41BB28B9"/>
    <w:rsid w:val="41C73761"/>
    <w:rsid w:val="41CBFAB7"/>
    <w:rsid w:val="41D59ED4"/>
    <w:rsid w:val="41F5FEC8"/>
    <w:rsid w:val="41F9AA33"/>
    <w:rsid w:val="424C4ADA"/>
    <w:rsid w:val="42B40258"/>
    <w:rsid w:val="42B8E69D"/>
    <w:rsid w:val="42C746CF"/>
    <w:rsid w:val="42C7D466"/>
    <w:rsid w:val="42C8A174"/>
    <w:rsid w:val="42CB3A02"/>
    <w:rsid w:val="42F54B4B"/>
    <w:rsid w:val="431E5090"/>
    <w:rsid w:val="432FF40F"/>
    <w:rsid w:val="4334225B"/>
    <w:rsid w:val="43366E4F"/>
    <w:rsid w:val="434C431B"/>
    <w:rsid w:val="434CA2D7"/>
    <w:rsid w:val="43557ACC"/>
    <w:rsid w:val="4396E7AC"/>
    <w:rsid w:val="43A1307D"/>
    <w:rsid w:val="44043765"/>
    <w:rsid w:val="44875E65"/>
    <w:rsid w:val="44CE0589"/>
    <w:rsid w:val="44DA781E"/>
    <w:rsid w:val="4523C621"/>
    <w:rsid w:val="452C0024"/>
    <w:rsid w:val="452D946C"/>
    <w:rsid w:val="453B1147"/>
    <w:rsid w:val="4545D5D7"/>
    <w:rsid w:val="45582D86"/>
    <w:rsid w:val="45673A9E"/>
    <w:rsid w:val="458AE96E"/>
    <w:rsid w:val="458D1E96"/>
    <w:rsid w:val="45B6242D"/>
    <w:rsid w:val="45BB6F70"/>
    <w:rsid w:val="45C833CD"/>
    <w:rsid w:val="45D6B05B"/>
    <w:rsid w:val="45F6415B"/>
    <w:rsid w:val="45FA4EF2"/>
    <w:rsid w:val="4614888E"/>
    <w:rsid w:val="4657BED0"/>
    <w:rsid w:val="465A5546"/>
    <w:rsid w:val="46B4406C"/>
    <w:rsid w:val="46CF1E1D"/>
    <w:rsid w:val="46DAA76C"/>
    <w:rsid w:val="46DF04A1"/>
    <w:rsid w:val="46EE266F"/>
    <w:rsid w:val="47083DB4"/>
    <w:rsid w:val="4715CBFA"/>
    <w:rsid w:val="472DBDD7"/>
    <w:rsid w:val="4749D7CC"/>
    <w:rsid w:val="474CD3F6"/>
    <w:rsid w:val="4766F658"/>
    <w:rsid w:val="4767E88D"/>
    <w:rsid w:val="47780EA4"/>
    <w:rsid w:val="47909186"/>
    <w:rsid w:val="47928A6B"/>
    <w:rsid w:val="479340C6"/>
    <w:rsid w:val="47A56BB9"/>
    <w:rsid w:val="47A98267"/>
    <w:rsid w:val="47B7584B"/>
    <w:rsid w:val="47E0AA33"/>
    <w:rsid w:val="47F0DB52"/>
    <w:rsid w:val="4814E056"/>
    <w:rsid w:val="48207249"/>
    <w:rsid w:val="48505E71"/>
    <w:rsid w:val="485A5C58"/>
    <w:rsid w:val="488A4518"/>
    <w:rsid w:val="4898C779"/>
    <w:rsid w:val="489DD9B5"/>
    <w:rsid w:val="48B0EC8C"/>
    <w:rsid w:val="48F60BC6"/>
    <w:rsid w:val="48F9DF51"/>
    <w:rsid w:val="48FB4004"/>
    <w:rsid w:val="49015D33"/>
    <w:rsid w:val="491459F7"/>
    <w:rsid w:val="49218FD3"/>
    <w:rsid w:val="492CE60F"/>
    <w:rsid w:val="49597A9C"/>
    <w:rsid w:val="49BEB78E"/>
    <w:rsid w:val="49DDBF31"/>
    <w:rsid w:val="49F50BDC"/>
    <w:rsid w:val="4A33DD72"/>
    <w:rsid w:val="4A382D40"/>
    <w:rsid w:val="4A6E58FF"/>
    <w:rsid w:val="4A76119D"/>
    <w:rsid w:val="4A7BEE3F"/>
    <w:rsid w:val="4AA36774"/>
    <w:rsid w:val="4ABAB880"/>
    <w:rsid w:val="4ABC7311"/>
    <w:rsid w:val="4AF0638E"/>
    <w:rsid w:val="4B0B074C"/>
    <w:rsid w:val="4B442CEA"/>
    <w:rsid w:val="4B584B65"/>
    <w:rsid w:val="4B7221A0"/>
    <w:rsid w:val="4BA27E60"/>
    <w:rsid w:val="4BA27E68"/>
    <w:rsid w:val="4BB64C1E"/>
    <w:rsid w:val="4BBE9EF6"/>
    <w:rsid w:val="4BDBAED7"/>
    <w:rsid w:val="4BF04E8C"/>
    <w:rsid w:val="4BFE302C"/>
    <w:rsid w:val="4C19D782"/>
    <w:rsid w:val="4C664C9A"/>
    <w:rsid w:val="4C69C41E"/>
    <w:rsid w:val="4C73B0E7"/>
    <w:rsid w:val="4C9C720A"/>
    <w:rsid w:val="4CA6C717"/>
    <w:rsid w:val="4CB13109"/>
    <w:rsid w:val="4CC45A50"/>
    <w:rsid w:val="4CD24941"/>
    <w:rsid w:val="4CDC7B1A"/>
    <w:rsid w:val="4CE60396"/>
    <w:rsid w:val="4CFC8E6B"/>
    <w:rsid w:val="4D3D6F16"/>
    <w:rsid w:val="4D561B94"/>
    <w:rsid w:val="4D5D3BAB"/>
    <w:rsid w:val="4D75B677"/>
    <w:rsid w:val="4D781383"/>
    <w:rsid w:val="4D7A8F12"/>
    <w:rsid w:val="4D7F98C7"/>
    <w:rsid w:val="4D816B3C"/>
    <w:rsid w:val="4D81F180"/>
    <w:rsid w:val="4D857449"/>
    <w:rsid w:val="4DB57E47"/>
    <w:rsid w:val="4DC649A3"/>
    <w:rsid w:val="4DDBA731"/>
    <w:rsid w:val="4E0B52DA"/>
    <w:rsid w:val="4E10CD4F"/>
    <w:rsid w:val="4E15B799"/>
    <w:rsid w:val="4E1976EC"/>
    <w:rsid w:val="4E3A4CB7"/>
    <w:rsid w:val="4E4338C0"/>
    <w:rsid w:val="4E65C744"/>
    <w:rsid w:val="4E71110C"/>
    <w:rsid w:val="4E84287D"/>
    <w:rsid w:val="4E87A243"/>
    <w:rsid w:val="4E8966E7"/>
    <w:rsid w:val="4EB8CB29"/>
    <w:rsid w:val="4F1C3BBF"/>
    <w:rsid w:val="4F28C950"/>
    <w:rsid w:val="4F2BEBF0"/>
    <w:rsid w:val="4F55EE42"/>
    <w:rsid w:val="4F8B5183"/>
    <w:rsid w:val="4F98B8BC"/>
    <w:rsid w:val="4FABE806"/>
    <w:rsid w:val="4FDBD7EB"/>
    <w:rsid w:val="4FDDDEF3"/>
    <w:rsid w:val="4FDE29BE"/>
    <w:rsid w:val="4FE21916"/>
    <w:rsid w:val="4FFBF3BA"/>
    <w:rsid w:val="500893F9"/>
    <w:rsid w:val="50205AB7"/>
    <w:rsid w:val="5031324E"/>
    <w:rsid w:val="50402457"/>
    <w:rsid w:val="5044070D"/>
    <w:rsid w:val="50507A9D"/>
    <w:rsid w:val="50600DB7"/>
    <w:rsid w:val="507AF8C0"/>
    <w:rsid w:val="5089769B"/>
    <w:rsid w:val="509A5E3E"/>
    <w:rsid w:val="50B36F8A"/>
    <w:rsid w:val="50D464B6"/>
    <w:rsid w:val="50E5CA30"/>
    <w:rsid w:val="510A4B93"/>
    <w:rsid w:val="511CD926"/>
    <w:rsid w:val="512065AC"/>
    <w:rsid w:val="5129F715"/>
    <w:rsid w:val="51348E5F"/>
    <w:rsid w:val="514C42A2"/>
    <w:rsid w:val="514C9F8E"/>
    <w:rsid w:val="51686DA2"/>
    <w:rsid w:val="5174BBC7"/>
    <w:rsid w:val="518247D9"/>
    <w:rsid w:val="51944CE3"/>
    <w:rsid w:val="51A10FAD"/>
    <w:rsid w:val="51D4C696"/>
    <w:rsid w:val="51E98DAF"/>
    <w:rsid w:val="51FD9519"/>
    <w:rsid w:val="522CD8BE"/>
    <w:rsid w:val="5250A35A"/>
    <w:rsid w:val="5269BD7F"/>
    <w:rsid w:val="52733C5A"/>
    <w:rsid w:val="52ADF4C9"/>
    <w:rsid w:val="52B1353C"/>
    <w:rsid w:val="52D62CFC"/>
    <w:rsid w:val="52E9582C"/>
    <w:rsid w:val="52EEA318"/>
    <w:rsid w:val="53336752"/>
    <w:rsid w:val="533F04F7"/>
    <w:rsid w:val="53400D99"/>
    <w:rsid w:val="534D09F4"/>
    <w:rsid w:val="539FE076"/>
    <w:rsid w:val="53B34184"/>
    <w:rsid w:val="53C04209"/>
    <w:rsid w:val="53FDEED3"/>
    <w:rsid w:val="540AF994"/>
    <w:rsid w:val="540DAB48"/>
    <w:rsid w:val="5411E4D1"/>
    <w:rsid w:val="5427C092"/>
    <w:rsid w:val="544E9EBF"/>
    <w:rsid w:val="546B0D57"/>
    <w:rsid w:val="54976AE0"/>
    <w:rsid w:val="54E3E34C"/>
    <w:rsid w:val="5501B83F"/>
    <w:rsid w:val="55077A7C"/>
    <w:rsid w:val="5509F08C"/>
    <w:rsid w:val="551C6970"/>
    <w:rsid w:val="553A1C12"/>
    <w:rsid w:val="55421BDC"/>
    <w:rsid w:val="5548528E"/>
    <w:rsid w:val="5555A65A"/>
    <w:rsid w:val="555769CB"/>
    <w:rsid w:val="55609108"/>
    <w:rsid w:val="55944583"/>
    <w:rsid w:val="55C5FFC0"/>
    <w:rsid w:val="55E912B1"/>
    <w:rsid w:val="5603A5C7"/>
    <w:rsid w:val="5617EE23"/>
    <w:rsid w:val="561A42DB"/>
    <w:rsid w:val="5660B432"/>
    <w:rsid w:val="568D88E5"/>
    <w:rsid w:val="56AEB8A5"/>
    <w:rsid w:val="56B6541A"/>
    <w:rsid w:val="56D5AF6F"/>
    <w:rsid w:val="57073EC1"/>
    <w:rsid w:val="57490120"/>
    <w:rsid w:val="575456F6"/>
    <w:rsid w:val="575548F0"/>
    <w:rsid w:val="57859D56"/>
    <w:rsid w:val="57A0E172"/>
    <w:rsid w:val="57BC6AE7"/>
    <w:rsid w:val="57C24D4A"/>
    <w:rsid w:val="57E6366B"/>
    <w:rsid w:val="57FACFFF"/>
    <w:rsid w:val="582A0EF9"/>
    <w:rsid w:val="58ABA4D7"/>
    <w:rsid w:val="58C38F1F"/>
    <w:rsid w:val="58D55760"/>
    <w:rsid w:val="59015305"/>
    <w:rsid w:val="592347D4"/>
    <w:rsid w:val="5935F922"/>
    <w:rsid w:val="593BA824"/>
    <w:rsid w:val="59482F2B"/>
    <w:rsid w:val="594BD3C4"/>
    <w:rsid w:val="594FA951"/>
    <w:rsid w:val="599AA8A1"/>
    <w:rsid w:val="599C1C01"/>
    <w:rsid w:val="59A2F310"/>
    <w:rsid w:val="59AFBE5C"/>
    <w:rsid w:val="59B9AC8E"/>
    <w:rsid w:val="59D49F41"/>
    <w:rsid w:val="59DAB47C"/>
    <w:rsid w:val="5A49812C"/>
    <w:rsid w:val="5A6EA77D"/>
    <w:rsid w:val="5ABD261E"/>
    <w:rsid w:val="5ADD8EA0"/>
    <w:rsid w:val="5AF7D95E"/>
    <w:rsid w:val="5AF863CF"/>
    <w:rsid w:val="5B07BB78"/>
    <w:rsid w:val="5B0C20F8"/>
    <w:rsid w:val="5B1BB556"/>
    <w:rsid w:val="5B1F83C0"/>
    <w:rsid w:val="5B1FBE4D"/>
    <w:rsid w:val="5B2FECD5"/>
    <w:rsid w:val="5B4CE5B2"/>
    <w:rsid w:val="5BACFD41"/>
    <w:rsid w:val="5BCB198F"/>
    <w:rsid w:val="5BDBC810"/>
    <w:rsid w:val="5C04E513"/>
    <w:rsid w:val="5C070000"/>
    <w:rsid w:val="5C276C48"/>
    <w:rsid w:val="5C500B67"/>
    <w:rsid w:val="5C56370F"/>
    <w:rsid w:val="5C645A45"/>
    <w:rsid w:val="5C6E68B5"/>
    <w:rsid w:val="5C7210B1"/>
    <w:rsid w:val="5C8BD53E"/>
    <w:rsid w:val="5C982A42"/>
    <w:rsid w:val="5CA2E648"/>
    <w:rsid w:val="5CB64A51"/>
    <w:rsid w:val="5CC1BBCC"/>
    <w:rsid w:val="5CC82185"/>
    <w:rsid w:val="5CC9F395"/>
    <w:rsid w:val="5CCD1B20"/>
    <w:rsid w:val="5CE37A99"/>
    <w:rsid w:val="5CE7A81A"/>
    <w:rsid w:val="5CFDD650"/>
    <w:rsid w:val="5D1A8EEC"/>
    <w:rsid w:val="5D269DD9"/>
    <w:rsid w:val="5D39CEDB"/>
    <w:rsid w:val="5D530BF9"/>
    <w:rsid w:val="5D5988F3"/>
    <w:rsid w:val="5D5C9598"/>
    <w:rsid w:val="5D7C14BA"/>
    <w:rsid w:val="5D7CF2EB"/>
    <w:rsid w:val="5D8B988B"/>
    <w:rsid w:val="5D8D452A"/>
    <w:rsid w:val="5D8FE835"/>
    <w:rsid w:val="5D9807B5"/>
    <w:rsid w:val="5DAE10B2"/>
    <w:rsid w:val="5E17BDF1"/>
    <w:rsid w:val="5E1AD82E"/>
    <w:rsid w:val="5E258613"/>
    <w:rsid w:val="5E411BE4"/>
    <w:rsid w:val="5E78986F"/>
    <w:rsid w:val="5EA3E35E"/>
    <w:rsid w:val="5ECCDAB8"/>
    <w:rsid w:val="5EDC3D03"/>
    <w:rsid w:val="5EE03FCF"/>
    <w:rsid w:val="5EF33516"/>
    <w:rsid w:val="5F67D717"/>
    <w:rsid w:val="5F907210"/>
    <w:rsid w:val="5F9A69A2"/>
    <w:rsid w:val="5FAC7A6D"/>
    <w:rsid w:val="5FB5F759"/>
    <w:rsid w:val="5FBE6262"/>
    <w:rsid w:val="5FD82F3E"/>
    <w:rsid w:val="5FDB41C3"/>
    <w:rsid w:val="5FF68233"/>
    <w:rsid w:val="5FF8FBC0"/>
    <w:rsid w:val="603A207B"/>
    <w:rsid w:val="6047981A"/>
    <w:rsid w:val="605765C3"/>
    <w:rsid w:val="606D6E19"/>
    <w:rsid w:val="607120F8"/>
    <w:rsid w:val="60D297EC"/>
    <w:rsid w:val="6156D0E6"/>
    <w:rsid w:val="6166C98A"/>
    <w:rsid w:val="61800ABF"/>
    <w:rsid w:val="61859AB2"/>
    <w:rsid w:val="6189A2C1"/>
    <w:rsid w:val="618D9CBB"/>
    <w:rsid w:val="618DEA89"/>
    <w:rsid w:val="6199C65D"/>
    <w:rsid w:val="619FDE5A"/>
    <w:rsid w:val="61B670FC"/>
    <w:rsid w:val="620AFAEA"/>
    <w:rsid w:val="623D6321"/>
    <w:rsid w:val="62478AE8"/>
    <w:rsid w:val="627E346C"/>
    <w:rsid w:val="62862598"/>
    <w:rsid w:val="62934453"/>
    <w:rsid w:val="62A44BA0"/>
    <w:rsid w:val="62A70FAF"/>
    <w:rsid w:val="62ADC9E6"/>
    <w:rsid w:val="62D51604"/>
    <w:rsid w:val="63036D8D"/>
    <w:rsid w:val="631A3B0C"/>
    <w:rsid w:val="6336567E"/>
    <w:rsid w:val="633E0C31"/>
    <w:rsid w:val="6340A2E1"/>
    <w:rsid w:val="63415DB3"/>
    <w:rsid w:val="6377514B"/>
    <w:rsid w:val="637B40DD"/>
    <w:rsid w:val="63A521A1"/>
    <w:rsid w:val="63B5E7F8"/>
    <w:rsid w:val="63BAB43B"/>
    <w:rsid w:val="63D16176"/>
    <w:rsid w:val="640E03E1"/>
    <w:rsid w:val="644CBB4B"/>
    <w:rsid w:val="6460BD6E"/>
    <w:rsid w:val="648E2BB2"/>
    <w:rsid w:val="64A29922"/>
    <w:rsid w:val="64CD6013"/>
    <w:rsid w:val="64D78EFF"/>
    <w:rsid w:val="64E52279"/>
    <w:rsid w:val="64FAE6A1"/>
    <w:rsid w:val="65030756"/>
    <w:rsid w:val="6535C168"/>
    <w:rsid w:val="65385D97"/>
    <w:rsid w:val="653E8102"/>
    <w:rsid w:val="656D52C5"/>
    <w:rsid w:val="65A64EDA"/>
    <w:rsid w:val="65B700CD"/>
    <w:rsid w:val="65B967D7"/>
    <w:rsid w:val="66003E89"/>
    <w:rsid w:val="66446F98"/>
    <w:rsid w:val="664D4D7C"/>
    <w:rsid w:val="6656A3C2"/>
    <w:rsid w:val="665A2474"/>
    <w:rsid w:val="6662AF8D"/>
    <w:rsid w:val="6663DE2A"/>
    <w:rsid w:val="6671A618"/>
    <w:rsid w:val="667B7764"/>
    <w:rsid w:val="66A2F5DA"/>
    <w:rsid w:val="66A50893"/>
    <w:rsid w:val="66CB087E"/>
    <w:rsid w:val="66E2AE6B"/>
    <w:rsid w:val="66E413E7"/>
    <w:rsid w:val="66F01749"/>
    <w:rsid w:val="6723DB7D"/>
    <w:rsid w:val="672FC40C"/>
    <w:rsid w:val="673412B0"/>
    <w:rsid w:val="6735F5E0"/>
    <w:rsid w:val="674B4F32"/>
    <w:rsid w:val="677734A0"/>
    <w:rsid w:val="677E647D"/>
    <w:rsid w:val="67930F37"/>
    <w:rsid w:val="679DE8AB"/>
    <w:rsid w:val="679E57FC"/>
    <w:rsid w:val="67B1B88E"/>
    <w:rsid w:val="67B23D49"/>
    <w:rsid w:val="680EB673"/>
    <w:rsid w:val="68322418"/>
    <w:rsid w:val="68495FF9"/>
    <w:rsid w:val="68797551"/>
    <w:rsid w:val="68A5AAC2"/>
    <w:rsid w:val="68AF912D"/>
    <w:rsid w:val="68B515F8"/>
    <w:rsid w:val="68C3E69E"/>
    <w:rsid w:val="68D5FF97"/>
    <w:rsid w:val="68F3716C"/>
    <w:rsid w:val="6917D09F"/>
    <w:rsid w:val="6920057C"/>
    <w:rsid w:val="694614CF"/>
    <w:rsid w:val="6959B4E9"/>
    <w:rsid w:val="69944FEC"/>
    <w:rsid w:val="699692DF"/>
    <w:rsid w:val="699823F3"/>
    <w:rsid w:val="69AE676F"/>
    <w:rsid w:val="69B85C32"/>
    <w:rsid w:val="69C7B9FF"/>
    <w:rsid w:val="69D147CC"/>
    <w:rsid w:val="69D71F5C"/>
    <w:rsid w:val="69F7506D"/>
    <w:rsid w:val="6A25F498"/>
    <w:rsid w:val="6A2EB432"/>
    <w:rsid w:val="6A4585DB"/>
    <w:rsid w:val="6A4CAD49"/>
    <w:rsid w:val="6A50DB87"/>
    <w:rsid w:val="6A6AF661"/>
    <w:rsid w:val="6A94BAC6"/>
    <w:rsid w:val="6A9BE6F1"/>
    <w:rsid w:val="6AAA9DA6"/>
    <w:rsid w:val="6AAAED68"/>
    <w:rsid w:val="6AAAFD06"/>
    <w:rsid w:val="6ABE455B"/>
    <w:rsid w:val="6AC5DBFA"/>
    <w:rsid w:val="6AE338A6"/>
    <w:rsid w:val="6AF858BF"/>
    <w:rsid w:val="6B2DD8E7"/>
    <w:rsid w:val="6B3314E2"/>
    <w:rsid w:val="6B442E3B"/>
    <w:rsid w:val="6B7BDE7C"/>
    <w:rsid w:val="6B873F8A"/>
    <w:rsid w:val="6BA25580"/>
    <w:rsid w:val="6BC2E0B6"/>
    <w:rsid w:val="6BCC6937"/>
    <w:rsid w:val="6BED7861"/>
    <w:rsid w:val="6BF932C1"/>
    <w:rsid w:val="6BFF0851"/>
    <w:rsid w:val="6C1337B7"/>
    <w:rsid w:val="6C15E883"/>
    <w:rsid w:val="6C233AD1"/>
    <w:rsid w:val="6C28599E"/>
    <w:rsid w:val="6C42D86C"/>
    <w:rsid w:val="6C604409"/>
    <w:rsid w:val="6C711A93"/>
    <w:rsid w:val="6C9C6D93"/>
    <w:rsid w:val="6D02CA8D"/>
    <w:rsid w:val="6D217F24"/>
    <w:rsid w:val="6D470113"/>
    <w:rsid w:val="6D4AC730"/>
    <w:rsid w:val="6D7485B2"/>
    <w:rsid w:val="6D9868F0"/>
    <w:rsid w:val="6D996916"/>
    <w:rsid w:val="6DB0C13D"/>
    <w:rsid w:val="6E04C9B0"/>
    <w:rsid w:val="6E0F4E18"/>
    <w:rsid w:val="6E294B14"/>
    <w:rsid w:val="6E382E69"/>
    <w:rsid w:val="6E78259C"/>
    <w:rsid w:val="6E7F61B8"/>
    <w:rsid w:val="6EA3C325"/>
    <w:rsid w:val="6EAB928E"/>
    <w:rsid w:val="6EAD3440"/>
    <w:rsid w:val="6ED8B9BD"/>
    <w:rsid w:val="6EEC8920"/>
    <w:rsid w:val="6EF33E35"/>
    <w:rsid w:val="6F058CB9"/>
    <w:rsid w:val="6F06FF2B"/>
    <w:rsid w:val="6F1EDBD5"/>
    <w:rsid w:val="6F61E3F5"/>
    <w:rsid w:val="6F6F9F62"/>
    <w:rsid w:val="6F9023D4"/>
    <w:rsid w:val="6F9D6DD7"/>
    <w:rsid w:val="6FA0D5DC"/>
    <w:rsid w:val="6FE07082"/>
    <w:rsid w:val="7000EB96"/>
    <w:rsid w:val="700F9E59"/>
    <w:rsid w:val="701C5657"/>
    <w:rsid w:val="7049B712"/>
    <w:rsid w:val="70778B6C"/>
    <w:rsid w:val="708A3C71"/>
    <w:rsid w:val="70AEBB9D"/>
    <w:rsid w:val="70CC8A59"/>
    <w:rsid w:val="70D9E7DA"/>
    <w:rsid w:val="70DEBD13"/>
    <w:rsid w:val="70E064A4"/>
    <w:rsid w:val="70F6AC87"/>
    <w:rsid w:val="70FA8924"/>
    <w:rsid w:val="70FC1BEC"/>
    <w:rsid w:val="710F416D"/>
    <w:rsid w:val="71106B0A"/>
    <w:rsid w:val="7140079C"/>
    <w:rsid w:val="71590F4D"/>
    <w:rsid w:val="71691A15"/>
    <w:rsid w:val="7183F9D0"/>
    <w:rsid w:val="71957A7C"/>
    <w:rsid w:val="71B647DB"/>
    <w:rsid w:val="71EBE4BD"/>
    <w:rsid w:val="71F51F0E"/>
    <w:rsid w:val="7209D687"/>
    <w:rsid w:val="723E7FAA"/>
    <w:rsid w:val="724D9834"/>
    <w:rsid w:val="7254D931"/>
    <w:rsid w:val="7257369F"/>
    <w:rsid w:val="72B7AE76"/>
    <w:rsid w:val="72BAD2F7"/>
    <w:rsid w:val="72C32B23"/>
    <w:rsid w:val="72D38FB5"/>
    <w:rsid w:val="72E8D5F2"/>
    <w:rsid w:val="73136F87"/>
    <w:rsid w:val="732FBFD7"/>
    <w:rsid w:val="7331A966"/>
    <w:rsid w:val="7332F827"/>
    <w:rsid w:val="734310CC"/>
    <w:rsid w:val="73431850"/>
    <w:rsid w:val="73A7D4E0"/>
    <w:rsid w:val="73A938CD"/>
    <w:rsid w:val="73AEA487"/>
    <w:rsid w:val="73C093D0"/>
    <w:rsid w:val="74093810"/>
    <w:rsid w:val="742C5823"/>
    <w:rsid w:val="743C3BB0"/>
    <w:rsid w:val="743DB0F3"/>
    <w:rsid w:val="74435222"/>
    <w:rsid w:val="7448E811"/>
    <w:rsid w:val="74510CA3"/>
    <w:rsid w:val="7482769A"/>
    <w:rsid w:val="7496E925"/>
    <w:rsid w:val="75036E5F"/>
    <w:rsid w:val="755AEF72"/>
    <w:rsid w:val="756E61EB"/>
    <w:rsid w:val="757FCF8C"/>
    <w:rsid w:val="758DB1D2"/>
    <w:rsid w:val="75BEB50C"/>
    <w:rsid w:val="75C9D530"/>
    <w:rsid w:val="75D5E615"/>
    <w:rsid w:val="7610F9CC"/>
    <w:rsid w:val="76210D4E"/>
    <w:rsid w:val="762E03F6"/>
    <w:rsid w:val="764C2ACA"/>
    <w:rsid w:val="7659A763"/>
    <w:rsid w:val="7668BA7E"/>
    <w:rsid w:val="76C034B0"/>
    <w:rsid w:val="76D33028"/>
    <w:rsid w:val="76D63CC5"/>
    <w:rsid w:val="76DAB9CA"/>
    <w:rsid w:val="77200B9F"/>
    <w:rsid w:val="772C1E69"/>
    <w:rsid w:val="773E043F"/>
    <w:rsid w:val="7758E19B"/>
    <w:rsid w:val="77888AD4"/>
    <w:rsid w:val="77924866"/>
    <w:rsid w:val="77AB4A4E"/>
    <w:rsid w:val="77AD27BF"/>
    <w:rsid w:val="77C80AFD"/>
    <w:rsid w:val="77D27A42"/>
    <w:rsid w:val="77F17ECD"/>
    <w:rsid w:val="77F35ED4"/>
    <w:rsid w:val="780C49EF"/>
    <w:rsid w:val="7819BFD6"/>
    <w:rsid w:val="7839B223"/>
    <w:rsid w:val="784479C1"/>
    <w:rsid w:val="78517882"/>
    <w:rsid w:val="7865B27A"/>
    <w:rsid w:val="78A35418"/>
    <w:rsid w:val="78A394E4"/>
    <w:rsid w:val="78B01539"/>
    <w:rsid w:val="78C3ABE0"/>
    <w:rsid w:val="78C6AFB9"/>
    <w:rsid w:val="78D40258"/>
    <w:rsid w:val="78F21B7E"/>
    <w:rsid w:val="78F3AEFB"/>
    <w:rsid w:val="78FA8969"/>
    <w:rsid w:val="79395D60"/>
    <w:rsid w:val="793DA465"/>
    <w:rsid w:val="79514721"/>
    <w:rsid w:val="7954B329"/>
    <w:rsid w:val="797AAA45"/>
    <w:rsid w:val="79C42927"/>
    <w:rsid w:val="79F59746"/>
    <w:rsid w:val="79F6FB30"/>
    <w:rsid w:val="7A0A3DA3"/>
    <w:rsid w:val="7A39B5ED"/>
    <w:rsid w:val="7A3B4410"/>
    <w:rsid w:val="7A5407EF"/>
    <w:rsid w:val="7A5F5C0F"/>
    <w:rsid w:val="7A6ED5F5"/>
    <w:rsid w:val="7A905702"/>
    <w:rsid w:val="7AB1EDDA"/>
    <w:rsid w:val="7ACEFF95"/>
    <w:rsid w:val="7AD5B9B2"/>
    <w:rsid w:val="7ADD7A2A"/>
    <w:rsid w:val="7AF1D2C4"/>
    <w:rsid w:val="7AF710EB"/>
    <w:rsid w:val="7AFB7CCB"/>
    <w:rsid w:val="7B234AA2"/>
    <w:rsid w:val="7B32210F"/>
    <w:rsid w:val="7B35CAA9"/>
    <w:rsid w:val="7B47C18E"/>
    <w:rsid w:val="7B4C3607"/>
    <w:rsid w:val="7B783207"/>
    <w:rsid w:val="7BA5BDE7"/>
    <w:rsid w:val="7BCB4CFF"/>
    <w:rsid w:val="7BD32EF5"/>
    <w:rsid w:val="7BD43307"/>
    <w:rsid w:val="7BD5C7E2"/>
    <w:rsid w:val="7BE20841"/>
    <w:rsid w:val="7BF37347"/>
    <w:rsid w:val="7C64BF03"/>
    <w:rsid w:val="7C6D7F6C"/>
    <w:rsid w:val="7C893F3B"/>
    <w:rsid w:val="7C977154"/>
    <w:rsid w:val="7CB1F186"/>
    <w:rsid w:val="7CC5D0AE"/>
    <w:rsid w:val="7CCDDCA1"/>
    <w:rsid w:val="7D08927E"/>
    <w:rsid w:val="7D14A09A"/>
    <w:rsid w:val="7D16076A"/>
    <w:rsid w:val="7D253D3F"/>
    <w:rsid w:val="7D4D7152"/>
    <w:rsid w:val="7D984735"/>
    <w:rsid w:val="7DA76913"/>
    <w:rsid w:val="7DC032A4"/>
    <w:rsid w:val="7DCAFD95"/>
    <w:rsid w:val="7DCDDFA1"/>
    <w:rsid w:val="7DD24A2A"/>
    <w:rsid w:val="7DDD4A71"/>
    <w:rsid w:val="7DF1A02F"/>
    <w:rsid w:val="7E012F36"/>
    <w:rsid w:val="7E1060F8"/>
    <w:rsid w:val="7E1413E3"/>
    <w:rsid w:val="7E254D99"/>
    <w:rsid w:val="7E34BFA0"/>
    <w:rsid w:val="7E3B67A8"/>
    <w:rsid w:val="7E460C26"/>
    <w:rsid w:val="7E717644"/>
    <w:rsid w:val="7E99CA36"/>
    <w:rsid w:val="7EB08AA2"/>
    <w:rsid w:val="7EB21061"/>
    <w:rsid w:val="7EE889EB"/>
    <w:rsid w:val="7EEF877F"/>
    <w:rsid w:val="7F044AEF"/>
    <w:rsid w:val="7F067568"/>
    <w:rsid w:val="7F296582"/>
    <w:rsid w:val="7F32D7B7"/>
    <w:rsid w:val="7F53C4D4"/>
    <w:rsid w:val="7F874FA1"/>
    <w:rsid w:val="7FC449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BCCEC"/>
  <w15:chartTrackingRefBased/>
  <w15:docId w15:val="{1483664A-7448-48B3-89BA-00DEE7EE7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BA8"/>
    <w:pPr>
      <w:spacing w:line="288" w:lineRule="auto"/>
    </w:pPr>
    <w:rPr>
      <w:rFonts w:ascii="Verdana" w:hAnsi="Verdana"/>
      <w:sz w:val="24"/>
    </w:rPr>
  </w:style>
  <w:style w:type="paragraph" w:styleId="Heading1">
    <w:name w:val="heading 1"/>
    <w:basedOn w:val="Normal"/>
    <w:next w:val="Normal"/>
    <w:link w:val="Heading1Char"/>
    <w:uiPriority w:val="9"/>
    <w:qFormat/>
    <w:rsid w:val="00BC740C"/>
    <w:pPr>
      <w:keepNext/>
      <w:keepLines/>
      <w:spacing w:before="240" w:line="480" w:lineRule="auto"/>
      <w:outlineLvl w:val="0"/>
    </w:pPr>
    <w:rPr>
      <w:rFonts w:eastAsiaTheme="majorEastAsia" w:cstheme="majorBidi"/>
      <w:b/>
      <w:color w:val="77328A"/>
      <w:sz w:val="30"/>
      <w:szCs w:val="32"/>
    </w:rPr>
  </w:style>
  <w:style w:type="paragraph" w:styleId="Heading2">
    <w:name w:val="heading 2"/>
    <w:basedOn w:val="Normal"/>
    <w:next w:val="Normal"/>
    <w:link w:val="Heading2Char"/>
    <w:uiPriority w:val="9"/>
    <w:unhideWhenUsed/>
    <w:qFormat/>
    <w:rsid w:val="006B2A6A"/>
    <w:pPr>
      <w:keepNext/>
      <w:keepLines/>
      <w:spacing w:before="40" w:line="480" w:lineRule="auto"/>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DE7FEB"/>
    <w:pPr>
      <w:keepNext/>
      <w:keepLines/>
      <w:spacing w:before="40"/>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5_G,Footnote Text Char Char,Footnote Text1,Footnote Text Char1 Char Char,Footnote Text Char Char Char Char,Footnote Text Char1 Char Char1 Char Char,Footnote Text Char Char Char Char1 Char Char,Char,Footnote Quot,Footnote Text Char1, Char"/>
    <w:basedOn w:val="Normal"/>
    <w:link w:val="FootnoteTextChar"/>
    <w:uiPriority w:val="99"/>
    <w:unhideWhenUsed/>
    <w:qFormat/>
    <w:rsid w:val="0097031A"/>
    <w:rPr>
      <w:sz w:val="20"/>
      <w:szCs w:val="20"/>
    </w:rPr>
  </w:style>
  <w:style w:type="character" w:customStyle="1" w:styleId="FootnoteTextChar">
    <w:name w:val="Footnote Text Char"/>
    <w:aliases w:val="5_G Char,Footnote Text Char Char Char,Footnote Text1 Char,Footnote Text Char1 Char Char Char,Footnote Text Char Char Char Char Char,Footnote Text Char1 Char Char1 Char Char Char,Footnote Text Char Char Char Char1 Char Char Char"/>
    <w:basedOn w:val="DefaultParagraphFont"/>
    <w:link w:val="FootnoteText"/>
    <w:uiPriority w:val="99"/>
    <w:rsid w:val="0097031A"/>
    <w:rPr>
      <w:sz w:val="20"/>
      <w:szCs w:val="20"/>
    </w:rPr>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FR"/>
    <w:basedOn w:val="DefaultParagraphFont"/>
    <w:link w:val="4GChar"/>
    <w:uiPriority w:val="99"/>
    <w:unhideWhenUsed/>
    <w:qFormat/>
    <w:rsid w:val="0097031A"/>
    <w:rPr>
      <w:vertAlign w:val="superscript"/>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2,Normal numbered,OBC Bullet"/>
    <w:basedOn w:val="Normal"/>
    <w:link w:val="ListParagraphChar"/>
    <w:uiPriority w:val="34"/>
    <w:qFormat/>
    <w:rsid w:val="0005442D"/>
    <w:pPr>
      <w:ind w:left="720"/>
      <w:contextualSpacing/>
    </w:pPr>
  </w:style>
  <w:style w:type="character" w:customStyle="1" w:styleId="Heading1Char">
    <w:name w:val="Heading 1 Char"/>
    <w:basedOn w:val="DefaultParagraphFont"/>
    <w:link w:val="Heading1"/>
    <w:uiPriority w:val="9"/>
    <w:rsid w:val="00BC740C"/>
    <w:rPr>
      <w:rFonts w:ascii="Verdana" w:eastAsiaTheme="majorEastAsia" w:hAnsi="Verdana" w:cstheme="majorBidi"/>
      <w:b/>
      <w:color w:val="77328A"/>
      <w:sz w:val="30"/>
      <w:szCs w:val="32"/>
    </w:rPr>
  </w:style>
  <w:style w:type="character" w:customStyle="1" w:styleId="Heading2Char">
    <w:name w:val="Heading 2 Char"/>
    <w:basedOn w:val="DefaultParagraphFont"/>
    <w:link w:val="Heading2"/>
    <w:uiPriority w:val="9"/>
    <w:rsid w:val="006B2A6A"/>
    <w:rPr>
      <w:rFonts w:ascii="Verdana" w:eastAsiaTheme="majorEastAsia" w:hAnsi="Verdana" w:cstheme="majorBidi"/>
      <w:b/>
      <w:color w:val="000000" w:themeColor="text1"/>
      <w:sz w:val="24"/>
      <w:szCs w:val="26"/>
    </w:rPr>
  </w:style>
  <w:style w:type="paragraph" w:styleId="Header">
    <w:name w:val="header"/>
    <w:basedOn w:val="Normal"/>
    <w:link w:val="HeaderChar"/>
    <w:uiPriority w:val="99"/>
    <w:unhideWhenUsed/>
    <w:rsid w:val="00DA019D"/>
    <w:pPr>
      <w:tabs>
        <w:tab w:val="center" w:pos="4513"/>
        <w:tab w:val="right" w:pos="9026"/>
      </w:tabs>
    </w:pPr>
  </w:style>
  <w:style w:type="character" w:customStyle="1" w:styleId="HeaderChar">
    <w:name w:val="Header Char"/>
    <w:basedOn w:val="DefaultParagraphFont"/>
    <w:link w:val="Header"/>
    <w:uiPriority w:val="99"/>
    <w:rsid w:val="00DA019D"/>
  </w:style>
  <w:style w:type="paragraph" w:styleId="Footer">
    <w:name w:val="footer"/>
    <w:basedOn w:val="Normal"/>
    <w:link w:val="FooterChar"/>
    <w:uiPriority w:val="99"/>
    <w:unhideWhenUsed/>
    <w:rsid w:val="00DA019D"/>
    <w:pPr>
      <w:tabs>
        <w:tab w:val="center" w:pos="4513"/>
        <w:tab w:val="right" w:pos="9026"/>
      </w:tabs>
    </w:pPr>
  </w:style>
  <w:style w:type="character" w:customStyle="1" w:styleId="FooterChar">
    <w:name w:val="Footer Char"/>
    <w:basedOn w:val="DefaultParagraphFont"/>
    <w:link w:val="Footer"/>
    <w:uiPriority w:val="99"/>
    <w:rsid w:val="00DA019D"/>
  </w:style>
  <w:style w:type="paragraph" w:styleId="Quote">
    <w:name w:val="Quote"/>
    <w:basedOn w:val="Normal"/>
    <w:next w:val="Normal"/>
    <w:link w:val="QuoteChar"/>
    <w:uiPriority w:val="29"/>
    <w:qFormat/>
    <w:rsid w:val="008D4607"/>
    <w:pPr>
      <w:spacing w:line="240" w:lineRule="auto"/>
      <w:ind w:left="964" w:right="720"/>
    </w:pPr>
    <w:rPr>
      <w:iCs/>
    </w:rPr>
  </w:style>
  <w:style w:type="character" w:customStyle="1" w:styleId="QuoteChar">
    <w:name w:val="Quote Char"/>
    <w:basedOn w:val="DefaultParagraphFont"/>
    <w:link w:val="Quote"/>
    <w:uiPriority w:val="29"/>
    <w:rsid w:val="008D4607"/>
    <w:rPr>
      <w:rFonts w:ascii="Verdana" w:hAnsi="Verdana"/>
      <w:iCs/>
      <w:sz w:val="24"/>
    </w:rPr>
  </w:style>
  <w:style w:type="character" w:styleId="CommentReference">
    <w:name w:val="annotation reference"/>
    <w:basedOn w:val="DefaultParagraphFont"/>
    <w:uiPriority w:val="99"/>
    <w:semiHidden/>
    <w:unhideWhenUsed/>
    <w:rsid w:val="004B27B8"/>
    <w:rPr>
      <w:sz w:val="16"/>
      <w:szCs w:val="16"/>
    </w:rPr>
  </w:style>
  <w:style w:type="paragraph" w:styleId="CommentText">
    <w:name w:val="annotation text"/>
    <w:basedOn w:val="Normal"/>
    <w:link w:val="CommentTextChar"/>
    <w:uiPriority w:val="99"/>
    <w:unhideWhenUsed/>
    <w:rsid w:val="004B27B8"/>
    <w:rPr>
      <w:sz w:val="20"/>
      <w:szCs w:val="20"/>
    </w:rPr>
  </w:style>
  <w:style w:type="character" w:customStyle="1" w:styleId="CommentTextChar">
    <w:name w:val="Comment Text Char"/>
    <w:basedOn w:val="DefaultParagraphFont"/>
    <w:link w:val="CommentText"/>
    <w:uiPriority w:val="99"/>
    <w:rsid w:val="004B27B8"/>
    <w:rPr>
      <w:sz w:val="20"/>
      <w:szCs w:val="20"/>
    </w:rPr>
  </w:style>
  <w:style w:type="paragraph" w:styleId="CommentSubject">
    <w:name w:val="annotation subject"/>
    <w:basedOn w:val="CommentText"/>
    <w:next w:val="CommentText"/>
    <w:link w:val="CommentSubjectChar"/>
    <w:uiPriority w:val="99"/>
    <w:semiHidden/>
    <w:unhideWhenUsed/>
    <w:rsid w:val="004B27B8"/>
    <w:rPr>
      <w:b/>
      <w:bCs/>
    </w:rPr>
  </w:style>
  <w:style w:type="character" w:customStyle="1" w:styleId="CommentSubjectChar">
    <w:name w:val="Comment Subject Char"/>
    <w:basedOn w:val="CommentTextChar"/>
    <w:link w:val="CommentSubject"/>
    <w:uiPriority w:val="99"/>
    <w:semiHidden/>
    <w:rsid w:val="004B27B8"/>
    <w:rPr>
      <w:b/>
      <w:bCs/>
      <w:sz w:val="20"/>
      <w:szCs w:val="20"/>
    </w:rPr>
  </w:style>
  <w:style w:type="paragraph" w:styleId="BalloonText">
    <w:name w:val="Balloon Text"/>
    <w:basedOn w:val="Normal"/>
    <w:link w:val="BalloonTextChar"/>
    <w:uiPriority w:val="99"/>
    <w:semiHidden/>
    <w:unhideWhenUsed/>
    <w:rsid w:val="004B27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7B8"/>
    <w:rPr>
      <w:rFonts w:ascii="Segoe UI" w:hAnsi="Segoe UI" w:cs="Segoe UI"/>
      <w:sz w:val="18"/>
      <w:szCs w:val="18"/>
    </w:rPr>
  </w:style>
  <w:style w:type="character" w:customStyle="1" w:styleId="Heading3Char">
    <w:name w:val="Heading 3 Char"/>
    <w:basedOn w:val="DefaultParagraphFont"/>
    <w:link w:val="Heading3"/>
    <w:uiPriority w:val="9"/>
    <w:rsid w:val="00DE7FEB"/>
    <w:rPr>
      <w:rFonts w:ascii="Verdana" w:eastAsiaTheme="majorEastAsia" w:hAnsi="Verdana" w:cstheme="majorBidi"/>
      <w:b/>
      <w:i/>
      <w:sz w:val="24"/>
      <w:szCs w:val="24"/>
    </w:rPr>
  </w:style>
  <w:style w:type="paragraph" w:customStyle="1" w:styleId="BasicParagraph">
    <w:name w:val="[Basic Paragraph]"/>
    <w:basedOn w:val="Normal"/>
    <w:uiPriority w:val="99"/>
    <w:rsid w:val="00611963"/>
    <w:pPr>
      <w:widowControl w:val="0"/>
      <w:autoSpaceDE w:val="0"/>
      <w:autoSpaceDN w:val="0"/>
      <w:adjustRightInd w:val="0"/>
      <w:textAlignment w:val="center"/>
    </w:pPr>
    <w:rPr>
      <w:rFonts w:ascii="MinionPro-Regular" w:eastAsiaTheme="minorEastAsia" w:hAnsi="MinionPro-Regular" w:cs="MinionPro-Regular"/>
      <w:color w:val="000000"/>
      <w:szCs w:val="24"/>
    </w:rPr>
  </w:style>
  <w:style w:type="paragraph" w:customStyle="1" w:styleId="Default">
    <w:name w:val="Default"/>
    <w:rsid w:val="00611963"/>
    <w:pPr>
      <w:widowControl w:val="0"/>
      <w:autoSpaceDE w:val="0"/>
      <w:autoSpaceDN w:val="0"/>
      <w:adjustRightInd w:val="0"/>
    </w:pPr>
    <w:rPr>
      <w:rFonts w:ascii="Verdana" w:eastAsiaTheme="minorEastAsia" w:hAnsi="Verdana" w:cs="Verdana"/>
      <w:color w:val="000000"/>
      <w:sz w:val="24"/>
      <w:szCs w:val="24"/>
      <w:lang w:val="en-US"/>
    </w:rPr>
  </w:style>
  <w:style w:type="paragraph" w:styleId="TOCHeading">
    <w:name w:val="TOC Heading"/>
    <w:basedOn w:val="Heading1"/>
    <w:next w:val="Normal"/>
    <w:uiPriority w:val="39"/>
    <w:unhideWhenUsed/>
    <w:qFormat/>
    <w:rsid w:val="00395DFD"/>
    <w:pPr>
      <w:spacing w:line="259" w:lineRule="auto"/>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57576E"/>
    <w:pPr>
      <w:tabs>
        <w:tab w:val="left" w:pos="660"/>
        <w:tab w:val="right" w:leader="dot" w:pos="9016"/>
      </w:tabs>
      <w:spacing w:line="360" w:lineRule="auto"/>
    </w:pPr>
    <w:rPr>
      <w:b/>
      <w:noProof/>
    </w:rPr>
  </w:style>
  <w:style w:type="paragraph" w:styleId="TOC2">
    <w:name w:val="toc 2"/>
    <w:basedOn w:val="Normal"/>
    <w:next w:val="Normal"/>
    <w:autoRedefine/>
    <w:uiPriority w:val="39"/>
    <w:unhideWhenUsed/>
    <w:rsid w:val="006467FF"/>
    <w:pPr>
      <w:tabs>
        <w:tab w:val="right" w:leader="dot" w:pos="9016"/>
      </w:tabs>
      <w:spacing w:after="100"/>
      <w:ind w:left="240"/>
    </w:pPr>
  </w:style>
  <w:style w:type="paragraph" w:styleId="TOC3">
    <w:name w:val="toc 3"/>
    <w:basedOn w:val="Normal"/>
    <w:next w:val="Normal"/>
    <w:autoRedefine/>
    <w:uiPriority w:val="39"/>
    <w:unhideWhenUsed/>
    <w:rsid w:val="00395DFD"/>
    <w:pPr>
      <w:spacing w:after="100"/>
      <w:ind w:left="480"/>
    </w:pPr>
  </w:style>
  <w:style w:type="character" w:styleId="Hyperlink">
    <w:name w:val="Hyperlink"/>
    <w:basedOn w:val="DefaultParagraphFont"/>
    <w:uiPriority w:val="99"/>
    <w:unhideWhenUsed/>
    <w:rsid w:val="00395DFD"/>
    <w:rPr>
      <w:color w:val="0563C1" w:themeColor="hyperlink"/>
      <w:u w:val="single"/>
    </w:rPr>
  </w:style>
  <w:style w:type="table" w:styleId="TableGrid">
    <w:name w:val="Table Grid"/>
    <w:basedOn w:val="TableNormal"/>
    <w:uiPriority w:val="39"/>
    <w:rsid w:val="00395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395DFD"/>
    <w:rPr>
      <w:rFonts w:ascii="Verdana" w:hAnsi="Verdana"/>
      <w:sz w:val="24"/>
    </w:rPr>
  </w:style>
  <w:style w:type="character" w:customStyle="1" w:styleId="NoSpacingChar">
    <w:name w:val="No Spacing Char"/>
    <w:basedOn w:val="DefaultParagraphFont"/>
    <w:link w:val="NoSpacing"/>
    <w:uiPriority w:val="1"/>
    <w:rsid w:val="00395DFD"/>
    <w:rPr>
      <w:rFonts w:ascii="Verdana" w:hAnsi="Verdana"/>
      <w:sz w:val="24"/>
    </w:rPr>
  </w:style>
  <w:style w:type="character" w:styleId="FollowedHyperlink">
    <w:name w:val="FollowedHyperlink"/>
    <w:basedOn w:val="DefaultParagraphFont"/>
    <w:uiPriority w:val="99"/>
    <w:semiHidden/>
    <w:unhideWhenUsed/>
    <w:rsid w:val="00B039E7"/>
    <w:rPr>
      <w:color w:val="954F72" w:themeColor="followedHyperlink"/>
      <w:u w:val="single"/>
    </w:rPr>
  </w:style>
  <w:style w:type="paragraph" w:styleId="Revision">
    <w:name w:val="Revision"/>
    <w:hidden/>
    <w:uiPriority w:val="99"/>
    <w:semiHidden/>
    <w:rsid w:val="008D4607"/>
    <w:rPr>
      <w:rFonts w:ascii="Verdana" w:hAnsi="Verdana"/>
      <w:sz w:val="24"/>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locked/>
    <w:rsid w:val="00D72BA8"/>
    <w:rPr>
      <w:rFonts w:ascii="Verdana" w:hAnsi="Verdana"/>
      <w:sz w:val="24"/>
    </w:r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BF4148"/>
    <w:pPr>
      <w:spacing w:after="160" w:line="240" w:lineRule="exact"/>
      <w:jc w:val="both"/>
    </w:pPr>
    <w:rPr>
      <w:rFonts w:asciiTheme="minorHAnsi" w:hAnsiTheme="minorHAnsi"/>
      <w:sz w:val="22"/>
      <w:vertAlign w:val="superscript"/>
    </w:rPr>
  </w:style>
  <w:style w:type="character" w:customStyle="1" w:styleId="sb8d990e2">
    <w:name w:val="sb8d990e2"/>
    <w:basedOn w:val="DefaultParagraphFont"/>
    <w:rsid w:val="00722752"/>
  </w:style>
  <w:style w:type="character" w:customStyle="1" w:styleId="column">
    <w:name w:val="column"/>
    <w:basedOn w:val="DefaultParagraphFont"/>
    <w:rsid w:val="0010432E"/>
  </w:style>
  <w:style w:type="paragraph" w:styleId="NormalWeb">
    <w:name w:val="Normal (Web)"/>
    <w:basedOn w:val="Normal"/>
    <w:uiPriority w:val="99"/>
    <w:unhideWhenUsed/>
    <w:rsid w:val="00041158"/>
    <w:pPr>
      <w:spacing w:before="100" w:beforeAutospacing="1" w:after="100" w:afterAutospacing="1" w:line="240" w:lineRule="auto"/>
    </w:pPr>
    <w:rPr>
      <w:rFonts w:ascii="Times New Roman" w:eastAsia="Times New Roman" w:hAnsi="Times New Roman" w:cs="Times New Roman"/>
      <w:szCs w:val="24"/>
      <w:lang w:eastAsia="en-GB"/>
    </w:rPr>
  </w:style>
  <w:style w:type="character" w:styleId="UnresolvedMention">
    <w:name w:val="Unresolved Mention"/>
    <w:basedOn w:val="DefaultParagraphFont"/>
    <w:uiPriority w:val="99"/>
    <w:semiHidden/>
    <w:unhideWhenUsed/>
    <w:rsid w:val="00205A2C"/>
    <w:rPr>
      <w:color w:val="605E5C"/>
      <w:shd w:val="clear" w:color="auto" w:fill="E1DFDD"/>
    </w:rPr>
  </w:style>
  <w:style w:type="paragraph" w:customStyle="1" w:styleId="NIHRCFootnotes">
    <w:name w:val="NIHRC Footnotes"/>
    <w:basedOn w:val="Normal"/>
    <w:qFormat/>
    <w:rsid w:val="00066CEB"/>
    <w:pPr>
      <w:tabs>
        <w:tab w:val="left" w:pos="284"/>
      </w:tabs>
      <w:spacing w:line="240" w:lineRule="auto"/>
      <w:jc w:val="both"/>
    </w:pPr>
    <w:rPr>
      <w:rFonts w:eastAsiaTheme="minorEastAsia" w:cs="Arial"/>
      <w:color w:val="77328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916585">
      <w:bodyDiv w:val="1"/>
      <w:marLeft w:val="0"/>
      <w:marRight w:val="0"/>
      <w:marTop w:val="0"/>
      <w:marBottom w:val="0"/>
      <w:divBdr>
        <w:top w:val="none" w:sz="0" w:space="0" w:color="auto"/>
        <w:left w:val="none" w:sz="0" w:space="0" w:color="auto"/>
        <w:bottom w:val="none" w:sz="0" w:space="0" w:color="auto"/>
        <w:right w:val="none" w:sz="0" w:space="0" w:color="auto"/>
      </w:divBdr>
    </w:div>
    <w:div w:id="1746995424">
      <w:bodyDiv w:val="1"/>
      <w:marLeft w:val="0"/>
      <w:marRight w:val="0"/>
      <w:marTop w:val="0"/>
      <w:marBottom w:val="0"/>
      <w:divBdr>
        <w:top w:val="none" w:sz="0" w:space="0" w:color="auto"/>
        <w:left w:val="none" w:sz="0" w:space="0" w:color="auto"/>
        <w:bottom w:val="none" w:sz="0" w:space="0" w:color="auto"/>
        <w:right w:val="none" w:sz="0" w:space="0" w:color="auto"/>
      </w:divBdr>
    </w:div>
    <w:div w:id="1857498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ihrc.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hyannon.Blythe@nihrc.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nih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4" ma:contentTypeDescription="Create a new document." ma:contentTypeScope="" ma:versionID="a32f3742638c558602377fbd59ea548d">
  <xsd:schema xmlns:xsd="http://www.w3.org/2001/XMLSchema" xmlns:xs="http://www.w3.org/2001/XMLSchema" xmlns:p="http://schemas.microsoft.com/office/2006/metadata/properties" xmlns:ns2="12479bdc-b58c-44ab-9f0f-fa5baefb3da2" targetNamespace="http://schemas.microsoft.com/office/2006/metadata/properties" ma:root="true" ma:fieldsID="06a1b9543d9b42e10c898227a0b60052" ns2:_="">
    <xsd:import namespace="12479bdc-b58c-44ab-9f0f-fa5baefb3d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2BBAEA-5E19-46A6-9436-B38270BBFE93}">
  <ds:schemaRefs>
    <ds:schemaRef ds:uri="http://schemas.microsoft.com/sharepoint/v3/contenttype/forms"/>
  </ds:schemaRefs>
</ds:datastoreItem>
</file>

<file path=customXml/itemProps2.xml><?xml version="1.0" encoding="utf-8"?>
<ds:datastoreItem xmlns:ds="http://schemas.openxmlformats.org/officeDocument/2006/customXml" ds:itemID="{6F515BB4-886D-49DC-B843-ED320AA206C6}">
  <ds:schemaRefs>
    <ds:schemaRef ds:uri="http://schemas.microsoft.com/office/2006/documentManagement/types"/>
    <ds:schemaRef ds:uri="12479bdc-b58c-44ab-9f0f-fa5baefb3da2"/>
    <ds:schemaRef ds:uri="http://www.w3.org/XML/1998/namespace"/>
    <ds:schemaRef ds:uri="http://purl.org/dc/terms/"/>
    <ds:schemaRef ds:uri="http://schemas.microsoft.com/office/2006/metadata/properties"/>
    <ds:schemaRef ds:uri="http://schemas.microsoft.com/office/infopath/2007/PartnerControls"/>
    <ds:schemaRef ds:uri="http://purl.org/dc/dcmitype/"/>
    <ds:schemaRef ds:uri="http://purl.org/dc/elements/1.1/"/>
    <ds:schemaRef ds:uri="http://schemas.openxmlformats.org/package/2006/metadata/core-properties"/>
  </ds:schemaRefs>
</ds:datastoreItem>
</file>

<file path=customXml/itemProps3.xml><?xml version="1.0" encoding="utf-8"?>
<ds:datastoreItem xmlns:ds="http://schemas.openxmlformats.org/officeDocument/2006/customXml" ds:itemID="{D312D978-22D9-40DE-AD5E-A6D39E493FDF}">
  <ds:schemaRefs>
    <ds:schemaRef ds:uri="http://schemas.openxmlformats.org/officeDocument/2006/bibliography"/>
  </ds:schemaRefs>
</ds:datastoreItem>
</file>

<file path=customXml/itemProps4.xml><?xml version="1.0" encoding="utf-8"?>
<ds:datastoreItem xmlns:ds="http://schemas.openxmlformats.org/officeDocument/2006/customXml" ds:itemID="{0415D16E-7255-426F-AED2-ABC9674FA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77</Pages>
  <Words>19107</Words>
  <Characters>108913</Characters>
  <Application>Microsoft Office Word</Application>
  <DocSecurity>0</DocSecurity>
  <Lines>907</Lines>
  <Paragraphs>255</Paragraphs>
  <ScaleCrop>false</ScaleCrop>
  <HeadingPairs>
    <vt:vector size="2" baseType="variant">
      <vt:variant>
        <vt:lpstr>Title</vt:lpstr>
      </vt:variant>
      <vt:variant>
        <vt:i4>1</vt:i4>
      </vt:variant>
    </vt:vector>
  </HeadingPairs>
  <TitlesOfParts>
    <vt:vector size="1" baseType="lpstr">
      <vt:lpstr/>
    </vt:vector>
  </TitlesOfParts>
  <Company>Equality Commission</Company>
  <LinksUpToDate>false</LinksUpToDate>
  <CharactersWithSpaces>127765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Russell</dc:creator>
  <cp:keywords/>
  <dc:description/>
  <cp:lastModifiedBy>Hannah Russell</cp:lastModifiedBy>
  <cp:revision>15</cp:revision>
  <cp:lastPrinted>2022-09-08T07:25:00Z</cp:lastPrinted>
  <dcterms:created xsi:type="dcterms:W3CDTF">2022-09-08T05:51:00Z</dcterms:created>
  <dcterms:modified xsi:type="dcterms:W3CDTF">2022-09-08T07:25:00Z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ies>
</file>