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F19D" w14:textId="4C324BF1" w:rsidR="00F903F9" w:rsidRPr="00CC301D" w:rsidRDefault="00F903F9" w:rsidP="7EB86CE1">
      <w:pPr>
        <w:ind w:left="360"/>
        <w:rPr>
          <w:rFonts w:ascii="Verdana" w:hAnsi="Verdana"/>
          <w:b/>
          <w:bCs/>
          <w:color w:val="77328A"/>
          <w:sz w:val="30"/>
          <w:szCs w:val="30"/>
          <w:u w:val="single"/>
        </w:rPr>
      </w:pPr>
      <w:r w:rsidRPr="00CC301D">
        <w:rPr>
          <w:rFonts w:ascii="Verdana" w:hAnsi="Verdana"/>
          <w:b/>
          <w:bCs/>
          <w:color w:val="77328A"/>
          <w:sz w:val="30"/>
          <w:szCs w:val="30"/>
          <w:u w:val="single"/>
        </w:rPr>
        <w:t>A</w:t>
      </w:r>
      <w:r w:rsidR="00A279AD" w:rsidRPr="00CC301D">
        <w:rPr>
          <w:rFonts w:ascii="Verdana" w:hAnsi="Verdana"/>
          <w:b/>
          <w:bCs/>
          <w:color w:val="77328A"/>
          <w:sz w:val="30"/>
          <w:szCs w:val="30"/>
          <w:u w:val="single"/>
        </w:rPr>
        <w:t>ddendum</w:t>
      </w:r>
      <w:r w:rsidRPr="00CC301D">
        <w:rPr>
          <w:rFonts w:ascii="Verdana" w:hAnsi="Verdana"/>
          <w:b/>
          <w:bCs/>
          <w:color w:val="77328A"/>
          <w:sz w:val="30"/>
          <w:szCs w:val="30"/>
          <w:u w:val="single"/>
        </w:rPr>
        <w:t xml:space="preserve"> to </w:t>
      </w:r>
      <w:r w:rsidR="00C911B1" w:rsidRPr="00CC301D">
        <w:rPr>
          <w:rFonts w:ascii="Verdana" w:hAnsi="Verdana"/>
          <w:b/>
          <w:bCs/>
          <w:color w:val="77328A"/>
          <w:sz w:val="30"/>
          <w:szCs w:val="30"/>
          <w:u w:val="single"/>
        </w:rPr>
        <w:t xml:space="preserve">NIHRC Advice </w:t>
      </w:r>
      <w:r w:rsidR="00F87DF3" w:rsidRPr="00CC301D">
        <w:rPr>
          <w:rFonts w:ascii="Verdana" w:hAnsi="Verdana"/>
          <w:b/>
          <w:bCs/>
          <w:color w:val="77328A"/>
          <w:sz w:val="30"/>
          <w:szCs w:val="30"/>
          <w:u w:val="single"/>
        </w:rPr>
        <w:t xml:space="preserve">to the Northern Ireland Affairs Committee </w:t>
      </w:r>
      <w:r w:rsidR="00C911B1" w:rsidRPr="00CC301D">
        <w:rPr>
          <w:rFonts w:ascii="Verdana" w:hAnsi="Verdana"/>
          <w:b/>
          <w:bCs/>
          <w:color w:val="77328A"/>
          <w:sz w:val="30"/>
          <w:szCs w:val="30"/>
          <w:u w:val="single"/>
        </w:rPr>
        <w:t xml:space="preserve">on </w:t>
      </w:r>
      <w:r w:rsidR="00F87DF3" w:rsidRPr="00CC301D">
        <w:rPr>
          <w:rFonts w:ascii="Verdana" w:hAnsi="Verdana"/>
          <w:b/>
          <w:bCs/>
          <w:color w:val="77328A"/>
          <w:sz w:val="30"/>
          <w:szCs w:val="30"/>
          <w:u w:val="single"/>
        </w:rPr>
        <w:t>‘T</w:t>
      </w:r>
      <w:r w:rsidR="00C911B1" w:rsidRPr="00CC301D">
        <w:rPr>
          <w:rFonts w:ascii="Verdana" w:hAnsi="Verdana"/>
          <w:b/>
          <w:bCs/>
          <w:color w:val="77328A"/>
          <w:sz w:val="30"/>
          <w:szCs w:val="30"/>
          <w:u w:val="single"/>
        </w:rPr>
        <w:t>he Legacy of the Troubles: A Joint Framework Between the Government of the U</w:t>
      </w:r>
      <w:r w:rsidR="00F87DF3" w:rsidRPr="00CC301D">
        <w:rPr>
          <w:rFonts w:ascii="Verdana" w:hAnsi="Verdana"/>
          <w:b/>
          <w:bCs/>
          <w:color w:val="77328A"/>
          <w:sz w:val="30"/>
          <w:szCs w:val="30"/>
          <w:u w:val="single"/>
        </w:rPr>
        <w:t>nited Kingdom of Great Britain and Northern Ireland and the Government of Ireland’</w:t>
      </w:r>
      <w:r w:rsidR="00D34C70">
        <w:rPr>
          <w:rFonts w:ascii="Verdana" w:hAnsi="Verdana"/>
          <w:b/>
          <w:bCs/>
          <w:color w:val="77328A"/>
          <w:sz w:val="30"/>
          <w:szCs w:val="30"/>
          <w:u w:val="single"/>
        </w:rPr>
        <w:t>, October 2025</w:t>
      </w:r>
    </w:p>
    <w:p w14:paraId="2BD57B09" w14:textId="229695F3" w:rsidR="5FCFFD1A" w:rsidRPr="003877DD" w:rsidRDefault="5FCFFD1A" w:rsidP="00B12BE1">
      <w:pPr>
        <w:spacing w:before="240" w:after="240"/>
        <w:ind w:left="357"/>
        <w:rPr>
          <w:rFonts w:ascii="Verdana" w:hAnsi="Verdana"/>
          <w:b/>
          <w:bCs/>
          <w:u w:val="single"/>
        </w:rPr>
      </w:pPr>
      <w:r w:rsidRPr="003877DD">
        <w:rPr>
          <w:rFonts w:ascii="Verdana" w:hAnsi="Verdana"/>
          <w:b/>
          <w:bCs/>
          <w:u w:val="single"/>
        </w:rPr>
        <w:t xml:space="preserve">NIHRC </w:t>
      </w:r>
      <w:r w:rsidR="00A279AD">
        <w:rPr>
          <w:rFonts w:ascii="Verdana" w:hAnsi="Verdana"/>
          <w:b/>
          <w:bCs/>
          <w:u w:val="single"/>
        </w:rPr>
        <w:t xml:space="preserve">initial </w:t>
      </w:r>
      <w:r w:rsidRPr="003877DD">
        <w:rPr>
          <w:rFonts w:ascii="Verdana" w:hAnsi="Verdana"/>
          <w:b/>
          <w:bCs/>
          <w:u w:val="single"/>
        </w:rPr>
        <w:t xml:space="preserve">commentary on key clauses of the Northern Ireland Troubles Bill </w:t>
      </w:r>
    </w:p>
    <w:p w14:paraId="78BBF672" w14:textId="61133E34" w:rsidR="5FCFFD1A" w:rsidRPr="003877DD" w:rsidRDefault="00B850B5" w:rsidP="2CEC2ACA">
      <w:pPr>
        <w:ind w:left="360"/>
        <w:rPr>
          <w:rFonts w:ascii="Verdana" w:hAnsi="Verdana"/>
        </w:rPr>
      </w:pPr>
      <w:r>
        <w:rPr>
          <w:rFonts w:ascii="Verdana" w:hAnsi="Verdana"/>
        </w:rPr>
        <w:t xml:space="preserve">Since the Commission’s advice on the Joint Framework was provided to the Committee, </w:t>
      </w:r>
      <w:r w:rsidR="00841437">
        <w:rPr>
          <w:rFonts w:ascii="Verdana" w:hAnsi="Verdana"/>
        </w:rPr>
        <w:t xml:space="preserve">in early October, </w:t>
      </w:r>
      <w:r>
        <w:rPr>
          <w:rFonts w:ascii="Verdana" w:hAnsi="Verdana"/>
        </w:rPr>
        <w:t xml:space="preserve">the Northern Ireland Troubles Bill has been introduced in the House of Commons. </w:t>
      </w:r>
      <w:r w:rsidR="5FCFFD1A" w:rsidRPr="698A65C4">
        <w:rPr>
          <w:rFonts w:ascii="Verdana" w:hAnsi="Verdana"/>
        </w:rPr>
        <w:t>The Commission broadly welcomes the Bill</w:t>
      </w:r>
      <w:r w:rsidR="52787FF1" w:rsidRPr="698A65C4">
        <w:rPr>
          <w:rFonts w:ascii="Verdana" w:hAnsi="Verdana"/>
        </w:rPr>
        <w:t xml:space="preserve">, </w:t>
      </w:r>
      <w:r w:rsidR="002C3EFD" w:rsidRPr="698A65C4">
        <w:rPr>
          <w:rFonts w:ascii="Verdana" w:hAnsi="Verdana"/>
        </w:rPr>
        <w:t>which</w:t>
      </w:r>
      <w:r w:rsidR="52787FF1" w:rsidRPr="698A65C4">
        <w:rPr>
          <w:rFonts w:ascii="Verdana" w:hAnsi="Verdana"/>
        </w:rPr>
        <w:t xml:space="preserve"> largely reflects the Joint Framework</w:t>
      </w:r>
      <w:r w:rsidR="613B2D09" w:rsidRPr="698A65C4">
        <w:rPr>
          <w:rFonts w:ascii="Verdana" w:hAnsi="Verdana"/>
        </w:rPr>
        <w:t xml:space="preserve">. </w:t>
      </w:r>
      <w:r w:rsidR="00D516AB">
        <w:rPr>
          <w:rFonts w:ascii="Verdana" w:hAnsi="Verdana"/>
        </w:rPr>
        <w:t>T</w:t>
      </w:r>
      <w:r w:rsidR="613B2D09" w:rsidRPr="698A65C4">
        <w:rPr>
          <w:rFonts w:ascii="Verdana" w:hAnsi="Verdana"/>
        </w:rPr>
        <w:t>his addendum to the Commission’s advice on the Joint Framework highlight</w:t>
      </w:r>
      <w:r w:rsidR="00D06F14" w:rsidRPr="698A65C4">
        <w:rPr>
          <w:rFonts w:ascii="Verdana" w:hAnsi="Verdana"/>
        </w:rPr>
        <w:t>s</w:t>
      </w:r>
      <w:r w:rsidR="613B2D09" w:rsidRPr="698A65C4">
        <w:rPr>
          <w:rFonts w:ascii="Verdana" w:hAnsi="Verdana"/>
        </w:rPr>
        <w:t xml:space="preserve"> </w:t>
      </w:r>
      <w:proofErr w:type="gramStart"/>
      <w:r w:rsidR="613B2D09" w:rsidRPr="698A65C4">
        <w:rPr>
          <w:rFonts w:ascii="Verdana" w:hAnsi="Verdana"/>
        </w:rPr>
        <w:t>a number of</w:t>
      </w:r>
      <w:proofErr w:type="gramEnd"/>
      <w:r w:rsidR="613B2D09" w:rsidRPr="698A65C4">
        <w:rPr>
          <w:rFonts w:ascii="Verdana" w:hAnsi="Verdana"/>
        </w:rPr>
        <w:t xml:space="preserve"> specific clauses which the Committee may wish to consider. </w:t>
      </w:r>
      <w:r w:rsidR="00E509D6">
        <w:rPr>
          <w:rFonts w:ascii="Verdana" w:hAnsi="Verdana"/>
        </w:rPr>
        <w:t>The Commission is continuing to examine the Bill and will be publishing its advice in due course.</w:t>
      </w:r>
    </w:p>
    <w:p w14:paraId="353AD4DE" w14:textId="60CCD347" w:rsidR="00165990" w:rsidRPr="003877DD" w:rsidRDefault="75303FA4" w:rsidP="00B12BE1">
      <w:pPr>
        <w:spacing w:before="240" w:after="240"/>
        <w:ind w:left="357"/>
        <w:rPr>
          <w:rFonts w:ascii="Verdana" w:hAnsi="Verdana"/>
          <w:b/>
          <w:bCs/>
          <w:u w:val="single"/>
        </w:rPr>
      </w:pPr>
      <w:r w:rsidRPr="003877DD">
        <w:rPr>
          <w:rFonts w:ascii="Verdana" w:hAnsi="Verdana"/>
          <w:b/>
          <w:bCs/>
          <w:u w:val="single"/>
        </w:rPr>
        <w:t>Material supporting the Bill</w:t>
      </w:r>
    </w:p>
    <w:p w14:paraId="46D19A8E" w14:textId="6FDCF720" w:rsidR="00165990" w:rsidRPr="003877DD" w:rsidRDefault="7181DBB1" w:rsidP="3FAC11EB">
      <w:pPr>
        <w:ind w:left="360"/>
        <w:rPr>
          <w:rFonts w:ascii="Verdana" w:hAnsi="Verdana"/>
        </w:rPr>
      </w:pPr>
      <w:r w:rsidRPr="003877DD">
        <w:rPr>
          <w:rFonts w:ascii="Verdana" w:hAnsi="Verdana"/>
        </w:rPr>
        <w:t xml:space="preserve">The Commission notes that </w:t>
      </w:r>
      <w:r w:rsidR="27DA582F" w:rsidRPr="003877DD">
        <w:rPr>
          <w:rFonts w:ascii="Verdana" w:hAnsi="Verdana"/>
        </w:rPr>
        <w:t xml:space="preserve">the Government has not published a memorandum </w:t>
      </w:r>
      <w:r w:rsidR="27DA582F" w:rsidRPr="0014666B">
        <w:rPr>
          <w:rFonts w:ascii="Verdana" w:eastAsia="Arial" w:hAnsi="Verdana" w:cs="Arial"/>
        </w:rPr>
        <w:t xml:space="preserve">addressing issues arising under the European Convention on Human Rights alongside the Bill. </w:t>
      </w:r>
      <w:r w:rsidR="757A8C1F" w:rsidRPr="0014666B">
        <w:rPr>
          <w:rFonts w:ascii="Verdana" w:eastAsia="Arial" w:hAnsi="Verdana" w:cs="Arial"/>
        </w:rPr>
        <w:t xml:space="preserve">In addition, </w:t>
      </w:r>
      <w:r w:rsidR="757A8C1F" w:rsidRPr="003877DD">
        <w:rPr>
          <w:rFonts w:ascii="Verdana" w:eastAsia="Arial" w:hAnsi="Verdana" w:cs="Arial"/>
          <w:color w:val="474747"/>
        </w:rPr>
        <w:t>t</w:t>
      </w:r>
      <w:r w:rsidR="00B43FFD" w:rsidRPr="003877DD">
        <w:rPr>
          <w:rFonts w:ascii="Verdana" w:hAnsi="Verdana"/>
        </w:rPr>
        <w:t xml:space="preserve">he Explanatory Notes published alongside the Bill include no reference to Windsor Framework Article 2. Paragraph 25 deals with ‘Legal Background’, </w:t>
      </w:r>
      <w:proofErr w:type="gramStart"/>
      <w:r w:rsidR="00B43FFD" w:rsidRPr="003877DD">
        <w:rPr>
          <w:rFonts w:ascii="Verdana" w:hAnsi="Verdana"/>
        </w:rPr>
        <w:t>making reference</w:t>
      </w:r>
      <w:proofErr w:type="gramEnd"/>
      <w:r w:rsidR="00B43FFD" w:rsidRPr="003877DD">
        <w:rPr>
          <w:rFonts w:ascii="Verdana" w:hAnsi="Verdana"/>
        </w:rPr>
        <w:t xml:space="preserve"> to the </w:t>
      </w:r>
      <w:r w:rsidR="00B43FFD" w:rsidRPr="00790B2A">
        <w:rPr>
          <w:rFonts w:ascii="Verdana" w:hAnsi="Verdana"/>
          <w:i/>
          <w:iCs/>
        </w:rPr>
        <w:t>Dillon</w:t>
      </w:r>
      <w:r w:rsidR="00B43FFD" w:rsidRPr="003877DD">
        <w:rPr>
          <w:rFonts w:ascii="Verdana" w:hAnsi="Verdana"/>
        </w:rPr>
        <w:t xml:space="preserve"> case and the fact that it remains before the UK Supreme Court</w:t>
      </w:r>
      <w:r w:rsidR="009A748D">
        <w:rPr>
          <w:rFonts w:ascii="Verdana" w:hAnsi="Verdana"/>
        </w:rPr>
        <w:t>. T</w:t>
      </w:r>
      <w:r w:rsidR="00B43FFD" w:rsidRPr="003877DD">
        <w:rPr>
          <w:rFonts w:ascii="Verdana" w:hAnsi="Verdana"/>
        </w:rPr>
        <w:t xml:space="preserve">he findings and issues cited relate exclusively to the ECHR, </w:t>
      </w:r>
      <w:proofErr w:type="gramStart"/>
      <w:r w:rsidR="00B43FFD" w:rsidRPr="003877DD">
        <w:rPr>
          <w:rFonts w:ascii="Verdana" w:hAnsi="Verdana"/>
        </w:rPr>
        <w:t>despite the fact that</w:t>
      </w:r>
      <w:proofErr w:type="gramEnd"/>
      <w:r w:rsidR="00B43FFD" w:rsidRPr="003877DD">
        <w:rPr>
          <w:rFonts w:ascii="Verdana" w:hAnsi="Verdana"/>
        </w:rPr>
        <w:t xml:space="preserve"> compliance with Article 2 of the Windsor Framework is central to many of the grounds of appeal </w:t>
      </w:r>
      <w:r w:rsidR="00EA1548">
        <w:rPr>
          <w:rFonts w:ascii="Verdana" w:hAnsi="Verdana"/>
        </w:rPr>
        <w:t>put by</w:t>
      </w:r>
      <w:r w:rsidR="00D30171">
        <w:rPr>
          <w:rFonts w:ascii="Verdana" w:hAnsi="Verdana"/>
        </w:rPr>
        <w:t xml:space="preserve"> the UK Government </w:t>
      </w:r>
      <w:r w:rsidR="00EA1548">
        <w:rPr>
          <w:rFonts w:ascii="Verdana" w:hAnsi="Verdana"/>
        </w:rPr>
        <w:t>to</w:t>
      </w:r>
      <w:r w:rsidR="00D30171" w:rsidRPr="003877DD">
        <w:rPr>
          <w:rFonts w:ascii="Verdana" w:hAnsi="Verdana"/>
        </w:rPr>
        <w:t xml:space="preserve"> </w:t>
      </w:r>
      <w:r w:rsidR="00B43FFD" w:rsidRPr="003877DD">
        <w:rPr>
          <w:rFonts w:ascii="Verdana" w:hAnsi="Verdana"/>
        </w:rPr>
        <w:t>the Supreme Court.</w:t>
      </w:r>
      <w:r w:rsidR="004B0D62">
        <w:rPr>
          <w:rStyle w:val="FootnoteReference"/>
          <w:rFonts w:ascii="Verdana" w:hAnsi="Verdana"/>
        </w:rPr>
        <w:footnoteReference w:id="1"/>
      </w:r>
    </w:p>
    <w:p w14:paraId="46D19A8F" w14:textId="33B2C3F1" w:rsidR="00165990" w:rsidRPr="003877DD" w:rsidRDefault="00B43FFD">
      <w:pPr>
        <w:ind w:left="360"/>
        <w:rPr>
          <w:rFonts w:ascii="Verdana" w:hAnsi="Verdana"/>
        </w:rPr>
      </w:pPr>
      <w:r w:rsidRPr="003877DD">
        <w:rPr>
          <w:rFonts w:ascii="Verdana" w:hAnsi="Verdana"/>
        </w:rPr>
        <w:t>The approach contrasts with the requirement under</w:t>
      </w:r>
      <w:r w:rsidR="00D735C7">
        <w:rPr>
          <w:rFonts w:ascii="Verdana" w:hAnsi="Verdana"/>
        </w:rPr>
        <w:t xml:space="preserve"> the</w:t>
      </w:r>
      <w:r w:rsidRPr="003877DD">
        <w:rPr>
          <w:rFonts w:ascii="Verdana" w:hAnsi="Verdana"/>
        </w:rPr>
        <w:t xml:space="preserve"> </w:t>
      </w:r>
      <w:r w:rsidR="00D735C7">
        <w:rPr>
          <w:rFonts w:ascii="Verdana" w:hAnsi="Verdana"/>
        </w:rPr>
        <w:t>r</w:t>
      </w:r>
      <w:r w:rsidRPr="003877DD">
        <w:rPr>
          <w:rFonts w:ascii="Verdana" w:hAnsi="Verdana"/>
        </w:rPr>
        <w:t xml:space="preserve">evised </w:t>
      </w:r>
      <w:r w:rsidR="00C42EE2">
        <w:rPr>
          <w:rFonts w:ascii="Verdana" w:hAnsi="Verdana"/>
        </w:rPr>
        <w:t>‘</w:t>
      </w:r>
      <w:r w:rsidRPr="003877DD">
        <w:rPr>
          <w:rFonts w:ascii="Verdana" w:hAnsi="Verdana"/>
        </w:rPr>
        <w:t>Guid</w:t>
      </w:r>
      <w:r w:rsidR="00D735C7">
        <w:rPr>
          <w:rFonts w:ascii="Verdana" w:hAnsi="Verdana"/>
        </w:rPr>
        <w:t>e</w:t>
      </w:r>
      <w:r w:rsidRPr="003877DD">
        <w:rPr>
          <w:rFonts w:ascii="Verdana" w:hAnsi="Verdana"/>
        </w:rPr>
        <w:t xml:space="preserve"> </w:t>
      </w:r>
      <w:r w:rsidR="00D735C7">
        <w:rPr>
          <w:rFonts w:ascii="Verdana" w:hAnsi="Verdana"/>
        </w:rPr>
        <w:t>to</w:t>
      </w:r>
      <w:r w:rsidR="00D735C7" w:rsidRPr="003877DD">
        <w:rPr>
          <w:rFonts w:ascii="Verdana" w:hAnsi="Verdana"/>
        </w:rPr>
        <w:t xml:space="preserve"> </w:t>
      </w:r>
      <w:r w:rsidRPr="003877DD">
        <w:rPr>
          <w:rFonts w:ascii="Verdana" w:hAnsi="Verdana"/>
        </w:rPr>
        <w:t>Making Legislation</w:t>
      </w:r>
      <w:r w:rsidR="00C42EE2">
        <w:rPr>
          <w:rFonts w:ascii="Verdana" w:hAnsi="Verdana"/>
        </w:rPr>
        <w:t>,’</w:t>
      </w:r>
      <w:r w:rsidRPr="003877DD">
        <w:rPr>
          <w:rFonts w:ascii="Verdana" w:hAnsi="Verdana"/>
        </w:rPr>
        <w:t xml:space="preserve"> published by the Cabinet Office, which states that the Explanatory Notes to primary legislation “should also set out in [the legal background] section of the notes any obligations relating to Article 2 of the Windsor Framework”.</w:t>
      </w:r>
      <w:r w:rsidR="003C6242">
        <w:rPr>
          <w:rStyle w:val="FootnoteReference"/>
          <w:rFonts w:ascii="Verdana" w:hAnsi="Verdana"/>
        </w:rPr>
        <w:footnoteReference w:id="2"/>
      </w:r>
    </w:p>
    <w:p w14:paraId="46D19A90" w14:textId="52AF5A1A" w:rsidR="00165990" w:rsidRPr="003877DD" w:rsidRDefault="00B43FFD" w:rsidP="3FAC11EB">
      <w:pPr>
        <w:ind w:left="360"/>
        <w:rPr>
          <w:rFonts w:ascii="Verdana" w:hAnsi="Verdana"/>
          <w:b/>
          <w:bCs/>
        </w:rPr>
      </w:pPr>
      <w:r w:rsidRPr="003877DD">
        <w:rPr>
          <w:rFonts w:ascii="Verdana" w:hAnsi="Verdana"/>
          <w:b/>
          <w:bCs/>
        </w:rPr>
        <w:lastRenderedPageBreak/>
        <w:t>The Commission recommends that the Explanatory Notes</w:t>
      </w:r>
      <w:r w:rsidR="009B6BB0">
        <w:rPr>
          <w:rFonts w:ascii="Verdana" w:hAnsi="Verdana"/>
          <w:b/>
          <w:bCs/>
        </w:rPr>
        <w:t xml:space="preserve"> to the Bill</w:t>
      </w:r>
      <w:r w:rsidRPr="003877DD">
        <w:rPr>
          <w:rFonts w:ascii="Verdana" w:hAnsi="Verdana"/>
          <w:b/>
          <w:bCs/>
        </w:rPr>
        <w:t xml:space="preserve"> be revised to address Article 2 of the Windsor Framework</w:t>
      </w:r>
      <w:r w:rsidR="00273F01">
        <w:rPr>
          <w:rFonts w:ascii="Verdana" w:hAnsi="Verdana"/>
          <w:b/>
          <w:bCs/>
        </w:rPr>
        <w:t>,</w:t>
      </w:r>
      <w:r w:rsidRPr="003877DD">
        <w:rPr>
          <w:rFonts w:ascii="Verdana" w:hAnsi="Verdana"/>
          <w:b/>
          <w:bCs/>
        </w:rPr>
        <w:t xml:space="preserve"> in line with Cabinet Office guidance.</w:t>
      </w:r>
    </w:p>
    <w:p w14:paraId="46D19A92" w14:textId="2604AF91" w:rsidR="00165990" w:rsidRPr="003877DD" w:rsidRDefault="00B43FFD" w:rsidP="3FAC11EB">
      <w:pPr>
        <w:ind w:left="360"/>
        <w:rPr>
          <w:rFonts w:ascii="Verdana" w:hAnsi="Verdana"/>
          <w:b/>
          <w:bCs/>
        </w:rPr>
      </w:pPr>
      <w:r w:rsidRPr="003877DD">
        <w:rPr>
          <w:rFonts w:ascii="Verdana" w:hAnsi="Verdana"/>
          <w:b/>
          <w:bCs/>
        </w:rPr>
        <w:t xml:space="preserve">The Commission recommends that the </w:t>
      </w:r>
      <w:r w:rsidR="5AF10658" w:rsidRPr="003877DD">
        <w:rPr>
          <w:rFonts w:ascii="Verdana" w:hAnsi="Verdana"/>
          <w:b/>
          <w:bCs/>
        </w:rPr>
        <w:t>ECHR</w:t>
      </w:r>
      <w:r w:rsidRPr="003877DD">
        <w:rPr>
          <w:rFonts w:ascii="Verdana" w:hAnsi="Verdana"/>
          <w:b/>
          <w:bCs/>
        </w:rPr>
        <w:t xml:space="preserve"> memorandum to the Bill </w:t>
      </w:r>
      <w:r w:rsidR="5B25E8A2" w:rsidRPr="003877DD">
        <w:rPr>
          <w:rFonts w:ascii="Verdana" w:hAnsi="Verdana"/>
          <w:b/>
          <w:bCs/>
        </w:rPr>
        <w:t xml:space="preserve">is published and that it </w:t>
      </w:r>
      <w:r w:rsidR="72A41929" w:rsidRPr="003877DD">
        <w:rPr>
          <w:rFonts w:ascii="Verdana" w:hAnsi="Verdana"/>
          <w:b/>
          <w:bCs/>
        </w:rPr>
        <w:t xml:space="preserve">should </w:t>
      </w:r>
      <w:r w:rsidR="00B27846">
        <w:rPr>
          <w:rFonts w:ascii="Verdana" w:hAnsi="Verdana"/>
          <w:b/>
          <w:bCs/>
        </w:rPr>
        <w:t xml:space="preserve">be expanded to </w:t>
      </w:r>
      <w:r w:rsidR="72A41929" w:rsidRPr="003877DD">
        <w:rPr>
          <w:rFonts w:ascii="Verdana" w:hAnsi="Verdana"/>
          <w:b/>
          <w:bCs/>
        </w:rPr>
        <w:t xml:space="preserve">include </w:t>
      </w:r>
      <w:r w:rsidRPr="003877DD">
        <w:rPr>
          <w:rFonts w:ascii="Verdana" w:hAnsi="Verdana"/>
          <w:b/>
          <w:bCs/>
        </w:rPr>
        <w:t>detailed consideration of compliance of the Bill with Article 2 of the Windsor Framework.</w:t>
      </w:r>
    </w:p>
    <w:p w14:paraId="46D19A99" w14:textId="4C05C9AE" w:rsidR="00165990" w:rsidRPr="003877DD" w:rsidRDefault="00B43FFD" w:rsidP="00B12BE1">
      <w:pPr>
        <w:spacing w:before="240" w:after="240"/>
        <w:ind w:left="357"/>
        <w:rPr>
          <w:rFonts w:ascii="Verdana" w:hAnsi="Verdana"/>
          <w:b/>
          <w:bCs/>
          <w:u w:val="single"/>
        </w:rPr>
      </w:pPr>
      <w:r w:rsidRPr="003877DD">
        <w:rPr>
          <w:rFonts w:ascii="Verdana" w:hAnsi="Verdana"/>
          <w:b/>
          <w:bCs/>
          <w:u w:val="single"/>
        </w:rPr>
        <w:t>Clause 17</w:t>
      </w:r>
      <w:r w:rsidR="000D096B">
        <w:rPr>
          <w:rFonts w:ascii="Verdana" w:hAnsi="Verdana"/>
          <w:b/>
          <w:bCs/>
          <w:u w:val="single"/>
        </w:rPr>
        <w:t>:</w:t>
      </w:r>
      <w:r w:rsidRPr="003877DD">
        <w:rPr>
          <w:rFonts w:ascii="Verdana" w:hAnsi="Verdana"/>
          <w:b/>
          <w:bCs/>
          <w:u w:val="single"/>
        </w:rPr>
        <w:t xml:space="preserve"> </w:t>
      </w:r>
      <w:r w:rsidR="000D096B">
        <w:rPr>
          <w:rFonts w:ascii="Verdana" w:hAnsi="Verdana"/>
          <w:b/>
          <w:bCs/>
          <w:u w:val="single"/>
        </w:rPr>
        <w:t>D</w:t>
      </w:r>
      <w:r w:rsidRPr="003877DD">
        <w:rPr>
          <w:rFonts w:ascii="Verdana" w:hAnsi="Verdana"/>
          <w:b/>
          <w:bCs/>
          <w:u w:val="single"/>
        </w:rPr>
        <w:t xml:space="preserve">isclosure of information </w:t>
      </w:r>
    </w:p>
    <w:p w14:paraId="46D19A9A" w14:textId="151702D6" w:rsidR="00165990" w:rsidRPr="003877DD" w:rsidRDefault="00B43FFD" w:rsidP="3FAC11EB">
      <w:pPr>
        <w:ind w:left="360"/>
        <w:rPr>
          <w:rFonts w:ascii="Verdana" w:hAnsi="Verdana"/>
        </w:rPr>
      </w:pPr>
      <w:r w:rsidRPr="698A65C4">
        <w:rPr>
          <w:rFonts w:ascii="Verdana" w:hAnsi="Verdana"/>
        </w:rPr>
        <w:t xml:space="preserve">Clause 17 makes clear </w:t>
      </w:r>
      <w:r w:rsidR="00E96B87" w:rsidRPr="698A65C4">
        <w:rPr>
          <w:rFonts w:ascii="Verdana" w:hAnsi="Verdana"/>
        </w:rPr>
        <w:t xml:space="preserve">inter alia </w:t>
      </w:r>
      <w:r w:rsidRPr="698A65C4">
        <w:rPr>
          <w:rFonts w:ascii="Verdana" w:hAnsi="Verdana"/>
        </w:rPr>
        <w:t>that a disclosure of information by the Legacy Commission must not be made if either the Legacy Commission has identified the information as sensitive information</w:t>
      </w:r>
      <w:r w:rsidR="004325BD">
        <w:rPr>
          <w:rFonts w:ascii="Verdana" w:hAnsi="Verdana"/>
        </w:rPr>
        <w:t>,</w:t>
      </w:r>
      <w:r w:rsidRPr="698A65C4">
        <w:rPr>
          <w:rFonts w:ascii="Verdana" w:hAnsi="Verdana"/>
        </w:rPr>
        <w:t xml:space="preserve"> or a relevant public authority has notified the Legacy Commission that the information has been identified as sensitive information. Sensitive information is defined as ‘information which, if disclosed generally, would risk damaging, or would damage, the national security interests of the United Kingdom</w:t>
      </w:r>
      <w:r w:rsidR="003C730F">
        <w:rPr>
          <w:rFonts w:ascii="Verdana" w:hAnsi="Verdana"/>
        </w:rPr>
        <w:t>.</w:t>
      </w:r>
      <w:r w:rsidRPr="698A65C4">
        <w:rPr>
          <w:rFonts w:ascii="Verdana" w:hAnsi="Verdana"/>
        </w:rPr>
        <w:t>’</w:t>
      </w:r>
      <w:r w:rsidR="131D8538" w:rsidRPr="698A65C4">
        <w:rPr>
          <w:rFonts w:ascii="Verdana" w:hAnsi="Verdana"/>
        </w:rPr>
        <w:t xml:space="preserve"> Schedule 5 </w:t>
      </w:r>
      <w:r w:rsidR="00843727">
        <w:rPr>
          <w:rFonts w:ascii="Verdana" w:hAnsi="Verdana"/>
        </w:rPr>
        <w:t xml:space="preserve">to the Bill </w:t>
      </w:r>
      <w:r w:rsidR="131D8538" w:rsidRPr="698A65C4">
        <w:rPr>
          <w:rFonts w:ascii="Verdana" w:hAnsi="Verdana"/>
        </w:rPr>
        <w:t xml:space="preserve">sets out arrangements for a decision of the Secretary of State </w:t>
      </w:r>
      <w:r w:rsidR="2EC27E73" w:rsidRPr="698A65C4">
        <w:rPr>
          <w:rFonts w:ascii="Verdana" w:hAnsi="Verdana"/>
        </w:rPr>
        <w:t xml:space="preserve">NI relating to the disclosure of sensitive information to be appealed. </w:t>
      </w:r>
      <w:r w:rsidR="1073F545" w:rsidRPr="698A65C4">
        <w:rPr>
          <w:rFonts w:ascii="Verdana" w:hAnsi="Verdana"/>
        </w:rPr>
        <w:t>However,</w:t>
      </w:r>
      <w:r w:rsidR="2EC27E73" w:rsidRPr="698A65C4">
        <w:rPr>
          <w:rFonts w:ascii="Verdana" w:hAnsi="Verdana"/>
        </w:rPr>
        <w:t xml:space="preserve"> </w:t>
      </w:r>
      <w:r w:rsidR="60172BE7" w:rsidRPr="698A65C4">
        <w:rPr>
          <w:rFonts w:ascii="Verdana" w:hAnsi="Verdana"/>
        </w:rPr>
        <w:t xml:space="preserve">it is not clear from the Bill </w:t>
      </w:r>
      <w:r w:rsidR="0D9CD80B" w:rsidRPr="698A65C4">
        <w:rPr>
          <w:rFonts w:ascii="Verdana" w:hAnsi="Verdana"/>
        </w:rPr>
        <w:t xml:space="preserve">how a decision of the Legacy Commission to designate information as sensitive information may be challenged. In </w:t>
      </w:r>
      <w:r w:rsidR="7F91C586" w:rsidRPr="698A65C4">
        <w:rPr>
          <w:rFonts w:ascii="Verdana" w:hAnsi="Verdana"/>
        </w:rPr>
        <w:t>addition,</w:t>
      </w:r>
      <w:r w:rsidR="0D9CD80B" w:rsidRPr="698A65C4">
        <w:rPr>
          <w:rFonts w:ascii="Verdana" w:hAnsi="Verdana"/>
        </w:rPr>
        <w:t xml:space="preserve"> it is unclear how a victim</w:t>
      </w:r>
      <w:r w:rsidR="00C511FC">
        <w:rPr>
          <w:rFonts w:ascii="Verdana" w:hAnsi="Verdana"/>
        </w:rPr>
        <w:t>,</w:t>
      </w:r>
      <w:r w:rsidR="0D9CD80B" w:rsidRPr="698A65C4">
        <w:rPr>
          <w:rFonts w:ascii="Verdana" w:hAnsi="Verdana"/>
        </w:rPr>
        <w:t xml:space="preserve"> or the family of a victim</w:t>
      </w:r>
      <w:r w:rsidR="00C511FC">
        <w:rPr>
          <w:rFonts w:ascii="Verdana" w:hAnsi="Verdana"/>
        </w:rPr>
        <w:t>,</w:t>
      </w:r>
      <w:r w:rsidR="0D9CD80B" w:rsidRPr="698A65C4">
        <w:rPr>
          <w:rFonts w:ascii="Verdana" w:hAnsi="Verdana"/>
        </w:rPr>
        <w:t xml:space="preserve"> will be informed about the decision not to disclose sensitive information.</w:t>
      </w:r>
    </w:p>
    <w:p w14:paraId="017C1C7D" w14:textId="47590323" w:rsidR="00165990" w:rsidRPr="003877DD" w:rsidRDefault="00B43FFD" w:rsidP="3FAC11EB">
      <w:pPr>
        <w:ind w:left="360"/>
        <w:rPr>
          <w:rFonts w:ascii="Verdana" w:hAnsi="Verdana"/>
        </w:rPr>
      </w:pPr>
      <w:r w:rsidRPr="003877DD">
        <w:rPr>
          <w:rFonts w:ascii="Verdana" w:hAnsi="Verdana"/>
        </w:rPr>
        <w:t xml:space="preserve">The Committee will be familiar with </w:t>
      </w:r>
      <w:proofErr w:type="gramStart"/>
      <w:r w:rsidRPr="003877DD">
        <w:rPr>
          <w:rFonts w:ascii="Verdana" w:hAnsi="Verdana"/>
        </w:rPr>
        <w:t>a number of</w:t>
      </w:r>
      <w:proofErr w:type="gramEnd"/>
      <w:r w:rsidRPr="003877DD">
        <w:rPr>
          <w:rFonts w:ascii="Verdana" w:hAnsi="Verdana"/>
        </w:rPr>
        <w:t xml:space="preserve"> legal challenges</w:t>
      </w:r>
      <w:r w:rsidR="43B74250" w:rsidRPr="003877DD">
        <w:rPr>
          <w:rFonts w:ascii="Verdana" w:hAnsi="Verdana"/>
        </w:rPr>
        <w:t xml:space="preserve"> relating to</w:t>
      </w:r>
      <w:r w:rsidRPr="003877DD">
        <w:rPr>
          <w:rFonts w:ascii="Verdana" w:hAnsi="Verdana"/>
        </w:rPr>
        <w:t xml:space="preserve"> the disclosure of sensitive information </w:t>
      </w:r>
      <w:r w:rsidR="344A96AF" w:rsidRPr="003877DD">
        <w:rPr>
          <w:rFonts w:ascii="Verdana" w:hAnsi="Verdana"/>
        </w:rPr>
        <w:t>on</w:t>
      </w:r>
      <w:r w:rsidRPr="003877DD">
        <w:rPr>
          <w:rFonts w:ascii="Verdana" w:hAnsi="Verdana"/>
        </w:rPr>
        <w:t xml:space="preserve"> investigations into conflict related deaths. </w:t>
      </w:r>
    </w:p>
    <w:p w14:paraId="46D19A9C" w14:textId="1F12B433" w:rsidR="00165990" w:rsidRPr="003877DD" w:rsidRDefault="00B43FFD">
      <w:pPr>
        <w:ind w:left="360"/>
        <w:rPr>
          <w:rFonts w:ascii="Verdana" w:hAnsi="Verdana"/>
          <w:b/>
          <w:bCs/>
        </w:rPr>
      </w:pPr>
      <w:r w:rsidRPr="003877DD">
        <w:rPr>
          <w:rFonts w:ascii="Verdana" w:hAnsi="Verdana"/>
          <w:b/>
          <w:bCs/>
        </w:rPr>
        <w:t xml:space="preserve">The Committee </w:t>
      </w:r>
      <w:r w:rsidR="542EDB38" w:rsidRPr="003877DD">
        <w:rPr>
          <w:rFonts w:ascii="Verdana" w:hAnsi="Verdana"/>
          <w:b/>
          <w:bCs/>
        </w:rPr>
        <w:t xml:space="preserve">may wish to </w:t>
      </w:r>
      <w:r w:rsidRPr="003877DD">
        <w:rPr>
          <w:rFonts w:ascii="Verdana" w:hAnsi="Verdana"/>
          <w:b/>
          <w:bCs/>
        </w:rPr>
        <w:t xml:space="preserve">explore how a victim </w:t>
      </w:r>
      <w:r w:rsidR="06E972C4" w:rsidRPr="003877DD">
        <w:rPr>
          <w:rFonts w:ascii="Verdana" w:hAnsi="Verdana"/>
          <w:b/>
          <w:bCs/>
        </w:rPr>
        <w:t>or</w:t>
      </w:r>
      <w:r w:rsidRPr="003877DD">
        <w:rPr>
          <w:rFonts w:ascii="Verdana" w:hAnsi="Verdana"/>
          <w:b/>
          <w:bCs/>
        </w:rPr>
        <w:t xml:space="preserve"> their family may challenge a decision by the Legacy Commission to identify information as sensitive information. </w:t>
      </w:r>
    </w:p>
    <w:p w14:paraId="46D19AA9" w14:textId="3428CCD8" w:rsidR="00165990" w:rsidRPr="003877DD" w:rsidRDefault="00B43FFD" w:rsidP="00B12BE1">
      <w:pPr>
        <w:spacing w:before="240" w:after="240"/>
        <w:ind w:left="357"/>
        <w:rPr>
          <w:rFonts w:ascii="Verdana" w:hAnsi="Verdana"/>
          <w:b/>
          <w:bCs/>
          <w:u w:val="single"/>
        </w:rPr>
      </w:pPr>
      <w:r w:rsidRPr="698A65C4">
        <w:rPr>
          <w:rFonts w:ascii="Verdana" w:hAnsi="Verdana"/>
          <w:b/>
          <w:bCs/>
          <w:u w:val="single"/>
        </w:rPr>
        <w:t>Clause 21</w:t>
      </w:r>
      <w:r w:rsidR="00C511FC">
        <w:rPr>
          <w:rFonts w:ascii="Verdana" w:hAnsi="Verdana"/>
          <w:b/>
          <w:bCs/>
          <w:u w:val="single"/>
        </w:rPr>
        <w:t>:</w:t>
      </w:r>
      <w:r w:rsidRPr="698A65C4">
        <w:rPr>
          <w:rFonts w:ascii="Verdana" w:hAnsi="Verdana"/>
          <w:b/>
          <w:bCs/>
          <w:u w:val="single"/>
        </w:rPr>
        <w:t xml:space="preserve"> Regulations about the holding and handling of information </w:t>
      </w:r>
    </w:p>
    <w:p w14:paraId="73152FD9" w14:textId="41A09990" w:rsidR="007C2DA0" w:rsidRDefault="00B43FFD">
      <w:pPr>
        <w:spacing w:after="240" w:line="288" w:lineRule="auto"/>
        <w:ind w:left="360"/>
        <w:rPr>
          <w:rFonts w:ascii="Verdana" w:hAnsi="Verdana"/>
        </w:rPr>
      </w:pPr>
      <w:r w:rsidRPr="698A65C4">
        <w:rPr>
          <w:rFonts w:ascii="Verdana" w:hAnsi="Verdana"/>
        </w:rPr>
        <w:t>Clause 21 provides that the Secretary of State may b</w:t>
      </w:r>
      <w:r w:rsidR="2EEE6950" w:rsidRPr="698A65C4">
        <w:rPr>
          <w:rFonts w:ascii="Verdana" w:hAnsi="Verdana"/>
        </w:rPr>
        <w:t>y</w:t>
      </w:r>
      <w:r w:rsidRPr="698A65C4">
        <w:rPr>
          <w:rFonts w:ascii="Verdana" w:hAnsi="Verdana"/>
        </w:rPr>
        <w:t xml:space="preserve"> regulations make provision about the holding and handling of information by the Legacy Commission. The </w:t>
      </w:r>
      <w:r w:rsidR="00CF5F12">
        <w:rPr>
          <w:rFonts w:ascii="Verdana" w:hAnsi="Verdana"/>
        </w:rPr>
        <w:t>R</w:t>
      </w:r>
      <w:r w:rsidRPr="698A65C4">
        <w:rPr>
          <w:rFonts w:ascii="Verdana" w:hAnsi="Verdana"/>
        </w:rPr>
        <w:t xml:space="preserve">egulations will make extensive provisions relating to the holding and handling of information. It is proposed that the </w:t>
      </w:r>
      <w:r w:rsidR="759BED64" w:rsidRPr="698A65C4">
        <w:rPr>
          <w:rFonts w:ascii="Verdana" w:hAnsi="Verdana"/>
        </w:rPr>
        <w:t>R</w:t>
      </w:r>
      <w:r w:rsidRPr="698A65C4">
        <w:rPr>
          <w:rFonts w:ascii="Verdana" w:hAnsi="Verdana"/>
        </w:rPr>
        <w:t xml:space="preserve">egulations are subject to the negative procedure. </w:t>
      </w:r>
    </w:p>
    <w:p w14:paraId="1C6C5E5D" w14:textId="4F03B652" w:rsidR="007C2DA0" w:rsidRDefault="00B43FFD" w:rsidP="00A26F49">
      <w:pPr>
        <w:spacing w:after="240" w:line="288" w:lineRule="auto"/>
        <w:ind w:left="360"/>
        <w:rPr>
          <w:rFonts w:ascii="Verdana" w:hAnsi="Verdana"/>
        </w:rPr>
      </w:pPr>
      <w:r w:rsidRPr="003877DD">
        <w:rPr>
          <w:rFonts w:ascii="Verdana" w:hAnsi="Verdana"/>
        </w:rPr>
        <w:lastRenderedPageBreak/>
        <w:t>Given that Regulations to be made under Clause 21 of the Bill may address matters such as notifications about</w:t>
      </w:r>
      <w:r w:rsidR="00147164">
        <w:rPr>
          <w:rFonts w:ascii="Verdana" w:hAnsi="Verdana"/>
        </w:rPr>
        <w:t xml:space="preserve"> information held and the</w:t>
      </w:r>
      <w:r w:rsidRPr="003877DD">
        <w:rPr>
          <w:rFonts w:ascii="Verdana" w:hAnsi="Verdana"/>
        </w:rPr>
        <w:t xml:space="preserve"> </w:t>
      </w:r>
      <w:r w:rsidR="007C7E83">
        <w:rPr>
          <w:rFonts w:ascii="Verdana" w:hAnsi="Verdana"/>
        </w:rPr>
        <w:t xml:space="preserve">destruction </w:t>
      </w:r>
      <w:r w:rsidRPr="003877DD">
        <w:rPr>
          <w:rFonts w:ascii="Verdana" w:hAnsi="Verdana"/>
        </w:rPr>
        <w:t xml:space="preserve">and transfer of information, their content will be important in considering compliance with Windsor Framework Article 2. </w:t>
      </w:r>
      <w:r w:rsidR="094D6D9E" w:rsidRPr="00A26F49">
        <w:rPr>
          <w:rFonts w:ascii="Verdana" w:hAnsi="Verdana"/>
        </w:rPr>
        <w:t>Windsor Framework Article 2 is a UK Government commitment to ensure certain rights and safeguards will not be reduced in NI because of Brexit.</w:t>
      </w:r>
      <w:r w:rsidR="5C32E00E">
        <w:rPr>
          <w:rFonts w:ascii="Verdana" w:hAnsi="Verdana"/>
        </w:rPr>
        <w:t xml:space="preserve"> </w:t>
      </w:r>
      <w:r w:rsidR="094D6D9E" w:rsidRPr="00A26F49">
        <w:rPr>
          <w:rFonts w:ascii="Verdana" w:hAnsi="Verdana"/>
        </w:rPr>
        <w:t xml:space="preserve">The NI Court of Appeal has found that </w:t>
      </w:r>
      <w:r w:rsidR="5C32E00E" w:rsidRPr="00A26F49">
        <w:rPr>
          <w:rFonts w:ascii="Verdana" w:hAnsi="Verdana"/>
        </w:rPr>
        <w:t>by virtue of Windsor Framework Article 2</w:t>
      </w:r>
      <w:r w:rsidR="7A1A145B">
        <w:rPr>
          <w:rFonts w:ascii="Verdana" w:hAnsi="Verdana"/>
        </w:rPr>
        <w:t xml:space="preserve">, </w:t>
      </w:r>
      <w:r w:rsidR="094D6D9E" w:rsidRPr="00A26F49">
        <w:rPr>
          <w:rFonts w:ascii="Verdana" w:hAnsi="Verdana"/>
        </w:rPr>
        <w:t>the EU Victims</w:t>
      </w:r>
      <w:r w:rsidR="00C82140">
        <w:rPr>
          <w:rFonts w:ascii="Verdana" w:hAnsi="Verdana"/>
        </w:rPr>
        <w:t>’</w:t>
      </w:r>
      <w:r w:rsidR="094D6D9E" w:rsidRPr="00A26F49">
        <w:rPr>
          <w:rFonts w:ascii="Verdana" w:hAnsi="Verdana"/>
        </w:rPr>
        <w:t xml:space="preserve"> Directive</w:t>
      </w:r>
      <w:r w:rsidR="00E11450">
        <w:rPr>
          <w:rStyle w:val="FootnoteReference"/>
          <w:rFonts w:ascii="Verdana" w:hAnsi="Verdana"/>
        </w:rPr>
        <w:footnoteReference w:id="3"/>
      </w:r>
      <w:r w:rsidR="094D6D9E" w:rsidRPr="00A26F49">
        <w:rPr>
          <w:rFonts w:ascii="Verdana" w:hAnsi="Verdana"/>
        </w:rPr>
        <w:t xml:space="preserve"> continues to set minimum standards in NI.</w:t>
      </w:r>
      <w:r w:rsidR="00CB499F">
        <w:rPr>
          <w:rStyle w:val="FootnoteReference"/>
          <w:rFonts w:ascii="Verdana" w:hAnsi="Verdana"/>
        </w:rPr>
        <w:footnoteReference w:id="4"/>
      </w:r>
      <w:r w:rsidR="094D6D9E" w:rsidRPr="00A26F49">
        <w:rPr>
          <w:rFonts w:ascii="Verdana" w:hAnsi="Verdana"/>
        </w:rPr>
        <w:t xml:space="preserve"> </w:t>
      </w:r>
      <w:r w:rsidR="0B046B0A">
        <w:rPr>
          <w:rFonts w:ascii="Verdana" w:hAnsi="Verdana"/>
        </w:rPr>
        <w:t xml:space="preserve">As </w:t>
      </w:r>
      <w:r w:rsidR="4DDD42A7">
        <w:rPr>
          <w:rFonts w:ascii="Verdana" w:hAnsi="Verdana"/>
        </w:rPr>
        <w:t xml:space="preserve">outlined in our </w:t>
      </w:r>
      <w:r w:rsidR="4B84F0F9">
        <w:rPr>
          <w:rFonts w:ascii="Verdana" w:hAnsi="Verdana"/>
        </w:rPr>
        <w:t xml:space="preserve">main </w:t>
      </w:r>
      <w:r w:rsidR="4DDD42A7">
        <w:rPr>
          <w:rFonts w:ascii="Verdana" w:hAnsi="Verdana"/>
        </w:rPr>
        <w:t xml:space="preserve">submission at paragraph 2.18, </w:t>
      </w:r>
      <w:r w:rsidR="4DDD42A7" w:rsidRPr="001407C3">
        <w:rPr>
          <w:rFonts w:ascii="Verdana" w:hAnsi="Verdana"/>
        </w:rPr>
        <w:t>the EU Victims</w:t>
      </w:r>
      <w:r w:rsidR="00CF5F12">
        <w:rPr>
          <w:rFonts w:ascii="Verdana" w:hAnsi="Verdana"/>
        </w:rPr>
        <w:t>’</w:t>
      </w:r>
      <w:r w:rsidR="4DDD42A7" w:rsidRPr="001407C3">
        <w:rPr>
          <w:rFonts w:ascii="Verdana" w:hAnsi="Verdana"/>
        </w:rPr>
        <w:t xml:space="preserve"> Directive </w:t>
      </w:r>
      <w:r w:rsidR="052D5DFC">
        <w:rPr>
          <w:rFonts w:ascii="Verdana" w:hAnsi="Verdana"/>
        </w:rPr>
        <w:t>provides for rights</w:t>
      </w:r>
      <w:r w:rsidR="4DDD42A7" w:rsidRPr="001407C3">
        <w:rPr>
          <w:rFonts w:ascii="Verdana" w:hAnsi="Verdana"/>
        </w:rPr>
        <w:t xml:space="preserve"> </w:t>
      </w:r>
      <w:r w:rsidR="73A1DC4F">
        <w:rPr>
          <w:rFonts w:ascii="Verdana" w:hAnsi="Verdana"/>
        </w:rPr>
        <w:t xml:space="preserve">of </w:t>
      </w:r>
      <w:r w:rsidR="4DDD42A7" w:rsidRPr="001407C3">
        <w:rPr>
          <w:rFonts w:ascii="Verdana" w:hAnsi="Verdana"/>
        </w:rPr>
        <w:t xml:space="preserve">victims of crime and their family members, </w:t>
      </w:r>
      <w:r w:rsidR="052D5DFC">
        <w:rPr>
          <w:rFonts w:ascii="Verdana" w:hAnsi="Verdana"/>
        </w:rPr>
        <w:t>including right</w:t>
      </w:r>
      <w:r w:rsidR="73A1DC4F">
        <w:rPr>
          <w:rFonts w:ascii="Verdana" w:hAnsi="Verdana"/>
        </w:rPr>
        <w:t>s</w:t>
      </w:r>
      <w:r w:rsidR="052D5DFC">
        <w:rPr>
          <w:rFonts w:ascii="Verdana" w:hAnsi="Verdana"/>
        </w:rPr>
        <w:t xml:space="preserve"> to </w:t>
      </w:r>
      <w:r w:rsidR="4DDD42A7" w:rsidRPr="001407C3">
        <w:rPr>
          <w:rFonts w:ascii="Verdana" w:hAnsi="Verdana"/>
        </w:rPr>
        <w:t>information</w:t>
      </w:r>
      <w:r w:rsidR="7E84239C">
        <w:rPr>
          <w:rFonts w:ascii="Verdana" w:hAnsi="Verdana"/>
        </w:rPr>
        <w:t xml:space="preserve"> under Articles 1, 4 and 6</w:t>
      </w:r>
      <w:r w:rsidR="4DDD42A7" w:rsidRPr="001407C3">
        <w:rPr>
          <w:rFonts w:ascii="Verdana" w:hAnsi="Verdana"/>
        </w:rPr>
        <w:t>.</w:t>
      </w:r>
      <w:r w:rsidR="094D6D9E" w:rsidRPr="00A26F49">
        <w:rPr>
          <w:rFonts w:ascii="Verdana" w:hAnsi="Verdana"/>
        </w:rPr>
        <w:t xml:space="preserve"> </w:t>
      </w:r>
    </w:p>
    <w:p w14:paraId="46D19AAE" w14:textId="523D9D9B" w:rsidR="00165990" w:rsidRPr="003877DD" w:rsidRDefault="00B43FFD">
      <w:pPr>
        <w:spacing w:after="240" w:line="288" w:lineRule="auto"/>
        <w:ind w:left="360"/>
        <w:rPr>
          <w:rFonts w:ascii="Verdana" w:hAnsi="Verdana"/>
        </w:rPr>
      </w:pPr>
      <w:r w:rsidRPr="003877DD">
        <w:rPr>
          <w:rFonts w:ascii="Verdana" w:hAnsi="Verdana"/>
        </w:rPr>
        <w:t xml:space="preserve">The Commission considers that it would provide a more effective safeguard if the </w:t>
      </w:r>
      <w:r w:rsidR="00CF5F12">
        <w:rPr>
          <w:rFonts w:ascii="Verdana" w:hAnsi="Verdana"/>
        </w:rPr>
        <w:t>R</w:t>
      </w:r>
      <w:r w:rsidRPr="003877DD">
        <w:rPr>
          <w:rFonts w:ascii="Verdana" w:hAnsi="Verdana"/>
        </w:rPr>
        <w:t>egulations were subject to the affirmative procedure.</w:t>
      </w:r>
    </w:p>
    <w:p w14:paraId="113651B8" w14:textId="33464962" w:rsidR="00EC66B6" w:rsidRDefault="00B43FFD">
      <w:pPr>
        <w:spacing w:after="240" w:line="288" w:lineRule="auto"/>
        <w:ind w:left="360"/>
        <w:rPr>
          <w:rFonts w:ascii="Verdana" w:hAnsi="Verdana"/>
          <w:b/>
          <w:bCs/>
        </w:rPr>
      </w:pPr>
      <w:r w:rsidRPr="698A65C4">
        <w:rPr>
          <w:rFonts w:ascii="Verdana" w:hAnsi="Verdana"/>
          <w:b/>
          <w:bCs/>
        </w:rPr>
        <w:t xml:space="preserve">The Commission recommends that clause 21 </w:t>
      </w:r>
      <w:r w:rsidR="005413A4">
        <w:rPr>
          <w:rFonts w:ascii="Verdana" w:hAnsi="Verdana"/>
          <w:b/>
          <w:bCs/>
        </w:rPr>
        <w:t>be</w:t>
      </w:r>
      <w:r w:rsidRPr="698A65C4">
        <w:rPr>
          <w:rFonts w:ascii="Verdana" w:hAnsi="Verdana"/>
          <w:b/>
          <w:bCs/>
        </w:rPr>
        <w:t xml:space="preserve"> amended to provide that the </w:t>
      </w:r>
      <w:r w:rsidR="00AB4A12">
        <w:rPr>
          <w:rFonts w:ascii="Verdana" w:hAnsi="Verdana"/>
          <w:b/>
          <w:bCs/>
        </w:rPr>
        <w:t>R</w:t>
      </w:r>
      <w:r w:rsidRPr="698A65C4">
        <w:rPr>
          <w:rFonts w:ascii="Verdana" w:hAnsi="Verdana"/>
          <w:b/>
          <w:bCs/>
        </w:rPr>
        <w:t>egulations about the holding and handling of information by the Legacy Commission are subject to the affirmative procedure</w:t>
      </w:r>
      <w:r w:rsidR="00EC66B6" w:rsidRPr="698A65C4">
        <w:rPr>
          <w:rFonts w:ascii="Verdana" w:hAnsi="Verdana"/>
          <w:b/>
          <w:bCs/>
        </w:rPr>
        <w:t>.</w:t>
      </w:r>
    </w:p>
    <w:p w14:paraId="46D19AB0" w14:textId="2057C780" w:rsidR="00165990" w:rsidRPr="003877DD" w:rsidRDefault="00EC66B6" w:rsidP="00234A01">
      <w:pPr>
        <w:spacing w:after="240" w:line="288" w:lineRule="auto"/>
        <w:ind w:left="360"/>
        <w:rPr>
          <w:rFonts w:ascii="Verdana" w:hAnsi="Verdana"/>
          <w:b/>
          <w:bCs/>
        </w:rPr>
      </w:pPr>
      <w:r w:rsidRPr="698A65C4">
        <w:rPr>
          <w:rFonts w:ascii="Verdana" w:hAnsi="Verdana"/>
          <w:b/>
          <w:bCs/>
        </w:rPr>
        <w:t>The Commission recommends that Regulations made under Clause 21</w:t>
      </w:r>
      <w:r w:rsidR="004A5C4C" w:rsidRPr="698A65C4">
        <w:rPr>
          <w:rFonts w:ascii="Verdana" w:hAnsi="Verdana"/>
          <w:b/>
          <w:bCs/>
        </w:rPr>
        <w:t xml:space="preserve"> be sc</w:t>
      </w:r>
      <w:r w:rsidR="00234A01" w:rsidRPr="698A65C4">
        <w:rPr>
          <w:rFonts w:ascii="Verdana" w:hAnsi="Verdana"/>
          <w:b/>
          <w:bCs/>
        </w:rPr>
        <w:t>rutinised</w:t>
      </w:r>
      <w:r w:rsidR="00B43FFD" w:rsidRPr="698A65C4">
        <w:rPr>
          <w:rFonts w:ascii="Verdana" w:hAnsi="Verdana"/>
          <w:b/>
          <w:bCs/>
        </w:rPr>
        <w:t xml:space="preserve"> to ensure victims and family members are provided with all information required under the EU Victims Directive</w:t>
      </w:r>
      <w:r w:rsidR="00234A01" w:rsidRPr="698A65C4">
        <w:rPr>
          <w:rFonts w:ascii="Verdana" w:hAnsi="Verdana"/>
          <w:b/>
          <w:bCs/>
        </w:rPr>
        <w:t>, particularly under Articles 1, 4 and 6</w:t>
      </w:r>
      <w:r w:rsidR="00B43FFD" w:rsidRPr="698A65C4">
        <w:rPr>
          <w:rFonts w:ascii="Verdana" w:hAnsi="Verdana"/>
          <w:b/>
          <w:bCs/>
        </w:rPr>
        <w:t xml:space="preserve">. </w:t>
      </w:r>
    </w:p>
    <w:p w14:paraId="46D19AB1" w14:textId="3F0EEB28" w:rsidR="00165990" w:rsidRPr="003877DD" w:rsidRDefault="00B43FFD" w:rsidP="00B12BE1">
      <w:pPr>
        <w:spacing w:before="240" w:after="240"/>
        <w:ind w:left="357"/>
        <w:rPr>
          <w:rFonts w:ascii="Verdana" w:hAnsi="Verdana"/>
          <w:b/>
          <w:bCs/>
          <w:u w:val="single"/>
        </w:rPr>
      </w:pPr>
      <w:r w:rsidRPr="003877DD">
        <w:rPr>
          <w:rFonts w:ascii="Verdana" w:hAnsi="Verdana"/>
          <w:b/>
          <w:bCs/>
          <w:u w:val="single"/>
        </w:rPr>
        <w:t>Clause 24</w:t>
      </w:r>
      <w:r w:rsidR="005A6DA3">
        <w:rPr>
          <w:rFonts w:ascii="Verdana" w:hAnsi="Verdana"/>
          <w:b/>
          <w:bCs/>
          <w:u w:val="single"/>
        </w:rPr>
        <w:t>:</w:t>
      </w:r>
      <w:r w:rsidRPr="003877DD">
        <w:rPr>
          <w:rFonts w:ascii="Verdana" w:hAnsi="Verdana"/>
          <w:b/>
          <w:bCs/>
          <w:u w:val="single"/>
        </w:rPr>
        <w:t xml:space="preserve"> Independent Reports on the Legacy Commission’s performance</w:t>
      </w:r>
      <w:r w:rsidR="00542026">
        <w:rPr>
          <w:rFonts w:ascii="Verdana" w:hAnsi="Verdana"/>
          <w:b/>
          <w:bCs/>
          <w:u w:val="single"/>
        </w:rPr>
        <w:t xml:space="preserve"> of its functions</w:t>
      </w:r>
    </w:p>
    <w:p w14:paraId="46D19AB2" w14:textId="77777777" w:rsidR="00165990" w:rsidRPr="003877DD" w:rsidRDefault="00B43FFD">
      <w:pPr>
        <w:ind w:left="360"/>
        <w:rPr>
          <w:rFonts w:ascii="Verdana" w:hAnsi="Verdana"/>
        </w:rPr>
      </w:pPr>
      <w:r w:rsidRPr="003877DD">
        <w:rPr>
          <w:rFonts w:ascii="Verdana" w:hAnsi="Verdana"/>
        </w:rPr>
        <w:t xml:space="preserve">Clause 24 makes provision for the appointment of an independent person to carry out a review of the performance of Legacy Commission functions. The Commission considers that it would be appropriate for the independent person to be required to consider efforts by the Legacy Commission to ensure compliance with its human rights obligations. </w:t>
      </w:r>
    </w:p>
    <w:p w14:paraId="46D19AB3" w14:textId="77777777" w:rsidR="00234A01" w:rsidRPr="003877DD" w:rsidRDefault="00B43FFD" w:rsidP="00234A01">
      <w:pPr>
        <w:ind w:left="360"/>
        <w:rPr>
          <w:rFonts w:ascii="Verdana" w:hAnsi="Verdana"/>
          <w:b/>
          <w:bCs/>
        </w:rPr>
      </w:pPr>
      <w:r w:rsidRPr="003877DD">
        <w:rPr>
          <w:rFonts w:ascii="Verdana" w:hAnsi="Verdana"/>
          <w:b/>
          <w:bCs/>
        </w:rPr>
        <w:t xml:space="preserve">The Committee may wish to explore the inclusion of an express reference to human rights within clause 24. </w:t>
      </w:r>
    </w:p>
    <w:p w14:paraId="46D19AB4" w14:textId="1B4C5795" w:rsidR="00165990" w:rsidRPr="003877DD" w:rsidRDefault="00B43FFD" w:rsidP="00B12BE1">
      <w:pPr>
        <w:spacing w:before="240" w:after="240"/>
        <w:ind w:left="357"/>
        <w:rPr>
          <w:rFonts w:ascii="Verdana" w:hAnsi="Verdana"/>
          <w:b/>
          <w:bCs/>
          <w:u w:val="single"/>
        </w:rPr>
      </w:pPr>
      <w:bookmarkStart w:id="0" w:name="_Hlk211872537"/>
      <w:r w:rsidRPr="003877DD">
        <w:rPr>
          <w:rFonts w:ascii="Verdana" w:hAnsi="Verdana"/>
          <w:b/>
          <w:bCs/>
          <w:u w:val="single"/>
        </w:rPr>
        <w:lastRenderedPageBreak/>
        <w:t>Clause 25</w:t>
      </w:r>
      <w:r w:rsidR="00E96870">
        <w:rPr>
          <w:rFonts w:ascii="Verdana" w:hAnsi="Verdana"/>
          <w:b/>
          <w:bCs/>
          <w:u w:val="single"/>
        </w:rPr>
        <w:t>:</w:t>
      </w:r>
      <w:r w:rsidRPr="003877DD">
        <w:rPr>
          <w:rFonts w:ascii="Verdana" w:hAnsi="Verdana"/>
          <w:b/>
          <w:bCs/>
          <w:u w:val="single"/>
        </w:rPr>
        <w:t xml:space="preserve"> Conclusion of the Legacy Commission</w:t>
      </w:r>
      <w:r w:rsidR="00E96870">
        <w:rPr>
          <w:rFonts w:ascii="Verdana" w:hAnsi="Verdana"/>
          <w:b/>
          <w:bCs/>
          <w:u w:val="single"/>
        </w:rPr>
        <w:t>’s work</w:t>
      </w:r>
    </w:p>
    <w:p w14:paraId="46D19AB5" w14:textId="3D50E9B6" w:rsidR="00165990" w:rsidRPr="003877DD" w:rsidRDefault="00B43FFD">
      <w:pPr>
        <w:ind w:left="360"/>
        <w:rPr>
          <w:rFonts w:ascii="Verdana" w:hAnsi="Verdana"/>
        </w:rPr>
      </w:pPr>
      <w:r w:rsidRPr="003877DD">
        <w:rPr>
          <w:rFonts w:ascii="Verdana" w:hAnsi="Verdana"/>
        </w:rPr>
        <w:t>The Commission has raised concerns regarding the power of the Secretary of State</w:t>
      </w:r>
      <w:r w:rsidR="00045E5C">
        <w:rPr>
          <w:rFonts w:ascii="Verdana" w:hAnsi="Verdana"/>
        </w:rPr>
        <w:t xml:space="preserve"> for</w:t>
      </w:r>
      <w:r w:rsidRPr="003877DD">
        <w:rPr>
          <w:rFonts w:ascii="Verdana" w:hAnsi="Verdana"/>
        </w:rPr>
        <w:t xml:space="preserve"> NI to wind up the Legacy Commission (</w:t>
      </w:r>
      <w:r w:rsidR="00045E5C">
        <w:rPr>
          <w:rFonts w:ascii="Verdana" w:hAnsi="Verdana"/>
        </w:rPr>
        <w:t>s</w:t>
      </w:r>
      <w:r w:rsidRPr="003877DD">
        <w:rPr>
          <w:rFonts w:ascii="Verdana" w:hAnsi="Verdana"/>
        </w:rPr>
        <w:t>ee paras 2.46 – 2.50). Clause 25 provides that the Secretary of State</w:t>
      </w:r>
      <w:r w:rsidR="00167631">
        <w:rPr>
          <w:rFonts w:ascii="Verdana" w:hAnsi="Verdana"/>
        </w:rPr>
        <w:t xml:space="preserve"> for</w:t>
      </w:r>
      <w:r w:rsidRPr="003877DD">
        <w:rPr>
          <w:rFonts w:ascii="Verdana" w:hAnsi="Verdana"/>
        </w:rPr>
        <w:t xml:space="preserve"> NI may wind up the Legacy Commission by way of regulations under the affirmative procedure. Under clause 25(6) the Secretary of State </w:t>
      </w:r>
      <w:r w:rsidR="00167631">
        <w:rPr>
          <w:rFonts w:ascii="Verdana" w:hAnsi="Verdana"/>
        </w:rPr>
        <w:t xml:space="preserve">for </w:t>
      </w:r>
      <w:r w:rsidRPr="003877DD">
        <w:rPr>
          <w:rFonts w:ascii="Verdana" w:hAnsi="Verdana"/>
        </w:rPr>
        <w:t>NI must consult with ‘required consultees’ before making regulations to wind up the Legacy Commission. Clause 26(10) provides that ‘require</w:t>
      </w:r>
      <w:r w:rsidR="24FBDA3C" w:rsidRPr="003877DD">
        <w:rPr>
          <w:rFonts w:ascii="Verdana" w:hAnsi="Verdana"/>
        </w:rPr>
        <w:t>d</w:t>
      </w:r>
      <w:r w:rsidRPr="003877DD">
        <w:rPr>
          <w:rFonts w:ascii="Verdana" w:hAnsi="Verdana"/>
        </w:rPr>
        <w:t xml:space="preserve"> consultees’ means the Legacy Commission, and ‘any other persons the Secretary of State considers it appropriate to consult’. The Secretary of State </w:t>
      </w:r>
      <w:r w:rsidR="00E01760">
        <w:rPr>
          <w:rFonts w:ascii="Verdana" w:hAnsi="Verdana"/>
        </w:rPr>
        <w:t xml:space="preserve">for </w:t>
      </w:r>
      <w:r w:rsidRPr="003877DD">
        <w:rPr>
          <w:rFonts w:ascii="Verdana" w:hAnsi="Verdana"/>
        </w:rPr>
        <w:t xml:space="preserve">NI therefore has full discretion in determining who should be consulted when developing regulations to wind up the Legacy Commission. </w:t>
      </w:r>
    </w:p>
    <w:p w14:paraId="46D19AB6" w14:textId="4B201787" w:rsidR="00165990" w:rsidRPr="003877DD" w:rsidRDefault="00B43FFD">
      <w:pPr>
        <w:ind w:left="360"/>
        <w:rPr>
          <w:rFonts w:ascii="Verdana" w:hAnsi="Verdana"/>
        </w:rPr>
      </w:pPr>
      <w:r w:rsidRPr="003877DD">
        <w:rPr>
          <w:rFonts w:ascii="Verdana" w:hAnsi="Verdana"/>
        </w:rPr>
        <w:t xml:space="preserve">The Commission </w:t>
      </w:r>
      <w:r w:rsidR="7D0C5E35" w:rsidRPr="003877DD">
        <w:rPr>
          <w:rFonts w:ascii="Verdana" w:hAnsi="Verdana"/>
        </w:rPr>
        <w:t>appreciates that due to the passage of time it would be impractical to identify relevant consultees at this stage. However</w:t>
      </w:r>
      <w:r w:rsidR="38241A83" w:rsidRPr="003877DD">
        <w:rPr>
          <w:rFonts w:ascii="Verdana" w:hAnsi="Verdana"/>
        </w:rPr>
        <w:t>, to provide some clarity</w:t>
      </w:r>
      <w:r w:rsidR="00C30829">
        <w:rPr>
          <w:rFonts w:ascii="Verdana" w:hAnsi="Verdana"/>
        </w:rPr>
        <w:t>,</w:t>
      </w:r>
      <w:r w:rsidR="7D0C5E35" w:rsidRPr="003877DD">
        <w:rPr>
          <w:rFonts w:ascii="Verdana" w:hAnsi="Verdana"/>
        </w:rPr>
        <w:t xml:space="preserve"> the </w:t>
      </w:r>
      <w:r w:rsidR="3EDA906C" w:rsidRPr="003877DD">
        <w:rPr>
          <w:rFonts w:ascii="Verdana" w:hAnsi="Verdana"/>
        </w:rPr>
        <w:t xml:space="preserve">NIO could </w:t>
      </w:r>
      <w:r w:rsidR="2F16A37D" w:rsidRPr="003877DD">
        <w:rPr>
          <w:rFonts w:ascii="Verdana" w:hAnsi="Verdana"/>
        </w:rPr>
        <w:t xml:space="preserve">potentially publish an indicative list of consultees. </w:t>
      </w:r>
      <w:r w:rsidR="3EDA906C" w:rsidRPr="003877DD">
        <w:rPr>
          <w:rFonts w:ascii="Verdana" w:hAnsi="Verdana"/>
        </w:rPr>
        <w:t xml:space="preserve"> </w:t>
      </w:r>
    </w:p>
    <w:p w14:paraId="46D19AB7" w14:textId="0AC432A8" w:rsidR="00165990" w:rsidRPr="003877DD" w:rsidRDefault="00B43FFD">
      <w:pPr>
        <w:ind w:left="360"/>
        <w:rPr>
          <w:rFonts w:ascii="Verdana" w:hAnsi="Verdana"/>
          <w:b/>
          <w:bCs/>
        </w:rPr>
      </w:pPr>
      <w:r w:rsidRPr="003877DD">
        <w:rPr>
          <w:rFonts w:ascii="Verdana" w:hAnsi="Verdana"/>
          <w:b/>
          <w:bCs/>
        </w:rPr>
        <w:t xml:space="preserve">The Commission recommends that the Committee explore with the Northern Ireland Office whether </w:t>
      </w:r>
      <w:r w:rsidR="40DE2F11" w:rsidRPr="003877DD">
        <w:rPr>
          <w:rFonts w:ascii="Verdana" w:hAnsi="Verdana"/>
          <w:b/>
          <w:bCs/>
        </w:rPr>
        <w:t>an indicative list of</w:t>
      </w:r>
      <w:r w:rsidRPr="003877DD">
        <w:rPr>
          <w:rFonts w:ascii="Verdana" w:hAnsi="Verdana"/>
          <w:b/>
          <w:bCs/>
        </w:rPr>
        <w:t xml:space="preserve"> mandatory consultees which the Secretary of State NI must consult before making regulations to wind up the Legacy Commission</w:t>
      </w:r>
      <w:r w:rsidR="50CB525C" w:rsidRPr="003877DD">
        <w:rPr>
          <w:rFonts w:ascii="Verdana" w:hAnsi="Verdana"/>
          <w:b/>
          <w:bCs/>
        </w:rPr>
        <w:t xml:space="preserve"> could be published</w:t>
      </w:r>
      <w:r w:rsidRPr="003877DD">
        <w:rPr>
          <w:rFonts w:ascii="Verdana" w:hAnsi="Verdana"/>
          <w:b/>
          <w:bCs/>
        </w:rPr>
        <w:t xml:space="preserve">. </w:t>
      </w:r>
    </w:p>
    <w:bookmarkEnd w:id="0"/>
    <w:p w14:paraId="46D19AB8" w14:textId="38A44E34" w:rsidR="00165990" w:rsidRPr="003877DD" w:rsidRDefault="00B43FFD">
      <w:pPr>
        <w:ind w:left="360"/>
        <w:rPr>
          <w:rFonts w:ascii="Verdana" w:hAnsi="Verdana"/>
          <w:b/>
          <w:bCs/>
          <w:u w:val="single"/>
        </w:rPr>
      </w:pPr>
      <w:r w:rsidRPr="003877DD">
        <w:rPr>
          <w:rFonts w:ascii="Verdana" w:hAnsi="Verdana"/>
          <w:b/>
          <w:bCs/>
          <w:u w:val="single"/>
        </w:rPr>
        <w:t>Clause 26</w:t>
      </w:r>
      <w:r w:rsidR="009F6DC9">
        <w:rPr>
          <w:rFonts w:ascii="Verdana" w:hAnsi="Verdana"/>
          <w:b/>
          <w:bCs/>
          <w:u w:val="single"/>
        </w:rPr>
        <w:t>:</w:t>
      </w:r>
      <w:r w:rsidR="00736026">
        <w:rPr>
          <w:rFonts w:ascii="Verdana" w:hAnsi="Verdana"/>
          <w:b/>
          <w:bCs/>
          <w:u w:val="single"/>
        </w:rPr>
        <w:t xml:space="preserve"> </w:t>
      </w:r>
      <w:r w:rsidRPr="003877DD">
        <w:rPr>
          <w:rFonts w:ascii="Verdana" w:hAnsi="Verdana"/>
          <w:b/>
          <w:bCs/>
          <w:u w:val="single"/>
        </w:rPr>
        <w:t>Approach to assessing caseload</w:t>
      </w:r>
    </w:p>
    <w:p w14:paraId="46D19AB9" w14:textId="4D384ACE" w:rsidR="00165990" w:rsidRPr="003877DD" w:rsidRDefault="00B43FFD">
      <w:pPr>
        <w:ind w:left="360"/>
        <w:rPr>
          <w:rFonts w:ascii="Verdana" w:hAnsi="Verdana"/>
        </w:rPr>
      </w:pPr>
      <w:r w:rsidRPr="003877DD">
        <w:rPr>
          <w:rFonts w:ascii="Verdana" w:hAnsi="Verdana"/>
        </w:rPr>
        <w:t>The Commission has highlighted the importance of the Legacy Commission having broad discretion to determine its own caseload.  It is noted that clause 26(2) requires the Legacy Commission to publish a statement setting out how it will perform its investigatory functions. Under clause 28(5) the Chief Constable of the PSNI may request that the Legacy Commission carrie</w:t>
      </w:r>
      <w:r w:rsidR="00FF2DE7">
        <w:rPr>
          <w:rFonts w:ascii="Verdana" w:hAnsi="Verdana"/>
        </w:rPr>
        <w:t>s</w:t>
      </w:r>
      <w:r w:rsidRPr="003877DD">
        <w:rPr>
          <w:rFonts w:ascii="Verdana" w:hAnsi="Verdana"/>
        </w:rPr>
        <w:t xml:space="preserve"> out an investigation. The inclusion of this provision provides reassurance. </w:t>
      </w:r>
    </w:p>
    <w:p w14:paraId="46D19ABA" w14:textId="26224AA0" w:rsidR="00165990" w:rsidRPr="003877DD" w:rsidRDefault="00B43FFD">
      <w:pPr>
        <w:ind w:left="360"/>
        <w:rPr>
          <w:rFonts w:ascii="Verdana" w:hAnsi="Verdana"/>
        </w:rPr>
      </w:pPr>
      <w:r w:rsidRPr="003877DD">
        <w:rPr>
          <w:rFonts w:ascii="Verdana" w:hAnsi="Verdana"/>
        </w:rPr>
        <w:t>Clause 32 would empower the Directors of Investigations to initiate an investigation into harmful conduct forming part of the Troubles, where it appears to the Directors that the investigation is necessary for the purposes of ECHR compatibility. Clause 28 provides that “harmful conduct forming part of the Troubles” means conduct forming part of the Troubles that— (a) caused a person’s death, or (b) caused a person to suffer physical or mental harm.</w:t>
      </w:r>
      <w:r w:rsidR="79877DBB" w:rsidRPr="69FBF618">
        <w:rPr>
          <w:rFonts w:ascii="Verdana" w:hAnsi="Verdana"/>
        </w:rPr>
        <w:t xml:space="preserve"> </w:t>
      </w:r>
      <w:r w:rsidR="79877DBB" w:rsidRPr="130CA74B">
        <w:rPr>
          <w:rFonts w:ascii="Verdana" w:hAnsi="Verdana"/>
        </w:rPr>
        <w:t xml:space="preserve">Clause 35 provides that the </w:t>
      </w:r>
      <w:r w:rsidR="79877DBB" w:rsidRPr="16E9058A">
        <w:rPr>
          <w:rFonts w:ascii="Verdana" w:hAnsi="Verdana"/>
        </w:rPr>
        <w:lastRenderedPageBreak/>
        <w:t>D</w:t>
      </w:r>
      <w:r w:rsidR="79877DBB" w:rsidRPr="16E9058A">
        <w:rPr>
          <w:rFonts w:ascii="Verdana" w:eastAsia="Verdana" w:hAnsi="Verdana" w:cs="Verdana"/>
        </w:rPr>
        <w:t>irectors</w:t>
      </w:r>
      <w:r w:rsidR="79877DBB" w:rsidRPr="130CA74B">
        <w:rPr>
          <w:rFonts w:ascii="Verdana" w:eastAsia="Verdana" w:hAnsi="Verdana" w:cs="Verdana"/>
        </w:rPr>
        <w:t xml:space="preserve"> of Investigations acting jointly must determine the order in which investigations are to be carried</w:t>
      </w:r>
      <w:r w:rsidR="79877DBB" w:rsidRPr="16E9058A">
        <w:rPr>
          <w:rFonts w:ascii="Verdana" w:eastAsia="Verdana" w:hAnsi="Verdana" w:cs="Verdana"/>
        </w:rPr>
        <w:t>.</w:t>
      </w:r>
    </w:p>
    <w:p w14:paraId="0D616BC8" w14:textId="77777777" w:rsidR="00377116" w:rsidRDefault="00B43FFD">
      <w:pPr>
        <w:spacing w:after="240" w:line="288" w:lineRule="auto"/>
        <w:ind w:left="360"/>
        <w:rPr>
          <w:rFonts w:ascii="Verdana" w:hAnsi="Verdana"/>
          <w:b/>
          <w:bCs/>
        </w:rPr>
      </w:pPr>
      <w:r w:rsidRPr="003877DD">
        <w:rPr>
          <w:rFonts w:ascii="Verdana" w:hAnsi="Verdana"/>
          <w:b/>
          <w:bCs/>
        </w:rPr>
        <w:t xml:space="preserve">The Commission recommends that once established the Committee explore with the Legacy Commission how investigations and requests will be prioritised. </w:t>
      </w:r>
    </w:p>
    <w:p w14:paraId="46D19ABC" w14:textId="4042D111" w:rsidR="00165990" w:rsidRPr="003877DD" w:rsidRDefault="00377116" w:rsidP="0095301E">
      <w:pPr>
        <w:spacing w:after="240" w:line="288" w:lineRule="auto"/>
        <w:ind w:left="360"/>
        <w:rPr>
          <w:rFonts w:ascii="Verdana" w:hAnsi="Verdana"/>
          <w:b/>
          <w:bCs/>
        </w:rPr>
      </w:pPr>
      <w:r>
        <w:rPr>
          <w:rFonts w:ascii="Verdana" w:hAnsi="Verdana"/>
          <w:b/>
          <w:bCs/>
        </w:rPr>
        <w:t>T</w:t>
      </w:r>
      <w:r w:rsidR="00B43FFD" w:rsidRPr="003877DD">
        <w:rPr>
          <w:rFonts w:ascii="Verdana" w:hAnsi="Verdana"/>
          <w:b/>
          <w:bCs/>
        </w:rPr>
        <w:t xml:space="preserve">he Commission recommends that the statement to be made by the Legacy Commission under Clause 26 should be reviewed for compliance with </w:t>
      </w:r>
      <w:r w:rsidR="0095301E">
        <w:rPr>
          <w:rFonts w:ascii="Verdana" w:hAnsi="Verdana"/>
          <w:b/>
          <w:bCs/>
        </w:rPr>
        <w:t>minimum standards in the EU Victims Directive in relation to information and support to be provided to victims and family members</w:t>
      </w:r>
      <w:r w:rsidR="00B43FFD" w:rsidRPr="003877DD">
        <w:rPr>
          <w:rFonts w:ascii="Verdana" w:hAnsi="Verdana"/>
          <w:b/>
          <w:bCs/>
        </w:rPr>
        <w:t>.</w:t>
      </w:r>
    </w:p>
    <w:p w14:paraId="46D19ABD" w14:textId="0219190E" w:rsidR="00165990" w:rsidRPr="003877DD" w:rsidRDefault="00B43FFD" w:rsidP="00B12BE1">
      <w:pPr>
        <w:spacing w:before="240" w:after="240"/>
        <w:ind w:left="357"/>
        <w:rPr>
          <w:rFonts w:ascii="Verdana" w:hAnsi="Verdana"/>
          <w:b/>
          <w:bCs/>
          <w:u w:val="single"/>
        </w:rPr>
      </w:pPr>
      <w:r w:rsidRPr="003877DD">
        <w:rPr>
          <w:rFonts w:ascii="Verdana" w:hAnsi="Verdana"/>
          <w:b/>
          <w:bCs/>
          <w:u w:val="single"/>
        </w:rPr>
        <w:t>Clause 27</w:t>
      </w:r>
      <w:r w:rsidR="00393419">
        <w:rPr>
          <w:rFonts w:ascii="Verdana" w:hAnsi="Verdana"/>
          <w:b/>
          <w:bCs/>
          <w:u w:val="single"/>
        </w:rPr>
        <w:t>:</w:t>
      </w:r>
      <w:r w:rsidRPr="003877DD">
        <w:rPr>
          <w:rFonts w:ascii="Verdana" w:hAnsi="Verdana"/>
          <w:b/>
          <w:bCs/>
          <w:u w:val="single"/>
        </w:rPr>
        <w:t xml:space="preserve"> Request for an investigation by a close family member </w:t>
      </w:r>
      <w:r w:rsidR="474EBD9E" w:rsidRPr="003877DD">
        <w:rPr>
          <w:rFonts w:ascii="Verdana" w:hAnsi="Verdana"/>
          <w:b/>
          <w:bCs/>
          <w:u w:val="single"/>
        </w:rPr>
        <w:t>&amp; Clause 93</w:t>
      </w:r>
      <w:r w:rsidR="00393419">
        <w:rPr>
          <w:rFonts w:ascii="Verdana" w:hAnsi="Verdana"/>
          <w:b/>
          <w:bCs/>
          <w:u w:val="single"/>
        </w:rPr>
        <w:t>: Meaning of “close family member”</w:t>
      </w:r>
    </w:p>
    <w:p w14:paraId="46D19ABE" w14:textId="77777777" w:rsidR="00165990" w:rsidRPr="003877DD" w:rsidRDefault="00B43FFD">
      <w:pPr>
        <w:ind w:left="360"/>
        <w:rPr>
          <w:rFonts w:ascii="Verdana" w:hAnsi="Verdana"/>
        </w:rPr>
      </w:pPr>
      <w:r w:rsidRPr="003877DD">
        <w:rPr>
          <w:rFonts w:ascii="Verdana" w:hAnsi="Verdana"/>
        </w:rPr>
        <w:t xml:space="preserve">The Commission has raised concerns regarding the definition of close family members (para 2.78). Clause 27 provides that where a person’s death was caused directly by conduct forming part of the Troubles an investigation of the conduct may be requested by a close family member of the deceased. The definition of ‘close family’, provided at clause 93, is somewhat limited. However, clause 27(1)(b) provides that if there are no close family members, a family member of the deceased may request an investigation. Noting the passage of time since </w:t>
      </w:r>
      <w:proofErr w:type="gramStart"/>
      <w:r w:rsidRPr="003877DD">
        <w:rPr>
          <w:rFonts w:ascii="Verdana" w:hAnsi="Verdana"/>
        </w:rPr>
        <w:t>a number of</w:t>
      </w:r>
      <w:proofErr w:type="gramEnd"/>
      <w:r w:rsidRPr="003877DD">
        <w:rPr>
          <w:rFonts w:ascii="Verdana" w:hAnsi="Verdana"/>
        </w:rPr>
        <w:t xml:space="preserve"> deaths arising from the conflict the grandchildren of victims have often taken on a role in seeking effective investigations. </w:t>
      </w:r>
    </w:p>
    <w:p w14:paraId="68FA9F3B" w14:textId="77777777" w:rsidR="00C40AFA" w:rsidRDefault="00C40AFA">
      <w:pPr>
        <w:ind w:left="360"/>
        <w:rPr>
          <w:rFonts w:ascii="Verdana" w:hAnsi="Verdana"/>
        </w:rPr>
      </w:pPr>
      <w:r w:rsidRPr="00C40AFA">
        <w:rPr>
          <w:rFonts w:ascii="Verdana" w:hAnsi="Verdana"/>
        </w:rPr>
        <w:t xml:space="preserve">(See </w:t>
      </w:r>
      <w:r>
        <w:rPr>
          <w:rFonts w:ascii="Verdana" w:hAnsi="Verdana"/>
        </w:rPr>
        <w:t xml:space="preserve">further </w:t>
      </w:r>
      <w:r w:rsidRPr="00C40AFA">
        <w:rPr>
          <w:rFonts w:ascii="Verdana" w:hAnsi="Verdana"/>
        </w:rPr>
        <w:t>commentary and recommendation on Clause 93 below.)</w:t>
      </w:r>
    </w:p>
    <w:p w14:paraId="46D19ABF" w14:textId="6911BFDE" w:rsidR="00165990" w:rsidRPr="003877DD" w:rsidRDefault="00B43FFD">
      <w:pPr>
        <w:ind w:left="360"/>
        <w:rPr>
          <w:rFonts w:ascii="Verdana" w:hAnsi="Verdana"/>
          <w:b/>
          <w:bCs/>
        </w:rPr>
      </w:pPr>
      <w:r w:rsidRPr="003877DD">
        <w:rPr>
          <w:rFonts w:ascii="Verdana" w:hAnsi="Verdana"/>
          <w:b/>
          <w:bCs/>
        </w:rPr>
        <w:t xml:space="preserve">The Committee may wish to consider whether clause 27 and the definition of family is sufficiently broad to accommodate all circumstances in which a relative of a victim is seeking to ensure an effective investigation into the death of their family member. </w:t>
      </w:r>
    </w:p>
    <w:p w14:paraId="46D19AC3" w14:textId="77777777" w:rsidR="00165990" w:rsidRPr="003877DD" w:rsidRDefault="00B43FFD" w:rsidP="00B12BE1">
      <w:pPr>
        <w:spacing w:before="240" w:after="240"/>
        <w:ind w:left="357"/>
        <w:rPr>
          <w:rFonts w:ascii="Verdana" w:hAnsi="Verdana"/>
          <w:b/>
          <w:bCs/>
          <w:u w:val="single"/>
        </w:rPr>
      </w:pPr>
      <w:r w:rsidRPr="003877DD">
        <w:rPr>
          <w:rFonts w:ascii="Verdana" w:hAnsi="Verdana"/>
          <w:b/>
          <w:bCs/>
          <w:u w:val="single"/>
        </w:rPr>
        <w:t>Clause 33 – Notifying family members and others about new investigations.</w:t>
      </w:r>
    </w:p>
    <w:p w14:paraId="052738C1" w14:textId="2EA45E1D" w:rsidR="00C8368C" w:rsidRDefault="00B43FFD" w:rsidP="005D7687">
      <w:pPr>
        <w:ind w:left="360"/>
        <w:rPr>
          <w:rFonts w:ascii="Verdana" w:hAnsi="Verdana"/>
        </w:rPr>
      </w:pPr>
      <w:r w:rsidRPr="698A65C4">
        <w:rPr>
          <w:rFonts w:ascii="Verdana" w:hAnsi="Verdana"/>
        </w:rPr>
        <w:t xml:space="preserve">The content of the notification </w:t>
      </w:r>
      <w:r w:rsidR="00EE01A8">
        <w:rPr>
          <w:rFonts w:ascii="Verdana" w:hAnsi="Verdana"/>
        </w:rPr>
        <w:t xml:space="preserve">to be made </w:t>
      </w:r>
      <w:r w:rsidR="009142F0" w:rsidRPr="698A65C4">
        <w:rPr>
          <w:rFonts w:ascii="Verdana" w:hAnsi="Verdana"/>
        </w:rPr>
        <w:t xml:space="preserve">under Clause 33 </w:t>
      </w:r>
      <w:r w:rsidRPr="698A65C4">
        <w:rPr>
          <w:rFonts w:ascii="Verdana" w:hAnsi="Verdana"/>
        </w:rPr>
        <w:t xml:space="preserve">is not specified, such as </w:t>
      </w:r>
      <w:proofErr w:type="gramStart"/>
      <w:r w:rsidRPr="698A65C4">
        <w:rPr>
          <w:rFonts w:ascii="Verdana" w:hAnsi="Verdana"/>
        </w:rPr>
        <w:t>whether or not</w:t>
      </w:r>
      <w:proofErr w:type="gramEnd"/>
      <w:r w:rsidRPr="698A65C4">
        <w:rPr>
          <w:rFonts w:ascii="Verdana" w:hAnsi="Verdana"/>
        </w:rPr>
        <w:t xml:space="preserve"> </w:t>
      </w:r>
      <w:r w:rsidR="00D97691">
        <w:rPr>
          <w:rFonts w:ascii="Verdana" w:hAnsi="Verdana"/>
        </w:rPr>
        <w:t>it will</w:t>
      </w:r>
      <w:r w:rsidR="00D97691" w:rsidRPr="698A65C4">
        <w:rPr>
          <w:rFonts w:ascii="Verdana" w:hAnsi="Verdana"/>
        </w:rPr>
        <w:t xml:space="preserve"> </w:t>
      </w:r>
      <w:r w:rsidRPr="698A65C4">
        <w:rPr>
          <w:rFonts w:ascii="Verdana" w:hAnsi="Verdana"/>
        </w:rPr>
        <w:t xml:space="preserve">include progress updates as required under Clause 74(2) of the Bill. However, </w:t>
      </w:r>
      <w:r w:rsidR="007538FD">
        <w:rPr>
          <w:rFonts w:ascii="Verdana" w:hAnsi="Verdana"/>
        </w:rPr>
        <w:t xml:space="preserve">it is noted that </w:t>
      </w:r>
      <w:r w:rsidR="009142F0" w:rsidRPr="698A65C4">
        <w:rPr>
          <w:rFonts w:ascii="Verdana" w:hAnsi="Verdana"/>
        </w:rPr>
        <w:t xml:space="preserve">subsequent </w:t>
      </w:r>
      <w:r w:rsidRPr="698A65C4">
        <w:rPr>
          <w:rFonts w:ascii="Verdana" w:hAnsi="Verdana"/>
        </w:rPr>
        <w:t xml:space="preserve">Clauses </w:t>
      </w:r>
      <w:r w:rsidR="007538FD">
        <w:rPr>
          <w:rFonts w:ascii="Verdana" w:hAnsi="Verdana"/>
        </w:rPr>
        <w:t>provide for</w:t>
      </w:r>
      <w:r w:rsidRPr="698A65C4">
        <w:rPr>
          <w:rFonts w:ascii="Verdana" w:hAnsi="Verdana"/>
        </w:rPr>
        <w:t xml:space="preserve"> further requirements to communicate and publish reports.</w:t>
      </w:r>
      <w:r w:rsidR="00D97691">
        <w:rPr>
          <w:rFonts w:ascii="Verdana" w:hAnsi="Verdana"/>
        </w:rPr>
        <w:t xml:space="preserve"> </w:t>
      </w:r>
    </w:p>
    <w:p w14:paraId="1622A4E3" w14:textId="44DD9EF0" w:rsidR="004F162F" w:rsidRDefault="427837A0" w:rsidP="005D7687">
      <w:pPr>
        <w:ind w:left="360"/>
        <w:rPr>
          <w:rFonts w:ascii="Verdana" w:hAnsi="Verdana"/>
        </w:rPr>
      </w:pPr>
      <w:r w:rsidRPr="698A65C4">
        <w:rPr>
          <w:rFonts w:ascii="Verdana" w:hAnsi="Verdana"/>
        </w:rPr>
        <w:lastRenderedPageBreak/>
        <w:t xml:space="preserve">Recital 26 of the EU Victims Directive states: “When providing information, sufficient detail should be given to ensure that victims are treated in a respectful manner and to enable them to make informed decisions about their participation in proceedings. In this respect, information allowing the victim to know about the </w:t>
      </w:r>
      <w:proofErr w:type="gramStart"/>
      <w:r w:rsidRPr="698A65C4">
        <w:rPr>
          <w:rFonts w:ascii="Verdana" w:hAnsi="Verdana"/>
        </w:rPr>
        <w:t>current status</w:t>
      </w:r>
      <w:proofErr w:type="gramEnd"/>
      <w:r w:rsidRPr="698A65C4">
        <w:rPr>
          <w:rFonts w:ascii="Verdana" w:hAnsi="Verdana"/>
        </w:rPr>
        <w:t xml:space="preserve"> of any proceedings is particularly important. This is equally relevant for information to enable a victim to decide whether to request a review of a decision not to prosecute.”</w:t>
      </w:r>
    </w:p>
    <w:p w14:paraId="46D19AC5" w14:textId="06A5085D" w:rsidR="00165990" w:rsidRPr="003877DD" w:rsidRDefault="00B43FFD">
      <w:pPr>
        <w:ind w:left="360"/>
        <w:rPr>
          <w:rFonts w:ascii="Verdana" w:hAnsi="Verdana"/>
          <w:b/>
          <w:bCs/>
        </w:rPr>
      </w:pPr>
      <w:r w:rsidRPr="698A65C4">
        <w:rPr>
          <w:rFonts w:ascii="Verdana" w:hAnsi="Verdana"/>
          <w:b/>
          <w:bCs/>
        </w:rPr>
        <w:t>The Commission recommends that the Committee establishes the nature of information that will be provided to victims and family members and satisfies itself that it will comply with relevant rights to information</w:t>
      </w:r>
      <w:r w:rsidR="0080473B" w:rsidRPr="698A65C4">
        <w:rPr>
          <w:rFonts w:ascii="Verdana" w:hAnsi="Verdana"/>
          <w:b/>
          <w:bCs/>
        </w:rPr>
        <w:t>, including rights under Articles 1, 4, 6 and 11 of the EU Victims’ Directive</w:t>
      </w:r>
      <w:r w:rsidRPr="698A65C4">
        <w:rPr>
          <w:rFonts w:ascii="Verdana" w:hAnsi="Verdana"/>
          <w:b/>
          <w:bCs/>
        </w:rPr>
        <w:t>.</w:t>
      </w:r>
    </w:p>
    <w:p w14:paraId="46D19AC7" w14:textId="77777777" w:rsidR="00165990" w:rsidRPr="003877DD" w:rsidRDefault="00B43FFD" w:rsidP="00B12BE1">
      <w:pPr>
        <w:spacing w:before="240" w:after="240"/>
        <w:ind w:left="357"/>
        <w:rPr>
          <w:rFonts w:ascii="Verdana" w:hAnsi="Verdana"/>
          <w:b/>
          <w:bCs/>
          <w:u w:val="single"/>
        </w:rPr>
      </w:pPr>
      <w:r w:rsidRPr="003877DD">
        <w:rPr>
          <w:rFonts w:ascii="Verdana" w:hAnsi="Verdana"/>
          <w:b/>
          <w:bCs/>
          <w:u w:val="single"/>
        </w:rPr>
        <w:t xml:space="preserve">Clause 36 Conduct of Investigations </w:t>
      </w:r>
    </w:p>
    <w:p w14:paraId="46D19AC8" w14:textId="1F6BC708" w:rsidR="00165990" w:rsidRPr="003877DD" w:rsidRDefault="00B43FFD">
      <w:pPr>
        <w:ind w:left="360"/>
        <w:rPr>
          <w:rFonts w:ascii="Verdana" w:hAnsi="Verdana"/>
        </w:rPr>
      </w:pPr>
      <w:r w:rsidRPr="698A65C4">
        <w:rPr>
          <w:rFonts w:ascii="Verdana" w:hAnsi="Verdana"/>
        </w:rPr>
        <w:t xml:space="preserve">Clause 36 relates to the conduct of investigations. Clause </w:t>
      </w:r>
      <w:r w:rsidR="167EEEB5" w:rsidRPr="698A65C4">
        <w:rPr>
          <w:rFonts w:ascii="Verdana" w:hAnsi="Verdana"/>
        </w:rPr>
        <w:t>36</w:t>
      </w:r>
      <w:r w:rsidRPr="698A65C4">
        <w:rPr>
          <w:rFonts w:ascii="Verdana" w:hAnsi="Verdana"/>
        </w:rPr>
        <w:t>(8)(b) provides that the Directors must (in particular) ensure that the Legacy Commission does not do anything which duplicates any aspect of a previous investigation unless</w:t>
      </w:r>
      <w:r w:rsidR="007524A9">
        <w:rPr>
          <w:rFonts w:ascii="Verdana" w:hAnsi="Verdana"/>
        </w:rPr>
        <w:t>,</w:t>
      </w:r>
      <w:r w:rsidRPr="698A65C4">
        <w:rPr>
          <w:rFonts w:ascii="Verdana" w:hAnsi="Verdana"/>
        </w:rPr>
        <w:t xml:space="preserve"> in the Director’s view</w:t>
      </w:r>
      <w:r w:rsidR="007524A9">
        <w:rPr>
          <w:rFonts w:ascii="Verdana" w:hAnsi="Verdana"/>
        </w:rPr>
        <w:t>,</w:t>
      </w:r>
      <w:r w:rsidRPr="698A65C4">
        <w:rPr>
          <w:rFonts w:ascii="Verdana" w:hAnsi="Verdana"/>
        </w:rPr>
        <w:t xml:space="preserve"> the duplication is essential. The Commission considers that if interpreted restrictively this requirement could result in lines of enquiry not being fully explored. </w:t>
      </w:r>
    </w:p>
    <w:p w14:paraId="36D600B8" w14:textId="39FEDB60" w:rsidR="00B43FFD" w:rsidRPr="003877DD" w:rsidRDefault="00B43FFD" w:rsidP="3FAC11EB">
      <w:pPr>
        <w:ind w:left="360"/>
        <w:rPr>
          <w:rFonts w:ascii="Verdana" w:hAnsi="Verdana"/>
          <w:b/>
          <w:bCs/>
          <w:u w:val="single"/>
        </w:rPr>
      </w:pPr>
      <w:r w:rsidRPr="003877DD">
        <w:rPr>
          <w:rFonts w:ascii="Verdana" w:hAnsi="Verdana"/>
          <w:b/>
          <w:bCs/>
        </w:rPr>
        <w:t xml:space="preserve">The Committee may wish to consider the practical impact of the requirement to avoid duplication on the conduct of investigations, </w:t>
      </w:r>
      <w:proofErr w:type="gramStart"/>
      <w:r w:rsidRPr="003877DD">
        <w:rPr>
          <w:rFonts w:ascii="Verdana" w:hAnsi="Verdana"/>
          <w:b/>
          <w:bCs/>
        </w:rPr>
        <w:t>in particular</w:t>
      </w:r>
      <w:proofErr w:type="gramEnd"/>
      <w:r w:rsidRPr="003877DD">
        <w:rPr>
          <w:rFonts w:ascii="Verdana" w:hAnsi="Verdana"/>
          <w:b/>
          <w:bCs/>
        </w:rPr>
        <w:t xml:space="preserve"> those investigations into complex or controversial conduct.  </w:t>
      </w:r>
    </w:p>
    <w:p w14:paraId="46D19ACC" w14:textId="77777777" w:rsidR="00165990" w:rsidRPr="003877DD" w:rsidRDefault="00B43FFD" w:rsidP="00B12BE1">
      <w:pPr>
        <w:spacing w:before="240" w:after="240"/>
        <w:ind w:left="357"/>
        <w:rPr>
          <w:rFonts w:ascii="Verdana" w:hAnsi="Verdana"/>
          <w:b/>
          <w:bCs/>
          <w:u w:val="single"/>
        </w:rPr>
      </w:pPr>
      <w:r w:rsidRPr="003877DD">
        <w:rPr>
          <w:rFonts w:ascii="Verdana" w:hAnsi="Verdana"/>
          <w:b/>
          <w:bCs/>
          <w:u w:val="single"/>
        </w:rPr>
        <w:t>Clause 43 – Referral to prosecutors</w:t>
      </w:r>
    </w:p>
    <w:p w14:paraId="46D19ACD" w14:textId="4CFCA283" w:rsidR="00165990" w:rsidRPr="003877DD" w:rsidRDefault="00B03CA5">
      <w:pPr>
        <w:spacing w:after="240" w:line="288" w:lineRule="auto"/>
        <w:ind w:left="360"/>
        <w:rPr>
          <w:rFonts w:ascii="Verdana" w:hAnsi="Verdana"/>
        </w:rPr>
      </w:pPr>
      <w:r w:rsidRPr="698A65C4">
        <w:rPr>
          <w:rFonts w:ascii="Verdana" w:hAnsi="Verdana"/>
        </w:rPr>
        <w:t>Under Clause 43, i</w:t>
      </w:r>
      <w:r w:rsidR="00B43FFD" w:rsidRPr="698A65C4">
        <w:rPr>
          <w:rFonts w:ascii="Verdana" w:hAnsi="Verdana"/>
        </w:rPr>
        <w:t xml:space="preserve">f evidence </w:t>
      </w:r>
      <w:r w:rsidRPr="698A65C4">
        <w:rPr>
          <w:rFonts w:ascii="Verdana" w:hAnsi="Verdana"/>
        </w:rPr>
        <w:t xml:space="preserve">is found </w:t>
      </w:r>
      <w:r w:rsidR="00B43FFD" w:rsidRPr="698A65C4">
        <w:rPr>
          <w:rFonts w:ascii="Verdana" w:hAnsi="Verdana"/>
        </w:rPr>
        <w:t xml:space="preserve">of </w:t>
      </w:r>
      <w:r w:rsidR="0049671C" w:rsidRPr="698A65C4">
        <w:rPr>
          <w:rFonts w:ascii="Verdana" w:hAnsi="Verdana"/>
        </w:rPr>
        <w:t xml:space="preserve">relevant </w:t>
      </w:r>
      <w:r w:rsidR="00B43FFD" w:rsidRPr="698A65C4">
        <w:rPr>
          <w:rFonts w:ascii="Verdana" w:hAnsi="Verdana"/>
        </w:rPr>
        <w:t xml:space="preserve">criminal conduct by </w:t>
      </w:r>
      <w:r w:rsidR="00541BC2" w:rsidRPr="698A65C4">
        <w:rPr>
          <w:rFonts w:ascii="Verdana" w:hAnsi="Verdana"/>
        </w:rPr>
        <w:t xml:space="preserve">a </w:t>
      </w:r>
      <w:r w:rsidR="00B43FFD" w:rsidRPr="698A65C4">
        <w:rPr>
          <w:rFonts w:ascii="Verdana" w:hAnsi="Verdana"/>
        </w:rPr>
        <w:t>known individual</w:t>
      </w:r>
      <w:r w:rsidR="00AA5D12">
        <w:rPr>
          <w:rFonts w:ascii="Verdana" w:hAnsi="Verdana"/>
        </w:rPr>
        <w:t>,</w:t>
      </w:r>
      <w:r w:rsidR="00541BC2" w:rsidRPr="698A65C4">
        <w:rPr>
          <w:rFonts w:ascii="Verdana" w:hAnsi="Verdana"/>
        </w:rPr>
        <w:t xml:space="preserve"> the </w:t>
      </w:r>
      <w:r w:rsidRPr="698A65C4">
        <w:rPr>
          <w:rFonts w:ascii="Verdana" w:hAnsi="Verdana"/>
        </w:rPr>
        <w:t>Director of Investigations</w:t>
      </w:r>
      <w:r w:rsidR="00B43FFD" w:rsidRPr="698A65C4">
        <w:rPr>
          <w:rFonts w:ascii="Verdana" w:hAnsi="Verdana"/>
        </w:rPr>
        <w:t xml:space="preserve"> may refer </w:t>
      </w:r>
      <w:r w:rsidR="007B3AF0" w:rsidRPr="698A65C4">
        <w:rPr>
          <w:rFonts w:ascii="Verdana" w:hAnsi="Verdana"/>
        </w:rPr>
        <w:t xml:space="preserve">the conduct </w:t>
      </w:r>
      <w:r w:rsidR="00B43FFD" w:rsidRPr="698A65C4">
        <w:rPr>
          <w:rFonts w:ascii="Verdana" w:hAnsi="Verdana"/>
        </w:rPr>
        <w:t>to</w:t>
      </w:r>
      <w:r w:rsidR="007B3AF0" w:rsidRPr="698A65C4">
        <w:rPr>
          <w:rFonts w:ascii="Verdana" w:hAnsi="Verdana"/>
        </w:rPr>
        <w:t xml:space="preserve"> the</w:t>
      </w:r>
      <w:r w:rsidR="00B43FFD" w:rsidRPr="698A65C4">
        <w:rPr>
          <w:rFonts w:ascii="Verdana" w:hAnsi="Verdana"/>
        </w:rPr>
        <w:t xml:space="preserve"> DPP and must specify </w:t>
      </w:r>
      <w:r w:rsidR="007B3AF0" w:rsidRPr="698A65C4">
        <w:rPr>
          <w:rFonts w:ascii="Verdana" w:hAnsi="Verdana"/>
        </w:rPr>
        <w:t xml:space="preserve">the </w:t>
      </w:r>
      <w:r w:rsidR="00B43FFD" w:rsidRPr="698A65C4">
        <w:rPr>
          <w:rFonts w:ascii="Verdana" w:hAnsi="Verdana"/>
        </w:rPr>
        <w:t>offence</w:t>
      </w:r>
      <w:r w:rsidR="007B3AF0" w:rsidRPr="698A65C4">
        <w:rPr>
          <w:rFonts w:ascii="Verdana" w:hAnsi="Verdana"/>
        </w:rPr>
        <w:t xml:space="preserve"> concerned</w:t>
      </w:r>
      <w:r w:rsidR="00B43FFD" w:rsidRPr="698A65C4">
        <w:rPr>
          <w:rFonts w:ascii="Verdana" w:hAnsi="Verdana"/>
        </w:rPr>
        <w:t xml:space="preserve">. </w:t>
      </w:r>
    </w:p>
    <w:p w14:paraId="7FF5FB85" w14:textId="6D7BB364" w:rsidR="00663259" w:rsidRDefault="00B43FFD" w:rsidP="698A65C4">
      <w:pPr>
        <w:spacing w:after="240" w:line="288" w:lineRule="auto"/>
        <w:ind w:left="360"/>
        <w:rPr>
          <w:rFonts w:ascii="Verdana" w:hAnsi="Verdana"/>
          <w:b/>
          <w:bCs/>
        </w:rPr>
      </w:pPr>
      <w:r w:rsidRPr="698A65C4">
        <w:rPr>
          <w:rFonts w:ascii="Verdana" w:hAnsi="Verdana"/>
          <w:b/>
          <w:bCs/>
        </w:rPr>
        <w:t xml:space="preserve">The Commission recommends that the Committee enquire about criteria for referral to DPP. </w:t>
      </w:r>
    </w:p>
    <w:p w14:paraId="46D19AD1" w14:textId="49C3623F" w:rsidR="00165990" w:rsidRPr="003877DD" w:rsidRDefault="00B43FFD">
      <w:pPr>
        <w:spacing w:after="240" w:line="288" w:lineRule="auto"/>
        <w:ind w:left="360"/>
        <w:rPr>
          <w:rFonts w:ascii="Verdana" w:hAnsi="Verdana"/>
          <w:b/>
          <w:bCs/>
        </w:rPr>
      </w:pPr>
      <w:r w:rsidRPr="698A65C4">
        <w:rPr>
          <w:rFonts w:ascii="Verdana" w:hAnsi="Verdana"/>
          <w:b/>
          <w:bCs/>
        </w:rPr>
        <w:t>The Commission recommends that the Committee seeks confirm</w:t>
      </w:r>
      <w:r w:rsidR="00955C43" w:rsidRPr="698A65C4">
        <w:rPr>
          <w:rFonts w:ascii="Verdana" w:hAnsi="Verdana"/>
          <w:b/>
          <w:bCs/>
        </w:rPr>
        <w:t>ation</w:t>
      </w:r>
      <w:r w:rsidRPr="698A65C4">
        <w:rPr>
          <w:rFonts w:ascii="Verdana" w:hAnsi="Verdana"/>
          <w:b/>
          <w:bCs/>
        </w:rPr>
        <w:t xml:space="preserve"> that information will be provided to victim</w:t>
      </w:r>
      <w:r w:rsidR="00955C43" w:rsidRPr="698A65C4">
        <w:rPr>
          <w:rFonts w:ascii="Verdana" w:hAnsi="Verdana"/>
          <w:b/>
          <w:bCs/>
        </w:rPr>
        <w:t>s and</w:t>
      </w:r>
      <w:r w:rsidRPr="698A65C4">
        <w:rPr>
          <w:rFonts w:ascii="Verdana" w:hAnsi="Verdana"/>
          <w:b/>
          <w:bCs/>
        </w:rPr>
        <w:t xml:space="preserve"> family member</w:t>
      </w:r>
      <w:r w:rsidR="00955C43" w:rsidRPr="698A65C4">
        <w:rPr>
          <w:rFonts w:ascii="Verdana" w:hAnsi="Verdana"/>
          <w:b/>
          <w:bCs/>
        </w:rPr>
        <w:t>s</w:t>
      </w:r>
      <w:r w:rsidRPr="698A65C4">
        <w:rPr>
          <w:rFonts w:ascii="Verdana" w:hAnsi="Verdana"/>
          <w:b/>
          <w:bCs/>
        </w:rPr>
        <w:t xml:space="preserve"> on</w:t>
      </w:r>
      <w:r w:rsidR="00663259" w:rsidRPr="698A65C4">
        <w:rPr>
          <w:rFonts w:ascii="Verdana" w:hAnsi="Verdana"/>
          <w:b/>
          <w:bCs/>
        </w:rPr>
        <w:t xml:space="preserve"> whether their case is being referred </w:t>
      </w:r>
      <w:r w:rsidRPr="698A65C4">
        <w:rPr>
          <w:rFonts w:ascii="Verdana" w:hAnsi="Verdana"/>
          <w:b/>
          <w:bCs/>
        </w:rPr>
        <w:t>to DPP or not, including reasons</w:t>
      </w:r>
      <w:r w:rsidR="00663259" w:rsidRPr="698A65C4">
        <w:rPr>
          <w:rFonts w:ascii="Verdana" w:hAnsi="Verdana"/>
          <w:b/>
          <w:bCs/>
        </w:rPr>
        <w:t xml:space="preserve"> for that decision</w:t>
      </w:r>
      <w:r w:rsidRPr="698A65C4">
        <w:rPr>
          <w:rFonts w:ascii="Verdana" w:hAnsi="Verdana"/>
          <w:b/>
          <w:bCs/>
        </w:rPr>
        <w:t xml:space="preserve">. </w:t>
      </w:r>
    </w:p>
    <w:p w14:paraId="46D19AD5" w14:textId="77777777" w:rsidR="00165990" w:rsidRPr="003877DD" w:rsidRDefault="00B43FFD">
      <w:pPr>
        <w:ind w:left="360"/>
        <w:rPr>
          <w:rFonts w:ascii="Verdana" w:hAnsi="Verdana"/>
          <w:b/>
          <w:bCs/>
        </w:rPr>
      </w:pPr>
      <w:r w:rsidRPr="003877DD">
        <w:rPr>
          <w:rFonts w:ascii="Verdana" w:hAnsi="Verdana"/>
          <w:b/>
          <w:bCs/>
        </w:rPr>
        <w:lastRenderedPageBreak/>
        <w:t xml:space="preserve">Parts 4 &amp; 5 </w:t>
      </w:r>
    </w:p>
    <w:p w14:paraId="46D19AD6" w14:textId="77777777" w:rsidR="00165990" w:rsidRPr="00B12BE1" w:rsidRDefault="00B43FFD" w:rsidP="00B12BE1">
      <w:pPr>
        <w:spacing w:before="240" w:after="240"/>
        <w:ind w:left="357"/>
        <w:rPr>
          <w:rFonts w:ascii="Verdana" w:hAnsi="Verdana"/>
          <w:b/>
          <w:bCs/>
          <w:u w:val="single"/>
        </w:rPr>
      </w:pPr>
      <w:r w:rsidRPr="00B12BE1">
        <w:rPr>
          <w:rFonts w:ascii="Verdana" w:hAnsi="Verdana"/>
          <w:b/>
          <w:bCs/>
          <w:u w:val="single"/>
        </w:rPr>
        <w:t>Clause 53 – Core participants</w:t>
      </w:r>
    </w:p>
    <w:p w14:paraId="46D19AD7" w14:textId="7AFCAD29" w:rsidR="00165990" w:rsidRPr="003877DD" w:rsidRDefault="00062ADF">
      <w:pPr>
        <w:ind w:left="360"/>
        <w:rPr>
          <w:rFonts w:ascii="Verdana" w:hAnsi="Verdana"/>
        </w:rPr>
      </w:pPr>
      <w:r w:rsidRPr="698A65C4">
        <w:rPr>
          <w:rFonts w:ascii="Verdana" w:hAnsi="Verdana"/>
        </w:rPr>
        <w:t xml:space="preserve">Clause 53 stipulates that a person may be designated as a core participant to inquisitorial proceedings </w:t>
      </w:r>
      <w:r w:rsidR="00B43FFD" w:rsidRPr="698A65C4">
        <w:rPr>
          <w:rFonts w:ascii="Verdana" w:hAnsi="Verdana"/>
        </w:rPr>
        <w:t>only if</w:t>
      </w:r>
      <w:r w:rsidR="00436EEB" w:rsidRPr="698A65C4">
        <w:rPr>
          <w:rFonts w:ascii="Verdana" w:hAnsi="Verdana"/>
        </w:rPr>
        <w:t xml:space="preserve"> they</w:t>
      </w:r>
      <w:r w:rsidR="00B43FFD" w:rsidRPr="698A65C4">
        <w:rPr>
          <w:rFonts w:ascii="Verdana" w:hAnsi="Verdana"/>
        </w:rPr>
        <w:t xml:space="preserve"> apply to be so designated</w:t>
      </w:r>
      <w:r w:rsidR="00436EEB" w:rsidRPr="698A65C4">
        <w:rPr>
          <w:rFonts w:ascii="Verdana" w:hAnsi="Verdana"/>
        </w:rPr>
        <w:t>;</w:t>
      </w:r>
      <w:r w:rsidR="00B43FFD" w:rsidRPr="698A65C4">
        <w:rPr>
          <w:rFonts w:ascii="Verdana" w:hAnsi="Verdana"/>
        </w:rPr>
        <w:t xml:space="preserve"> and </w:t>
      </w:r>
      <w:r w:rsidR="00436EEB" w:rsidRPr="698A65C4">
        <w:rPr>
          <w:rFonts w:ascii="Verdana" w:hAnsi="Verdana"/>
        </w:rPr>
        <w:t xml:space="preserve">that </w:t>
      </w:r>
      <w:r w:rsidR="00B43FFD" w:rsidRPr="698A65C4">
        <w:rPr>
          <w:rFonts w:ascii="Verdana" w:hAnsi="Verdana"/>
        </w:rPr>
        <w:t>at least one close family member must be so designated i</w:t>
      </w:r>
      <w:r w:rsidR="00436EEB" w:rsidRPr="698A65C4">
        <w:rPr>
          <w:rFonts w:ascii="Verdana" w:hAnsi="Verdana"/>
        </w:rPr>
        <w:t>f</w:t>
      </w:r>
      <w:r w:rsidR="00B43FFD" w:rsidRPr="698A65C4">
        <w:rPr>
          <w:rFonts w:ascii="Verdana" w:hAnsi="Verdana"/>
        </w:rPr>
        <w:t xml:space="preserve"> they apply.</w:t>
      </w:r>
    </w:p>
    <w:p w14:paraId="46D19AD8" w14:textId="6967DF1E" w:rsidR="00165990" w:rsidRDefault="00436EEB">
      <w:pPr>
        <w:ind w:left="360"/>
        <w:rPr>
          <w:rFonts w:ascii="Verdana" w:hAnsi="Verdana"/>
          <w:b/>
          <w:bCs/>
        </w:rPr>
      </w:pPr>
      <w:r w:rsidRPr="698A65C4">
        <w:rPr>
          <w:rFonts w:ascii="Verdana" w:hAnsi="Verdana"/>
          <w:b/>
          <w:bCs/>
        </w:rPr>
        <w:t xml:space="preserve">The </w:t>
      </w:r>
      <w:r w:rsidR="00B43FFD" w:rsidRPr="698A65C4">
        <w:rPr>
          <w:rFonts w:ascii="Verdana" w:hAnsi="Verdana"/>
          <w:b/>
          <w:bCs/>
        </w:rPr>
        <w:t xml:space="preserve">Commission recommends that </w:t>
      </w:r>
      <w:r w:rsidRPr="698A65C4">
        <w:rPr>
          <w:rFonts w:ascii="Verdana" w:hAnsi="Verdana"/>
          <w:b/>
          <w:bCs/>
        </w:rPr>
        <w:t xml:space="preserve">the </w:t>
      </w:r>
      <w:r w:rsidR="00B43FFD" w:rsidRPr="698A65C4">
        <w:rPr>
          <w:rFonts w:ascii="Verdana" w:hAnsi="Verdana"/>
          <w:b/>
          <w:bCs/>
        </w:rPr>
        <w:t>Committee seek</w:t>
      </w:r>
      <w:r w:rsidR="0076499A">
        <w:rPr>
          <w:rFonts w:ascii="Verdana" w:hAnsi="Verdana"/>
          <w:b/>
          <w:bCs/>
        </w:rPr>
        <w:t>s</w:t>
      </w:r>
      <w:r w:rsidR="00B43FFD" w:rsidRPr="698A65C4">
        <w:rPr>
          <w:rFonts w:ascii="Verdana" w:hAnsi="Verdana"/>
          <w:b/>
          <w:bCs/>
        </w:rPr>
        <w:t xml:space="preserve"> confirmation that </w:t>
      </w:r>
      <w:r w:rsidR="006D78F9" w:rsidRPr="698A65C4">
        <w:rPr>
          <w:rFonts w:ascii="Verdana" w:hAnsi="Verdana"/>
          <w:b/>
          <w:bCs/>
        </w:rPr>
        <w:t xml:space="preserve">eligible victims and family members will be notified of the </w:t>
      </w:r>
      <w:r w:rsidR="000C346D" w:rsidRPr="698A65C4">
        <w:rPr>
          <w:rFonts w:ascii="Verdana" w:hAnsi="Verdana"/>
          <w:b/>
          <w:bCs/>
        </w:rPr>
        <w:t>need to make an application if they wish to be designated as a ‘core participant’ in</w:t>
      </w:r>
      <w:r w:rsidR="00A86BE9" w:rsidRPr="698A65C4">
        <w:rPr>
          <w:rFonts w:ascii="Verdana" w:hAnsi="Verdana"/>
          <w:b/>
          <w:bCs/>
        </w:rPr>
        <w:t xml:space="preserve"> proceedings</w:t>
      </w:r>
      <w:r w:rsidR="00B43FFD" w:rsidRPr="698A65C4">
        <w:rPr>
          <w:rFonts w:ascii="Verdana" w:hAnsi="Verdana"/>
          <w:b/>
          <w:bCs/>
        </w:rPr>
        <w:t>.</w:t>
      </w:r>
    </w:p>
    <w:p w14:paraId="57CEC558" w14:textId="0B45E6EE" w:rsidR="00111FE6" w:rsidRPr="00B12BE1" w:rsidRDefault="7931BB81" w:rsidP="00B12BE1">
      <w:pPr>
        <w:spacing w:before="240" w:after="240"/>
        <w:ind w:left="357"/>
        <w:rPr>
          <w:rFonts w:ascii="Verdana" w:hAnsi="Verdana"/>
          <w:b/>
          <w:bCs/>
          <w:u w:val="single"/>
        </w:rPr>
      </w:pPr>
      <w:r w:rsidRPr="00B12BE1">
        <w:rPr>
          <w:rFonts w:ascii="Verdana" w:hAnsi="Verdana"/>
          <w:b/>
          <w:bCs/>
          <w:u w:val="single"/>
        </w:rPr>
        <w:t xml:space="preserve">Clause </w:t>
      </w:r>
      <w:r w:rsidR="69E4178A" w:rsidRPr="00B12BE1">
        <w:rPr>
          <w:rFonts w:ascii="Verdana" w:hAnsi="Verdana"/>
          <w:b/>
          <w:bCs/>
          <w:u w:val="single"/>
        </w:rPr>
        <w:t xml:space="preserve">69 - </w:t>
      </w:r>
      <w:r w:rsidR="4F6A737D" w:rsidRPr="00B12BE1">
        <w:rPr>
          <w:rFonts w:ascii="Verdana" w:hAnsi="Verdana"/>
          <w:b/>
          <w:bCs/>
          <w:u w:val="single"/>
        </w:rPr>
        <w:t>Duty to have regard to welfare of witnesses</w:t>
      </w:r>
    </w:p>
    <w:p w14:paraId="759B6DD5" w14:textId="18CB0610" w:rsidR="00B551EC" w:rsidRPr="0057775A" w:rsidRDefault="69E4178A" w:rsidP="00387C21">
      <w:pPr>
        <w:spacing w:line="288" w:lineRule="auto"/>
        <w:ind w:left="360"/>
        <w:rPr>
          <w:rFonts w:ascii="Verdana" w:hAnsi="Verdana"/>
        </w:rPr>
      </w:pPr>
      <w:r w:rsidRPr="698A65C4">
        <w:rPr>
          <w:rFonts w:ascii="Verdana" w:hAnsi="Verdana"/>
        </w:rPr>
        <w:t>Under Clause 69, there is a duty on the Director of Investigations or the relevant judicial panel member to “have regard to the welfare of any individual who gives evidence to, or otherwise participates in</w:t>
      </w:r>
      <w:r w:rsidR="00D000E2">
        <w:rPr>
          <w:rFonts w:ascii="Verdana" w:hAnsi="Verdana"/>
        </w:rPr>
        <w:t>,</w:t>
      </w:r>
      <w:r w:rsidRPr="698A65C4">
        <w:rPr>
          <w:rFonts w:ascii="Verdana" w:hAnsi="Verdana"/>
        </w:rPr>
        <w:t xml:space="preserve"> the investigation or proceedings.” </w:t>
      </w:r>
    </w:p>
    <w:p w14:paraId="66D1772B" w14:textId="1B07468D" w:rsidR="00B551EC" w:rsidRDefault="69E4178A" w:rsidP="00387C21">
      <w:pPr>
        <w:spacing w:line="288" w:lineRule="auto"/>
        <w:ind w:left="360"/>
        <w:rPr>
          <w:rFonts w:ascii="Verdana" w:hAnsi="Verdana"/>
        </w:rPr>
      </w:pPr>
      <w:r w:rsidRPr="00231D30">
        <w:rPr>
          <w:rFonts w:ascii="Verdana" w:hAnsi="Verdana"/>
        </w:rPr>
        <w:t>The EU Victims’ Directive lays down minimum standards on victims’ rights and requires that victims of crime are “provided with sufficient access to justice”.</w:t>
      </w:r>
      <w:r w:rsidR="00B551EC">
        <w:rPr>
          <w:rStyle w:val="FootnoteReference"/>
          <w:rFonts w:ascii="Verdana" w:hAnsi="Verdana"/>
        </w:rPr>
        <w:footnoteReference w:id="5"/>
      </w:r>
      <w:r w:rsidRPr="00231D30">
        <w:rPr>
          <w:rFonts w:ascii="Verdana" w:hAnsi="Verdana"/>
        </w:rPr>
        <w:t xml:space="preserve"> The EU Directive recognises the need for coordination of public services to ensure victims receive the proper degree of assistance, support and protection and requires that that general and specialised training is provided to relevant officials.</w:t>
      </w:r>
      <w:r w:rsidR="00F977A4">
        <w:rPr>
          <w:rStyle w:val="FootnoteReference"/>
          <w:rFonts w:ascii="Verdana" w:hAnsi="Verdana"/>
        </w:rPr>
        <w:footnoteReference w:id="6"/>
      </w:r>
    </w:p>
    <w:p w14:paraId="0CD590F4" w14:textId="6105EB61" w:rsidR="00B551EC" w:rsidRPr="009813A6" w:rsidRDefault="69E4178A" w:rsidP="00387C21">
      <w:pPr>
        <w:spacing w:line="288" w:lineRule="auto"/>
        <w:ind w:left="360"/>
        <w:rPr>
          <w:rFonts w:ascii="Verdana" w:hAnsi="Verdana"/>
          <w:b/>
          <w:bCs/>
        </w:rPr>
      </w:pPr>
      <w:r w:rsidRPr="698A65C4">
        <w:rPr>
          <w:rFonts w:ascii="Verdana" w:hAnsi="Verdana"/>
          <w:b/>
          <w:bCs/>
        </w:rPr>
        <w:t xml:space="preserve">The </w:t>
      </w:r>
      <w:r w:rsidR="00F977A4">
        <w:rPr>
          <w:rFonts w:ascii="Verdana" w:hAnsi="Verdana"/>
          <w:b/>
          <w:bCs/>
        </w:rPr>
        <w:t>Commission</w:t>
      </w:r>
      <w:r w:rsidRPr="698A65C4">
        <w:rPr>
          <w:rFonts w:ascii="Verdana" w:hAnsi="Verdana"/>
          <w:b/>
          <w:bCs/>
        </w:rPr>
        <w:t xml:space="preserve"> recommends that the Committee seeks to satisfy itself that victims and their family members will have access to appropriate support and specialist services in line with the minimum standards </w:t>
      </w:r>
      <w:r w:rsidR="00B3436B">
        <w:rPr>
          <w:rFonts w:ascii="Verdana" w:hAnsi="Verdana"/>
          <w:b/>
          <w:bCs/>
        </w:rPr>
        <w:t>in</w:t>
      </w:r>
      <w:r w:rsidRPr="698A65C4">
        <w:rPr>
          <w:rFonts w:ascii="Verdana" w:hAnsi="Verdana"/>
          <w:b/>
          <w:bCs/>
        </w:rPr>
        <w:t xml:space="preserve"> the EU Victims’ Directive.</w:t>
      </w:r>
    </w:p>
    <w:p w14:paraId="18444E7C" w14:textId="77777777" w:rsidR="00B551EC" w:rsidRPr="003877DD" w:rsidRDefault="00B551EC">
      <w:pPr>
        <w:ind w:left="360"/>
        <w:rPr>
          <w:rFonts w:ascii="Verdana" w:hAnsi="Verdana"/>
          <w:b/>
          <w:bCs/>
        </w:rPr>
      </w:pPr>
    </w:p>
    <w:p w14:paraId="46D19AD9" w14:textId="77777777" w:rsidR="00165990" w:rsidRPr="003877DD" w:rsidRDefault="00B43FFD">
      <w:pPr>
        <w:ind w:left="360"/>
        <w:rPr>
          <w:rFonts w:ascii="Verdana" w:hAnsi="Verdana"/>
          <w:b/>
          <w:bCs/>
        </w:rPr>
      </w:pPr>
      <w:r w:rsidRPr="003877DD">
        <w:rPr>
          <w:rFonts w:ascii="Verdana" w:hAnsi="Verdana"/>
          <w:b/>
          <w:bCs/>
        </w:rPr>
        <w:t xml:space="preserve">Part 6 </w:t>
      </w:r>
    </w:p>
    <w:p w14:paraId="46D19ADA" w14:textId="77777777" w:rsidR="00165990" w:rsidRPr="003877DD" w:rsidRDefault="00B43FFD" w:rsidP="00603E93">
      <w:pPr>
        <w:spacing w:before="240" w:after="240"/>
        <w:ind w:left="357"/>
        <w:rPr>
          <w:rFonts w:ascii="Verdana" w:hAnsi="Verdana"/>
          <w:b/>
          <w:bCs/>
          <w:u w:val="single"/>
        </w:rPr>
      </w:pPr>
      <w:r w:rsidRPr="003877DD">
        <w:rPr>
          <w:rFonts w:ascii="Verdana" w:hAnsi="Verdana"/>
          <w:b/>
          <w:bCs/>
          <w:u w:val="single"/>
        </w:rPr>
        <w:t xml:space="preserve">Clause 74: Requests by families for information </w:t>
      </w:r>
    </w:p>
    <w:p w14:paraId="46D19ADB" w14:textId="30D26F33" w:rsidR="00165990" w:rsidRPr="003877DD" w:rsidRDefault="00B43FFD">
      <w:pPr>
        <w:ind w:left="360"/>
        <w:rPr>
          <w:rFonts w:ascii="Verdana" w:hAnsi="Verdana"/>
        </w:rPr>
      </w:pPr>
      <w:r w:rsidRPr="003877DD">
        <w:rPr>
          <w:rFonts w:ascii="Verdana" w:hAnsi="Verdana"/>
        </w:rPr>
        <w:t>Clause 74(1) provides that where a person’s death is within the remit of the I</w:t>
      </w:r>
      <w:r w:rsidR="45279CB3" w:rsidRPr="003877DD">
        <w:rPr>
          <w:rFonts w:ascii="Verdana" w:hAnsi="Verdana"/>
        </w:rPr>
        <w:t xml:space="preserve">nformation </w:t>
      </w:r>
      <w:r w:rsidRPr="003877DD">
        <w:rPr>
          <w:rFonts w:ascii="Verdana" w:hAnsi="Verdana"/>
        </w:rPr>
        <w:t>C</w:t>
      </w:r>
      <w:r w:rsidR="091356AA" w:rsidRPr="003877DD">
        <w:rPr>
          <w:rFonts w:ascii="Verdana" w:hAnsi="Verdana"/>
        </w:rPr>
        <w:t xml:space="preserve">ommission for </w:t>
      </w:r>
      <w:r w:rsidRPr="003877DD">
        <w:rPr>
          <w:rFonts w:ascii="Verdana" w:hAnsi="Verdana"/>
        </w:rPr>
        <w:t>I</w:t>
      </w:r>
      <w:r w:rsidR="7436F24B" w:rsidRPr="003877DD">
        <w:rPr>
          <w:rFonts w:ascii="Verdana" w:hAnsi="Verdana"/>
        </w:rPr>
        <w:t xml:space="preserve">nformation </w:t>
      </w:r>
      <w:r w:rsidRPr="003877DD">
        <w:rPr>
          <w:rFonts w:ascii="Verdana" w:hAnsi="Verdana"/>
        </w:rPr>
        <w:t>R</w:t>
      </w:r>
      <w:r w:rsidR="2973DE1C" w:rsidRPr="003877DD">
        <w:rPr>
          <w:rFonts w:ascii="Verdana" w:hAnsi="Verdana"/>
        </w:rPr>
        <w:t>etrieval (ICIR)</w:t>
      </w:r>
      <w:r w:rsidR="00234882">
        <w:rPr>
          <w:rFonts w:ascii="Verdana" w:hAnsi="Verdana"/>
        </w:rPr>
        <w:t>,</w:t>
      </w:r>
      <w:r w:rsidRPr="003877DD">
        <w:rPr>
          <w:rFonts w:ascii="Verdana" w:hAnsi="Verdana"/>
        </w:rPr>
        <w:t xml:space="preserve"> a </w:t>
      </w:r>
      <w:r w:rsidRPr="003877DD">
        <w:rPr>
          <w:rFonts w:ascii="Verdana" w:hAnsi="Verdana"/>
        </w:rPr>
        <w:lastRenderedPageBreak/>
        <w:t xml:space="preserve">family member of the deceased may make a request to the ICIR for information about the death. Such a request must be made within the period of two years </w:t>
      </w:r>
      <w:r w:rsidR="00127D82">
        <w:rPr>
          <w:rFonts w:ascii="Verdana" w:hAnsi="Verdana"/>
        </w:rPr>
        <w:t>starting with</w:t>
      </w:r>
      <w:r w:rsidRPr="003877DD">
        <w:rPr>
          <w:rFonts w:ascii="Verdana" w:hAnsi="Verdana"/>
        </w:rPr>
        <w:t xml:space="preserve"> commencement of the relevant provision.</w:t>
      </w:r>
      <w:r w:rsidR="00234882">
        <w:rPr>
          <w:rFonts w:ascii="Verdana" w:hAnsi="Verdana"/>
        </w:rPr>
        <w:t xml:space="preserve"> </w:t>
      </w:r>
      <w:r w:rsidR="4B9FB679" w:rsidRPr="003877DD">
        <w:rPr>
          <w:rFonts w:ascii="Verdana" w:hAnsi="Verdana"/>
        </w:rPr>
        <w:t>It is noted that the Secretary of State</w:t>
      </w:r>
      <w:r w:rsidR="001D3C94">
        <w:rPr>
          <w:rFonts w:ascii="Verdana" w:hAnsi="Verdana"/>
        </w:rPr>
        <w:t xml:space="preserve"> for</w:t>
      </w:r>
      <w:r w:rsidR="4B9FB679" w:rsidRPr="003877DD">
        <w:rPr>
          <w:rFonts w:ascii="Verdana" w:hAnsi="Verdana"/>
        </w:rPr>
        <w:t xml:space="preserve"> NI may extend </w:t>
      </w:r>
      <w:r w:rsidR="00127D82">
        <w:rPr>
          <w:rFonts w:ascii="Verdana" w:hAnsi="Verdana"/>
        </w:rPr>
        <w:t xml:space="preserve">this </w:t>
      </w:r>
      <w:r w:rsidR="00BB1672">
        <w:rPr>
          <w:rFonts w:ascii="Verdana" w:hAnsi="Verdana"/>
        </w:rPr>
        <w:t>timeframe</w:t>
      </w:r>
      <w:r w:rsidR="4B9FB679" w:rsidRPr="003877DD">
        <w:rPr>
          <w:rFonts w:ascii="Verdana" w:hAnsi="Verdana"/>
        </w:rPr>
        <w:t xml:space="preserve"> by way of regulations. </w:t>
      </w:r>
    </w:p>
    <w:p w14:paraId="46D19ADC" w14:textId="1400D02C" w:rsidR="00165990" w:rsidRPr="003877DD" w:rsidRDefault="00B43FFD">
      <w:pPr>
        <w:ind w:left="360"/>
        <w:rPr>
          <w:rFonts w:ascii="Verdana" w:hAnsi="Verdana"/>
        </w:rPr>
      </w:pPr>
      <w:r w:rsidRPr="003877DD">
        <w:rPr>
          <w:rFonts w:ascii="Verdana" w:hAnsi="Verdana"/>
        </w:rPr>
        <w:t>Whilst the Commission appreciates the importance of ensuring the work of the ICIR is competed expeditiously</w:t>
      </w:r>
      <w:r w:rsidR="00BB1672">
        <w:rPr>
          <w:rFonts w:ascii="Verdana" w:hAnsi="Verdana"/>
        </w:rPr>
        <w:t>,</w:t>
      </w:r>
      <w:r w:rsidRPr="003877DD">
        <w:rPr>
          <w:rFonts w:ascii="Verdana" w:hAnsi="Verdana"/>
        </w:rPr>
        <w:t xml:space="preserve"> this timeframe may result in </w:t>
      </w:r>
      <w:proofErr w:type="gramStart"/>
      <w:r w:rsidRPr="003877DD">
        <w:rPr>
          <w:rFonts w:ascii="Verdana" w:hAnsi="Verdana"/>
        </w:rPr>
        <w:t>a number of</w:t>
      </w:r>
      <w:proofErr w:type="gramEnd"/>
      <w:r w:rsidRPr="003877DD">
        <w:rPr>
          <w:rFonts w:ascii="Verdana" w:hAnsi="Verdana"/>
        </w:rPr>
        <w:t xml:space="preserve"> requests from families being timed out. </w:t>
      </w:r>
    </w:p>
    <w:p w14:paraId="29F25FFC" w14:textId="56000742" w:rsidR="00B43FFD" w:rsidRPr="003877DD" w:rsidRDefault="00B43FFD" w:rsidP="3FAC11EB">
      <w:pPr>
        <w:ind w:left="360"/>
        <w:rPr>
          <w:rFonts w:ascii="Verdana" w:hAnsi="Verdana"/>
          <w:b/>
          <w:bCs/>
        </w:rPr>
      </w:pPr>
      <w:r w:rsidRPr="003877DD">
        <w:rPr>
          <w:rFonts w:ascii="Verdana" w:hAnsi="Verdana"/>
          <w:b/>
          <w:bCs/>
        </w:rPr>
        <w:t xml:space="preserve">The Commission recommends that </w:t>
      </w:r>
      <w:r w:rsidR="2FFF7761" w:rsidRPr="003877DD">
        <w:rPr>
          <w:rFonts w:ascii="Verdana" w:hAnsi="Verdana"/>
          <w:b/>
          <w:bCs/>
        </w:rPr>
        <w:t xml:space="preserve">the Committee consider </w:t>
      </w:r>
      <w:r w:rsidR="00AA7B6A">
        <w:rPr>
          <w:rFonts w:ascii="Verdana" w:hAnsi="Verdana"/>
          <w:b/>
          <w:bCs/>
        </w:rPr>
        <w:t>whether</w:t>
      </w:r>
      <w:r w:rsidR="2FFF7761" w:rsidRPr="003877DD">
        <w:rPr>
          <w:rFonts w:ascii="Verdana" w:hAnsi="Verdana"/>
          <w:b/>
          <w:bCs/>
        </w:rPr>
        <w:t xml:space="preserve"> the proposed timeframe </w:t>
      </w:r>
      <w:r w:rsidR="02E0312B" w:rsidRPr="003877DD">
        <w:rPr>
          <w:rFonts w:ascii="Verdana" w:hAnsi="Verdana"/>
          <w:b/>
          <w:bCs/>
        </w:rPr>
        <w:t xml:space="preserve">allows </w:t>
      </w:r>
      <w:r w:rsidR="2FFF7761" w:rsidRPr="003877DD">
        <w:rPr>
          <w:rFonts w:ascii="Verdana" w:hAnsi="Verdana"/>
          <w:b/>
          <w:bCs/>
        </w:rPr>
        <w:t xml:space="preserve">sufficient </w:t>
      </w:r>
      <w:r w:rsidR="45CEA026" w:rsidRPr="003877DD">
        <w:rPr>
          <w:rFonts w:ascii="Verdana" w:hAnsi="Verdana"/>
          <w:b/>
          <w:bCs/>
        </w:rPr>
        <w:t xml:space="preserve">time </w:t>
      </w:r>
      <w:r w:rsidR="2FFF7761" w:rsidRPr="003877DD">
        <w:rPr>
          <w:rFonts w:ascii="Verdana" w:hAnsi="Verdana"/>
          <w:b/>
          <w:bCs/>
        </w:rPr>
        <w:t>to ensure that</w:t>
      </w:r>
      <w:r w:rsidR="0EE99F68" w:rsidRPr="003877DD">
        <w:rPr>
          <w:rFonts w:ascii="Verdana" w:hAnsi="Verdana"/>
          <w:b/>
          <w:bCs/>
        </w:rPr>
        <w:t xml:space="preserve"> all</w:t>
      </w:r>
      <w:r w:rsidR="2FFF7761" w:rsidRPr="003877DD">
        <w:rPr>
          <w:rFonts w:ascii="Verdana" w:hAnsi="Verdana"/>
          <w:b/>
          <w:bCs/>
        </w:rPr>
        <w:t xml:space="preserve"> affected individuals will be able to make a formal request to the ICIR. </w:t>
      </w:r>
    </w:p>
    <w:p w14:paraId="046AA635" w14:textId="77777777" w:rsidR="00773466" w:rsidRDefault="00773466">
      <w:pPr>
        <w:ind w:left="360"/>
        <w:rPr>
          <w:rFonts w:ascii="Verdana" w:hAnsi="Verdana"/>
          <w:b/>
          <w:bCs/>
        </w:rPr>
      </w:pPr>
    </w:p>
    <w:p w14:paraId="46D19ADE" w14:textId="77777777" w:rsidR="00165990" w:rsidRPr="003877DD" w:rsidRDefault="00B43FFD">
      <w:pPr>
        <w:ind w:left="360"/>
        <w:rPr>
          <w:rFonts w:ascii="Verdana" w:hAnsi="Verdana"/>
          <w:b/>
          <w:bCs/>
        </w:rPr>
      </w:pPr>
      <w:r w:rsidRPr="003877DD">
        <w:rPr>
          <w:rFonts w:ascii="Verdana" w:hAnsi="Verdana"/>
          <w:b/>
          <w:bCs/>
        </w:rPr>
        <w:t xml:space="preserve">Part 9 </w:t>
      </w:r>
    </w:p>
    <w:p w14:paraId="46D19ADF" w14:textId="7DE1C3A7" w:rsidR="00165990" w:rsidRPr="003877DD" w:rsidRDefault="00B43FFD" w:rsidP="00603E93">
      <w:pPr>
        <w:spacing w:before="240" w:after="240"/>
        <w:ind w:left="357"/>
        <w:rPr>
          <w:rFonts w:ascii="Verdana" w:hAnsi="Verdana"/>
          <w:b/>
          <w:bCs/>
          <w:u w:val="single"/>
        </w:rPr>
      </w:pPr>
      <w:r w:rsidRPr="698A65C4">
        <w:rPr>
          <w:rFonts w:ascii="Verdana" w:hAnsi="Verdana"/>
          <w:b/>
          <w:bCs/>
          <w:u w:val="single"/>
        </w:rPr>
        <w:t>Clause 93 – Definition of close family member</w:t>
      </w:r>
    </w:p>
    <w:p w14:paraId="46D19AE0" w14:textId="72B0BFD7" w:rsidR="00165990" w:rsidRPr="003877DD" w:rsidRDefault="00B43FFD">
      <w:pPr>
        <w:ind w:left="360"/>
        <w:rPr>
          <w:rFonts w:ascii="Verdana" w:hAnsi="Verdana"/>
        </w:rPr>
      </w:pPr>
      <w:r w:rsidRPr="003877DD">
        <w:rPr>
          <w:rFonts w:ascii="Verdana" w:hAnsi="Verdana"/>
        </w:rPr>
        <w:t>Under Article 2 of the Victims</w:t>
      </w:r>
      <w:r w:rsidR="00AC2DDE">
        <w:rPr>
          <w:rFonts w:ascii="Verdana" w:hAnsi="Verdana"/>
        </w:rPr>
        <w:t>’</w:t>
      </w:r>
      <w:r w:rsidRPr="003877DD">
        <w:rPr>
          <w:rFonts w:ascii="Verdana" w:hAnsi="Verdana"/>
        </w:rPr>
        <w:t xml:space="preserve"> Directive, the definition of ‘victim’ includes </w:t>
      </w:r>
      <w:r w:rsidR="00B351F7">
        <w:rPr>
          <w:rFonts w:ascii="Verdana" w:hAnsi="Verdana"/>
        </w:rPr>
        <w:t xml:space="preserve">a </w:t>
      </w:r>
      <w:r w:rsidRPr="003877DD">
        <w:rPr>
          <w:rFonts w:ascii="Verdana" w:hAnsi="Verdana"/>
        </w:rPr>
        <w:t>family member of a person whose death was directly caused by a criminal offence and who ha</w:t>
      </w:r>
      <w:r w:rsidR="00211E81">
        <w:rPr>
          <w:rFonts w:ascii="Verdana" w:hAnsi="Verdana"/>
        </w:rPr>
        <w:t>s</w:t>
      </w:r>
      <w:r w:rsidRPr="003877DD">
        <w:rPr>
          <w:rFonts w:ascii="Verdana" w:hAnsi="Verdana"/>
        </w:rPr>
        <w:t xml:space="preserve"> suffered harm </w:t>
      </w:r>
      <w:proofErr w:type="gramStart"/>
      <w:r w:rsidRPr="003877DD">
        <w:rPr>
          <w:rFonts w:ascii="Verdana" w:hAnsi="Verdana"/>
        </w:rPr>
        <w:t>as a result of</w:t>
      </w:r>
      <w:proofErr w:type="gramEnd"/>
      <w:r w:rsidRPr="003877DD">
        <w:rPr>
          <w:rFonts w:ascii="Verdana" w:hAnsi="Verdana"/>
        </w:rPr>
        <w:t xml:space="preserve"> that death. ‘Family member’ is defined more </w:t>
      </w:r>
      <w:r w:rsidR="00522A9D">
        <w:rPr>
          <w:rFonts w:ascii="Verdana" w:hAnsi="Verdana"/>
        </w:rPr>
        <w:t xml:space="preserve">broadly </w:t>
      </w:r>
      <w:r w:rsidR="00A426D0">
        <w:rPr>
          <w:rFonts w:ascii="Verdana" w:hAnsi="Verdana"/>
        </w:rPr>
        <w:t xml:space="preserve">in the EU Directive </w:t>
      </w:r>
      <w:r w:rsidR="00522A9D">
        <w:rPr>
          <w:rFonts w:ascii="Verdana" w:hAnsi="Verdana"/>
        </w:rPr>
        <w:t xml:space="preserve">than under Clause 93 </w:t>
      </w:r>
      <w:r w:rsidR="00896FE3">
        <w:rPr>
          <w:rFonts w:ascii="Verdana" w:hAnsi="Verdana"/>
        </w:rPr>
        <w:t xml:space="preserve">of the Bill </w:t>
      </w:r>
      <w:r w:rsidR="00522A9D">
        <w:rPr>
          <w:rFonts w:ascii="Verdana" w:hAnsi="Verdana"/>
        </w:rPr>
        <w:t xml:space="preserve">and </w:t>
      </w:r>
      <w:r w:rsidRPr="003877DD">
        <w:rPr>
          <w:rFonts w:ascii="Verdana" w:hAnsi="Verdana"/>
        </w:rPr>
        <w:t>includ</w:t>
      </w:r>
      <w:r w:rsidR="00522A9D">
        <w:rPr>
          <w:rFonts w:ascii="Verdana" w:hAnsi="Verdana"/>
        </w:rPr>
        <w:t>es</w:t>
      </w:r>
      <w:r w:rsidRPr="003877DD">
        <w:rPr>
          <w:rFonts w:ascii="Verdana" w:hAnsi="Verdana"/>
        </w:rPr>
        <w:t xml:space="preserve"> relatives in a direct line.</w:t>
      </w:r>
    </w:p>
    <w:p w14:paraId="46D19AE1" w14:textId="77777777" w:rsidR="00165990" w:rsidRPr="003877DD" w:rsidRDefault="00B43FFD">
      <w:pPr>
        <w:ind w:left="360"/>
        <w:rPr>
          <w:rFonts w:ascii="Verdana" w:hAnsi="Verdana"/>
          <w:b/>
          <w:bCs/>
        </w:rPr>
      </w:pPr>
      <w:r w:rsidRPr="003877DD">
        <w:rPr>
          <w:rFonts w:ascii="Verdana" w:hAnsi="Verdana"/>
          <w:b/>
          <w:bCs/>
        </w:rPr>
        <w:t>The Commission recommends that the definition of close family member be amended to include relatives in a direct line, or at least grand-parents and grand-children.</w:t>
      </w:r>
    </w:p>
    <w:p w14:paraId="46D19AE2" w14:textId="77777777" w:rsidR="00165990" w:rsidRPr="003877DD" w:rsidRDefault="00165990">
      <w:pPr>
        <w:rPr>
          <w:rFonts w:ascii="Verdana" w:hAnsi="Verdana"/>
          <w:b/>
          <w:bCs/>
        </w:rPr>
      </w:pPr>
    </w:p>
    <w:p w14:paraId="46D19AE3" w14:textId="77777777" w:rsidR="00165990" w:rsidRPr="003877DD" w:rsidRDefault="00165990">
      <w:pPr>
        <w:rPr>
          <w:rFonts w:ascii="Verdana" w:hAnsi="Verdana"/>
        </w:rPr>
      </w:pPr>
    </w:p>
    <w:p w14:paraId="46D19AE4" w14:textId="77777777" w:rsidR="00165990" w:rsidRPr="003877DD" w:rsidRDefault="00165990">
      <w:pPr>
        <w:rPr>
          <w:rFonts w:ascii="Verdana" w:hAnsi="Verdana"/>
        </w:rPr>
      </w:pPr>
    </w:p>
    <w:sectPr w:rsidR="00165990" w:rsidRPr="003877DD">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D178" w14:textId="77777777" w:rsidR="000630E6" w:rsidRDefault="000630E6">
      <w:pPr>
        <w:spacing w:after="0" w:line="240" w:lineRule="auto"/>
      </w:pPr>
      <w:r>
        <w:separator/>
      </w:r>
    </w:p>
  </w:endnote>
  <w:endnote w:type="continuationSeparator" w:id="0">
    <w:p w14:paraId="1206ACA6" w14:textId="77777777" w:rsidR="000630E6" w:rsidRDefault="0006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526528"/>
      <w:docPartObj>
        <w:docPartGallery w:val="Page Numbers (Bottom of Page)"/>
        <w:docPartUnique/>
      </w:docPartObj>
    </w:sdtPr>
    <w:sdtEndPr>
      <w:rPr>
        <w:rFonts w:ascii="Verdana" w:hAnsi="Verdana"/>
      </w:rPr>
    </w:sdtEndPr>
    <w:sdtContent>
      <w:p w14:paraId="226F5D76" w14:textId="08826617" w:rsidR="00432C1F" w:rsidRPr="003D221F" w:rsidRDefault="00432C1F">
        <w:pPr>
          <w:pStyle w:val="Footer"/>
          <w:jc w:val="right"/>
          <w:rPr>
            <w:rFonts w:ascii="Verdana" w:hAnsi="Verdana"/>
          </w:rPr>
        </w:pPr>
        <w:r w:rsidRPr="003D221F">
          <w:rPr>
            <w:rFonts w:ascii="Verdana" w:hAnsi="Verdana"/>
          </w:rPr>
          <w:fldChar w:fldCharType="begin"/>
        </w:r>
        <w:r w:rsidRPr="003D221F">
          <w:rPr>
            <w:rFonts w:ascii="Verdana" w:hAnsi="Verdana"/>
          </w:rPr>
          <w:instrText>PAGE   \* MERGEFORMAT</w:instrText>
        </w:r>
        <w:r w:rsidRPr="003D221F">
          <w:rPr>
            <w:rFonts w:ascii="Verdana" w:hAnsi="Verdana"/>
          </w:rPr>
          <w:fldChar w:fldCharType="separate"/>
        </w:r>
        <w:r w:rsidRPr="003D221F">
          <w:rPr>
            <w:rFonts w:ascii="Verdana" w:hAnsi="Verdana"/>
          </w:rPr>
          <w:t>2</w:t>
        </w:r>
        <w:r w:rsidRPr="003D221F">
          <w:rPr>
            <w:rFonts w:ascii="Verdana" w:hAnsi="Verdana"/>
          </w:rPr>
          <w:fldChar w:fldCharType="end"/>
        </w:r>
      </w:p>
    </w:sdtContent>
  </w:sdt>
  <w:p w14:paraId="70F026A2" w14:textId="77777777" w:rsidR="00432C1F" w:rsidRDefault="0043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0676" w14:textId="77777777" w:rsidR="000630E6" w:rsidRDefault="000630E6">
      <w:pPr>
        <w:spacing w:after="0" w:line="240" w:lineRule="auto"/>
      </w:pPr>
      <w:r>
        <w:rPr>
          <w:color w:val="000000"/>
        </w:rPr>
        <w:separator/>
      </w:r>
    </w:p>
  </w:footnote>
  <w:footnote w:type="continuationSeparator" w:id="0">
    <w:p w14:paraId="36853BF9" w14:textId="77777777" w:rsidR="000630E6" w:rsidRDefault="000630E6">
      <w:pPr>
        <w:spacing w:after="0" w:line="240" w:lineRule="auto"/>
      </w:pPr>
      <w:r>
        <w:continuationSeparator/>
      </w:r>
    </w:p>
  </w:footnote>
  <w:footnote w:id="1">
    <w:p w14:paraId="0C68D513" w14:textId="40718640" w:rsidR="004B0D62" w:rsidRPr="0082350A" w:rsidRDefault="004B0D62">
      <w:pPr>
        <w:pStyle w:val="FootnoteText"/>
        <w:rPr>
          <w:rFonts w:ascii="Verdana" w:hAnsi="Verdana"/>
          <w:sz w:val="16"/>
          <w:szCs w:val="16"/>
        </w:rPr>
      </w:pPr>
      <w:r w:rsidRPr="0082350A">
        <w:rPr>
          <w:rStyle w:val="FootnoteReference"/>
          <w:rFonts w:ascii="Verdana" w:hAnsi="Verdana"/>
          <w:sz w:val="16"/>
          <w:szCs w:val="16"/>
        </w:rPr>
        <w:footnoteRef/>
      </w:r>
      <w:r w:rsidRPr="0082350A">
        <w:rPr>
          <w:rFonts w:ascii="Verdana" w:hAnsi="Verdana"/>
          <w:sz w:val="16"/>
          <w:szCs w:val="16"/>
        </w:rPr>
        <w:t xml:space="preserve"> </w:t>
      </w:r>
      <w:r w:rsidR="00675B1B" w:rsidRPr="0082350A">
        <w:rPr>
          <w:rFonts w:ascii="Verdana" w:hAnsi="Verdana"/>
          <w:i/>
          <w:iCs/>
          <w:color w:val="77328A"/>
          <w:sz w:val="16"/>
          <w:szCs w:val="16"/>
        </w:rPr>
        <w:t xml:space="preserve">In the Matter of an Application by Martina Dillon and Others: </w:t>
      </w:r>
      <w:r w:rsidR="00675B1B" w:rsidRPr="0082350A">
        <w:rPr>
          <w:rFonts w:ascii="Verdana" w:hAnsi="Verdana"/>
          <w:color w:val="77328A"/>
          <w:sz w:val="16"/>
          <w:szCs w:val="16"/>
        </w:rPr>
        <w:t>UKSC/2025/0013</w:t>
      </w:r>
      <w:r w:rsidR="00675B1B" w:rsidRPr="0082350A">
        <w:rPr>
          <w:rFonts w:ascii="Verdana" w:hAnsi="Verdana" w:cstheme="minorBidi"/>
          <w:color w:val="77328A"/>
          <w:sz w:val="16"/>
          <w:szCs w:val="16"/>
        </w:rPr>
        <w:t xml:space="preserve">. </w:t>
      </w:r>
      <w:r w:rsidR="00956685" w:rsidRPr="0082350A">
        <w:rPr>
          <w:rFonts w:ascii="Verdana" w:hAnsi="Verdana" w:cstheme="minorBidi"/>
          <w:color w:val="77328A"/>
          <w:sz w:val="16"/>
          <w:szCs w:val="16"/>
        </w:rPr>
        <w:t xml:space="preserve">Written submissions available </w:t>
      </w:r>
      <w:r w:rsidR="00600AC1" w:rsidRPr="0082350A">
        <w:rPr>
          <w:rFonts w:ascii="Verdana" w:hAnsi="Verdana" w:cstheme="minorBidi"/>
          <w:color w:val="77328A"/>
          <w:sz w:val="16"/>
          <w:szCs w:val="16"/>
        </w:rPr>
        <w:t xml:space="preserve">on the website of </w:t>
      </w:r>
      <w:r w:rsidR="007D093A" w:rsidRPr="0082350A">
        <w:rPr>
          <w:rFonts w:ascii="Verdana" w:hAnsi="Verdana" w:cstheme="minorBidi"/>
          <w:color w:val="77328A"/>
          <w:sz w:val="16"/>
          <w:szCs w:val="16"/>
        </w:rPr>
        <w:t>t</w:t>
      </w:r>
      <w:r w:rsidR="00675B1B" w:rsidRPr="0082350A">
        <w:rPr>
          <w:rFonts w:ascii="Verdana" w:hAnsi="Verdana" w:cstheme="minorBidi"/>
          <w:color w:val="77328A"/>
          <w:sz w:val="16"/>
          <w:szCs w:val="16"/>
        </w:rPr>
        <w:t>he Supreme Court</w:t>
      </w:r>
      <w:r w:rsidR="00C30025" w:rsidRPr="0082350A">
        <w:rPr>
          <w:rFonts w:ascii="Verdana" w:hAnsi="Verdana" w:cstheme="minorBidi"/>
          <w:color w:val="77328A"/>
          <w:sz w:val="16"/>
          <w:szCs w:val="16"/>
        </w:rPr>
        <w:t xml:space="preserve"> at:</w:t>
      </w:r>
      <w:r w:rsidR="007D093A" w:rsidRPr="0082350A">
        <w:rPr>
          <w:rFonts w:ascii="Verdana" w:hAnsi="Verdana" w:cstheme="minorBidi"/>
          <w:color w:val="77328A"/>
          <w:sz w:val="16"/>
          <w:szCs w:val="16"/>
        </w:rPr>
        <w:t xml:space="preserve"> </w:t>
      </w:r>
      <w:r w:rsidR="00364C27" w:rsidRPr="0082350A">
        <w:rPr>
          <w:rFonts w:ascii="Verdana" w:hAnsi="Verdana" w:cstheme="minorBidi"/>
          <w:color w:val="77328A"/>
          <w:sz w:val="16"/>
          <w:szCs w:val="16"/>
        </w:rPr>
        <w:t>https://www.supremecourt.uk/cases/uksc-2025-0013</w:t>
      </w:r>
      <w:r w:rsidR="00C30025" w:rsidRPr="0082350A">
        <w:rPr>
          <w:rFonts w:ascii="Verdana" w:hAnsi="Verdana" w:cstheme="minorBidi"/>
          <w:color w:val="77328A"/>
          <w:sz w:val="16"/>
          <w:szCs w:val="16"/>
        </w:rPr>
        <w:t>.</w:t>
      </w:r>
    </w:p>
  </w:footnote>
  <w:footnote w:id="2">
    <w:p w14:paraId="073D83C3" w14:textId="01F72CBE" w:rsidR="003C6242" w:rsidRPr="0082350A" w:rsidRDefault="003C6242">
      <w:pPr>
        <w:pStyle w:val="FootnoteText"/>
        <w:rPr>
          <w:rFonts w:ascii="Verdana" w:hAnsi="Verdana"/>
          <w:sz w:val="16"/>
          <w:szCs w:val="16"/>
        </w:rPr>
      </w:pPr>
      <w:r w:rsidRPr="0082350A">
        <w:rPr>
          <w:rStyle w:val="FootnoteReference"/>
          <w:rFonts w:ascii="Verdana" w:hAnsi="Verdana"/>
          <w:color w:val="77328A"/>
          <w:sz w:val="16"/>
          <w:szCs w:val="16"/>
        </w:rPr>
        <w:footnoteRef/>
      </w:r>
      <w:r w:rsidRPr="0082350A">
        <w:rPr>
          <w:rFonts w:ascii="Verdana" w:hAnsi="Verdana"/>
          <w:color w:val="77328A"/>
          <w:sz w:val="16"/>
          <w:szCs w:val="16"/>
        </w:rPr>
        <w:t xml:space="preserve"> Guide to Making Legislation</w:t>
      </w:r>
      <w:r w:rsidR="009B6BB0" w:rsidRPr="0082350A">
        <w:rPr>
          <w:rFonts w:ascii="Verdana" w:hAnsi="Verdana"/>
          <w:color w:val="77328A"/>
          <w:sz w:val="16"/>
          <w:szCs w:val="16"/>
        </w:rPr>
        <w:t xml:space="preserve"> (Cabinet Office, 2025) at para 10.53.</w:t>
      </w:r>
    </w:p>
  </w:footnote>
  <w:footnote w:id="3">
    <w:p w14:paraId="11AAD13E" w14:textId="623D846B" w:rsidR="00E11450" w:rsidRDefault="00E11450">
      <w:pPr>
        <w:pStyle w:val="FootnoteText"/>
      </w:pPr>
      <w:r w:rsidRPr="001723C8">
        <w:rPr>
          <w:rFonts w:cstheme="minorBidi"/>
          <w:color w:val="77328A"/>
          <w:sz w:val="16"/>
          <w:szCs w:val="16"/>
          <w:vertAlign w:val="superscript"/>
        </w:rPr>
        <w:footnoteRef/>
      </w:r>
      <w:r w:rsidRPr="001723C8">
        <w:rPr>
          <w:rFonts w:cstheme="minorBidi"/>
          <w:color w:val="77328A"/>
          <w:sz w:val="16"/>
          <w:szCs w:val="16"/>
        </w:rPr>
        <w:t xml:space="preserve"> </w:t>
      </w:r>
      <w:r w:rsidR="001723C8" w:rsidRPr="001723C8">
        <w:rPr>
          <w:rFonts w:cstheme="minorBidi"/>
          <w:color w:val="77328A"/>
          <w:sz w:val="16"/>
          <w:szCs w:val="16"/>
        </w:rPr>
        <w:t>Directive 2012/29/EU, ‘EU Directive of the European Parliament and of the Council Establishing Minimum Standards on the Rights, Support and Protection of Victims of Crime', 25 October 2012</w:t>
      </w:r>
    </w:p>
  </w:footnote>
  <w:footnote w:id="4">
    <w:p w14:paraId="4C5FF5B3" w14:textId="1A20F4E4" w:rsidR="00CB499F" w:rsidRDefault="00CB499F">
      <w:pPr>
        <w:pStyle w:val="FootnoteText"/>
      </w:pPr>
      <w:r w:rsidRPr="00B67482">
        <w:rPr>
          <w:rStyle w:val="FootnoteReference"/>
          <w:rFonts w:ascii="Verdana" w:hAnsi="Verdana"/>
          <w:color w:val="77328A"/>
          <w:sz w:val="16"/>
          <w:szCs w:val="16"/>
        </w:rPr>
        <w:footnoteRef/>
      </w:r>
      <w:r w:rsidR="698A65C4" w:rsidRPr="00B67482">
        <w:rPr>
          <w:rFonts w:ascii="Verdana" w:hAnsi="Verdana"/>
          <w:color w:val="77328A"/>
          <w:sz w:val="16"/>
          <w:szCs w:val="16"/>
        </w:rPr>
        <w:t xml:space="preserve"> </w:t>
      </w:r>
      <w:r w:rsidR="698A65C4" w:rsidRPr="698A65C4">
        <w:rPr>
          <w:i/>
          <w:iCs/>
          <w:color w:val="77328A"/>
          <w:sz w:val="16"/>
          <w:szCs w:val="16"/>
        </w:rPr>
        <w:t xml:space="preserve">In the Matter of an Application by Martina Dillon and Others </w:t>
      </w:r>
      <w:r w:rsidR="698A65C4" w:rsidRPr="00292BAB">
        <w:rPr>
          <w:color w:val="77328A"/>
          <w:sz w:val="16"/>
          <w:szCs w:val="16"/>
        </w:rPr>
        <w:t>[2024] NICA 59</w:t>
      </w:r>
      <w:r w:rsidR="698A65C4" w:rsidRPr="698A65C4">
        <w:rPr>
          <w:rFonts w:cstheme="minorBidi"/>
          <w:color w:val="77328A"/>
          <w:sz w:val="16"/>
          <w:szCs w:val="16"/>
        </w:rPr>
        <w:t xml:space="preserve">, at para [117] and [121]. </w:t>
      </w:r>
      <w:r w:rsidR="00F57A73">
        <w:rPr>
          <w:rFonts w:cstheme="minorBidi"/>
          <w:color w:val="77328A"/>
          <w:sz w:val="16"/>
          <w:szCs w:val="16"/>
        </w:rPr>
        <w:t>The</w:t>
      </w:r>
      <w:r w:rsidR="00BD2563">
        <w:rPr>
          <w:rFonts w:cstheme="minorBidi"/>
          <w:color w:val="77328A"/>
          <w:sz w:val="16"/>
          <w:szCs w:val="16"/>
        </w:rPr>
        <w:t xml:space="preserve"> Supreme Court heard the</w:t>
      </w:r>
      <w:r w:rsidR="00F57A73">
        <w:rPr>
          <w:rFonts w:cstheme="minorBidi"/>
          <w:color w:val="77328A"/>
          <w:sz w:val="16"/>
          <w:szCs w:val="16"/>
        </w:rPr>
        <w:t xml:space="preserve"> UK Government</w:t>
      </w:r>
      <w:r w:rsidR="007276CC">
        <w:rPr>
          <w:rFonts w:cstheme="minorBidi"/>
          <w:color w:val="77328A"/>
          <w:sz w:val="16"/>
          <w:szCs w:val="16"/>
        </w:rPr>
        <w:t>’s</w:t>
      </w:r>
      <w:r w:rsidR="00F57A73">
        <w:rPr>
          <w:rFonts w:cstheme="minorBidi"/>
          <w:color w:val="77328A"/>
          <w:sz w:val="16"/>
          <w:szCs w:val="16"/>
        </w:rPr>
        <w:t xml:space="preserve"> appeal </w:t>
      </w:r>
      <w:r w:rsidR="00B247E6">
        <w:rPr>
          <w:rFonts w:cstheme="minorBidi"/>
          <w:color w:val="77328A"/>
          <w:sz w:val="16"/>
          <w:szCs w:val="16"/>
        </w:rPr>
        <w:t>in October 2025; j</w:t>
      </w:r>
      <w:r w:rsidR="698A65C4" w:rsidRPr="698A65C4">
        <w:rPr>
          <w:rFonts w:cstheme="minorBidi"/>
          <w:color w:val="77328A"/>
          <w:sz w:val="16"/>
          <w:szCs w:val="16"/>
        </w:rPr>
        <w:t>udgment is pending</w:t>
      </w:r>
      <w:r w:rsidR="00906205">
        <w:rPr>
          <w:rFonts w:cstheme="minorBidi"/>
          <w:color w:val="77328A"/>
          <w:sz w:val="16"/>
          <w:szCs w:val="16"/>
        </w:rPr>
        <w:t xml:space="preserve"> at the time of writing</w:t>
      </w:r>
      <w:r w:rsidR="003A022A">
        <w:rPr>
          <w:rFonts w:cstheme="minorBidi"/>
          <w:color w:val="77328A"/>
          <w:sz w:val="16"/>
          <w:szCs w:val="16"/>
        </w:rPr>
        <w:t xml:space="preserve"> -</w:t>
      </w:r>
      <w:r w:rsidR="698A65C4" w:rsidRPr="698A65C4">
        <w:rPr>
          <w:rFonts w:cstheme="minorBidi"/>
          <w:color w:val="77328A"/>
          <w:sz w:val="16"/>
          <w:szCs w:val="16"/>
        </w:rPr>
        <w:t xml:space="preserve"> </w:t>
      </w:r>
      <w:r w:rsidR="698A65C4" w:rsidRPr="00FB1531">
        <w:rPr>
          <w:color w:val="77328A"/>
          <w:sz w:val="16"/>
          <w:szCs w:val="16"/>
        </w:rPr>
        <w:t>UKSC/2025/0013</w:t>
      </w:r>
      <w:r w:rsidR="003B1C80">
        <w:rPr>
          <w:color w:val="77328A"/>
          <w:sz w:val="16"/>
          <w:szCs w:val="16"/>
        </w:rPr>
        <w:t>.</w:t>
      </w:r>
    </w:p>
  </w:footnote>
  <w:footnote w:id="5">
    <w:p w14:paraId="78269C6E" w14:textId="0B587A74" w:rsidR="00B551EC" w:rsidRPr="00B3436B" w:rsidRDefault="00B551EC" w:rsidP="00B551EC">
      <w:pPr>
        <w:pStyle w:val="FootnoteText"/>
        <w:rPr>
          <w:rFonts w:ascii="Verdana" w:hAnsi="Verdana"/>
          <w:color w:val="77328A"/>
          <w:sz w:val="16"/>
          <w:szCs w:val="16"/>
        </w:rPr>
      </w:pPr>
      <w:r w:rsidRPr="00B3436B">
        <w:rPr>
          <w:rStyle w:val="FootnoteReference"/>
          <w:rFonts w:ascii="Verdana" w:hAnsi="Verdana"/>
          <w:color w:val="77328A"/>
          <w:sz w:val="16"/>
          <w:szCs w:val="16"/>
        </w:rPr>
        <w:footnoteRef/>
      </w:r>
      <w:r w:rsidR="698A65C4" w:rsidRPr="00B3436B">
        <w:rPr>
          <w:rFonts w:ascii="Verdana" w:hAnsi="Verdana"/>
          <w:color w:val="77328A"/>
          <w:sz w:val="16"/>
          <w:szCs w:val="16"/>
        </w:rPr>
        <w:t xml:space="preserve"> </w:t>
      </w:r>
      <w:r w:rsidR="0004162A" w:rsidRPr="00B3436B">
        <w:rPr>
          <w:rFonts w:ascii="Verdana" w:hAnsi="Verdana"/>
          <w:color w:val="77328A"/>
          <w:sz w:val="16"/>
          <w:szCs w:val="16"/>
        </w:rPr>
        <w:t>Recital 9, Directive 2012/29/EU, ‘Directive of the European Parliament and of the Council Establishing Minimum Standards on the Rights, Support and Protection of Victims of Crime’, 25 October 2012.</w:t>
      </w:r>
    </w:p>
  </w:footnote>
  <w:footnote w:id="6">
    <w:p w14:paraId="3AF244BE" w14:textId="77DF59A7" w:rsidR="00F977A4" w:rsidRDefault="00F977A4">
      <w:pPr>
        <w:pStyle w:val="FootnoteText"/>
      </w:pPr>
      <w:r w:rsidRPr="00B3436B">
        <w:rPr>
          <w:rStyle w:val="FootnoteReference"/>
          <w:rFonts w:ascii="Verdana" w:hAnsi="Verdana"/>
          <w:color w:val="77328A"/>
          <w:sz w:val="16"/>
          <w:szCs w:val="16"/>
        </w:rPr>
        <w:footnoteRef/>
      </w:r>
      <w:r w:rsidRPr="00B3436B">
        <w:rPr>
          <w:rFonts w:ascii="Verdana" w:hAnsi="Verdana"/>
          <w:color w:val="77328A"/>
          <w:sz w:val="16"/>
          <w:szCs w:val="16"/>
        </w:rPr>
        <w:t xml:space="preserve"> </w:t>
      </w:r>
      <w:r w:rsidR="00682A36" w:rsidRPr="00B3436B">
        <w:rPr>
          <w:rFonts w:ascii="Verdana" w:hAnsi="Verdana"/>
          <w:color w:val="77328A"/>
          <w:sz w:val="16"/>
          <w:szCs w:val="16"/>
        </w:rPr>
        <w:t>Article 25 and Recitals 61 and 62, Directive 2012/29/EU, ‘Directive of the European Parliament and of the Council Establishing Minimum Standards on the Rights, Support and Protection of Victims of Crime’, 25 October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252C0"/>
    <w:multiLevelType w:val="multilevel"/>
    <w:tmpl w:val="8A101D8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 w15:restartNumberingAfterBreak="0">
    <w:nsid w:val="2FF5149F"/>
    <w:multiLevelType w:val="multilevel"/>
    <w:tmpl w:val="8DA450C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39324218">
    <w:abstractNumId w:val="1"/>
  </w:num>
  <w:num w:numId="2" w16cid:durableId="1181435960">
    <w:abstractNumId w:val="1"/>
    <w:lvlOverride w:ilvl="0">
      <w:startOverride w:val="1"/>
    </w:lvlOverride>
    <w:lvlOverride w:ilvl="1">
      <w:startOverride w:val="1"/>
    </w:lvlOverride>
  </w:num>
  <w:num w:numId="3" w16cid:durableId="125620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90"/>
    <w:rsid w:val="00004F19"/>
    <w:rsid w:val="00007CB5"/>
    <w:rsid w:val="00037818"/>
    <w:rsid w:val="0004162A"/>
    <w:rsid w:val="00045E5C"/>
    <w:rsid w:val="00047B3F"/>
    <w:rsid w:val="00062ADF"/>
    <w:rsid w:val="000630E6"/>
    <w:rsid w:val="00077918"/>
    <w:rsid w:val="000B5A9B"/>
    <w:rsid w:val="000C346D"/>
    <w:rsid w:val="000D096B"/>
    <w:rsid w:val="000E0940"/>
    <w:rsid w:val="000E35AF"/>
    <w:rsid w:val="000E43FA"/>
    <w:rsid w:val="000F7278"/>
    <w:rsid w:val="00111FE6"/>
    <w:rsid w:val="001252C8"/>
    <w:rsid w:val="00127D82"/>
    <w:rsid w:val="00130670"/>
    <w:rsid w:val="001365D6"/>
    <w:rsid w:val="001407C3"/>
    <w:rsid w:val="0014666B"/>
    <w:rsid w:val="00147164"/>
    <w:rsid w:val="00153092"/>
    <w:rsid w:val="0016117F"/>
    <w:rsid w:val="00164983"/>
    <w:rsid w:val="00165990"/>
    <w:rsid w:val="00167631"/>
    <w:rsid w:val="0017166D"/>
    <w:rsid w:val="001723C8"/>
    <w:rsid w:val="00175BF7"/>
    <w:rsid w:val="00180719"/>
    <w:rsid w:val="00185294"/>
    <w:rsid w:val="001951FA"/>
    <w:rsid w:val="001A2B23"/>
    <w:rsid w:val="001B269D"/>
    <w:rsid w:val="001B559E"/>
    <w:rsid w:val="001D3C94"/>
    <w:rsid w:val="00203861"/>
    <w:rsid w:val="00211E81"/>
    <w:rsid w:val="00234882"/>
    <w:rsid w:val="00234A01"/>
    <w:rsid w:val="002401E1"/>
    <w:rsid w:val="0024387F"/>
    <w:rsid w:val="0024417A"/>
    <w:rsid w:val="00260E98"/>
    <w:rsid w:val="00263E83"/>
    <w:rsid w:val="00273F01"/>
    <w:rsid w:val="00277CE7"/>
    <w:rsid w:val="00280F50"/>
    <w:rsid w:val="002B6378"/>
    <w:rsid w:val="002C3EFD"/>
    <w:rsid w:val="002E3E09"/>
    <w:rsid w:val="002F7B42"/>
    <w:rsid w:val="00313923"/>
    <w:rsid w:val="003241C1"/>
    <w:rsid w:val="00343EB2"/>
    <w:rsid w:val="00353F64"/>
    <w:rsid w:val="00364C27"/>
    <w:rsid w:val="003734E5"/>
    <w:rsid w:val="00377116"/>
    <w:rsid w:val="003877DD"/>
    <w:rsid w:val="00387C21"/>
    <w:rsid w:val="00393419"/>
    <w:rsid w:val="00394CB0"/>
    <w:rsid w:val="003A022A"/>
    <w:rsid w:val="003B1C80"/>
    <w:rsid w:val="003C1A9C"/>
    <w:rsid w:val="003C6242"/>
    <w:rsid w:val="003C6D48"/>
    <w:rsid w:val="003C730F"/>
    <w:rsid w:val="003D221F"/>
    <w:rsid w:val="003D6548"/>
    <w:rsid w:val="003D72BE"/>
    <w:rsid w:val="003F0CDD"/>
    <w:rsid w:val="003F60FA"/>
    <w:rsid w:val="004063FE"/>
    <w:rsid w:val="004208DB"/>
    <w:rsid w:val="004246C1"/>
    <w:rsid w:val="00430323"/>
    <w:rsid w:val="004325BD"/>
    <w:rsid w:val="00432C1F"/>
    <w:rsid w:val="00436EEB"/>
    <w:rsid w:val="00437118"/>
    <w:rsid w:val="00476746"/>
    <w:rsid w:val="0049671C"/>
    <w:rsid w:val="004A006D"/>
    <w:rsid w:val="004A30C9"/>
    <w:rsid w:val="004A5C4C"/>
    <w:rsid w:val="004B0D62"/>
    <w:rsid w:val="004D390E"/>
    <w:rsid w:val="004E2EE3"/>
    <w:rsid w:val="004F162F"/>
    <w:rsid w:val="005223CF"/>
    <w:rsid w:val="00522A9D"/>
    <w:rsid w:val="005350A8"/>
    <w:rsid w:val="005413A4"/>
    <w:rsid w:val="00541BC2"/>
    <w:rsid w:val="00542026"/>
    <w:rsid w:val="00574E5C"/>
    <w:rsid w:val="00590571"/>
    <w:rsid w:val="005A0573"/>
    <w:rsid w:val="005A6DA3"/>
    <w:rsid w:val="005B15DC"/>
    <w:rsid w:val="005B1824"/>
    <w:rsid w:val="005D7687"/>
    <w:rsid w:val="005F05FC"/>
    <w:rsid w:val="005F2514"/>
    <w:rsid w:val="005F4421"/>
    <w:rsid w:val="005F571C"/>
    <w:rsid w:val="00600AC1"/>
    <w:rsid w:val="00603E93"/>
    <w:rsid w:val="006177CD"/>
    <w:rsid w:val="00622950"/>
    <w:rsid w:val="00626D28"/>
    <w:rsid w:val="0066044D"/>
    <w:rsid w:val="00663259"/>
    <w:rsid w:val="00675B1B"/>
    <w:rsid w:val="00682A36"/>
    <w:rsid w:val="00694FD6"/>
    <w:rsid w:val="006A7897"/>
    <w:rsid w:val="006B0E24"/>
    <w:rsid w:val="006C2D06"/>
    <w:rsid w:val="006C559C"/>
    <w:rsid w:val="006D78F9"/>
    <w:rsid w:val="006F4D62"/>
    <w:rsid w:val="006F64F9"/>
    <w:rsid w:val="00700587"/>
    <w:rsid w:val="00702AC6"/>
    <w:rsid w:val="0071121E"/>
    <w:rsid w:val="0072093C"/>
    <w:rsid w:val="007276CC"/>
    <w:rsid w:val="00730CE8"/>
    <w:rsid w:val="00730DF0"/>
    <w:rsid w:val="00736026"/>
    <w:rsid w:val="00744743"/>
    <w:rsid w:val="007460BB"/>
    <w:rsid w:val="007473E7"/>
    <w:rsid w:val="007524A9"/>
    <w:rsid w:val="007538FD"/>
    <w:rsid w:val="0076499A"/>
    <w:rsid w:val="00770153"/>
    <w:rsid w:val="00773466"/>
    <w:rsid w:val="00773660"/>
    <w:rsid w:val="00783193"/>
    <w:rsid w:val="00790B2A"/>
    <w:rsid w:val="00791C85"/>
    <w:rsid w:val="007B3AF0"/>
    <w:rsid w:val="007C2DA0"/>
    <w:rsid w:val="007C67A3"/>
    <w:rsid w:val="007C7E83"/>
    <w:rsid w:val="007D093A"/>
    <w:rsid w:val="007E55AC"/>
    <w:rsid w:val="0080473B"/>
    <w:rsid w:val="00813EAD"/>
    <w:rsid w:val="0082350A"/>
    <w:rsid w:val="00841437"/>
    <w:rsid w:val="00843727"/>
    <w:rsid w:val="00884132"/>
    <w:rsid w:val="00886A8F"/>
    <w:rsid w:val="00892758"/>
    <w:rsid w:val="00896FE3"/>
    <w:rsid w:val="008B5F4A"/>
    <w:rsid w:val="008D54D0"/>
    <w:rsid w:val="00906205"/>
    <w:rsid w:val="009119A3"/>
    <w:rsid w:val="009142F0"/>
    <w:rsid w:val="00922002"/>
    <w:rsid w:val="009303BD"/>
    <w:rsid w:val="00933932"/>
    <w:rsid w:val="0095301E"/>
    <w:rsid w:val="00955C43"/>
    <w:rsid w:val="00956685"/>
    <w:rsid w:val="0097791A"/>
    <w:rsid w:val="00990D4B"/>
    <w:rsid w:val="009A39A1"/>
    <w:rsid w:val="009A748D"/>
    <w:rsid w:val="009B12D6"/>
    <w:rsid w:val="009B2814"/>
    <w:rsid w:val="009B2D11"/>
    <w:rsid w:val="009B6BB0"/>
    <w:rsid w:val="009E1371"/>
    <w:rsid w:val="009E6090"/>
    <w:rsid w:val="009F6DC9"/>
    <w:rsid w:val="00A05AA9"/>
    <w:rsid w:val="00A06DC9"/>
    <w:rsid w:val="00A10FAC"/>
    <w:rsid w:val="00A22732"/>
    <w:rsid w:val="00A25B20"/>
    <w:rsid w:val="00A26F49"/>
    <w:rsid w:val="00A279AD"/>
    <w:rsid w:val="00A30A3F"/>
    <w:rsid w:val="00A31DAE"/>
    <w:rsid w:val="00A426D0"/>
    <w:rsid w:val="00A46C65"/>
    <w:rsid w:val="00A60030"/>
    <w:rsid w:val="00A6114C"/>
    <w:rsid w:val="00A76678"/>
    <w:rsid w:val="00A810F9"/>
    <w:rsid w:val="00A8408B"/>
    <w:rsid w:val="00A86300"/>
    <w:rsid w:val="00A86BE9"/>
    <w:rsid w:val="00A9273A"/>
    <w:rsid w:val="00AA32BB"/>
    <w:rsid w:val="00AA5D12"/>
    <w:rsid w:val="00AA7B6A"/>
    <w:rsid w:val="00AB2064"/>
    <w:rsid w:val="00AB4A12"/>
    <w:rsid w:val="00AC1F88"/>
    <w:rsid w:val="00AC2DDE"/>
    <w:rsid w:val="00AD3F65"/>
    <w:rsid w:val="00AF0989"/>
    <w:rsid w:val="00AF11B4"/>
    <w:rsid w:val="00AF5C8C"/>
    <w:rsid w:val="00B02716"/>
    <w:rsid w:val="00B03CA5"/>
    <w:rsid w:val="00B04311"/>
    <w:rsid w:val="00B12BE1"/>
    <w:rsid w:val="00B247E6"/>
    <w:rsid w:val="00B27846"/>
    <w:rsid w:val="00B3436B"/>
    <w:rsid w:val="00B351F7"/>
    <w:rsid w:val="00B43FFD"/>
    <w:rsid w:val="00B46713"/>
    <w:rsid w:val="00B551EC"/>
    <w:rsid w:val="00B67482"/>
    <w:rsid w:val="00B73419"/>
    <w:rsid w:val="00B808CE"/>
    <w:rsid w:val="00B848D6"/>
    <w:rsid w:val="00B850B5"/>
    <w:rsid w:val="00BA6ACB"/>
    <w:rsid w:val="00BB1672"/>
    <w:rsid w:val="00BC59B2"/>
    <w:rsid w:val="00BD2563"/>
    <w:rsid w:val="00BD6ED7"/>
    <w:rsid w:val="00BE38A0"/>
    <w:rsid w:val="00BF5D16"/>
    <w:rsid w:val="00BF6D8D"/>
    <w:rsid w:val="00C02C1A"/>
    <w:rsid w:val="00C30025"/>
    <w:rsid w:val="00C30829"/>
    <w:rsid w:val="00C3713A"/>
    <w:rsid w:val="00C40AFA"/>
    <w:rsid w:val="00C42EE2"/>
    <w:rsid w:val="00C511FC"/>
    <w:rsid w:val="00C742C0"/>
    <w:rsid w:val="00C82140"/>
    <w:rsid w:val="00C8368C"/>
    <w:rsid w:val="00C911B1"/>
    <w:rsid w:val="00CB499F"/>
    <w:rsid w:val="00CC301D"/>
    <w:rsid w:val="00CC6DC7"/>
    <w:rsid w:val="00CD62B1"/>
    <w:rsid w:val="00CF084D"/>
    <w:rsid w:val="00CF5F12"/>
    <w:rsid w:val="00D000E2"/>
    <w:rsid w:val="00D06F14"/>
    <w:rsid w:val="00D30171"/>
    <w:rsid w:val="00D31B13"/>
    <w:rsid w:val="00D34C70"/>
    <w:rsid w:val="00D44FD1"/>
    <w:rsid w:val="00D516AB"/>
    <w:rsid w:val="00D51ED8"/>
    <w:rsid w:val="00D646EE"/>
    <w:rsid w:val="00D7213E"/>
    <w:rsid w:val="00D735C7"/>
    <w:rsid w:val="00D77A98"/>
    <w:rsid w:val="00D85527"/>
    <w:rsid w:val="00D97691"/>
    <w:rsid w:val="00DA0D92"/>
    <w:rsid w:val="00DB2D13"/>
    <w:rsid w:val="00DC2C6C"/>
    <w:rsid w:val="00DC2DD4"/>
    <w:rsid w:val="00DD7290"/>
    <w:rsid w:val="00E01760"/>
    <w:rsid w:val="00E11450"/>
    <w:rsid w:val="00E2168E"/>
    <w:rsid w:val="00E230B4"/>
    <w:rsid w:val="00E465A9"/>
    <w:rsid w:val="00E509D6"/>
    <w:rsid w:val="00E65E22"/>
    <w:rsid w:val="00E74E0E"/>
    <w:rsid w:val="00E801FD"/>
    <w:rsid w:val="00E96870"/>
    <w:rsid w:val="00E96B87"/>
    <w:rsid w:val="00EA1548"/>
    <w:rsid w:val="00EC66B6"/>
    <w:rsid w:val="00ED2C59"/>
    <w:rsid w:val="00ED2E02"/>
    <w:rsid w:val="00EE01A8"/>
    <w:rsid w:val="00EE1344"/>
    <w:rsid w:val="00EF2FEE"/>
    <w:rsid w:val="00F06F77"/>
    <w:rsid w:val="00F226FD"/>
    <w:rsid w:val="00F334F3"/>
    <w:rsid w:val="00F57A73"/>
    <w:rsid w:val="00F72371"/>
    <w:rsid w:val="00F87DF3"/>
    <w:rsid w:val="00F903F9"/>
    <w:rsid w:val="00F977A4"/>
    <w:rsid w:val="00FC709D"/>
    <w:rsid w:val="00FE5E3C"/>
    <w:rsid w:val="00FF2DE7"/>
    <w:rsid w:val="015994B0"/>
    <w:rsid w:val="02E0312B"/>
    <w:rsid w:val="0380E93C"/>
    <w:rsid w:val="03CDB9FA"/>
    <w:rsid w:val="052D5DFC"/>
    <w:rsid w:val="06E972C4"/>
    <w:rsid w:val="091356AA"/>
    <w:rsid w:val="094D6D9E"/>
    <w:rsid w:val="094E69FA"/>
    <w:rsid w:val="09A1C210"/>
    <w:rsid w:val="0A2B1548"/>
    <w:rsid w:val="0B046B0A"/>
    <w:rsid w:val="0CAB239C"/>
    <w:rsid w:val="0D9CD80B"/>
    <w:rsid w:val="0EE99F68"/>
    <w:rsid w:val="1073F545"/>
    <w:rsid w:val="130CA74B"/>
    <w:rsid w:val="131D8538"/>
    <w:rsid w:val="15259470"/>
    <w:rsid w:val="15682D7C"/>
    <w:rsid w:val="1594F805"/>
    <w:rsid w:val="167EEEB5"/>
    <w:rsid w:val="1698628C"/>
    <w:rsid w:val="16E9058A"/>
    <w:rsid w:val="18672CE6"/>
    <w:rsid w:val="19DBC18A"/>
    <w:rsid w:val="1A343E0A"/>
    <w:rsid w:val="1E3A4319"/>
    <w:rsid w:val="1F586A53"/>
    <w:rsid w:val="211C7936"/>
    <w:rsid w:val="2192696F"/>
    <w:rsid w:val="22310AC6"/>
    <w:rsid w:val="23E51524"/>
    <w:rsid w:val="24FBDA3C"/>
    <w:rsid w:val="25ED0D5D"/>
    <w:rsid w:val="27DA582F"/>
    <w:rsid w:val="28AC32EB"/>
    <w:rsid w:val="2973DE1C"/>
    <w:rsid w:val="2A44CA00"/>
    <w:rsid w:val="2CEC2ACA"/>
    <w:rsid w:val="2E59BD37"/>
    <w:rsid w:val="2EC1012E"/>
    <w:rsid w:val="2EC27E73"/>
    <w:rsid w:val="2ECCCDF9"/>
    <w:rsid w:val="2EEE6950"/>
    <w:rsid w:val="2F16A37D"/>
    <w:rsid w:val="2FBBB4A3"/>
    <w:rsid w:val="2FFF7761"/>
    <w:rsid w:val="344A96AF"/>
    <w:rsid w:val="364F15A4"/>
    <w:rsid w:val="373A28D3"/>
    <w:rsid w:val="38241A83"/>
    <w:rsid w:val="3B97F369"/>
    <w:rsid w:val="3EDA906C"/>
    <w:rsid w:val="3FAC11EB"/>
    <w:rsid w:val="40DE2F11"/>
    <w:rsid w:val="427837A0"/>
    <w:rsid w:val="42A93CB0"/>
    <w:rsid w:val="43B74250"/>
    <w:rsid w:val="45279CB3"/>
    <w:rsid w:val="45CEA026"/>
    <w:rsid w:val="474EBD9E"/>
    <w:rsid w:val="4B84F0F9"/>
    <w:rsid w:val="4B9FB679"/>
    <w:rsid w:val="4BFB8EDE"/>
    <w:rsid w:val="4C76F817"/>
    <w:rsid w:val="4DDD42A7"/>
    <w:rsid w:val="4E6C97FF"/>
    <w:rsid w:val="4F6A737D"/>
    <w:rsid w:val="50CB525C"/>
    <w:rsid w:val="52787FF1"/>
    <w:rsid w:val="5323E7E2"/>
    <w:rsid w:val="542EDB38"/>
    <w:rsid w:val="56C471D9"/>
    <w:rsid w:val="57198381"/>
    <w:rsid w:val="57FC5577"/>
    <w:rsid w:val="59F4D9AD"/>
    <w:rsid w:val="5A0A7370"/>
    <w:rsid w:val="5AF10658"/>
    <w:rsid w:val="5B25E8A2"/>
    <w:rsid w:val="5C32E00E"/>
    <w:rsid w:val="5D12FAF4"/>
    <w:rsid w:val="5D9BDAA9"/>
    <w:rsid w:val="5DAD5305"/>
    <w:rsid w:val="5F0B29FC"/>
    <w:rsid w:val="5FCFFD1A"/>
    <w:rsid w:val="60172BE7"/>
    <w:rsid w:val="613B2D09"/>
    <w:rsid w:val="61CAABB6"/>
    <w:rsid w:val="63EE0EF5"/>
    <w:rsid w:val="65450AD2"/>
    <w:rsid w:val="65EDA5BC"/>
    <w:rsid w:val="66AF4D0B"/>
    <w:rsid w:val="676BB07E"/>
    <w:rsid w:val="698A65C4"/>
    <w:rsid w:val="69E4178A"/>
    <w:rsid w:val="69FBF618"/>
    <w:rsid w:val="6DCB5757"/>
    <w:rsid w:val="6F031317"/>
    <w:rsid w:val="6F621322"/>
    <w:rsid w:val="7181DBB1"/>
    <w:rsid w:val="728FF3FE"/>
    <w:rsid w:val="72A41929"/>
    <w:rsid w:val="738DD188"/>
    <w:rsid w:val="73A1DC4F"/>
    <w:rsid w:val="7436F24B"/>
    <w:rsid w:val="7436F5D2"/>
    <w:rsid w:val="749BA535"/>
    <w:rsid w:val="75303FA4"/>
    <w:rsid w:val="757A8C1F"/>
    <w:rsid w:val="759BED64"/>
    <w:rsid w:val="7931BB81"/>
    <w:rsid w:val="79877DBB"/>
    <w:rsid w:val="7A1A145B"/>
    <w:rsid w:val="7D0C5E35"/>
    <w:rsid w:val="7E84239C"/>
    <w:rsid w:val="7EB86CE1"/>
    <w:rsid w:val="7EEE23EE"/>
    <w:rsid w:val="7F91C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19A8D"/>
  <w15:docId w15:val="{7E2E44D2-EBB2-4D18-B75F-40B6058F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CommentReference">
    <w:name w:val="annotation reference"/>
    <w:basedOn w:val="DefaultParagraphFont"/>
    <w:uiPriority w:val="99"/>
    <w:semiHidden/>
    <w:unhideWhenUsed/>
    <w:rsid w:val="002F7B42"/>
    <w:rPr>
      <w:sz w:val="16"/>
      <w:szCs w:val="16"/>
    </w:rPr>
  </w:style>
  <w:style w:type="paragraph" w:styleId="CommentText">
    <w:name w:val="annotation text"/>
    <w:basedOn w:val="Normal"/>
    <w:link w:val="CommentTextChar"/>
    <w:uiPriority w:val="99"/>
    <w:unhideWhenUsed/>
    <w:rsid w:val="002F7B42"/>
    <w:pPr>
      <w:spacing w:line="240" w:lineRule="auto"/>
    </w:pPr>
    <w:rPr>
      <w:sz w:val="20"/>
      <w:szCs w:val="20"/>
    </w:rPr>
  </w:style>
  <w:style w:type="character" w:customStyle="1" w:styleId="CommentTextChar">
    <w:name w:val="Comment Text Char"/>
    <w:basedOn w:val="DefaultParagraphFont"/>
    <w:link w:val="CommentText"/>
    <w:uiPriority w:val="99"/>
    <w:rsid w:val="002F7B42"/>
    <w:rPr>
      <w:sz w:val="20"/>
      <w:szCs w:val="20"/>
    </w:rPr>
  </w:style>
  <w:style w:type="paragraph" w:styleId="CommentSubject">
    <w:name w:val="annotation subject"/>
    <w:basedOn w:val="CommentText"/>
    <w:next w:val="CommentText"/>
    <w:link w:val="CommentSubjectChar"/>
    <w:uiPriority w:val="99"/>
    <w:semiHidden/>
    <w:unhideWhenUsed/>
    <w:rsid w:val="002F7B42"/>
    <w:rPr>
      <w:b/>
      <w:bCs/>
    </w:rPr>
  </w:style>
  <w:style w:type="character" w:customStyle="1" w:styleId="CommentSubjectChar">
    <w:name w:val="Comment Subject Char"/>
    <w:basedOn w:val="CommentTextChar"/>
    <w:link w:val="CommentSubject"/>
    <w:uiPriority w:val="99"/>
    <w:semiHidden/>
    <w:rsid w:val="002F7B42"/>
    <w:rPr>
      <w:b/>
      <w:bCs/>
      <w:sz w:val="20"/>
      <w:szCs w:val="20"/>
    </w:rPr>
  </w:style>
  <w:style w:type="paragraph" w:styleId="Revision">
    <w:name w:val="Revision"/>
    <w:hidden/>
    <w:uiPriority w:val="99"/>
    <w:semiHidden/>
    <w:rsid w:val="00892758"/>
    <w:pPr>
      <w:autoSpaceDN/>
      <w:spacing w:after="0" w:line="240" w:lineRule="auto"/>
    </w:pPr>
  </w:style>
  <w:style w:type="paragraph" w:styleId="Header">
    <w:name w:val="header"/>
    <w:basedOn w:val="Normal"/>
    <w:link w:val="HeaderChar"/>
    <w:uiPriority w:val="99"/>
    <w:unhideWhenUsed/>
    <w:rsid w:val="00590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571"/>
  </w:style>
  <w:style w:type="paragraph" w:styleId="Footer">
    <w:name w:val="footer"/>
    <w:basedOn w:val="Normal"/>
    <w:link w:val="FooterChar"/>
    <w:uiPriority w:val="99"/>
    <w:unhideWhenUsed/>
    <w:rsid w:val="00590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571"/>
  </w:style>
  <w:style w:type="paragraph" w:styleId="FootnoteText">
    <w:name w:val="footnote text"/>
    <w:basedOn w:val="Normal"/>
    <w:link w:val="FootnoteTextChar"/>
    <w:uiPriority w:val="99"/>
    <w:semiHidden/>
    <w:unhideWhenUsed/>
    <w:rsid w:val="00CB49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99F"/>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CB499F"/>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B551EC"/>
    <w:pPr>
      <w:suppressAutoHyphens w:val="0"/>
      <w:autoSpaceDN/>
      <w:spacing w:line="240" w:lineRule="exact"/>
      <w:jc w:val="both"/>
    </w:pPr>
    <w:rPr>
      <w:vertAlign w:val="superscript"/>
    </w:rPr>
  </w:style>
  <w:style w:type="character" w:styleId="Mention">
    <w:name w:val="Mention"/>
    <w:basedOn w:val="DefaultParagraphFont"/>
    <w:uiPriority w:val="99"/>
    <w:unhideWhenUsed/>
    <w:rsid w:val="00B46713"/>
    <w:rPr>
      <w:color w:val="2B579A"/>
      <w:shd w:val="clear" w:color="auto" w:fill="E1DFDD"/>
    </w:rPr>
  </w:style>
  <w:style w:type="character" w:styleId="UnresolvedMention">
    <w:name w:val="Unresolved Mention"/>
    <w:basedOn w:val="DefaultParagraphFont"/>
    <w:uiPriority w:val="99"/>
    <w:semiHidden/>
    <w:unhideWhenUsed/>
    <w:rsid w:val="00A30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daab8b30142d374ae42466f231ec49e9">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16fa7a5c208df5f1d86ea22d455dc5d6"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2D8FB-C28E-4721-B577-B3CD586DD6FB}">
  <ds:schemaRefs>
    <ds:schemaRef ds:uri="http://schemas.microsoft.com/sharepoint/v3/contenttype/forms"/>
  </ds:schemaRefs>
</ds:datastoreItem>
</file>

<file path=customXml/itemProps2.xml><?xml version="1.0" encoding="utf-8"?>
<ds:datastoreItem xmlns:ds="http://schemas.openxmlformats.org/officeDocument/2006/customXml" ds:itemID="{0FC34E62-F58E-4FE7-8FC2-65C0E2694E8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550A6C79-EFE8-41EA-A74D-E4FE807704AB}">
  <ds:schemaRefs>
    <ds:schemaRef ds:uri="http://schemas.openxmlformats.org/officeDocument/2006/bibliography"/>
  </ds:schemaRefs>
</ds:datastoreItem>
</file>

<file path=customXml/itemProps4.xml><?xml version="1.0" encoding="utf-8"?>
<ds:datastoreItem xmlns:ds="http://schemas.openxmlformats.org/officeDocument/2006/customXml" ds:itemID="{CFE823C3-6DE4-4B75-82B4-378C5107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2361</Words>
  <Characters>12633</Characters>
  <Application>Microsoft Office Word</Application>
  <DocSecurity>0</DocSecurity>
  <Lines>263</Lines>
  <Paragraphs>73</Paragraphs>
  <ScaleCrop>false</ScaleCrop>
  <Company/>
  <LinksUpToDate>false</LinksUpToDate>
  <CharactersWithSpaces>14921</CharactersWithSpaces>
  <SharedDoc>false</SharedDoc>
  <HLinks>
    <vt:vector size="6" baseType="variant">
      <vt:variant>
        <vt:i4>6881286</vt:i4>
      </vt:variant>
      <vt:variant>
        <vt:i4>0</vt:i4>
      </vt:variant>
      <vt:variant>
        <vt:i4>0</vt:i4>
      </vt:variant>
      <vt:variant>
        <vt:i4>5</vt:i4>
      </vt:variant>
      <vt:variant>
        <vt:lpwstr>mailto:Colin.Caughey@nihrc.org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Caughey</dc:creator>
  <dc:description/>
  <cp:lastModifiedBy>Natalia Gima</cp:lastModifiedBy>
  <cp:revision>3</cp:revision>
  <cp:lastPrinted>2025-11-24T15:08:00Z</cp:lastPrinted>
  <dcterms:created xsi:type="dcterms:W3CDTF">2025-10-28T17:39:00Z</dcterms:created>
  <dcterms:modified xsi:type="dcterms:W3CDTF">2025-11-24T15:08:00Z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2092dfe5-a507-4501-a42f-7d3f2b55ab78</vt:lpwstr>
  </property>
  <property fmtid="{D5CDD505-2E9C-101B-9397-08002B2CF9AE}" pid="3" name="ContentTypeId">
    <vt:lpwstr>0x010100F41320E77E35C644A511CBC5C12B0A0B</vt:lpwstr>
  </property>
  <property fmtid="{D5CDD505-2E9C-101B-9397-08002B2CF9AE}" pid="4" name="MediaServiceImageTags">
    <vt:lpwstr/>
  </property>
</Properties>
</file>