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DD96" w14:textId="459C0ED3" w:rsidR="00CE0514" w:rsidRDefault="00CE0514" w:rsidP="00CE0514">
      <w:pPr>
        <w:pStyle w:val="BasicParagraph"/>
        <w:suppressAutoHyphens/>
        <w:jc w:val="center"/>
        <w:rPr>
          <w:rFonts w:ascii="Verdana" w:hAnsi="Verdana" w:cs="Arial"/>
          <w:b/>
          <w:bCs/>
          <w:color w:val="734791"/>
          <w:sz w:val="36"/>
          <w:szCs w:val="36"/>
        </w:rPr>
      </w:pPr>
      <w:r>
        <w:rPr>
          <w:noProof/>
        </w:rPr>
        <w:drawing>
          <wp:inline distT="0" distB="0" distL="0" distR="0" wp14:anchorId="3286AB80" wp14:editId="2A97BC8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p>
    <w:p w14:paraId="740EB4A2" w14:textId="77777777" w:rsidR="00CE0514" w:rsidRPr="00EA12CE" w:rsidRDefault="00CE0514" w:rsidP="00CE0514">
      <w:pPr>
        <w:pStyle w:val="BasicParagraph"/>
        <w:suppressAutoHyphens/>
        <w:jc w:val="center"/>
        <w:rPr>
          <w:rFonts w:ascii="Verdana" w:hAnsi="Verdana" w:cs="Arial"/>
          <w:b/>
          <w:bCs/>
          <w:color w:val="734791"/>
          <w:sz w:val="36"/>
          <w:szCs w:val="36"/>
        </w:rPr>
      </w:pPr>
    </w:p>
    <w:p w14:paraId="73348F54" w14:textId="77777777" w:rsidR="00CE0514" w:rsidRDefault="00CE0514" w:rsidP="00CE0514">
      <w:pPr>
        <w:pStyle w:val="BasicParagraph"/>
        <w:suppressAutoHyphens/>
        <w:jc w:val="center"/>
        <w:rPr>
          <w:rFonts w:ascii="Verdana" w:hAnsi="Verdana" w:cs="Arial"/>
          <w:b/>
          <w:bCs/>
          <w:color w:val="77328A"/>
          <w:sz w:val="36"/>
          <w:szCs w:val="36"/>
        </w:rPr>
      </w:pPr>
    </w:p>
    <w:p w14:paraId="426B79AF" w14:textId="0CC73F6A" w:rsidR="00CE0514" w:rsidRPr="003B7D0E" w:rsidRDefault="00CE0514" w:rsidP="2EBB169D">
      <w:pPr>
        <w:pStyle w:val="BasicParagraph"/>
        <w:suppressAutoHyphens/>
        <w:jc w:val="center"/>
        <w:rPr>
          <w:rFonts w:ascii="Verdana" w:hAnsi="Verdana" w:cs="Arial"/>
          <w:b/>
          <w:bCs/>
          <w:color w:val="77328A"/>
          <w:sz w:val="36"/>
          <w:szCs w:val="36"/>
        </w:rPr>
      </w:pPr>
      <w:bookmarkStart w:id="0" w:name="_Hlk156900984"/>
      <w:r w:rsidRPr="2EBB169D">
        <w:rPr>
          <w:rFonts w:ascii="Verdana" w:hAnsi="Verdana" w:cs="Arial"/>
          <w:b/>
          <w:bCs/>
          <w:color w:val="77328A"/>
          <w:sz w:val="36"/>
          <w:szCs w:val="36"/>
        </w:rPr>
        <w:t>Advice on the Safety of Rwanda (Asylum and Immigration) Bill</w:t>
      </w:r>
    </w:p>
    <w:bookmarkEnd w:id="0"/>
    <w:p w14:paraId="30280544" w14:textId="77777777" w:rsidR="00CE0514" w:rsidRDefault="00CE0514" w:rsidP="00CE0514">
      <w:pPr>
        <w:pStyle w:val="Default"/>
        <w:spacing w:line="288" w:lineRule="auto"/>
        <w:jc w:val="center"/>
        <w:rPr>
          <w:rFonts w:cs="Arial"/>
          <w:color w:val="232120"/>
          <w:sz w:val="36"/>
          <w:szCs w:val="36"/>
        </w:rPr>
      </w:pPr>
    </w:p>
    <w:p w14:paraId="0A5EE19D" w14:textId="77777777" w:rsidR="00CE0514" w:rsidRDefault="00CE0514" w:rsidP="00CE0514">
      <w:pPr>
        <w:pStyle w:val="Default"/>
        <w:spacing w:line="288" w:lineRule="auto"/>
        <w:jc w:val="center"/>
        <w:rPr>
          <w:rFonts w:cs="Arial"/>
          <w:color w:val="232120"/>
          <w:sz w:val="36"/>
          <w:szCs w:val="36"/>
        </w:rPr>
      </w:pPr>
    </w:p>
    <w:p w14:paraId="75020AB1" w14:textId="77777777" w:rsidR="00CE0514" w:rsidRDefault="00CE0514" w:rsidP="00CE0514">
      <w:pPr>
        <w:pStyle w:val="Default"/>
        <w:spacing w:line="288" w:lineRule="auto"/>
        <w:jc w:val="center"/>
        <w:rPr>
          <w:rFonts w:cs="Arial"/>
          <w:color w:val="232120"/>
          <w:sz w:val="36"/>
          <w:szCs w:val="36"/>
        </w:rPr>
      </w:pPr>
    </w:p>
    <w:p w14:paraId="6A610D27" w14:textId="77777777" w:rsidR="00CE0514" w:rsidRDefault="00CE0514" w:rsidP="00CE0514">
      <w:pPr>
        <w:pStyle w:val="Default"/>
        <w:spacing w:line="288" w:lineRule="auto"/>
        <w:jc w:val="center"/>
        <w:rPr>
          <w:rFonts w:cs="Arial"/>
          <w:color w:val="232120"/>
          <w:sz w:val="36"/>
          <w:szCs w:val="36"/>
        </w:rPr>
      </w:pPr>
    </w:p>
    <w:p w14:paraId="28427DE4" w14:textId="77777777" w:rsidR="00CE0514" w:rsidRDefault="00CE0514" w:rsidP="00CE0514">
      <w:pPr>
        <w:pStyle w:val="Default"/>
        <w:spacing w:line="288" w:lineRule="auto"/>
        <w:jc w:val="center"/>
        <w:rPr>
          <w:rFonts w:cs="Arial"/>
          <w:color w:val="232120"/>
          <w:sz w:val="36"/>
          <w:szCs w:val="36"/>
        </w:rPr>
      </w:pPr>
    </w:p>
    <w:p w14:paraId="19E45CD0" w14:textId="77777777" w:rsidR="00CE0514" w:rsidRPr="00331C61" w:rsidRDefault="00CE0514" w:rsidP="00CE0514">
      <w:pPr>
        <w:pStyle w:val="Default"/>
        <w:spacing w:line="288" w:lineRule="auto"/>
        <w:jc w:val="center"/>
        <w:rPr>
          <w:rFonts w:cs="Arial"/>
          <w:color w:val="232120"/>
          <w:sz w:val="36"/>
          <w:szCs w:val="36"/>
        </w:rPr>
      </w:pPr>
    </w:p>
    <w:p w14:paraId="68C947E4" w14:textId="7A57655B" w:rsidR="00CE0514" w:rsidRPr="00331C61" w:rsidRDefault="56C44340" w:rsidP="00CE0514">
      <w:pPr>
        <w:jc w:val="center"/>
        <w:rPr>
          <w:rFonts w:cs="Arial"/>
          <w:b/>
          <w:color w:val="232120"/>
          <w:sz w:val="30"/>
          <w:szCs w:val="30"/>
        </w:rPr>
      </w:pPr>
      <w:r w:rsidRPr="7AF87BC1">
        <w:rPr>
          <w:rFonts w:cs="Arial"/>
          <w:b/>
          <w:bCs/>
          <w:color w:val="232120"/>
          <w:sz w:val="30"/>
          <w:szCs w:val="30"/>
        </w:rPr>
        <w:t>January 2024</w:t>
      </w:r>
    </w:p>
    <w:p w14:paraId="0CD7D5BD" w14:textId="77777777" w:rsidR="00CE0514" w:rsidRDefault="00CE0514" w:rsidP="00CE0514"/>
    <w:p w14:paraId="4F2F7A51" w14:textId="77777777" w:rsidR="00CE0514" w:rsidRDefault="00CE0514" w:rsidP="00CE0514"/>
    <w:p w14:paraId="6B745A47" w14:textId="77777777" w:rsidR="00CE0514" w:rsidRDefault="00CE0514" w:rsidP="00CE0514">
      <w:r>
        <w:br w:type="page"/>
      </w:r>
    </w:p>
    <w:sdt>
      <w:sdtPr>
        <w:rPr>
          <w:rFonts w:ascii="Verdana" w:eastAsiaTheme="minorEastAsia" w:hAnsi="Verdana" w:cstheme="minorBidi"/>
          <w:b/>
          <w:bCs/>
          <w:noProof/>
          <w:color w:val="auto"/>
          <w:sz w:val="24"/>
          <w:szCs w:val="24"/>
          <w:lang w:val="en" w:eastAsia="en-GB"/>
        </w:rPr>
        <w:id w:val="1888515693"/>
        <w:docPartObj>
          <w:docPartGallery w:val="Table of Contents"/>
          <w:docPartUnique/>
        </w:docPartObj>
      </w:sdtPr>
      <w:sdtContent>
        <w:p w14:paraId="69B8425D" w14:textId="77777777" w:rsidR="00CE0514" w:rsidRDefault="00CE0514" w:rsidP="00CE0514">
          <w:pPr>
            <w:pStyle w:val="TOCHeading"/>
            <w:rPr>
              <w:rFonts w:ascii="Verdana" w:hAnsi="Verdana"/>
              <w:b/>
              <w:bCs/>
              <w:color w:val="77328A"/>
            </w:rPr>
          </w:pPr>
          <w:r w:rsidRPr="006B0D35">
            <w:rPr>
              <w:rFonts w:ascii="Verdana" w:hAnsi="Verdana"/>
              <w:b/>
              <w:bCs/>
              <w:color w:val="77328A"/>
            </w:rPr>
            <w:t>Table of Contents</w:t>
          </w:r>
        </w:p>
        <w:p w14:paraId="5CD6CB44" w14:textId="77777777" w:rsidR="00CE0514" w:rsidRPr="006B0D35" w:rsidRDefault="00CE0514" w:rsidP="00CE0514">
          <w:pPr>
            <w:rPr>
              <w:lang w:val="en-US"/>
            </w:rPr>
          </w:pPr>
        </w:p>
        <w:p w14:paraId="6F06C19D" w14:textId="0F247CD1" w:rsidR="00E53A04" w:rsidRDefault="02374508">
          <w:pPr>
            <w:pStyle w:val="TOC1"/>
            <w:rPr>
              <w:rFonts w:asciiTheme="minorHAnsi" w:hAnsiTheme="minorHAnsi"/>
              <w:b w:val="0"/>
              <w:bCs w:val="0"/>
              <w:kern w:val="2"/>
              <w:sz w:val="22"/>
              <w:szCs w:val="22"/>
              <w:lang w:val="en-GB"/>
              <w14:ligatures w14:val="standardContextual"/>
            </w:rPr>
          </w:pPr>
          <w:r>
            <w:fldChar w:fldCharType="begin"/>
          </w:r>
          <w:r w:rsidR="00CE0514">
            <w:instrText>TOC \o "1-3" \h \z \u</w:instrText>
          </w:r>
          <w:r>
            <w:fldChar w:fldCharType="separate"/>
          </w:r>
          <w:hyperlink w:anchor="_Toc156823312" w:history="1">
            <w:r w:rsidR="00E53A04" w:rsidRPr="00097BB4">
              <w:rPr>
                <w:rStyle w:val="Hyperlink"/>
              </w:rPr>
              <w:t>Summary of Advice and Recommendations</w:t>
            </w:r>
            <w:r w:rsidR="00E53A04">
              <w:rPr>
                <w:webHidden/>
              </w:rPr>
              <w:tab/>
            </w:r>
            <w:r w:rsidR="00E53A04">
              <w:rPr>
                <w:webHidden/>
              </w:rPr>
              <w:fldChar w:fldCharType="begin"/>
            </w:r>
            <w:r w:rsidR="00E53A04">
              <w:rPr>
                <w:webHidden/>
              </w:rPr>
              <w:instrText xml:space="preserve"> PAGEREF _Toc156823312 \h </w:instrText>
            </w:r>
            <w:r w:rsidR="00E53A04">
              <w:rPr>
                <w:webHidden/>
              </w:rPr>
            </w:r>
            <w:r w:rsidR="00E53A04">
              <w:rPr>
                <w:webHidden/>
              </w:rPr>
              <w:fldChar w:fldCharType="separate"/>
            </w:r>
            <w:r w:rsidR="00A7071D">
              <w:rPr>
                <w:webHidden/>
              </w:rPr>
              <w:t>3</w:t>
            </w:r>
            <w:r w:rsidR="00E53A04">
              <w:rPr>
                <w:webHidden/>
              </w:rPr>
              <w:fldChar w:fldCharType="end"/>
            </w:r>
          </w:hyperlink>
        </w:p>
        <w:p w14:paraId="713EA908" w14:textId="0C5AC27C" w:rsidR="00E53A04" w:rsidRDefault="00000000">
          <w:pPr>
            <w:pStyle w:val="TOC1"/>
            <w:rPr>
              <w:rFonts w:asciiTheme="minorHAnsi" w:hAnsiTheme="minorHAnsi"/>
              <w:b w:val="0"/>
              <w:bCs w:val="0"/>
              <w:kern w:val="2"/>
              <w:sz w:val="22"/>
              <w:szCs w:val="22"/>
              <w:lang w:val="en-GB"/>
              <w14:ligatures w14:val="standardContextual"/>
            </w:rPr>
          </w:pPr>
          <w:hyperlink w:anchor="_Toc156823313" w:history="1">
            <w:r w:rsidR="00E53A04" w:rsidRPr="00097BB4">
              <w:rPr>
                <w:rStyle w:val="Hyperlink"/>
              </w:rPr>
              <w:t>1.0</w:t>
            </w:r>
            <w:r w:rsidR="00E53A04">
              <w:rPr>
                <w:rFonts w:asciiTheme="minorHAnsi" w:hAnsiTheme="minorHAnsi"/>
                <w:b w:val="0"/>
                <w:bCs w:val="0"/>
                <w:kern w:val="2"/>
                <w:sz w:val="22"/>
                <w:szCs w:val="22"/>
                <w:lang w:val="en-GB"/>
                <w14:ligatures w14:val="standardContextual"/>
              </w:rPr>
              <w:tab/>
            </w:r>
            <w:r w:rsidR="00E53A04" w:rsidRPr="00097BB4">
              <w:rPr>
                <w:rStyle w:val="Hyperlink"/>
              </w:rPr>
              <w:t>Introduction</w:t>
            </w:r>
            <w:r w:rsidR="00E53A04">
              <w:rPr>
                <w:webHidden/>
              </w:rPr>
              <w:tab/>
            </w:r>
            <w:r w:rsidR="00E53A04">
              <w:rPr>
                <w:webHidden/>
              </w:rPr>
              <w:fldChar w:fldCharType="begin"/>
            </w:r>
            <w:r w:rsidR="00E53A04">
              <w:rPr>
                <w:webHidden/>
              </w:rPr>
              <w:instrText xml:space="preserve"> PAGEREF _Toc156823313 \h </w:instrText>
            </w:r>
            <w:r w:rsidR="00E53A04">
              <w:rPr>
                <w:webHidden/>
              </w:rPr>
            </w:r>
            <w:r w:rsidR="00E53A04">
              <w:rPr>
                <w:webHidden/>
              </w:rPr>
              <w:fldChar w:fldCharType="separate"/>
            </w:r>
            <w:r w:rsidR="00A7071D">
              <w:rPr>
                <w:webHidden/>
              </w:rPr>
              <w:t>6</w:t>
            </w:r>
            <w:r w:rsidR="00E53A04">
              <w:rPr>
                <w:webHidden/>
              </w:rPr>
              <w:fldChar w:fldCharType="end"/>
            </w:r>
          </w:hyperlink>
        </w:p>
        <w:p w14:paraId="0BE781A2" w14:textId="0FE07B5E" w:rsidR="00E53A04" w:rsidRDefault="00000000">
          <w:pPr>
            <w:pStyle w:val="TOC1"/>
            <w:rPr>
              <w:rFonts w:asciiTheme="minorHAnsi" w:hAnsiTheme="minorHAnsi"/>
              <w:b w:val="0"/>
              <w:bCs w:val="0"/>
              <w:kern w:val="2"/>
              <w:sz w:val="22"/>
              <w:szCs w:val="22"/>
              <w:lang w:val="en-GB"/>
              <w14:ligatures w14:val="standardContextual"/>
            </w:rPr>
          </w:pPr>
          <w:hyperlink w:anchor="_Toc156823314" w:history="1">
            <w:r w:rsidR="00E53A04" w:rsidRPr="00097BB4">
              <w:rPr>
                <w:rStyle w:val="Hyperlink"/>
              </w:rPr>
              <w:t>2.0</w:t>
            </w:r>
            <w:r w:rsidR="00E53A04">
              <w:rPr>
                <w:rFonts w:asciiTheme="minorHAnsi" w:hAnsiTheme="minorHAnsi"/>
                <w:b w:val="0"/>
                <w:bCs w:val="0"/>
                <w:kern w:val="2"/>
                <w:sz w:val="22"/>
                <w:szCs w:val="22"/>
                <w:lang w:val="en-GB"/>
                <w14:ligatures w14:val="standardContextual"/>
              </w:rPr>
              <w:tab/>
            </w:r>
            <w:r w:rsidR="00E53A04" w:rsidRPr="00097BB4">
              <w:rPr>
                <w:rStyle w:val="Hyperlink"/>
              </w:rPr>
              <w:t>Statement of Compatibility</w:t>
            </w:r>
            <w:r w:rsidR="00E53A04">
              <w:rPr>
                <w:webHidden/>
              </w:rPr>
              <w:tab/>
            </w:r>
            <w:r w:rsidR="00E53A04">
              <w:rPr>
                <w:webHidden/>
              </w:rPr>
              <w:fldChar w:fldCharType="begin"/>
            </w:r>
            <w:r w:rsidR="00E53A04">
              <w:rPr>
                <w:webHidden/>
              </w:rPr>
              <w:instrText xml:space="preserve"> PAGEREF _Toc156823314 \h </w:instrText>
            </w:r>
            <w:r w:rsidR="00E53A04">
              <w:rPr>
                <w:webHidden/>
              </w:rPr>
            </w:r>
            <w:r w:rsidR="00E53A04">
              <w:rPr>
                <w:webHidden/>
              </w:rPr>
              <w:fldChar w:fldCharType="separate"/>
            </w:r>
            <w:r w:rsidR="00A7071D">
              <w:rPr>
                <w:webHidden/>
              </w:rPr>
              <w:t>6</w:t>
            </w:r>
            <w:r w:rsidR="00E53A04">
              <w:rPr>
                <w:webHidden/>
              </w:rPr>
              <w:fldChar w:fldCharType="end"/>
            </w:r>
          </w:hyperlink>
        </w:p>
        <w:p w14:paraId="4B64E2B7" w14:textId="664C5235" w:rsidR="00E53A04" w:rsidRDefault="00000000">
          <w:pPr>
            <w:pStyle w:val="TOC1"/>
            <w:rPr>
              <w:rFonts w:asciiTheme="minorHAnsi" w:hAnsiTheme="minorHAnsi"/>
              <w:b w:val="0"/>
              <w:bCs w:val="0"/>
              <w:kern w:val="2"/>
              <w:sz w:val="22"/>
              <w:szCs w:val="22"/>
              <w:lang w:val="en-GB"/>
              <w14:ligatures w14:val="standardContextual"/>
            </w:rPr>
          </w:pPr>
          <w:hyperlink w:anchor="_Toc156823315" w:history="1">
            <w:r w:rsidR="00E53A04" w:rsidRPr="00097BB4">
              <w:rPr>
                <w:rStyle w:val="Hyperlink"/>
              </w:rPr>
              <w:t>3.0</w:t>
            </w:r>
            <w:r w:rsidR="00E53A04">
              <w:rPr>
                <w:rFonts w:asciiTheme="minorHAnsi" w:hAnsiTheme="minorHAnsi"/>
                <w:b w:val="0"/>
                <w:bCs w:val="0"/>
                <w:kern w:val="2"/>
                <w:sz w:val="22"/>
                <w:szCs w:val="22"/>
                <w:lang w:val="en-GB"/>
                <w14:ligatures w14:val="standardContextual"/>
              </w:rPr>
              <w:tab/>
            </w:r>
            <w:r w:rsidR="00E53A04" w:rsidRPr="00097BB4">
              <w:rPr>
                <w:rStyle w:val="Hyperlink"/>
              </w:rPr>
              <w:t>Article 2 of the Windsor Framework and the Continuing Relevance of EU Asylum Law in NI</w:t>
            </w:r>
            <w:r w:rsidR="00E53A04">
              <w:rPr>
                <w:webHidden/>
              </w:rPr>
              <w:tab/>
            </w:r>
            <w:r w:rsidR="00E53A04">
              <w:rPr>
                <w:webHidden/>
              </w:rPr>
              <w:fldChar w:fldCharType="begin"/>
            </w:r>
            <w:r w:rsidR="00E53A04">
              <w:rPr>
                <w:webHidden/>
              </w:rPr>
              <w:instrText xml:space="preserve"> PAGEREF _Toc156823315 \h </w:instrText>
            </w:r>
            <w:r w:rsidR="00E53A04">
              <w:rPr>
                <w:webHidden/>
              </w:rPr>
            </w:r>
            <w:r w:rsidR="00E53A04">
              <w:rPr>
                <w:webHidden/>
              </w:rPr>
              <w:fldChar w:fldCharType="separate"/>
            </w:r>
            <w:r w:rsidR="00A7071D">
              <w:rPr>
                <w:webHidden/>
              </w:rPr>
              <w:t>7</w:t>
            </w:r>
            <w:r w:rsidR="00E53A04">
              <w:rPr>
                <w:webHidden/>
              </w:rPr>
              <w:fldChar w:fldCharType="end"/>
            </w:r>
          </w:hyperlink>
        </w:p>
        <w:p w14:paraId="785A6F87" w14:textId="6264324D" w:rsidR="00E53A04" w:rsidRDefault="00000000">
          <w:pPr>
            <w:pStyle w:val="TOC1"/>
            <w:rPr>
              <w:rFonts w:asciiTheme="minorHAnsi" w:hAnsiTheme="minorHAnsi"/>
              <w:b w:val="0"/>
              <w:bCs w:val="0"/>
              <w:kern w:val="2"/>
              <w:sz w:val="22"/>
              <w:szCs w:val="22"/>
              <w:lang w:val="en-GB"/>
              <w14:ligatures w14:val="standardContextual"/>
            </w:rPr>
          </w:pPr>
          <w:hyperlink w:anchor="_Toc156823316" w:history="1">
            <w:r w:rsidR="00E53A04" w:rsidRPr="00097BB4">
              <w:rPr>
                <w:rStyle w:val="Hyperlink"/>
              </w:rPr>
              <w:t>4.0</w:t>
            </w:r>
            <w:r w:rsidR="00E53A04">
              <w:rPr>
                <w:rFonts w:asciiTheme="minorHAnsi" w:hAnsiTheme="minorHAnsi"/>
                <w:b w:val="0"/>
                <w:bCs w:val="0"/>
                <w:kern w:val="2"/>
                <w:sz w:val="22"/>
                <w:szCs w:val="22"/>
                <w:lang w:val="en-GB"/>
                <w14:ligatures w14:val="standardContextual"/>
              </w:rPr>
              <w:tab/>
            </w:r>
            <w:r w:rsidR="00E53A04" w:rsidRPr="00097BB4">
              <w:rPr>
                <w:rStyle w:val="Hyperlink"/>
              </w:rPr>
              <w:t>Clause 1: Relationship with International Law</w:t>
            </w:r>
            <w:r w:rsidR="00E53A04">
              <w:rPr>
                <w:webHidden/>
              </w:rPr>
              <w:tab/>
            </w:r>
            <w:r w:rsidR="00E53A04">
              <w:rPr>
                <w:webHidden/>
              </w:rPr>
              <w:fldChar w:fldCharType="begin"/>
            </w:r>
            <w:r w:rsidR="00E53A04">
              <w:rPr>
                <w:webHidden/>
              </w:rPr>
              <w:instrText xml:space="preserve"> PAGEREF _Toc156823316 \h </w:instrText>
            </w:r>
            <w:r w:rsidR="00E53A04">
              <w:rPr>
                <w:webHidden/>
              </w:rPr>
            </w:r>
            <w:r w:rsidR="00E53A04">
              <w:rPr>
                <w:webHidden/>
              </w:rPr>
              <w:fldChar w:fldCharType="separate"/>
            </w:r>
            <w:r w:rsidR="00A7071D">
              <w:rPr>
                <w:webHidden/>
              </w:rPr>
              <w:t>12</w:t>
            </w:r>
            <w:r w:rsidR="00E53A04">
              <w:rPr>
                <w:webHidden/>
              </w:rPr>
              <w:fldChar w:fldCharType="end"/>
            </w:r>
          </w:hyperlink>
        </w:p>
        <w:p w14:paraId="40758135" w14:textId="1A29AC69" w:rsidR="00E53A04" w:rsidRDefault="00000000">
          <w:pPr>
            <w:pStyle w:val="TOC1"/>
            <w:rPr>
              <w:rFonts w:asciiTheme="minorHAnsi" w:hAnsiTheme="minorHAnsi"/>
              <w:b w:val="0"/>
              <w:bCs w:val="0"/>
              <w:kern w:val="2"/>
              <w:sz w:val="22"/>
              <w:szCs w:val="22"/>
              <w:lang w:val="en-GB"/>
              <w14:ligatures w14:val="standardContextual"/>
            </w:rPr>
          </w:pPr>
          <w:hyperlink w:anchor="_Toc156823317" w:history="1">
            <w:r w:rsidR="00E53A04" w:rsidRPr="00097BB4">
              <w:rPr>
                <w:rStyle w:val="Hyperlink"/>
              </w:rPr>
              <w:t>5.0</w:t>
            </w:r>
            <w:r w:rsidR="00E53A04">
              <w:rPr>
                <w:rFonts w:asciiTheme="minorHAnsi" w:hAnsiTheme="minorHAnsi"/>
                <w:b w:val="0"/>
                <w:bCs w:val="0"/>
                <w:kern w:val="2"/>
                <w:sz w:val="22"/>
                <w:szCs w:val="22"/>
                <w:lang w:val="en-GB"/>
                <w14:ligatures w14:val="standardContextual"/>
              </w:rPr>
              <w:tab/>
            </w:r>
            <w:r w:rsidR="00E53A04" w:rsidRPr="00097BB4">
              <w:rPr>
                <w:rStyle w:val="Hyperlink"/>
              </w:rPr>
              <w:t>Clause 2: Safety of Rwanda</w:t>
            </w:r>
            <w:r w:rsidR="00E53A04">
              <w:rPr>
                <w:webHidden/>
              </w:rPr>
              <w:tab/>
            </w:r>
            <w:r w:rsidR="00E53A04">
              <w:rPr>
                <w:webHidden/>
              </w:rPr>
              <w:fldChar w:fldCharType="begin"/>
            </w:r>
            <w:r w:rsidR="00E53A04">
              <w:rPr>
                <w:webHidden/>
              </w:rPr>
              <w:instrText xml:space="preserve"> PAGEREF _Toc156823317 \h </w:instrText>
            </w:r>
            <w:r w:rsidR="00E53A04">
              <w:rPr>
                <w:webHidden/>
              </w:rPr>
            </w:r>
            <w:r w:rsidR="00E53A04">
              <w:rPr>
                <w:webHidden/>
              </w:rPr>
              <w:fldChar w:fldCharType="separate"/>
            </w:r>
            <w:r w:rsidR="00A7071D">
              <w:rPr>
                <w:webHidden/>
              </w:rPr>
              <w:t>15</w:t>
            </w:r>
            <w:r w:rsidR="00E53A04">
              <w:rPr>
                <w:webHidden/>
              </w:rPr>
              <w:fldChar w:fldCharType="end"/>
            </w:r>
          </w:hyperlink>
        </w:p>
        <w:p w14:paraId="76EAAF22" w14:textId="4EA45013" w:rsidR="00E53A04" w:rsidRDefault="00000000">
          <w:pPr>
            <w:pStyle w:val="TOC2"/>
            <w:tabs>
              <w:tab w:val="right" w:leader="dot" w:pos="9016"/>
            </w:tabs>
            <w:rPr>
              <w:rFonts w:asciiTheme="minorHAnsi" w:hAnsiTheme="minorHAnsi"/>
              <w:noProof/>
              <w:kern w:val="2"/>
              <w:sz w:val="22"/>
              <w:szCs w:val="22"/>
              <w:lang w:eastAsia="en-GB"/>
              <w14:ligatures w14:val="standardContextual"/>
            </w:rPr>
          </w:pPr>
          <w:hyperlink w:anchor="_Toc156823318" w:history="1">
            <w:r w:rsidR="00E53A04" w:rsidRPr="00097BB4">
              <w:rPr>
                <w:rStyle w:val="Hyperlink"/>
                <w:noProof/>
              </w:rPr>
              <w:t>Risk of Refoulement</w:t>
            </w:r>
            <w:r w:rsidR="00E53A04">
              <w:rPr>
                <w:noProof/>
                <w:webHidden/>
              </w:rPr>
              <w:tab/>
            </w:r>
            <w:r w:rsidR="00E53A04">
              <w:rPr>
                <w:noProof/>
                <w:webHidden/>
              </w:rPr>
              <w:fldChar w:fldCharType="begin"/>
            </w:r>
            <w:r w:rsidR="00E53A04">
              <w:rPr>
                <w:noProof/>
                <w:webHidden/>
              </w:rPr>
              <w:instrText xml:space="preserve"> PAGEREF _Toc156823318 \h </w:instrText>
            </w:r>
            <w:r w:rsidR="00E53A04">
              <w:rPr>
                <w:noProof/>
                <w:webHidden/>
              </w:rPr>
            </w:r>
            <w:r w:rsidR="00E53A04">
              <w:rPr>
                <w:noProof/>
                <w:webHidden/>
              </w:rPr>
              <w:fldChar w:fldCharType="separate"/>
            </w:r>
            <w:r w:rsidR="00A7071D">
              <w:rPr>
                <w:noProof/>
                <w:webHidden/>
              </w:rPr>
              <w:t>19</w:t>
            </w:r>
            <w:r w:rsidR="00E53A04">
              <w:rPr>
                <w:noProof/>
                <w:webHidden/>
              </w:rPr>
              <w:fldChar w:fldCharType="end"/>
            </w:r>
          </w:hyperlink>
        </w:p>
        <w:p w14:paraId="244DA63C" w14:textId="0061DB76" w:rsidR="00E53A04" w:rsidRDefault="00000000">
          <w:pPr>
            <w:pStyle w:val="TOC2"/>
            <w:tabs>
              <w:tab w:val="right" w:leader="dot" w:pos="9016"/>
            </w:tabs>
            <w:rPr>
              <w:rFonts w:asciiTheme="minorHAnsi" w:hAnsiTheme="minorHAnsi"/>
              <w:noProof/>
              <w:kern w:val="2"/>
              <w:sz w:val="22"/>
              <w:szCs w:val="22"/>
              <w:lang w:eastAsia="en-GB"/>
              <w14:ligatures w14:val="standardContextual"/>
            </w:rPr>
          </w:pPr>
          <w:hyperlink w:anchor="_Toc156823319" w:history="1">
            <w:r w:rsidR="00E53A04" w:rsidRPr="00097BB4">
              <w:rPr>
                <w:rStyle w:val="Hyperlink"/>
                <w:noProof/>
              </w:rPr>
              <w:t>Constitutional Implications</w:t>
            </w:r>
            <w:r w:rsidR="00E53A04">
              <w:rPr>
                <w:noProof/>
                <w:webHidden/>
              </w:rPr>
              <w:tab/>
            </w:r>
            <w:r w:rsidR="00E53A04">
              <w:rPr>
                <w:noProof/>
                <w:webHidden/>
              </w:rPr>
              <w:fldChar w:fldCharType="begin"/>
            </w:r>
            <w:r w:rsidR="00E53A04">
              <w:rPr>
                <w:noProof/>
                <w:webHidden/>
              </w:rPr>
              <w:instrText xml:space="preserve"> PAGEREF _Toc156823319 \h </w:instrText>
            </w:r>
            <w:r w:rsidR="00E53A04">
              <w:rPr>
                <w:noProof/>
                <w:webHidden/>
              </w:rPr>
            </w:r>
            <w:r w:rsidR="00E53A04">
              <w:rPr>
                <w:noProof/>
                <w:webHidden/>
              </w:rPr>
              <w:fldChar w:fldCharType="separate"/>
            </w:r>
            <w:r w:rsidR="00A7071D">
              <w:rPr>
                <w:noProof/>
                <w:webHidden/>
              </w:rPr>
              <w:t>22</w:t>
            </w:r>
            <w:r w:rsidR="00E53A04">
              <w:rPr>
                <w:noProof/>
                <w:webHidden/>
              </w:rPr>
              <w:fldChar w:fldCharType="end"/>
            </w:r>
          </w:hyperlink>
        </w:p>
        <w:p w14:paraId="51EF2170" w14:textId="679855A0" w:rsidR="00E53A04" w:rsidRDefault="00000000">
          <w:pPr>
            <w:pStyle w:val="TOC2"/>
            <w:tabs>
              <w:tab w:val="right" w:leader="dot" w:pos="9016"/>
            </w:tabs>
            <w:rPr>
              <w:rFonts w:asciiTheme="minorHAnsi" w:hAnsiTheme="minorHAnsi"/>
              <w:noProof/>
              <w:kern w:val="2"/>
              <w:sz w:val="22"/>
              <w:szCs w:val="22"/>
              <w:lang w:eastAsia="en-GB"/>
              <w14:ligatures w14:val="standardContextual"/>
            </w:rPr>
          </w:pPr>
          <w:hyperlink w:anchor="_Toc156823320" w:history="1">
            <w:r w:rsidR="00E53A04" w:rsidRPr="00097BB4">
              <w:rPr>
                <w:rStyle w:val="Hyperlink"/>
                <w:noProof/>
              </w:rPr>
              <w:t>The right to an effective remedy under relevant EU law</w:t>
            </w:r>
            <w:r w:rsidR="00E53A04">
              <w:rPr>
                <w:noProof/>
                <w:webHidden/>
              </w:rPr>
              <w:tab/>
            </w:r>
            <w:r w:rsidR="00E53A04">
              <w:rPr>
                <w:noProof/>
                <w:webHidden/>
              </w:rPr>
              <w:fldChar w:fldCharType="begin"/>
            </w:r>
            <w:r w:rsidR="00E53A04">
              <w:rPr>
                <w:noProof/>
                <w:webHidden/>
              </w:rPr>
              <w:instrText xml:space="preserve"> PAGEREF _Toc156823320 \h </w:instrText>
            </w:r>
            <w:r w:rsidR="00E53A04">
              <w:rPr>
                <w:noProof/>
                <w:webHidden/>
              </w:rPr>
            </w:r>
            <w:r w:rsidR="00E53A04">
              <w:rPr>
                <w:noProof/>
                <w:webHidden/>
              </w:rPr>
              <w:fldChar w:fldCharType="separate"/>
            </w:r>
            <w:r w:rsidR="00A7071D">
              <w:rPr>
                <w:noProof/>
                <w:webHidden/>
              </w:rPr>
              <w:t>23</w:t>
            </w:r>
            <w:r w:rsidR="00E53A04">
              <w:rPr>
                <w:noProof/>
                <w:webHidden/>
              </w:rPr>
              <w:fldChar w:fldCharType="end"/>
            </w:r>
          </w:hyperlink>
        </w:p>
        <w:p w14:paraId="5DE2B721" w14:textId="2831AE8A" w:rsidR="00E53A04" w:rsidRDefault="00000000">
          <w:pPr>
            <w:pStyle w:val="TOC1"/>
            <w:rPr>
              <w:rFonts w:asciiTheme="minorHAnsi" w:hAnsiTheme="minorHAnsi"/>
              <w:b w:val="0"/>
              <w:bCs w:val="0"/>
              <w:kern w:val="2"/>
              <w:sz w:val="22"/>
              <w:szCs w:val="22"/>
              <w:lang w:val="en-GB"/>
              <w14:ligatures w14:val="standardContextual"/>
            </w:rPr>
          </w:pPr>
          <w:hyperlink w:anchor="_Toc156823321" w:history="1">
            <w:r w:rsidR="00E53A04" w:rsidRPr="00097BB4">
              <w:rPr>
                <w:rStyle w:val="Hyperlink"/>
              </w:rPr>
              <w:t>6.0</w:t>
            </w:r>
            <w:r w:rsidR="00E53A04">
              <w:rPr>
                <w:rFonts w:asciiTheme="minorHAnsi" w:hAnsiTheme="minorHAnsi"/>
                <w:b w:val="0"/>
                <w:bCs w:val="0"/>
                <w:kern w:val="2"/>
                <w:sz w:val="22"/>
                <w:szCs w:val="22"/>
                <w:lang w:val="en-GB"/>
                <w14:ligatures w14:val="standardContextual"/>
              </w:rPr>
              <w:tab/>
            </w:r>
            <w:r w:rsidR="00E53A04" w:rsidRPr="00097BB4">
              <w:rPr>
                <w:rStyle w:val="Hyperlink"/>
              </w:rPr>
              <w:t>Clause 3 and the Human Rights Act 1998</w:t>
            </w:r>
            <w:r w:rsidR="00E53A04">
              <w:rPr>
                <w:webHidden/>
              </w:rPr>
              <w:tab/>
            </w:r>
            <w:r w:rsidR="00E53A04">
              <w:rPr>
                <w:webHidden/>
              </w:rPr>
              <w:fldChar w:fldCharType="begin"/>
            </w:r>
            <w:r w:rsidR="00E53A04">
              <w:rPr>
                <w:webHidden/>
              </w:rPr>
              <w:instrText xml:space="preserve"> PAGEREF _Toc156823321 \h </w:instrText>
            </w:r>
            <w:r w:rsidR="00E53A04">
              <w:rPr>
                <w:webHidden/>
              </w:rPr>
            </w:r>
            <w:r w:rsidR="00E53A04">
              <w:rPr>
                <w:webHidden/>
              </w:rPr>
              <w:fldChar w:fldCharType="separate"/>
            </w:r>
            <w:r w:rsidR="00A7071D">
              <w:rPr>
                <w:webHidden/>
              </w:rPr>
              <w:t>24</w:t>
            </w:r>
            <w:r w:rsidR="00E53A04">
              <w:rPr>
                <w:webHidden/>
              </w:rPr>
              <w:fldChar w:fldCharType="end"/>
            </w:r>
          </w:hyperlink>
        </w:p>
        <w:p w14:paraId="5D9846FA" w14:textId="7EAE0D74" w:rsidR="00E53A04" w:rsidRDefault="00000000">
          <w:pPr>
            <w:pStyle w:val="TOC1"/>
            <w:rPr>
              <w:rFonts w:asciiTheme="minorHAnsi" w:hAnsiTheme="minorHAnsi"/>
              <w:b w:val="0"/>
              <w:bCs w:val="0"/>
              <w:kern w:val="2"/>
              <w:sz w:val="22"/>
              <w:szCs w:val="22"/>
              <w:lang w:val="en-GB"/>
              <w14:ligatures w14:val="standardContextual"/>
            </w:rPr>
          </w:pPr>
          <w:hyperlink w:anchor="_Toc156823322" w:history="1">
            <w:r w:rsidR="00E53A04" w:rsidRPr="00097BB4">
              <w:rPr>
                <w:rStyle w:val="Hyperlink"/>
              </w:rPr>
              <w:t>7.0</w:t>
            </w:r>
            <w:r w:rsidR="00E53A04">
              <w:rPr>
                <w:rFonts w:asciiTheme="minorHAnsi" w:hAnsiTheme="minorHAnsi"/>
                <w:b w:val="0"/>
                <w:bCs w:val="0"/>
                <w:kern w:val="2"/>
                <w:sz w:val="22"/>
                <w:szCs w:val="22"/>
                <w:lang w:val="en-GB"/>
                <w14:ligatures w14:val="standardContextual"/>
              </w:rPr>
              <w:tab/>
            </w:r>
            <w:r w:rsidR="00E53A04" w:rsidRPr="00097BB4">
              <w:rPr>
                <w:rStyle w:val="Hyperlink"/>
              </w:rPr>
              <w:t>Clause 4: Decisions Based on Individual Circumstances</w:t>
            </w:r>
            <w:r w:rsidR="00E53A04">
              <w:rPr>
                <w:webHidden/>
              </w:rPr>
              <w:tab/>
            </w:r>
            <w:r w:rsidR="00E53A04">
              <w:rPr>
                <w:webHidden/>
              </w:rPr>
              <w:fldChar w:fldCharType="begin"/>
            </w:r>
            <w:r w:rsidR="00E53A04">
              <w:rPr>
                <w:webHidden/>
              </w:rPr>
              <w:instrText xml:space="preserve"> PAGEREF _Toc156823322 \h </w:instrText>
            </w:r>
            <w:r w:rsidR="00E53A04">
              <w:rPr>
                <w:webHidden/>
              </w:rPr>
            </w:r>
            <w:r w:rsidR="00E53A04">
              <w:rPr>
                <w:webHidden/>
              </w:rPr>
              <w:fldChar w:fldCharType="separate"/>
            </w:r>
            <w:r w:rsidR="00A7071D">
              <w:rPr>
                <w:webHidden/>
              </w:rPr>
              <w:t>26</w:t>
            </w:r>
            <w:r w:rsidR="00E53A04">
              <w:rPr>
                <w:webHidden/>
              </w:rPr>
              <w:fldChar w:fldCharType="end"/>
            </w:r>
          </w:hyperlink>
        </w:p>
        <w:p w14:paraId="35E7C46E" w14:textId="207DD5E4" w:rsidR="00E53A04" w:rsidRDefault="00000000">
          <w:pPr>
            <w:pStyle w:val="TOC2"/>
            <w:tabs>
              <w:tab w:val="right" w:leader="dot" w:pos="9016"/>
            </w:tabs>
            <w:rPr>
              <w:rFonts w:asciiTheme="minorHAnsi" w:hAnsiTheme="minorHAnsi"/>
              <w:noProof/>
              <w:kern w:val="2"/>
              <w:sz w:val="22"/>
              <w:szCs w:val="22"/>
              <w:lang w:eastAsia="en-GB"/>
              <w14:ligatures w14:val="standardContextual"/>
            </w:rPr>
          </w:pPr>
          <w:hyperlink w:anchor="_Toc156823323" w:history="1">
            <w:r w:rsidR="00E53A04" w:rsidRPr="00097BB4">
              <w:rPr>
                <w:rStyle w:val="Hyperlink"/>
                <w:noProof/>
              </w:rPr>
              <w:t>Individual circumstances &amp; Article 27 EU Procedures Directive</w:t>
            </w:r>
            <w:r w:rsidR="00E53A04">
              <w:rPr>
                <w:noProof/>
                <w:webHidden/>
              </w:rPr>
              <w:tab/>
            </w:r>
            <w:r w:rsidR="00E53A04">
              <w:rPr>
                <w:noProof/>
                <w:webHidden/>
              </w:rPr>
              <w:fldChar w:fldCharType="begin"/>
            </w:r>
            <w:r w:rsidR="00E53A04">
              <w:rPr>
                <w:noProof/>
                <w:webHidden/>
              </w:rPr>
              <w:instrText xml:space="preserve"> PAGEREF _Toc156823323 \h </w:instrText>
            </w:r>
            <w:r w:rsidR="00E53A04">
              <w:rPr>
                <w:noProof/>
                <w:webHidden/>
              </w:rPr>
            </w:r>
            <w:r w:rsidR="00E53A04">
              <w:rPr>
                <w:noProof/>
                <w:webHidden/>
              </w:rPr>
              <w:fldChar w:fldCharType="separate"/>
            </w:r>
            <w:r w:rsidR="00A7071D">
              <w:rPr>
                <w:noProof/>
                <w:webHidden/>
              </w:rPr>
              <w:t>29</w:t>
            </w:r>
            <w:r w:rsidR="00E53A04">
              <w:rPr>
                <w:noProof/>
                <w:webHidden/>
              </w:rPr>
              <w:fldChar w:fldCharType="end"/>
            </w:r>
          </w:hyperlink>
        </w:p>
        <w:p w14:paraId="1767811C" w14:textId="46D245F8" w:rsidR="00E53A04" w:rsidRDefault="00000000">
          <w:pPr>
            <w:pStyle w:val="TOC1"/>
            <w:rPr>
              <w:rFonts w:asciiTheme="minorHAnsi" w:hAnsiTheme="minorHAnsi"/>
              <w:b w:val="0"/>
              <w:bCs w:val="0"/>
              <w:kern w:val="2"/>
              <w:sz w:val="22"/>
              <w:szCs w:val="22"/>
              <w:lang w:val="en-GB"/>
              <w14:ligatures w14:val="standardContextual"/>
            </w:rPr>
          </w:pPr>
          <w:hyperlink w:anchor="_Toc156823324" w:history="1">
            <w:r w:rsidR="00E53A04" w:rsidRPr="00097BB4">
              <w:rPr>
                <w:rStyle w:val="Hyperlink"/>
              </w:rPr>
              <w:t>8.0</w:t>
            </w:r>
            <w:r w:rsidR="00E53A04">
              <w:rPr>
                <w:rFonts w:asciiTheme="minorHAnsi" w:hAnsiTheme="minorHAnsi"/>
                <w:b w:val="0"/>
                <w:bCs w:val="0"/>
                <w:kern w:val="2"/>
                <w:sz w:val="22"/>
                <w:szCs w:val="22"/>
                <w:lang w:val="en-GB"/>
                <w14:ligatures w14:val="standardContextual"/>
              </w:rPr>
              <w:tab/>
            </w:r>
            <w:r w:rsidR="00E53A04" w:rsidRPr="00097BB4">
              <w:rPr>
                <w:rStyle w:val="Hyperlink"/>
              </w:rPr>
              <w:t>Clause 5: Interim Measures</w:t>
            </w:r>
            <w:r w:rsidR="00E53A04">
              <w:rPr>
                <w:webHidden/>
              </w:rPr>
              <w:tab/>
            </w:r>
            <w:r w:rsidR="00E53A04">
              <w:rPr>
                <w:webHidden/>
              </w:rPr>
              <w:fldChar w:fldCharType="begin"/>
            </w:r>
            <w:r w:rsidR="00E53A04">
              <w:rPr>
                <w:webHidden/>
              </w:rPr>
              <w:instrText xml:space="preserve"> PAGEREF _Toc156823324 \h </w:instrText>
            </w:r>
            <w:r w:rsidR="00E53A04">
              <w:rPr>
                <w:webHidden/>
              </w:rPr>
            </w:r>
            <w:r w:rsidR="00E53A04">
              <w:rPr>
                <w:webHidden/>
              </w:rPr>
              <w:fldChar w:fldCharType="separate"/>
            </w:r>
            <w:r w:rsidR="00A7071D">
              <w:rPr>
                <w:webHidden/>
              </w:rPr>
              <w:t>32</w:t>
            </w:r>
            <w:r w:rsidR="00E53A04">
              <w:rPr>
                <w:webHidden/>
              </w:rPr>
              <w:fldChar w:fldCharType="end"/>
            </w:r>
          </w:hyperlink>
        </w:p>
        <w:p w14:paraId="78D0DE25" w14:textId="3D0798CA" w:rsidR="00E53A04" w:rsidRDefault="00000000">
          <w:pPr>
            <w:pStyle w:val="TOC1"/>
            <w:rPr>
              <w:rFonts w:asciiTheme="minorHAnsi" w:hAnsiTheme="minorHAnsi"/>
              <w:b w:val="0"/>
              <w:bCs w:val="0"/>
              <w:kern w:val="2"/>
              <w:sz w:val="22"/>
              <w:szCs w:val="22"/>
              <w:lang w:val="en-GB"/>
              <w14:ligatures w14:val="standardContextual"/>
            </w:rPr>
          </w:pPr>
          <w:hyperlink w:anchor="_Toc156823325" w:history="1">
            <w:r w:rsidR="00E53A04" w:rsidRPr="00097BB4">
              <w:rPr>
                <w:rStyle w:val="Hyperlink"/>
              </w:rPr>
              <w:t>9.0</w:t>
            </w:r>
            <w:r w:rsidR="00E53A04">
              <w:rPr>
                <w:rFonts w:asciiTheme="minorHAnsi" w:hAnsiTheme="minorHAnsi"/>
                <w:b w:val="0"/>
                <w:bCs w:val="0"/>
                <w:kern w:val="2"/>
                <w:sz w:val="22"/>
                <w:szCs w:val="22"/>
                <w:lang w:val="en-GB"/>
                <w14:ligatures w14:val="standardContextual"/>
              </w:rPr>
              <w:tab/>
            </w:r>
            <w:r w:rsidR="00E53A04" w:rsidRPr="00097BB4">
              <w:rPr>
                <w:rStyle w:val="Hyperlink"/>
              </w:rPr>
              <w:t>Belfast (Good Friday) Agreement and ECHR</w:t>
            </w:r>
            <w:r w:rsidR="00E53A04">
              <w:rPr>
                <w:webHidden/>
              </w:rPr>
              <w:tab/>
            </w:r>
            <w:r w:rsidR="00E53A04">
              <w:rPr>
                <w:webHidden/>
              </w:rPr>
              <w:fldChar w:fldCharType="begin"/>
            </w:r>
            <w:r w:rsidR="00E53A04">
              <w:rPr>
                <w:webHidden/>
              </w:rPr>
              <w:instrText xml:space="preserve"> PAGEREF _Toc156823325 \h </w:instrText>
            </w:r>
            <w:r w:rsidR="00E53A04">
              <w:rPr>
                <w:webHidden/>
              </w:rPr>
            </w:r>
            <w:r w:rsidR="00E53A04">
              <w:rPr>
                <w:webHidden/>
              </w:rPr>
              <w:fldChar w:fldCharType="separate"/>
            </w:r>
            <w:r w:rsidR="00A7071D">
              <w:rPr>
                <w:webHidden/>
              </w:rPr>
              <w:t>32</w:t>
            </w:r>
            <w:r w:rsidR="00E53A04">
              <w:rPr>
                <w:webHidden/>
              </w:rPr>
              <w:fldChar w:fldCharType="end"/>
            </w:r>
          </w:hyperlink>
        </w:p>
        <w:p w14:paraId="4D40D1E2" w14:textId="7FE71C83" w:rsidR="02374508" w:rsidRDefault="02374508" w:rsidP="00BE14EF">
          <w:pPr>
            <w:pStyle w:val="TOC1"/>
            <w:rPr>
              <w:rStyle w:val="Hyperlink"/>
            </w:rPr>
          </w:pPr>
          <w:r>
            <w:fldChar w:fldCharType="end"/>
          </w:r>
        </w:p>
      </w:sdtContent>
    </w:sdt>
    <w:p w14:paraId="23E7F7D0" w14:textId="575FA951" w:rsidR="00CE0514" w:rsidRDefault="00CE0514" w:rsidP="00BE14EF">
      <w:pPr>
        <w:pStyle w:val="TOC1"/>
      </w:pPr>
    </w:p>
    <w:p w14:paraId="151AAA87" w14:textId="77777777" w:rsidR="00CE0514" w:rsidRDefault="00CE0514" w:rsidP="00CE0514"/>
    <w:p w14:paraId="3B0CA6DB" w14:textId="77777777" w:rsidR="00CE0514" w:rsidRDefault="00CE0514" w:rsidP="00CE0514">
      <w:r>
        <w:br w:type="page"/>
      </w:r>
    </w:p>
    <w:p w14:paraId="7C55B1A0" w14:textId="77777777" w:rsidR="00264C00" w:rsidRPr="00264C00" w:rsidRDefault="00264C00" w:rsidP="00264C00">
      <w:pPr>
        <w:pStyle w:val="Heading1"/>
      </w:pPr>
      <w:bookmarkStart w:id="1" w:name="_Toc156823312"/>
      <w:bookmarkStart w:id="2" w:name="_Toc99362340"/>
      <w:r w:rsidRPr="00264C00">
        <w:lastRenderedPageBreak/>
        <w:t>Summary of Advice and Recommendations</w:t>
      </w:r>
      <w:bookmarkEnd w:id="1"/>
    </w:p>
    <w:p w14:paraId="7E8C31AB" w14:textId="5A8A0CC5" w:rsidR="00264C00" w:rsidRDefault="00264C00" w:rsidP="004463A3">
      <w:pPr>
        <w:pStyle w:val="NormalWeb"/>
        <w:spacing w:line="276" w:lineRule="auto"/>
        <w:rPr>
          <w:rFonts w:ascii="Verdana" w:hAnsi="Verdana"/>
          <w:color w:val="000000"/>
        </w:rPr>
      </w:pPr>
      <w:r w:rsidRPr="00264C00">
        <w:rPr>
          <w:rFonts w:ascii="Verdana" w:hAnsi="Verdana"/>
          <w:color w:val="000000"/>
        </w:rPr>
        <w:t>The NI Human Rights Commission:</w:t>
      </w:r>
    </w:p>
    <w:p w14:paraId="003BA81A" w14:textId="2C1F5596" w:rsidR="000D58F0" w:rsidRPr="00CA5319" w:rsidRDefault="000D58F0" w:rsidP="004463A3">
      <w:pPr>
        <w:spacing w:line="276" w:lineRule="auto"/>
        <w:ind w:left="720" w:hanging="720"/>
      </w:pPr>
      <w:r w:rsidRPr="00CA5319">
        <w:t xml:space="preserve">2.5 </w:t>
      </w:r>
      <w:r w:rsidR="00CA5319">
        <w:tab/>
      </w:r>
      <w:r w:rsidRPr="00CA5319">
        <w:rPr>
          <w:rStyle w:val="normaltextrun"/>
          <w:bCs/>
          <w:color w:val="000000"/>
          <w:shd w:val="clear" w:color="auto" w:fill="FFFFFF"/>
        </w:rPr>
        <w:t>advises that the Bill requires immediate and thorough reassessment. </w:t>
      </w:r>
      <w:r w:rsidRPr="00CA5319">
        <w:rPr>
          <w:rStyle w:val="eop"/>
          <w:color w:val="000000"/>
          <w:shd w:val="clear" w:color="auto" w:fill="FFFFFF"/>
        </w:rPr>
        <w:t> </w:t>
      </w:r>
    </w:p>
    <w:p w14:paraId="0BAC8DE5" w14:textId="77777777" w:rsidR="000D58F0" w:rsidRPr="00CA5319" w:rsidRDefault="000D58F0" w:rsidP="004463A3">
      <w:pPr>
        <w:spacing w:line="276" w:lineRule="auto"/>
      </w:pPr>
    </w:p>
    <w:p w14:paraId="75CC3BC0" w14:textId="2D83D5D0" w:rsidR="000D58F0" w:rsidRPr="00CA5319" w:rsidRDefault="000D58F0" w:rsidP="004463A3">
      <w:pPr>
        <w:pStyle w:val="paragraph"/>
        <w:numPr>
          <w:ilvl w:val="1"/>
          <w:numId w:val="18"/>
        </w:numPr>
        <w:spacing w:before="0" w:beforeAutospacing="0" w:after="0" w:afterAutospacing="0" w:line="276" w:lineRule="auto"/>
        <w:textAlignment w:val="baseline"/>
        <w:rPr>
          <w:rFonts w:ascii="Verdana" w:hAnsi="Verdana"/>
        </w:rPr>
      </w:pPr>
      <w:r w:rsidRPr="00CA5319">
        <w:rPr>
          <w:rStyle w:val="normaltextrun"/>
          <w:rFonts w:ascii="Verdana" w:eastAsiaTheme="majorEastAsia" w:hAnsi="Verdana"/>
          <w:bCs/>
        </w:rPr>
        <w:t>advises that refugees and asylum seekers are protected by Article 2 of the Windsor Framework.</w:t>
      </w:r>
      <w:r w:rsidRPr="00CA5319">
        <w:rPr>
          <w:rStyle w:val="eop"/>
          <w:rFonts w:ascii="Verdana" w:eastAsiaTheme="majorEastAsia" w:hAnsi="Verdana"/>
        </w:rPr>
        <w:t> </w:t>
      </w:r>
    </w:p>
    <w:p w14:paraId="371D39F9" w14:textId="77777777" w:rsidR="000D58F0" w:rsidRPr="00CA5319" w:rsidRDefault="000D58F0" w:rsidP="004463A3">
      <w:pPr>
        <w:pStyle w:val="paragraph"/>
        <w:spacing w:before="0" w:beforeAutospacing="0" w:after="0" w:afterAutospacing="0" w:line="276" w:lineRule="auto"/>
        <w:ind w:left="705" w:hanging="705"/>
        <w:jc w:val="both"/>
        <w:textAlignment w:val="baseline"/>
        <w:rPr>
          <w:rFonts w:ascii="Verdana" w:hAnsi="Verdana"/>
        </w:rPr>
      </w:pPr>
      <w:r w:rsidRPr="00CA5319">
        <w:rPr>
          <w:rStyle w:val="eop"/>
          <w:rFonts w:ascii="Verdana" w:eastAsiaTheme="majorEastAsia" w:hAnsi="Verdana"/>
        </w:rPr>
        <w:t> </w:t>
      </w:r>
    </w:p>
    <w:p w14:paraId="7745DDCB" w14:textId="7B00C176" w:rsidR="000D58F0" w:rsidRPr="00CA5319" w:rsidRDefault="00CA5319" w:rsidP="004463A3">
      <w:pPr>
        <w:pStyle w:val="paragraph"/>
        <w:numPr>
          <w:ilvl w:val="1"/>
          <w:numId w:val="18"/>
        </w:numPr>
        <w:spacing w:before="0" w:beforeAutospacing="0" w:after="0" w:afterAutospacing="0" w:line="276" w:lineRule="auto"/>
        <w:textAlignment w:val="baseline"/>
        <w:rPr>
          <w:rFonts w:ascii="Verdana" w:hAnsi="Verdana"/>
        </w:rPr>
      </w:pPr>
      <w:r>
        <w:rPr>
          <w:rStyle w:val="normaltextrun"/>
          <w:rFonts w:ascii="Verdana" w:eastAsiaTheme="majorEastAsia" w:hAnsi="Verdana"/>
          <w:bCs/>
          <w:lang w:val="en-US"/>
        </w:rPr>
        <w:t>a</w:t>
      </w:r>
      <w:r w:rsidR="000D58F0" w:rsidRPr="00CA5319">
        <w:rPr>
          <w:rStyle w:val="normaltextrun"/>
          <w:rFonts w:ascii="Verdana" w:eastAsiaTheme="majorEastAsia" w:hAnsi="Verdana"/>
          <w:bCs/>
          <w:lang w:val="en-US"/>
        </w:rPr>
        <w:t>dvises that rights particular to refugees and asylum-seekers are within the scope of the Rights, Safeguards and Equality of Opportunity chapter of the Belfast (Good Friday) Agreement by virtue</w:t>
      </w:r>
      <w:proofErr w:type="gramStart"/>
      <w:r w:rsidR="000D58F0" w:rsidRPr="00CA5319">
        <w:rPr>
          <w:rStyle w:val="normaltextrun"/>
          <w:rFonts w:ascii="Verdana" w:eastAsiaTheme="majorEastAsia" w:hAnsi="Verdana"/>
          <w:bCs/>
          <w:lang w:val="en-US"/>
        </w:rPr>
        <w:t>, in particular, of</w:t>
      </w:r>
      <w:proofErr w:type="gramEnd"/>
      <w:r w:rsidR="000D58F0" w:rsidRPr="00CA5319">
        <w:rPr>
          <w:rStyle w:val="normaltextrun"/>
          <w:rFonts w:ascii="Verdana" w:eastAsiaTheme="majorEastAsia" w:hAnsi="Verdana"/>
          <w:bCs/>
          <w:lang w:val="en-US"/>
        </w:rPr>
        <w:t xml:space="preserve"> the commitment to civil rights and to incorporate the ECHR into domestic law.</w:t>
      </w:r>
      <w:r w:rsidR="000D58F0" w:rsidRPr="00CA5319">
        <w:rPr>
          <w:rStyle w:val="eop"/>
          <w:rFonts w:ascii="Verdana" w:eastAsiaTheme="majorEastAsia" w:hAnsi="Verdana"/>
        </w:rPr>
        <w:t> </w:t>
      </w:r>
    </w:p>
    <w:p w14:paraId="4E5ABADE" w14:textId="77777777" w:rsidR="000D58F0" w:rsidRPr="00CA5319" w:rsidRDefault="000D58F0" w:rsidP="004463A3">
      <w:pPr>
        <w:pStyle w:val="paragraph"/>
        <w:spacing w:before="0" w:beforeAutospacing="0" w:after="0" w:afterAutospacing="0" w:line="276" w:lineRule="auto"/>
        <w:ind w:left="705" w:hanging="705"/>
        <w:jc w:val="both"/>
        <w:textAlignment w:val="baseline"/>
        <w:rPr>
          <w:rFonts w:ascii="Verdana" w:hAnsi="Verdana"/>
        </w:rPr>
      </w:pPr>
      <w:r w:rsidRPr="00CA5319">
        <w:rPr>
          <w:rStyle w:val="eop"/>
          <w:rFonts w:ascii="Verdana" w:eastAsiaTheme="majorEastAsia" w:hAnsi="Verdana"/>
        </w:rPr>
        <w:t> </w:t>
      </w:r>
    </w:p>
    <w:p w14:paraId="09BFB5E3" w14:textId="7BFD96B8" w:rsidR="000D58F0" w:rsidRPr="00CA5319" w:rsidRDefault="000D58F0" w:rsidP="004463A3">
      <w:pPr>
        <w:pStyle w:val="paragraph"/>
        <w:numPr>
          <w:ilvl w:val="1"/>
          <w:numId w:val="18"/>
        </w:numPr>
        <w:spacing w:before="0" w:beforeAutospacing="0" w:after="0" w:afterAutospacing="0" w:line="276" w:lineRule="auto"/>
        <w:textAlignment w:val="baseline"/>
        <w:rPr>
          <w:rFonts w:ascii="Verdana" w:hAnsi="Verdana"/>
        </w:rPr>
      </w:pPr>
      <w:r w:rsidRPr="00CA5319">
        <w:rPr>
          <w:rStyle w:val="normaltextrun"/>
          <w:rFonts w:ascii="Verdana" w:eastAsiaTheme="majorEastAsia" w:hAnsi="Verdana"/>
          <w:bCs/>
        </w:rPr>
        <w:t xml:space="preserve">advises that, </w:t>
      </w:r>
      <w:proofErr w:type="gramStart"/>
      <w:r w:rsidRPr="00CA5319">
        <w:rPr>
          <w:rStyle w:val="normaltextrun"/>
          <w:rFonts w:ascii="Verdana" w:eastAsiaTheme="majorEastAsia" w:hAnsi="Verdana"/>
          <w:bCs/>
        </w:rPr>
        <w:t>as a result of</w:t>
      </w:r>
      <w:proofErr w:type="gramEnd"/>
      <w:r w:rsidRPr="00CA5319">
        <w:rPr>
          <w:rStyle w:val="normaltextrun"/>
          <w:rFonts w:ascii="Verdana" w:eastAsiaTheme="majorEastAsia" w:hAnsi="Verdana"/>
          <w:bCs/>
        </w:rPr>
        <w:t xml:space="preserve"> Windsor Framework Article 2, the following measures of EU law, which were binding on the UK before EU withdrawal, continue to set standards for human rights protection below which the law in NI should not fall:</w:t>
      </w:r>
      <w:r w:rsidRPr="00CA5319">
        <w:rPr>
          <w:rStyle w:val="eop"/>
          <w:rFonts w:ascii="Verdana" w:eastAsiaTheme="majorEastAsia" w:hAnsi="Verdana"/>
        </w:rPr>
        <w:t> </w:t>
      </w:r>
    </w:p>
    <w:p w14:paraId="1AB173C6" w14:textId="3CAEAF61" w:rsidR="000D58F0" w:rsidRPr="00CA5319" w:rsidRDefault="000D58F0" w:rsidP="004463A3">
      <w:pPr>
        <w:pStyle w:val="paragraph"/>
        <w:numPr>
          <w:ilvl w:val="0"/>
          <w:numId w:val="16"/>
        </w:numPr>
        <w:spacing w:before="0" w:beforeAutospacing="0" w:after="0" w:afterAutospacing="0" w:line="276" w:lineRule="auto"/>
        <w:ind w:left="1440" w:firstLine="0"/>
        <w:textAlignment w:val="baseline"/>
        <w:rPr>
          <w:rFonts w:ascii="Verdana" w:hAnsi="Verdana"/>
        </w:rPr>
      </w:pPr>
      <w:r w:rsidRPr="00CA5319">
        <w:rPr>
          <w:rStyle w:val="normaltextrun"/>
          <w:rFonts w:ascii="Verdana" w:eastAsiaTheme="majorEastAsia" w:hAnsi="Verdana"/>
          <w:bCs/>
        </w:rPr>
        <w:t>the EU Temporary Protection Directive (2001/55/EC), </w:t>
      </w:r>
      <w:r w:rsidRPr="00CA5319">
        <w:rPr>
          <w:rStyle w:val="eop"/>
          <w:rFonts w:ascii="Verdana" w:eastAsiaTheme="majorEastAsia" w:hAnsi="Verdana"/>
        </w:rPr>
        <w:t> </w:t>
      </w:r>
    </w:p>
    <w:p w14:paraId="24B33026" w14:textId="29A45DED" w:rsidR="000D58F0" w:rsidRPr="00CA5319" w:rsidRDefault="000D58F0" w:rsidP="004463A3">
      <w:pPr>
        <w:pStyle w:val="paragraph"/>
        <w:numPr>
          <w:ilvl w:val="0"/>
          <w:numId w:val="17"/>
        </w:numPr>
        <w:spacing w:before="0" w:beforeAutospacing="0" w:after="0" w:afterAutospacing="0" w:line="276" w:lineRule="auto"/>
        <w:ind w:left="1440" w:firstLine="0"/>
        <w:textAlignment w:val="baseline"/>
        <w:rPr>
          <w:rFonts w:ascii="Verdana" w:hAnsi="Verdana"/>
        </w:rPr>
      </w:pPr>
      <w:r w:rsidRPr="00CA5319">
        <w:rPr>
          <w:rStyle w:val="normaltextrun"/>
          <w:rFonts w:ascii="Verdana" w:eastAsiaTheme="majorEastAsia" w:hAnsi="Verdana"/>
          <w:bCs/>
        </w:rPr>
        <w:t>the original EU Asylum Reception Directive (2003/9/EC),</w:t>
      </w:r>
    </w:p>
    <w:p w14:paraId="094AE4A5" w14:textId="3A006117" w:rsidR="000D58F0" w:rsidRPr="00CA5319" w:rsidRDefault="000D58F0" w:rsidP="004463A3">
      <w:pPr>
        <w:pStyle w:val="paragraph"/>
        <w:numPr>
          <w:ilvl w:val="0"/>
          <w:numId w:val="17"/>
        </w:numPr>
        <w:spacing w:before="0" w:beforeAutospacing="0" w:after="0" w:afterAutospacing="0" w:line="276" w:lineRule="auto"/>
        <w:ind w:left="1440" w:firstLine="0"/>
        <w:textAlignment w:val="baseline"/>
        <w:rPr>
          <w:rFonts w:ascii="Verdana" w:hAnsi="Verdana"/>
        </w:rPr>
      </w:pPr>
      <w:r w:rsidRPr="00CA5319">
        <w:rPr>
          <w:rStyle w:val="normaltextrun"/>
          <w:rFonts w:ascii="Verdana" w:eastAsiaTheme="majorEastAsia" w:hAnsi="Verdana"/>
          <w:bCs/>
        </w:rPr>
        <w:t>the EU Qualification Directive (2004/83/EC),</w:t>
      </w:r>
    </w:p>
    <w:p w14:paraId="19324252" w14:textId="235B269A" w:rsidR="000D58F0" w:rsidRPr="00CA5319" w:rsidRDefault="000D58F0" w:rsidP="004463A3">
      <w:pPr>
        <w:pStyle w:val="paragraph"/>
        <w:numPr>
          <w:ilvl w:val="0"/>
          <w:numId w:val="17"/>
        </w:numPr>
        <w:spacing w:before="0" w:beforeAutospacing="0" w:after="0" w:afterAutospacing="0" w:line="276" w:lineRule="auto"/>
        <w:ind w:left="1440" w:firstLine="0"/>
        <w:textAlignment w:val="baseline"/>
        <w:rPr>
          <w:rFonts w:ascii="Verdana" w:hAnsi="Verdana"/>
        </w:rPr>
      </w:pPr>
      <w:r w:rsidRPr="00CA5319">
        <w:rPr>
          <w:rStyle w:val="normaltextrun"/>
          <w:rFonts w:ascii="Verdana" w:eastAsiaTheme="majorEastAsia" w:hAnsi="Verdana"/>
          <w:bCs/>
        </w:rPr>
        <w:t>the EU Asylum Procedures Directive (2005/85/EC),</w:t>
      </w:r>
      <w:r w:rsidR="00CA5319">
        <w:rPr>
          <w:rStyle w:val="superscript"/>
          <w:rFonts w:ascii="Verdana" w:hAnsi="Verdana"/>
          <w:b/>
          <w:bCs/>
          <w:vertAlign w:val="superscript"/>
        </w:rPr>
        <w:t xml:space="preserve"> </w:t>
      </w:r>
      <w:r w:rsidRPr="00CA5319">
        <w:rPr>
          <w:rStyle w:val="normaltextrun"/>
          <w:rFonts w:ascii="Verdana" w:eastAsiaTheme="majorEastAsia" w:hAnsi="Verdana"/>
          <w:bCs/>
        </w:rPr>
        <w:t>and </w:t>
      </w:r>
      <w:r w:rsidRPr="00CA5319">
        <w:rPr>
          <w:rStyle w:val="eop"/>
          <w:rFonts w:ascii="Verdana" w:eastAsiaTheme="majorEastAsia" w:hAnsi="Verdana"/>
        </w:rPr>
        <w:t> </w:t>
      </w:r>
    </w:p>
    <w:p w14:paraId="3826F5FE" w14:textId="0B1CD5A5" w:rsidR="000D58F0" w:rsidRPr="00CA5319" w:rsidRDefault="000D58F0" w:rsidP="004463A3">
      <w:pPr>
        <w:pStyle w:val="paragraph"/>
        <w:numPr>
          <w:ilvl w:val="0"/>
          <w:numId w:val="17"/>
        </w:numPr>
        <w:spacing w:before="0" w:beforeAutospacing="0" w:after="0" w:afterAutospacing="0" w:line="276" w:lineRule="auto"/>
        <w:ind w:left="1440" w:firstLine="0"/>
        <w:textAlignment w:val="baseline"/>
        <w:rPr>
          <w:rFonts w:ascii="Verdana" w:hAnsi="Verdana"/>
        </w:rPr>
      </w:pPr>
      <w:r w:rsidRPr="00CA5319">
        <w:rPr>
          <w:rStyle w:val="normaltextrun"/>
          <w:rFonts w:ascii="Verdana" w:eastAsiaTheme="majorEastAsia" w:hAnsi="Verdana"/>
          <w:bCs/>
        </w:rPr>
        <w:t>the Dublin Convention and successor Regulations, the latest of which is Regulation (EU) No 604/2013 known as the Dublin III Regulation.</w:t>
      </w:r>
    </w:p>
    <w:p w14:paraId="49B7DF93" w14:textId="77777777" w:rsidR="000D58F0" w:rsidRPr="00CA5319" w:rsidRDefault="000D58F0" w:rsidP="004463A3">
      <w:pPr>
        <w:pStyle w:val="paragraph"/>
        <w:spacing w:before="0" w:beforeAutospacing="0" w:after="0" w:afterAutospacing="0" w:line="276" w:lineRule="auto"/>
        <w:ind w:left="720"/>
        <w:jc w:val="both"/>
        <w:textAlignment w:val="baseline"/>
        <w:rPr>
          <w:rFonts w:ascii="Verdana" w:hAnsi="Verdana"/>
        </w:rPr>
      </w:pPr>
    </w:p>
    <w:p w14:paraId="2E08DD20" w14:textId="29D0BC86" w:rsidR="000D58F0" w:rsidRPr="00CA5319" w:rsidRDefault="00CA5319" w:rsidP="004463A3">
      <w:pPr>
        <w:pStyle w:val="paragraph"/>
        <w:spacing w:before="0" w:beforeAutospacing="0" w:after="0" w:afterAutospacing="0" w:line="276" w:lineRule="auto"/>
        <w:ind w:left="720" w:hanging="720"/>
        <w:jc w:val="both"/>
        <w:textAlignment w:val="baseline"/>
        <w:rPr>
          <w:rFonts w:ascii="Verdana" w:hAnsi="Verdana" w:cs="Segoe UI"/>
          <w14:ligatures w14:val="none"/>
        </w:rPr>
      </w:pPr>
      <w:r>
        <w:rPr>
          <w:rFonts w:ascii="Verdana" w:hAnsi="Verdana"/>
        </w:rPr>
        <w:t xml:space="preserve">4.8 </w:t>
      </w:r>
      <w:r>
        <w:rPr>
          <w:rFonts w:ascii="Verdana" w:hAnsi="Verdana"/>
        </w:rPr>
        <w:tab/>
      </w:r>
      <w:r w:rsidR="000D58F0" w:rsidRPr="00CA5319">
        <w:rPr>
          <w:rFonts w:ascii="Verdana" w:hAnsi="Verdana" w:cs="Segoe UI"/>
          <w:shd w:val="clear" w:color="auto" w:fill="FFFFFF"/>
          <w14:ligatures w14:val="none"/>
        </w:rPr>
        <w:t xml:space="preserve">suggests that the current relationship between the UK courts, UK Parliament and international law is balanced. The NIHRC advises that this Bill will create an imbalance. </w:t>
      </w:r>
      <w:r w:rsidR="000D58F0" w:rsidRPr="00CA5319">
        <w:rPr>
          <w:rFonts w:ascii="Verdana" w:hAnsi="Verdana" w:cs="Segoe UI"/>
          <w:color w:val="000000"/>
          <w:shd w:val="clear" w:color="auto" w:fill="FFFFFF"/>
          <w14:ligatures w14:val="none"/>
        </w:rPr>
        <w:t>It will, deliberately, abdicate responsibility under the 1951 Refugee Convention, threaten the international refugee protection regime and risk the erosion of the UK’s standing and ability to collaborate in the multilateral system.</w:t>
      </w:r>
      <w:r w:rsidR="000D58F0" w:rsidRPr="00CA5319">
        <w:rPr>
          <w:rFonts w:ascii="Verdana" w:hAnsi="Verdana" w:cs="Segoe UI"/>
          <w:b/>
          <w:bCs/>
          <w:shd w:val="clear" w:color="auto" w:fill="FFFFFF"/>
          <w14:ligatures w14:val="none"/>
        </w:rPr>
        <w:t> </w:t>
      </w:r>
      <w:r w:rsidR="000D58F0" w:rsidRPr="00CA5319">
        <w:rPr>
          <w:rFonts w:ascii="Verdana" w:hAnsi="Verdana" w:cs="Segoe UI"/>
          <w14:ligatures w14:val="none"/>
        </w:rPr>
        <w:t> </w:t>
      </w:r>
    </w:p>
    <w:p w14:paraId="2517DC7C" w14:textId="3FD4B0BF" w:rsidR="000D58F0" w:rsidRPr="00CA5319" w:rsidRDefault="000D58F0" w:rsidP="004463A3">
      <w:pPr>
        <w:pStyle w:val="paragraph"/>
        <w:spacing w:before="0" w:beforeAutospacing="0" w:after="0" w:afterAutospacing="0" w:line="276" w:lineRule="auto"/>
        <w:jc w:val="both"/>
        <w:textAlignment w:val="baseline"/>
        <w:rPr>
          <w:rFonts w:ascii="Verdana" w:hAnsi="Verdana" w:cs="Segoe UI"/>
          <w14:ligatures w14:val="none"/>
        </w:rPr>
      </w:pPr>
    </w:p>
    <w:p w14:paraId="0565F64C" w14:textId="535EBDBB" w:rsidR="000D58F0" w:rsidRPr="000360FC" w:rsidRDefault="000D58F0" w:rsidP="004463A3">
      <w:pPr>
        <w:pStyle w:val="ListParagraph"/>
        <w:numPr>
          <w:ilvl w:val="1"/>
          <w:numId w:val="19"/>
        </w:numPr>
        <w:spacing w:before="0" w:after="0" w:line="276" w:lineRule="auto"/>
        <w:jc w:val="left"/>
        <w:textAlignment w:val="baseline"/>
        <w:rPr>
          <w:rFonts w:eastAsia="Times New Roman"/>
          <w:lang w:eastAsia="en-GB"/>
        </w:rPr>
      </w:pPr>
      <w:r w:rsidRPr="000360FC">
        <w:rPr>
          <w:rFonts w:eastAsia="Times New Roman"/>
          <w:lang w:eastAsia="en-GB"/>
        </w:rPr>
        <w:t>advises that the safety or otherwise of Rwanda cannot be pre-emptively and/or collectively determined. The lawfulness and appropriateness of a person’s removal to Rwanda must be assessed individually and be subject to procedural safeguards, prior to removal. </w:t>
      </w:r>
    </w:p>
    <w:p w14:paraId="33A663A1" w14:textId="77777777" w:rsidR="000D58F0" w:rsidRPr="00CA5319" w:rsidRDefault="000D58F0" w:rsidP="004463A3">
      <w:pPr>
        <w:spacing w:line="276" w:lineRule="auto"/>
        <w:textAlignment w:val="baseline"/>
        <w:rPr>
          <w:rFonts w:eastAsia="Times New Roman" w:cs="Times New Roman"/>
          <w:lang w:eastAsia="en-GB"/>
        </w:rPr>
      </w:pPr>
      <w:r w:rsidRPr="00CA5319">
        <w:rPr>
          <w:rFonts w:eastAsia="Times New Roman" w:cs="Times New Roman"/>
          <w:lang w:eastAsia="en-GB"/>
        </w:rPr>
        <w:lastRenderedPageBreak/>
        <w:t> </w:t>
      </w:r>
    </w:p>
    <w:p w14:paraId="1148DCCD" w14:textId="74A1864C" w:rsidR="000D58F0" w:rsidRPr="000360FC" w:rsidRDefault="000D58F0" w:rsidP="004463A3">
      <w:pPr>
        <w:pStyle w:val="ListParagraph"/>
        <w:numPr>
          <w:ilvl w:val="1"/>
          <w:numId w:val="19"/>
        </w:numPr>
        <w:spacing w:before="0" w:after="0" w:line="276" w:lineRule="auto"/>
        <w:jc w:val="left"/>
        <w:textAlignment w:val="baseline"/>
        <w:rPr>
          <w:rFonts w:eastAsia="Times New Roman"/>
          <w:lang w:eastAsia="en-GB"/>
        </w:rPr>
      </w:pPr>
      <w:r w:rsidRPr="000360FC">
        <w:rPr>
          <w:rFonts w:eastAsia="Times New Roman"/>
          <w:lang w:eastAsia="en-GB"/>
        </w:rPr>
        <w:t>advises that clause 2 may be in breach of Windsor Framework Article 2 by diminishing rights previously protected by the EU Procedures Directive (which bound the UK prior to EU Withdrawal), particularly in relation to Article 27 (the safe third country concept) and Article 8 (requirements for the consideration of applications). </w:t>
      </w:r>
    </w:p>
    <w:p w14:paraId="334B58A0" w14:textId="77777777" w:rsidR="000D58F0" w:rsidRPr="000360FC" w:rsidRDefault="000D58F0" w:rsidP="004463A3">
      <w:pPr>
        <w:spacing w:line="276" w:lineRule="auto"/>
        <w:ind w:left="705"/>
        <w:textAlignment w:val="baseline"/>
        <w:rPr>
          <w:rFonts w:eastAsia="Times New Roman" w:cs="Segoe UI"/>
          <w:lang w:eastAsia="en-GB"/>
        </w:rPr>
      </w:pPr>
      <w:r w:rsidRPr="000360FC">
        <w:rPr>
          <w:rFonts w:eastAsia="Times New Roman" w:cs="Segoe UI"/>
          <w:lang w:eastAsia="en-GB"/>
        </w:rPr>
        <w:t>  </w:t>
      </w:r>
    </w:p>
    <w:p w14:paraId="6C93B5C8" w14:textId="420C159C" w:rsidR="000D58F0" w:rsidRPr="000360FC" w:rsidRDefault="000D58F0" w:rsidP="004463A3">
      <w:pPr>
        <w:pStyle w:val="ListParagraph"/>
        <w:numPr>
          <w:ilvl w:val="1"/>
          <w:numId w:val="20"/>
        </w:numPr>
        <w:spacing w:before="0" w:after="0" w:line="276" w:lineRule="auto"/>
        <w:textAlignment w:val="baseline"/>
        <w:rPr>
          <w:rFonts w:eastAsia="Times New Roman" w:cs="Segoe UI"/>
          <w:lang w:eastAsia="en-GB"/>
        </w:rPr>
      </w:pPr>
      <w:r w:rsidRPr="000360FC">
        <w:rPr>
          <w:rFonts w:eastAsia="Times New Roman" w:cs="Segoe UI"/>
          <w:lang w:eastAsia="en-GB"/>
        </w:rPr>
        <w:t>advises that the very limited exceptions provided for in clause 4 of the Bill do not provide adequate safeguards that mitigate the risk of refoulement and ensure compliance with Articles 2 and 3 ECHR. In addition, if enacted, clauses 2 and 4 would contravene the UK’s international obligations under ICCPR, UN CAT and the 1951 Refugee Convention. </w:t>
      </w:r>
    </w:p>
    <w:p w14:paraId="79B1BAAE" w14:textId="77777777" w:rsidR="000D58F0" w:rsidRPr="000360FC" w:rsidRDefault="000D58F0" w:rsidP="004463A3">
      <w:pPr>
        <w:spacing w:line="276" w:lineRule="auto"/>
        <w:textAlignment w:val="baseline"/>
        <w:rPr>
          <w:rFonts w:eastAsia="Times New Roman" w:cs="Segoe UI"/>
          <w:lang w:eastAsia="en-GB"/>
        </w:rPr>
      </w:pPr>
      <w:r w:rsidRPr="000360FC">
        <w:rPr>
          <w:rFonts w:eastAsia="Times New Roman" w:cs="Segoe UI"/>
          <w:lang w:eastAsia="en-GB"/>
        </w:rPr>
        <w:t> </w:t>
      </w:r>
    </w:p>
    <w:p w14:paraId="32539D52" w14:textId="3DE1F39C" w:rsidR="000D58F0" w:rsidRPr="000360FC" w:rsidRDefault="000D58F0" w:rsidP="004463A3">
      <w:pPr>
        <w:pStyle w:val="ListParagraph"/>
        <w:numPr>
          <w:ilvl w:val="1"/>
          <w:numId w:val="20"/>
        </w:numPr>
        <w:spacing w:before="0" w:after="0" w:line="276" w:lineRule="auto"/>
        <w:textAlignment w:val="baseline"/>
        <w:rPr>
          <w:rFonts w:eastAsia="Times New Roman" w:cs="Segoe UI"/>
          <w:lang w:eastAsia="en-GB"/>
        </w:rPr>
      </w:pPr>
      <w:r w:rsidRPr="000360FC">
        <w:rPr>
          <w:rFonts w:eastAsia="Times New Roman" w:cs="Segoe UI"/>
          <w:lang w:eastAsia="en-GB"/>
        </w:rPr>
        <w:t>advises that clauses 2 and 4 may be in breach of Windsor Framework Article 2 by diminishing rights previously protected by the EU Procedures Directive Article 27 (the safe third country concept) in respect of protection against refoulement. </w:t>
      </w:r>
    </w:p>
    <w:p w14:paraId="4CC73339" w14:textId="77777777" w:rsidR="000D58F0" w:rsidRPr="00CA5319" w:rsidRDefault="000D58F0" w:rsidP="004463A3">
      <w:pPr>
        <w:spacing w:line="276" w:lineRule="auto"/>
        <w:rPr>
          <w:rStyle w:val="normaltextrun"/>
          <w:b/>
          <w:bCs/>
          <w:color w:val="000000"/>
        </w:rPr>
      </w:pPr>
    </w:p>
    <w:p w14:paraId="1104E2C8" w14:textId="64CB7F59" w:rsidR="000D58F0" w:rsidRPr="00CA5319" w:rsidRDefault="000D58F0" w:rsidP="004463A3">
      <w:pPr>
        <w:spacing w:line="276" w:lineRule="auto"/>
        <w:ind w:left="720" w:hanging="720"/>
        <w:rPr>
          <w:rStyle w:val="eop"/>
          <w:color w:val="000000"/>
          <w:shd w:val="clear" w:color="auto" w:fill="FFFFFF"/>
        </w:rPr>
      </w:pPr>
      <w:r w:rsidRPr="00CA5319">
        <w:rPr>
          <w:rStyle w:val="normaltextrun"/>
          <w:bCs/>
          <w:color w:val="000000"/>
        </w:rPr>
        <w:t xml:space="preserve">5.26 </w:t>
      </w:r>
      <w:r w:rsidR="00D83B96">
        <w:rPr>
          <w:rStyle w:val="normaltextrun"/>
          <w:bCs/>
          <w:color w:val="000000"/>
        </w:rPr>
        <w:tab/>
      </w:r>
      <w:r w:rsidRPr="00CA5319">
        <w:rPr>
          <w:rStyle w:val="normaltextrun"/>
          <w:bCs/>
          <w:color w:val="000000"/>
          <w:shd w:val="clear" w:color="auto" w:fill="FFFFFF"/>
        </w:rPr>
        <w:t xml:space="preserve">advises that parliamentary sovereignty and the separation of powers go </w:t>
      </w:r>
      <w:proofErr w:type="gramStart"/>
      <w:r w:rsidRPr="00CA5319">
        <w:rPr>
          <w:rStyle w:val="normaltextrun"/>
          <w:bCs/>
          <w:color w:val="000000"/>
          <w:shd w:val="clear" w:color="auto" w:fill="FFFFFF"/>
        </w:rPr>
        <w:t>hand-in-hand</w:t>
      </w:r>
      <w:proofErr w:type="gramEnd"/>
      <w:r w:rsidRPr="00CA5319">
        <w:rPr>
          <w:rStyle w:val="normaltextrun"/>
          <w:bCs/>
          <w:color w:val="000000"/>
          <w:shd w:val="clear" w:color="auto" w:fill="FFFFFF"/>
        </w:rPr>
        <w:t>. This is not the case in the present Bill, particularly within clause 2.</w:t>
      </w:r>
      <w:r w:rsidRPr="00CA5319">
        <w:rPr>
          <w:rStyle w:val="eop"/>
          <w:color w:val="000000"/>
          <w:shd w:val="clear" w:color="auto" w:fill="FFFFFF"/>
        </w:rPr>
        <w:t> </w:t>
      </w:r>
    </w:p>
    <w:p w14:paraId="037CDAAB" w14:textId="77777777" w:rsidR="000D58F0" w:rsidRPr="00CA5319" w:rsidRDefault="000D58F0" w:rsidP="004463A3">
      <w:pPr>
        <w:spacing w:line="276" w:lineRule="auto"/>
        <w:rPr>
          <w:rStyle w:val="eop"/>
          <w:color w:val="000000"/>
          <w:shd w:val="clear" w:color="auto" w:fill="FFFFFF"/>
        </w:rPr>
      </w:pPr>
    </w:p>
    <w:p w14:paraId="67DD7496" w14:textId="06FD10B5" w:rsidR="000D58F0" w:rsidRPr="00CA5319" w:rsidRDefault="000D58F0" w:rsidP="004463A3">
      <w:pPr>
        <w:spacing w:line="276" w:lineRule="auto"/>
        <w:ind w:left="720" w:hanging="720"/>
        <w:rPr>
          <w:rStyle w:val="eop"/>
          <w:color w:val="000000"/>
          <w:shd w:val="clear" w:color="auto" w:fill="FFFFFF"/>
        </w:rPr>
      </w:pPr>
      <w:r w:rsidRPr="00CA5319">
        <w:rPr>
          <w:rStyle w:val="eop"/>
          <w:color w:val="000000"/>
          <w:shd w:val="clear" w:color="auto" w:fill="FFFFFF"/>
        </w:rPr>
        <w:t xml:space="preserve">5.28 </w:t>
      </w:r>
      <w:r w:rsidR="00D83B96">
        <w:rPr>
          <w:rStyle w:val="normaltextrun"/>
          <w:bCs/>
          <w:color w:val="000000"/>
          <w:shd w:val="clear" w:color="auto" w:fill="FFFFFF"/>
        </w:rPr>
        <w:tab/>
      </w:r>
      <w:r w:rsidRPr="00CA5319">
        <w:rPr>
          <w:rStyle w:val="normaltextrun"/>
          <w:bCs/>
          <w:color w:val="000000"/>
          <w:shd w:val="clear" w:color="auto" w:fill="FFFFFF"/>
        </w:rPr>
        <w:t>advises that the restriction in the operation of and access to courts and tribunals, in clause 2, may amount to a breach of Windsor Framework Article 2 by diminishing rights previously protected by Article 39 of the EU Procedures Directive and Article 47 of the EU Charter.</w:t>
      </w:r>
      <w:r w:rsidRPr="00CA5319">
        <w:rPr>
          <w:rStyle w:val="eop"/>
          <w:color w:val="000000"/>
          <w:shd w:val="clear" w:color="auto" w:fill="FFFFFF"/>
        </w:rPr>
        <w:t> </w:t>
      </w:r>
    </w:p>
    <w:p w14:paraId="35CE8D9D" w14:textId="77777777" w:rsidR="000D58F0" w:rsidRPr="00CA5319" w:rsidRDefault="000D58F0" w:rsidP="004463A3">
      <w:pPr>
        <w:spacing w:line="276" w:lineRule="auto"/>
        <w:rPr>
          <w:rStyle w:val="eop"/>
          <w:color w:val="000000"/>
          <w:shd w:val="clear" w:color="auto" w:fill="FFFFFF"/>
        </w:rPr>
      </w:pPr>
    </w:p>
    <w:p w14:paraId="501B81D2" w14:textId="555DED9E" w:rsidR="000D58F0" w:rsidRPr="00CA5319" w:rsidRDefault="000D58F0" w:rsidP="004463A3">
      <w:pPr>
        <w:spacing w:line="276" w:lineRule="auto"/>
        <w:ind w:left="720" w:hanging="720"/>
        <w:rPr>
          <w:rStyle w:val="eop"/>
          <w:color w:val="000000"/>
          <w:shd w:val="clear" w:color="auto" w:fill="FFFFFF"/>
        </w:rPr>
      </w:pPr>
      <w:r w:rsidRPr="00CA5319">
        <w:rPr>
          <w:rStyle w:val="eop"/>
          <w:color w:val="000000"/>
          <w:shd w:val="clear" w:color="auto" w:fill="FFFFFF"/>
        </w:rPr>
        <w:t xml:space="preserve">5.33 </w:t>
      </w:r>
      <w:r w:rsidR="004463A3">
        <w:rPr>
          <w:rStyle w:val="eop"/>
          <w:color w:val="000000"/>
          <w:shd w:val="clear" w:color="auto" w:fill="FFFFFF"/>
        </w:rPr>
        <w:tab/>
      </w:r>
      <w:r w:rsidRPr="00CA5319">
        <w:rPr>
          <w:rStyle w:val="normaltextrun"/>
          <w:bCs/>
          <w:color w:val="000000"/>
          <w:shd w:val="clear" w:color="auto" w:fill="FFFFFF"/>
        </w:rPr>
        <w:t>advises that to the extent that clause 2(5) limits the ability of an individual to seek redress for a potential diminution of Windsor Framework Article 2, it is in breach of Article 4 of the UK-EU Withdrawal Agreement.</w:t>
      </w:r>
      <w:r w:rsidRPr="00CA5319">
        <w:rPr>
          <w:rStyle w:val="eop"/>
          <w:color w:val="000000"/>
          <w:shd w:val="clear" w:color="auto" w:fill="FFFFFF"/>
        </w:rPr>
        <w:t> </w:t>
      </w:r>
    </w:p>
    <w:p w14:paraId="4A50418F" w14:textId="77777777" w:rsidR="000D58F0" w:rsidRPr="004463A3" w:rsidRDefault="000D58F0" w:rsidP="004463A3">
      <w:pPr>
        <w:spacing w:line="276" w:lineRule="auto"/>
        <w:textAlignment w:val="baseline"/>
        <w:rPr>
          <w:rFonts w:eastAsia="Times New Roman" w:cs="Segoe UI"/>
          <w:lang w:eastAsia="en-GB"/>
        </w:rPr>
      </w:pPr>
      <w:r w:rsidRPr="004463A3">
        <w:rPr>
          <w:rFonts w:eastAsia="Times New Roman" w:cs="Segoe UI"/>
          <w:lang w:eastAsia="en-GB"/>
        </w:rPr>
        <w:t> </w:t>
      </w:r>
    </w:p>
    <w:p w14:paraId="27DDABE4" w14:textId="6C7B1DDF" w:rsidR="000D58F0" w:rsidRPr="004463A3" w:rsidRDefault="000D58F0" w:rsidP="004463A3">
      <w:pPr>
        <w:pStyle w:val="ListParagraph"/>
        <w:numPr>
          <w:ilvl w:val="1"/>
          <w:numId w:val="21"/>
        </w:numPr>
        <w:spacing w:before="0" w:after="0" w:line="276" w:lineRule="auto"/>
        <w:textAlignment w:val="baseline"/>
        <w:rPr>
          <w:rFonts w:eastAsia="Times New Roman" w:cs="Segoe UI"/>
          <w:lang w:eastAsia="en-GB"/>
        </w:rPr>
      </w:pPr>
      <w:r w:rsidRPr="004463A3">
        <w:rPr>
          <w:rFonts w:eastAsia="Times New Roman" w:cs="Segoe UI"/>
          <w:lang w:eastAsia="en-GB"/>
        </w:rPr>
        <w:t>advises that disapplying the interpretative and remedial provisions of the Human Rights Act 1998 while dismantling the guarantees enshrined in ECHR Articles 2 and 3 does not ensure the right to an effective remedy under ECHR Article 13.  </w:t>
      </w:r>
    </w:p>
    <w:p w14:paraId="7E18011F" w14:textId="77777777" w:rsidR="000D58F0" w:rsidRPr="00CA5319" w:rsidRDefault="000D58F0" w:rsidP="004463A3">
      <w:pPr>
        <w:spacing w:line="276" w:lineRule="auto"/>
        <w:textAlignment w:val="baseline"/>
        <w:rPr>
          <w:rFonts w:eastAsia="Times New Roman" w:cs="Segoe UI"/>
          <w:lang w:eastAsia="en-GB"/>
        </w:rPr>
      </w:pPr>
    </w:p>
    <w:p w14:paraId="79F00469" w14:textId="641220C4" w:rsidR="000D58F0" w:rsidRPr="00CA5319" w:rsidRDefault="000D58F0" w:rsidP="004463A3">
      <w:pPr>
        <w:spacing w:line="276" w:lineRule="auto"/>
        <w:ind w:left="720" w:hanging="720"/>
        <w:textAlignment w:val="baseline"/>
        <w:rPr>
          <w:rFonts w:eastAsia="Times New Roman" w:cs="Segoe UI"/>
          <w:lang w:eastAsia="en-GB"/>
        </w:rPr>
      </w:pPr>
      <w:r w:rsidRPr="00CA5319">
        <w:rPr>
          <w:rFonts w:eastAsia="Times New Roman" w:cs="Segoe UI"/>
          <w:lang w:eastAsia="en-GB"/>
        </w:rPr>
        <w:t xml:space="preserve">6.9 </w:t>
      </w:r>
      <w:r w:rsidR="004463A3">
        <w:rPr>
          <w:rFonts w:eastAsia="Times New Roman" w:cs="Segoe UI"/>
          <w:lang w:eastAsia="en-GB"/>
        </w:rPr>
        <w:tab/>
      </w:r>
      <w:r w:rsidRPr="00CA5319">
        <w:rPr>
          <w:rStyle w:val="normaltextrun"/>
          <w:bCs/>
          <w:color w:val="000000"/>
          <w:shd w:val="clear" w:color="auto" w:fill="FFFFFF"/>
        </w:rPr>
        <w:t xml:space="preserve">advises that the balanced relationship between the UK courts, ECtHR and UK Parliament will be upset by this approach and one </w:t>
      </w:r>
      <w:r w:rsidRPr="00CA5319">
        <w:rPr>
          <w:rStyle w:val="normaltextrun"/>
          <w:bCs/>
          <w:color w:val="000000"/>
          <w:shd w:val="clear" w:color="auto" w:fill="FFFFFF"/>
        </w:rPr>
        <w:lastRenderedPageBreak/>
        <w:t>consequence includes the weakening of protection afforded to individuals seeking asylum in the UK.</w:t>
      </w:r>
      <w:r w:rsidRPr="00CA5319">
        <w:rPr>
          <w:rStyle w:val="eop"/>
          <w:color w:val="000000"/>
          <w:shd w:val="clear" w:color="auto" w:fill="FFFFFF"/>
        </w:rPr>
        <w:t> </w:t>
      </w:r>
    </w:p>
    <w:p w14:paraId="220AF86A" w14:textId="77777777" w:rsidR="000D58F0" w:rsidRPr="00CA5319" w:rsidRDefault="000D58F0" w:rsidP="004463A3">
      <w:pPr>
        <w:spacing w:line="276" w:lineRule="auto"/>
        <w:textAlignment w:val="baseline"/>
        <w:rPr>
          <w:rFonts w:eastAsia="Times New Roman" w:cs="Segoe UI"/>
          <w:lang w:eastAsia="en-GB"/>
        </w:rPr>
      </w:pPr>
      <w:r w:rsidRPr="00CA5319">
        <w:rPr>
          <w:rFonts w:eastAsia="Times New Roman" w:cs="Segoe UI"/>
          <w:lang w:eastAsia="en-GB"/>
        </w:rPr>
        <w:t> </w:t>
      </w:r>
    </w:p>
    <w:p w14:paraId="19E8AEF6" w14:textId="03D114B9" w:rsidR="000D58F0" w:rsidRPr="004463A3" w:rsidRDefault="004463A3" w:rsidP="004463A3">
      <w:pPr>
        <w:pStyle w:val="ListParagraph"/>
        <w:numPr>
          <w:ilvl w:val="1"/>
          <w:numId w:val="22"/>
        </w:numPr>
        <w:spacing w:before="0" w:after="0" w:line="276" w:lineRule="auto"/>
        <w:textAlignment w:val="baseline"/>
        <w:rPr>
          <w:rFonts w:eastAsia="Times New Roman" w:cs="Segoe UI"/>
          <w:lang w:eastAsia="en-GB"/>
        </w:rPr>
      </w:pPr>
      <w:r>
        <w:rPr>
          <w:rFonts w:eastAsia="Times New Roman" w:cs="Segoe UI"/>
          <w:lang w:eastAsia="en-GB"/>
        </w:rPr>
        <w:t>a</w:t>
      </w:r>
      <w:r w:rsidR="000D58F0" w:rsidRPr="004463A3">
        <w:rPr>
          <w:rFonts w:eastAsia="Times New Roman" w:cs="Segoe UI"/>
          <w:lang w:eastAsia="en-GB"/>
        </w:rPr>
        <w:t>dvises that the restrictions placed on the consideration of an individual’s circumstances under clause 4 of the Bill renders the domestic remedies ineffectual and, in the case of those who face a risk of refoulement, unavailable. </w:t>
      </w:r>
    </w:p>
    <w:p w14:paraId="0E8CCC8A" w14:textId="77777777" w:rsidR="000D58F0" w:rsidRPr="00CA5319" w:rsidRDefault="000D58F0" w:rsidP="004463A3">
      <w:pPr>
        <w:spacing w:line="276" w:lineRule="auto"/>
        <w:rPr>
          <w:rStyle w:val="normaltextrun"/>
          <w:b/>
          <w:bCs/>
          <w:color w:val="000000"/>
        </w:rPr>
      </w:pPr>
    </w:p>
    <w:p w14:paraId="5BCC45A5" w14:textId="57479999" w:rsidR="004463A3" w:rsidRDefault="000D58F0" w:rsidP="004463A3">
      <w:pPr>
        <w:spacing w:line="276" w:lineRule="auto"/>
        <w:ind w:left="720" w:hanging="720"/>
        <w:rPr>
          <w:rStyle w:val="eop"/>
          <w:color w:val="000000"/>
          <w:shd w:val="clear" w:color="auto" w:fill="FFFFFF"/>
        </w:rPr>
      </w:pPr>
      <w:r w:rsidRPr="00CA5319">
        <w:rPr>
          <w:rStyle w:val="normaltextrun"/>
          <w:bCs/>
          <w:color w:val="000000"/>
        </w:rPr>
        <w:t xml:space="preserve">7.16 </w:t>
      </w:r>
      <w:r w:rsidR="004463A3">
        <w:rPr>
          <w:rStyle w:val="normaltextrun"/>
          <w:bCs/>
          <w:color w:val="000000"/>
        </w:rPr>
        <w:tab/>
      </w:r>
      <w:r w:rsidRPr="00CA5319">
        <w:rPr>
          <w:rStyle w:val="normaltextrun"/>
          <w:bCs/>
          <w:color w:val="000000"/>
          <w:shd w:val="clear" w:color="auto" w:fill="FFFFFF"/>
        </w:rPr>
        <w:t>advises that narrow grounds of challenge and a high evidential threshold for those grounds may diminish the rights of asylum-seekers which were previously protected by EU Procedures Directive Article 27 (the safe third country concept), which is likely to be contrary to Windsor Framework Article 2.</w:t>
      </w:r>
      <w:r w:rsidRPr="00CA5319">
        <w:rPr>
          <w:rStyle w:val="eop"/>
          <w:color w:val="000000"/>
          <w:shd w:val="clear" w:color="auto" w:fill="FFFFFF"/>
        </w:rPr>
        <w:t> </w:t>
      </w:r>
    </w:p>
    <w:p w14:paraId="611DA738" w14:textId="77777777" w:rsidR="004463A3" w:rsidRPr="00CA5319" w:rsidRDefault="004463A3" w:rsidP="004463A3">
      <w:pPr>
        <w:spacing w:line="276" w:lineRule="auto"/>
        <w:rPr>
          <w:rStyle w:val="eop"/>
          <w:color w:val="000000"/>
          <w:shd w:val="clear" w:color="auto" w:fill="FFFFFF"/>
        </w:rPr>
      </w:pPr>
    </w:p>
    <w:p w14:paraId="0139942A" w14:textId="415CD3B6" w:rsidR="000D58F0" w:rsidRPr="00CA5319" w:rsidRDefault="000D58F0" w:rsidP="004463A3">
      <w:pPr>
        <w:spacing w:line="276" w:lineRule="auto"/>
        <w:ind w:left="705" w:hanging="705"/>
        <w:rPr>
          <w:rStyle w:val="eop"/>
          <w:color w:val="000000"/>
          <w:shd w:val="clear" w:color="auto" w:fill="FFFFFF"/>
        </w:rPr>
      </w:pPr>
      <w:r w:rsidRPr="00CA5319">
        <w:rPr>
          <w:rStyle w:val="eop"/>
          <w:color w:val="000000"/>
          <w:shd w:val="clear" w:color="auto" w:fill="FFFFFF"/>
        </w:rPr>
        <w:t xml:space="preserve">7.18 </w:t>
      </w:r>
      <w:r w:rsidR="004463A3">
        <w:rPr>
          <w:rStyle w:val="eop"/>
          <w:color w:val="000000"/>
          <w:shd w:val="clear" w:color="auto" w:fill="FFFFFF"/>
        </w:rPr>
        <w:tab/>
      </w:r>
      <w:r w:rsidRPr="00CA5319">
        <w:rPr>
          <w:rStyle w:val="normaltextrun"/>
          <w:bCs/>
          <w:color w:val="000000"/>
          <w:shd w:val="clear" w:color="auto" w:fill="FFFFFF"/>
        </w:rPr>
        <w:t>advises that clause 4(2) may diminish a right to an effective remedy under Article 47 of the Charter of Fundamental Rights of the EU, in relation to minimum standards set out in Article 27(1)(b) of the EU Procedures Directive and Article 21 of the EU Qualification Directive.</w:t>
      </w:r>
      <w:r w:rsidRPr="00CA5319">
        <w:rPr>
          <w:rStyle w:val="eop"/>
          <w:color w:val="000000"/>
          <w:shd w:val="clear" w:color="auto" w:fill="FFFFFF"/>
        </w:rPr>
        <w:t> </w:t>
      </w:r>
    </w:p>
    <w:p w14:paraId="18F5AD3B" w14:textId="77777777" w:rsidR="000D58F0" w:rsidRPr="00CA5319" w:rsidRDefault="000D58F0" w:rsidP="004463A3">
      <w:pPr>
        <w:spacing w:line="276" w:lineRule="auto"/>
        <w:ind w:left="705"/>
        <w:textAlignment w:val="baseline"/>
        <w:rPr>
          <w:rFonts w:eastAsia="Times New Roman" w:cs="Segoe UI"/>
          <w:lang w:eastAsia="en-GB"/>
        </w:rPr>
      </w:pPr>
      <w:r w:rsidRPr="00CA5319">
        <w:rPr>
          <w:rFonts w:eastAsia="Times New Roman" w:cs="Segoe UI"/>
          <w:lang w:eastAsia="en-GB"/>
        </w:rPr>
        <w:t> </w:t>
      </w:r>
    </w:p>
    <w:p w14:paraId="24037D17" w14:textId="512A6449" w:rsidR="000D58F0" w:rsidRPr="004463A3" w:rsidRDefault="000D58F0" w:rsidP="004463A3">
      <w:pPr>
        <w:spacing w:line="276" w:lineRule="auto"/>
        <w:ind w:left="705" w:hanging="705"/>
        <w:textAlignment w:val="baseline"/>
        <w:rPr>
          <w:rFonts w:eastAsia="Times New Roman" w:cs="Segoe UI"/>
          <w:lang w:eastAsia="en-GB"/>
        </w:rPr>
      </w:pPr>
      <w:proofErr w:type="gramStart"/>
      <w:r w:rsidRPr="004463A3">
        <w:rPr>
          <w:rFonts w:eastAsia="Times New Roman" w:cs="Segoe UI"/>
          <w:lang w:val="en" w:eastAsia="en-GB"/>
        </w:rPr>
        <w:t>8.2  advises</w:t>
      </w:r>
      <w:proofErr w:type="gramEnd"/>
      <w:r w:rsidRPr="004463A3">
        <w:rPr>
          <w:rFonts w:eastAsia="Times New Roman" w:cs="Segoe UI"/>
          <w:lang w:val="en" w:eastAsia="en-GB"/>
        </w:rPr>
        <w:t xml:space="preserve"> that compliance with interim measures is an essential requirement of membership of the Council of Europe. </w:t>
      </w:r>
      <w:r w:rsidRPr="004463A3">
        <w:rPr>
          <w:rFonts w:eastAsia="Times New Roman" w:cs="Segoe UI"/>
          <w:lang w:eastAsia="en-GB"/>
        </w:rPr>
        <w:t> </w:t>
      </w:r>
    </w:p>
    <w:p w14:paraId="34E2935E" w14:textId="77777777" w:rsidR="000D58F0" w:rsidRPr="00CA5319" w:rsidRDefault="000D58F0" w:rsidP="004463A3">
      <w:pPr>
        <w:spacing w:line="276" w:lineRule="auto"/>
        <w:rPr>
          <w:rStyle w:val="normaltextrun"/>
          <w:b/>
          <w:bCs/>
          <w:color w:val="000000"/>
        </w:rPr>
      </w:pPr>
    </w:p>
    <w:p w14:paraId="733C3B39" w14:textId="32CE24C6" w:rsidR="000D58F0" w:rsidRPr="00CA5319" w:rsidRDefault="000D58F0" w:rsidP="004463A3">
      <w:pPr>
        <w:spacing w:line="276" w:lineRule="auto"/>
        <w:ind w:left="705" w:hanging="705"/>
        <w:rPr>
          <w:rStyle w:val="normaltextrun"/>
          <w:b/>
          <w:bCs/>
          <w:color w:val="000000"/>
        </w:rPr>
      </w:pPr>
      <w:r w:rsidRPr="6B1B38DE">
        <w:rPr>
          <w:rStyle w:val="normaltextrun"/>
          <w:color w:val="000000" w:themeColor="text1"/>
        </w:rPr>
        <w:t xml:space="preserve">9.6 </w:t>
      </w:r>
      <w:r w:rsidR="004463A3">
        <w:rPr>
          <w:rStyle w:val="normaltextrun"/>
          <w:bCs/>
          <w:color w:val="000000"/>
        </w:rPr>
        <w:tab/>
      </w:r>
      <w:r w:rsidRPr="6B1B38DE">
        <w:rPr>
          <w:rStyle w:val="normaltextrun"/>
          <w:color w:val="000000" w:themeColor="text1"/>
        </w:rPr>
        <w:t>advises that the present Bill does not consider the Belfast (Good Friday) Agreement, and the integral role of both the Human Rights Act and ECHR in the complex fabric of the NI Peace Process and devolution. The NIHRC is particularly concerned that the present Bill appears to be incompatible with obligations under the Belfast (Good Friday) Agreement to incorporate the ECHR and provide direct access to the courts.</w:t>
      </w:r>
    </w:p>
    <w:p w14:paraId="68B8F97F" w14:textId="77777777" w:rsidR="000D58F0" w:rsidRPr="00494F8E" w:rsidRDefault="000D58F0" w:rsidP="000D58F0">
      <w:pPr>
        <w:pStyle w:val="paragraph"/>
        <w:spacing w:before="0" w:beforeAutospacing="0" w:after="0" w:afterAutospacing="0"/>
        <w:jc w:val="both"/>
        <w:textAlignment w:val="baseline"/>
        <w:rPr>
          <w:rFonts w:ascii="Verdana" w:hAnsi="Verdana" w:cs="Segoe UI"/>
          <w14:ligatures w14:val="none"/>
        </w:rPr>
      </w:pPr>
    </w:p>
    <w:p w14:paraId="1B486211" w14:textId="77777777" w:rsidR="000D58F0" w:rsidRPr="00494F8E" w:rsidRDefault="000D58F0" w:rsidP="000D58F0">
      <w:pPr>
        <w:spacing w:line="240" w:lineRule="auto"/>
        <w:textAlignment w:val="baseline"/>
        <w:rPr>
          <w:rFonts w:ascii="Segoe UI" w:eastAsia="Times New Roman" w:hAnsi="Segoe UI" w:cs="Segoe UI"/>
          <w:sz w:val="18"/>
          <w:szCs w:val="18"/>
          <w:lang w:eastAsia="en-GB"/>
        </w:rPr>
      </w:pPr>
      <w:r w:rsidRPr="00494F8E">
        <w:rPr>
          <w:rFonts w:eastAsia="Times New Roman" w:cs="Segoe UI"/>
          <w:lang w:eastAsia="en-GB"/>
        </w:rPr>
        <w:t> </w:t>
      </w:r>
    </w:p>
    <w:p w14:paraId="43F5932C" w14:textId="77777777" w:rsidR="00264C00" w:rsidRPr="00264C00" w:rsidRDefault="00264C00" w:rsidP="00264C00">
      <w:pPr>
        <w:pStyle w:val="NormalWeb"/>
        <w:rPr>
          <w:rFonts w:ascii="Verdana" w:hAnsi="Verdana"/>
          <w:color w:val="000000"/>
        </w:rPr>
      </w:pPr>
    </w:p>
    <w:p w14:paraId="5E9CE19A" w14:textId="29658E28" w:rsidR="004463A3" w:rsidRDefault="004463A3">
      <w:pPr>
        <w:spacing w:after="160" w:line="259" w:lineRule="auto"/>
        <w:jc w:val="left"/>
        <w:rPr>
          <w:rFonts w:eastAsiaTheme="majorEastAsia" w:cstheme="majorBidi"/>
          <w:b/>
          <w:color w:val="77328A"/>
          <w:sz w:val="30"/>
          <w:szCs w:val="32"/>
        </w:rPr>
      </w:pPr>
      <w:r>
        <w:br w:type="page"/>
      </w:r>
    </w:p>
    <w:p w14:paraId="6F69E0AB" w14:textId="77777777" w:rsidR="00CE0514" w:rsidRDefault="00CE0514" w:rsidP="005F3F87">
      <w:pPr>
        <w:pStyle w:val="Heading1"/>
        <w:numPr>
          <w:ilvl w:val="0"/>
          <w:numId w:val="3"/>
        </w:numPr>
      </w:pPr>
      <w:bookmarkStart w:id="3" w:name="_Toc156823313"/>
      <w:r>
        <w:lastRenderedPageBreak/>
        <w:t>Introduction</w:t>
      </w:r>
      <w:bookmarkEnd w:id="2"/>
      <w:bookmarkEnd w:id="3"/>
    </w:p>
    <w:p w14:paraId="7E458402" w14:textId="49102FEF" w:rsidR="00F82226" w:rsidRDefault="00CE0514" w:rsidP="005F3F87">
      <w:pPr>
        <w:pStyle w:val="ListParagraph"/>
        <w:numPr>
          <w:ilvl w:val="1"/>
          <w:numId w:val="3"/>
        </w:numPr>
      </w:pPr>
      <w:r>
        <w:t xml:space="preserve">The Northern Ireland Human Rights Commission (NIHRC), pursuant to section 69(1) of the Northern Ireland (NI) Act 1998, reviews the adequacy and effectiveness of law and practice relating to the protection of human rights in NI. The NIHRC is also </w:t>
      </w:r>
      <w:r w:rsidR="001E0B23">
        <w:t>obliged</w:t>
      </w:r>
      <w:r>
        <w:t>, under section 78A(1)</w:t>
      </w:r>
      <w:r w:rsidR="001E0B23">
        <w:t>,</w:t>
      </w:r>
      <w:r>
        <w:t xml:space="preserve"> to monitor the implementation of Article 2(1) of the Protocol on Ireland/NI of the United Kingdom (UK) - European Union (EU) Withdrawal Agreement (Protocol Article 2), to ensure there is no diminution of rights protected in the ‘Rights, Safeguards and Equality of Opportunity’ chapter of the Belfast (Good Friday) Agreement 1998 as a result of the UK’s withdrawal from the EU. In accordance with these functions, the NIHRC provides the following advice on </w:t>
      </w:r>
      <w:r w:rsidR="001E0B23">
        <w:t xml:space="preserve">the </w:t>
      </w:r>
      <w:r w:rsidR="00870C55">
        <w:t>Safety of Rwanda (Asylum and Immigration) Bill</w:t>
      </w:r>
      <w:r w:rsidR="421ADD6C">
        <w:t>, as introduced</w:t>
      </w:r>
      <w:r>
        <w:t>.</w:t>
      </w:r>
    </w:p>
    <w:p w14:paraId="4DECDC36" w14:textId="6B819454" w:rsidR="290BF602" w:rsidRDefault="45EFF975" w:rsidP="005F3F87">
      <w:pPr>
        <w:pStyle w:val="Heading1"/>
        <w:numPr>
          <w:ilvl w:val="0"/>
          <w:numId w:val="4"/>
        </w:numPr>
      </w:pPr>
      <w:bookmarkStart w:id="4" w:name="_Toc156823314"/>
      <w:r>
        <w:t>Statement of Compatibility</w:t>
      </w:r>
      <w:bookmarkEnd w:id="4"/>
    </w:p>
    <w:p w14:paraId="5538C49A" w14:textId="3FA3543C" w:rsidR="00EA6E44" w:rsidRPr="00BD6403" w:rsidRDefault="45EFF975" w:rsidP="005F3F87">
      <w:pPr>
        <w:pStyle w:val="ListParagraph"/>
        <w:numPr>
          <w:ilvl w:val="1"/>
          <w:numId w:val="4"/>
        </w:numPr>
        <w:ind w:left="709" w:hanging="709"/>
      </w:pPr>
      <w:r w:rsidRPr="00EA6E44">
        <w:rPr>
          <w:rFonts w:eastAsia="Calibri" w:cs="Calibri"/>
        </w:rPr>
        <w:t>The Home Secretary has made a statement</w:t>
      </w:r>
      <w:r w:rsidR="001E0B23">
        <w:rPr>
          <w:rFonts w:eastAsia="Calibri" w:cs="Calibri"/>
        </w:rPr>
        <w:t>,</w:t>
      </w:r>
      <w:r w:rsidRPr="00EA6E44">
        <w:rPr>
          <w:rFonts w:eastAsia="Calibri" w:cs="Calibri"/>
        </w:rPr>
        <w:t xml:space="preserve"> under s19(1)(b) of the Human Rights Act 1998</w:t>
      </w:r>
      <w:r w:rsidR="001E0B23">
        <w:rPr>
          <w:rFonts w:eastAsia="Calibri" w:cs="Calibri"/>
        </w:rPr>
        <w:t>,</w:t>
      </w:r>
      <w:r w:rsidRPr="00EA6E44">
        <w:rPr>
          <w:rFonts w:eastAsia="Calibri" w:cs="Calibri"/>
        </w:rPr>
        <w:t xml:space="preserve"> </w:t>
      </w:r>
      <w:r w:rsidR="001E0B23">
        <w:rPr>
          <w:rFonts w:eastAsia="Calibri" w:cs="Calibri"/>
        </w:rPr>
        <w:t xml:space="preserve">of his inability to confirm that </w:t>
      </w:r>
      <w:r w:rsidRPr="00EA6E44">
        <w:rPr>
          <w:rFonts w:eastAsia="Calibri" w:cs="Calibri"/>
        </w:rPr>
        <w:t xml:space="preserve">the Bill </w:t>
      </w:r>
      <w:r w:rsidR="001E0B23">
        <w:rPr>
          <w:rFonts w:eastAsia="Calibri" w:cs="Calibri"/>
        </w:rPr>
        <w:t>is</w:t>
      </w:r>
      <w:r w:rsidR="001E0B23" w:rsidRPr="00EA6E44">
        <w:rPr>
          <w:rFonts w:eastAsia="Calibri" w:cs="Calibri"/>
        </w:rPr>
        <w:t xml:space="preserve"> </w:t>
      </w:r>
      <w:r w:rsidRPr="00EA6E44">
        <w:rPr>
          <w:rFonts w:eastAsia="Calibri" w:cs="Calibri"/>
        </w:rPr>
        <w:t xml:space="preserve">compatible with </w:t>
      </w:r>
      <w:r w:rsidR="00066271">
        <w:rPr>
          <w:rFonts w:eastAsia="Calibri" w:cs="Calibri"/>
        </w:rPr>
        <w:t xml:space="preserve">the European </w:t>
      </w:r>
      <w:r w:rsidRPr="00EA6E44">
        <w:rPr>
          <w:rFonts w:eastAsia="Calibri" w:cs="Calibri"/>
        </w:rPr>
        <w:t xml:space="preserve">Convention </w:t>
      </w:r>
      <w:r w:rsidR="00066271">
        <w:rPr>
          <w:rFonts w:eastAsia="Calibri" w:cs="Calibri"/>
        </w:rPr>
        <w:t>on Human Rights (ECHR)</w:t>
      </w:r>
      <w:r w:rsidRPr="00EA6E44">
        <w:rPr>
          <w:rFonts w:eastAsia="Calibri" w:cs="Calibri"/>
        </w:rPr>
        <w:t xml:space="preserve">. </w:t>
      </w:r>
      <w:r w:rsidR="001E0B23">
        <w:rPr>
          <w:rFonts w:eastAsia="Calibri" w:cs="Calibri"/>
        </w:rPr>
        <w:t>Despite that</w:t>
      </w:r>
      <w:r w:rsidR="5B5F68E0" w:rsidRPr="00EA6E44">
        <w:rPr>
          <w:rFonts w:eastAsia="Calibri" w:cs="Calibri"/>
        </w:rPr>
        <w:t>,</w:t>
      </w:r>
      <w:r w:rsidRPr="00EA6E44">
        <w:rPr>
          <w:rFonts w:eastAsia="Calibri" w:cs="Calibri"/>
        </w:rPr>
        <w:t xml:space="preserve"> the Government is progressing the Bill through Parliament. </w:t>
      </w:r>
      <w:r w:rsidR="001E0B23">
        <w:rPr>
          <w:rFonts w:eastAsia="Calibri" w:cs="Calibri"/>
        </w:rPr>
        <w:t>In so doing, and in apparent contradiction of the Home Secretary’s statement, the</w:t>
      </w:r>
      <w:r w:rsidRPr="00EA6E44">
        <w:rPr>
          <w:rFonts w:eastAsia="Calibri" w:cs="Calibri"/>
        </w:rPr>
        <w:t xml:space="preserve"> UK Government </w:t>
      </w:r>
      <w:r w:rsidR="001E0B23">
        <w:rPr>
          <w:rFonts w:eastAsia="Calibri" w:cs="Calibri"/>
        </w:rPr>
        <w:t>(</w:t>
      </w:r>
      <w:r w:rsidRPr="00EA6E44">
        <w:rPr>
          <w:rFonts w:eastAsia="Calibri" w:cs="Calibri"/>
        </w:rPr>
        <w:t>in its human rights memorandum</w:t>
      </w:r>
      <w:r w:rsidR="001E0B23">
        <w:rPr>
          <w:rFonts w:eastAsia="Calibri" w:cs="Calibri"/>
        </w:rPr>
        <w:t>),</w:t>
      </w:r>
      <w:r w:rsidRPr="00EA6E44">
        <w:rPr>
          <w:rFonts w:eastAsia="Calibri" w:cs="Calibri"/>
        </w:rPr>
        <w:t xml:space="preserve"> indicate that each clause of the Bill </w:t>
      </w:r>
      <w:proofErr w:type="gramStart"/>
      <w:r w:rsidRPr="00EA6E44">
        <w:rPr>
          <w:rFonts w:eastAsia="Calibri" w:cs="Calibri"/>
        </w:rPr>
        <w:t>is in compliance with</w:t>
      </w:r>
      <w:proofErr w:type="gramEnd"/>
      <w:r w:rsidRPr="00EA6E44">
        <w:rPr>
          <w:rFonts w:eastAsia="Calibri" w:cs="Calibri"/>
        </w:rPr>
        <w:t xml:space="preserve"> the ECHR. </w:t>
      </w:r>
      <w:r w:rsidR="001E0B23">
        <w:rPr>
          <w:rFonts w:eastAsia="Calibri" w:cs="Calibri"/>
        </w:rPr>
        <w:t>The</w:t>
      </w:r>
      <w:r w:rsidRPr="00EA6E44">
        <w:rPr>
          <w:rFonts w:eastAsia="Calibri" w:cs="Calibri"/>
        </w:rPr>
        <w:t xml:space="preserve"> Bill </w:t>
      </w:r>
      <w:r w:rsidR="00B83EED">
        <w:rPr>
          <w:rFonts w:eastAsia="Calibri" w:cs="Calibri"/>
        </w:rPr>
        <w:t xml:space="preserve">proceeds </w:t>
      </w:r>
      <w:r w:rsidRPr="00EA6E44">
        <w:rPr>
          <w:rFonts w:eastAsia="Calibri" w:cs="Calibri"/>
        </w:rPr>
        <w:t>at clause 2 to disapply sections 3,</w:t>
      </w:r>
      <w:r w:rsidR="75266B75" w:rsidRPr="00EA6E44">
        <w:rPr>
          <w:rFonts w:eastAsia="Calibri" w:cs="Calibri"/>
        </w:rPr>
        <w:t xml:space="preserve"> </w:t>
      </w:r>
      <w:r w:rsidRPr="00EA6E44">
        <w:rPr>
          <w:rFonts w:eastAsia="Calibri" w:cs="Calibri"/>
        </w:rPr>
        <w:t>4 and 6</w:t>
      </w:r>
      <w:r w:rsidR="00A02BA9">
        <w:rPr>
          <w:rFonts w:eastAsia="Calibri" w:cs="Calibri"/>
        </w:rPr>
        <w:t xml:space="preserve"> to 9</w:t>
      </w:r>
      <w:r w:rsidRPr="00EA6E44">
        <w:rPr>
          <w:rFonts w:eastAsia="Calibri" w:cs="Calibri"/>
        </w:rPr>
        <w:t xml:space="preserve"> of the </w:t>
      </w:r>
      <w:r w:rsidR="00A02BA9">
        <w:rPr>
          <w:rFonts w:eastAsia="Calibri" w:cs="Calibri"/>
        </w:rPr>
        <w:t>Human Rights Act</w:t>
      </w:r>
      <w:r w:rsidRPr="00EA6E44">
        <w:rPr>
          <w:rFonts w:eastAsia="Calibri" w:cs="Calibri"/>
        </w:rPr>
        <w:t>.</w:t>
      </w:r>
    </w:p>
    <w:p w14:paraId="208BCDB3" w14:textId="77777777" w:rsidR="00BD6403" w:rsidRPr="00EA6E44" w:rsidRDefault="00BD6403" w:rsidP="00BD6403">
      <w:pPr>
        <w:pStyle w:val="ListParagraph"/>
        <w:numPr>
          <w:ilvl w:val="0"/>
          <w:numId w:val="0"/>
        </w:numPr>
        <w:ind w:left="709"/>
      </w:pPr>
    </w:p>
    <w:p w14:paraId="47CA0D9E" w14:textId="623C83DA" w:rsidR="00EA6E44" w:rsidRDefault="00FB1D5F" w:rsidP="005F3F87">
      <w:pPr>
        <w:pStyle w:val="ListParagraph"/>
        <w:numPr>
          <w:ilvl w:val="1"/>
          <w:numId w:val="4"/>
        </w:numPr>
        <w:ind w:left="709" w:hanging="709"/>
        <w:rPr>
          <w:rFonts w:eastAsia="Calibri" w:cs="Calibri"/>
        </w:rPr>
      </w:pPr>
      <w:r>
        <w:rPr>
          <w:rFonts w:eastAsia="Calibri" w:cs="Calibri"/>
        </w:rPr>
        <w:t>It is</w:t>
      </w:r>
      <w:r w:rsidR="45EFF975" w:rsidRPr="00EA6E44">
        <w:rPr>
          <w:rFonts w:eastAsia="Calibri" w:cs="Calibri"/>
        </w:rPr>
        <w:t xml:space="preserve"> the </w:t>
      </w:r>
      <w:r w:rsidR="00A02BA9">
        <w:rPr>
          <w:rFonts w:eastAsia="Calibri" w:cs="Calibri"/>
        </w:rPr>
        <w:t>NIHRC</w:t>
      </w:r>
      <w:r>
        <w:rPr>
          <w:rFonts w:eastAsia="Calibri" w:cs="Calibri"/>
        </w:rPr>
        <w:t>’s</w:t>
      </w:r>
      <w:r w:rsidR="45EFF975" w:rsidRPr="00EA6E44">
        <w:rPr>
          <w:rFonts w:eastAsia="Calibri" w:cs="Calibri"/>
        </w:rPr>
        <w:t xml:space="preserve"> view that this Bill </w:t>
      </w:r>
      <w:r>
        <w:rPr>
          <w:rFonts w:eastAsia="Calibri" w:cs="Calibri"/>
        </w:rPr>
        <w:t xml:space="preserve">is not compliant with the ECHR. </w:t>
      </w:r>
      <w:r w:rsidR="368F1D39" w:rsidRPr="00EA6E44">
        <w:rPr>
          <w:rFonts w:eastAsia="Calibri" w:cs="Calibri"/>
        </w:rPr>
        <w:t xml:space="preserve">By introducing </w:t>
      </w:r>
      <w:r>
        <w:rPr>
          <w:rFonts w:eastAsia="Calibri" w:cs="Calibri"/>
        </w:rPr>
        <w:t xml:space="preserve">the </w:t>
      </w:r>
      <w:r w:rsidR="368F1D39" w:rsidRPr="00EA6E44">
        <w:rPr>
          <w:rFonts w:eastAsia="Calibri" w:cs="Calibri"/>
        </w:rPr>
        <w:t>presumption</w:t>
      </w:r>
      <w:r>
        <w:rPr>
          <w:rFonts w:eastAsia="Calibri" w:cs="Calibri"/>
        </w:rPr>
        <w:t>, which is incapable of rebuttal,</w:t>
      </w:r>
      <w:r w:rsidR="368F1D39" w:rsidRPr="00EA6E44">
        <w:rPr>
          <w:rFonts w:eastAsia="Calibri" w:cs="Calibri"/>
        </w:rPr>
        <w:t xml:space="preserve"> that Rwanda is a </w:t>
      </w:r>
      <w:r>
        <w:rPr>
          <w:rFonts w:eastAsia="Calibri" w:cs="Calibri"/>
        </w:rPr>
        <w:t>‘</w:t>
      </w:r>
      <w:r w:rsidR="368F1D39" w:rsidRPr="00EA6E44">
        <w:rPr>
          <w:rFonts w:eastAsia="Calibri" w:cs="Calibri"/>
        </w:rPr>
        <w:t>safe country</w:t>
      </w:r>
      <w:r>
        <w:rPr>
          <w:rFonts w:eastAsia="Calibri" w:cs="Calibri"/>
        </w:rPr>
        <w:t>’</w:t>
      </w:r>
      <w:r w:rsidR="00EC309F">
        <w:rPr>
          <w:rFonts w:eastAsia="Calibri" w:cs="Calibri"/>
        </w:rPr>
        <w:t>,</w:t>
      </w:r>
      <w:r w:rsidR="368F1D39" w:rsidRPr="00EA6E44" w:rsidDel="00EC309F">
        <w:rPr>
          <w:rFonts w:eastAsia="Calibri" w:cs="Calibri"/>
        </w:rPr>
        <w:t xml:space="preserve"> </w:t>
      </w:r>
      <w:r w:rsidR="368F1D39" w:rsidRPr="00EA6E44">
        <w:rPr>
          <w:rFonts w:eastAsia="Calibri" w:cs="Calibri"/>
        </w:rPr>
        <w:t xml:space="preserve">an individual </w:t>
      </w:r>
      <w:r>
        <w:rPr>
          <w:rFonts w:eastAsia="Calibri" w:cs="Calibri"/>
        </w:rPr>
        <w:t xml:space="preserve">will never be able to </w:t>
      </w:r>
      <w:r w:rsidR="368F1D39" w:rsidRPr="00EA6E44">
        <w:rPr>
          <w:rFonts w:eastAsia="Calibri" w:cs="Calibri"/>
        </w:rPr>
        <w:t xml:space="preserve">seek a judicial determination </w:t>
      </w:r>
      <w:r>
        <w:rPr>
          <w:rFonts w:eastAsia="Calibri" w:cs="Calibri"/>
        </w:rPr>
        <w:t xml:space="preserve">as to breach or potential breach of their </w:t>
      </w:r>
      <w:r w:rsidR="368F1D39" w:rsidRPr="00EA6E44">
        <w:rPr>
          <w:rFonts w:eastAsia="Calibri" w:cs="Calibri"/>
        </w:rPr>
        <w:t>right to life and right to freedom from torture</w:t>
      </w:r>
      <w:r>
        <w:rPr>
          <w:rFonts w:eastAsia="Calibri" w:cs="Calibri"/>
        </w:rPr>
        <w:t>.</w:t>
      </w:r>
      <w:r w:rsidR="368F1D39" w:rsidRPr="00EA6E44">
        <w:rPr>
          <w:rFonts w:eastAsia="Calibri" w:cs="Calibri"/>
        </w:rPr>
        <w:t xml:space="preserve"> Furthermore</w:t>
      </w:r>
      <w:r w:rsidR="69DEA4B5" w:rsidRPr="00EA6E44">
        <w:rPr>
          <w:rFonts w:eastAsia="Calibri" w:cs="Calibri"/>
        </w:rPr>
        <w:t>,</w:t>
      </w:r>
      <w:r w:rsidR="45EFF975" w:rsidRPr="00EA6E44">
        <w:rPr>
          <w:rFonts w:eastAsia="Calibri" w:cs="Calibri"/>
        </w:rPr>
        <w:t xml:space="preserve"> </w:t>
      </w:r>
      <w:r>
        <w:rPr>
          <w:rFonts w:eastAsia="Calibri" w:cs="Calibri"/>
        </w:rPr>
        <w:t>to require</w:t>
      </w:r>
      <w:r w:rsidR="45EFF975" w:rsidRPr="00EA6E44">
        <w:rPr>
          <w:rFonts w:eastAsia="Calibri" w:cs="Calibri"/>
        </w:rPr>
        <w:t xml:space="preserve"> </w:t>
      </w:r>
      <w:r>
        <w:rPr>
          <w:rFonts w:eastAsia="Calibri" w:cs="Calibri"/>
        </w:rPr>
        <w:t xml:space="preserve">the courts of the </w:t>
      </w:r>
      <w:r w:rsidR="3F40133A" w:rsidRPr="00EA6E44">
        <w:rPr>
          <w:rFonts w:eastAsia="Calibri" w:cs="Calibri"/>
        </w:rPr>
        <w:t xml:space="preserve">UK </w:t>
      </w:r>
      <w:r>
        <w:rPr>
          <w:rFonts w:eastAsia="Calibri" w:cs="Calibri"/>
        </w:rPr>
        <w:t xml:space="preserve">to disregard </w:t>
      </w:r>
      <w:r w:rsidR="3F40133A" w:rsidRPr="00EA6E44">
        <w:rPr>
          <w:rFonts w:eastAsia="Calibri" w:cs="Calibri"/>
        </w:rPr>
        <w:t>interim measures issued by the European Court of Human Rights</w:t>
      </w:r>
      <w:r w:rsidR="001116AC">
        <w:rPr>
          <w:rFonts w:eastAsia="Calibri" w:cs="Calibri"/>
        </w:rPr>
        <w:t xml:space="preserve"> (ECtHR</w:t>
      </w:r>
      <w:r w:rsidR="001116AC" w:rsidRPr="02EEB020">
        <w:rPr>
          <w:rFonts w:eastAsia="Calibri" w:cs="Calibri"/>
        </w:rPr>
        <w:t>)</w:t>
      </w:r>
      <w:r w:rsidR="25AF6D91" w:rsidRPr="00EA6E44">
        <w:rPr>
          <w:rFonts w:eastAsia="Calibri" w:cs="Calibri"/>
        </w:rPr>
        <w:t xml:space="preserve"> </w:t>
      </w:r>
      <w:r>
        <w:rPr>
          <w:rFonts w:eastAsia="Calibri" w:cs="Calibri"/>
        </w:rPr>
        <w:t>is</w:t>
      </w:r>
      <w:r w:rsidR="45EFF975" w:rsidRPr="00EA6E44">
        <w:rPr>
          <w:rFonts w:eastAsia="Calibri" w:cs="Calibri"/>
        </w:rPr>
        <w:t xml:space="preserve"> inconsistent with the UK’s membership of the Council of Europe. </w:t>
      </w:r>
    </w:p>
    <w:p w14:paraId="4B8FA43C" w14:textId="77777777" w:rsidR="00BD6403" w:rsidRDefault="00BD6403" w:rsidP="00BD6403">
      <w:pPr>
        <w:pStyle w:val="ListParagraph"/>
        <w:numPr>
          <w:ilvl w:val="0"/>
          <w:numId w:val="0"/>
        </w:numPr>
        <w:ind w:left="709"/>
        <w:rPr>
          <w:rFonts w:eastAsia="Calibri" w:cs="Calibri"/>
        </w:rPr>
      </w:pPr>
    </w:p>
    <w:p w14:paraId="38F620DA" w14:textId="42A1B141" w:rsidR="00426C4A" w:rsidRDefault="5C38E7AC" w:rsidP="005F3F87">
      <w:pPr>
        <w:pStyle w:val="ListParagraph"/>
        <w:numPr>
          <w:ilvl w:val="1"/>
          <w:numId w:val="4"/>
        </w:numPr>
        <w:ind w:left="709" w:hanging="709"/>
        <w:rPr>
          <w:rFonts w:eastAsia="Calibri" w:cs="Calibri"/>
        </w:rPr>
      </w:pPr>
      <w:r w:rsidRPr="005B5110">
        <w:rPr>
          <w:rFonts w:eastAsia="Calibri" w:cs="Calibri"/>
        </w:rPr>
        <w:t xml:space="preserve">The NIHRC is concerned by the </w:t>
      </w:r>
      <w:r w:rsidR="00FB1D5F">
        <w:rPr>
          <w:rFonts w:eastAsia="Calibri" w:cs="Calibri"/>
        </w:rPr>
        <w:t xml:space="preserve">escalation </w:t>
      </w:r>
      <w:r w:rsidR="00427652">
        <w:rPr>
          <w:rFonts w:eastAsia="Calibri" w:cs="Calibri"/>
        </w:rPr>
        <w:t xml:space="preserve">of </w:t>
      </w:r>
      <w:r w:rsidR="00FC4B9F">
        <w:rPr>
          <w:rFonts w:eastAsia="Calibri" w:cs="Calibri"/>
        </w:rPr>
        <w:t xml:space="preserve">measures </w:t>
      </w:r>
      <w:r w:rsidRPr="005B5110">
        <w:rPr>
          <w:rFonts w:eastAsia="Calibri" w:cs="Calibri"/>
        </w:rPr>
        <w:t xml:space="preserve">that diminish the rights of refugees, asylum seekers and migrants who arrive to </w:t>
      </w:r>
      <w:r w:rsidRPr="005B5110">
        <w:rPr>
          <w:rFonts w:eastAsia="Calibri" w:cs="Calibri"/>
        </w:rPr>
        <w:lastRenderedPageBreak/>
        <w:t xml:space="preserve">the UK </w:t>
      </w:r>
      <w:r w:rsidR="00FB1D5F">
        <w:rPr>
          <w:rFonts w:eastAsia="Calibri" w:cs="Calibri"/>
        </w:rPr>
        <w:t>by</w:t>
      </w:r>
      <w:r w:rsidR="00FB1D5F" w:rsidRPr="005B5110">
        <w:rPr>
          <w:rFonts w:eastAsia="Calibri" w:cs="Calibri"/>
        </w:rPr>
        <w:t xml:space="preserve"> </w:t>
      </w:r>
      <w:r w:rsidRPr="005B5110">
        <w:rPr>
          <w:rFonts w:eastAsia="Calibri" w:cs="Calibri"/>
        </w:rPr>
        <w:t>unofficial routes.</w:t>
      </w:r>
      <w:r w:rsidR="00485AC7" w:rsidRPr="005B5110">
        <w:rPr>
          <w:rStyle w:val="FootnoteReference"/>
          <w:rFonts w:eastAsia="Calibri" w:cs="Calibri"/>
        </w:rPr>
        <w:footnoteReference w:id="2"/>
      </w:r>
      <w:r w:rsidR="0048790B">
        <w:rPr>
          <w:rFonts w:eastAsia="Calibri" w:cs="Calibri"/>
        </w:rPr>
        <w:t xml:space="preserve"> </w:t>
      </w:r>
      <w:r w:rsidR="00674491">
        <w:rPr>
          <w:rFonts w:eastAsia="Calibri" w:cs="Calibri"/>
        </w:rPr>
        <w:t xml:space="preserve">The UK Government must </w:t>
      </w:r>
      <w:r w:rsidR="00487FFC" w:rsidRPr="00487FFC">
        <w:rPr>
          <w:rFonts w:eastAsia="Calibri" w:cs="Calibri"/>
        </w:rPr>
        <w:t>ensure the correct application of the safe third country concept</w:t>
      </w:r>
      <w:r w:rsidR="00674491">
        <w:rPr>
          <w:rFonts w:eastAsia="Calibri" w:cs="Calibri"/>
        </w:rPr>
        <w:t>. Those</w:t>
      </w:r>
      <w:r w:rsidR="001B24E9" w:rsidRPr="00487FFC">
        <w:rPr>
          <w:rFonts w:eastAsia="Calibri" w:cs="Calibri"/>
        </w:rPr>
        <w:t xml:space="preserve"> individuals who are deemed to have no legal basis to stay</w:t>
      </w:r>
      <w:r w:rsidR="00487FFC" w:rsidRPr="00487FFC">
        <w:rPr>
          <w:rFonts w:eastAsia="Calibri" w:cs="Calibri"/>
        </w:rPr>
        <w:t xml:space="preserve"> in the UK</w:t>
      </w:r>
      <w:r w:rsidR="00F559C4">
        <w:rPr>
          <w:rFonts w:eastAsia="Calibri" w:cs="Calibri"/>
        </w:rPr>
        <w:t xml:space="preserve"> </w:t>
      </w:r>
      <w:r w:rsidR="00674491">
        <w:rPr>
          <w:rFonts w:eastAsia="Calibri" w:cs="Calibri"/>
        </w:rPr>
        <w:t xml:space="preserve">must be </w:t>
      </w:r>
      <w:r w:rsidR="00F559C4">
        <w:rPr>
          <w:rFonts w:eastAsia="Calibri" w:cs="Calibri"/>
        </w:rPr>
        <w:t xml:space="preserve">returned or transferred </w:t>
      </w:r>
      <w:r w:rsidR="00F559C4" w:rsidRPr="00F559C4">
        <w:rPr>
          <w:rFonts w:eastAsia="Calibri" w:cs="Calibri"/>
        </w:rPr>
        <w:t>in safety and dignity</w:t>
      </w:r>
      <w:r w:rsidR="009F4AF8">
        <w:rPr>
          <w:rFonts w:eastAsia="Calibri" w:cs="Calibri"/>
        </w:rPr>
        <w:t>.</w:t>
      </w:r>
      <w:r w:rsidR="007424AC">
        <w:rPr>
          <w:rFonts w:eastAsia="Calibri" w:cs="Calibri"/>
        </w:rPr>
        <w:t xml:space="preserve"> </w:t>
      </w:r>
    </w:p>
    <w:p w14:paraId="55571E1A" w14:textId="77777777" w:rsidR="00426C4A" w:rsidRDefault="00426C4A" w:rsidP="00426C4A">
      <w:pPr>
        <w:pStyle w:val="ListParagraph"/>
        <w:numPr>
          <w:ilvl w:val="0"/>
          <w:numId w:val="0"/>
        </w:numPr>
      </w:pPr>
    </w:p>
    <w:p w14:paraId="057AEB35" w14:textId="29CDA240" w:rsidR="00426C4A" w:rsidRPr="00426C4A" w:rsidRDefault="007424AC" w:rsidP="005F3F87">
      <w:pPr>
        <w:pStyle w:val="ListParagraph"/>
        <w:numPr>
          <w:ilvl w:val="1"/>
          <w:numId w:val="4"/>
        </w:numPr>
        <w:ind w:left="709" w:hanging="709"/>
        <w:rPr>
          <w:rFonts w:eastAsia="Calibri" w:cs="Calibri"/>
        </w:rPr>
      </w:pPr>
      <w:r>
        <w:t>The Government’s stated aim in pursuing this policy</w:t>
      </w:r>
      <w:r w:rsidR="00124FF1">
        <w:t>,</w:t>
      </w:r>
      <w:r>
        <w:t xml:space="preserve"> despite human rights concerns and warnings about international law, is that it will act as a deterrent to those crossing in ‘small </w:t>
      </w:r>
      <w:proofErr w:type="gramStart"/>
      <w:r>
        <w:t>boats’</w:t>
      </w:r>
      <w:proofErr w:type="gramEnd"/>
      <w:r>
        <w:t>. The</w:t>
      </w:r>
      <w:r w:rsidR="52F8385A">
        <w:t xml:space="preserve"> UN Refugee Agency</w:t>
      </w:r>
      <w:r>
        <w:t>, however,</w:t>
      </w:r>
      <w:r w:rsidR="52F8385A">
        <w:t xml:space="preserve"> has </w:t>
      </w:r>
      <w:r>
        <w:t xml:space="preserve">advised </w:t>
      </w:r>
      <w:r w:rsidR="52F8385A">
        <w:t>that instead of deterring refugees and asylum seekers from resorting to perilous journeys, the UK’s externalisation of its humanitarian responsibilities will only “magnify risks, causing refugees to seek alternative routes, and exacerbating pressures on frontline states”.</w:t>
      </w:r>
      <w:r w:rsidR="00426C4A">
        <w:rPr>
          <w:rStyle w:val="FootnoteReference"/>
        </w:rPr>
        <w:footnoteReference w:id="3"/>
      </w:r>
      <w:r w:rsidR="52F8385A">
        <w:t xml:space="preserve"> It also noted that, while Rwanda has made efforts to build capacity </w:t>
      </w:r>
      <w:r>
        <w:t xml:space="preserve">in </w:t>
      </w:r>
      <w:r w:rsidR="52F8385A">
        <w:t>its asylum system, “there is a serious risk that the burden of processing the asylum claims of new arrivals from the UK could further overstretch the capacity of the Rwandan national asylum system, thereby undermining its ability to provide protection”.</w:t>
      </w:r>
      <w:r w:rsidR="00426C4A">
        <w:rPr>
          <w:rStyle w:val="FootnoteReference"/>
        </w:rPr>
        <w:footnoteReference w:id="4"/>
      </w:r>
    </w:p>
    <w:p w14:paraId="1CB34F24" w14:textId="77777777" w:rsidR="00863AC8" w:rsidRPr="00863AC8" w:rsidRDefault="00863AC8" w:rsidP="00863AC8">
      <w:pPr>
        <w:pStyle w:val="ListParagraph"/>
        <w:numPr>
          <w:ilvl w:val="0"/>
          <w:numId w:val="0"/>
        </w:numPr>
        <w:rPr>
          <w:highlight w:val="yellow"/>
        </w:rPr>
      </w:pPr>
    </w:p>
    <w:p w14:paraId="6AC9E826" w14:textId="05FB51A0" w:rsidR="00B95D30" w:rsidRPr="00B95D30" w:rsidRDefault="22D619D9" w:rsidP="005F3F87">
      <w:pPr>
        <w:pStyle w:val="ListParagraph"/>
        <w:numPr>
          <w:ilvl w:val="1"/>
          <w:numId w:val="4"/>
        </w:numPr>
        <w:spacing w:after="160" w:line="257" w:lineRule="auto"/>
        <w:ind w:left="709" w:hanging="709"/>
        <w:rPr>
          <w:b/>
          <w:bCs/>
        </w:rPr>
      </w:pPr>
      <w:r w:rsidRPr="244B1D2B">
        <w:rPr>
          <w:b/>
          <w:bCs/>
        </w:rPr>
        <w:t xml:space="preserve">The NIHRC </w:t>
      </w:r>
      <w:r w:rsidR="007424AC">
        <w:rPr>
          <w:b/>
          <w:bCs/>
        </w:rPr>
        <w:t xml:space="preserve">advises </w:t>
      </w:r>
      <w:r w:rsidRPr="244B1D2B">
        <w:rPr>
          <w:b/>
          <w:bCs/>
        </w:rPr>
        <w:t>that the Bill require</w:t>
      </w:r>
      <w:r w:rsidR="007424AC">
        <w:rPr>
          <w:b/>
          <w:bCs/>
        </w:rPr>
        <w:t>s</w:t>
      </w:r>
      <w:r w:rsidRPr="244B1D2B">
        <w:rPr>
          <w:b/>
          <w:bCs/>
        </w:rPr>
        <w:t xml:space="preserve"> immediate and thorough reassessment</w:t>
      </w:r>
      <w:r w:rsidR="007424AC">
        <w:rPr>
          <w:b/>
          <w:bCs/>
        </w:rPr>
        <w:t>.</w:t>
      </w:r>
      <w:r w:rsidRPr="244B1D2B">
        <w:rPr>
          <w:b/>
          <w:bCs/>
        </w:rPr>
        <w:t xml:space="preserve"> </w:t>
      </w:r>
    </w:p>
    <w:p w14:paraId="664AE4C0" w14:textId="77777777" w:rsidR="00B95D30" w:rsidRPr="00183A46" w:rsidRDefault="00B95D30" w:rsidP="00B95D30">
      <w:pPr>
        <w:pStyle w:val="ListParagraph"/>
        <w:numPr>
          <w:ilvl w:val="1"/>
          <w:numId w:val="0"/>
        </w:numPr>
        <w:spacing w:after="160" w:line="257" w:lineRule="auto"/>
        <w:ind w:left="709"/>
        <w:rPr>
          <w:b/>
          <w:bCs/>
        </w:rPr>
      </w:pPr>
    </w:p>
    <w:p w14:paraId="14545FC8" w14:textId="44265E2B" w:rsidR="00AF1436" w:rsidRDefault="00AF1436" w:rsidP="005F3F87">
      <w:pPr>
        <w:pStyle w:val="Heading1"/>
        <w:numPr>
          <w:ilvl w:val="0"/>
          <w:numId w:val="4"/>
        </w:numPr>
        <w:spacing w:line="240" w:lineRule="auto"/>
      </w:pPr>
      <w:bookmarkStart w:id="5" w:name="_Toc156823315"/>
      <w:r>
        <w:t xml:space="preserve">Article 2 of the Windsor Framework and the </w:t>
      </w:r>
      <w:r w:rsidR="009A3819">
        <w:t>C</w:t>
      </w:r>
      <w:r>
        <w:t xml:space="preserve">ontinuing </w:t>
      </w:r>
      <w:r w:rsidR="009A3819">
        <w:t>R</w:t>
      </w:r>
      <w:r>
        <w:t xml:space="preserve">elevance of EU Asylum </w:t>
      </w:r>
      <w:r w:rsidR="009A3819">
        <w:t>L</w:t>
      </w:r>
      <w:r>
        <w:t>aw in NI</w:t>
      </w:r>
      <w:bookmarkEnd w:id="5"/>
    </w:p>
    <w:p w14:paraId="03EB3C19" w14:textId="77777777" w:rsidR="00AF1436" w:rsidRDefault="00AF1436" w:rsidP="00AF1436">
      <w:pPr>
        <w:pStyle w:val="ListParagraph"/>
        <w:numPr>
          <w:ilvl w:val="0"/>
          <w:numId w:val="0"/>
        </w:numPr>
        <w:ind w:left="862" w:hanging="720"/>
        <w:rPr>
          <w:rFonts w:cs="Calibri"/>
          <w:sz w:val="22"/>
          <w:szCs w:val="22"/>
        </w:rPr>
      </w:pPr>
    </w:p>
    <w:p w14:paraId="726D46A6" w14:textId="3A2F09B6" w:rsidR="00AF1436" w:rsidRPr="00B95D30" w:rsidRDefault="00AF1436" w:rsidP="005F3F87">
      <w:pPr>
        <w:pStyle w:val="ListParagraph"/>
        <w:widowControl w:val="0"/>
        <w:numPr>
          <w:ilvl w:val="1"/>
          <w:numId w:val="4"/>
        </w:numPr>
        <w:autoSpaceDE w:val="0"/>
        <w:ind w:left="709" w:hanging="709"/>
        <w:jc w:val="left"/>
        <w:textAlignment w:val="center"/>
        <w:rPr>
          <w:rFonts w:cs="Calibri"/>
        </w:rPr>
      </w:pPr>
      <w:r w:rsidRPr="00B95D30">
        <w:rPr>
          <w:rFonts w:cs="Calibri"/>
        </w:rPr>
        <w:t xml:space="preserve">In Windsor Framework Article 2, the UK Government commits to ensuring that certain rights, </w:t>
      </w:r>
      <w:proofErr w:type="gramStart"/>
      <w:r w:rsidRPr="00B95D30">
        <w:rPr>
          <w:rFonts w:cs="Calibri"/>
        </w:rPr>
        <w:t>safeguards</w:t>
      </w:r>
      <w:proofErr w:type="gramEnd"/>
      <w:r w:rsidRPr="00B95D30">
        <w:rPr>
          <w:rFonts w:cs="Calibri"/>
        </w:rPr>
        <w:t xml:space="preserve"> and equality of opportunity protections are not diminished as a result of the UK leaving the EU. Therefore, to fall within scope </w:t>
      </w:r>
      <w:r w:rsidR="130B2E68" w:rsidRPr="00B95D30">
        <w:rPr>
          <w:rFonts w:cs="Calibri"/>
        </w:rPr>
        <w:t xml:space="preserve">of </w:t>
      </w:r>
      <w:r w:rsidRPr="00B95D30">
        <w:rPr>
          <w:rFonts w:cs="Calibri"/>
        </w:rPr>
        <w:t xml:space="preserve">Article 2, the human right or equality protection being relied upon must be covered by the relevant chapter of the Belfast (Good Friday) Agreement and have been underpinned by EU law including EU treaties, directives, and regulations, in place on or before 31 December 2020. In most cases, the relevant EU law will be that which was binding on the UK </w:t>
      </w:r>
      <w:r w:rsidRPr="00B95D30">
        <w:rPr>
          <w:rFonts w:cs="Calibri"/>
        </w:rPr>
        <w:lastRenderedPageBreak/>
        <w:t>on 31 December 2020.</w:t>
      </w:r>
    </w:p>
    <w:p w14:paraId="653C37A7" w14:textId="77777777" w:rsidR="00AF1436" w:rsidRPr="00641C2F" w:rsidRDefault="00AF1436" w:rsidP="00B95D30">
      <w:pPr>
        <w:pStyle w:val="ListParagraph"/>
        <w:numPr>
          <w:ilvl w:val="0"/>
          <w:numId w:val="0"/>
        </w:numPr>
        <w:ind w:left="709" w:hanging="709"/>
        <w:rPr>
          <w:rFonts w:cs="Calibri"/>
        </w:rPr>
      </w:pPr>
    </w:p>
    <w:p w14:paraId="522FEA7E" w14:textId="77777777" w:rsidR="00AF1436" w:rsidRPr="00641C2F" w:rsidRDefault="00AF1436" w:rsidP="005F3F87">
      <w:pPr>
        <w:pStyle w:val="ListParagraph"/>
        <w:widowControl w:val="0"/>
        <w:numPr>
          <w:ilvl w:val="1"/>
          <w:numId w:val="4"/>
        </w:numPr>
        <w:autoSpaceDE w:val="0"/>
        <w:spacing w:before="0" w:after="0"/>
        <w:ind w:left="709" w:hanging="709"/>
        <w:contextualSpacing w:val="0"/>
        <w:jc w:val="left"/>
        <w:textAlignment w:val="center"/>
        <w:rPr>
          <w:rFonts w:cs="Calibri"/>
        </w:rPr>
      </w:pPr>
      <w:r w:rsidRPr="00641C2F">
        <w:rPr>
          <w:rFonts w:cs="Calibri"/>
        </w:rPr>
        <w:t>In addition to the ‘no diminution’ commitment, Windsor Framework Article 2 requires the UK Government to “keep pace” with any changes made by the EU to the six EU main equality directives listed Annex 1 to the Windsor Framework, which improve the minimum levels of protection available, after 1 January 2021, including the relevant case law of the Court of Justice of the EU (CJEU).</w:t>
      </w:r>
      <w:r w:rsidRPr="00641C2F">
        <w:rPr>
          <w:vertAlign w:val="superscript"/>
        </w:rPr>
        <w:footnoteReference w:id="5"/>
      </w:r>
      <w:r w:rsidRPr="00641C2F">
        <w:rPr>
          <w:rFonts w:cs="Calibri"/>
        </w:rPr>
        <w:t xml:space="preserve">  </w:t>
      </w:r>
    </w:p>
    <w:p w14:paraId="1343C209" w14:textId="77777777" w:rsidR="00AF1436" w:rsidRPr="00641C2F" w:rsidRDefault="00AF1436" w:rsidP="00B95D30">
      <w:pPr>
        <w:pStyle w:val="ListParagraph"/>
        <w:numPr>
          <w:ilvl w:val="0"/>
          <w:numId w:val="0"/>
        </w:numPr>
        <w:ind w:left="709" w:hanging="709"/>
        <w:rPr>
          <w:rFonts w:cs="Calibri"/>
        </w:rPr>
      </w:pPr>
    </w:p>
    <w:p w14:paraId="29779A14" w14:textId="408DBC21" w:rsidR="00AF1436" w:rsidRPr="00641C2F" w:rsidRDefault="00AF1436" w:rsidP="523E6B45">
      <w:pPr>
        <w:pStyle w:val="ListParagraph"/>
        <w:widowControl w:val="0"/>
        <w:numPr>
          <w:ilvl w:val="1"/>
          <w:numId w:val="4"/>
        </w:numPr>
        <w:autoSpaceDE w:val="0"/>
        <w:spacing w:before="0"/>
        <w:ind w:left="709" w:hanging="709"/>
        <w:jc w:val="left"/>
        <w:textAlignment w:val="center"/>
        <w:rPr>
          <w:rFonts w:cs="Calibri"/>
        </w:rPr>
      </w:pPr>
      <w:r w:rsidRPr="00641C2F">
        <w:rPr>
          <w:rFonts w:cs="Calibri"/>
        </w:rPr>
        <w:t xml:space="preserve">Aligned to the Commission’s analysis detailed below, </w:t>
      </w:r>
      <w:r>
        <w:rPr>
          <w:rFonts w:cs="Calibri"/>
        </w:rPr>
        <w:t xml:space="preserve">judgment in </w:t>
      </w:r>
      <w:r w:rsidRPr="00641C2F">
        <w:rPr>
          <w:rFonts w:cs="Calibri"/>
        </w:rPr>
        <w:t>a recent</w:t>
      </w:r>
      <w:r>
        <w:rPr>
          <w:rFonts w:cs="Calibri"/>
        </w:rPr>
        <w:t xml:space="preserve"> case before the</w:t>
      </w:r>
      <w:r w:rsidRPr="00641C2F">
        <w:rPr>
          <w:rFonts w:cs="Calibri"/>
        </w:rPr>
        <w:t xml:space="preserve"> High Court in NI confirmed that: </w:t>
      </w:r>
    </w:p>
    <w:p w14:paraId="6C5EBDB1" w14:textId="77777777" w:rsidR="00AF1436" w:rsidRPr="00641C2F" w:rsidRDefault="00AF1436" w:rsidP="005F3F87">
      <w:pPr>
        <w:pStyle w:val="ListParagraph"/>
        <w:widowControl w:val="0"/>
        <w:numPr>
          <w:ilvl w:val="2"/>
          <w:numId w:val="8"/>
        </w:numPr>
        <w:autoSpaceDE w:val="0"/>
        <w:spacing w:before="0" w:after="0"/>
        <w:ind w:left="1276" w:hanging="425"/>
        <w:contextualSpacing w:val="0"/>
        <w:jc w:val="left"/>
        <w:textAlignment w:val="center"/>
        <w:rPr>
          <w:rFonts w:cs="Calibri"/>
        </w:rPr>
      </w:pPr>
      <w:r w:rsidRPr="00641C2F">
        <w:rPr>
          <w:rFonts w:cs="Calibri"/>
        </w:rPr>
        <w:t xml:space="preserve">refugees and asylum-seekers are protected under Windsor Framework Article </w:t>
      </w:r>
      <w:proofErr w:type="gramStart"/>
      <w:r w:rsidRPr="00641C2F">
        <w:rPr>
          <w:rFonts w:cs="Calibri"/>
        </w:rPr>
        <w:t>2;</w:t>
      </w:r>
      <w:proofErr w:type="gramEnd"/>
    </w:p>
    <w:p w14:paraId="09A013A2" w14:textId="77777777" w:rsidR="00AF1436" w:rsidRPr="00641C2F" w:rsidRDefault="00AF1436" w:rsidP="005F3F87">
      <w:pPr>
        <w:pStyle w:val="ListParagraph"/>
        <w:widowControl w:val="0"/>
        <w:numPr>
          <w:ilvl w:val="2"/>
          <w:numId w:val="8"/>
        </w:numPr>
        <w:autoSpaceDE w:val="0"/>
        <w:spacing w:before="0" w:after="0"/>
        <w:ind w:left="1276" w:hanging="425"/>
        <w:contextualSpacing w:val="0"/>
        <w:jc w:val="left"/>
        <w:textAlignment w:val="center"/>
        <w:rPr>
          <w:rFonts w:cs="Calibri"/>
        </w:rPr>
      </w:pPr>
      <w:r w:rsidRPr="00641C2F">
        <w:rPr>
          <w:rFonts w:cs="Calibri"/>
        </w:rPr>
        <w:t xml:space="preserve">rights associated with the treatment of asylum-seekers are covered by the Rights, Safeguards and Equality of Opportunity chapter of the Belfast (Good Friday) Agreement and, </w:t>
      </w:r>
      <w:proofErr w:type="gramStart"/>
      <w:r w:rsidRPr="00641C2F">
        <w:rPr>
          <w:rFonts w:cs="Calibri"/>
        </w:rPr>
        <w:t>therefore;</w:t>
      </w:r>
      <w:proofErr w:type="gramEnd"/>
      <w:r w:rsidRPr="00641C2F">
        <w:rPr>
          <w:rFonts w:cs="Calibri"/>
        </w:rPr>
        <w:t xml:space="preserve"> </w:t>
      </w:r>
    </w:p>
    <w:p w14:paraId="5D1DE9B8" w14:textId="77777777" w:rsidR="00AF1436" w:rsidRPr="00641C2F" w:rsidRDefault="00AF1436" w:rsidP="005F3F87">
      <w:pPr>
        <w:pStyle w:val="ListParagraph"/>
        <w:widowControl w:val="0"/>
        <w:numPr>
          <w:ilvl w:val="2"/>
          <w:numId w:val="8"/>
        </w:numPr>
        <w:autoSpaceDE w:val="0"/>
        <w:spacing w:before="0" w:after="0"/>
        <w:ind w:left="1276" w:hanging="425"/>
        <w:contextualSpacing w:val="0"/>
        <w:jc w:val="left"/>
        <w:textAlignment w:val="center"/>
        <w:rPr>
          <w:rFonts w:cs="Calibri"/>
        </w:rPr>
      </w:pPr>
      <w:r w:rsidRPr="00641C2F">
        <w:rPr>
          <w:rFonts w:cs="Calibri"/>
        </w:rPr>
        <w:t>certain measures of EU law, binding on the UK before EU withdrawal, continue to set standards below which the law in NI should not fall.</w:t>
      </w:r>
      <w:r w:rsidRPr="00641C2F">
        <w:rPr>
          <w:rStyle w:val="FootnoteReference"/>
          <w:rFonts w:cs="Calibri"/>
        </w:rPr>
        <w:footnoteReference w:id="6"/>
      </w:r>
    </w:p>
    <w:p w14:paraId="5F9C16B4" w14:textId="77777777" w:rsidR="00AF1436" w:rsidRPr="00641C2F" w:rsidRDefault="00AF1436" w:rsidP="00B95D30">
      <w:pPr>
        <w:ind w:left="709" w:hanging="709"/>
        <w:rPr>
          <w:rFonts w:cs="Calibri"/>
        </w:rPr>
      </w:pPr>
    </w:p>
    <w:p w14:paraId="021FCF96" w14:textId="77777777" w:rsidR="00AF1436" w:rsidRPr="00641C2F" w:rsidRDefault="00AF1436" w:rsidP="00B95D30">
      <w:pPr>
        <w:pStyle w:val="ListParagraph"/>
        <w:numPr>
          <w:ilvl w:val="0"/>
          <w:numId w:val="0"/>
        </w:numPr>
        <w:ind w:left="709" w:hanging="709"/>
        <w:rPr>
          <w:rFonts w:cs="Calibri"/>
          <w:b/>
          <w:bCs/>
        </w:rPr>
      </w:pPr>
      <w:bookmarkStart w:id="6" w:name="_Toc151371448"/>
      <w:r w:rsidRPr="00641C2F">
        <w:rPr>
          <w:rFonts w:cs="Calibri"/>
          <w:b/>
          <w:bCs/>
        </w:rPr>
        <w:t>When and how is Windsor Framework Article 2 engaged?</w:t>
      </w:r>
      <w:bookmarkEnd w:id="6"/>
      <w:r w:rsidRPr="00641C2F">
        <w:rPr>
          <w:rFonts w:cs="Calibri"/>
          <w:b/>
          <w:bCs/>
        </w:rPr>
        <w:t xml:space="preserve"> </w:t>
      </w:r>
    </w:p>
    <w:p w14:paraId="196B58F4" w14:textId="77777777" w:rsidR="00AF1436" w:rsidRPr="00641C2F" w:rsidRDefault="00AF1436" w:rsidP="00B95D30">
      <w:pPr>
        <w:ind w:left="709" w:hanging="709"/>
        <w:rPr>
          <w:rFonts w:cs="Calibri"/>
          <w:b/>
          <w:bCs/>
        </w:rPr>
      </w:pPr>
    </w:p>
    <w:p w14:paraId="4640499B" w14:textId="014707EA" w:rsidR="00AF1436" w:rsidRPr="00641C2F" w:rsidRDefault="00AF1436" w:rsidP="005F3F87">
      <w:pPr>
        <w:pStyle w:val="ListParagraph"/>
        <w:widowControl w:val="0"/>
        <w:numPr>
          <w:ilvl w:val="1"/>
          <w:numId w:val="4"/>
        </w:numPr>
        <w:autoSpaceDE w:val="0"/>
        <w:spacing w:before="0" w:after="0"/>
        <w:ind w:left="709" w:hanging="709"/>
        <w:contextualSpacing w:val="0"/>
        <w:jc w:val="left"/>
        <w:textAlignment w:val="center"/>
        <w:rPr>
          <w:rFonts w:cs="Calibri"/>
        </w:rPr>
      </w:pPr>
      <w:r>
        <w:rPr>
          <w:rFonts w:cs="Calibri"/>
        </w:rPr>
        <w:t xml:space="preserve">In considering </w:t>
      </w:r>
      <w:proofErr w:type="gramStart"/>
      <w:r>
        <w:rPr>
          <w:rFonts w:cs="Calibri"/>
        </w:rPr>
        <w:t>whether or not</w:t>
      </w:r>
      <w:proofErr w:type="gramEnd"/>
      <w:r>
        <w:rPr>
          <w:rFonts w:cs="Calibri"/>
        </w:rPr>
        <w:t xml:space="preserve"> there has been a breach of Windsor Framework Article 2, the Commission considers the following questions. </w:t>
      </w:r>
      <w:r w:rsidRPr="00641C2F">
        <w:rPr>
          <w:rFonts w:cs="Calibri"/>
        </w:rPr>
        <w:t xml:space="preserve">If the answer to each of the questions below is yes, then a breach of Windsor Framework Article 2 has been identified. These questions are: </w:t>
      </w:r>
    </w:p>
    <w:p w14:paraId="5994D401" w14:textId="77777777" w:rsidR="00654E6C" w:rsidRDefault="00AF1436" w:rsidP="00E936E3">
      <w:pPr>
        <w:pStyle w:val="ListParagraph"/>
        <w:numPr>
          <w:ilvl w:val="0"/>
          <w:numId w:val="9"/>
        </w:numPr>
        <w:ind w:left="709" w:firstLine="0"/>
        <w:rPr>
          <w:rFonts w:cs="Calibri"/>
        </w:rPr>
      </w:pPr>
      <w:r w:rsidRPr="00641C2F">
        <w:rPr>
          <w:rFonts w:cs="Calibri"/>
        </w:rPr>
        <w:t xml:space="preserve">Does the right, safeguard or equality of opportunity </w:t>
      </w:r>
      <w:proofErr w:type="gramStart"/>
      <w:r w:rsidRPr="00641C2F">
        <w:rPr>
          <w:rFonts w:cs="Calibri"/>
        </w:rPr>
        <w:t>protection</w:t>
      </w:r>
      <w:proofErr w:type="gramEnd"/>
      <w:r w:rsidRPr="00641C2F">
        <w:rPr>
          <w:rFonts w:cs="Calibri"/>
        </w:rPr>
        <w:t xml:space="preserve"> </w:t>
      </w:r>
      <w:r w:rsidR="00E936E3">
        <w:rPr>
          <w:rFonts w:cs="Calibri"/>
        </w:rPr>
        <w:t xml:space="preserve"> </w:t>
      </w:r>
    </w:p>
    <w:p w14:paraId="3379593F" w14:textId="1E846EA1" w:rsidR="00CC41C7" w:rsidRPr="00654E6C" w:rsidRDefault="00AF1436" w:rsidP="00654E6C">
      <w:pPr>
        <w:ind w:left="1429" w:firstLine="11"/>
        <w:rPr>
          <w:rFonts w:cs="Calibri"/>
        </w:rPr>
      </w:pPr>
      <w:r w:rsidRPr="00654E6C">
        <w:rPr>
          <w:rFonts w:cs="Calibri"/>
        </w:rPr>
        <w:t>fall within the relevant part of the Belfast (Good Friday) Agreement?</w:t>
      </w:r>
    </w:p>
    <w:p w14:paraId="4BC973D1" w14:textId="77777777" w:rsidR="00E936E3" w:rsidRPr="00E936E3" w:rsidRDefault="00E936E3" w:rsidP="00E936E3">
      <w:pPr>
        <w:pStyle w:val="ListParagraph"/>
        <w:numPr>
          <w:ilvl w:val="0"/>
          <w:numId w:val="0"/>
        </w:numPr>
        <w:ind w:left="709"/>
        <w:rPr>
          <w:rFonts w:cs="Calibri"/>
          <w:sz w:val="16"/>
          <w:szCs w:val="16"/>
        </w:rPr>
      </w:pPr>
    </w:p>
    <w:p w14:paraId="1230DA11" w14:textId="0FD58090" w:rsidR="00CC41C7" w:rsidRDefault="00AF1436" w:rsidP="00E936E3">
      <w:pPr>
        <w:pStyle w:val="ListParagraph"/>
        <w:numPr>
          <w:ilvl w:val="0"/>
          <w:numId w:val="9"/>
        </w:numPr>
        <w:ind w:left="709" w:firstLine="0"/>
        <w:rPr>
          <w:rFonts w:cs="Calibri"/>
        </w:rPr>
      </w:pPr>
      <w:r w:rsidRPr="00641C2F">
        <w:rPr>
          <w:rFonts w:cs="Calibri"/>
        </w:rPr>
        <w:lastRenderedPageBreak/>
        <w:t xml:space="preserve">Was the right, </w:t>
      </w:r>
      <w:proofErr w:type="gramStart"/>
      <w:r w:rsidRPr="00641C2F">
        <w:rPr>
          <w:rFonts w:cs="Calibri"/>
        </w:rPr>
        <w:t>safeguard</w:t>
      </w:r>
      <w:proofErr w:type="gramEnd"/>
      <w:r w:rsidRPr="00641C2F">
        <w:rPr>
          <w:rFonts w:cs="Calibri"/>
        </w:rPr>
        <w:t xml:space="preserve"> or equality of opportunity protection:</w:t>
      </w:r>
    </w:p>
    <w:p w14:paraId="11F4AC01" w14:textId="77777777" w:rsidR="00E936E3" w:rsidRPr="00E936E3" w:rsidRDefault="00E936E3" w:rsidP="00E936E3">
      <w:pPr>
        <w:rPr>
          <w:rFonts w:cs="Calibri"/>
          <w:sz w:val="16"/>
          <w:szCs w:val="16"/>
        </w:rPr>
      </w:pPr>
    </w:p>
    <w:p w14:paraId="6939391E" w14:textId="3D608250" w:rsidR="00AF1436" w:rsidRPr="00641C2F" w:rsidRDefault="00AF1436" w:rsidP="00E936E3">
      <w:pPr>
        <w:pStyle w:val="ListParagraph"/>
        <w:numPr>
          <w:ilvl w:val="0"/>
          <w:numId w:val="0"/>
        </w:numPr>
        <w:ind w:left="1418"/>
        <w:rPr>
          <w:rFonts w:cs="Calibri"/>
        </w:rPr>
      </w:pPr>
      <w:r w:rsidRPr="00641C2F">
        <w:rPr>
          <w:rFonts w:cs="Calibri"/>
        </w:rPr>
        <w:t xml:space="preserve">(a) underpinned by EU law binding on the UK on or before 31 December 2020? </w:t>
      </w:r>
    </w:p>
    <w:p w14:paraId="535111DC" w14:textId="7B1897FD" w:rsidR="00AF1436" w:rsidRPr="00641C2F" w:rsidRDefault="00AF1436" w:rsidP="00E936E3">
      <w:pPr>
        <w:pStyle w:val="ListParagraph"/>
        <w:numPr>
          <w:ilvl w:val="0"/>
          <w:numId w:val="0"/>
        </w:numPr>
        <w:ind w:left="1418"/>
      </w:pPr>
      <w:r w:rsidRPr="00641C2F">
        <w:rPr>
          <w:rFonts w:cs="Calibri"/>
        </w:rPr>
        <w:t>(b)</w:t>
      </w:r>
      <w:r w:rsidR="00E936E3">
        <w:rPr>
          <w:rFonts w:cs="Calibri"/>
        </w:rPr>
        <w:t xml:space="preserve"> </w:t>
      </w:r>
      <w:r w:rsidRPr="00641C2F">
        <w:rPr>
          <w:rFonts w:cs="Calibri"/>
        </w:rPr>
        <w:t>given effect in NI law, in whole or in part, on or before 31 December 2020?</w:t>
      </w:r>
      <w:r w:rsidRPr="00641C2F">
        <w:rPr>
          <w:rFonts w:cs="Calibri"/>
          <w:vertAlign w:val="superscript"/>
        </w:rPr>
        <w:footnoteReference w:id="7"/>
      </w:r>
    </w:p>
    <w:p w14:paraId="51A0B881" w14:textId="77777777" w:rsidR="00E936E3" w:rsidRPr="00E936E3" w:rsidRDefault="00E936E3" w:rsidP="00E936E3">
      <w:pPr>
        <w:pStyle w:val="ListParagraph"/>
        <w:numPr>
          <w:ilvl w:val="0"/>
          <w:numId w:val="0"/>
        </w:numPr>
        <w:ind w:left="1418"/>
        <w:rPr>
          <w:sz w:val="16"/>
          <w:szCs w:val="16"/>
        </w:rPr>
      </w:pPr>
    </w:p>
    <w:p w14:paraId="6826F638" w14:textId="7EACC6C5" w:rsidR="00AF1436" w:rsidRDefault="00AF1436" w:rsidP="00E936E3">
      <w:pPr>
        <w:pStyle w:val="ListParagraph"/>
        <w:numPr>
          <w:ilvl w:val="0"/>
          <w:numId w:val="9"/>
        </w:numPr>
        <w:ind w:hanging="731"/>
        <w:rPr>
          <w:rFonts w:cs="Calibri"/>
        </w:rPr>
      </w:pPr>
      <w:r w:rsidRPr="00641C2F">
        <w:rPr>
          <w:rFonts w:cs="Calibri"/>
        </w:rPr>
        <w:t xml:space="preserve">Has there been a diminution in the right, </w:t>
      </w:r>
      <w:proofErr w:type="gramStart"/>
      <w:r w:rsidRPr="00641C2F">
        <w:rPr>
          <w:rFonts w:cs="Calibri"/>
        </w:rPr>
        <w:t>safeguard</w:t>
      </w:r>
      <w:proofErr w:type="gramEnd"/>
      <w:r w:rsidRPr="00641C2F">
        <w:rPr>
          <w:rFonts w:cs="Calibri"/>
        </w:rPr>
        <w:t xml:space="preserve"> or equality of opportunity protection on or after 1 January 2021?</w:t>
      </w:r>
    </w:p>
    <w:p w14:paraId="45E85FB7" w14:textId="77777777" w:rsidR="00E936E3" w:rsidRPr="00E936E3" w:rsidRDefault="00E936E3" w:rsidP="00E936E3">
      <w:pPr>
        <w:pStyle w:val="ListParagraph"/>
        <w:numPr>
          <w:ilvl w:val="0"/>
          <w:numId w:val="0"/>
        </w:numPr>
        <w:ind w:left="1440"/>
        <w:rPr>
          <w:rFonts w:cs="Calibri"/>
          <w:sz w:val="16"/>
          <w:szCs w:val="16"/>
        </w:rPr>
      </w:pPr>
    </w:p>
    <w:p w14:paraId="39C09F41" w14:textId="77777777" w:rsidR="00AF1436" w:rsidRPr="00641C2F" w:rsidRDefault="00AF1436" w:rsidP="00E936E3">
      <w:pPr>
        <w:pStyle w:val="ListParagraph"/>
        <w:numPr>
          <w:ilvl w:val="0"/>
          <w:numId w:val="0"/>
        </w:numPr>
        <w:ind w:left="1437" w:hanging="728"/>
      </w:pPr>
      <w:r w:rsidRPr="00641C2F">
        <w:rPr>
          <w:rFonts w:cs="Calibri"/>
        </w:rPr>
        <w:t>(iv)</w:t>
      </w:r>
      <w:r w:rsidRPr="00641C2F">
        <w:rPr>
          <w:rFonts w:cs="Calibri"/>
        </w:rPr>
        <w:tab/>
        <w:t>Would this diminution have been unlawful had the UK remained in the EU?</w:t>
      </w:r>
      <w:r w:rsidRPr="00641C2F">
        <w:rPr>
          <w:rFonts w:cs="Calibri"/>
          <w:vertAlign w:val="superscript"/>
        </w:rPr>
        <w:footnoteReference w:id="8"/>
      </w:r>
    </w:p>
    <w:p w14:paraId="2DAA6372" w14:textId="77777777" w:rsidR="00AF1436" w:rsidRPr="00641C2F" w:rsidRDefault="00AF1436" w:rsidP="00B95D30">
      <w:pPr>
        <w:ind w:left="709" w:hanging="709"/>
        <w:rPr>
          <w:rFonts w:cs="Calibri"/>
        </w:rPr>
      </w:pPr>
    </w:p>
    <w:p w14:paraId="7CB5D64A" w14:textId="4E25BF19" w:rsidR="00AF1436" w:rsidRPr="00641C2F" w:rsidRDefault="00AF1436" w:rsidP="005F3F87">
      <w:pPr>
        <w:pStyle w:val="ListParagraph"/>
        <w:widowControl w:val="0"/>
        <w:numPr>
          <w:ilvl w:val="1"/>
          <w:numId w:val="4"/>
        </w:numPr>
        <w:autoSpaceDE w:val="0"/>
        <w:spacing w:before="0" w:after="0"/>
        <w:ind w:left="709" w:hanging="709"/>
        <w:contextualSpacing w:val="0"/>
        <w:jc w:val="left"/>
        <w:textAlignment w:val="center"/>
      </w:pPr>
      <w:r w:rsidRPr="00641C2F">
        <w:rPr>
          <w:rFonts w:cs="Calibri"/>
        </w:rPr>
        <w:t>In May 2023, the NI Court of Appeal set out a six-part test</w:t>
      </w:r>
      <w:r w:rsidR="00D47C7C">
        <w:rPr>
          <w:rFonts w:cs="Calibri"/>
        </w:rPr>
        <w:t>,</w:t>
      </w:r>
      <w:r w:rsidRPr="00641C2F">
        <w:rPr>
          <w:rFonts w:cs="Calibri"/>
        </w:rPr>
        <w:t xml:space="preserve"> which is not dissimilar</w:t>
      </w:r>
      <w:r>
        <w:rPr>
          <w:rFonts w:cs="Calibri"/>
        </w:rPr>
        <w:t xml:space="preserve"> to the above</w:t>
      </w:r>
      <w:r w:rsidRPr="00641C2F">
        <w:rPr>
          <w:rFonts w:cs="Calibri"/>
        </w:rPr>
        <w:t>.</w:t>
      </w:r>
      <w:r w:rsidRPr="00641C2F">
        <w:rPr>
          <w:rFonts w:cs="Calibri"/>
          <w:vertAlign w:val="superscript"/>
        </w:rPr>
        <w:footnoteReference w:id="9"/>
      </w:r>
      <w:r w:rsidRPr="00641C2F">
        <w:rPr>
          <w:rFonts w:cs="Calibri"/>
        </w:rPr>
        <w:t xml:space="preserve"> </w:t>
      </w:r>
      <w:r w:rsidR="00D47C7C">
        <w:rPr>
          <w:rFonts w:cs="Calibri"/>
        </w:rPr>
        <w:t xml:space="preserve">Other </w:t>
      </w:r>
      <w:r w:rsidRPr="00641C2F">
        <w:rPr>
          <w:rFonts w:cs="Calibri"/>
        </w:rPr>
        <w:t xml:space="preserve">Court </w:t>
      </w:r>
      <w:r w:rsidR="00D47C7C">
        <w:rPr>
          <w:rFonts w:cs="Calibri"/>
        </w:rPr>
        <w:t>decisions</w:t>
      </w:r>
      <w:r w:rsidRPr="00641C2F">
        <w:rPr>
          <w:rFonts w:cs="Calibri"/>
        </w:rPr>
        <w:t xml:space="preserve"> have confirmed that Windsor Framework Article 2 has direct effect, meaning individuals can assert their rights under Article 2 before domestic courts.</w:t>
      </w:r>
      <w:r w:rsidRPr="00641C2F">
        <w:rPr>
          <w:rFonts w:cs="Calibri"/>
          <w:vertAlign w:val="superscript"/>
        </w:rPr>
        <w:footnoteReference w:id="10"/>
      </w:r>
      <w:r w:rsidRPr="00641C2F">
        <w:rPr>
          <w:rFonts w:cs="Calibri"/>
        </w:rPr>
        <w:t xml:space="preserve">  </w:t>
      </w:r>
    </w:p>
    <w:p w14:paraId="66EAD8D4" w14:textId="77777777" w:rsidR="00AF1436" w:rsidRPr="00641C2F" w:rsidRDefault="00AF1436" w:rsidP="00B95D30">
      <w:pPr>
        <w:pStyle w:val="ListParagraph"/>
        <w:numPr>
          <w:ilvl w:val="0"/>
          <w:numId w:val="0"/>
        </w:numPr>
        <w:ind w:left="709" w:hanging="709"/>
        <w:rPr>
          <w:rFonts w:cs="Calibri"/>
        </w:rPr>
      </w:pPr>
    </w:p>
    <w:p w14:paraId="5A8D3845" w14:textId="77777777" w:rsidR="00AF1436" w:rsidRPr="00641C2F" w:rsidRDefault="00AF1436" w:rsidP="00B95D30">
      <w:pPr>
        <w:pStyle w:val="ListParagraph"/>
        <w:numPr>
          <w:ilvl w:val="0"/>
          <w:numId w:val="0"/>
        </w:numPr>
        <w:ind w:left="709" w:hanging="709"/>
        <w:rPr>
          <w:rFonts w:cs="Calibri"/>
          <w:b/>
        </w:rPr>
      </w:pPr>
      <w:bookmarkStart w:id="7" w:name="_Toc151371449"/>
      <w:r w:rsidRPr="00641C2F">
        <w:rPr>
          <w:rFonts w:cs="Calibri"/>
          <w:b/>
        </w:rPr>
        <w:t>Article 2 and Refugees &amp; Asylum-Seekers</w:t>
      </w:r>
      <w:bookmarkStart w:id="8" w:name="_Hlk141968097"/>
      <w:bookmarkEnd w:id="7"/>
    </w:p>
    <w:p w14:paraId="76B4A78C" w14:textId="77777777" w:rsidR="00AF1436" w:rsidRPr="00641C2F" w:rsidRDefault="00AF1436" w:rsidP="00B95D30">
      <w:pPr>
        <w:pStyle w:val="ListParagraph"/>
        <w:numPr>
          <w:ilvl w:val="0"/>
          <w:numId w:val="0"/>
        </w:numPr>
        <w:ind w:left="709" w:hanging="709"/>
        <w:rPr>
          <w:rFonts w:cs="Calibri"/>
          <w:b/>
        </w:rPr>
      </w:pPr>
    </w:p>
    <w:p w14:paraId="0B8CA910" w14:textId="75195B6D" w:rsidR="00AF1436" w:rsidRPr="00641C2F" w:rsidRDefault="00AF1436" w:rsidP="7BB5A871">
      <w:pPr>
        <w:pStyle w:val="ListParagraph"/>
        <w:widowControl w:val="0"/>
        <w:numPr>
          <w:ilvl w:val="1"/>
          <w:numId w:val="4"/>
        </w:numPr>
        <w:autoSpaceDE w:val="0"/>
        <w:spacing w:before="0" w:after="0"/>
        <w:ind w:left="709" w:hanging="709"/>
        <w:jc w:val="left"/>
        <w:textAlignment w:val="center"/>
        <w:rPr>
          <w:rFonts w:cs="Calibri"/>
        </w:rPr>
      </w:pPr>
      <w:r>
        <w:rPr>
          <w:rFonts w:cs="Calibri"/>
        </w:rPr>
        <w:t>In terms of the personal scope of Windsor Framework Article 2, t</w:t>
      </w:r>
      <w:r w:rsidRPr="00641C2F">
        <w:rPr>
          <w:rFonts w:cs="Calibri"/>
        </w:rPr>
        <w:t xml:space="preserve">he Rights, Safeguards and Equality of Opportunity chapter of the Belfast (Good Friday) Agreement makes explicit the signatories’ commitment to “the civil rights and the religious liberties of everyone in the community”. “Everyone in the community” is not confined to citizens or “people of Northern Ireland” as referenced in the constitutional issues section of the Belfast (Good Friday) Agreement. </w:t>
      </w:r>
    </w:p>
    <w:p w14:paraId="2E3E8063" w14:textId="77777777" w:rsidR="00AF1436" w:rsidRPr="00641C2F" w:rsidRDefault="00AF1436" w:rsidP="00B95D30">
      <w:pPr>
        <w:pStyle w:val="ListParagraph"/>
        <w:numPr>
          <w:ilvl w:val="0"/>
          <w:numId w:val="0"/>
        </w:numPr>
        <w:ind w:left="709" w:hanging="709"/>
        <w:rPr>
          <w:rFonts w:cs="Calibri"/>
        </w:rPr>
      </w:pPr>
    </w:p>
    <w:p w14:paraId="2ED02AEF" w14:textId="38348998" w:rsidR="00AF1436" w:rsidRPr="00641C2F" w:rsidRDefault="00AF1436" w:rsidP="005F3F87">
      <w:pPr>
        <w:pStyle w:val="ListParagraph"/>
        <w:widowControl w:val="0"/>
        <w:numPr>
          <w:ilvl w:val="1"/>
          <w:numId w:val="4"/>
        </w:numPr>
        <w:autoSpaceDE w:val="0"/>
        <w:spacing w:before="0" w:after="0"/>
        <w:ind w:left="709" w:hanging="709"/>
        <w:contextualSpacing w:val="0"/>
        <w:jc w:val="left"/>
        <w:textAlignment w:val="center"/>
      </w:pPr>
      <w:r w:rsidRPr="00641C2F">
        <w:rPr>
          <w:rFonts w:cs="Calibri"/>
        </w:rPr>
        <w:t xml:space="preserve">International human rights treaties make clear that immigration status </w:t>
      </w:r>
      <w:r w:rsidR="00D47C7C">
        <w:rPr>
          <w:rFonts w:cs="Calibri"/>
        </w:rPr>
        <w:t>cannot</w:t>
      </w:r>
      <w:r w:rsidRPr="00641C2F">
        <w:rPr>
          <w:rFonts w:cs="Calibri"/>
        </w:rPr>
        <w:t xml:space="preserve"> be a reason to exclude persons from the enjoyment of human rights</w:t>
      </w:r>
      <w:r>
        <w:rPr>
          <w:rFonts w:cs="Calibri"/>
        </w:rPr>
        <w:t>,</w:t>
      </w:r>
      <w:r w:rsidRPr="00641C2F">
        <w:rPr>
          <w:rFonts w:cs="Calibri"/>
        </w:rPr>
        <w:t xml:space="preserve"> albeit that immigration status may be relevant to the scope of those rights</w:t>
      </w:r>
      <w:bookmarkEnd w:id="8"/>
      <w:r w:rsidRPr="00641C2F">
        <w:rPr>
          <w:rFonts w:cs="Calibri"/>
        </w:rPr>
        <w:t xml:space="preserve">. Article 14 of the Universal Declaration of </w:t>
      </w:r>
      <w:r w:rsidRPr="00641C2F">
        <w:rPr>
          <w:rFonts w:cs="Calibri"/>
        </w:rPr>
        <w:lastRenderedPageBreak/>
        <w:t>Human Rights states that, “everyone has the right to seek and enjoy in other countries asylum from persecution”. The UN Refugee Convention 1951 (the Refugee Convention) builds on this to include the right not to be penalised for being in or entering a country without permission where this is necessary to seek and receive asylum.</w:t>
      </w:r>
      <w:r w:rsidRPr="00641C2F">
        <w:rPr>
          <w:rFonts w:cs="Calibri"/>
          <w:vertAlign w:val="superscript"/>
        </w:rPr>
        <w:footnoteReference w:id="11"/>
      </w:r>
      <w:r w:rsidRPr="00641C2F">
        <w:rPr>
          <w:rFonts w:cs="Calibri"/>
        </w:rPr>
        <w:t xml:space="preserve"> The </w:t>
      </w:r>
      <w:proofErr w:type="spellStart"/>
      <w:r w:rsidRPr="00641C2F">
        <w:rPr>
          <w:rFonts w:cs="Calibri"/>
        </w:rPr>
        <w:t>CoE</w:t>
      </w:r>
      <w:proofErr w:type="spellEnd"/>
      <w:r w:rsidRPr="00641C2F">
        <w:rPr>
          <w:rFonts w:cs="Calibri"/>
        </w:rPr>
        <w:t xml:space="preserve"> Parliamentary Assembly has stated that “as a starting point, international human rights instruments are applicable to all persons regardless of their nationality or status”.</w:t>
      </w:r>
      <w:r w:rsidRPr="00641C2F">
        <w:rPr>
          <w:rFonts w:cs="Calibri"/>
          <w:vertAlign w:val="superscript"/>
        </w:rPr>
        <w:footnoteReference w:id="12"/>
      </w:r>
      <w:r w:rsidRPr="00641C2F">
        <w:rPr>
          <w:rFonts w:cs="Calibri"/>
        </w:rPr>
        <w:t xml:space="preserve"> </w:t>
      </w:r>
    </w:p>
    <w:p w14:paraId="030BEBEB" w14:textId="77777777" w:rsidR="00AF1436" w:rsidRPr="00641C2F" w:rsidRDefault="00AF1436" w:rsidP="00B95D30">
      <w:pPr>
        <w:pStyle w:val="ListParagraph"/>
        <w:numPr>
          <w:ilvl w:val="0"/>
          <w:numId w:val="0"/>
        </w:numPr>
        <w:ind w:left="709" w:hanging="709"/>
        <w:rPr>
          <w:rFonts w:cs="Calibri"/>
        </w:rPr>
      </w:pPr>
    </w:p>
    <w:p w14:paraId="7B6648B8" w14:textId="77777777" w:rsidR="00AF1436" w:rsidRPr="009C6F1F" w:rsidRDefault="00AF1436" w:rsidP="005F3F87">
      <w:pPr>
        <w:pStyle w:val="ListParagraph"/>
        <w:widowControl w:val="0"/>
        <w:numPr>
          <w:ilvl w:val="1"/>
          <w:numId w:val="4"/>
        </w:numPr>
        <w:autoSpaceDE w:val="0"/>
        <w:spacing w:before="0" w:after="0"/>
        <w:ind w:left="709" w:hanging="709"/>
        <w:contextualSpacing w:val="0"/>
        <w:jc w:val="left"/>
        <w:textAlignment w:val="center"/>
        <w:rPr>
          <w:rFonts w:cs="MinionPro-Regular"/>
        </w:rPr>
      </w:pPr>
      <w:r w:rsidRPr="00641C2F">
        <w:rPr>
          <w:rFonts w:cs="Calibri"/>
        </w:rPr>
        <w:t>Windsor Framework Article 2 protects everyone subject to the law in NI, regardless of immigration status. The UK Government’s ‘Explainer’</w:t>
      </w:r>
      <w:r>
        <w:rPr>
          <w:rFonts w:cs="Calibri"/>
        </w:rPr>
        <w:t xml:space="preserve"> on Windsor Framework Article 2</w:t>
      </w:r>
      <w:r w:rsidRPr="00641C2F">
        <w:rPr>
          <w:rFonts w:cs="Calibri"/>
        </w:rPr>
        <w:t xml:space="preserve"> recognises that these protections and safeguards apply to “everyone who is subject to NI law – irrespective of whether that law has been passed by the NI legislature or Westminster”.</w:t>
      </w:r>
      <w:r w:rsidRPr="00641C2F">
        <w:rPr>
          <w:vertAlign w:val="superscript"/>
        </w:rPr>
        <w:footnoteReference w:id="13"/>
      </w:r>
      <w:r w:rsidRPr="00641C2F">
        <w:rPr>
          <w:rFonts w:cs="Calibri"/>
        </w:rPr>
        <w:t xml:space="preserve"> Research commissioned by the NIHRC demonstrated the protections afforded to refugees and asylum seekers by Windsor Framework Article 2 and highlighted relevant EU law.</w:t>
      </w:r>
      <w:r w:rsidRPr="00641C2F">
        <w:rPr>
          <w:rStyle w:val="FootnoteReference"/>
          <w:rFonts w:cs="Calibri"/>
        </w:rPr>
        <w:footnoteReference w:id="14"/>
      </w:r>
      <w:r w:rsidRPr="00641C2F">
        <w:rPr>
          <w:rFonts w:cs="Calibri"/>
        </w:rPr>
        <w:t xml:space="preserve"> </w:t>
      </w:r>
    </w:p>
    <w:p w14:paraId="1E00BD73" w14:textId="77777777" w:rsidR="00AF1436" w:rsidRDefault="00AF1436" w:rsidP="00B95D30">
      <w:pPr>
        <w:pStyle w:val="ListParagraph"/>
        <w:numPr>
          <w:ilvl w:val="0"/>
          <w:numId w:val="0"/>
        </w:numPr>
        <w:ind w:left="709" w:hanging="709"/>
      </w:pPr>
    </w:p>
    <w:p w14:paraId="1D709FE6" w14:textId="77777777" w:rsidR="00AF1436" w:rsidRDefault="00AF1436" w:rsidP="005F3F87">
      <w:pPr>
        <w:pStyle w:val="ListParagraph"/>
        <w:widowControl w:val="0"/>
        <w:numPr>
          <w:ilvl w:val="1"/>
          <w:numId w:val="4"/>
        </w:numPr>
        <w:suppressAutoHyphens/>
        <w:autoSpaceDE w:val="0"/>
        <w:autoSpaceDN w:val="0"/>
        <w:adjustRightInd w:val="0"/>
        <w:spacing w:before="0" w:after="0"/>
        <w:ind w:left="709" w:hanging="709"/>
        <w:contextualSpacing w:val="0"/>
        <w:jc w:val="left"/>
        <w:textAlignment w:val="center"/>
      </w:pPr>
      <w:r>
        <w:t xml:space="preserve">The scope of protections afforded by </w:t>
      </w:r>
      <w:r w:rsidRPr="004C6DF8">
        <w:t>Windsor Framework Article 2</w:t>
      </w:r>
      <w:r>
        <w:t xml:space="preserve"> is determined by the </w:t>
      </w:r>
      <w:r w:rsidRPr="004C6DF8">
        <w:t xml:space="preserve">Rights, Safeguards and Equality of Opportunity chapter of the Belfast (Good Friday) Agreement. </w:t>
      </w:r>
      <w:r w:rsidRPr="001A2CBE">
        <w:t xml:space="preserve">The first section of this chapter is entitled </w:t>
      </w:r>
      <w:r>
        <w:t>“</w:t>
      </w:r>
      <w:r w:rsidRPr="001A2CBE">
        <w:t>Human Rights</w:t>
      </w:r>
      <w:r>
        <w:t>”</w:t>
      </w:r>
      <w:r w:rsidRPr="001A2CBE">
        <w:t xml:space="preserve"> and opens with a general commitment to “civil rights and religious liberties</w:t>
      </w:r>
      <w:r>
        <w:t>”</w:t>
      </w:r>
      <w:r w:rsidRPr="001A2CBE">
        <w:t>. This is followed by a non-exhaustive list of rights “affirmed in particular”.</w:t>
      </w:r>
      <w:r w:rsidRPr="001A2CBE">
        <w:rPr>
          <w:rStyle w:val="FootnoteReference"/>
        </w:rPr>
        <w:footnoteReference w:id="15"/>
      </w:r>
      <w:r w:rsidRPr="001A2CBE">
        <w:t xml:space="preserve"> </w:t>
      </w:r>
      <w:r>
        <w:t>Also w</w:t>
      </w:r>
      <w:r w:rsidRPr="001A2CBE">
        <w:t xml:space="preserve">ithin this human rights section is the UK Government’s commitment to the incorporation of the ECHR with direct access to the courts and remedies for breach. </w:t>
      </w:r>
      <w:r>
        <w:t xml:space="preserve">It also includes sections on victims’ rights and economic, </w:t>
      </w:r>
      <w:proofErr w:type="gramStart"/>
      <w:r>
        <w:t>social</w:t>
      </w:r>
      <w:proofErr w:type="gramEnd"/>
      <w:r>
        <w:t xml:space="preserve"> and cultural issues. </w:t>
      </w:r>
      <w:r w:rsidRPr="001A2CBE">
        <w:t xml:space="preserve">In summary, </w:t>
      </w:r>
      <w:r w:rsidRPr="00142547">
        <w:t xml:space="preserve">the chapter represents wide-ranging commitment to civil, political, economic, </w:t>
      </w:r>
      <w:proofErr w:type="gramStart"/>
      <w:r w:rsidRPr="00142547">
        <w:t>social</w:t>
      </w:r>
      <w:proofErr w:type="gramEnd"/>
      <w:r w:rsidRPr="00142547">
        <w:t xml:space="preserve"> and cultural rights and equality of opportunity.</w:t>
      </w:r>
    </w:p>
    <w:p w14:paraId="04B2FA19" w14:textId="77777777" w:rsidR="00AF1436" w:rsidRDefault="00AF1436" w:rsidP="00B95D30">
      <w:pPr>
        <w:pStyle w:val="ListParagraph"/>
        <w:numPr>
          <w:ilvl w:val="0"/>
          <w:numId w:val="0"/>
        </w:numPr>
        <w:ind w:left="709" w:hanging="709"/>
      </w:pPr>
    </w:p>
    <w:p w14:paraId="613145C1" w14:textId="77777777" w:rsidR="00AF1436" w:rsidRDefault="00AF1436" w:rsidP="005F3F87">
      <w:pPr>
        <w:pStyle w:val="ListParagraph"/>
        <w:widowControl w:val="0"/>
        <w:numPr>
          <w:ilvl w:val="1"/>
          <w:numId w:val="4"/>
        </w:numPr>
        <w:suppressAutoHyphens/>
        <w:autoSpaceDE w:val="0"/>
        <w:autoSpaceDN w:val="0"/>
        <w:adjustRightInd w:val="0"/>
        <w:spacing w:before="0" w:after="0"/>
        <w:ind w:left="709" w:hanging="709"/>
        <w:contextualSpacing w:val="0"/>
        <w:jc w:val="left"/>
        <w:textAlignment w:val="center"/>
      </w:pPr>
      <w:r w:rsidRPr="001A2CBE">
        <w:lastRenderedPageBreak/>
        <w:t>In its Explainer</w:t>
      </w:r>
      <w:r>
        <w:t xml:space="preserve"> on Windsor Framework Article 2,</w:t>
      </w:r>
      <w:r w:rsidRPr="001A2CBE">
        <w:t xml:space="preserve"> the UK Government has </w:t>
      </w:r>
      <w:r>
        <w:t>acknowledged</w:t>
      </w:r>
      <w:r w:rsidRPr="001A2CBE">
        <w:t xml:space="preserve"> that the “key rights and equality provisions in the Agreement are supported by the ECHR”.  The Explainer further confirms that the UK Government acknowledges that “in NI, EU law, particularly on anti-discrimination, has formed an important part of the framework for delivering the guarantees on rights and equality set out in the Agreement”.</w:t>
      </w:r>
      <w:r w:rsidRPr="001A2CBE">
        <w:rPr>
          <w:rStyle w:val="FootnoteReference"/>
        </w:rPr>
        <w:footnoteReference w:id="16"/>
      </w:r>
      <w:r w:rsidRPr="001A2CBE">
        <w:t xml:space="preserve">  </w:t>
      </w:r>
    </w:p>
    <w:p w14:paraId="3A4DF18D" w14:textId="77777777" w:rsidR="00AF1436" w:rsidRDefault="00AF1436" w:rsidP="00B95D30">
      <w:pPr>
        <w:pStyle w:val="ListParagraph"/>
        <w:numPr>
          <w:ilvl w:val="0"/>
          <w:numId w:val="0"/>
        </w:numPr>
        <w:ind w:left="709" w:hanging="709"/>
      </w:pPr>
    </w:p>
    <w:p w14:paraId="5B389267" w14:textId="0879C45C" w:rsidR="00AF1436" w:rsidRPr="001A6772" w:rsidRDefault="00AF1436" w:rsidP="005F3F87">
      <w:pPr>
        <w:pStyle w:val="ListParagraph"/>
        <w:widowControl w:val="0"/>
        <w:numPr>
          <w:ilvl w:val="1"/>
          <w:numId w:val="4"/>
        </w:numPr>
        <w:suppressAutoHyphens/>
        <w:autoSpaceDE w:val="0"/>
        <w:autoSpaceDN w:val="0"/>
        <w:adjustRightInd w:val="0"/>
        <w:spacing w:before="0" w:after="0"/>
        <w:ind w:left="709" w:hanging="709"/>
        <w:contextualSpacing w:val="0"/>
        <w:jc w:val="left"/>
        <w:textAlignment w:val="center"/>
      </w:pPr>
      <w:r>
        <w:t>T</w:t>
      </w:r>
      <w:r w:rsidRPr="002045BE">
        <w:t>h</w:t>
      </w:r>
      <w:r>
        <w:t xml:space="preserve">e NIHRC and Equality Commission for Northern Ireland </w:t>
      </w:r>
      <w:r w:rsidR="00D47C7C">
        <w:t xml:space="preserve">(as the Dedicated Mechanism) </w:t>
      </w:r>
      <w:r>
        <w:t>published a working paper on the scope of Article 2.</w:t>
      </w:r>
      <w:r>
        <w:rPr>
          <w:rStyle w:val="FootnoteReference"/>
        </w:rPr>
        <w:footnoteReference w:id="17"/>
      </w:r>
      <w:r>
        <w:t xml:space="preserve"> In it, the Commissions conclude </w:t>
      </w:r>
      <w:r w:rsidRPr="001A6772">
        <w:t xml:space="preserve">that the non-diminution commitment in Windsor Framework Article 2 encompasses the full range of rights set out in the ECHR, to the extent that they are underpinned by EU legal obligations in force on or before 31 December 2020.  </w:t>
      </w:r>
    </w:p>
    <w:p w14:paraId="24554DA4" w14:textId="77777777" w:rsidR="00AF1436" w:rsidRDefault="00AF1436" w:rsidP="00B95D30">
      <w:pPr>
        <w:pStyle w:val="ListParagraph"/>
        <w:numPr>
          <w:ilvl w:val="0"/>
          <w:numId w:val="0"/>
        </w:numPr>
        <w:ind w:left="709" w:hanging="709"/>
      </w:pPr>
    </w:p>
    <w:p w14:paraId="77904658" w14:textId="77777777" w:rsidR="00AF1436" w:rsidRDefault="00AF1436" w:rsidP="005F3F87">
      <w:pPr>
        <w:pStyle w:val="ListParagraph"/>
        <w:widowControl w:val="0"/>
        <w:numPr>
          <w:ilvl w:val="1"/>
          <w:numId w:val="4"/>
        </w:numPr>
        <w:suppressAutoHyphens/>
        <w:autoSpaceDE w:val="0"/>
        <w:autoSpaceDN w:val="0"/>
        <w:adjustRightInd w:val="0"/>
        <w:spacing w:before="0" w:after="0"/>
        <w:ind w:left="709" w:hanging="709"/>
        <w:contextualSpacing w:val="0"/>
        <w:jc w:val="left"/>
        <w:textAlignment w:val="center"/>
      </w:pPr>
      <w:r w:rsidRPr="001A2CBE">
        <w:t>Put another way, the Commission</w:t>
      </w:r>
      <w:r>
        <w:t>s</w:t>
      </w:r>
      <w:r w:rsidRPr="001A2CBE">
        <w:t xml:space="preserve"> consider that all EU law in force in NI on or before 31 December 2020 which underpins an ECHR right, falls within scope of the non-diminution commitment in Windsor Framework Article 2.</w:t>
      </w:r>
    </w:p>
    <w:p w14:paraId="74E79FE4" w14:textId="77777777" w:rsidR="00AF1436" w:rsidRDefault="00AF1436" w:rsidP="00B95D30">
      <w:pPr>
        <w:pStyle w:val="ListParagraph"/>
        <w:numPr>
          <w:ilvl w:val="0"/>
          <w:numId w:val="0"/>
        </w:numPr>
        <w:ind w:left="709" w:hanging="709"/>
      </w:pPr>
    </w:p>
    <w:p w14:paraId="74EDECD4" w14:textId="5E73ABF8" w:rsidR="00AF1436" w:rsidRDefault="00AF1436" w:rsidP="771DD95D">
      <w:pPr>
        <w:pStyle w:val="ListParagraph"/>
        <w:widowControl w:val="0"/>
        <w:numPr>
          <w:ilvl w:val="1"/>
          <w:numId w:val="4"/>
        </w:numPr>
        <w:suppressAutoHyphens/>
        <w:autoSpaceDE w:val="0"/>
        <w:autoSpaceDN w:val="0"/>
        <w:adjustRightInd w:val="0"/>
        <w:spacing w:before="0" w:after="0"/>
        <w:ind w:left="709" w:hanging="709"/>
        <w:jc w:val="left"/>
        <w:textAlignment w:val="center"/>
      </w:pPr>
      <w:r>
        <w:t xml:space="preserve">ECHR rights of </w:t>
      </w:r>
      <w:proofErr w:type="gramStart"/>
      <w:r>
        <w:t>particular relevance</w:t>
      </w:r>
      <w:proofErr w:type="gramEnd"/>
      <w:r>
        <w:t xml:space="preserve"> to refugees and asylum-seekers include </w:t>
      </w:r>
      <w:r w:rsidR="7C25386E">
        <w:t xml:space="preserve">freedom from torture, inhuman or degrading treatment (Article 3 ECHR) </w:t>
      </w:r>
      <w:r w:rsidRPr="00D270B2">
        <w:t>protections against slavery and forced labour (Article 4 ECHR), the right to liberty and security (Article 5 ECHR) and the right to a private and family life (Article 8 ECHR) as well as freedom from discrimination (Article 14 ECHR)</w:t>
      </w:r>
      <w:r>
        <w:t>.</w:t>
      </w:r>
    </w:p>
    <w:p w14:paraId="66A37CB8" w14:textId="77777777" w:rsidR="00AF1436" w:rsidRDefault="00AF1436" w:rsidP="00B95D30">
      <w:pPr>
        <w:pStyle w:val="ListParagraph"/>
        <w:numPr>
          <w:ilvl w:val="0"/>
          <w:numId w:val="0"/>
        </w:numPr>
        <w:ind w:left="709" w:hanging="709"/>
      </w:pPr>
    </w:p>
    <w:p w14:paraId="28F49ADA" w14:textId="77777777" w:rsidR="00AF1436" w:rsidRDefault="00AF1436" w:rsidP="005F3F87">
      <w:pPr>
        <w:pStyle w:val="ListParagraph"/>
        <w:widowControl w:val="0"/>
        <w:numPr>
          <w:ilvl w:val="1"/>
          <w:numId w:val="4"/>
        </w:numPr>
        <w:suppressAutoHyphens/>
        <w:autoSpaceDE w:val="0"/>
        <w:autoSpaceDN w:val="0"/>
        <w:adjustRightInd w:val="0"/>
        <w:spacing w:before="0" w:after="0"/>
        <w:ind w:left="709" w:hanging="709"/>
        <w:contextualSpacing w:val="0"/>
        <w:jc w:val="left"/>
        <w:textAlignment w:val="center"/>
      </w:pPr>
      <w:r>
        <w:t>T</w:t>
      </w:r>
      <w:r w:rsidRPr="002045BE">
        <w:t>h</w:t>
      </w:r>
      <w:r>
        <w:t xml:space="preserve">e NIHRC/ECNI working paper also includes an Appendix </w:t>
      </w:r>
      <w:r w:rsidRPr="002045BE">
        <w:t>set</w:t>
      </w:r>
      <w:r>
        <w:t>ting</w:t>
      </w:r>
      <w:r w:rsidRPr="002045BE">
        <w:t xml:space="preserve"> out the EU </w:t>
      </w:r>
      <w:r>
        <w:t>measures</w:t>
      </w:r>
      <w:r w:rsidRPr="002045BE">
        <w:t xml:space="preserve"> which the </w:t>
      </w:r>
      <w:r>
        <w:t xml:space="preserve">Commissions </w:t>
      </w:r>
      <w:r w:rsidRPr="002045BE">
        <w:t xml:space="preserve">have identified to date as falling within the scope of the UK Government’s commitment under Article </w:t>
      </w:r>
      <w:r>
        <w:t xml:space="preserve">2 </w:t>
      </w:r>
      <w:r w:rsidRPr="002045BE">
        <w:t xml:space="preserve">of the </w:t>
      </w:r>
      <w:r>
        <w:t>Windsor Framework.</w:t>
      </w:r>
      <w:r>
        <w:rPr>
          <w:rStyle w:val="FootnoteReference"/>
        </w:rPr>
        <w:footnoteReference w:id="18"/>
      </w:r>
      <w:r>
        <w:t xml:space="preserve"> </w:t>
      </w:r>
    </w:p>
    <w:p w14:paraId="4AE56846" w14:textId="77777777" w:rsidR="00AF1436" w:rsidRPr="00E668D9" w:rsidRDefault="00AF1436" w:rsidP="00B95D30">
      <w:pPr>
        <w:pStyle w:val="ListParagraph"/>
        <w:numPr>
          <w:ilvl w:val="0"/>
          <w:numId w:val="0"/>
        </w:numPr>
        <w:ind w:left="709" w:hanging="709"/>
        <w:rPr>
          <w:rFonts w:cs="MinionPro-Regular"/>
        </w:rPr>
      </w:pPr>
    </w:p>
    <w:p w14:paraId="5DDE1F6B" w14:textId="0E2696E7" w:rsidR="00AF1436" w:rsidRPr="00641C2F" w:rsidRDefault="00AF1436" w:rsidP="005F3F87">
      <w:pPr>
        <w:pStyle w:val="ListParagraph"/>
        <w:widowControl w:val="0"/>
        <w:numPr>
          <w:ilvl w:val="1"/>
          <w:numId w:val="4"/>
        </w:numPr>
        <w:autoSpaceDE w:val="0"/>
        <w:spacing w:before="0" w:after="0"/>
        <w:ind w:left="709" w:hanging="709"/>
        <w:contextualSpacing w:val="0"/>
        <w:jc w:val="left"/>
        <w:textAlignment w:val="center"/>
      </w:pPr>
      <w:r w:rsidRPr="00641C2F">
        <w:rPr>
          <w:rFonts w:cs="Calibri"/>
          <w:b/>
          <w:bCs/>
        </w:rPr>
        <w:t xml:space="preserve">The NIHRC advises that refugees and asylum seekers are </w:t>
      </w:r>
      <w:r w:rsidRPr="00641C2F">
        <w:rPr>
          <w:rFonts w:cs="Calibri"/>
          <w:b/>
          <w:bCs/>
        </w:rPr>
        <w:lastRenderedPageBreak/>
        <w:t>protected by Article 2 of the Windsor Framework.</w:t>
      </w:r>
      <w:r w:rsidR="0004591A">
        <w:rPr>
          <w:rStyle w:val="FootnoteReference"/>
          <w:rFonts w:cs="Calibri"/>
          <w:b/>
          <w:bCs/>
        </w:rPr>
        <w:footnoteReference w:id="19"/>
      </w:r>
    </w:p>
    <w:p w14:paraId="2D682B7B" w14:textId="77777777" w:rsidR="00AF1436" w:rsidRPr="00641C2F" w:rsidRDefault="00AF1436" w:rsidP="00B95D30">
      <w:pPr>
        <w:pStyle w:val="ListParagraph"/>
        <w:numPr>
          <w:ilvl w:val="0"/>
          <w:numId w:val="0"/>
        </w:numPr>
        <w:ind w:left="709" w:hanging="709"/>
        <w:rPr>
          <w:b/>
          <w:bCs/>
        </w:rPr>
      </w:pPr>
    </w:p>
    <w:p w14:paraId="1058DED6" w14:textId="77777777" w:rsidR="00AF1436" w:rsidRPr="00641C2F" w:rsidRDefault="00AF1436" w:rsidP="005F3F87">
      <w:pPr>
        <w:pStyle w:val="ListParagraph"/>
        <w:widowControl w:val="0"/>
        <w:numPr>
          <w:ilvl w:val="1"/>
          <w:numId w:val="4"/>
        </w:numPr>
        <w:suppressAutoHyphens/>
        <w:autoSpaceDE w:val="0"/>
        <w:autoSpaceDN w:val="0"/>
        <w:adjustRightInd w:val="0"/>
        <w:spacing w:before="0" w:after="0"/>
        <w:ind w:left="709" w:hanging="709"/>
        <w:contextualSpacing w:val="0"/>
        <w:jc w:val="left"/>
        <w:textAlignment w:val="center"/>
      </w:pPr>
      <w:r>
        <w:rPr>
          <w:b/>
          <w:bCs/>
          <w:lang w:val="en-US"/>
        </w:rPr>
        <w:t xml:space="preserve">The </w:t>
      </w:r>
      <w:r w:rsidRPr="007B294A">
        <w:rPr>
          <w:b/>
          <w:bCs/>
          <w:lang w:val="en-US"/>
        </w:rPr>
        <w:t>NIHRC advises that rights particular to refugees and asylum-seekers are within the scope of the Rights, Safeguards and Equality of Opportunity chapter of the Belfast (Good Friday) Agreement</w:t>
      </w:r>
      <w:r>
        <w:rPr>
          <w:b/>
          <w:bCs/>
          <w:lang w:val="en-US"/>
        </w:rPr>
        <w:t xml:space="preserve"> by virtue</w:t>
      </w:r>
      <w:proofErr w:type="gramStart"/>
      <w:r>
        <w:rPr>
          <w:b/>
          <w:bCs/>
          <w:lang w:val="en-US"/>
        </w:rPr>
        <w:t>, in particular, of</w:t>
      </w:r>
      <w:proofErr w:type="gramEnd"/>
      <w:r>
        <w:rPr>
          <w:b/>
          <w:bCs/>
          <w:lang w:val="en-US"/>
        </w:rPr>
        <w:t xml:space="preserve"> the commitment to civil rights and to incorporate the ECHR into domestic law</w:t>
      </w:r>
      <w:r w:rsidRPr="007B294A">
        <w:rPr>
          <w:b/>
          <w:bCs/>
          <w:lang w:val="en-US"/>
        </w:rPr>
        <w:t>.</w:t>
      </w:r>
    </w:p>
    <w:p w14:paraId="3C69605B" w14:textId="77777777" w:rsidR="00AF1436" w:rsidRPr="00641C2F" w:rsidRDefault="00AF1436" w:rsidP="00B95D30">
      <w:pPr>
        <w:pStyle w:val="ListParagraph"/>
        <w:numPr>
          <w:ilvl w:val="0"/>
          <w:numId w:val="0"/>
        </w:numPr>
        <w:ind w:left="709" w:hanging="709"/>
      </w:pPr>
    </w:p>
    <w:p w14:paraId="31A247C5" w14:textId="77777777" w:rsidR="00AF1436" w:rsidRDefault="00AF1436" w:rsidP="005F3F87">
      <w:pPr>
        <w:pStyle w:val="ListParagraph"/>
        <w:widowControl w:val="0"/>
        <w:numPr>
          <w:ilvl w:val="1"/>
          <w:numId w:val="4"/>
        </w:numPr>
        <w:autoSpaceDE w:val="0"/>
        <w:spacing w:before="0" w:after="0"/>
        <w:ind w:left="709" w:hanging="709"/>
        <w:contextualSpacing w:val="0"/>
        <w:jc w:val="left"/>
        <w:textAlignment w:val="center"/>
        <w:rPr>
          <w:b/>
          <w:bCs/>
        </w:rPr>
      </w:pPr>
      <w:r w:rsidRPr="00641C2F">
        <w:rPr>
          <w:b/>
          <w:bCs/>
        </w:rPr>
        <w:t>The NIHRC advises that</w:t>
      </w:r>
      <w:r>
        <w:rPr>
          <w:b/>
          <w:bCs/>
        </w:rPr>
        <w:t xml:space="preserve">, </w:t>
      </w:r>
      <w:proofErr w:type="gramStart"/>
      <w:r>
        <w:rPr>
          <w:b/>
          <w:bCs/>
        </w:rPr>
        <w:t>as a result of</w:t>
      </w:r>
      <w:proofErr w:type="gramEnd"/>
      <w:r>
        <w:rPr>
          <w:b/>
          <w:bCs/>
        </w:rPr>
        <w:t xml:space="preserve"> Windsor Framework Article 2,</w:t>
      </w:r>
      <w:r w:rsidRPr="00641C2F">
        <w:rPr>
          <w:b/>
          <w:bCs/>
        </w:rPr>
        <w:t xml:space="preserve"> </w:t>
      </w:r>
      <w:r>
        <w:rPr>
          <w:b/>
          <w:bCs/>
        </w:rPr>
        <w:t>the following measures of EU law, which were binding on the UK before EU withdrawal, continue to set standards for human rights protection below which the law in NI should not fall:</w:t>
      </w:r>
    </w:p>
    <w:p w14:paraId="39A819B2" w14:textId="77777777" w:rsidR="00AF1436" w:rsidRPr="00E668D9" w:rsidRDefault="00AF1436" w:rsidP="00B95D30">
      <w:pPr>
        <w:pStyle w:val="Bulletlist"/>
        <w:ind w:left="993" w:hanging="284"/>
        <w:rPr>
          <w:rFonts w:ascii="Verdana" w:hAnsi="Verdana"/>
          <w:b/>
          <w:bCs/>
          <w:sz w:val="24"/>
          <w:szCs w:val="24"/>
        </w:rPr>
      </w:pPr>
      <w:r w:rsidRPr="00E668D9">
        <w:rPr>
          <w:rFonts w:ascii="Verdana" w:hAnsi="Verdana"/>
          <w:b/>
          <w:bCs/>
          <w:sz w:val="24"/>
          <w:szCs w:val="24"/>
        </w:rPr>
        <w:t>the EU Temporary Protection Directive (2001/55/EC),</w:t>
      </w:r>
      <w:r w:rsidRPr="00E668D9">
        <w:rPr>
          <w:rStyle w:val="FootnoteReference"/>
          <w:rFonts w:ascii="Verdana" w:hAnsi="Verdana"/>
          <w:b/>
          <w:bCs/>
          <w:sz w:val="24"/>
          <w:szCs w:val="24"/>
        </w:rPr>
        <w:footnoteReference w:id="20"/>
      </w:r>
      <w:r w:rsidRPr="00E668D9">
        <w:rPr>
          <w:rFonts w:ascii="Verdana" w:hAnsi="Verdana"/>
          <w:b/>
          <w:bCs/>
          <w:sz w:val="24"/>
          <w:szCs w:val="24"/>
        </w:rPr>
        <w:t xml:space="preserve"> </w:t>
      </w:r>
    </w:p>
    <w:p w14:paraId="00EEA64C" w14:textId="77777777" w:rsidR="00AF1436" w:rsidRPr="00E668D9" w:rsidRDefault="00AF1436" w:rsidP="157CE772">
      <w:pPr>
        <w:pStyle w:val="Bulletlist"/>
        <w:ind w:left="993" w:hanging="284"/>
        <w:rPr>
          <w:rFonts w:ascii="Verdana" w:hAnsi="Verdana" w:cs="Arial"/>
          <w:b/>
          <w:bCs/>
          <w:sz w:val="24"/>
          <w:szCs w:val="24"/>
        </w:rPr>
      </w:pPr>
      <w:r w:rsidRPr="00E668D9">
        <w:rPr>
          <w:rFonts w:ascii="Verdana" w:hAnsi="Verdana"/>
          <w:b/>
          <w:bCs/>
          <w:sz w:val="24"/>
          <w:szCs w:val="24"/>
        </w:rPr>
        <w:t>the original EU Asylum Reception Directive (</w:t>
      </w:r>
      <w:r w:rsidRPr="00E668D9">
        <w:rPr>
          <w:rFonts w:ascii="Verdana" w:hAnsi="Verdana" w:cs="Tahoma"/>
          <w:b/>
          <w:bCs/>
          <w:sz w:val="24"/>
          <w:szCs w:val="24"/>
        </w:rPr>
        <w:t>2003/9/EC</w:t>
      </w:r>
      <w:r w:rsidRPr="00E668D9">
        <w:rPr>
          <w:rFonts w:ascii="Verdana" w:hAnsi="Verdana"/>
          <w:b/>
          <w:bCs/>
          <w:sz w:val="24"/>
          <w:szCs w:val="24"/>
        </w:rPr>
        <w:t>),</w:t>
      </w:r>
      <w:r w:rsidRPr="00E668D9">
        <w:rPr>
          <w:rStyle w:val="FootnoteReference"/>
          <w:rFonts w:ascii="Verdana" w:hAnsi="Verdana"/>
          <w:b/>
          <w:bCs/>
          <w:sz w:val="24"/>
          <w:szCs w:val="24"/>
        </w:rPr>
        <w:footnoteReference w:id="21"/>
      </w:r>
    </w:p>
    <w:p w14:paraId="5E6E62E9" w14:textId="77777777" w:rsidR="00AF1436" w:rsidRPr="00E668D9" w:rsidRDefault="00AF1436" w:rsidP="00B95D30">
      <w:pPr>
        <w:pStyle w:val="Bulletlist"/>
        <w:ind w:left="993" w:hanging="284"/>
        <w:rPr>
          <w:rFonts w:ascii="Verdana" w:hAnsi="Verdana"/>
          <w:b/>
          <w:bCs/>
          <w:sz w:val="24"/>
          <w:szCs w:val="24"/>
        </w:rPr>
      </w:pPr>
      <w:r w:rsidRPr="00E668D9">
        <w:rPr>
          <w:rFonts w:ascii="Verdana" w:hAnsi="Verdana"/>
          <w:b/>
          <w:bCs/>
          <w:sz w:val="24"/>
          <w:szCs w:val="24"/>
        </w:rPr>
        <w:t>the EU Qualification Directive (2004/83/EC),</w:t>
      </w:r>
      <w:r w:rsidRPr="00E668D9">
        <w:rPr>
          <w:rStyle w:val="FootnoteReference"/>
          <w:rFonts w:ascii="Verdana" w:hAnsi="Verdana"/>
          <w:b/>
          <w:bCs/>
          <w:sz w:val="24"/>
          <w:szCs w:val="24"/>
        </w:rPr>
        <w:footnoteReference w:id="22"/>
      </w:r>
      <w:r w:rsidRPr="00E668D9">
        <w:rPr>
          <w:rFonts w:ascii="Verdana" w:hAnsi="Verdana"/>
          <w:b/>
          <w:bCs/>
          <w:sz w:val="24"/>
          <w:szCs w:val="24"/>
        </w:rPr>
        <w:t xml:space="preserve"> </w:t>
      </w:r>
    </w:p>
    <w:p w14:paraId="4BD5726A" w14:textId="77777777" w:rsidR="00AF1436" w:rsidRPr="00E668D9" w:rsidRDefault="00AF1436" w:rsidP="00B95D30">
      <w:pPr>
        <w:pStyle w:val="Bulletlist"/>
        <w:ind w:left="993" w:hanging="284"/>
        <w:rPr>
          <w:rFonts w:ascii="Verdana" w:hAnsi="Verdana"/>
          <w:b/>
          <w:bCs/>
          <w:sz w:val="24"/>
          <w:szCs w:val="24"/>
        </w:rPr>
      </w:pPr>
      <w:r w:rsidRPr="00E668D9">
        <w:rPr>
          <w:rFonts w:ascii="Verdana" w:hAnsi="Verdana"/>
          <w:b/>
          <w:bCs/>
          <w:sz w:val="24"/>
          <w:szCs w:val="24"/>
        </w:rPr>
        <w:t>the EU Asylum Procedures Directive (2005/85/EC),</w:t>
      </w:r>
      <w:r w:rsidRPr="00E668D9">
        <w:rPr>
          <w:rStyle w:val="FootnoteReference"/>
          <w:rFonts w:ascii="Verdana" w:hAnsi="Verdana"/>
          <w:b/>
          <w:bCs/>
          <w:sz w:val="24"/>
          <w:szCs w:val="24"/>
        </w:rPr>
        <w:footnoteReference w:id="23"/>
      </w:r>
      <w:r w:rsidRPr="00E668D9">
        <w:rPr>
          <w:rFonts w:ascii="Verdana" w:hAnsi="Verdana"/>
          <w:b/>
          <w:bCs/>
          <w:sz w:val="24"/>
          <w:szCs w:val="24"/>
        </w:rPr>
        <w:t xml:space="preserve"> and </w:t>
      </w:r>
    </w:p>
    <w:p w14:paraId="06CC684C" w14:textId="15190A07" w:rsidR="00650075" w:rsidRPr="00550006" w:rsidRDefault="00AF1436" w:rsidP="005F3F87">
      <w:pPr>
        <w:pStyle w:val="Bulletlist"/>
        <w:spacing w:after="240"/>
        <w:ind w:left="993" w:hanging="284"/>
        <w:rPr>
          <w:rFonts w:ascii="Verdana" w:hAnsi="Verdana"/>
          <w:b/>
          <w:bCs/>
          <w:sz w:val="24"/>
          <w:szCs w:val="24"/>
        </w:rPr>
      </w:pPr>
      <w:r w:rsidRPr="00E668D9">
        <w:rPr>
          <w:rFonts w:ascii="Verdana" w:hAnsi="Verdana"/>
          <w:b/>
          <w:bCs/>
          <w:sz w:val="24"/>
          <w:szCs w:val="24"/>
        </w:rPr>
        <w:t xml:space="preserve">the Dublin Convention and successor Regulations, the latest of which is </w:t>
      </w:r>
      <w:r w:rsidRPr="00E668D9">
        <w:rPr>
          <w:rStyle w:val="legds"/>
          <w:rFonts w:ascii="Verdana" w:hAnsi="Verdana" w:cs="Arial"/>
          <w:b/>
          <w:bCs/>
          <w:sz w:val="24"/>
          <w:szCs w:val="24"/>
        </w:rPr>
        <w:t xml:space="preserve">Regulation (EU) No 604/2013 known as the </w:t>
      </w:r>
      <w:r w:rsidRPr="00E668D9">
        <w:rPr>
          <w:rFonts w:ascii="Verdana" w:hAnsi="Verdana"/>
          <w:b/>
          <w:bCs/>
          <w:sz w:val="24"/>
          <w:szCs w:val="24"/>
        </w:rPr>
        <w:t>Dublin III Regulation.</w:t>
      </w:r>
      <w:r w:rsidRPr="00E668D9">
        <w:rPr>
          <w:rStyle w:val="FootnoteReference"/>
          <w:rFonts w:ascii="Verdana" w:hAnsi="Verdana"/>
          <w:b/>
          <w:bCs/>
          <w:sz w:val="24"/>
          <w:szCs w:val="24"/>
        </w:rPr>
        <w:footnoteReference w:id="24"/>
      </w:r>
      <w:r w:rsidRPr="00E668D9">
        <w:rPr>
          <w:rFonts w:ascii="Verdana" w:hAnsi="Verdana"/>
          <w:b/>
          <w:bCs/>
          <w:sz w:val="24"/>
          <w:szCs w:val="24"/>
        </w:rPr>
        <w:t xml:space="preserve"> </w:t>
      </w:r>
    </w:p>
    <w:p w14:paraId="3E980598" w14:textId="388DB2C0" w:rsidR="00F9469D" w:rsidRDefault="00794E2E" w:rsidP="005F3F87">
      <w:pPr>
        <w:pStyle w:val="Heading1"/>
        <w:numPr>
          <w:ilvl w:val="0"/>
          <w:numId w:val="4"/>
        </w:numPr>
        <w:spacing w:after="240" w:line="240" w:lineRule="auto"/>
      </w:pPr>
      <w:bookmarkStart w:id="9" w:name="_Toc156823316"/>
      <w:r>
        <w:t>Clause 1</w:t>
      </w:r>
      <w:r w:rsidR="00AC6842">
        <w:t xml:space="preserve">: </w:t>
      </w:r>
      <w:r>
        <w:t>Relationship with International Law</w:t>
      </w:r>
      <w:bookmarkEnd w:id="9"/>
    </w:p>
    <w:p w14:paraId="2A9BA287" w14:textId="1D4CE1D8" w:rsidR="002E05E6" w:rsidRDefault="00794E2E" w:rsidP="005F3F87">
      <w:pPr>
        <w:pStyle w:val="ListParagraph"/>
        <w:numPr>
          <w:ilvl w:val="1"/>
          <w:numId w:val="4"/>
        </w:numPr>
        <w:ind w:left="567" w:hanging="567"/>
        <w:rPr>
          <w:rFonts w:cs="Poppins"/>
          <w:shd w:val="clear" w:color="auto" w:fill="FFFFFF"/>
        </w:rPr>
      </w:pPr>
      <w:r w:rsidRPr="004712DA">
        <w:rPr>
          <w:rFonts w:cs="Poppins"/>
          <w:shd w:val="clear" w:color="auto" w:fill="FFFFFF"/>
        </w:rPr>
        <w:t xml:space="preserve">Clause 1(4)(b) of the Bill </w:t>
      </w:r>
      <w:r w:rsidR="00D47C7C">
        <w:rPr>
          <w:rFonts w:cs="Poppins"/>
          <w:shd w:val="clear" w:color="auto" w:fill="FFFFFF"/>
        </w:rPr>
        <w:t>provides</w:t>
      </w:r>
      <w:r w:rsidRPr="004712DA">
        <w:rPr>
          <w:rFonts w:cs="Poppins"/>
          <w:shd w:val="clear" w:color="auto" w:fill="FFFFFF"/>
        </w:rPr>
        <w:t xml:space="preserve"> “it is recognised that – a) the Parliament of the UK is sovereign, and b) the validity of an Act is unaffected by international law”. </w:t>
      </w:r>
      <w:r>
        <w:t xml:space="preserve">Clauses 2 and 3 of the Bill contain “notwithstanding” provisions that </w:t>
      </w:r>
      <w:r w:rsidR="00D47C7C">
        <w:t xml:space="preserve">require </w:t>
      </w:r>
      <w:r w:rsidRPr="00B118FF">
        <w:t>UK courts to disapply aspects of domestic law</w:t>
      </w:r>
      <w:r>
        <w:t xml:space="preserve">, including sections of the Human Rights Act 1998, </w:t>
      </w:r>
      <w:r w:rsidRPr="00B118FF">
        <w:t xml:space="preserve">and </w:t>
      </w:r>
      <w:r>
        <w:t xml:space="preserve">“any interpretation of international law” by a court or tribunal. </w:t>
      </w:r>
      <w:r w:rsidRPr="00E90DAD">
        <w:rPr>
          <w:rFonts w:cs="Poppins"/>
          <w:shd w:val="clear" w:color="auto" w:fill="FFFFFF"/>
        </w:rPr>
        <w:t xml:space="preserve">Clause </w:t>
      </w:r>
      <w:r w:rsidRPr="00E90DAD">
        <w:rPr>
          <w:rFonts w:cs="Poppins"/>
          <w:shd w:val="clear" w:color="auto" w:fill="FFFFFF"/>
        </w:rPr>
        <w:lastRenderedPageBreak/>
        <w:t>1(6) of the Bill provides a non-exhaustive list of examples of what is meant by international law.</w:t>
      </w:r>
    </w:p>
    <w:p w14:paraId="17506D47" w14:textId="77777777" w:rsidR="002E05E6" w:rsidRDefault="002E05E6" w:rsidP="002E05E6">
      <w:pPr>
        <w:pStyle w:val="ListParagraph"/>
        <w:numPr>
          <w:ilvl w:val="0"/>
          <w:numId w:val="0"/>
        </w:numPr>
        <w:ind w:left="567"/>
        <w:rPr>
          <w:rFonts w:cs="Poppins"/>
          <w:shd w:val="clear" w:color="auto" w:fill="FFFFFF"/>
        </w:rPr>
      </w:pPr>
    </w:p>
    <w:p w14:paraId="26863E95" w14:textId="035E2D60" w:rsidR="00794E2E" w:rsidRPr="002E05E6" w:rsidRDefault="002E05E6" w:rsidP="005F3F87">
      <w:pPr>
        <w:pStyle w:val="ListParagraph"/>
        <w:numPr>
          <w:ilvl w:val="1"/>
          <w:numId w:val="4"/>
        </w:numPr>
        <w:ind w:left="567" w:hanging="567"/>
        <w:rPr>
          <w:rFonts w:cs="Poppins"/>
          <w:shd w:val="clear" w:color="auto" w:fill="FFFFFF"/>
        </w:rPr>
      </w:pPr>
      <w:r>
        <w:rPr>
          <w:rFonts w:cs="Poppins"/>
          <w:shd w:val="clear" w:color="auto" w:fill="FFFFFF"/>
        </w:rPr>
        <w:t>T</w:t>
      </w:r>
      <w:r w:rsidR="00794E2E" w:rsidRPr="002E05E6">
        <w:rPr>
          <w:rFonts w:cs="Poppins"/>
          <w:shd w:val="clear" w:color="auto" w:fill="FFFFFF"/>
        </w:rPr>
        <w:t>he</w:t>
      </w:r>
      <w:r w:rsidR="00794E2E">
        <w:t xml:space="preserve"> UK has agreed to be bound </w:t>
      </w:r>
      <w:r w:rsidR="00794E2E" w:rsidRPr="002E05E6">
        <w:rPr>
          <w:rFonts w:cs="Poppins"/>
          <w:shd w:val="clear" w:color="auto" w:fill="FFFFFF"/>
        </w:rPr>
        <w:t>by several</w:t>
      </w:r>
      <w:r>
        <w:rPr>
          <w:rFonts w:cs="Poppins"/>
          <w:shd w:val="clear" w:color="auto" w:fill="FFFFFF"/>
        </w:rPr>
        <w:t xml:space="preserve"> </w:t>
      </w:r>
      <w:r w:rsidR="00794E2E" w:rsidRPr="002E05E6">
        <w:rPr>
          <w:rFonts w:cs="Poppins"/>
          <w:shd w:val="clear" w:color="auto" w:fill="FFFFFF"/>
        </w:rPr>
        <w:t xml:space="preserve">Council of Europe and UN human rights treaties through the process of ratification. </w:t>
      </w:r>
      <w:r w:rsidR="00794E2E">
        <w:t>T</w:t>
      </w:r>
      <w:r w:rsidR="00794E2E" w:rsidRPr="002E05E6">
        <w:rPr>
          <w:rFonts w:cs="Poppins"/>
          <w:shd w:val="clear" w:color="auto" w:fill="FFFFFF"/>
        </w:rPr>
        <w:t xml:space="preserve">he general rules of interpretation for international treaties have been codified in the 1969 Vienna Convention on the Law of Treaties. </w:t>
      </w:r>
      <w:r w:rsidR="00794E2E">
        <w:t>Article 31</w:t>
      </w:r>
      <w:r w:rsidR="068CEC31">
        <w:t>(1)</w:t>
      </w:r>
      <w:r w:rsidR="00794E2E">
        <w:t xml:space="preserve"> provides the general rule of interpretation, namely that treaties are to be interpreted “in good faith in accordance with the ordinary meaning to be given to the terms of the treaty in their context and in the light of its object and purpose”.</w:t>
      </w:r>
    </w:p>
    <w:p w14:paraId="071BA267" w14:textId="77777777" w:rsidR="00794E2E" w:rsidRPr="00ED69D9" w:rsidRDefault="00794E2E" w:rsidP="00C7048F">
      <w:pPr>
        <w:pStyle w:val="ListParagraph"/>
        <w:numPr>
          <w:ilvl w:val="0"/>
          <w:numId w:val="0"/>
        </w:numPr>
        <w:ind w:left="567" w:hanging="567"/>
        <w:rPr>
          <w:rFonts w:cs="Poppins"/>
          <w:shd w:val="clear" w:color="auto" w:fill="FFFFFF"/>
        </w:rPr>
      </w:pPr>
    </w:p>
    <w:p w14:paraId="79C14DE2" w14:textId="5AC7765C" w:rsidR="00D20D87" w:rsidRPr="004D01FC" w:rsidRDefault="00794E2E" w:rsidP="005F3F87">
      <w:pPr>
        <w:pStyle w:val="ListParagraph"/>
        <w:numPr>
          <w:ilvl w:val="1"/>
          <w:numId w:val="4"/>
        </w:numPr>
        <w:ind w:left="567" w:hanging="567"/>
        <w:rPr>
          <w:rFonts w:cs="Poppins"/>
          <w:shd w:val="clear" w:color="auto" w:fill="FFFFFF"/>
        </w:rPr>
      </w:pPr>
      <w:r w:rsidRPr="00A01740">
        <w:rPr>
          <w:rFonts w:cs="Poppins"/>
          <w:shd w:val="clear" w:color="auto" w:fill="FFFFFF"/>
        </w:rPr>
        <w:t>Under Article 27 of the Vienna Convention</w:t>
      </w:r>
      <w:r>
        <w:rPr>
          <w:rFonts w:cs="Poppins"/>
          <w:shd w:val="clear" w:color="auto" w:fill="FFFFFF"/>
        </w:rPr>
        <w:t>,</w:t>
      </w:r>
      <w:r w:rsidRPr="00A01740">
        <w:rPr>
          <w:rFonts w:cs="Poppins"/>
          <w:shd w:val="clear" w:color="auto" w:fill="FFFFFF"/>
        </w:rPr>
        <w:t xml:space="preserve"> States cannot invoke conflicting domestic law to avoid an international obligation. Therefore, enacting these provisions in domestic law would ultimately have no bearing on the international legal effect of the UK’s human rights obligations. </w:t>
      </w:r>
      <w:r>
        <w:t xml:space="preserve">For example, as a </w:t>
      </w:r>
      <w:r w:rsidRPr="003E2F62">
        <w:t>High Contracting Party to the ECHR</w:t>
      </w:r>
      <w:r>
        <w:t>, the UK</w:t>
      </w:r>
      <w:r w:rsidRPr="003E2F62">
        <w:t xml:space="preserve"> must </w:t>
      </w:r>
      <w:r>
        <w:t>continue to abide by the</w:t>
      </w:r>
      <w:r w:rsidRPr="003E2F62">
        <w:t xml:space="preserve"> ECtHR’s final judgment.</w:t>
      </w:r>
      <w:r w:rsidRPr="003E2F62">
        <w:rPr>
          <w:rStyle w:val="FootnoteReference"/>
        </w:rPr>
        <w:footnoteReference w:id="25"/>
      </w:r>
    </w:p>
    <w:p w14:paraId="78FAF33B" w14:textId="77777777" w:rsidR="00794E2E" w:rsidRDefault="00794E2E" w:rsidP="00C7048F">
      <w:pPr>
        <w:pStyle w:val="ListParagraph"/>
        <w:numPr>
          <w:ilvl w:val="0"/>
          <w:numId w:val="0"/>
        </w:numPr>
        <w:ind w:left="567" w:hanging="567"/>
      </w:pPr>
    </w:p>
    <w:p w14:paraId="4E5207EF" w14:textId="4E630ED3" w:rsidR="00794E2E" w:rsidRPr="000E7678" w:rsidRDefault="6147D1D5" w:rsidP="005F3F87">
      <w:pPr>
        <w:pStyle w:val="ListParagraph"/>
        <w:numPr>
          <w:ilvl w:val="1"/>
          <w:numId w:val="4"/>
        </w:numPr>
        <w:ind w:left="567" w:hanging="567"/>
        <w:rPr>
          <w:rFonts w:cs="Poppins"/>
          <w:shd w:val="clear" w:color="auto" w:fill="FFFFFF"/>
        </w:rPr>
      </w:pPr>
      <w:r>
        <w:t xml:space="preserve">The NIHRC is gravely concerned by the proposal to disapply all interpretations of customary international law in the context of the Bill, particularly the principle of non-refoulement. The prohibition of refoulement is so fundamental to human rights law that it has attained the </w:t>
      </w:r>
      <w:r w:rsidR="053C2D40">
        <w:t>status</w:t>
      </w:r>
      <w:r>
        <w:t xml:space="preserve"> of a peremptory norm or </w:t>
      </w:r>
      <w:r w:rsidRPr="244B1D2B">
        <w:rPr>
          <w:i/>
          <w:iCs/>
        </w:rPr>
        <w:t>jus cogens</w:t>
      </w:r>
      <w:r>
        <w:t>. Therefore, it is non-</w:t>
      </w:r>
      <w:proofErr w:type="spellStart"/>
      <w:r>
        <w:t>derogable</w:t>
      </w:r>
      <w:proofErr w:type="spellEnd"/>
      <w:r>
        <w:t xml:space="preserve"> and is even binding on States which have not become party to the relevant instruments.</w:t>
      </w:r>
    </w:p>
    <w:p w14:paraId="3C072C13" w14:textId="77777777" w:rsidR="00794E2E" w:rsidRPr="00567DA1" w:rsidRDefault="00794E2E" w:rsidP="00C7048F">
      <w:pPr>
        <w:pStyle w:val="ListParagraph"/>
        <w:numPr>
          <w:ilvl w:val="0"/>
          <w:numId w:val="0"/>
        </w:numPr>
        <w:ind w:left="567" w:hanging="567"/>
        <w:rPr>
          <w:rFonts w:cs="Poppins"/>
          <w:shd w:val="clear" w:color="auto" w:fill="FFFFFF"/>
        </w:rPr>
      </w:pPr>
    </w:p>
    <w:p w14:paraId="7A329CFB" w14:textId="77777777" w:rsidR="00794E2E" w:rsidRPr="0059754E" w:rsidRDefault="00794E2E" w:rsidP="005F3F87">
      <w:pPr>
        <w:pStyle w:val="ListParagraph"/>
        <w:numPr>
          <w:ilvl w:val="1"/>
          <w:numId w:val="4"/>
        </w:numPr>
        <w:ind w:left="567" w:hanging="567"/>
        <w:rPr>
          <w:rFonts w:cs="Poppins"/>
          <w:shd w:val="clear" w:color="auto" w:fill="FFFFFF"/>
        </w:rPr>
      </w:pPr>
      <w:r>
        <w:t xml:space="preserve">In addition, the </w:t>
      </w:r>
      <w:r w:rsidRPr="00AC3004">
        <w:t>universality of human rights is one of the most important principles codified in international law</w:t>
      </w:r>
      <w:r>
        <w:t>.</w:t>
      </w:r>
      <w:r>
        <w:rPr>
          <w:rStyle w:val="FootnoteReference"/>
        </w:rPr>
        <w:footnoteReference w:id="26"/>
      </w:r>
      <w:r>
        <w:t xml:space="preserve"> It is the central idea of the Universal Declaration of Human Rights and is a foundational aspect of the international human rights system.</w:t>
      </w:r>
      <w:r w:rsidRPr="0087235B">
        <w:rPr>
          <w:rStyle w:val="FootnoteReference"/>
        </w:rPr>
        <w:footnoteReference w:id="27"/>
      </w:r>
      <w:r>
        <w:t xml:space="preserve"> Universality means that human rights instruments are applicable to all persons by virtue of their </w:t>
      </w:r>
      <w:r w:rsidRPr="0087235B">
        <w:t>being human.</w:t>
      </w:r>
      <w:r>
        <w:t xml:space="preserve"> </w:t>
      </w:r>
    </w:p>
    <w:p w14:paraId="02BD3F59" w14:textId="77777777" w:rsidR="00794E2E" w:rsidRDefault="00794E2E" w:rsidP="00C7048F">
      <w:pPr>
        <w:pStyle w:val="ListParagraph"/>
        <w:numPr>
          <w:ilvl w:val="0"/>
          <w:numId w:val="0"/>
        </w:numPr>
        <w:ind w:left="567" w:hanging="567"/>
      </w:pPr>
    </w:p>
    <w:p w14:paraId="3133FE0B" w14:textId="3D177A36" w:rsidR="00794E2E" w:rsidRPr="00103BCF" w:rsidRDefault="00794E2E" w:rsidP="005F3F87">
      <w:pPr>
        <w:pStyle w:val="ListParagraph"/>
        <w:numPr>
          <w:ilvl w:val="1"/>
          <w:numId w:val="4"/>
        </w:numPr>
        <w:ind w:left="567" w:hanging="567"/>
        <w:rPr>
          <w:rFonts w:cs="Poppins"/>
          <w:shd w:val="clear" w:color="auto" w:fill="FFFFFF"/>
        </w:rPr>
      </w:pPr>
      <w:r>
        <w:t xml:space="preserve">The implications of the notwithstanding provisions in the present Bill are particularly significant as they seek to disapply domestic and </w:t>
      </w:r>
      <w:r>
        <w:lastRenderedPageBreak/>
        <w:t xml:space="preserve">international human rights protections in relation to a specific group of people – that is, refugees, asylum seekers and migrants who arrive to the UK through unofficial routes. By targeting individuals that are subject to lesser protection, the current proposals </w:t>
      </w:r>
      <w:r w:rsidR="00841F2E">
        <w:t xml:space="preserve">also </w:t>
      </w:r>
      <w:r>
        <w:t xml:space="preserve">contravene the universality of human rights. </w:t>
      </w:r>
    </w:p>
    <w:p w14:paraId="32A5B521" w14:textId="77777777" w:rsidR="00794E2E" w:rsidRDefault="00794E2E" w:rsidP="00C7048F">
      <w:pPr>
        <w:pStyle w:val="ListParagraph"/>
        <w:numPr>
          <w:ilvl w:val="0"/>
          <w:numId w:val="0"/>
        </w:numPr>
        <w:ind w:left="567" w:hanging="567"/>
      </w:pPr>
    </w:p>
    <w:p w14:paraId="1A228842" w14:textId="76079BEE" w:rsidR="00794E2E" w:rsidRPr="007A7E00" w:rsidRDefault="6147D1D5" w:rsidP="005F3F87">
      <w:pPr>
        <w:pStyle w:val="ListParagraph"/>
        <w:numPr>
          <w:ilvl w:val="1"/>
          <w:numId w:val="4"/>
        </w:numPr>
        <w:ind w:left="567" w:hanging="567"/>
        <w:rPr>
          <w:rFonts w:cs="Poppins"/>
          <w:shd w:val="clear" w:color="auto" w:fill="FFFFFF"/>
        </w:rPr>
      </w:pPr>
      <w:r>
        <w:t xml:space="preserve">Clauses 1 to 3 of the Bill </w:t>
      </w:r>
      <w:r w:rsidR="20971B26">
        <w:t>run contrary to</w:t>
      </w:r>
      <w:r>
        <w:t xml:space="preserve"> international principles and human rights norms upon which the multilateral system is based. In July 2023, the then Foreign Secretary noted that “t</w:t>
      </w:r>
      <w:r w:rsidRPr="00BE021F">
        <w:t>he multilateral system is the bedrock of global peace and prosperity</w:t>
      </w:r>
      <w:r>
        <w:t>” and that “t</w:t>
      </w:r>
      <w:r w:rsidRPr="00BE021F">
        <w:t>he UK pushes back against those who seek to weaken agreed human rights norms and protections in multilateral fora”.</w:t>
      </w:r>
      <w:r w:rsidR="00794E2E" w:rsidRPr="00BE021F">
        <w:rPr>
          <w:rStyle w:val="FootnoteReference"/>
        </w:rPr>
        <w:footnoteReference w:id="28"/>
      </w:r>
      <w:r w:rsidRPr="0087235B">
        <w:t xml:space="preserve"> </w:t>
      </w:r>
      <w:r>
        <w:t>I</w:t>
      </w:r>
      <w:r w:rsidRPr="0087235B">
        <w:t>f enacted,</w:t>
      </w:r>
      <w:r>
        <w:t xml:space="preserve"> this Bill could</w:t>
      </w:r>
      <w:r w:rsidRPr="0087235B">
        <w:t xml:space="preserve"> </w:t>
      </w:r>
      <w:r>
        <w:t>erode</w:t>
      </w:r>
      <w:r w:rsidRPr="0087235B">
        <w:t xml:space="preserve"> </w:t>
      </w:r>
      <w:r>
        <w:t>the UK’s long-standing</w:t>
      </w:r>
      <w:r w:rsidRPr="0087235B">
        <w:t xml:space="preserve"> reputation </w:t>
      </w:r>
      <w:r>
        <w:t xml:space="preserve">of promoting human rights </w:t>
      </w:r>
      <w:r w:rsidRPr="0087235B">
        <w:t>in the international order</w:t>
      </w:r>
      <w:r>
        <w:t xml:space="preserve"> while </w:t>
      </w:r>
      <w:r w:rsidRPr="0087235B">
        <w:t>set</w:t>
      </w:r>
      <w:r>
        <w:t>ting</w:t>
      </w:r>
      <w:r w:rsidRPr="0087235B">
        <w:t xml:space="preserve"> a dangerous precedent </w:t>
      </w:r>
      <w:r>
        <w:t>in</w:t>
      </w:r>
      <w:r w:rsidRPr="0087235B">
        <w:t xml:space="preserve"> the UK’s </w:t>
      </w:r>
      <w:r>
        <w:t xml:space="preserve">domestic </w:t>
      </w:r>
      <w:r w:rsidRPr="0087235B">
        <w:t>human rights framework.</w:t>
      </w:r>
    </w:p>
    <w:p w14:paraId="39D21A94" w14:textId="77777777" w:rsidR="00794E2E" w:rsidRDefault="00794E2E" w:rsidP="00C7048F">
      <w:pPr>
        <w:pStyle w:val="ListParagraph"/>
        <w:numPr>
          <w:ilvl w:val="0"/>
          <w:numId w:val="0"/>
        </w:numPr>
        <w:ind w:left="567" w:hanging="567"/>
        <w:rPr>
          <w:rFonts w:cs="Poppins"/>
          <w:shd w:val="clear" w:color="auto" w:fill="FFFFFF"/>
        </w:rPr>
      </w:pPr>
    </w:p>
    <w:p w14:paraId="2EBA461C" w14:textId="43174D48" w:rsidR="00A77A6D" w:rsidRDefault="6147D1D5" w:rsidP="005F3F87">
      <w:pPr>
        <w:pStyle w:val="ListParagraph"/>
        <w:numPr>
          <w:ilvl w:val="1"/>
          <w:numId w:val="4"/>
        </w:numPr>
        <w:ind w:left="567" w:hanging="567"/>
        <w:rPr>
          <w:rFonts w:cs="Poppins"/>
          <w:b/>
          <w:bCs/>
          <w:shd w:val="clear" w:color="auto" w:fill="FFFFFF"/>
        </w:rPr>
      </w:pPr>
      <w:r w:rsidRPr="007A6CA2">
        <w:rPr>
          <w:rFonts w:cs="Poppins"/>
          <w:b/>
          <w:bCs/>
          <w:shd w:val="clear" w:color="auto" w:fill="FFFFFF"/>
        </w:rPr>
        <w:t xml:space="preserve">The NIHRC </w:t>
      </w:r>
      <w:r w:rsidR="0017729F">
        <w:rPr>
          <w:rFonts w:cs="Poppins"/>
          <w:b/>
          <w:bCs/>
          <w:shd w:val="clear" w:color="auto" w:fill="FFFFFF"/>
        </w:rPr>
        <w:t xml:space="preserve">suggests </w:t>
      </w:r>
      <w:r w:rsidRPr="007A6CA2">
        <w:rPr>
          <w:rFonts w:cs="Poppins"/>
          <w:b/>
          <w:bCs/>
          <w:shd w:val="clear" w:color="auto" w:fill="FFFFFF"/>
        </w:rPr>
        <w:t xml:space="preserve">that </w:t>
      </w:r>
      <w:r w:rsidR="0017729F">
        <w:rPr>
          <w:rFonts w:cs="Poppins"/>
          <w:b/>
          <w:bCs/>
          <w:shd w:val="clear" w:color="auto" w:fill="FFFFFF"/>
        </w:rPr>
        <w:t>the current</w:t>
      </w:r>
      <w:r w:rsidRPr="007A6CA2">
        <w:rPr>
          <w:rFonts w:cs="Poppins"/>
          <w:b/>
          <w:bCs/>
          <w:shd w:val="clear" w:color="auto" w:fill="FFFFFF"/>
        </w:rPr>
        <w:t xml:space="preserve"> relationship between the UK courts, UK Parliament and international law</w:t>
      </w:r>
      <w:r w:rsidR="0017729F">
        <w:rPr>
          <w:rFonts w:cs="Poppins"/>
          <w:b/>
          <w:bCs/>
          <w:shd w:val="clear" w:color="auto" w:fill="FFFFFF"/>
        </w:rPr>
        <w:t xml:space="preserve"> is balanced</w:t>
      </w:r>
      <w:r w:rsidRPr="007A6CA2">
        <w:rPr>
          <w:rFonts w:cs="Poppins"/>
          <w:b/>
          <w:bCs/>
          <w:shd w:val="clear" w:color="auto" w:fill="FFFFFF"/>
        </w:rPr>
        <w:t xml:space="preserve">. The NIHRC </w:t>
      </w:r>
      <w:r w:rsidR="0017729F">
        <w:rPr>
          <w:rFonts w:cs="Poppins"/>
          <w:b/>
          <w:bCs/>
          <w:shd w:val="clear" w:color="auto" w:fill="FFFFFF"/>
        </w:rPr>
        <w:t>advises that this</w:t>
      </w:r>
      <w:r w:rsidRPr="007A6CA2">
        <w:rPr>
          <w:rFonts w:cs="Poppins"/>
          <w:b/>
          <w:bCs/>
          <w:shd w:val="clear" w:color="auto" w:fill="FFFFFF"/>
        </w:rPr>
        <w:t xml:space="preserve"> Bill</w:t>
      </w:r>
      <w:r w:rsidR="116A9E2E" w:rsidRPr="002949FA">
        <w:rPr>
          <w:rFonts w:cs="Poppins"/>
          <w:b/>
          <w:bCs/>
          <w:shd w:val="clear" w:color="auto" w:fill="FFFFFF"/>
        </w:rPr>
        <w:t xml:space="preserve"> </w:t>
      </w:r>
      <w:r w:rsidR="0017729F">
        <w:rPr>
          <w:rFonts w:cs="Poppins"/>
          <w:b/>
          <w:bCs/>
          <w:shd w:val="clear" w:color="auto" w:fill="FFFFFF"/>
        </w:rPr>
        <w:t xml:space="preserve">will create an imbalance. </w:t>
      </w:r>
      <w:r w:rsidR="0017729F">
        <w:rPr>
          <w:rFonts w:cs="Segoe UI"/>
          <w:b/>
          <w:bCs/>
          <w:color w:val="000000"/>
          <w:shd w:val="clear" w:color="auto" w:fill="FFFFFF"/>
        </w:rPr>
        <w:t>It</w:t>
      </w:r>
      <w:r w:rsidR="116A9E2E" w:rsidRPr="002949FA">
        <w:rPr>
          <w:rFonts w:cs="Segoe UI"/>
          <w:b/>
          <w:bCs/>
          <w:color w:val="000000"/>
          <w:shd w:val="clear" w:color="auto" w:fill="FFFFFF"/>
        </w:rPr>
        <w:t xml:space="preserve"> </w:t>
      </w:r>
      <w:r w:rsidR="0017729F">
        <w:rPr>
          <w:rFonts w:cs="Segoe UI"/>
          <w:b/>
          <w:bCs/>
          <w:color w:val="000000"/>
          <w:shd w:val="clear" w:color="auto" w:fill="FFFFFF"/>
        </w:rPr>
        <w:t xml:space="preserve">will, deliberately, </w:t>
      </w:r>
      <w:r w:rsidR="116A9E2E" w:rsidRPr="002949FA">
        <w:rPr>
          <w:rFonts w:cs="Segoe UI"/>
          <w:b/>
          <w:bCs/>
          <w:color w:val="000000"/>
          <w:shd w:val="clear" w:color="auto" w:fill="FFFFFF"/>
        </w:rPr>
        <w:t>abdicate responsibilit</w:t>
      </w:r>
      <w:r w:rsidR="0017729F">
        <w:rPr>
          <w:rFonts w:cs="Segoe UI"/>
          <w:b/>
          <w:bCs/>
          <w:color w:val="000000"/>
          <w:shd w:val="clear" w:color="auto" w:fill="FFFFFF"/>
        </w:rPr>
        <w:t>y</w:t>
      </w:r>
      <w:r w:rsidR="116A9E2E" w:rsidRPr="002949FA">
        <w:rPr>
          <w:rFonts w:cs="Segoe UI"/>
          <w:b/>
          <w:bCs/>
          <w:color w:val="000000"/>
          <w:shd w:val="clear" w:color="auto" w:fill="FFFFFF"/>
        </w:rPr>
        <w:t xml:space="preserve"> under the 1951 Refugee Convention</w:t>
      </w:r>
      <w:r w:rsidR="768D6B9C">
        <w:rPr>
          <w:rFonts w:cs="Segoe UI"/>
          <w:b/>
          <w:bCs/>
          <w:color w:val="000000"/>
          <w:shd w:val="clear" w:color="auto" w:fill="FFFFFF"/>
        </w:rPr>
        <w:t xml:space="preserve">, </w:t>
      </w:r>
      <w:r w:rsidR="116A9E2E" w:rsidRPr="002949FA">
        <w:rPr>
          <w:rFonts w:cs="Segoe UI"/>
          <w:b/>
          <w:bCs/>
          <w:color w:val="000000"/>
          <w:shd w:val="clear" w:color="auto" w:fill="FFFFFF"/>
        </w:rPr>
        <w:t>threaten the international refugee protection regime</w:t>
      </w:r>
      <w:r w:rsidR="768D6B9C">
        <w:rPr>
          <w:rFonts w:cs="Segoe UI"/>
          <w:b/>
          <w:bCs/>
          <w:color w:val="000000"/>
          <w:shd w:val="clear" w:color="auto" w:fill="FFFFFF"/>
        </w:rPr>
        <w:t xml:space="preserve"> and</w:t>
      </w:r>
      <w:r w:rsidR="688D7E12">
        <w:rPr>
          <w:rFonts w:cs="Segoe UI"/>
          <w:b/>
          <w:bCs/>
          <w:color w:val="000000"/>
          <w:shd w:val="clear" w:color="auto" w:fill="FFFFFF"/>
        </w:rPr>
        <w:t xml:space="preserve"> </w:t>
      </w:r>
      <w:r w:rsidR="0017729F">
        <w:rPr>
          <w:rFonts w:cs="Segoe UI"/>
          <w:b/>
          <w:bCs/>
          <w:color w:val="000000"/>
          <w:shd w:val="clear" w:color="auto" w:fill="FFFFFF"/>
        </w:rPr>
        <w:t xml:space="preserve">risk the erosion of </w:t>
      </w:r>
      <w:r w:rsidR="685252A7">
        <w:rPr>
          <w:rFonts w:cs="Segoe UI"/>
          <w:b/>
          <w:bCs/>
          <w:color w:val="000000"/>
          <w:shd w:val="clear" w:color="auto" w:fill="FFFFFF"/>
        </w:rPr>
        <w:t xml:space="preserve">the UK’s </w:t>
      </w:r>
      <w:r w:rsidR="0017729F">
        <w:rPr>
          <w:rFonts w:cs="Segoe UI"/>
          <w:b/>
          <w:bCs/>
          <w:color w:val="000000"/>
          <w:shd w:val="clear" w:color="auto" w:fill="FFFFFF"/>
        </w:rPr>
        <w:t xml:space="preserve">standing and ability to collaborate </w:t>
      </w:r>
      <w:r w:rsidR="685252A7">
        <w:rPr>
          <w:rFonts w:cs="Segoe UI"/>
          <w:b/>
          <w:bCs/>
          <w:color w:val="000000"/>
          <w:shd w:val="clear" w:color="auto" w:fill="FFFFFF"/>
        </w:rPr>
        <w:t>in the multilateral system</w:t>
      </w:r>
      <w:r w:rsidR="116A9E2E" w:rsidRPr="002949FA">
        <w:rPr>
          <w:rFonts w:cs="Segoe UI"/>
          <w:b/>
          <w:bCs/>
          <w:color w:val="000000"/>
          <w:shd w:val="clear" w:color="auto" w:fill="FFFFFF"/>
        </w:rPr>
        <w:t>.</w:t>
      </w:r>
      <w:r w:rsidRPr="007A6CA2">
        <w:rPr>
          <w:rFonts w:cs="Poppins"/>
          <w:b/>
          <w:bCs/>
          <w:shd w:val="clear" w:color="auto" w:fill="FFFFFF"/>
        </w:rPr>
        <w:t xml:space="preserve"> </w:t>
      </w:r>
    </w:p>
    <w:p w14:paraId="711CF6E9" w14:textId="77777777" w:rsidR="004635DA" w:rsidRPr="004635DA" w:rsidRDefault="004635DA" w:rsidP="004635DA">
      <w:pPr>
        <w:pStyle w:val="ListParagraph"/>
        <w:numPr>
          <w:ilvl w:val="1"/>
          <w:numId w:val="0"/>
        </w:numPr>
        <w:rPr>
          <w:rFonts w:cs="Poppins"/>
          <w:b/>
          <w:bCs/>
          <w:shd w:val="clear" w:color="auto" w:fill="FFFFFF"/>
        </w:rPr>
      </w:pPr>
    </w:p>
    <w:p w14:paraId="6A3DB80A" w14:textId="0452A537" w:rsidR="157CE772" w:rsidRDefault="157CE772" w:rsidP="157CE772">
      <w:pPr>
        <w:rPr>
          <w:rFonts w:cs="Poppins"/>
          <w:b/>
          <w:bCs/>
        </w:rPr>
      </w:pPr>
    </w:p>
    <w:p w14:paraId="518389E3" w14:textId="5F3ED6BC" w:rsidR="157CE772" w:rsidRDefault="157CE772" w:rsidP="157CE772">
      <w:pPr>
        <w:rPr>
          <w:rFonts w:cs="Poppins"/>
          <w:b/>
          <w:bCs/>
        </w:rPr>
      </w:pPr>
    </w:p>
    <w:p w14:paraId="406FB866" w14:textId="77777777" w:rsidR="00411EEB" w:rsidRPr="00411EEB" w:rsidRDefault="00411EEB" w:rsidP="00411EEB">
      <w:pPr>
        <w:rPr>
          <w:rFonts w:cs="Poppins"/>
          <w:b/>
          <w:bCs/>
          <w:shd w:val="clear" w:color="auto" w:fill="FFFFFF"/>
        </w:rPr>
      </w:pPr>
      <w:r w:rsidRPr="00411EEB">
        <w:rPr>
          <w:rFonts w:cs="Poppins"/>
          <w:b/>
          <w:bCs/>
          <w:shd w:val="clear" w:color="auto" w:fill="FFFFFF"/>
        </w:rPr>
        <w:t>Clause 1 and Windsor Framework Article 2</w:t>
      </w:r>
    </w:p>
    <w:p w14:paraId="02CA56A5" w14:textId="77777777" w:rsidR="008208F5" w:rsidRDefault="008208F5" w:rsidP="008208F5">
      <w:pPr>
        <w:pStyle w:val="ListParagraph"/>
        <w:numPr>
          <w:ilvl w:val="0"/>
          <w:numId w:val="0"/>
        </w:numPr>
        <w:ind w:left="567"/>
        <w:rPr>
          <w:rFonts w:cs="Poppins"/>
          <w:b/>
          <w:bCs/>
          <w:shd w:val="clear" w:color="auto" w:fill="FFFFFF"/>
        </w:rPr>
      </w:pPr>
    </w:p>
    <w:p w14:paraId="46ECC216" w14:textId="045085BB" w:rsidR="000A6AA1" w:rsidRPr="000A6AA1" w:rsidRDefault="000A6AA1" w:rsidP="02EEB020">
      <w:pPr>
        <w:pStyle w:val="ListParagraph"/>
        <w:widowControl w:val="0"/>
        <w:numPr>
          <w:ilvl w:val="1"/>
          <w:numId w:val="4"/>
        </w:numPr>
        <w:autoSpaceDE w:val="0"/>
        <w:spacing w:before="0" w:after="0"/>
        <w:ind w:left="709"/>
        <w:jc w:val="left"/>
        <w:textAlignment w:val="center"/>
      </w:pPr>
      <w:r w:rsidRPr="000A6AA1">
        <w:t xml:space="preserve">Clause 1(5) defines "safe country" as a country to which persons may be removed from the UK in compliance with the UK's obligations under international law. </w:t>
      </w:r>
      <w:r w:rsidR="00411EEB">
        <w:t xml:space="preserve">Further to the </w:t>
      </w:r>
      <w:r w:rsidR="0015175C">
        <w:t xml:space="preserve">advice above, </w:t>
      </w:r>
      <w:r w:rsidR="0015175C" w:rsidRPr="000A6AA1">
        <w:t xml:space="preserve">Windsor Framework Article 2 </w:t>
      </w:r>
      <w:r w:rsidR="0015175C">
        <w:t xml:space="preserve">creates a particular </w:t>
      </w:r>
      <w:r w:rsidRPr="000A6AA1">
        <w:t>international obligation</w:t>
      </w:r>
      <w:r w:rsidR="0016156D">
        <w:t xml:space="preserve"> by virtue of which </w:t>
      </w:r>
      <w:r w:rsidRPr="000A6AA1">
        <w:t xml:space="preserve">a safe third country must be considered </w:t>
      </w:r>
      <w:proofErr w:type="gramStart"/>
      <w:r w:rsidRPr="000A6AA1">
        <w:t>in light of</w:t>
      </w:r>
      <w:proofErr w:type="gramEnd"/>
      <w:r w:rsidRPr="000A6AA1">
        <w:t xml:space="preserve"> minimum EU standards binding on the UK before Brexit. These include EU Procedures Directive Article 27 (</w:t>
      </w:r>
      <w:r w:rsidR="002E3295">
        <w:t xml:space="preserve">the </w:t>
      </w:r>
      <w:r w:rsidRPr="000A6AA1">
        <w:t xml:space="preserve">safe third country concept) which, among other things, requires a connection between the person seeking asylum and the third </w:t>
      </w:r>
      <w:r w:rsidRPr="000A6AA1">
        <w:lastRenderedPageBreak/>
        <w:t>country concerned, such that “it is reasonable for that person to go to that country.”</w:t>
      </w:r>
      <w:r w:rsidRPr="000A6AA1">
        <w:rPr>
          <w:rStyle w:val="FootnoteReference"/>
        </w:rPr>
        <w:footnoteReference w:id="29"/>
      </w:r>
      <w:r w:rsidR="00653A22">
        <w:t xml:space="preserve"> </w:t>
      </w:r>
      <w:r w:rsidR="00394B88">
        <w:t xml:space="preserve">Article 27 also </w:t>
      </w:r>
      <w:r w:rsidR="00261959">
        <w:t xml:space="preserve">requires that </w:t>
      </w:r>
      <w:r w:rsidR="00F239E8">
        <w:t xml:space="preserve">the </w:t>
      </w:r>
      <w:r w:rsidR="009C53B8">
        <w:t xml:space="preserve">application of the </w:t>
      </w:r>
      <w:r w:rsidR="00F239E8">
        <w:t>safe thi</w:t>
      </w:r>
      <w:r w:rsidR="005C3965">
        <w:t xml:space="preserve">rd country concept </w:t>
      </w:r>
      <w:r w:rsidR="00356988">
        <w:t xml:space="preserve">shall be subject to </w:t>
      </w:r>
      <w:r w:rsidR="009C53B8">
        <w:t xml:space="preserve">a process set out in legislation </w:t>
      </w:r>
      <w:r w:rsidR="001E7B21">
        <w:t xml:space="preserve">and </w:t>
      </w:r>
      <w:r w:rsidR="00760403">
        <w:t xml:space="preserve">only </w:t>
      </w:r>
      <w:r w:rsidR="00E41BDA">
        <w:t xml:space="preserve">be applied </w:t>
      </w:r>
      <w:r w:rsidR="00760403">
        <w:t xml:space="preserve">where </w:t>
      </w:r>
      <w:r w:rsidR="006C130F">
        <w:t xml:space="preserve">the </w:t>
      </w:r>
      <w:r w:rsidR="00055351">
        <w:t xml:space="preserve">authorities are satisfied that </w:t>
      </w:r>
      <w:r w:rsidR="007478DA">
        <w:t xml:space="preserve">persons seeking asylum will be treated in accordance with </w:t>
      </w:r>
      <w:r w:rsidR="00055351">
        <w:t xml:space="preserve">specified </w:t>
      </w:r>
      <w:r w:rsidR="00530CF6">
        <w:t xml:space="preserve">human rights </w:t>
      </w:r>
      <w:r w:rsidR="00055351">
        <w:t>principles</w:t>
      </w:r>
      <w:r w:rsidR="00FD7423">
        <w:t>.</w:t>
      </w:r>
      <w:r w:rsidR="007035A0">
        <w:rPr>
          <w:rStyle w:val="FootnoteReference"/>
        </w:rPr>
        <w:footnoteReference w:id="30"/>
      </w:r>
    </w:p>
    <w:p w14:paraId="03DE9E69" w14:textId="77777777" w:rsidR="000A6AA1" w:rsidRPr="000A6AA1" w:rsidRDefault="000A6AA1" w:rsidP="000A6AA1">
      <w:pPr>
        <w:pStyle w:val="ListParagraph"/>
        <w:numPr>
          <w:ilvl w:val="0"/>
          <w:numId w:val="0"/>
        </w:numPr>
        <w:ind w:left="709"/>
      </w:pPr>
    </w:p>
    <w:p w14:paraId="1CC63126" w14:textId="58C55294" w:rsidR="00DA4985" w:rsidRPr="00550006" w:rsidRDefault="000A6AA1" w:rsidP="005F3F87">
      <w:pPr>
        <w:pStyle w:val="ListParagraph"/>
        <w:numPr>
          <w:ilvl w:val="1"/>
          <w:numId w:val="4"/>
        </w:numPr>
        <w:ind w:left="709"/>
        <w:rPr>
          <w:rFonts w:cs="Poppins"/>
          <w:shd w:val="clear" w:color="auto" w:fill="FFFFFF"/>
        </w:rPr>
      </w:pPr>
      <w:r w:rsidRPr="000A6AA1">
        <w:t xml:space="preserve">There is </w:t>
      </w:r>
      <w:r w:rsidR="0017729F">
        <w:t xml:space="preserve">obvious internal </w:t>
      </w:r>
      <w:r w:rsidRPr="000A6AA1">
        <w:t>tension between clause 1 (5)</w:t>
      </w:r>
      <w:r w:rsidR="0017729F">
        <w:t>,</w:t>
      </w:r>
      <w:r w:rsidRPr="000A6AA1">
        <w:t xml:space="preserve"> where “safe country” </w:t>
      </w:r>
      <w:r w:rsidR="0017729F">
        <w:t xml:space="preserve">is </w:t>
      </w:r>
      <w:r w:rsidRPr="000A6AA1">
        <w:t xml:space="preserve">defined in terms of international law, </w:t>
      </w:r>
      <w:r w:rsidR="0017729F">
        <w:t xml:space="preserve">and clause 1(4), in which the </w:t>
      </w:r>
      <w:r w:rsidRPr="000A6AA1">
        <w:t xml:space="preserve">validity of an Act </w:t>
      </w:r>
      <w:r w:rsidR="0017729F">
        <w:t xml:space="preserve">will be </w:t>
      </w:r>
      <w:r w:rsidRPr="000A6AA1">
        <w:t>unaffected by international law. In this context it is worth noting that the Windsor Framework Article 2, as part of the UK EU Withdrawal Agreement</w:t>
      </w:r>
      <w:r w:rsidR="0017729F">
        <w:t>,</w:t>
      </w:r>
      <w:r w:rsidRPr="000A6AA1">
        <w:t xml:space="preserve"> is incorporated into domestic law via section 7A of the EU (Withdrawal) Act 2018 which provides for its own primacy over other enactments</w:t>
      </w:r>
      <w:r w:rsidR="00A655FC">
        <w:t xml:space="preserve"> as discussed further below</w:t>
      </w:r>
      <w:r w:rsidRPr="000A6AA1">
        <w:t>.</w:t>
      </w:r>
    </w:p>
    <w:p w14:paraId="3BE1A66C" w14:textId="2958A0D8" w:rsidR="00A77A6D" w:rsidRPr="00A77A6D" w:rsidRDefault="006E2FE0" w:rsidP="005F3F87">
      <w:pPr>
        <w:pStyle w:val="Heading1"/>
        <w:numPr>
          <w:ilvl w:val="0"/>
          <w:numId w:val="10"/>
        </w:numPr>
        <w:spacing w:line="276" w:lineRule="auto"/>
        <w:jc w:val="left"/>
      </w:pPr>
      <w:bookmarkStart w:id="10" w:name="_Toc156823317"/>
      <w:r>
        <w:t>Clause 2: Safety of Rwanda</w:t>
      </w:r>
      <w:bookmarkEnd w:id="10"/>
    </w:p>
    <w:p w14:paraId="0F8D9D39" w14:textId="77777777" w:rsidR="00794E2E" w:rsidRPr="00794E2E" w:rsidRDefault="00794E2E" w:rsidP="00794E2E">
      <w:pPr>
        <w:pStyle w:val="ListParagraph"/>
        <w:numPr>
          <w:ilvl w:val="0"/>
          <w:numId w:val="0"/>
        </w:numPr>
        <w:rPr>
          <w:rFonts w:cs="Poppins"/>
          <w:b/>
          <w:bCs/>
          <w:shd w:val="clear" w:color="auto" w:fill="FFFFFF"/>
        </w:rPr>
      </w:pPr>
    </w:p>
    <w:p w14:paraId="318E6C5A" w14:textId="4CCF0381" w:rsidR="00315D52" w:rsidRDefault="00315D52" w:rsidP="005F3F87">
      <w:pPr>
        <w:pStyle w:val="ListParagraph"/>
        <w:numPr>
          <w:ilvl w:val="1"/>
          <w:numId w:val="10"/>
        </w:numPr>
        <w:ind w:left="709" w:hanging="709"/>
      </w:pPr>
      <w:r>
        <w:t xml:space="preserve">Clause 2 of the Bill requires every decision-maker, including courts and tribunals, to “conclusively treat the Republic of Rwanda as a safe country” when deciding whether to remove a person under the </w:t>
      </w:r>
      <w:r w:rsidR="009B2992">
        <w:t>Imm</w:t>
      </w:r>
      <w:r>
        <w:t>igration Act</w:t>
      </w:r>
      <w:r w:rsidR="009B2992">
        <w:t>s</w:t>
      </w:r>
      <w:r>
        <w:t xml:space="preserve">. Clause 2(3) states that no court or tribunal may consider a review of or appeal against such a decision where it is brought on the grounds that Rwanda is not a safe country. </w:t>
      </w:r>
    </w:p>
    <w:p w14:paraId="3DABB423" w14:textId="77777777" w:rsidR="00615ADC" w:rsidRDefault="00615ADC" w:rsidP="00615ADC">
      <w:pPr>
        <w:pStyle w:val="ListParagraph"/>
        <w:numPr>
          <w:ilvl w:val="0"/>
          <w:numId w:val="0"/>
        </w:numPr>
        <w:ind w:left="709"/>
      </w:pPr>
    </w:p>
    <w:p w14:paraId="453A4A22" w14:textId="29000658" w:rsidR="00876F18" w:rsidRDefault="00615ADC" w:rsidP="005F3F87">
      <w:pPr>
        <w:pStyle w:val="ListParagraph"/>
        <w:numPr>
          <w:ilvl w:val="1"/>
          <w:numId w:val="10"/>
        </w:numPr>
        <w:ind w:left="709" w:hanging="709"/>
      </w:pPr>
      <w:r>
        <w:t xml:space="preserve">Clause 2(4) </w:t>
      </w:r>
      <w:r w:rsidR="00425FD9">
        <w:t xml:space="preserve">provides </w:t>
      </w:r>
      <w:r>
        <w:t>that a court or tribunal “must not consider”: (a) any claim that Rwanda will or may remove a person to another State in contravention of any of its international obligations (including under the 1951 Refugee Convention); (b) whether an individual will not “receive fair and proper consideration” of their asylum claim in Rwanda; or (c) whether Rwanda will not comply with the new treaty.</w:t>
      </w:r>
    </w:p>
    <w:p w14:paraId="43CBC376" w14:textId="77777777" w:rsidR="00315D52" w:rsidRDefault="00315D52" w:rsidP="00315D52">
      <w:pPr>
        <w:pStyle w:val="ListParagraph"/>
        <w:numPr>
          <w:ilvl w:val="0"/>
          <w:numId w:val="0"/>
        </w:numPr>
        <w:ind w:left="709"/>
      </w:pPr>
    </w:p>
    <w:p w14:paraId="5F46B3A9" w14:textId="77777777" w:rsidR="00315D52" w:rsidRDefault="00315D52" w:rsidP="005F3F87">
      <w:pPr>
        <w:pStyle w:val="ListParagraph"/>
        <w:numPr>
          <w:ilvl w:val="1"/>
          <w:numId w:val="10"/>
        </w:numPr>
        <w:ind w:left="709" w:hanging="709"/>
      </w:pPr>
      <w:r w:rsidRPr="002051DB">
        <w:t xml:space="preserve">Significantly, </w:t>
      </w:r>
      <w:r>
        <w:t>clause 2</w:t>
      </w:r>
      <w:r w:rsidRPr="002051DB">
        <w:t xml:space="preserve"> would apply “notwithstanding” any other provision of domestic immigration law, any other rule or provision of domestic law, including common law, the Human Rights Act (to the </w:t>
      </w:r>
      <w:r w:rsidRPr="002051DB">
        <w:lastRenderedPageBreak/>
        <w:t>extent disapplied) or “any interpretation of international law by the court or tribunal”.</w:t>
      </w:r>
      <w:r w:rsidRPr="002051DB">
        <w:rPr>
          <w:rStyle w:val="FootnoteReference"/>
        </w:rPr>
        <w:footnoteReference w:id="31"/>
      </w:r>
      <w:r w:rsidRPr="002051DB">
        <w:t xml:space="preserve"> </w:t>
      </w:r>
    </w:p>
    <w:p w14:paraId="7E844D2B" w14:textId="77777777" w:rsidR="00BF775B" w:rsidRDefault="00BF775B" w:rsidP="00BF775B">
      <w:pPr>
        <w:pStyle w:val="ListParagraph"/>
        <w:numPr>
          <w:ilvl w:val="0"/>
          <w:numId w:val="0"/>
        </w:numPr>
      </w:pPr>
    </w:p>
    <w:p w14:paraId="7C6E9A0C" w14:textId="3884A72F" w:rsidR="00BF775B" w:rsidRDefault="6E97EAB6" w:rsidP="005F3F87">
      <w:pPr>
        <w:pStyle w:val="ListParagraph"/>
        <w:numPr>
          <w:ilvl w:val="1"/>
          <w:numId w:val="10"/>
        </w:numPr>
        <w:ind w:left="709" w:hanging="709"/>
      </w:pPr>
      <w:r>
        <w:t xml:space="preserve">In considering clause 2 </w:t>
      </w:r>
      <w:r w:rsidR="00425FD9">
        <w:t xml:space="preserve">it must be recalled </w:t>
      </w:r>
      <w:r>
        <w:t>th</w:t>
      </w:r>
      <w:r w:rsidR="2CC0D6D7">
        <w:t>at</w:t>
      </w:r>
      <w:r>
        <w:t xml:space="preserve"> </w:t>
      </w:r>
      <w:r w:rsidR="633188D9">
        <w:t>i</w:t>
      </w:r>
      <w:r w:rsidR="00BF775B">
        <w:t xml:space="preserve">n November 2023 the UK Supreme Court held </w:t>
      </w:r>
      <w:r w:rsidR="00425FD9">
        <w:t xml:space="preserve">unanimously </w:t>
      </w:r>
      <w:r w:rsidR="00BF775B" w:rsidRPr="0087710D">
        <w:t>that</w:t>
      </w:r>
      <w:r w:rsidR="00BF775B">
        <w:t xml:space="preserve"> </w:t>
      </w:r>
      <w:r w:rsidR="00F30E29">
        <w:t xml:space="preserve">Rwanda </w:t>
      </w:r>
      <w:r w:rsidR="00425FD9">
        <w:t xml:space="preserve">was </w:t>
      </w:r>
      <w:r w:rsidR="00F30E29">
        <w:t xml:space="preserve">not a safe third country </w:t>
      </w:r>
      <w:r w:rsidR="00BF775B" w:rsidRPr="0087710D">
        <w:t>for the transfer and processing of asylum seekers</w:t>
      </w:r>
      <w:r w:rsidR="00BF775B" w:rsidRPr="008225FC">
        <w:t>.</w:t>
      </w:r>
      <w:r w:rsidR="00BF775B">
        <w:rPr>
          <w:rStyle w:val="FootnoteReference"/>
        </w:rPr>
        <w:footnoteReference w:id="32"/>
      </w:r>
      <w:r w:rsidR="00BF775B">
        <w:t xml:space="preserve"> The</w:t>
      </w:r>
      <w:r w:rsidR="00BF775B" w:rsidRPr="003D681F">
        <w:t xml:space="preserve"> </w:t>
      </w:r>
      <w:r w:rsidR="00BF775B">
        <w:t>Supreme Court</w:t>
      </w:r>
      <w:r w:rsidR="00BF775B" w:rsidRPr="003D681F">
        <w:t xml:space="preserve"> identified a range of </w:t>
      </w:r>
      <w:r w:rsidR="00425FD9">
        <w:t>factors</w:t>
      </w:r>
      <w:r w:rsidR="00BF775B">
        <w:t>, including</w:t>
      </w:r>
      <w:r w:rsidR="00BF775B" w:rsidRPr="003D681F">
        <w:t xml:space="preserve"> </w:t>
      </w:r>
      <w:r w:rsidR="00425FD9">
        <w:t xml:space="preserve">well evidenced </w:t>
      </w:r>
      <w:r w:rsidR="00BF775B">
        <w:t>shortcomings in Rwanda’s compliance with its international human rights obligations, particularly UN CAT and ICCPR;</w:t>
      </w:r>
      <w:r w:rsidR="00BF775B">
        <w:rPr>
          <w:rStyle w:val="FootnoteReference"/>
        </w:rPr>
        <w:footnoteReference w:id="33"/>
      </w:r>
      <w:r w:rsidR="00BF775B">
        <w:t xml:space="preserve"> Rwanda’s poor human rights record;</w:t>
      </w:r>
      <w:r w:rsidR="00BF775B">
        <w:rPr>
          <w:rStyle w:val="FootnoteReference"/>
        </w:rPr>
        <w:footnoteReference w:id="34"/>
      </w:r>
      <w:r w:rsidR="00BF775B">
        <w:t xml:space="preserve"> </w:t>
      </w:r>
      <w:r w:rsidR="00BF775B" w:rsidRPr="003D681F">
        <w:t>defects in its procedures and institutions for processing asylum claims</w:t>
      </w:r>
      <w:r w:rsidR="00BF775B">
        <w:t>;</w:t>
      </w:r>
      <w:r w:rsidR="00BF775B">
        <w:rPr>
          <w:rStyle w:val="FootnoteReference"/>
        </w:rPr>
        <w:footnoteReference w:id="35"/>
      </w:r>
      <w:r w:rsidR="00BF775B" w:rsidRPr="003D681F">
        <w:t xml:space="preserve"> </w:t>
      </w:r>
      <w:r w:rsidR="00BF775B">
        <w:t>unreliable access to an effective right to appeal;</w:t>
      </w:r>
      <w:r w:rsidR="00BF775B">
        <w:rPr>
          <w:rStyle w:val="FootnoteReference"/>
        </w:rPr>
        <w:footnoteReference w:id="36"/>
      </w:r>
      <w:r w:rsidR="00BF775B">
        <w:t xml:space="preserve"> a lack of independence in the legal system, particularly in politically sensitive cases;</w:t>
      </w:r>
      <w:r w:rsidR="00BF775B">
        <w:rPr>
          <w:rStyle w:val="FootnoteReference"/>
        </w:rPr>
        <w:footnoteReference w:id="37"/>
      </w:r>
      <w:r w:rsidR="00BF775B">
        <w:t xml:space="preserve"> </w:t>
      </w:r>
      <w:r w:rsidR="00BF775B" w:rsidRPr="005167E5">
        <w:t>a</w:t>
      </w:r>
      <w:r w:rsidR="00BF775B">
        <w:t xml:space="preserve"> “</w:t>
      </w:r>
      <w:r w:rsidR="00BF775B" w:rsidRPr="005167E5">
        <w:t>surprisingly high rejection rate for claimants from known conflict zones</w:t>
      </w:r>
      <w:r w:rsidR="00BF775B">
        <w:t>”;</w:t>
      </w:r>
      <w:r w:rsidR="00BF775B">
        <w:rPr>
          <w:rStyle w:val="FootnoteReference"/>
        </w:rPr>
        <w:footnoteReference w:id="38"/>
      </w:r>
      <w:r w:rsidR="00BF775B" w:rsidRPr="003D681F">
        <w:t xml:space="preserve"> </w:t>
      </w:r>
      <w:r w:rsidR="00BF775B">
        <w:t xml:space="preserve">Rwanda’s past history </w:t>
      </w:r>
      <w:r w:rsidR="00425FD9">
        <w:t xml:space="preserve">with breach of the principle of  </w:t>
      </w:r>
      <w:r w:rsidR="00BF775B">
        <w:t>non-refoulement</w:t>
      </w:r>
      <w:r w:rsidR="00425FD9">
        <w:t>;</w:t>
      </w:r>
      <w:r w:rsidR="00BF775B">
        <w:t xml:space="preserve"> and</w:t>
      </w:r>
      <w:r w:rsidR="00425FD9">
        <w:t>,</w:t>
      </w:r>
      <w:r w:rsidR="00BF775B">
        <w:t xml:space="preserve"> </w:t>
      </w:r>
      <w:r w:rsidR="00425FD9">
        <w:t xml:space="preserve">its </w:t>
      </w:r>
      <w:r w:rsidR="00BF775B">
        <w:t>fail</w:t>
      </w:r>
      <w:r w:rsidR="00425FD9">
        <w:t xml:space="preserve">ure </w:t>
      </w:r>
      <w:r w:rsidR="00BF775B">
        <w:t xml:space="preserve">to comply with assurances in </w:t>
      </w:r>
      <w:r w:rsidR="00BF775B" w:rsidRPr="003D681F">
        <w:t>a</w:t>
      </w:r>
      <w:r w:rsidR="00BF775B">
        <w:t xml:space="preserve">n analogous </w:t>
      </w:r>
      <w:r w:rsidR="00BF775B" w:rsidRPr="003D681F">
        <w:t>agreement with Israel</w:t>
      </w:r>
      <w:r w:rsidR="00BF775B">
        <w:t>.</w:t>
      </w:r>
      <w:r w:rsidR="00BF775B">
        <w:rPr>
          <w:rStyle w:val="FootnoteReference"/>
        </w:rPr>
        <w:footnoteReference w:id="39"/>
      </w:r>
      <w:r w:rsidR="00BF775B">
        <w:t xml:space="preserve"> </w:t>
      </w:r>
    </w:p>
    <w:p w14:paraId="3A18B233" w14:textId="77777777" w:rsidR="00BF775B" w:rsidRDefault="00BF775B" w:rsidP="00BF775B">
      <w:pPr>
        <w:pStyle w:val="ListParagraph"/>
        <w:numPr>
          <w:ilvl w:val="0"/>
          <w:numId w:val="0"/>
        </w:numPr>
        <w:ind w:left="709"/>
      </w:pPr>
    </w:p>
    <w:p w14:paraId="60792179" w14:textId="001AA4EF" w:rsidR="00BF775B" w:rsidRDefault="3B53EF5C" w:rsidP="005F3F87">
      <w:pPr>
        <w:pStyle w:val="ListParagraph"/>
        <w:numPr>
          <w:ilvl w:val="1"/>
          <w:numId w:val="10"/>
        </w:numPr>
        <w:ind w:left="709" w:hanging="709"/>
      </w:pPr>
      <w:r>
        <w:t>In addition</w:t>
      </w:r>
      <w:r w:rsidR="6ED670F1">
        <w:t>,</w:t>
      </w:r>
      <w:r>
        <w:t xml:space="preserve"> the Supreme Court </w:t>
      </w:r>
      <w:r w:rsidR="00425FD9">
        <w:t xml:space="preserve">took note of </w:t>
      </w:r>
      <w:r w:rsidR="00BF775B">
        <w:t>a serious incident in 2018 whe</w:t>
      </w:r>
      <w:r w:rsidR="000F71C6">
        <w:t>n</w:t>
      </w:r>
      <w:r w:rsidR="00BF775B">
        <w:t xml:space="preserve"> “</w:t>
      </w:r>
      <w:r w:rsidR="00BF775B" w:rsidRPr="003A2578">
        <w:t>the Rwandan police fired live ammunition at refugees protesting over cuts to food rations, killing at least 12 people</w:t>
      </w:r>
      <w:r w:rsidR="00BF775B">
        <w:t>”.</w:t>
      </w:r>
      <w:r w:rsidR="00452F06">
        <w:rPr>
          <w:rStyle w:val="FootnoteReference"/>
        </w:rPr>
        <w:footnoteReference w:id="40"/>
      </w:r>
    </w:p>
    <w:p w14:paraId="2205FBB8" w14:textId="77777777" w:rsidR="00BF775B" w:rsidRDefault="00BF775B" w:rsidP="00BF775B">
      <w:pPr>
        <w:pStyle w:val="ListParagraph"/>
        <w:numPr>
          <w:ilvl w:val="0"/>
          <w:numId w:val="0"/>
        </w:numPr>
      </w:pPr>
    </w:p>
    <w:p w14:paraId="65964681" w14:textId="74A3717D" w:rsidR="00BF775B" w:rsidRDefault="7A379E49" w:rsidP="005F3F87">
      <w:pPr>
        <w:pStyle w:val="ListParagraph"/>
        <w:numPr>
          <w:ilvl w:val="1"/>
          <w:numId w:val="10"/>
        </w:numPr>
        <w:ind w:left="709" w:hanging="709"/>
        <w:rPr>
          <w:rFonts w:eastAsia="Times New Roman"/>
        </w:rPr>
      </w:pPr>
      <w:r>
        <w:t>At the international level the UN CAT Committee and the UN Human Rights Committee have both raised</w:t>
      </w:r>
      <w:r w:rsidR="000F71C6">
        <w:t>,</w:t>
      </w:r>
      <w:r>
        <w:t xml:space="preserve"> </w:t>
      </w:r>
      <w:r w:rsidR="000F71C6">
        <w:t xml:space="preserve">in their most recent Concluding Observations, </w:t>
      </w:r>
      <w:r>
        <w:t xml:space="preserve">a series of issues with Rwanda’s asylum reception </w:t>
      </w:r>
      <w:r>
        <w:lastRenderedPageBreak/>
        <w:t>procedures and detention conditions.</w:t>
      </w:r>
      <w:r w:rsidR="00C11512" w:rsidRPr="66088114">
        <w:rPr>
          <w:rStyle w:val="FootnoteReference"/>
        </w:rPr>
        <w:footnoteReference w:id="41"/>
      </w:r>
      <w:r>
        <w:t xml:space="preserve"> </w:t>
      </w:r>
      <w:r w:rsidR="76706E86" w:rsidRPr="66088114">
        <w:rPr>
          <w:rFonts w:cs="Verdana"/>
        </w:rPr>
        <w:t xml:space="preserve"> Furthermore in 2021</w:t>
      </w:r>
      <w:r w:rsidR="087FFA3D" w:rsidRPr="0771AA54">
        <w:rPr>
          <w:rFonts w:cs="Verdana"/>
        </w:rPr>
        <w:t>,</w:t>
      </w:r>
      <w:r w:rsidR="76706E86" w:rsidRPr="66088114">
        <w:rPr>
          <w:rFonts w:cs="Verdana"/>
        </w:rPr>
        <w:t xml:space="preserve"> during the Universal Periodic Review process relating to Rwanda</w:t>
      </w:r>
      <w:r w:rsidR="51D50EF4" w:rsidRPr="1D1625B5">
        <w:rPr>
          <w:rFonts w:cs="Verdana"/>
        </w:rPr>
        <w:t>,</w:t>
      </w:r>
      <w:r w:rsidR="76706E86" w:rsidRPr="66088114">
        <w:rPr>
          <w:rFonts w:cs="Verdana"/>
        </w:rPr>
        <w:t xml:space="preserve"> the UK Government highlighted</w:t>
      </w:r>
      <w:r w:rsidR="00BF775B">
        <w:rPr>
          <w:rFonts w:cs="Poppins"/>
          <w:shd w:val="clear" w:color="auto" w:fill="FFFFFF"/>
        </w:rPr>
        <w:t xml:space="preserve"> </w:t>
      </w:r>
      <w:r w:rsidR="00773FA1">
        <w:rPr>
          <w:rFonts w:cs="Poppins"/>
          <w:shd w:val="clear" w:color="auto" w:fill="FFFFFF"/>
        </w:rPr>
        <w:t xml:space="preserve">persistent </w:t>
      </w:r>
      <w:r w:rsidR="00F11966">
        <w:rPr>
          <w:rFonts w:cs="Poppins"/>
          <w:shd w:val="clear" w:color="auto" w:fill="FFFFFF"/>
        </w:rPr>
        <w:t>allegations of human rights violations, including against minors and LGBT</w:t>
      </w:r>
      <w:r w:rsidR="000F71C6">
        <w:rPr>
          <w:rFonts w:cs="Poppins"/>
          <w:shd w:val="clear" w:color="auto" w:fill="FFFFFF"/>
        </w:rPr>
        <w:t>QI</w:t>
      </w:r>
      <w:r w:rsidR="00F11966">
        <w:rPr>
          <w:rFonts w:cs="Poppins"/>
          <w:shd w:val="clear" w:color="auto" w:fill="FFFFFF"/>
        </w:rPr>
        <w:t xml:space="preserve"> </w:t>
      </w:r>
      <w:r w:rsidR="000F71C6">
        <w:rPr>
          <w:rFonts w:cs="Poppins"/>
          <w:shd w:val="clear" w:color="auto" w:fill="FFFFFF"/>
        </w:rPr>
        <w:t>people</w:t>
      </w:r>
      <w:r w:rsidR="00F11966">
        <w:rPr>
          <w:rFonts w:cs="Poppins"/>
          <w:shd w:val="clear" w:color="auto" w:fill="FFFFFF"/>
        </w:rPr>
        <w:t xml:space="preserve">, at Rwanda’s </w:t>
      </w:r>
      <w:proofErr w:type="spellStart"/>
      <w:r w:rsidR="00D41306" w:rsidRPr="00D41306">
        <w:rPr>
          <w:rFonts w:cs="Poppins"/>
          <w:shd w:val="clear" w:color="auto" w:fill="FFFFFF"/>
        </w:rPr>
        <w:t>Gikondo</w:t>
      </w:r>
      <w:proofErr w:type="spellEnd"/>
      <w:r w:rsidR="00D41306" w:rsidRPr="00D41306">
        <w:rPr>
          <w:rFonts w:cs="Poppins"/>
          <w:shd w:val="clear" w:color="auto" w:fill="FFFFFF"/>
        </w:rPr>
        <w:t xml:space="preserve"> Transit Centre</w:t>
      </w:r>
      <w:r w:rsidR="00D41306">
        <w:rPr>
          <w:rFonts w:cs="Poppins"/>
          <w:shd w:val="clear" w:color="auto" w:fill="FFFFFF"/>
        </w:rPr>
        <w:t>;</w:t>
      </w:r>
      <w:r w:rsidR="00D41306">
        <w:rPr>
          <w:rStyle w:val="FootnoteReference"/>
          <w:rFonts w:cs="Poppins"/>
          <w:shd w:val="clear" w:color="auto" w:fill="FFFFFF"/>
        </w:rPr>
        <w:footnoteReference w:id="42"/>
      </w:r>
      <w:r w:rsidR="00D41306">
        <w:rPr>
          <w:rFonts w:cs="Poppins"/>
          <w:shd w:val="clear" w:color="auto" w:fill="FFFFFF"/>
        </w:rPr>
        <w:t xml:space="preserve"> </w:t>
      </w:r>
      <w:r w:rsidR="00BF775B">
        <w:rPr>
          <w:rFonts w:cs="Poppins"/>
          <w:shd w:val="clear" w:color="auto" w:fill="FFFFFF"/>
        </w:rPr>
        <w:t xml:space="preserve">restrictions </w:t>
      </w:r>
      <w:r w:rsidR="000F71C6">
        <w:rPr>
          <w:rFonts w:cs="Poppins"/>
          <w:shd w:val="clear" w:color="auto" w:fill="FFFFFF"/>
        </w:rPr>
        <w:t xml:space="preserve">on </w:t>
      </w:r>
      <w:r w:rsidR="00BF775B">
        <w:rPr>
          <w:rFonts w:eastAsia="Times New Roman"/>
        </w:rPr>
        <w:t>media freedom and civil and political rights;</w:t>
      </w:r>
      <w:r w:rsidR="00BF775B">
        <w:rPr>
          <w:rStyle w:val="FootnoteReference"/>
          <w:rFonts w:eastAsia="Times New Roman"/>
        </w:rPr>
        <w:footnoteReference w:id="43"/>
      </w:r>
      <w:r w:rsidR="00BF775B">
        <w:rPr>
          <w:rFonts w:eastAsia="Times New Roman"/>
        </w:rPr>
        <w:t xml:space="preserve"> journalists</w:t>
      </w:r>
      <w:r w:rsidR="000F71C6">
        <w:rPr>
          <w:rFonts w:eastAsia="Times New Roman"/>
        </w:rPr>
        <w:t>’</w:t>
      </w:r>
      <w:r w:rsidR="00BF775B">
        <w:rPr>
          <w:rFonts w:eastAsia="Times New Roman"/>
        </w:rPr>
        <w:t xml:space="preserve"> ability to work freely without fear of retribution;</w:t>
      </w:r>
      <w:r w:rsidR="00BF775B">
        <w:rPr>
          <w:rStyle w:val="FootnoteReference"/>
          <w:rFonts w:eastAsia="Times New Roman"/>
        </w:rPr>
        <w:footnoteReference w:id="44"/>
      </w:r>
      <w:r w:rsidR="00BF775B">
        <w:rPr>
          <w:rFonts w:eastAsia="Times New Roman"/>
        </w:rPr>
        <w:t xml:space="preserve"> State procedures for investigations into </w:t>
      </w:r>
      <w:r w:rsidR="000F71C6">
        <w:rPr>
          <w:rFonts w:eastAsia="Times New Roman"/>
        </w:rPr>
        <w:t xml:space="preserve">alleged </w:t>
      </w:r>
      <w:r w:rsidR="00BF775B">
        <w:rPr>
          <w:rFonts w:eastAsia="Times New Roman"/>
        </w:rPr>
        <w:t>extrajudicial killings, deaths in custody, enforced disappearances and torture</w:t>
      </w:r>
      <w:r w:rsidR="000F71C6">
        <w:rPr>
          <w:rFonts w:eastAsia="Times New Roman"/>
        </w:rPr>
        <w:t>;</w:t>
      </w:r>
      <w:r w:rsidR="00BF775B">
        <w:rPr>
          <w:rStyle w:val="FootnoteReference"/>
          <w:rFonts w:eastAsia="Times New Roman"/>
        </w:rPr>
        <w:footnoteReference w:id="45"/>
      </w:r>
      <w:r w:rsidR="00BF775B">
        <w:rPr>
          <w:rFonts w:eastAsia="Times New Roman"/>
        </w:rPr>
        <w:t xml:space="preserve"> </w:t>
      </w:r>
      <w:r w:rsidR="008D7B45">
        <w:rPr>
          <w:rFonts w:eastAsia="Times New Roman"/>
        </w:rPr>
        <w:t xml:space="preserve">and </w:t>
      </w:r>
      <w:r w:rsidR="00BF775B">
        <w:rPr>
          <w:rFonts w:eastAsia="Times New Roman"/>
        </w:rPr>
        <w:t>State procedures for screening, identifying and providing support to trafficking victims, including those held in government transit centres.</w:t>
      </w:r>
      <w:r w:rsidR="00BF775B">
        <w:rPr>
          <w:rStyle w:val="FootnoteReference"/>
          <w:rFonts w:eastAsia="Times New Roman"/>
        </w:rPr>
        <w:footnoteReference w:id="46"/>
      </w:r>
      <w:r w:rsidR="00BF775B">
        <w:rPr>
          <w:rFonts w:eastAsia="Times New Roman"/>
        </w:rPr>
        <w:t xml:space="preserve"> </w:t>
      </w:r>
    </w:p>
    <w:p w14:paraId="704F50A2" w14:textId="77777777" w:rsidR="00BF775B" w:rsidRDefault="00BF775B" w:rsidP="00BF775B"/>
    <w:p w14:paraId="5A8250C7" w14:textId="2030D943" w:rsidR="005D1BBD" w:rsidRPr="00574553" w:rsidRDefault="000F71C6" w:rsidP="005F3F87">
      <w:pPr>
        <w:pStyle w:val="ListParagraph"/>
        <w:numPr>
          <w:ilvl w:val="1"/>
          <w:numId w:val="10"/>
        </w:numPr>
        <w:ind w:left="709" w:hanging="709"/>
        <w:jc w:val="left"/>
      </w:pPr>
      <w:r>
        <w:t xml:space="preserve">Also of note is the continuing concern raised by </w:t>
      </w:r>
      <w:r w:rsidR="638857D7">
        <w:t>t</w:t>
      </w:r>
      <w:r w:rsidR="2003582D">
        <w:t>he</w:t>
      </w:r>
      <w:r w:rsidR="718FC9E3" w:rsidRPr="003E67CC">
        <w:t xml:space="preserve"> UN Refugee Agency </w:t>
      </w:r>
      <w:r w:rsidR="1A124432" w:rsidRPr="003E67CC">
        <w:rPr>
          <w:shd w:val="clear" w:color="auto" w:fill="FFFFFF"/>
        </w:rPr>
        <w:t xml:space="preserve">that asylum-seekers relocated to Rwanda </w:t>
      </w:r>
      <w:r>
        <w:rPr>
          <w:shd w:val="clear" w:color="auto" w:fill="FFFFFF"/>
        </w:rPr>
        <w:t>are</w:t>
      </w:r>
      <w:r w:rsidRPr="003E67CC">
        <w:rPr>
          <w:shd w:val="clear" w:color="auto" w:fill="FFFFFF"/>
        </w:rPr>
        <w:t xml:space="preserve"> </w:t>
      </w:r>
      <w:r w:rsidR="1A124432" w:rsidRPr="003E67CC">
        <w:rPr>
          <w:shd w:val="clear" w:color="auto" w:fill="FFFFFF"/>
        </w:rPr>
        <w:t>not treated in accordance with accepted international standards.</w:t>
      </w:r>
      <w:r w:rsidR="003E67CC" w:rsidRPr="003E67CC">
        <w:rPr>
          <w:rStyle w:val="FootnoteReference"/>
          <w:shd w:val="clear" w:color="auto" w:fill="FFFFFF"/>
        </w:rPr>
        <w:footnoteReference w:id="47"/>
      </w:r>
      <w:r w:rsidR="1A124432" w:rsidRPr="003E67CC">
        <w:t xml:space="preserve"> </w:t>
      </w:r>
      <w:r w:rsidR="1A0C0793">
        <w:t>In relation to</w:t>
      </w:r>
      <w:r w:rsidR="5551971A">
        <w:t xml:space="preserve"> </w:t>
      </w:r>
      <w:r w:rsidR="1357D88F">
        <w:t xml:space="preserve">the </w:t>
      </w:r>
      <w:r w:rsidR="562AADC4">
        <w:t>UK-Rwanda</w:t>
      </w:r>
      <w:r w:rsidR="1357D88F">
        <w:t xml:space="preserve"> arrangement</w:t>
      </w:r>
      <w:r w:rsidR="562AADC4">
        <w:t xml:space="preserve">, the UN Refugee Agency </w:t>
      </w:r>
      <w:r w:rsidR="1357D88F">
        <w:t>reiterated</w:t>
      </w:r>
      <w:r w:rsidR="562AADC4">
        <w:t xml:space="preserve"> that </w:t>
      </w:r>
      <w:r w:rsidR="1357D88F" w:rsidRPr="00410894">
        <w:rPr>
          <w:shd w:val="clear" w:color="auto" w:fill="FFFFFF"/>
        </w:rPr>
        <w:t>transfer arrangement</w:t>
      </w:r>
      <w:r w:rsidR="1357D88F">
        <w:rPr>
          <w:shd w:val="clear" w:color="auto" w:fill="FFFFFF"/>
        </w:rPr>
        <w:t>s</w:t>
      </w:r>
      <w:r w:rsidR="1357D88F" w:rsidRPr="00410894">
        <w:rPr>
          <w:shd w:val="clear" w:color="auto" w:fill="FFFFFF"/>
        </w:rPr>
        <w:t xml:space="preserve"> </w:t>
      </w:r>
      <w:r w:rsidR="1357D88F">
        <w:rPr>
          <w:shd w:val="clear" w:color="auto" w:fill="FFFFFF"/>
        </w:rPr>
        <w:t>must be</w:t>
      </w:r>
      <w:r w:rsidR="1357D88F" w:rsidRPr="00410894">
        <w:rPr>
          <w:shd w:val="clear" w:color="auto" w:fill="FFFFFF"/>
        </w:rPr>
        <w:t xml:space="preserve"> “challengeable and enforceable in a court of law by the affected asylum-seekers” and that “asylum-seekers must be individually assessed as to the lawfulness and appropriateness of the transfer, subject to procedural safeguards, prior to transfer”.</w:t>
      </w:r>
      <w:r w:rsidR="00574553" w:rsidRPr="00410894">
        <w:rPr>
          <w:rStyle w:val="FootnoteReference"/>
          <w:shd w:val="clear" w:color="auto" w:fill="FFFFFF"/>
        </w:rPr>
        <w:footnoteReference w:id="48"/>
      </w:r>
    </w:p>
    <w:p w14:paraId="321D1376" w14:textId="77777777" w:rsidR="008F3FF1" w:rsidRPr="008F3FF1" w:rsidRDefault="008F3FF1" w:rsidP="008F3FF1">
      <w:pPr>
        <w:pStyle w:val="ListParagraph"/>
        <w:numPr>
          <w:ilvl w:val="0"/>
          <w:numId w:val="0"/>
        </w:numPr>
        <w:rPr>
          <w:shd w:val="clear" w:color="auto" w:fill="FFFFFF"/>
        </w:rPr>
      </w:pPr>
    </w:p>
    <w:p w14:paraId="5FB93D40" w14:textId="6F5DC1DB" w:rsidR="002F1B07" w:rsidRDefault="000F71C6" w:rsidP="005F3F87">
      <w:pPr>
        <w:pStyle w:val="ListParagraph"/>
        <w:numPr>
          <w:ilvl w:val="1"/>
          <w:numId w:val="10"/>
        </w:numPr>
        <w:ind w:left="709" w:hanging="709"/>
        <w:jc w:val="left"/>
      </w:pPr>
      <w:proofErr w:type="gramStart"/>
      <w:r>
        <w:rPr>
          <w:shd w:val="clear" w:color="auto" w:fill="FFFFFF"/>
        </w:rPr>
        <w:t>In light of</w:t>
      </w:r>
      <w:proofErr w:type="gramEnd"/>
      <w:r>
        <w:rPr>
          <w:shd w:val="clear" w:color="auto" w:fill="FFFFFF"/>
        </w:rPr>
        <w:t xml:space="preserve"> the above</w:t>
      </w:r>
      <w:r w:rsidR="6BC30B63">
        <w:rPr>
          <w:shd w:val="clear" w:color="auto" w:fill="FFFFFF"/>
        </w:rPr>
        <w:t xml:space="preserve">, the NIHRC is </w:t>
      </w:r>
      <w:r>
        <w:rPr>
          <w:shd w:val="clear" w:color="auto" w:fill="FFFFFF"/>
        </w:rPr>
        <w:t xml:space="preserve">particularly </w:t>
      </w:r>
      <w:r w:rsidR="1357D88F">
        <w:rPr>
          <w:shd w:val="clear" w:color="auto" w:fill="FFFFFF"/>
        </w:rPr>
        <w:t>concerned that</w:t>
      </w:r>
      <w:r w:rsidR="411A3EB2">
        <w:t xml:space="preserve"> </w:t>
      </w:r>
      <w:r>
        <w:t>c</w:t>
      </w:r>
      <w:r w:rsidR="411A3EB2">
        <w:t xml:space="preserve">lause 2 </w:t>
      </w:r>
      <w:r>
        <w:t xml:space="preserve">if enacted </w:t>
      </w:r>
      <w:r w:rsidR="411A3EB2">
        <w:t>require</w:t>
      </w:r>
      <w:r>
        <w:t>s</w:t>
      </w:r>
      <w:r w:rsidR="3337650E">
        <w:rPr>
          <w:shd w:val="clear" w:color="auto" w:fill="FFFFFF"/>
        </w:rPr>
        <w:t xml:space="preserve"> </w:t>
      </w:r>
      <w:r w:rsidR="271931FF" w:rsidRPr="002051DB">
        <w:t>every decision-maker</w:t>
      </w:r>
      <w:r w:rsidR="271931FF">
        <w:t xml:space="preserve"> </w:t>
      </w:r>
      <w:r w:rsidR="3337650E">
        <w:t>in the UK</w:t>
      </w:r>
      <w:r w:rsidR="271931FF" w:rsidRPr="002051DB">
        <w:t xml:space="preserve"> </w:t>
      </w:r>
      <w:r w:rsidR="3337650E">
        <w:t>t</w:t>
      </w:r>
      <w:r w:rsidR="3781D432">
        <w:t>o</w:t>
      </w:r>
      <w:r w:rsidR="3337650E">
        <w:t xml:space="preserve"> </w:t>
      </w:r>
      <w:r w:rsidR="271931FF" w:rsidRPr="002051DB">
        <w:t>“conclusively treat the Republic of Rwanda as a safe country”</w:t>
      </w:r>
      <w:r w:rsidR="271931FF">
        <w:t>.</w:t>
      </w:r>
      <w:r w:rsidR="3337650E">
        <w:t xml:space="preserve"> </w:t>
      </w:r>
      <w:r>
        <w:t xml:space="preserve">The NIHRC has taken account of the purported </w:t>
      </w:r>
      <w:r w:rsidR="6058A2DA" w:rsidRPr="00F33418">
        <w:t>safeguards and structures</w:t>
      </w:r>
      <w:r w:rsidR="6058A2DA">
        <w:t xml:space="preserve"> </w:t>
      </w:r>
      <w:r>
        <w:t>contained</w:t>
      </w:r>
      <w:r w:rsidR="061F533C">
        <w:t xml:space="preserve"> </w:t>
      </w:r>
      <w:r w:rsidR="6058A2DA">
        <w:t xml:space="preserve">in the </w:t>
      </w:r>
      <w:r w:rsidR="061F533C">
        <w:t xml:space="preserve">UK’s </w:t>
      </w:r>
      <w:r w:rsidR="0ACF4265">
        <w:t>new treaty with</w:t>
      </w:r>
      <w:r w:rsidR="061F533C">
        <w:t xml:space="preserve"> Rwanda</w:t>
      </w:r>
      <w:r w:rsidR="0EEE8210">
        <w:t xml:space="preserve"> </w:t>
      </w:r>
      <w:r>
        <w:t>but has concluded that they do not avoid the incompatibility of the Bill with the law and do not protect rights.</w:t>
      </w:r>
      <w:r w:rsidDel="000F71C6">
        <w:t xml:space="preserve"> </w:t>
      </w:r>
      <w:r w:rsidR="061F533C">
        <w:t xml:space="preserve"> </w:t>
      </w:r>
      <w:r>
        <w:t>Moreover and in any event,</w:t>
      </w:r>
      <w:r w:rsidR="426532C8">
        <w:t xml:space="preserve"> i</w:t>
      </w:r>
      <w:r w:rsidR="76A73256" w:rsidRPr="00834F2D">
        <w:t xml:space="preserve">n December 2023 a spokesperson for the Rwandan government </w:t>
      </w:r>
      <w:r w:rsidR="76A73256" w:rsidRPr="00834F2D">
        <w:lastRenderedPageBreak/>
        <w:t>indicated that nothing ha</w:t>
      </w:r>
      <w:r>
        <w:t>d</w:t>
      </w:r>
      <w:r w:rsidR="76A73256" w:rsidRPr="00834F2D">
        <w:t xml:space="preserve"> changed in </w:t>
      </w:r>
      <w:r>
        <w:t>this</w:t>
      </w:r>
      <w:r w:rsidRPr="00834F2D">
        <w:t xml:space="preserve"> </w:t>
      </w:r>
      <w:r w:rsidR="76A73256" w:rsidRPr="00834F2D">
        <w:t>new treaty with the UK</w:t>
      </w:r>
      <w:r>
        <w:t xml:space="preserve"> and instead a</w:t>
      </w:r>
      <w:r w:rsidR="76A73256" w:rsidRPr="00834F2D">
        <w:t>dvis</w:t>
      </w:r>
      <w:r>
        <w:t>ed</w:t>
      </w:r>
      <w:r w:rsidR="76A73256" w:rsidRPr="00834F2D">
        <w:t xml:space="preserve"> that the guarantees outlined in the new agreement </w:t>
      </w:r>
      <w:r>
        <w:t xml:space="preserve">were the same as before; that they </w:t>
      </w:r>
      <w:r w:rsidR="76A73256" w:rsidRPr="00834F2D">
        <w:t>“already existed”.</w:t>
      </w:r>
      <w:r w:rsidR="00FE6D6D" w:rsidRPr="00834F2D">
        <w:rPr>
          <w:rStyle w:val="FootnoteReference"/>
        </w:rPr>
        <w:footnoteReference w:id="49"/>
      </w:r>
      <w:r>
        <w:t xml:space="preserve"> This indicates, adding to the NIHRC’s concern, that as a matter of practice Rwanda will not be a safe country.</w:t>
      </w:r>
    </w:p>
    <w:p w14:paraId="399AC31F" w14:textId="77777777" w:rsidR="000D44F7" w:rsidRDefault="000D44F7" w:rsidP="00183A46">
      <w:pPr>
        <w:pStyle w:val="ListParagraph"/>
        <w:numPr>
          <w:ilvl w:val="0"/>
          <w:numId w:val="0"/>
        </w:numPr>
      </w:pPr>
    </w:p>
    <w:p w14:paraId="713E9713" w14:textId="20738AEC" w:rsidR="00BA7B18" w:rsidRDefault="00B670C5" w:rsidP="02EEB020">
      <w:pPr>
        <w:pStyle w:val="ListParagraph"/>
        <w:widowControl w:val="0"/>
        <w:numPr>
          <w:ilvl w:val="1"/>
          <w:numId w:val="10"/>
        </w:numPr>
        <w:autoSpaceDE w:val="0"/>
        <w:spacing w:before="0" w:after="0"/>
        <w:ind w:left="709"/>
        <w:jc w:val="left"/>
        <w:textAlignment w:val="center"/>
      </w:pPr>
      <w:r>
        <w:t>T</w:t>
      </w:r>
      <w:r w:rsidR="00946434">
        <w:t>he</w:t>
      </w:r>
      <w:r>
        <w:t xml:space="preserve"> defin</w:t>
      </w:r>
      <w:r w:rsidR="00946434">
        <w:t>ition</w:t>
      </w:r>
      <w:r>
        <w:t xml:space="preserve"> </w:t>
      </w:r>
      <w:r w:rsidR="00946434">
        <w:t>of</w:t>
      </w:r>
      <w:r>
        <w:t xml:space="preserve"> </w:t>
      </w:r>
      <w:r w:rsidR="00D83CCC" w:rsidRPr="00F43B1E">
        <w:t>Rwanda as 'safe'</w:t>
      </w:r>
      <w:r>
        <w:t xml:space="preserve"> in law and the rejection of any potential to claim otherwise</w:t>
      </w:r>
      <w:r w:rsidR="00946434">
        <w:t>,</w:t>
      </w:r>
      <w:r>
        <w:t xml:space="preserve"> </w:t>
      </w:r>
      <w:r w:rsidR="0070477C">
        <w:t>are</w:t>
      </w:r>
      <w:r w:rsidR="00D83CCC">
        <w:t xml:space="preserve"> in </w:t>
      </w:r>
      <w:r w:rsidR="00D83CCC" w:rsidRPr="00F43B1E">
        <w:t xml:space="preserve">stark contrast </w:t>
      </w:r>
      <w:r w:rsidR="00D83CCC">
        <w:t>to</w:t>
      </w:r>
      <w:r w:rsidR="00D83CCC" w:rsidRPr="00F43B1E">
        <w:t xml:space="preserve"> the </w:t>
      </w:r>
      <w:r>
        <w:t xml:space="preserve">UK’s </w:t>
      </w:r>
      <w:r w:rsidR="00D83CCC" w:rsidRPr="00F43B1E">
        <w:t xml:space="preserve">obligations under </w:t>
      </w:r>
      <w:r w:rsidR="00D83CCC">
        <w:t xml:space="preserve">EU </w:t>
      </w:r>
      <w:r w:rsidR="00D83CCC" w:rsidRPr="00F43B1E">
        <w:t>Procedures Directive</w:t>
      </w:r>
      <w:r w:rsidR="00D83CCC">
        <w:t xml:space="preserve"> </w:t>
      </w:r>
      <w:r w:rsidR="00D83CCC" w:rsidRPr="00F43B1E">
        <w:t xml:space="preserve">Article 27 </w:t>
      </w:r>
      <w:r w:rsidR="00D246FA">
        <w:t>(</w:t>
      </w:r>
      <w:r w:rsidR="00D83CCC">
        <w:t xml:space="preserve">The </w:t>
      </w:r>
      <w:r w:rsidR="00D83CCC" w:rsidRPr="00F43B1E">
        <w:t>safe third countr</w:t>
      </w:r>
      <w:r w:rsidR="00D83CCC">
        <w:t>y</w:t>
      </w:r>
      <w:r w:rsidR="00D83CCC" w:rsidRPr="00F43B1E">
        <w:t xml:space="preserve"> </w:t>
      </w:r>
      <w:r w:rsidR="00D83CCC">
        <w:t>concept</w:t>
      </w:r>
      <w:r w:rsidR="00D246FA">
        <w:t>)</w:t>
      </w:r>
      <w:r w:rsidR="00D83CCC">
        <w:t>.</w:t>
      </w:r>
      <w:r w:rsidR="00D83CCC">
        <w:rPr>
          <w:rStyle w:val="FootnoteReference"/>
        </w:rPr>
        <w:footnoteReference w:id="50"/>
      </w:r>
      <w:r w:rsidR="00D83CCC">
        <w:t xml:space="preserve"> Under paragraph (2), the concept should be subject to national legislation requiring “a connection between the person seeking asylum and the third country concerned on the basis of which it is reasonable for that person to go to that country.”</w:t>
      </w:r>
      <w:r w:rsidR="004A1335">
        <w:t xml:space="preserve"> </w:t>
      </w:r>
      <w:r w:rsidR="0098251B">
        <w:t xml:space="preserve">Article 27 </w:t>
      </w:r>
      <w:r w:rsidR="006F042C">
        <w:t>permits</w:t>
      </w:r>
      <w:r w:rsidR="0098251B">
        <w:t xml:space="preserve"> the application of the safe third country concept </w:t>
      </w:r>
      <w:r w:rsidR="006D3CF5">
        <w:t>only where authorities are satisfied that</w:t>
      </w:r>
      <w:r w:rsidR="0098251B">
        <w:t xml:space="preserve"> </w:t>
      </w:r>
      <w:r w:rsidR="00360D3F">
        <w:t>key human rights principle</w:t>
      </w:r>
      <w:r w:rsidR="00027186">
        <w:t>s</w:t>
      </w:r>
      <w:r w:rsidR="00360D3F">
        <w:t xml:space="preserve"> will be respected</w:t>
      </w:r>
      <w:r w:rsidR="0098251B">
        <w:t xml:space="preserve"> </w:t>
      </w:r>
      <w:r w:rsidR="00027186">
        <w:t xml:space="preserve">and </w:t>
      </w:r>
      <w:r w:rsidR="0098251B">
        <w:t xml:space="preserve">subject to </w:t>
      </w:r>
      <w:r w:rsidR="003931BB">
        <w:t xml:space="preserve">safeguards </w:t>
      </w:r>
      <w:r w:rsidR="0098251B">
        <w:t>set out in legislation</w:t>
      </w:r>
      <w:r w:rsidR="00DD7591">
        <w:t xml:space="preserve">, </w:t>
      </w:r>
      <w:r w:rsidR="00285DFF">
        <w:t xml:space="preserve">including the </w:t>
      </w:r>
      <w:r w:rsidR="0027377D">
        <w:t>“</w:t>
      </w:r>
      <w:r w:rsidR="00285DFF">
        <w:t>methodology</w:t>
      </w:r>
      <w:r w:rsidR="0027377D">
        <w:t>”</w:t>
      </w:r>
      <w:r w:rsidR="00285DFF">
        <w:t xml:space="preserve"> by which the </w:t>
      </w:r>
      <w:r w:rsidR="0027377D">
        <w:t>authorities will satisfy themselves</w:t>
      </w:r>
      <w:r w:rsidR="00DC4233">
        <w:t xml:space="preserve"> of this</w:t>
      </w:r>
      <w:r w:rsidR="007F75E3">
        <w:t>.</w:t>
      </w:r>
      <w:r w:rsidR="00AF44B0">
        <w:rPr>
          <w:rStyle w:val="FootnoteReference"/>
        </w:rPr>
        <w:footnoteReference w:id="51"/>
      </w:r>
      <w:r w:rsidR="002140A0">
        <w:t xml:space="preserve"> </w:t>
      </w:r>
      <w:r w:rsidR="004B068F">
        <w:t xml:space="preserve">There is no indication </w:t>
      </w:r>
      <w:r w:rsidR="00213140">
        <w:t xml:space="preserve">in clause 2 </w:t>
      </w:r>
      <w:r w:rsidR="004B068F">
        <w:t xml:space="preserve">that the definition of Rwanda as a safe country is </w:t>
      </w:r>
      <w:r w:rsidR="00BC2625">
        <w:t>subject to</w:t>
      </w:r>
      <w:r w:rsidR="004B068F">
        <w:t xml:space="preserve"> </w:t>
      </w:r>
      <w:r w:rsidR="00213140">
        <w:t>consideration.</w:t>
      </w:r>
      <w:r w:rsidR="002140A0">
        <w:t xml:space="preserve"> </w:t>
      </w:r>
      <w:r w:rsidR="004A1335">
        <w:t xml:space="preserve">In the recent Supreme Court case referenced above, it was not disputed that </w:t>
      </w:r>
      <w:r w:rsidR="005C1B90">
        <w:t>the Rwanda policy would not have complied with</w:t>
      </w:r>
      <w:r w:rsidR="0014406B">
        <w:t xml:space="preserve"> Article 27 had the UK not withdrawn from the EU.</w:t>
      </w:r>
      <w:r w:rsidR="0014406B">
        <w:rPr>
          <w:rStyle w:val="FootnoteReference"/>
        </w:rPr>
        <w:footnoteReference w:id="52"/>
      </w:r>
    </w:p>
    <w:p w14:paraId="09369F6E" w14:textId="77777777" w:rsidR="00BA7B18" w:rsidRDefault="00BA7B18" w:rsidP="006A7751">
      <w:pPr>
        <w:pStyle w:val="ListParagraph"/>
        <w:numPr>
          <w:ilvl w:val="0"/>
          <w:numId w:val="0"/>
        </w:numPr>
      </w:pPr>
    </w:p>
    <w:p w14:paraId="00A77F6A" w14:textId="5E302A9F" w:rsidR="006A7751" w:rsidRDefault="00BA7B18" w:rsidP="654B9CC1">
      <w:pPr>
        <w:pStyle w:val="ListParagraph"/>
        <w:widowControl w:val="0"/>
        <w:numPr>
          <w:ilvl w:val="1"/>
          <w:numId w:val="10"/>
        </w:numPr>
        <w:autoSpaceDE w:val="0"/>
        <w:spacing w:before="0" w:after="0"/>
        <w:ind w:left="709"/>
        <w:jc w:val="left"/>
        <w:textAlignment w:val="center"/>
      </w:pPr>
      <w:r w:rsidRPr="00641C2F">
        <w:t xml:space="preserve">Furthermore, Article 8 of the </w:t>
      </w:r>
      <w:r>
        <w:t xml:space="preserve">EU </w:t>
      </w:r>
      <w:r w:rsidRPr="00641C2F">
        <w:t>Procedures Directive requires</w:t>
      </w:r>
      <w:r>
        <w:t xml:space="preserve"> authorities</w:t>
      </w:r>
      <w:r w:rsidRPr="00641C2F">
        <w:t xml:space="preserve"> to </w:t>
      </w:r>
      <w:r>
        <w:t xml:space="preserve">ensure </w:t>
      </w:r>
      <w:r w:rsidRPr="00641C2F">
        <w:t xml:space="preserve">that </w:t>
      </w:r>
      <w:r>
        <w:t xml:space="preserve">each </w:t>
      </w:r>
      <w:r w:rsidRPr="00641C2F">
        <w:t>application is “examined and decisions are taken individually, objectively and impartially.”</w:t>
      </w:r>
      <w:r w:rsidRPr="00641C2F">
        <w:rPr>
          <w:rStyle w:val="FootnoteReference"/>
        </w:rPr>
        <w:footnoteReference w:id="53"/>
      </w:r>
      <w:r w:rsidRPr="00641C2F">
        <w:t xml:space="preserve"> Article 8 of the Procedures Directive sets the guarantee that decisions made by the determining authority follow an appropriate examination, as outlined in paragraph 2 of the Article. Paragraph 2 also requires that "precise and up-to-date information to be obtained from various sources" such as the UNHCR.</w:t>
      </w:r>
      <w:r w:rsidRPr="00641C2F">
        <w:rPr>
          <w:rStyle w:val="FootnoteReference"/>
        </w:rPr>
        <w:footnoteReference w:id="54"/>
      </w:r>
    </w:p>
    <w:p w14:paraId="34CFA487" w14:textId="77777777" w:rsidR="006A7751" w:rsidRPr="006A7751" w:rsidRDefault="006A7751" w:rsidP="006A7751">
      <w:pPr>
        <w:pStyle w:val="ListParagraph"/>
        <w:numPr>
          <w:ilvl w:val="0"/>
          <w:numId w:val="0"/>
        </w:numPr>
        <w:rPr>
          <w:b/>
          <w:bCs/>
        </w:rPr>
      </w:pPr>
    </w:p>
    <w:p w14:paraId="25092CED" w14:textId="6493863C" w:rsidR="00315D52" w:rsidRDefault="00BF775B" w:rsidP="005F3F87">
      <w:pPr>
        <w:pStyle w:val="ListParagraph"/>
        <w:numPr>
          <w:ilvl w:val="1"/>
          <w:numId w:val="10"/>
        </w:numPr>
        <w:ind w:left="709" w:hanging="709"/>
        <w:jc w:val="left"/>
        <w:rPr>
          <w:b/>
          <w:bCs/>
        </w:rPr>
      </w:pPr>
      <w:r w:rsidRPr="66088114">
        <w:rPr>
          <w:b/>
          <w:bCs/>
        </w:rPr>
        <w:t xml:space="preserve">The NIHRC advises that the </w:t>
      </w:r>
      <w:r w:rsidR="003870B0">
        <w:rPr>
          <w:b/>
          <w:bCs/>
        </w:rPr>
        <w:t xml:space="preserve">safety or otherwise of </w:t>
      </w:r>
      <w:r w:rsidRPr="66088114">
        <w:rPr>
          <w:b/>
          <w:bCs/>
        </w:rPr>
        <w:t>Rwanda</w:t>
      </w:r>
      <w:r w:rsidR="003870B0">
        <w:rPr>
          <w:b/>
          <w:bCs/>
        </w:rPr>
        <w:t xml:space="preserve"> </w:t>
      </w:r>
      <w:r w:rsidR="007021F5" w:rsidRPr="66088114">
        <w:rPr>
          <w:b/>
          <w:bCs/>
        </w:rPr>
        <w:t>cannot be pre-emptively and</w:t>
      </w:r>
      <w:r w:rsidR="003870B0">
        <w:rPr>
          <w:b/>
          <w:bCs/>
        </w:rPr>
        <w:t>/or</w:t>
      </w:r>
      <w:r w:rsidR="007021F5" w:rsidRPr="66088114">
        <w:rPr>
          <w:b/>
          <w:bCs/>
        </w:rPr>
        <w:t xml:space="preserve"> collectively determined. </w:t>
      </w:r>
      <w:r w:rsidR="008C1F76" w:rsidRPr="66088114">
        <w:rPr>
          <w:b/>
          <w:bCs/>
        </w:rPr>
        <w:t>T</w:t>
      </w:r>
      <w:r w:rsidR="00A148A2" w:rsidRPr="66088114">
        <w:rPr>
          <w:b/>
          <w:bCs/>
        </w:rPr>
        <w:t>he lawfulness and appropriateness of a person</w:t>
      </w:r>
      <w:r w:rsidR="0068261D" w:rsidRPr="66088114">
        <w:rPr>
          <w:b/>
          <w:bCs/>
        </w:rPr>
        <w:t>’s removal to Rwanda</w:t>
      </w:r>
      <w:r w:rsidR="008C1F76" w:rsidRPr="66088114">
        <w:rPr>
          <w:b/>
          <w:bCs/>
        </w:rPr>
        <w:t xml:space="preserve"> must be assess</w:t>
      </w:r>
      <w:r w:rsidR="009D53ED" w:rsidRPr="66088114">
        <w:rPr>
          <w:b/>
          <w:bCs/>
        </w:rPr>
        <w:t>ed</w:t>
      </w:r>
      <w:r w:rsidR="003870B0">
        <w:rPr>
          <w:b/>
          <w:bCs/>
        </w:rPr>
        <w:t xml:space="preserve"> individually and be </w:t>
      </w:r>
      <w:r w:rsidR="00AB23DB" w:rsidRPr="66088114">
        <w:rPr>
          <w:b/>
          <w:bCs/>
        </w:rPr>
        <w:t>subject to procedural safeguards</w:t>
      </w:r>
      <w:r w:rsidR="004B4D5F" w:rsidRPr="66088114">
        <w:rPr>
          <w:b/>
          <w:bCs/>
        </w:rPr>
        <w:t xml:space="preserve">, </w:t>
      </w:r>
      <w:r w:rsidR="0068261D" w:rsidRPr="66088114">
        <w:rPr>
          <w:b/>
          <w:bCs/>
        </w:rPr>
        <w:t>prior to removal.</w:t>
      </w:r>
    </w:p>
    <w:p w14:paraId="2CE40C9D" w14:textId="77777777" w:rsidR="00F65EA5" w:rsidRPr="00F65EA5" w:rsidRDefault="00F65EA5" w:rsidP="00F65EA5">
      <w:pPr>
        <w:pStyle w:val="ListParagraph"/>
        <w:numPr>
          <w:ilvl w:val="0"/>
          <w:numId w:val="0"/>
        </w:numPr>
        <w:rPr>
          <w:b/>
          <w:bCs/>
        </w:rPr>
      </w:pPr>
    </w:p>
    <w:p w14:paraId="384A358F" w14:textId="3BD55E4B" w:rsidR="006A7751" w:rsidRDefault="006A7751" w:rsidP="005F3F87">
      <w:pPr>
        <w:pStyle w:val="ListParagraph"/>
        <w:widowControl w:val="0"/>
        <w:numPr>
          <w:ilvl w:val="1"/>
          <w:numId w:val="10"/>
        </w:numPr>
        <w:autoSpaceDE w:val="0"/>
        <w:spacing w:before="0" w:after="0"/>
        <w:ind w:left="709"/>
        <w:contextualSpacing w:val="0"/>
        <w:jc w:val="left"/>
        <w:textAlignment w:val="center"/>
      </w:pPr>
      <w:r w:rsidRPr="006A7751">
        <w:rPr>
          <w:b/>
          <w:bCs/>
        </w:rPr>
        <w:t xml:space="preserve">The </w:t>
      </w:r>
      <w:r w:rsidR="000B2AED">
        <w:rPr>
          <w:b/>
          <w:bCs/>
        </w:rPr>
        <w:t>NIHRC</w:t>
      </w:r>
      <w:r w:rsidRPr="006A7751">
        <w:rPr>
          <w:b/>
          <w:bCs/>
        </w:rPr>
        <w:t xml:space="preserve"> advises that </w:t>
      </w:r>
      <w:r w:rsidR="00C06DD9">
        <w:rPr>
          <w:b/>
          <w:bCs/>
        </w:rPr>
        <w:t>c</w:t>
      </w:r>
      <w:r w:rsidRPr="006A7751">
        <w:rPr>
          <w:b/>
          <w:bCs/>
        </w:rPr>
        <w:t>lause 2 may be in breach of Windsor Framework Article 2 by diminishing rights previously protected by the EU Procedures Directive (which bound the UK prior to EU Withdrawal), particularly in relation to Article 27 (the safe third country concept) and Article 8 (requirements for the consideration of applications).</w:t>
      </w:r>
    </w:p>
    <w:p w14:paraId="7415946F" w14:textId="77777777" w:rsidR="001605E9" w:rsidRDefault="001605E9" w:rsidP="00550006">
      <w:pPr>
        <w:jc w:val="left"/>
      </w:pPr>
    </w:p>
    <w:p w14:paraId="275FE188" w14:textId="292E2672" w:rsidR="00986190" w:rsidRDefault="00F7263B" w:rsidP="00615ADC">
      <w:pPr>
        <w:pStyle w:val="Heading2"/>
      </w:pPr>
      <w:bookmarkStart w:id="11" w:name="_Toc156823318"/>
      <w:r>
        <w:t xml:space="preserve">Risk of </w:t>
      </w:r>
      <w:r w:rsidR="007B3B55">
        <w:t>R</w:t>
      </w:r>
      <w:r w:rsidR="00CD21D1">
        <w:t>efoulement</w:t>
      </w:r>
      <w:bookmarkEnd w:id="11"/>
      <w:r w:rsidR="00CD21D1">
        <w:t xml:space="preserve"> </w:t>
      </w:r>
    </w:p>
    <w:p w14:paraId="56B8D236" w14:textId="53EDDCB6" w:rsidR="00315D52" w:rsidRDefault="00315D52" w:rsidP="005F3F87">
      <w:pPr>
        <w:pStyle w:val="ListParagraph"/>
        <w:numPr>
          <w:ilvl w:val="1"/>
          <w:numId w:val="10"/>
        </w:numPr>
        <w:ind w:left="709" w:hanging="709"/>
      </w:pPr>
      <w:r>
        <w:t xml:space="preserve">The NIHRC reiterates that the principle of non-refoulement forms an essential protection under international human rights law and customary law. It prohibits States from transferring or removing individuals from their jurisdiction when there are substantial grounds for believing that the person would be at risk of irreparable harm on return, including persecution, torture, </w:t>
      </w:r>
      <w:proofErr w:type="gramStart"/>
      <w:r>
        <w:t>ill-treatment</w:t>
      </w:r>
      <w:proofErr w:type="gramEnd"/>
      <w:r>
        <w:t xml:space="preserve"> or other serious human rights violations. </w:t>
      </w:r>
    </w:p>
    <w:p w14:paraId="5BE5C487" w14:textId="77777777" w:rsidR="00315D52" w:rsidRDefault="00315D52" w:rsidP="00315D52">
      <w:pPr>
        <w:pStyle w:val="ListParagraph"/>
        <w:numPr>
          <w:ilvl w:val="0"/>
          <w:numId w:val="0"/>
        </w:numPr>
      </w:pPr>
    </w:p>
    <w:p w14:paraId="04DD47A5" w14:textId="0056F3EF" w:rsidR="00315D52" w:rsidRDefault="24F53CC8" w:rsidP="005F3F87">
      <w:pPr>
        <w:pStyle w:val="ListParagraph"/>
        <w:numPr>
          <w:ilvl w:val="1"/>
          <w:numId w:val="10"/>
        </w:numPr>
        <w:ind w:left="709" w:hanging="709"/>
      </w:pPr>
      <w:r>
        <w:t xml:space="preserve">The UK has obligations under </w:t>
      </w:r>
      <w:r w:rsidRPr="00B409D1">
        <w:t>Article 3 of</w:t>
      </w:r>
      <w:r>
        <w:t xml:space="preserve"> </w:t>
      </w:r>
      <w:r w:rsidRPr="00B409D1">
        <w:t>the UN Convention against Torture</w:t>
      </w:r>
      <w:r w:rsidR="52C61A36" w:rsidRPr="00B409D1">
        <w:t>,</w:t>
      </w:r>
      <w:r w:rsidRPr="00B409D1">
        <w:t xml:space="preserve"> </w:t>
      </w:r>
      <w:r>
        <w:t xml:space="preserve">which </w:t>
      </w:r>
      <w:r w:rsidRPr="00B409D1">
        <w:t xml:space="preserve">expressly prohibits refoulement and </w:t>
      </w:r>
      <w:r w:rsidR="00C06DD9">
        <w:t xml:space="preserve">which is </w:t>
      </w:r>
      <w:r w:rsidRPr="00B409D1">
        <w:t>non-</w:t>
      </w:r>
      <w:proofErr w:type="spellStart"/>
      <w:r w:rsidRPr="00B409D1">
        <w:t>derogable</w:t>
      </w:r>
      <w:proofErr w:type="spellEnd"/>
      <w:r w:rsidRPr="00B409D1">
        <w:t>.</w:t>
      </w:r>
      <w:r>
        <w:t xml:space="preserve"> Obligations under the International Covenant on Civil and Political Rights (ICCPR) also contain </w:t>
      </w:r>
      <w:r w:rsidRPr="004D560A">
        <w:t xml:space="preserve">an implicit guarantee of non-refoulement, notably </w:t>
      </w:r>
      <w:r>
        <w:t xml:space="preserve">in </w:t>
      </w:r>
      <w:r w:rsidRPr="004D560A">
        <w:t>Articles 6 and 7.</w:t>
      </w:r>
      <w:r w:rsidR="00315D52" w:rsidRPr="004D560A">
        <w:rPr>
          <w:rStyle w:val="FootnoteReference"/>
        </w:rPr>
        <w:footnoteReference w:id="55"/>
      </w:r>
      <w:r w:rsidRPr="004D560A">
        <w:t xml:space="preserve"> </w:t>
      </w:r>
      <w:r>
        <w:t>The</w:t>
      </w:r>
      <w:r w:rsidRPr="004D560A">
        <w:t xml:space="preserve"> UN CAT Committee and the UN Human Rights Committee </w:t>
      </w:r>
      <w:r>
        <w:t>both emphasise that procedural safeguards and remedies must protect against the risk of ‘chain refoulement’ by ensuring individuals are not removed to countries that do not have adequate asylum procedures.</w:t>
      </w:r>
      <w:r w:rsidR="00315D52">
        <w:rPr>
          <w:rStyle w:val="FootnoteReference"/>
        </w:rPr>
        <w:footnoteReference w:id="56"/>
      </w:r>
      <w:r>
        <w:t xml:space="preserve">  </w:t>
      </w:r>
    </w:p>
    <w:p w14:paraId="53B411E3" w14:textId="56EAB2E1" w:rsidR="00315D52" w:rsidRDefault="00315D52" w:rsidP="00315D52">
      <w:pPr>
        <w:pStyle w:val="ListParagraph"/>
        <w:numPr>
          <w:ilvl w:val="0"/>
          <w:numId w:val="0"/>
        </w:numPr>
      </w:pPr>
      <w:r>
        <w:t xml:space="preserve"> </w:t>
      </w:r>
    </w:p>
    <w:p w14:paraId="038FE4FA" w14:textId="5AE0508A" w:rsidR="00191F3E" w:rsidRDefault="0060206B" w:rsidP="005F3F87">
      <w:pPr>
        <w:pStyle w:val="ListParagraph"/>
        <w:numPr>
          <w:ilvl w:val="1"/>
          <w:numId w:val="10"/>
        </w:numPr>
        <w:ind w:left="709" w:hanging="709"/>
      </w:pPr>
      <w:r>
        <w:lastRenderedPageBreak/>
        <w:t>The</w:t>
      </w:r>
      <w:r w:rsidR="00315D52">
        <w:t xml:space="preserve"> </w:t>
      </w:r>
      <w:r w:rsidR="00315D52" w:rsidRPr="00CE47CC">
        <w:t>UK</w:t>
      </w:r>
      <w:r w:rsidR="00C06DD9">
        <w:t>’s</w:t>
      </w:r>
      <w:r>
        <w:t xml:space="preserve"> </w:t>
      </w:r>
      <w:r w:rsidR="00315D52" w:rsidRPr="00CE47CC">
        <w:t>obligations under the European Convention on Human Rights (ECHR)</w:t>
      </w:r>
      <w:r w:rsidR="000E752A">
        <w:t xml:space="preserve"> </w:t>
      </w:r>
      <w:r w:rsidR="00C06DD9">
        <w:t xml:space="preserve">include the obligation </w:t>
      </w:r>
      <w:r w:rsidR="00315D52" w:rsidRPr="00CE47CC">
        <w:t>to “secure to everyone within their jurisdiction the rights and freedoms” contained within the ECHR.</w:t>
      </w:r>
      <w:r w:rsidR="000E752A">
        <w:rPr>
          <w:rStyle w:val="FootnoteReference"/>
        </w:rPr>
        <w:footnoteReference w:id="57"/>
      </w:r>
      <w:r w:rsidR="00315D52" w:rsidRPr="00CE47CC">
        <w:t xml:space="preserve"> </w:t>
      </w:r>
      <w:r w:rsidR="00315D52">
        <w:t>The</w:t>
      </w:r>
      <w:r w:rsidR="00315D52" w:rsidRPr="00B66CBF">
        <w:t xml:space="preserve"> ECtHR has held that the</w:t>
      </w:r>
      <w:r w:rsidR="00315D52">
        <w:t xml:space="preserve"> removal of people </w:t>
      </w:r>
      <w:r w:rsidR="00315D52" w:rsidRPr="00E1009B">
        <w:t xml:space="preserve">seeking asylum </w:t>
      </w:r>
      <w:r w:rsidR="00315D52">
        <w:t>will</w:t>
      </w:r>
      <w:r w:rsidR="00315D52" w:rsidRPr="00E1009B">
        <w:t xml:space="preserve"> engage ECHR Articles 2 (right to life) and 3 (freedom from torture, inhuman or degrading treatment) where substantial grounds have been shown for believing that the person in question, if </w:t>
      </w:r>
      <w:r w:rsidR="00315D52">
        <w:t>removed</w:t>
      </w:r>
      <w:r w:rsidR="00315D52" w:rsidRPr="00E1009B">
        <w:t>, would face a “real risk” of being subjected to treatment contrary to Articles 2 or 3 in the destination country.</w:t>
      </w:r>
      <w:r w:rsidR="00315D52">
        <w:rPr>
          <w:rStyle w:val="FootnoteReference"/>
        </w:rPr>
        <w:footnoteReference w:id="58"/>
      </w:r>
      <w:r w:rsidR="00315D52">
        <w:t xml:space="preserve"> </w:t>
      </w:r>
    </w:p>
    <w:p w14:paraId="42500ACF" w14:textId="77777777" w:rsidR="00191F3E" w:rsidRDefault="00191F3E" w:rsidP="00191F3E">
      <w:pPr>
        <w:pStyle w:val="ListParagraph"/>
        <w:numPr>
          <w:ilvl w:val="0"/>
          <w:numId w:val="0"/>
        </w:numPr>
      </w:pPr>
    </w:p>
    <w:p w14:paraId="1B3E16A4" w14:textId="13AE779E" w:rsidR="000C67A3" w:rsidRDefault="0D041219" w:rsidP="005F3F87">
      <w:pPr>
        <w:pStyle w:val="ListParagraph"/>
        <w:numPr>
          <w:ilvl w:val="1"/>
          <w:numId w:val="10"/>
        </w:numPr>
        <w:ind w:left="709" w:hanging="709"/>
      </w:pPr>
      <w:r>
        <w:t xml:space="preserve">The </w:t>
      </w:r>
      <w:r w:rsidR="00315D52">
        <w:t xml:space="preserve">ECtHR </w:t>
      </w:r>
      <w:r w:rsidR="5CA1BDDA">
        <w:t xml:space="preserve">has </w:t>
      </w:r>
      <w:r w:rsidR="00315D52">
        <w:t xml:space="preserve">summarised </w:t>
      </w:r>
      <w:proofErr w:type="gramStart"/>
      <w:r w:rsidR="00C06DD9">
        <w:t>a number of</w:t>
      </w:r>
      <w:proofErr w:type="gramEnd"/>
      <w:r w:rsidR="00C06DD9">
        <w:t xml:space="preserve"> </w:t>
      </w:r>
      <w:r w:rsidR="00315D52">
        <w:t xml:space="preserve">principles relating to the application of ECHR </w:t>
      </w:r>
      <w:r w:rsidR="00315D52" w:rsidRPr="00965660">
        <w:t xml:space="preserve">Article 3 </w:t>
      </w:r>
      <w:r w:rsidR="00315D52">
        <w:t xml:space="preserve">in cases involving the </w:t>
      </w:r>
      <w:r w:rsidR="00315D52" w:rsidRPr="00965660">
        <w:t xml:space="preserve">removal of asylum-seekers to </w:t>
      </w:r>
      <w:r w:rsidR="00EC1C63">
        <w:t>“</w:t>
      </w:r>
      <w:r w:rsidR="00315D52" w:rsidRPr="00965660">
        <w:t>third</w:t>
      </w:r>
      <w:r w:rsidR="00315D52">
        <w:t xml:space="preserve"> safe</w:t>
      </w:r>
      <w:r w:rsidR="00315D52" w:rsidRPr="00965660">
        <w:t xml:space="preserve"> countries</w:t>
      </w:r>
      <w:r w:rsidR="00EC1C63">
        <w:t>”</w:t>
      </w:r>
      <w:r w:rsidR="00315D52">
        <w:t>.</w:t>
      </w:r>
      <w:r w:rsidR="00315D52">
        <w:rPr>
          <w:rStyle w:val="FootnoteReference"/>
        </w:rPr>
        <w:footnoteReference w:id="59"/>
      </w:r>
      <w:r w:rsidR="00315D52">
        <w:t xml:space="preserve"> In particular, the Court </w:t>
      </w:r>
      <w:r w:rsidR="01112DE4">
        <w:t>acknowledge</w:t>
      </w:r>
      <w:r w:rsidR="44328130">
        <w:t>d</w:t>
      </w:r>
      <w:r w:rsidR="000C67A3">
        <w:t>,</w:t>
      </w:r>
    </w:p>
    <w:p w14:paraId="37F74F8B" w14:textId="77777777" w:rsidR="000C67A3" w:rsidRDefault="000C67A3" w:rsidP="000C67A3">
      <w:pPr>
        <w:pStyle w:val="ListParagraph"/>
        <w:numPr>
          <w:ilvl w:val="0"/>
          <w:numId w:val="0"/>
        </w:numPr>
      </w:pPr>
    </w:p>
    <w:p w14:paraId="3B6D802B" w14:textId="495CBF56" w:rsidR="00315D52" w:rsidRDefault="00C06DD9" w:rsidP="00CB1EFA">
      <w:pPr>
        <w:pStyle w:val="ListParagraph"/>
        <w:numPr>
          <w:ilvl w:val="0"/>
          <w:numId w:val="0"/>
        </w:numPr>
        <w:ind w:left="1440"/>
      </w:pPr>
      <w:r>
        <w:t>…</w:t>
      </w:r>
      <w:r w:rsidR="00315D52" w:rsidRPr="0071296D">
        <w:t xml:space="preserve">the duty of the removing State to examine thoroughly the question </w:t>
      </w:r>
      <w:proofErr w:type="gramStart"/>
      <w:r w:rsidR="00315D52" w:rsidRPr="0071296D">
        <w:t>whether or not</w:t>
      </w:r>
      <w:proofErr w:type="gramEnd"/>
      <w:r w:rsidR="00315D52" w:rsidRPr="0071296D">
        <w:t xml:space="preserve"> there is a real risk of the asylum seeker being denied access, in the receiving third country, to an adequate asylum procedure, protecting him or her against refoulement. If it is established that the existing guarantees in this regard are insufficient, Article 3 implies a duty that the asylum seekers should not be removed to the third country concerned.</w:t>
      </w:r>
      <w:r w:rsidR="00315D52">
        <w:rPr>
          <w:rStyle w:val="FootnoteReference"/>
        </w:rPr>
        <w:footnoteReference w:id="60"/>
      </w:r>
    </w:p>
    <w:p w14:paraId="4EF0B71B" w14:textId="77777777" w:rsidR="00315D52" w:rsidRDefault="00315D52" w:rsidP="00315D52">
      <w:pPr>
        <w:pStyle w:val="ListParagraph"/>
        <w:numPr>
          <w:ilvl w:val="0"/>
          <w:numId w:val="0"/>
        </w:numPr>
        <w:ind w:left="1440"/>
      </w:pPr>
    </w:p>
    <w:p w14:paraId="4CD6C786" w14:textId="24E19F89" w:rsidR="002F6586" w:rsidRDefault="00315D52" w:rsidP="005F3F87">
      <w:pPr>
        <w:pStyle w:val="ListParagraph"/>
        <w:numPr>
          <w:ilvl w:val="1"/>
          <w:numId w:val="10"/>
        </w:numPr>
        <w:ind w:left="709" w:hanging="709"/>
      </w:pPr>
      <w:r>
        <w:t>These</w:t>
      </w:r>
      <w:r w:rsidRPr="00EA149E">
        <w:t xml:space="preserve"> </w:t>
      </w:r>
      <w:r>
        <w:t>general</w:t>
      </w:r>
      <w:r w:rsidRPr="00EA149E">
        <w:t xml:space="preserve"> principles and </w:t>
      </w:r>
      <w:r>
        <w:t>assurances</w:t>
      </w:r>
      <w:r w:rsidRPr="00EA149E">
        <w:t xml:space="preserve"> </w:t>
      </w:r>
      <w:r>
        <w:t>have</w:t>
      </w:r>
      <w:r w:rsidRPr="00EA149E">
        <w:t xml:space="preserve"> </w:t>
      </w:r>
      <w:r>
        <w:t>been</w:t>
      </w:r>
      <w:r w:rsidRPr="00EA149E">
        <w:t xml:space="preserve"> r</w:t>
      </w:r>
      <w:r>
        <w:t>eaffirmed by the ECtHR</w:t>
      </w:r>
      <w:r w:rsidR="00CB1EFA">
        <w:t xml:space="preserve"> in subsequent cases</w:t>
      </w:r>
      <w:r w:rsidRPr="00EA149E">
        <w:t>.</w:t>
      </w:r>
      <w:r>
        <w:rPr>
          <w:rStyle w:val="FootnoteReference"/>
        </w:rPr>
        <w:footnoteReference w:id="61"/>
      </w:r>
      <w:r w:rsidRPr="00EA149E">
        <w:t xml:space="preserve"> </w:t>
      </w:r>
      <w:r w:rsidR="4B17EC0F">
        <w:t xml:space="preserve">The ECtHR has </w:t>
      </w:r>
      <w:r w:rsidR="00660887">
        <w:t>also reiterated</w:t>
      </w:r>
      <w:r w:rsidR="4B17EC0F">
        <w:t xml:space="preserve"> the need to consider the risk of chain refoulement</w:t>
      </w:r>
      <w:r w:rsidR="001C5894">
        <w:t xml:space="preserve"> as part of the procedural guarantees under ECHR Article 3</w:t>
      </w:r>
      <w:r>
        <w:t>.</w:t>
      </w:r>
      <w:r>
        <w:rPr>
          <w:rStyle w:val="FootnoteReference"/>
        </w:rPr>
        <w:footnoteReference w:id="62"/>
      </w:r>
      <w:r w:rsidRPr="00CA76ED">
        <w:t xml:space="preserve"> </w:t>
      </w:r>
    </w:p>
    <w:p w14:paraId="3B3A0F7C" w14:textId="77777777" w:rsidR="002F6586" w:rsidRDefault="002F6586" w:rsidP="002F6586">
      <w:pPr>
        <w:pStyle w:val="ListParagraph"/>
        <w:numPr>
          <w:ilvl w:val="0"/>
          <w:numId w:val="0"/>
        </w:numPr>
        <w:ind w:left="709"/>
      </w:pPr>
    </w:p>
    <w:p w14:paraId="71184EF2" w14:textId="72092E1B" w:rsidR="001F0520" w:rsidRDefault="6B6D2F34" w:rsidP="005F3F87">
      <w:pPr>
        <w:pStyle w:val="ListParagraph"/>
        <w:numPr>
          <w:ilvl w:val="1"/>
          <w:numId w:val="10"/>
        </w:numPr>
        <w:ind w:left="709" w:hanging="709"/>
      </w:pPr>
      <w:r>
        <w:t>The Government</w:t>
      </w:r>
      <w:r w:rsidR="67BD669C">
        <w:t>,</w:t>
      </w:r>
      <w:r>
        <w:t xml:space="preserve"> in</w:t>
      </w:r>
      <w:r w:rsidR="00707CD7">
        <w:t xml:space="preserve"> </w:t>
      </w:r>
      <w:r w:rsidR="00C06DD9">
        <w:t xml:space="preserve">its </w:t>
      </w:r>
      <w:r w:rsidR="00707CD7">
        <w:t>ECHR Memorandum to the Bill, advise</w:t>
      </w:r>
      <w:r w:rsidR="26A2F8C7">
        <w:t>s</w:t>
      </w:r>
      <w:r w:rsidR="00707CD7">
        <w:t xml:space="preserve"> that clause 2 </w:t>
      </w:r>
      <w:r w:rsidR="00A82A51">
        <w:t xml:space="preserve">should </w:t>
      </w:r>
      <w:r w:rsidR="00707CD7">
        <w:t xml:space="preserve">be read with clause 4(1), which allows an individual to claim that Rwanda is not a safe country for them because of their </w:t>
      </w:r>
      <w:proofErr w:type="gramStart"/>
      <w:r w:rsidR="00707CD7">
        <w:t>particular individual</w:t>
      </w:r>
      <w:proofErr w:type="gramEnd"/>
      <w:r w:rsidR="00707CD7">
        <w:t xml:space="preserve"> circumstances</w:t>
      </w:r>
      <w:r w:rsidR="008E0701">
        <w:t xml:space="preserve"> (discussed further </w:t>
      </w:r>
      <w:r w:rsidR="00C06DD9">
        <w:t xml:space="preserve">below </w:t>
      </w:r>
      <w:r w:rsidR="008E0701">
        <w:t xml:space="preserve">in Section </w:t>
      </w:r>
      <w:r w:rsidR="004A5988">
        <w:t>7</w:t>
      </w:r>
      <w:r w:rsidR="008E0701">
        <w:t>)</w:t>
      </w:r>
      <w:r w:rsidR="00707CD7">
        <w:t xml:space="preserve">. However, clause 4(2) expressly prevents decision-makers from considering whether Rwanda will remove the individual </w:t>
      </w:r>
      <w:r w:rsidR="00707CD7">
        <w:lastRenderedPageBreak/>
        <w:t xml:space="preserve">concerned to another State in contravention of its international obligations, including the Refugee Convention. </w:t>
      </w:r>
    </w:p>
    <w:p w14:paraId="4C9981EA" w14:textId="77777777" w:rsidR="001F0520" w:rsidRDefault="001F0520" w:rsidP="001F0520">
      <w:pPr>
        <w:pStyle w:val="ListParagraph"/>
        <w:numPr>
          <w:ilvl w:val="0"/>
          <w:numId w:val="0"/>
        </w:numPr>
      </w:pPr>
    </w:p>
    <w:p w14:paraId="075CDCCF" w14:textId="599CD806" w:rsidR="001F0520" w:rsidRDefault="001F0520" w:rsidP="005F3F87">
      <w:pPr>
        <w:pStyle w:val="ListParagraph"/>
        <w:numPr>
          <w:ilvl w:val="1"/>
          <w:numId w:val="10"/>
        </w:numPr>
        <w:ind w:left="709" w:hanging="709"/>
      </w:pPr>
      <w:r>
        <w:t>The ECHR Memorandum states “</w:t>
      </w:r>
      <w:r w:rsidRPr="00290296">
        <w:t xml:space="preserve">there is no real risk of onward refoulement in breach of Articles 2 and 3 ECHR arising in practice in relation to </w:t>
      </w:r>
      <w:r w:rsidRPr="00BD3507">
        <w:t>any person</w:t>
      </w:r>
      <w:r>
        <w:t xml:space="preserve">” due to the </w:t>
      </w:r>
      <w:r w:rsidRPr="66088114">
        <w:rPr>
          <w:i/>
          <w:iCs/>
        </w:rPr>
        <w:t>nature</w:t>
      </w:r>
      <w:r>
        <w:t xml:space="preserve"> and </w:t>
      </w:r>
      <w:r w:rsidRPr="66088114">
        <w:rPr>
          <w:i/>
          <w:iCs/>
        </w:rPr>
        <w:t>substance</w:t>
      </w:r>
      <w:r>
        <w:t xml:space="preserve"> of the commitments given by the Rwandan government in its new treaty with the UK.</w:t>
      </w:r>
      <w:r>
        <w:rPr>
          <w:rStyle w:val="FootnoteReference"/>
        </w:rPr>
        <w:footnoteReference w:id="63"/>
      </w:r>
      <w:r>
        <w:t xml:space="preserve"> However, it is clear from ECtHR jurisprudence that the question of safety of a third country must be based on a thorough examination of the “</w:t>
      </w:r>
      <w:r w:rsidRPr="0078309E">
        <w:t xml:space="preserve">accessibility and functioning of the receiving country’s asylum system and the safeguards it affords </w:t>
      </w:r>
      <w:r w:rsidRPr="66088114">
        <w:rPr>
          <w:i/>
          <w:iCs/>
        </w:rPr>
        <w:t>in practice</w:t>
      </w:r>
      <w:r>
        <w:t>”.</w:t>
      </w:r>
      <w:r>
        <w:rPr>
          <w:rStyle w:val="FootnoteReference"/>
        </w:rPr>
        <w:footnoteReference w:id="64"/>
      </w:r>
      <w:r>
        <w:t xml:space="preserve"> The ECtHR states, </w:t>
      </w:r>
    </w:p>
    <w:p w14:paraId="108FA008" w14:textId="77777777" w:rsidR="001F0520" w:rsidRDefault="001F0520" w:rsidP="001F0520">
      <w:pPr>
        <w:pStyle w:val="ListParagraph"/>
        <w:numPr>
          <w:ilvl w:val="0"/>
          <w:numId w:val="0"/>
        </w:numPr>
      </w:pPr>
    </w:p>
    <w:p w14:paraId="3D3812D3" w14:textId="4BB53250" w:rsidR="001F0520" w:rsidRDefault="001F0520" w:rsidP="00E72F14">
      <w:pPr>
        <w:pStyle w:val="ListParagraph"/>
        <w:numPr>
          <w:ilvl w:val="1"/>
          <w:numId w:val="0"/>
        </w:numPr>
        <w:ind w:left="1440"/>
      </w:pPr>
      <w:r>
        <w:t xml:space="preserve">…the </w:t>
      </w:r>
      <w:r w:rsidRPr="0078309E">
        <w:t xml:space="preserve">expelling State cannot merely assume that the asylum seeker will be treated in the receiving third country in conformity with the </w:t>
      </w:r>
      <w:r>
        <w:t>[ECHR]</w:t>
      </w:r>
      <w:r w:rsidRPr="0078309E">
        <w:t xml:space="preserve"> standards but, on the contrary, must first verify how the authorities of that country apply their legislation on asylum in practice</w:t>
      </w:r>
      <w:r>
        <w:t>.</w:t>
      </w:r>
      <w:r>
        <w:rPr>
          <w:rStyle w:val="FootnoteReference"/>
        </w:rPr>
        <w:footnoteReference w:id="65"/>
      </w:r>
    </w:p>
    <w:p w14:paraId="21716BB5" w14:textId="77777777" w:rsidR="00C138C1" w:rsidRPr="00B6571B" w:rsidRDefault="00C138C1" w:rsidP="00B6571B">
      <w:pPr>
        <w:rPr>
          <w:b/>
          <w:bCs/>
        </w:rPr>
      </w:pPr>
    </w:p>
    <w:p w14:paraId="4DCC9D3B" w14:textId="56D1388C" w:rsidR="00B73928" w:rsidRPr="00B73928" w:rsidRDefault="00941E28" w:rsidP="005F3F87">
      <w:pPr>
        <w:pStyle w:val="ListParagraph"/>
        <w:numPr>
          <w:ilvl w:val="1"/>
          <w:numId w:val="10"/>
        </w:numPr>
        <w:ind w:left="709" w:hanging="709"/>
      </w:pPr>
      <w:r>
        <w:t xml:space="preserve">Prior to withdrawal, the UK was also bound by </w:t>
      </w:r>
      <w:r w:rsidR="00B73928">
        <w:t xml:space="preserve">EU Procedures Directive Article 27 </w:t>
      </w:r>
      <w:r w:rsidR="00647835">
        <w:t>(</w:t>
      </w:r>
      <w:r w:rsidR="00B73928">
        <w:t>the safe third country concept</w:t>
      </w:r>
      <w:r w:rsidR="00647835">
        <w:t xml:space="preserve">) which </w:t>
      </w:r>
      <w:r w:rsidR="00B6571B">
        <w:t xml:space="preserve">requires </w:t>
      </w:r>
      <w:r w:rsidR="00647835">
        <w:t xml:space="preserve">that the concept </w:t>
      </w:r>
      <w:r w:rsidR="00B73928">
        <w:t>be applied only where competent authorities satisfy themselves that a person being removed will be treated in accordance with specified principles including “non-refoulement in accordance with the Geneva convention” and other human rights principles</w:t>
      </w:r>
      <w:r w:rsidR="00B73928" w:rsidRPr="00641C2F">
        <w:t>.</w:t>
      </w:r>
      <w:r w:rsidR="00B73928">
        <w:rPr>
          <w:rStyle w:val="FootnoteReference"/>
        </w:rPr>
        <w:footnoteReference w:id="66"/>
      </w:r>
    </w:p>
    <w:p w14:paraId="73ABBF0E" w14:textId="69B131B3" w:rsidR="00B73928" w:rsidRPr="00B73928" w:rsidRDefault="00B73928" w:rsidP="00B73928">
      <w:pPr>
        <w:pStyle w:val="ListParagraph"/>
        <w:numPr>
          <w:ilvl w:val="0"/>
          <w:numId w:val="0"/>
        </w:numPr>
        <w:ind w:left="709"/>
        <w:rPr>
          <w:b/>
          <w:bCs/>
        </w:rPr>
      </w:pPr>
      <w:r w:rsidRPr="00641C2F">
        <w:t xml:space="preserve"> </w:t>
      </w:r>
    </w:p>
    <w:p w14:paraId="11FB2A71" w14:textId="0C3F4E4E" w:rsidR="00315D52" w:rsidRDefault="00876F18" w:rsidP="005F3F87">
      <w:pPr>
        <w:pStyle w:val="ListParagraph"/>
        <w:numPr>
          <w:ilvl w:val="1"/>
          <w:numId w:val="10"/>
        </w:numPr>
        <w:ind w:left="709" w:hanging="709"/>
        <w:rPr>
          <w:b/>
          <w:bCs/>
        </w:rPr>
      </w:pPr>
      <w:r w:rsidRPr="66088114">
        <w:rPr>
          <w:b/>
          <w:bCs/>
        </w:rPr>
        <w:t>The</w:t>
      </w:r>
      <w:r w:rsidR="00315D52" w:rsidRPr="66088114">
        <w:rPr>
          <w:b/>
          <w:bCs/>
        </w:rPr>
        <w:t xml:space="preserve"> NIHRC </w:t>
      </w:r>
      <w:r w:rsidRPr="66088114">
        <w:rPr>
          <w:b/>
          <w:bCs/>
        </w:rPr>
        <w:t xml:space="preserve">advises </w:t>
      </w:r>
      <w:r w:rsidR="00315D52" w:rsidRPr="66088114">
        <w:rPr>
          <w:b/>
          <w:bCs/>
        </w:rPr>
        <w:t>that the very limited exceptions provided for in clause 4 of the Bill</w:t>
      </w:r>
      <w:r w:rsidR="009B0E66" w:rsidRPr="66088114">
        <w:rPr>
          <w:b/>
          <w:bCs/>
        </w:rPr>
        <w:t xml:space="preserve"> </w:t>
      </w:r>
      <w:r w:rsidR="00315D52" w:rsidRPr="66088114">
        <w:rPr>
          <w:b/>
          <w:bCs/>
        </w:rPr>
        <w:t xml:space="preserve">do not provide adequate safeguards that </w:t>
      </w:r>
      <w:r w:rsidR="00161DBE" w:rsidRPr="66088114">
        <w:rPr>
          <w:b/>
          <w:bCs/>
        </w:rPr>
        <w:t xml:space="preserve">mitigate the risk of </w:t>
      </w:r>
      <w:r w:rsidR="00D179AE" w:rsidRPr="66088114">
        <w:rPr>
          <w:b/>
          <w:bCs/>
        </w:rPr>
        <w:t xml:space="preserve">refoulement and </w:t>
      </w:r>
      <w:r w:rsidR="00315D52" w:rsidRPr="66088114">
        <w:rPr>
          <w:b/>
          <w:bCs/>
        </w:rPr>
        <w:t xml:space="preserve">ensure compliance with Articles 2 and 3 ECHR. </w:t>
      </w:r>
      <w:r w:rsidR="7A61F47C" w:rsidRPr="66088114">
        <w:rPr>
          <w:b/>
          <w:bCs/>
        </w:rPr>
        <w:t>In addition</w:t>
      </w:r>
      <w:r w:rsidR="59F024EE" w:rsidRPr="062E3BCD">
        <w:rPr>
          <w:b/>
          <w:bCs/>
        </w:rPr>
        <w:t>,</w:t>
      </w:r>
      <w:r w:rsidR="7A61F47C" w:rsidRPr="66088114">
        <w:rPr>
          <w:b/>
          <w:bCs/>
        </w:rPr>
        <w:t xml:space="preserve"> i</w:t>
      </w:r>
      <w:r w:rsidR="00FE12E2" w:rsidRPr="66088114">
        <w:rPr>
          <w:b/>
          <w:bCs/>
        </w:rPr>
        <w:t>f enacted, c</w:t>
      </w:r>
      <w:r w:rsidR="0037758E" w:rsidRPr="66088114">
        <w:rPr>
          <w:b/>
          <w:bCs/>
        </w:rPr>
        <w:t>lauses 2 and 4</w:t>
      </w:r>
      <w:r w:rsidR="002F755C" w:rsidRPr="66088114">
        <w:rPr>
          <w:b/>
          <w:bCs/>
        </w:rPr>
        <w:t xml:space="preserve"> </w:t>
      </w:r>
      <w:r w:rsidR="0037758E" w:rsidRPr="66088114">
        <w:rPr>
          <w:b/>
          <w:bCs/>
        </w:rPr>
        <w:t xml:space="preserve">would </w:t>
      </w:r>
      <w:r w:rsidR="00DF7072" w:rsidRPr="66088114">
        <w:rPr>
          <w:b/>
          <w:bCs/>
        </w:rPr>
        <w:t>contravene</w:t>
      </w:r>
      <w:r w:rsidR="002F755C" w:rsidRPr="66088114">
        <w:rPr>
          <w:b/>
          <w:bCs/>
        </w:rPr>
        <w:t xml:space="preserve"> the UK’s international obligations under ICCPR, </w:t>
      </w:r>
      <w:r w:rsidR="00DF7072" w:rsidRPr="66088114">
        <w:rPr>
          <w:b/>
          <w:bCs/>
        </w:rPr>
        <w:t xml:space="preserve">UN </w:t>
      </w:r>
      <w:r w:rsidR="002F755C" w:rsidRPr="66088114">
        <w:rPr>
          <w:b/>
          <w:bCs/>
        </w:rPr>
        <w:t>CAT and the 1951 Refugee Convention</w:t>
      </w:r>
      <w:r w:rsidR="00FE12E2" w:rsidRPr="66088114">
        <w:rPr>
          <w:b/>
          <w:bCs/>
        </w:rPr>
        <w:t>.</w:t>
      </w:r>
    </w:p>
    <w:p w14:paraId="0EF85975" w14:textId="77777777" w:rsidR="00B6571B" w:rsidRPr="00B6571B" w:rsidRDefault="00B6571B" w:rsidP="00B6571B">
      <w:pPr>
        <w:pStyle w:val="ListParagraph"/>
        <w:numPr>
          <w:ilvl w:val="0"/>
          <w:numId w:val="0"/>
        </w:numPr>
        <w:rPr>
          <w:b/>
          <w:bCs/>
        </w:rPr>
      </w:pPr>
    </w:p>
    <w:p w14:paraId="4253412E" w14:textId="06E99299" w:rsidR="00B6571B" w:rsidRPr="00876F18" w:rsidRDefault="005418D8" w:rsidP="005F3F87">
      <w:pPr>
        <w:pStyle w:val="ListParagraph"/>
        <w:numPr>
          <w:ilvl w:val="1"/>
          <w:numId w:val="10"/>
        </w:numPr>
        <w:ind w:left="709" w:hanging="709"/>
        <w:rPr>
          <w:b/>
          <w:bCs/>
        </w:rPr>
      </w:pPr>
      <w:r w:rsidRPr="00641C2F">
        <w:rPr>
          <w:b/>
          <w:bCs/>
        </w:rPr>
        <w:t xml:space="preserve">The </w:t>
      </w:r>
      <w:r>
        <w:rPr>
          <w:b/>
          <w:bCs/>
        </w:rPr>
        <w:t xml:space="preserve">NIHRC </w:t>
      </w:r>
      <w:r w:rsidRPr="00641C2F">
        <w:rPr>
          <w:b/>
          <w:bCs/>
        </w:rPr>
        <w:t xml:space="preserve">advises that </w:t>
      </w:r>
      <w:r>
        <w:rPr>
          <w:b/>
          <w:bCs/>
        </w:rPr>
        <w:t>c</w:t>
      </w:r>
      <w:r w:rsidRPr="00641C2F">
        <w:rPr>
          <w:b/>
          <w:bCs/>
        </w:rPr>
        <w:t>lause</w:t>
      </w:r>
      <w:r>
        <w:rPr>
          <w:b/>
          <w:bCs/>
        </w:rPr>
        <w:t>s</w:t>
      </w:r>
      <w:r w:rsidRPr="00641C2F">
        <w:rPr>
          <w:b/>
          <w:bCs/>
        </w:rPr>
        <w:t xml:space="preserve"> 2 </w:t>
      </w:r>
      <w:r>
        <w:rPr>
          <w:b/>
          <w:bCs/>
        </w:rPr>
        <w:t xml:space="preserve">and 4 </w:t>
      </w:r>
      <w:r w:rsidRPr="00641C2F">
        <w:rPr>
          <w:b/>
          <w:bCs/>
        </w:rPr>
        <w:t xml:space="preserve">may be in breach of Windsor Framework Article 2 by diminishing rights previously </w:t>
      </w:r>
      <w:r w:rsidRPr="00641C2F">
        <w:rPr>
          <w:b/>
          <w:bCs/>
        </w:rPr>
        <w:lastRenderedPageBreak/>
        <w:t>protected by the EU Procedures Directive Article 27 (</w:t>
      </w:r>
      <w:r>
        <w:rPr>
          <w:b/>
          <w:bCs/>
        </w:rPr>
        <w:t xml:space="preserve">the </w:t>
      </w:r>
      <w:r w:rsidRPr="00641C2F">
        <w:rPr>
          <w:b/>
          <w:bCs/>
        </w:rPr>
        <w:t>safe third country concept)</w:t>
      </w:r>
      <w:r>
        <w:rPr>
          <w:b/>
          <w:bCs/>
        </w:rPr>
        <w:t xml:space="preserve"> in respect of protection against refoulement</w:t>
      </w:r>
      <w:r w:rsidR="0005077E">
        <w:rPr>
          <w:b/>
          <w:bCs/>
        </w:rPr>
        <w:t>.</w:t>
      </w:r>
    </w:p>
    <w:p w14:paraId="0D1C67AE" w14:textId="77777777" w:rsidR="00C71F04" w:rsidRDefault="00C71F04" w:rsidP="00C71F04">
      <w:pPr>
        <w:pStyle w:val="ListParagraph"/>
        <w:numPr>
          <w:ilvl w:val="0"/>
          <w:numId w:val="0"/>
        </w:numPr>
      </w:pPr>
    </w:p>
    <w:p w14:paraId="510D89A6" w14:textId="3120D7AC" w:rsidR="00315D52" w:rsidRDefault="00D34811" w:rsidP="00D34811">
      <w:pPr>
        <w:pStyle w:val="Heading2"/>
      </w:pPr>
      <w:bookmarkStart w:id="12" w:name="_Toc156823319"/>
      <w:r>
        <w:t xml:space="preserve">Constitutional </w:t>
      </w:r>
      <w:r w:rsidR="00564E3A">
        <w:t>I</w:t>
      </w:r>
      <w:r>
        <w:t>mplications</w:t>
      </w:r>
      <w:bookmarkEnd w:id="12"/>
      <w:r>
        <w:t xml:space="preserve"> </w:t>
      </w:r>
    </w:p>
    <w:p w14:paraId="6E779C10" w14:textId="0941C7D3" w:rsidR="00356B32" w:rsidRDefault="00101288" w:rsidP="005F3F87">
      <w:pPr>
        <w:pStyle w:val="ListParagraph"/>
        <w:numPr>
          <w:ilvl w:val="1"/>
          <w:numId w:val="10"/>
        </w:numPr>
        <w:ind w:left="709" w:hanging="709"/>
      </w:pPr>
      <w:r>
        <w:t>Clause</w:t>
      </w:r>
      <w:r w:rsidR="00315D52">
        <w:t xml:space="preserve"> 2 seeks to declare </w:t>
      </w:r>
      <w:r w:rsidR="00724F56">
        <w:t xml:space="preserve">conclusively that </w:t>
      </w:r>
      <w:r w:rsidR="00315D52">
        <w:t xml:space="preserve">Rwanda </w:t>
      </w:r>
      <w:r w:rsidR="00724F56">
        <w:t xml:space="preserve">is safe and remove any challenge on that point. The courts would be excluded </w:t>
      </w:r>
      <w:r w:rsidR="00315D52">
        <w:t xml:space="preserve">from </w:t>
      </w:r>
      <w:r w:rsidR="000475EB">
        <w:t>assessing</w:t>
      </w:r>
      <w:r w:rsidR="00315D52">
        <w:t xml:space="preserve"> </w:t>
      </w:r>
      <w:r w:rsidR="00724F56">
        <w:t xml:space="preserve">compliance with the so-called safeguards </w:t>
      </w:r>
      <w:r w:rsidR="00A068D5">
        <w:t>in practice</w:t>
      </w:r>
      <w:r w:rsidR="00315D52">
        <w:t>.</w:t>
      </w:r>
      <w:r w:rsidR="00724F56">
        <w:t xml:space="preserve"> In other words, there will be no ability to challenge the safeguards in the treaty and their sufficiency in an individual case or to challenge even a flagrant breach of those safeguards in practice.  In so doing, </w:t>
      </w:r>
      <w:r w:rsidR="00315D52">
        <w:t>the Bill not only interferes with</w:t>
      </w:r>
      <w:r w:rsidR="00146844">
        <w:t xml:space="preserve"> the right to </w:t>
      </w:r>
      <w:r w:rsidR="00724F56">
        <w:t xml:space="preserve">an </w:t>
      </w:r>
      <w:r w:rsidR="00146844">
        <w:t xml:space="preserve">effective remedy </w:t>
      </w:r>
      <w:r w:rsidR="00315D52">
        <w:t xml:space="preserve">under </w:t>
      </w:r>
      <w:r w:rsidR="00130F7A">
        <w:t>Article 13 of the</w:t>
      </w:r>
      <w:r w:rsidR="00315D52">
        <w:t xml:space="preserve"> ECHR </w:t>
      </w:r>
      <w:r w:rsidR="00130F7A">
        <w:t>(</w:t>
      </w:r>
      <w:r w:rsidR="00146844">
        <w:t xml:space="preserve">discussed </w:t>
      </w:r>
      <w:r w:rsidR="00724F56">
        <w:t xml:space="preserve">below </w:t>
      </w:r>
      <w:r w:rsidR="00146844">
        <w:t xml:space="preserve">in Section </w:t>
      </w:r>
      <w:r w:rsidR="001F0849">
        <w:t>6</w:t>
      </w:r>
      <w:r w:rsidR="00146844">
        <w:t xml:space="preserve">) but </w:t>
      </w:r>
      <w:r w:rsidR="008211AC">
        <w:t xml:space="preserve">undermines </w:t>
      </w:r>
      <w:r w:rsidR="00724F56">
        <w:t xml:space="preserve">in a critical way </w:t>
      </w:r>
      <w:r w:rsidR="008211AC">
        <w:t xml:space="preserve">the role of the judiciary </w:t>
      </w:r>
      <w:r w:rsidR="00B93490">
        <w:t>within the UK’s constitutional order</w:t>
      </w:r>
      <w:r w:rsidR="00315D52">
        <w:t>.</w:t>
      </w:r>
    </w:p>
    <w:p w14:paraId="224D09C3" w14:textId="77777777" w:rsidR="00356B32" w:rsidRDefault="00356B32" w:rsidP="00356B32">
      <w:pPr>
        <w:pStyle w:val="ListParagraph"/>
        <w:numPr>
          <w:ilvl w:val="0"/>
          <w:numId w:val="0"/>
        </w:numPr>
        <w:ind w:left="709"/>
      </w:pPr>
    </w:p>
    <w:p w14:paraId="2E16E18D" w14:textId="74568ED5" w:rsidR="00356B32" w:rsidRDefault="002B3ED3" w:rsidP="005F3F87">
      <w:pPr>
        <w:pStyle w:val="ListParagraph"/>
        <w:numPr>
          <w:ilvl w:val="1"/>
          <w:numId w:val="10"/>
        </w:numPr>
        <w:ind w:left="709" w:hanging="709"/>
      </w:pPr>
      <w:r>
        <w:t xml:space="preserve">The NIHRC is mindful of the importance of parliamentary sovereignty and the rule of law. </w:t>
      </w:r>
      <w:r w:rsidR="00356B32" w:rsidRPr="00602366">
        <w:t>Parliamentary sovereignty enables the UK Parliament to create or repeal any law.</w:t>
      </w:r>
      <w:r w:rsidR="00356B32" w:rsidRPr="00602366">
        <w:rPr>
          <w:rStyle w:val="FootnoteReference"/>
        </w:rPr>
        <w:footnoteReference w:id="67"/>
      </w:r>
      <w:r w:rsidR="00356B32" w:rsidRPr="00602366">
        <w:t xml:space="preserve"> No Parliament can pass laws that future Parliaments cannot change, and the courts cannot overrule a Parliament’s legislation.</w:t>
      </w:r>
      <w:r w:rsidR="00356B32" w:rsidRPr="00602366">
        <w:rPr>
          <w:rStyle w:val="FootnoteReference"/>
        </w:rPr>
        <w:footnoteReference w:id="68"/>
      </w:r>
      <w:r w:rsidR="00356B32" w:rsidRPr="00602366">
        <w:t xml:space="preserve"> However, the UK’s separation of powers </w:t>
      </w:r>
      <w:r w:rsidR="00356B32">
        <w:t>doctrine</w:t>
      </w:r>
      <w:r w:rsidR="00356B32" w:rsidRPr="00602366">
        <w:t xml:space="preserve"> </w:t>
      </w:r>
      <w:r w:rsidR="00356B32">
        <w:t>is</w:t>
      </w:r>
      <w:r w:rsidR="00356B32" w:rsidRPr="00602366">
        <w:t xml:space="preserve"> relevant</w:t>
      </w:r>
      <w:r w:rsidR="00356B32">
        <w:t xml:space="preserve"> whereby “major institutions of State should be functionally independent”.</w:t>
      </w:r>
      <w:r w:rsidR="00356B32">
        <w:rPr>
          <w:rStyle w:val="FootnoteReference"/>
        </w:rPr>
        <w:footnoteReference w:id="69"/>
      </w:r>
      <w:r w:rsidR="00356B32" w:rsidRPr="00602366">
        <w:t xml:space="preserve"> Parliament make</w:t>
      </w:r>
      <w:r w:rsidR="00356B32">
        <w:t>s</w:t>
      </w:r>
      <w:r w:rsidR="00356B32" w:rsidRPr="00602366">
        <w:t xml:space="preserve"> </w:t>
      </w:r>
      <w:r w:rsidR="00356B32">
        <w:t xml:space="preserve">(and changes) </w:t>
      </w:r>
      <w:r w:rsidR="00356B32" w:rsidRPr="00602366">
        <w:t>the law, the Executive Government put</w:t>
      </w:r>
      <w:r w:rsidR="00356B32">
        <w:t>s</w:t>
      </w:r>
      <w:r w:rsidR="00356B32" w:rsidRPr="00602366">
        <w:t xml:space="preserve"> the law into action</w:t>
      </w:r>
      <w:r w:rsidR="00356B32">
        <w:t>,</w:t>
      </w:r>
      <w:r w:rsidR="00356B32" w:rsidRPr="00602366">
        <w:t xml:space="preserve"> and the courts </w:t>
      </w:r>
      <w:r w:rsidR="00356B32">
        <w:t xml:space="preserve">make findings on evidence and issue </w:t>
      </w:r>
      <w:r w:rsidR="00356B32" w:rsidRPr="00602366">
        <w:t xml:space="preserve">judgments on the </w:t>
      </w:r>
      <w:r w:rsidR="00356B32">
        <w:t xml:space="preserve">correct interpretation of the </w:t>
      </w:r>
      <w:r w:rsidR="00356B32" w:rsidRPr="00602366">
        <w:t>law. This enables the courts to assess whether it believes that Parliament struck the right balance with a law and to make a judgment suggesting a change to the law as and when the courts deem it necessary.</w:t>
      </w:r>
    </w:p>
    <w:p w14:paraId="70A2BC18" w14:textId="77777777" w:rsidR="00356B32" w:rsidRDefault="00356B32" w:rsidP="00356B32">
      <w:pPr>
        <w:pStyle w:val="ListParagraph"/>
        <w:numPr>
          <w:ilvl w:val="0"/>
          <w:numId w:val="0"/>
        </w:numPr>
        <w:ind w:left="709"/>
      </w:pPr>
    </w:p>
    <w:p w14:paraId="0E7A716E" w14:textId="0B67C91C" w:rsidR="00315D52" w:rsidRDefault="5B6A5E48" w:rsidP="005F3F87">
      <w:pPr>
        <w:pStyle w:val="ListParagraph"/>
        <w:numPr>
          <w:ilvl w:val="1"/>
          <w:numId w:val="10"/>
        </w:numPr>
        <w:ind w:left="709" w:hanging="709"/>
      </w:pPr>
      <w:r>
        <w:t xml:space="preserve">Parliamentary sovereignty provides that it is Parliament’s prerogative whether to follow or disregard the courts’ assessments. However, </w:t>
      </w:r>
      <w:r w:rsidR="482D7E5A">
        <w:t>to</w:t>
      </w:r>
      <w:r w:rsidR="24F53CC8">
        <w:t xml:space="preserve"> uphold </w:t>
      </w:r>
      <w:r w:rsidR="633C317A">
        <w:t xml:space="preserve">the </w:t>
      </w:r>
      <w:r w:rsidR="24F53CC8">
        <w:t xml:space="preserve">established checks and balances </w:t>
      </w:r>
      <w:r w:rsidR="633C317A">
        <w:t xml:space="preserve">that </w:t>
      </w:r>
      <w:r w:rsidR="24F53CC8">
        <w:t>underpin the UK’s constitutio</w:t>
      </w:r>
      <w:r>
        <w:t>n</w:t>
      </w:r>
      <w:r w:rsidR="24F53CC8">
        <w:t xml:space="preserve">, the courts must be able to assess concerns about the </w:t>
      </w:r>
      <w:r w:rsidR="24F53CC8">
        <w:lastRenderedPageBreak/>
        <w:t>safety of Rwanda</w:t>
      </w:r>
      <w:r w:rsidR="667F1222">
        <w:t xml:space="preserve">, including its compliance with the new treaty, </w:t>
      </w:r>
      <w:r w:rsidR="24F53CC8">
        <w:t xml:space="preserve">and to form their own view </w:t>
      </w:r>
      <w:proofErr w:type="gramStart"/>
      <w:r w:rsidR="24F53CC8">
        <w:t>in light of</w:t>
      </w:r>
      <w:proofErr w:type="gramEnd"/>
      <w:r w:rsidR="24F53CC8">
        <w:t xml:space="preserve"> the evidence as a whole.</w:t>
      </w:r>
      <w:r w:rsidR="00315D52">
        <w:rPr>
          <w:rStyle w:val="FootnoteReference"/>
        </w:rPr>
        <w:footnoteReference w:id="70"/>
      </w:r>
      <w:r w:rsidR="24F53CC8">
        <w:t xml:space="preserve"> </w:t>
      </w:r>
    </w:p>
    <w:p w14:paraId="2E044AB3" w14:textId="77777777" w:rsidR="00205780" w:rsidRDefault="00205780" w:rsidP="00205780">
      <w:pPr>
        <w:pStyle w:val="ListParagraph"/>
        <w:numPr>
          <w:ilvl w:val="0"/>
          <w:numId w:val="0"/>
        </w:numPr>
      </w:pPr>
    </w:p>
    <w:p w14:paraId="6F9BD2D0" w14:textId="32C33C43" w:rsidR="00343F17" w:rsidRDefault="31DFF96F" w:rsidP="005F3F87">
      <w:pPr>
        <w:pStyle w:val="ListParagraph"/>
        <w:numPr>
          <w:ilvl w:val="1"/>
          <w:numId w:val="10"/>
        </w:numPr>
        <w:ind w:left="709" w:hanging="709"/>
        <w:rPr>
          <w:b/>
          <w:bCs/>
        </w:rPr>
      </w:pPr>
      <w:r w:rsidRPr="244B1D2B">
        <w:rPr>
          <w:b/>
          <w:bCs/>
        </w:rPr>
        <w:t xml:space="preserve">The NIHRC advises that parliamentary sovereignty and </w:t>
      </w:r>
      <w:r w:rsidR="002B3ED3">
        <w:rPr>
          <w:b/>
          <w:bCs/>
        </w:rPr>
        <w:t xml:space="preserve">the </w:t>
      </w:r>
      <w:r w:rsidRPr="244B1D2B">
        <w:rPr>
          <w:b/>
          <w:bCs/>
        </w:rPr>
        <w:t xml:space="preserve">separation of powers go </w:t>
      </w:r>
      <w:proofErr w:type="gramStart"/>
      <w:r w:rsidRPr="244B1D2B">
        <w:rPr>
          <w:b/>
          <w:bCs/>
        </w:rPr>
        <w:t>hand-in-hand</w:t>
      </w:r>
      <w:proofErr w:type="gramEnd"/>
      <w:r w:rsidRPr="244B1D2B">
        <w:rPr>
          <w:b/>
          <w:bCs/>
        </w:rPr>
        <w:t>. This is not the case in the present Bill, particularly within clause 2.</w:t>
      </w:r>
    </w:p>
    <w:p w14:paraId="47F36F2C" w14:textId="77777777" w:rsidR="00343F17" w:rsidRDefault="00343F17" w:rsidP="00343F17">
      <w:pPr>
        <w:pStyle w:val="ListParagraph"/>
        <w:numPr>
          <w:ilvl w:val="0"/>
          <w:numId w:val="0"/>
        </w:numPr>
      </w:pPr>
    </w:p>
    <w:p w14:paraId="797EC249" w14:textId="0554B5BC" w:rsidR="00DE3765" w:rsidRDefault="00DE3765" w:rsidP="02EEB020">
      <w:pPr>
        <w:pStyle w:val="Heading2"/>
      </w:pPr>
      <w:bookmarkStart w:id="13" w:name="_Toc156823320"/>
      <w:r>
        <w:t>The right to an effective remedy</w:t>
      </w:r>
      <w:r w:rsidR="009F442B">
        <w:t xml:space="preserve"> under </w:t>
      </w:r>
      <w:r w:rsidR="006E51A9">
        <w:t xml:space="preserve">relevant </w:t>
      </w:r>
      <w:r w:rsidR="009F442B">
        <w:t xml:space="preserve">EU </w:t>
      </w:r>
      <w:r w:rsidR="006E51A9">
        <w:t>law</w:t>
      </w:r>
      <w:bookmarkEnd w:id="13"/>
    </w:p>
    <w:p w14:paraId="0EF06CF9" w14:textId="77777777" w:rsidR="00DE3765" w:rsidRDefault="00DE3765" w:rsidP="02EEB020">
      <w:pPr>
        <w:pStyle w:val="ListParagraph"/>
        <w:numPr>
          <w:ilvl w:val="1"/>
          <w:numId w:val="0"/>
        </w:numPr>
      </w:pPr>
    </w:p>
    <w:p w14:paraId="79613045" w14:textId="66878ED0" w:rsidR="004B6402" w:rsidRDefault="004B6402" w:rsidP="005F3F87">
      <w:pPr>
        <w:pStyle w:val="ListParagraph"/>
        <w:numPr>
          <w:ilvl w:val="1"/>
          <w:numId w:val="10"/>
        </w:numPr>
        <w:ind w:left="709" w:hanging="709"/>
      </w:pPr>
      <w:r w:rsidRPr="00641C2F">
        <w:t xml:space="preserve">Article 39 of the </w:t>
      </w:r>
      <w:r>
        <w:t xml:space="preserve">EU </w:t>
      </w:r>
      <w:r w:rsidRPr="00641C2F">
        <w:t>Procedures Directive requires that “applicants for asylum have the right to an effective remedy before a court or tribunal” against a range of types of decision, including a decision taken on their application for asylum</w:t>
      </w:r>
      <w:r>
        <w:t xml:space="preserve"> </w:t>
      </w:r>
      <w:r w:rsidRPr="00641C2F">
        <w:t xml:space="preserve">or a decision to </w:t>
      </w:r>
      <w:r>
        <w:t xml:space="preserve">consider </w:t>
      </w:r>
      <w:r w:rsidRPr="00641C2F">
        <w:t>the application</w:t>
      </w:r>
      <w:r>
        <w:t xml:space="preserve"> inadmissible under Article 25(2) on the grounds of the safe third country concept in Article 27</w:t>
      </w:r>
      <w:r w:rsidRPr="00641C2F">
        <w:t>. Furthermore, the right to an effective remedy in the Directive must be interpreted in line with the EU Charter of Fundamental Rights. As per a recent NI High Court judgement, “the Charter of Fundamental Rights remains enforceable in Northern Ireland and falls within the ambit of Article 2(1) of the Protocol”.</w:t>
      </w:r>
      <w:r w:rsidRPr="00641C2F">
        <w:rPr>
          <w:rStyle w:val="FootnoteReference"/>
        </w:rPr>
        <w:footnoteReference w:id="71"/>
      </w:r>
      <w:r w:rsidRPr="00641C2F">
        <w:t xml:space="preserve"> Furthermore, the CJEU has emphasised the fundamental nature of the right to an effective remedy as per Article 47 of the EU Charter as underscored by Article 39 of the Directive.</w:t>
      </w:r>
      <w:r w:rsidRPr="00641C2F">
        <w:rPr>
          <w:rStyle w:val="FootnoteReference"/>
        </w:rPr>
        <w:footnoteReference w:id="72"/>
      </w:r>
    </w:p>
    <w:p w14:paraId="06F191CA" w14:textId="77777777" w:rsidR="00221877" w:rsidRDefault="00221877" w:rsidP="005226B1">
      <w:pPr>
        <w:pStyle w:val="ListParagraph"/>
        <w:numPr>
          <w:ilvl w:val="0"/>
          <w:numId w:val="0"/>
        </w:numPr>
      </w:pPr>
    </w:p>
    <w:p w14:paraId="14366C9D" w14:textId="3EB8EB57" w:rsidR="00221877" w:rsidRPr="00183A46" w:rsidRDefault="005226B1" w:rsidP="005F3F87">
      <w:pPr>
        <w:pStyle w:val="ListParagraph"/>
        <w:numPr>
          <w:ilvl w:val="1"/>
          <w:numId w:val="10"/>
        </w:numPr>
        <w:ind w:left="709" w:hanging="709"/>
      </w:pPr>
      <w:r w:rsidRPr="00641C2F">
        <w:rPr>
          <w:b/>
          <w:bCs/>
        </w:rPr>
        <w:t xml:space="preserve">The </w:t>
      </w:r>
      <w:r>
        <w:rPr>
          <w:b/>
          <w:bCs/>
        </w:rPr>
        <w:t>NIHRC</w:t>
      </w:r>
      <w:r w:rsidRPr="00641C2F">
        <w:rPr>
          <w:b/>
          <w:bCs/>
        </w:rPr>
        <w:t xml:space="preserve"> advises that the restriction in</w:t>
      </w:r>
      <w:r w:rsidR="00E52FDF">
        <w:rPr>
          <w:b/>
          <w:bCs/>
        </w:rPr>
        <w:t xml:space="preserve"> the operation of and access to courts and tribunals, in</w:t>
      </w:r>
      <w:r w:rsidRPr="00641C2F">
        <w:rPr>
          <w:b/>
          <w:bCs/>
        </w:rPr>
        <w:t xml:space="preserve"> </w:t>
      </w:r>
      <w:r w:rsidR="00E52FDF">
        <w:rPr>
          <w:b/>
          <w:bCs/>
        </w:rPr>
        <w:t>c</w:t>
      </w:r>
      <w:r w:rsidRPr="00641C2F">
        <w:rPr>
          <w:b/>
          <w:bCs/>
        </w:rPr>
        <w:t>lause 2</w:t>
      </w:r>
      <w:r w:rsidR="00E52FDF">
        <w:rPr>
          <w:b/>
          <w:bCs/>
        </w:rPr>
        <w:t>,</w:t>
      </w:r>
      <w:r w:rsidRPr="00641C2F">
        <w:rPr>
          <w:b/>
          <w:bCs/>
        </w:rPr>
        <w:t xml:space="preserve"> may amount to a breach of Windsor Framework Article 2 by diminishing rights previously protected by Article 39 of the </w:t>
      </w:r>
      <w:r>
        <w:rPr>
          <w:b/>
          <w:bCs/>
        </w:rPr>
        <w:t xml:space="preserve">EU </w:t>
      </w:r>
      <w:r w:rsidRPr="00641C2F">
        <w:rPr>
          <w:b/>
          <w:bCs/>
        </w:rPr>
        <w:t>Procedures Directive and Article 47 of the EU Charter.</w:t>
      </w:r>
    </w:p>
    <w:p w14:paraId="309FC1E6" w14:textId="77777777" w:rsidR="00D65E60" w:rsidRDefault="00D65E60" w:rsidP="00183A46">
      <w:pPr>
        <w:pStyle w:val="ListParagraph"/>
        <w:numPr>
          <w:ilvl w:val="0"/>
          <w:numId w:val="0"/>
        </w:numPr>
      </w:pPr>
    </w:p>
    <w:p w14:paraId="287BCE22" w14:textId="37C27905" w:rsidR="00D65E60" w:rsidRDefault="00D65E60" w:rsidP="005F3F87">
      <w:pPr>
        <w:pStyle w:val="ListParagraph"/>
        <w:numPr>
          <w:ilvl w:val="1"/>
          <w:numId w:val="10"/>
        </w:numPr>
        <w:ind w:left="709" w:hanging="709"/>
      </w:pPr>
      <w:r w:rsidRPr="00641C2F">
        <w:t>Clause 2(5) states that the restrictions on courts and tribunals in subsections (3) and (4) apply notwithstanding “any other provision or rule of domestic law”.</w:t>
      </w:r>
    </w:p>
    <w:p w14:paraId="3C55E2DF" w14:textId="77777777" w:rsidR="00D65E60" w:rsidRDefault="00D65E60" w:rsidP="00183A46">
      <w:pPr>
        <w:pStyle w:val="ListParagraph"/>
        <w:numPr>
          <w:ilvl w:val="0"/>
          <w:numId w:val="0"/>
        </w:numPr>
      </w:pPr>
    </w:p>
    <w:p w14:paraId="01E4A9E2" w14:textId="6323873B" w:rsidR="00D65E60" w:rsidRDefault="0069007F" w:rsidP="005F3F87">
      <w:pPr>
        <w:pStyle w:val="ListParagraph"/>
        <w:numPr>
          <w:ilvl w:val="1"/>
          <w:numId w:val="10"/>
        </w:numPr>
        <w:ind w:left="709" w:hanging="709"/>
      </w:pPr>
      <w:r w:rsidRPr="00641C2F">
        <w:t xml:space="preserve">Article 4(1) of the UK-EU Withdrawal Agreement provides that the provisions of the Withdrawal Agreement and provisions of EU law </w:t>
      </w:r>
      <w:r w:rsidRPr="00641C2F">
        <w:lastRenderedPageBreak/>
        <w:t>made applicable by it, shall produce in the UK “the same legal effects” as they produce within the EU and its Member States. As such, “legal or natural persons shall in particular be able to rely directly on the provisions contained or referred to in this Agreement which meet the conditions for direct effect under [EU] law”.</w:t>
      </w:r>
    </w:p>
    <w:p w14:paraId="42E4ACC1" w14:textId="77777777" w:rsidR="0069007F" w:rsidRDefault="0069007F" w:rsidP="00183A46">
      <w:pPr>
        <w:pStyle w:val="ListParagraph"/>
        <w:numPr>
          <w:ilvl w:val="0"/>
          <w:numId w:val="0"/>
        </w:numPr>
      </w:pPr>
    </w:p>
    <w:p w14:paraId="727663EF" w14:textId="6FD2833E" w:rsidR="0069007F" w:rsidRPr="009D1111" w:rsidRDefault="009D1111" w:rsidP="005F3F87">
      <w:pPr>
        <w:pStyle w:val="ListParagraph"/>
        <w:numPr>
          <w:ilvl w:val="1"/>
          <w:numId w:val="10"/>
        </w:numPr>
        <w:ind w:left="709" w:hanging="709"/>
      </w:pPr>
      <w:r w:rsidRPr="00641C2F">
        <w:t xml:space="preserve">The UK Government has recognised that pursuant to Article 4 of the UK-EU Withdrawal Agreement individuals will be able to “bring challenges to the Article 2(1) commitment before the domestic courts”.  As noted above, </w:t>
      </w:r>
      <w:r w:rsidR="00E52FDF">
        <w:t>court judgments</w:t>
      </w:r>
      <w:r w:rsidRPr="00641C2F">
        <w:t xml:space="preserve"> have </w:t>
      </w:r>
      <w:r w:rsidR="00E52FDF">
        <w:t>held</w:t>
      </w:r>
      <w:r w:rsidR="00E52FDF" w:rsidRPr="00641C2F">
        <w:t xml:space="preserve"> </w:t>
      </w:r>
      <w:r w:rsidRPr="00641C2F">
        <w:t xml:space="preserve">that Windsor </w:t>
      </w:r>
      <w:r w:rsidRPr="00641C2F">
        <w:rPr>
          <w:rFonts w:cs="Calibri"/>
        </w:rPr>
        <w:t>Framework Article 2 has direct effect, meaning individuals can assert their rights before domestic courts.</w:t>
      </w:r>
      <w:r w:rsidRPr="00641C2F">
        <w:rPr>
          <w:rFonts w:cs="Calibri"/>
          <w:vertAlign w:val="superscript"/>
        </w:rPr>
        <w:footnoteReference w:id="73"/>
      </w:r>
    </w:p>
    <w:p w14:paraId="1FCBD1E0" w14:textId="77777777" w:rsidR="009D1111" w:rsidRDefault="009D1111" w:rsidP="009D1111">
      <w:pPr>
        <w:pStyle w:val="ListParagraph"/>
        <w:numPr>
          <w:ilvl w:val="0"/>
          <w:numId w:val="0"/>
        </w:numPr>
      </w:pPr>
    </w:p>
    <w:p w14:paraId="5BECA03B" w14:textId="70A068A7" w:rsidR="009D1111" w:rsidRDefault="000E3F19" w:rsidP="005F3F87">
      <w:pPr>
        <w:pStyle w:val="ListParagraph"/>
        <w:numPr>
          <w:ilvl w:val="1"/>
          <w:numId w:val="10"/>
        </w:numPr>
        <w:ind w:left="709" w:hanging="709"/>
      </w:pPr>
      <w:r w:rsidRPr="00641C2F">
        <w:t xml:space="preserve">Clause 2(5) would appear to </w:t>
      </w:r>
      <w:proofErr w:type="gramStart"/>
      <w:r w:rsidRPr="00641C2F">
        <w:t xml:space="preserve">be in conflict </w:t>
      </w:r>
      <w:r>
        <w:t>with</w:t>
      </w:r>
      <w:proofErr w:type="gramEnd"/>
      <w:r>
        <w:t xml:space="preserve"> </w:t>
      </w:r>
      <w:r w:rsidRPr="00641C2F">
        <w:t>Section 7A of the EU (Withdrawal) Act 2018 which gives domestic effect to Article 4 and incorporates all rights, obligations, and remedies arising under the UK-EU Withdrawal Agreement into UK law. Section</w:t>
      </w:r>
      <w:r>
        <w:t xml:space="preserve"> </w:t>
      </w:r>
      <w:r w:rsidRPr="00641C2F">
        <w:t>7</w:t>
      </w:r>
      <w:proofErr w:type="gramStart"/>
      <w:r w:rsidRPr="00641C2F">
        <w:t>A(</w:t>
      </w:r>
      <w:proofErr w:type="gramEnd"/>
      <w:r w:rsidRPr="00641C2F">
        <w:t>3)</w:t>
      </w:r>
      <w:r>
        <w:t xml:space="preserve"> </w:t>
      </w:r>
      <w:r w:rsidRPr="00641C2F">
        <w:t xml:space="preserve">also provides for the primacy of this incorporation over “every enactment”. </w:t>
      </w:r>
      <w:r w:rsidR="005A2792">
        <w:t>The right to an effective remedy</w:t>
      </w:r>
      <w:r>
        <w:t xml:space="preserve"> </w:t>
      </w:r>
      <w:r w:rsidR="005A2792">
        <w:t xml:space="preserve">is </w:t>
      </w:r>
      <w:r>
        <w:t xml:space="preserve">addressed </w:t>
      </w:r>
      <w:r w:rsidRPr="00641C2F">
        <w:t>further below</w:t>
      </w:r>
      <w:r w:rsidR="005A2792">
        <w:t xml:space="preserve"> </w:t>
      </w:r>
      <w:r w:rsidR="00364392">
        <w:t>in</w:t>
      </w:r>
      <w:r w:rsidR="00704EC7">
        <w:t xml:space="preserve"> relation to</w:t>
      </w:r>
      <w:r w:rsidR="005A2792">
        <w:t xml:space="preserve"> </w:t>
      </w:r>
      <w:r w:rsidR="0010488D">
        <w:t>c</w:t>
      </w:r>
      <w:r w:rsidR="005A2792">
        <w:t>lause 4</w:t>
      </w:r>
      <w:r w:rsidRPr="00641C2F">
        <w:t>.</w:t>
      </w:r>
    </w:p>
    <w:p w14:paraId="12F73F06" w14:textId="77777777" w:rsidR="000E3F19" w:rsidRDefault="000E3F19" w:rsidP="00183A46">
      <w:pPr>
        <w:pStyle w:val="ListParagraph"/>
        <w:numPr>
          <w:ilvl w:val="0"/>
          <w:numId w:val="0"/>
        </w:numPr>
      </w:pPr>
    </w:p>
    <w:p w14:paraId="6B3CB4F6" w14:textId="38C59D66" w:rsidR="000E3F19" w:rsidRPr="00270505" w:rsidRDefault="00270505" w:rsidP="005F3F87">
      <w:pPr>
        <w:pStyle w:val="ListParagraph"/>
        <w:numPr>
          <w:ilvl w:val="1"/>
          <w:numId w:val="10"/>
        </w:numPr>
        <w:ind w:left="709" w:hanging="709"/>
        <w:rPr>
          <w:b/>
          <w:bCs/>
        </w:rPr>
      </w:pPr>
      <w:r w:rsidRPr="00641C2F">
        <w:rPr>
          <w:b/>
          <w:bCs/>
        </w:rPr>
        <w:t xml:space="preserve">The </w:t>
      </w:r>
      <w:r w:rsidR="0081775B">
        <w:rPr>
          <w:b/>
          <w:bCs/>
        </w:rPr>
        <w:t>NIHRC</w:t>
      </w:r>
      <w:r w:rsidRPr="00641C2F">
        <w:rPr>
          <w:b/>
          <w:bCs/>
        </w:rPr>
        <w:t xml:space="preserve"> advises that to the extent that </w:t>
      </w:r>
      <w:r w:rsidR="00B779B0">
        <w:rPr>
          <w:b/>
          <w:bCs/>
        </w:rPr>
        <w:t>c</w:t>
      </w:r>
      <w:r w:rsidRPr="00641C2F">
        <w:rPr>
          <w:b/>
          <w:bCs/>
        </w:rPr>
        <w:t>lause 2(5) limits the ability of an individual to seek redress for a potential diminution of Windsor Framework Article 2, it is in breach of Article 4 of the UK-EU Withdrawal Agreement.</w:t>
      </w:r>
    </w:p>
    <w:p w14:paraId="5326CFBE" w14:textId="2085B763" w:rsidR="00E51A1F" w:rsidRPr="00E51A1F" w:rsidRDefault="00E51A1F" w:rsidP="00E51A1F">
      <w:pPr>
        <w:pStyle w:val="ListParagraph"/>
        <w:numPr>
          <w:ilvl w:val="1"/>
          <w:numId w:val="0"/>
        </w:numPr>
        <w:rPr>
          <w:b/>
          <w:bCs/>
        </w:rPr>
      </w:pPr>
    </w:p>
    <w:p w14:paraId="7EFBD4A0" w14:textId="18AC158D" w:rsidR="00CE0514" w:rsidRPr="004A069A" w:rsidRDefault="11C99D92" w:rsidP="005F3F87">
      <w:pPr>
        <w:pStyle w:val="Heading1"/>
        <w:numPr>
          <w:ilvl w:val="0"/>
          <w:numId w:val="11"/>
        </w:numPr>
      </w:pPr>
      <w:bookmarkStart w:id="14" w:name="_Toc156823321"/>
      <w:r>
        <w:t>Clause 3</w:t>
      </w:r>
      <w:r w:rsidR="00B779B0">
        <w:t xml:space="preserve"> and the</w:t>
      </w:r>
      <w:r>
        <w:t xml:space="preserve"> </w:t>
      </w:r>
      <w:r w:rsidR="00CE0514">
        <w:t>Human Rights Act 1998</w:t>
      </w:r>
      <w:bookmarkEnd w:id="14"/>
    </w:p>
    <w:p w14:paraId="5D478EA3" w14:textId="36ABAB1C" w:rsidR="00446B9B" w:rsidRDefault="007B53B9" w:rsidP="005F3F87">
      <w:pPr>
        <w:pStyle w:val="ListParagraph"/>
        <w:numPr>
          <w:ilvl w:val="1"/>
          <w:numId w:val="11"/>
        </w:numPr>
        <w:ind w:left="709" w:hanging="709"/>
      </w:pPr>
      <w:r>
        <w:t xml:space="preserve">Clause 3 of the Bill seeks to </w:t>
      </w:r>
      <w:r w:rsidR="00FD7A2B">
        <w:t xml:space="preserve">disapply sections 2, 3 and 6 to 9 of the Human Rights Act 1998. </w:t>
      </w:r>
      <w:r w:rsidR="008A6F04">
        <w:t>Section 2 of the Human Rights Act 1998 require</w:t>
      </w:r>
      <w:r w:rsidR="004E67FA">
        <w:t>s</w:t>
      </w:r>
      <w:r w:rsidR="008A6F04">
        <w:t xml:space="preserve"> </w:t>
      </w:r>
      <w:r w:rsidR="004242B4">
        <w:t>domestic</w:t>
      </w:r>
      <w:r w:rsidR="008A6F04">
        <w:t xml:space="preserve"> courts</w:t>
      </w:r>
      <w:r w:rsidR="00EC45B1">
        <w:t xml:space="preserve"> to</w:t>
      </w:r>
      <w:r w:rsidR="008A6F04">
        <w:t xml:space="preserve"> </w:t>
      </w:r>
      <w:r w:rsidR="004242B4">
        <w:t>“</w:t>
      </w:r>
      <w:r w:rsidR="008A6F04">
        <w:t>take into account</w:t>
      </w:r>
      <w:r w:rsidR="004242B4">
        <w:t>”</w:t>
      </w:r>
      <w:r w:rsidR="008A6F04">
        <w:t xml:space="preserve"> </w:t>
      </w:r>
      <w:r w:rsidR="004242B4">
        <w:t xml:space="preserve">jurisprudence from </w:t>
      </w:r>
      <w:r w:rsidR="005D3F79">
        <w:t>the</w:t>
      </w:r>
      <w:r w:rsidR="008A6F04">
        <w:t xml:space="preserve"> European Court of Human Rights (ECtHR</w:t>
      </w:r>
      <w:r w:rsidR="008030D7">
        <w:t>)</w:t>
      </w:r>
      <w:r w:rsidR="008A6F04">
        <w:t>.</w:t>
      </w:r>
      <w:r w:rsidR="00FC0FD0">
        <w:t xml:space="preserve"> </w:t>
      </w:r>
      <w:r w:rsidR="00A64BF0">
        <w:t>S</w:t>
      </w:r>
      <w:r w:rsidR="008A6F04">
        <w:t xml:space="preserve">ection 3 of the </w:t>
      </w:r>
      <w:r w:rsidR="00FC0FD0">
        <w:t xml:space="preserve">1998 </w:t>
      </w:r>
      <w:r w:rsidR="00FE2859">
        <w:t xml:space="preserve">Act </w:t>
      </w:r>
      <w:r w:rsidR="008A6F04">
        <w:t>requires courts and public authorities to</w:t>
      </w:r>
      <w:r w:rsidR="00FB7A3F">
        <w:t xml:space="preserve"> interpret</w:t>
      </w:r>
      <w:r w:rsidR="00FC0FD0">
        <w:t xml:space="preserve"> </w:t>
      </w:r>
      <w:r w:rsidR="00337C38">
        <w:t xml:space="preserve">all </w:t>
      </w:r>
      <w:r w:rsidR="00FC0FD0">
        <w:t>UK</w:t>
      </w:r>
      <w:r w:rsidR="008A6F04">
        <w:t xml:space="preserve"> legislation </w:t>
      </w:r>
      <w:r w:rsidR="00FB7A3F">
        <w:t>“</w:t>
      </w:r>
      <w:r w:rsidR="008A6F04">
        <w:t>so far as it is possible to do so</w:t>
      </w:r>
      <w:r w:rsidR="00FB7A3F">
        <w:t>” in an ECHR-compliant way</w:t>
      </w:r>
      <w:r w:rsidR="008A6F04">
        <w:t>.</w:t>
      </w:r>
      <w:r w:rsidR="00B02BEC">
        <w:t xml:space="preserve"> </w:t>
      </w:r>
      <w:r w:rsidR="00AE676F">
        <w:t>By disapplying these sections</w:t>
      </w:r>
      <w:r w:rsidR="00243DEB">
        <w:t>, c</w:t>
      </w:r>
      <w:r w:rsidR="00B02BEC">
        <w:t xml:space="preserve">lause 3 </w:t>
      </w:r>
      <w:r w:rsidR="006E76BF">
        <w:t>seeks to</w:t>
      </w:r>
      <w:r w:rsidR="00243DEB">
        <w:t xml:space="preserve"> </w:t>
      </w:r>
      <w:r w:rsidR="00772AC4">
        <w:t>prevent</w:t>
      </w:r>
      <w:r w:rsidR="00B02BEC">
        <w:t xml:space="preserve"> UK courts </w:t>
      </w:r>
      <w:r w:rsidR="00772AC4">
        <w:t>from</w:t>
      </w:r>
      <w:r w:rsidR="00B02BEC">
        <w:t xml:space="preserve"> </w:t>
      </w:r>
      <w:r w:rsidR="6B422910">
        <w:t xml:space="preserve">hearing a </w:t>
      </w:r>
      <w:r w:rsidR="00B02BEC">
        <w:t>challeng</w:t>
      </w:r>
      <w:r w:rsidR="2024EB8A">
        <w:t>e</w:t>
      </w:r>
      <w:r w:rsidR="00B02BEC">
        <w:t xml:space="preserve"> </w:t>
      </w:r>
      <w:r w:rsidR="2CFCB0F7">
        <w:t xml:space="preserve">to </w:t>
      </w:r>
      <w:r w:rsidR="00F80B23">
        <w:t xml:space="preserve">a government </w:t>
      </w:r>
      <w:r w:rsidR="00B6388C">
        <w:t xml:space="preserve">decision </w:t>
      </w:r>
      <w:r w:rsidR="008A266B">
        <w:t xml:space="preserve">to </w:t>
      </w:r>
      <w:r w:rsidR="006B5167">
        <w:t xml:space="preserve">treat </w:t>
      </w:r>
      <w:r w:rsidR="008A266B">
        <w:t>Rwanda as</w:t>
      </w:r>
      <w:r w:rsidR="00B70AA3">
        <w:t xml:space="preserve"> safe </w:t>
      </w:r>
      <w:proofErr w:type="gramStart"/>
      <w:r w:rsidR="00B02BEC">
        <w:t>on the basis of</w:t>
      </w:r>
      <w:proofErr w:type="gramEnd"/>
      <w:r w:rsidR="00B02BEC">
        <w:t xml:space="preserve"> non-compliance with the ECHR.</w:t>
      </w:r>
    </w:p>
    <w:p w14:paraId="3E7CD62A" w14:textId="77777777" w:rsidR="00B176F9" w:rsidRDefault="00B176F9" w:rsidP="00446B9B">
      <w:pPr>
        <w:pStyle w:val="ListParagraph"/>
        <w:numPr>
          <w:ilvl w:val="0"/>
          <w:numId w:val="0"/>
        </w:numPr>
      </w:pPr>
    </w:p>
    <w:p w14:paraId="66460166" w14:textId="0DBDFDC5" w:rsidR="00492298" w:rsidRDefault="00CD62D1" w:rsidP="005F3F87">
      <w:pPr>
        <w:pStyle w:val="ListParagraph"/>
        <w:numPr>
          <w:ilvl w:val="1"/>
          <w:numId w:val="11"/>
        </w:numPr>
        <w:ind w:left="709" w:hanging="709"/>
      </w:pPr>
      <w:r>
        <w:t xml:space="preserve">Sections 6 to 9 of the Human Rights Act 1998 require public authorities to act compatibly with ECHR rights and provide individuals whose rights have been violated the right to bring proceedings and obtain remedies in domestic courts. </w:t>
      </w:r>
      <w:r w:rsidR="001A368E">
        <w:t xml:space="preserve">The </w:t>
      </w:r>
      <w:r w:rsidR="00C73D77">
        <w:t>disapplication of these sections</w:t>
      </w:r>
      <w:r w:rsidR="001A368E">
        <w:t xml:space="preserve"> </w:t>
      </w:r>
      <w:r w:rsidR="007E71D2" w:rsidRPr="0E18E784">
        <w:rPr>
          <w:color w:val="000000" w:themeColor="text1"/>
        </w:rPr>
        <w:t>suggest</w:t>
      </w:r>
      <w:r w:rsidR="003505E9" w:rsidRPr="0E18E784">
        <w:rPr>
          <w:color w:val="000000" w:themeColor="text1"/>
        </w:rPr>
        <w:t>s</w:t>
      </w:r>
      <w:r w:rsidR="007E71D2" w:rsidRPr="0E18E784">
        <w:rPr>
          <w:color w:val="000000" w:themeColor="text1"/>
        </w:rPr>
        <w:t xml:space="preserve"> a willingness to </w:t>
      </w:r>
      <w:r w:rsidR="71F666E1" w:rsidRPr="0E18E784">
        <w:rPr>
          <w:color w:val="000000" w:themeColor="text1"/>
        </w:rPr>
        <w:t>empower</w:t>
      </w:r>
      <w:r w:rsidR="007E71D2" w:rsidRPr="0E18E784">
        <w:rPr>
          <w:color w:val="000000" w:themeColor="text1"/>
        </w:rPr>
        <w:t xml:space="preserve"> public authorities to act in ways </w:t>
      </w:r>
      <w:r w:rsidR="00CE037D" w:rsidRPr="0E18E784">
        <w:rPr>
          <w:color w:val="000000" w:themeColor="text1"/>
        </w:rPr>
        <w:t xml:space="preserve">that </w:t>
      </w:r>
      <w:r w:rsidR="00DD7C4D" w:rsidRPr="0E18E784">
        <w:rPr>
          <w:color w:val="000000" w:themeColor="text1"/>
        </w:rPr>
        <w:t xml:space="preserve">may </w:t>
      </w:r>
      <w:r w:rsidR="00CE037D" w:rsidRPr="0E18E784">
        <w:rPr>
          <w:color w:val="000000" w:themeColor="text1"/>
        </w:rPr>
        <w:t xml:space="preserve">breach </w:t>
      </w:r>
      <w:r w:rsidR="007E71D2" w:rsidRPr="0E18E784">
        <w:rPr>
          <w:color w:val="000000" w:themeColor="text1"/>
        </w:rPr>
        <w:t xml:space="preserve">the UK’s human rights obligations. </w:t>
      </w:r>
      <w:r w:rsidR="00E01748" w:rsidRPr="0E18E784">
        <w:rPr>
          <w:color w:val="000000" w:themeColor="text1"/>
        </w:rPr>
        <w:t xml:space="preserve">Moreover, </w:t>
      </w:r>
      <w:r w:rsidR="00414B8A" w:rsidRPr="0E18E784">
        <w:rPr>
          <w:color w:val="000000" w:themeColor="text1"/>
        </w:rPr>
        <w:t xml:space="preserve">clause 3 </w:t>
      </w:r>
      <w:r w:rsidR="00B82FF0" w:rsidRPr="0E18E784">
        <w:rPr>
          <w:color w:val="000000" w:themeColor="text1"/>
        </w:rPr>
        <w:t>seeks to</w:t>
      </w:r>
      <w:r w:rsidR="00E01748" w:rsidRPr="0E18E784">
        <w:rPr>
          <w:color w:val="000000" w:themeColor="text1"/>
        </w:rPr>
        <w:t xml:space="preserve"> </w:t>
      </w:r>
      <w:r w:rsidR="004714C9" w:rsidRPr="0E18E784">
        <w:rPr>
          <w:color w:val="000000" w:themeColor="text1"/>
        </w:rPr>
        <w:t>inhibit</w:t>
      </w:r>
      <w:r w:rsidR="00E01748" w:rsidRPr="0E18E784">
        <w:rPr>
          <w:color w:val="000000" w:themeColor="text1"/>
        </w:rPr>
        <w:t xml:space="preserve"> </w:t>
      </w:r>
      <w:r w:rsidR="00935155">
        <w:t xml:space="preserve">direct access to domestic courts for individuals wishing to challenge </w:t>
      </w:r>
      <w:r w:rsidR="000328DF">
        <w:t>a decision to trea</w:t>
      </w:r>
      <w:r w:rsidR="00E73D8D">
        <w:t>t</w:t>
      </w:r>
      <w:r w:rsidR="006A5CB1">
        <w:t xml:space="preserve"> Rwanda</w:t>
      </w:r>
      <w:r w:rsidR="00E73D8D">
        <w:t xml:space="preserve"> as safe</w:t>
      </w:r>
      <w:r w:rsidR="006A5CB1">
        <w:t xml:space="preserve"> </w:t>
      </w:r>
      <w:r w:rsidR="00C02363">
        <w:t xml:space="preserve">and limits </w:t>
      </w:r>
      <w:r w:rsidR="004138BB">
        <w:t>the</w:t>
      </w:r>
      <w:r w:rsidR="00C02363">
        <w:t xml:space="preserve"> ability </w:t>
      </w:r>
      <w:r w:rsidR="00271262">
        <w:t xml:space="preserve">of individuals </w:t>
      </w:r>
      <w:r w:rsidR="00C02363">
        <w:t xml:space="preserve">to secure a </w:t>
      </w:r>
      <w:r w:rsidR="00D12391">
        <w:t xml:space="preserve">domestic </w:t>
      </w:r>
      <w:r w:rsidR="00C02363">
        <w:t xml:space="preserve">remedy for a breach of </w:t>
      </w:r>
      <w:r w:rsidR="00E73D8D">
        <w:t xml:space="preserve">their </w:t>
      </w:r>
      <w:r w:rsidR="00C02363">
        <w:t>ECHR rights.</w:t>
      </w:r>
      <w:r w:rsidR="006834AF">
        <w:t xml:space="preserve"> </w:t>
      </w:r>
    </w:p>
    <w:p w14:paraId="54FD546C" w14:textId="77777777" w:rsidR="00A51CBD" w:rsidRDefault="00A51CBD" w:rsidP="00A51CBD">
      <w:pPr>
        <w:pStyle w:val="ListParagraph"/>
        <w:numPr>
          <w:ilvl w:val="0"/>
          <w:numId w:val="0"/>
        </w:numPr>
      </w:pPr>
    </w:p>
    <w:p w14:paraId="733AB6C2" w14:textId="77777777" w:rsidR="00A51CBD" w:rsidRDefault="44A87763" w:rsidP="005F3F87">
      <w:pPr>
        <w:pStyle w:val="ListParagraph"/>
        <w:numPr>
          <w:ilvl w:val="1"/>
          <w:numId w:val="11"/>
        </w:numPr>
        <w:ind w:left="709" w:hanging="709"/>
      </w:pPr>
      <w:r>
        <w:t xml:space="preserve">Under the ECHR, </w:t>
      </w:r>
      <w:r w:rsidRPr="000E5329">
        <w:t xml:space="preserve">where </w:t>
      </w:r>
      <w:r>
        <w:t>an</w:t>
      </w:r>
      <w:r w:rsidRPr="000E5329">
        <w:t xml:space="preserve"> individual has an “arguable complaint”  that their removal </w:t>
      </w:r>
      <w:r>
        <w:t xml:space="preserve">to a third country </w:t>
      </w:r>
      <w:r w:rsidRPr="000E5329">
        <w:t>would expose them to treatment contrary to Articles 2 and 3, they are entitled to an effective remedy at the domestic level in accordance with Article 13</w:t>
      </w:r>
      <w:r>
        <w:t>.</w:t>
      </w:r>
      <w:r w:rsidR="00A51CBD">
        <w:rPr>
          <w:rStyle w:val="FootnoteReference"/>
        </w:rPr>
        <w:footnoteReference w:id="74"/>
      </w:r>
      <w:r>
        <w:t xml:space="preserve"> While this is acknowledged within the ECHR Memorandum, the UK government concludes that the power to make a declaration of incompatibility under section 4 of the Human Rights Act 1998 is sufficient to satisfy the right to an effective remedy.</w:t>
      </w:r>
      <w:r w:rsidR="00A51CBD">
        <w:rPr>
          <w:rStyle w:val="FootnoteReference"/>
        </w:rPr>
        <w:footnoteReference w:id="75"/>
      </w:r>
      <w:r>
        <w:t xml:space="preserve"> </w:t>
      </w:r>
    </w:p>
    <w:p w14:paraId="2E82231E" w14:textId="77777777" w:rsidR="00A51CBD" w:rsidRDefault="00A51CBD" w:rsidP="00A51CBD">
      <w:pPr>
        <w:pStyle w:val="ListParagraph"/>
        <w:numPr>
          <w:ilvl w:val="0"/>
          <w:numId w:val="0"/>
        </w:numPr>
      </w:pPr>
    </w:p>
    <w:p w14:paraId="518A0C71" w14:textId="6FDB54A0" w:rsidR="00A51CBD" w:rsidRDefault="00B779B0" w:rsidP="005F3F87">
      <w:pPr>
        <w:pStyle w:val="ListParagraph"/>
        <w:numPr>
          <w:ilvl w:val="1"/>
          <w:numId w:val="11"/>
        </w:numPr>
        <w:ind w:left="709" w:hanging="709"/>
      </w:pPr>
      <w:r>
        <w:t>Importantly</w:t>
      </w:r>
      <w:r w:rsidR="00A51CBD">
        <w:t xml:space="preserve">, the ECtHR has held that a declaration of incompatibility alone does not constitute an effective remedy </w:t>
      </w:r>
      <w:r>
        <w:t xml:space="preserve">such </w:t>
      </w:r>
      <w:r w:rsidR="00A51CBD">
        <w:t>that must be exhausted before an application can be made to the ECtHR.</w:t>
      </w:r>
      <w:r w:rsidR="00A51CBD">
        <w:rPr>
          <w:rStyle w:val="FootnoteReference"/>
        </w:rPr>
        <w:footnoteReference w:id="76"/>
      </w:r>
      <w:r w:rsidR="00A51CBD">
        <w:t xml:space="preserve"> The ECtHR noted, “Although a declaration of incompatibility could be sought, there is no obligation following the making of such a declaration for the Government to amend the legislation and no entitlement to damages arises”.</w:t>
      </w:r>
      <w:r w:rsidR="00A51CBD">
        <w:rPr>
          <w:rStyle w:val="FootnoteReference"/>
        </w:rPr>
        <w:footnoteReference w:id="77"/>
      </w:r>
    </w:p>
    <w:p w14:paraId="380C1D06" w14:textId="77777777" w:rsidR="00A51CBD" w:rsidRDefault="00A51CBD" w:rsidP="00A51CBD">
      <w:pPr>
        <w:pStyle w:val="ListParagraph"/>
        <w:numPr>
          <w:ilvl w:val="0"/>
          <w:numId w:val="0"/>
        </w:numPr>
      </w:pPr>
    </w:p>
    <w:p w14:paraId="26EFB4F1" w14:textId="029BDD49" w:rsidR="00A51CBD" w:rsidRDefault="00A51CBD" w:rsidP="005F3F87">
      <w:pPr>
        <w:pStyle w:val="ListParagraph"/>
        <w:numPr>
          <w:ilvl w:val="1"/>
          <w:numId w:val="11"/>
        </w:numPr>
        <w:ind w:left="709" w:hanging="709"/>
      </w:pPr>
      <w:r>
        <w:t xml:space="preserve">Therefore, the NIHRC continues to have grave concerns that the Bill </w:t>
      </w:r>
      <w:r w:rsidR="00B779B0">
        <w:t xml:space="preserve">will </w:t>
      </w:r>
      <w:r w:rsidR="008513A4">
        <w:t xml:space="preserve">deny access to justice </w:t>
      </w:r>
      <w:r w:rsidR="00C67225">
        <w:t xml:space="preserve">for violations of ECHR rights </w:t>
      </w:r>
      <w:r w:rsidR="008513A4">
        <w:t>in the domestic courts</w:t>
      </w:r>
      <w:r>
        <w:t xml:space="preserve">. The ability to issue a declaration of incompatibility will not remediate the fact that clause 2 of the Bill contravenes the UK’s duty to assess the practical effectiveness of Rwanda’s asylum procedures </w:t>
      </w:r>
      <w:r w:rsidR="00456615">
        <w:t>under</w:t>
      </w:r>
      <w:r>
        <w:t xml:space="preserve"> ECHR Articles 2 and 3, while clause 3 prevents judicial scrutiny of whether a person’s ECHR rights are infringed </w:t>
      </w:r>
      <w:r w:rsidR="00456615">
        <w:t>as a result</w:t>
      </w:r>
      <w:r>
        <w:t xml:space="preserve">. </w:t>
      </w:r>
    </w:p>
    <w:p w14:paraId="175AED72" w14:textId="77777777" w:rsidR="005B2743" w:rsidRDefault="005B2743" w:rsidP="00B731AD">
      <w:pPr>
        <w:pStyle w:val="ListParagraph"/>
        <w:numPr>
          <w:ilvl w:val="0"/>
          <w:numId w:val="0"/>
        </w:numPr>
      </w:pPr>
    </w:p>
    <w:p w14:paraId="4D2FA7CB" w14:textId="5B490293" w:rsidR="003A57C3" w:rsidRDefault="005B2743" w:rsidP="005F3F87">
      <w:pPr>
        <w:pStyle w:val="ListParagraph"/>
        <w:numPr>
          <w:ilvl w:val="1"/>
          <w:numId w:val="11"/>
        </w:numPr>
        <w:ind w:left="709" w:hanging="709"/>
      </w:pPr>
      <w:r>
        <w:t xml:space="preserve">While individuals may </w:t>
      </w:r>
      <w:r w:rsidR="0052238E">
        <w:t xml:space="preserve">still </w:t>
      </w:r>
      <w:r>
        <w:t xml:space="preserve">apply to the ECtHR, this </w:t>
      </w:r>
      <w:r w:rsidR="00B779B0">
        <w:t xml:space="preserve">is likely to be </w:t>
      </w:r>
      <w:r w:rsidR="00154148">
        <w:t>an insurmountable</w:t>
      </w:r>
      <w:r>
        <w:t xml:space="preserve"> barrier to </w:t>
      </w:r>
      <w:r w:rsidR="00B779B0">
        <w:t xml:space="preserve">almost all </w:t>
      </w:r>
      <w:r>
        <w:t>individuals</w:t>
      </w:r>
      <w:r w:rsidR="00B779B0">
        <w:t xml:space="preserve">, particularly those </w:t>
      </w:r>
      <w:r>
        <w:t>already facing significant marginalisation</w:t>
      </w:r>
      <w:r w:rsidR="00641CA1">
        <w:t xml:space="preserve">. </w:t>
      </w:r>
      <w:r w:rsidR="008D1135">
        <w:t>C</w:t>
      </w:r>
      <w:r w:rsidR="0007069A">
        <w:t>lause 3 would</w:t>
      </w:r>
      <w:r w:rsidR="00641CA1">
        <w:t xml:space="preserve"> </w:t>
      </w:r>
      <w:r w:rsidR="00696931">
        <w:t xml:space="preserve">effectively </w:t>
      </w:r>
      <w:r w:rsidR="00641CA1">
        <w:t>weaken the</w:t>
      </w:r>
      <w:r w:rsidR="008B4C88">
        <w:t xml:space="preserve"> </w:t>
      </w:r>
      <w:r w:rsidR="00641CA1">
        <w:t xml:space="preserve">ability to protect those who do not have the agency or support to </w:t>
      </w:r>
      <w:r w:rsidR="00B779B0">
        <w:t xml:space="preserve">protect themselves and certainly not to </w:t>
      </w:r>
      <w:r w:rsidR="00641CA1">
        <w:t>test a case before the ECtHR</w:t>
      </w:r>
      <w:r w:rsidR="00B779B0">
        <w:t>.</w:t>
      </w:r>
      <w:r>
        <w:t xml:space="preserve"> </w:t>
      </w:r>
      <w:r w:rsidR="00B779B0">
        <w:t xml:space="preserve">Access to justice is very likely thereby to be removed </w:t>
      </w:r>
      <w:r>
        <w:t>entirely.</w:t>
      </w:r>
    </w:p>
    <w:p w14:paraId="1657F5D7" w14:textId="77777777" w:rsidR="00792F1E" w:rsidRDefault="00792F1E" w:rsidP="00792F1E">
      <w:pPr>
        <w:pStyle w:val="ListParagraph"/>
        <w:numPr>
          <w:ilvl w:val="0"/>
          <w:numId w:val="0"/>
        </w:numPr>
      </w:pPr>
    </w:p>
    <w:p w14:paraId="6B1817DA" w14:textId="218E9DF1" w:rsidR="00792F1E" w:rsidRPr="00792F1E" w:rsidRDefault="00792F1E" w:rsidP="005F3F87">
      <w:pPr>
        <w:pStyle w:val="ListParagraph"/>
        <w:numPr>
          <w:ilvl w:val="1"/>
          <w:numId w:val="11"/>
        </w:numPr>
        <w:ind w:left="709" w:hanging="709"/>
        <w:rPr>
          <w:b/>
          <w:bCs/>
        </w:rPr>
      </w:pPr>
      <w:r w:rsidRPr="00440AAF">
        <w:rPr>
          <w:b/>
          <w:bCs/>
        </w:rPr>
        <w:t xml:space="preserve">The NIHRC advises that disapplying the interpretative and remedial provisions of the Human Rights Act 1998 while dismantling the guarantees enshrined in ECHR Articles 2 and 3 </w:t>
      </w:r>
      <w:r w:rsidR="00B779B0">
        <w:rPr>
          <w:b/>
          <w:bCs/>
        </w:rPr>
        <w:t>does not ensure</w:t>
      </w:r>
      <w:r w:rsidRPr="00440AAF">
        <w:rPr>
          <w:b/>
          <w:bCs/>
        </w:rPr>
        <w:t xml:space="preserve"> the right to an effective remedy under ECHR Article 13. </w:t>
      </w:r>
    </w:p>
    <w:p w14:paraId="3844E74B" w14:textId="77777777" w:rsidR="003A57C3" w:rsidRPr="003A57C3" w:rsidRDefault="003A57C3" w:rsidP="003A57C3">
      <w:pPr>
        <w:pStyle w:val="ListParagraph"/>
        <w:numPr>
          <w:ilvl w:val="0"/>
          <w:numId w:val="0"/>
        </w:numPr>
        <w:rPr>
          <w:color w:val="000000"/>
        </w:rPr>
      </w:pPr>
    </w:p>
    <w:p w14:paraId="0424558C" w14:textId="2A6951A3" w:rsidR="00E57458" w:rsidRDefault="00225388" w:rsidP="00644F0A">
      <w:pPr>
        <w:pStyle w:val="ListParagraph"/>
        <w:numPr>
          <w:ilvl w:val="1"/>
          <w:numId w:val="11"/>
        </w:numPr>
        <w:ind w:left="709" w:hanging="709"/>
      </w:pPr>
      <w:r w:rsidRPr="003A57C3">
        <w:rPr>
          <w:color w:val="000000"/>
        </w:rPr>
        <w:t>Th</w:t>
      </w:r>
      <w:r w:rsidR="00A124E0" w:rsidRPr="003A57C3">
        <w:rPr>
          <w:color w:val="000000"/>
        </w:rPr>
        <w:t xml:space="preserve">is Bill </w:t>
      </w:r>
      <w:r w:rsidR="00B779B0">
        <w:rPr>
          <w:color w:val="000000"/>
        </w:rPr>
        <w:t xml:space="preserve">must also be seen and considered in the wider context of </w:t>
      </w:r>
      <w:r w:rsidRPr="003A57C3">
        <w:rPr>
          <w:color w:val="000000"/>
        </w:rPr>
        <w:t xml:space="preserve">measures </w:t>
      </w:r>
      <w:r w:rsidR="00A124E0" w:rsidRPr="003A57C3">
        <w:rPr>
          <w:color w:val="000000"/>
        </w:rPr>
        <w:t>aiming to</w:t>
      </w:r>
      <w:r w:rsidRPr="003A57C3">
        <w:rPr>
          <w:color w:val="000000"/>
        </w:rPr>
        <w:t xml:space="preserve"> reform </w:t>
      </w:r>
      <w:r w:rsidR="00E9051D" w:rsidRPr="003A57C3">
        <w:rPr>
          <w:color w:val="000000"/>
        </w:rPr>
        <w:t>or</w:t>
      </w:r>
      <w:r w:rsidRPr="003A57C3">
        <w:rPr>
          <w:color w:val="000000"/>
        </w:rPr>
        <w:t xml:space="preserve"> disapply </w:t>
      </w:r>
      <w:r w:rsidR="00B62DB6" w:rsidRPr="003A57C3">
        <w:rPr>
          <w:color w:val="000000"/>
        </w:rPr>
        <w:t>aspects</w:t>
      </w:r>
      <w:r w:rsidRPr="003A57C3">
        <w:rPr>
          <w:color w:val="000000"/>
        </w:rPr>
        <w:t xml:space="preserve"> of the Human Rights Act 1998</w:t>
      </w:r>
      <w:r w:rsidR="00A124E0" w:rsidRPr="003A57C3">
        <w:rPr>
          <w:color w:val="000000"/>
        </w:rPr>
        <w:t>.</w:t>
      </w:r>
      <w:r w:rsidR="008632EA">
        <w:rPr>
          <w:rStyle w:val="FootnoteReference"/>
          <w:color w:val="000000"/>
        </w:rPr>
        <w:footnoteReference w:id="78"/>
      </w:r>
      <w:r w:rsidR="008632EA" w:rsidRPr="003A57C3">
        <w:rPr>
          <w:color w:val="000000"/>
        </w:rPr>
        <w:t xml:space="preserve"> </w:t>
      </w:r>
      <w:r w:rsidR="008D3016">
        <w:t xml:space="preserve">In particular, clause 3 reflects the </w:t>
      </w:r>
      <w:r w:rsidR="009E415A">
        <w:t>premise</w:t>
      </w:r>
      <w:r w:rsidR="008D3016">
        <w:t xml:space="preserve"> of the Bill of Rights Bill to “clarify and rebalance” the relationship between the UK courts, the ECtHR and UK Parliament.</w:t>
      </w:r>
      <w:r w:rsidR="008D3016">
        <w:rPr>
          <w:rStyle w:val="FootnoteReference"/>
        </w:rPr>
        <w:footnoteReference w:id="79"/>
      </w:r>
      <w:r w:rsidR="00FB5187">
        <w:t xml:space="preserve"> The NIHRC would draw attention to its submission on the Bill of Rights Bill which </w:t>
      </w:r>
      <w:r w:rsidR="00F62C1D">
        <w:t>set</w:t>
      </w:r>
      <w:r w:rsidR="008B00F1">
        <w:t>s</w:t>
      </w:r>
      <w:r w:rsidR="00F62C1D">
        <w:t xml:space="preserve"> out in detail</w:t>
      </w:r>
      <w:r w:rsidR="00FB5187">
        <w:t xml:space="preserve"> </w:t>
      </w:r>
      <w:r w:rsidR="008B00F1">
        <w:t>how</w:t>
      </w:r>
      <w:r w:rsidR="00FB5187">
        <w:t xml:space="preserve"> State discretion is already embedded within domestic legislation</w:t>
      </w:r>
      <w:r w:rsidR="000B1D22">
        <w:t>.</w:t>
      </w:r>
      <w:r w:rsidR="00F62C1D">
        <w:rPr>
          <w:rStyle w:val="FootnoteReference"/>
        </w:rPr>
        <w:footnoteReference w:id="80"/>
      </w:r>
      <w:r w:rsidR="000B1D22">
        <w:t xml:space="preserve"> </w:t>
      </w:r>
    </w:p>
    <w:p w14:paraId="72A49176" w14:textId="77777777" w:rsidR="008A60E2" w:rsidRDefault="008A60E2" w:rsidP="008A60E2">
      <w:pPr>
        <w:pStyle w:val="ListParagraph"/>
        <w:numPr>
          <w:ilvl w:val="1"/>
          <w:numId w:val="0"/>
        </w:numPr>
      </w:pPr>
    </w:p>
    <w:p w14:paraId="153DD017" w14:textId="6E9C8364" w:rsidR="00CE0514" w:rsidRDefault="00225388" w:rsidP="005F3F87">
      <w:pPr>
        <w:pStyle w:val="ListParagraph"/>
        <w:numPr>
          <w:ilvl w:val="1"/>
          <w:numId w:val="11"/>
        </w:numPr>
        <w:ind w:left="709" w:hanging="709"/>
        <w:rPr>
          <w:b/>
          <w:bCs/>
        </w:rPr>
      </w:pPr>
      <w:r w:rsidRPr="654B9CC1">
        <w:rPr>
          <w:b/>
          <w:bCs/>
        </w:rPr>
        <w:t xml:space="preserve">The NIHRC </w:t>
      </w:r>
      <w:r w:rsidR="008574DA" w:rsidRPr="654B9CC1">
        <w:rPr>
          <w:b/>
          <w:bCs/>
        </w:rPr>
        <w:t xml:space="preserve">advises that </w:t>
      </w:r>
      <w:r w:rsidR="00B779B0" w:rsidRPr="654B9CC1">
        <w:rPr>
          <w:b/>
          <w:bCs/>
        </w:rPr>
        <w:t>the</w:t>
      </w:r>
      <w:r w:rsidR="008574DA" w:rsidRPr="654B9CC1">
        <w:rPr>
          <w:b/>
          <w:bCs/>
        </w:rPr>
        <w:t xml:space="preserve"> balanced relationship between the UK courts, ECtHR and UK Parliament </w:t>
      </w:r>
      <w:r w:rsidR="00B779B0" w:rsidRPr="654B9CC1">
        <w:rPr>
          <w:b/>
          <w:bCs/>
        </w:rPr>
        <w:t xml:space="preserve">will be upset </w:t>
      </w:r>
      <w:r w:rsidR="00E8778B" w:rsidRPr="654B9CC1">
        <w:rPr>
          <w:b/>
          <w:bCs/>
        </w:rPr>
        <w:t xml:space="preserve">by this approach and one consequence includes the </w:t>
      </w:r>
      <w:r w:rsidRPr="654B9CC1">
        <w:rPr>
          <w:b/>
          <w:bCs/>
        </w:rPr>
        <w:t>weaken</w:t>
      </w:r>
      <w:r w:rsidR="00E8778B" w:rsidRPr="654B9CC1">
        <w:rPr>
          <w:b/>
          <w:bCs/>
        </w:rPr>
        <w:t xml:space="preserve">ing of </w:t>
      </w:r>
      <w:r w:rsidRPr="654B9CC1">
        <w:rPr>
          <w:b/>
          <w:bCs/>
        </w:rPr>
        <w:t>protection afforded to individuals seeking asylum in the UK.</w:t>
      </w:r>
    </w:p>
    <w:p w14:paraId="008E0130" w14:textId="77777777" w:rsidR="00654E6C" w:rsidRDefault="00654E6C" w:rsidP="00654E6C">
      <w:pPr>
        <w:pStyle w:val="ListParagraph"/>
        <w:numPr>
          <w:ilvl w:val="0"/>
          <w:numId w:val="0"/>
        </w:numPr>
        <w:rPr>
          <w:b/>
          <w:bCs/>
        </w:rPr>
      </w:pPr>
    </w:p>
    <w:p w14:paraId="459BAECE" w14:textId="12CA6FED" w:rsidR="00654E6C" w:rsidRPr="00A67A37" w:rsidRDefault="00654E6C" w:rsidP="00E146E5">
      <w:pPr>
        <w:pStyle w:val="ListParagraph"/>
        <w:numPr>
          <w:ilvl w:val="0"/>
          <w:numId w:val="0"/>
        </w:numPr>
        <w:rPr>
          <w:b/>
          <w:bCs/>
        </w:rPr>
      </w:pPr>
    </w:p>
    <w:p w14:paraId="0C167895" w14:textId="3A9DB399" w:rsidR="00CE0514" w:rsidRDefault="6FFD6E9E" w:rsidP="005F3F87">
      <w:pPr>
        <w:pStyle w:val="Heading1"/>
        <w:numPr>
          <w:ilvl w:val="0"/>
          <w:numId w:val="11"/>
        </w:numPr>
        <w:spacing w:line="276" w:lineRule="auto"/>
        <w:jc w:val="left"/>
      </w:pPr>
      <w:bookmarkStart w:id="15" w:name="_Toc156823322"/>
      <w:r>
        <w:t>Clause 4</w:t>
      </w:r>
      <w:r w:rsidR="009241BE">
        <w:t>:</w:t>
      </w:r>
      <w:r>
        <w:t xml:space="preserve"> </w:t>
      </w:r>
      <w:r w:rsidR="00E61F9B">
        <w:t xml:space="preserve">Decisions </w:t>
      </w:r>
      <w:r w:rsidR="002013FA">
        <w:t>B</w:t>
      </w:r>
      <w:r w:rsidR="00E61F9B">
        <w:t xml:space="preserve">ased on </w:t>
      </w:r>
      <w:r w:rsidR="002013FA">
        <w:t>I</w:t>
      </w:r>
      <w:r w:rsidR="00E61F9B">
        <w:t xml:space="preserve">ndividual </w:t>
      </w:r>
      <w:r w:rsidR="002013FA">
        <w:t>C</w:t>
      </w:r>
      <w:r w:rsidR="00E61F9B">
        <w:t>ircumstances</w:t>
      </w:r>
      <w:bookmarkEnd w:id="15"/>
    </w:p>
    <w:p w14:paraId="0ABA1677" w14:textId="77777777" w:rsidR="002013FA" w:rsidRPr="002013FA" w:rsidRDefault="002013FA" w:rsidP="002013FA"/>
    <w:p w14:paraId="45732C05" w14:textId="3BC7AA49" w:rsidR="00C56840" w:rsidRDefault="00E8778B" w:rsidP="005F3F87">
      <w:pPr>
        <w:pStyle w:val="ListParagraph"/>
        <w:numPr>
          <w:ilvl w:val="1"/>
          <w:numId w:val="11"/>
        </w:numPr>
        <w:ind w:left="709" w:hanging="709"/>
      </w:pPr>
      <w:r>
        <w:t>It is suggested that c</w:t>
      </w:r>
      <w:r w:rsidR="001856B9">
        <w:t xml:space="preserve">lause 4 of the Bill </w:t>
      </w:r>
      <w:r>
        <w:t>enables</w:t>
      </w:r>
      <w:r w:rsidR="001856B9">
        <w:t xml:space="preserve"> officials and courts </w:t>
      </w:r>
      <w:r>
        <w:t xml:space="preserve">to </w:t>
      </w:r>
      <w:r w:rsidR="001856B9">
        <w:t xml:space="preserve">consider whether Rwanda is safe for an individual, “based on </w:t>
      </w:r>
      <w:r w:rsidR="001856B9">
        <w:lastRenderedPageBreak/>
        <w:t>compelling evidence relating specifically to the person’s particular circumstances”.</w:t>
      </w:r>
      <w:r w:rsidR="00C8231D">
        <w:t xml:space="preserve"> </w:t>
      </w:r>
      <w:r>
        <w:t xml:space="preserve">The NIHRC does not agree. </w:t>
      </w:r>
    </w:p>
    <w:p w14:paraId="7D43D719" w14:textId="77777777" w:rsidR="00792F1E" w:rsidRDefault="00792F1E" w:rsidP="00792F1E">
      <w:pPr>
        <w:pStyle w:val="ListParagraph"/>
        <w:numPr>
          <w:ilvl w:val="0"/>
          <w:numId w:val="0"/>
        </w:numPr>
        <w:ind w:left="709"/>
      </w:pPr>
    </w:p>
    <w:p w14:paraId="78F84966" w14:textId="79B8BEFF" w:rsidR="00C56840" w:rsidRDefault="00C56840" w:rsidP="005F3F87">
      <w:pPr>
        <w:pStyle w:val="ListParagraph"/>
        <w:numPr>
          <w:ilvl w:val="1"/>
          <w:numId w:val="11"/>
        </w:numPr>
        <w:ind w:left="709" w:hanging="709"/>
      </w:pPr>
      <w:r>
        <w:t xml:space="preserve">The ECtHR emphasises the particular importance of </w:t>
      </w:r>
      <w:r w:rsidR="00E8778B">
        <w:t xml:space="preserve">the </w:t>
      </w:r>
      <w:r>
        <w:t>ECHR Article 13 requirements in removal cases. The effectiveness of procedural guarantees</w:t>
      </w:r>
      <w:r w:rsidR="003D487B">
        <w:t xml:space="preserve"> under Article 13</w:t>
      </w:r>
      <w:r>
        <w:t xml:space="preserve"> ultimately protects individuals from arbitrary removal and the</w:t>
      </w:r>
      <w:r w:rsidRPr="003D77DF">
        <w:t xml:space="preserve"> irreversible nature of the damage which may result if the risk of torture or ill-treatment materialises</w:t>
      </w:r>
      <w:r>
        <w:t>.</w:t>
      </w:r>
      <w:r>
        <w:rPr>
          <w:rStyle w:val="FootnoteReference"/>
        </w:rPr>
        <w:footnoteReference w:id="81"/>
      </w:r>
      <w:r>
        <w:t xml:space="preserve"> The ECtHR has specified that </w:t>
      </w:r>
      <w:r w:rsidRPr="00081692">
        <w:t xml:space="preserve">the effectiveness of a remedy within the meaning of Article 13 imperatively requires </w:t>
      </w:r>
      <w:r>
        <w:t>“</w:t>
      </w:r>
      <w:r w:rsidRPr="00081692">
        <w:t>independent and rigorous scrutiny of any claim that there exist substantial grounds for fearing a real risk of treatment contrary to Article 3</w:t>
      </w:r>
      <w:r>
        <w:t>”</w:t>
      </w:r>
      <w:r w:rsidRPr="00081692">
        <w:t xml:space="preserve"> </w:t>
      </w:r>
      <w:r>
        <w:t>and</w:t>
      </w:r>
      <w:r w:rsidRPr="00081692">
        <w:t xml:space="preserve"> </w:t>
      </w:r>
      <w:r>
        <w:t>“</w:t>
      </w:r>
      <w:r w:rsidRPr="00081692">
        <w:t>access to a remedy with automatic suspensive effect</w:t>
      </w:r>
      <w:r>
        <w:t>”.</w:t>
      </w:r>
      <w:r>
        <w:rPr>
          <w:rStyle w:val="FootnoteReference"/>
        </w:rPr>
        <w:footnoteReference w:id="82"/>
      </w:r>
      <w:r>
        <w:t xml:space="preserve"> </w:t>
      </w:r>
    </w:p>
    <w:p w14:paraId="215D0C31" w14:textId="77777777" w:rsidR="00C56840" w:rsidRDefault="00C56840" w:rsidP="00C56840">
      <w:pPr>
        <w:pStyle w:val="ListParagraph"/>
        <w:numPr>
          <w:ilvl w:val="0"/>
          <w:numId w:val="0"/>
        </w:numPr>
        <w:ind w:left="709"/>
      </w:pPr>
    </w:p>
    <w:p w14:paraId="64A0522E" w14:textId="5489847A" w:rsidR="0082641D" w:rsidRDefault="61B6A825" w:rsidP="005F3F87">
      <w:pPr>
        <w:pStyle w:val="ListParagraph"/>
        <w:numPr>
          <w:ilvl w:val="1"/>
          <w:numId w:val="11"/>
        </w:numPr>
        <w:ind w:left="709" w:hanging="709"/>
      </w:pPr>
      <w:r>
        <w:t xml:space="preserve">The NIHRC </w:t>
      </w:r>
      <w:r w:rsidR="2B0761EF">
        <w:t>notes that clause 4 permits limited</w:t>
      </w:r>
      <w:r>
        <w:t xml:space="preserve"> consideration to</w:t>
      </w:r>
      <w:r w:rsidR="3217DD7C" w:rsidRPr="00940060">
        <w:t xml:space="preserve"> </w:t>
      </w:r>
      <w:r w:rsidR="304B30D7">
        <w:t xml:space="preserve">an </w:t>
      </w:r>
      <w:r w:rsidR="3217DD7C" w:rsidRPr="00940060">
        <w:t>individual</w:t>
      </w:r>
      <w:r w:rsidR="304B30D7">
        <w:t>’s</w:t>
      </w:r>
      <w:r w:rsidR="3217DD7C" w:rsidRPr="00940060">
        <w:t xml:space="preserve"> circumstances</w:t>
      </w:r>
      <w:r w:rsidR="2466D483">
        <w:t>. H</w:t>
      </w:r>
      <w:r w:rsidR="776F86B9">
        <w:t>owever</w:t>
      </w:r>
      <w:r w:rsidR="2466D483">
        <w:t>,</w:t>
      </w:r>
      <w:r w:rsidR="01AA0747">
        <w:t xml:space="preserve"> as </w:t>
      </w:r>
      <w:r w:rsidR="6CFE0C0E">
        <w:t xml:space="preserve">highlighted </w:t>
      </w:r>
      <w:r w:rsidR="01AA0747">
        <w:t xml:space="preserve">by the ECtHR, </w:t>
      </w:r>
      <w:r w:rsidR="01AA0747" w:rsidRPr="000F6DC2">
        <w:t xml:space="preserve">the requirements of Article 13, </w:t>
      </w:r>
      <w:r w:rsidR="01AA0747">
        <w:t>in conjunction with other ECHR Articles</w:t>
      </w:r>
      <w:r w:rsidR="01AA0747" w:rsidRPr="000F6DC2">
        <w:t xml:space="preserve">, </w:t>
      </w:r>
      <w:r w:rsidR="556F8367">
        <w:t>“</w:t>
      </w:r>
      <w:r w:rsidR="01AA0747" w:rsidRPr="000F6DC2">
        <w:t>take the form of a guarantee and not of a mere statement of intent or a practical arrangement</w:t>
      </w:r>
      <w:r w:rsidR="556F8367">
        <w:t>”</w:t>
      </w:r>
      <w:r w:rsidR="01AA0747" w:rsidRPr="000F6DC2">
        <w:t>.</w:t>
      </w:r>
      <w:r w:rsidR="00A95F70">
        <w:rPr>
          <w:rStyle w:val="FootnoteReference"/>
        </w:rPr>
        <w:footnoteReference w:id="83"/>
      </w:r>
      <w:r w:rsidR="556F8367">
        <w:t xml:space="preserve"> </w:t>
      </w:r>
      <w:r w:rsidR="61B18DAD">
        <w:t>It is therefore imperative that clause 4 is</w:t>
      </w:r>
      <w:r w:rsidR="556F8367">
        <w:t xml:space="preserve"> e</w:t>
      </w:r>
      <w:r w:rsidR="78C49A99">
        <w:t>ffective in practice</w:t>
      </w:r>
      <w:r w:rsidR="76BBC548">
        <w:t xml:space="preserve"> and, on that, the NIHRC </w:t>
      </w:r>
      <w:r w:rsidR="41B0CC36">
        <w:t xml:space="preserve">has </w:t>
      </w:r>
      <w:r w:rsidR="720731B8">
        <w:t xml:space="preserve">significant concerns </w:t>
      </w:r>
      <w:r w:rsidR="41B0CC36">
        <w:t>regarding the</w:t>
      </w:r>
      <w:r w:rsidR="720731B8">
        <w:t xml:space="preserve"> </w:t>
      </w:r>
      <w:r w:rsidR="502C7D8A">
        <w:t>number of</w:t>
      </w:r>
      <w:r w:rsidR="3217DD7C" w:rsidRPr="00940060">
        <w:t xml:space="preserve"> restrictions </w:t>
      </w:r>
      <w:r w:rsidR="720731B8">
        <w:t>placed</w:t>
      </w:r>
      <w:r w:rsidR="3217DD7C" w:rsidRPr="00940060">
        <w:t xml:space="preserve"> on </w:t>
      </w:r>
      <w:r w:rsidR="73D6B89F">
        <w:t xml:space="preserve">decision-making </w:t>
      </w:r>
      <w:r w:rsidR="0D89AB3A">
        <w:t>procedures</w:t>
      </w:r>
      <w:r w:rsidR="56C30AED">
        <w:t xml:space="preserve"> within clause 4.</w:t>
      </w:r>
      <w:r w:rsidR="3F2F3234">
        <w:t xml:space="preserve"> </w:t>
      </w:r>
    </w:p>
    <w:p w14:paraId="70A96451" w14:textId="77777777" w:rsidR="0082641D" w:rsidRDefault="0082641D" w:rsidP="0082641D">
      <w:pPr>
        <w:pStyle w:val="ListParagraph"/>
        <w:numPr>
          <w:ilvl w:val="0"/>
          <w:numId w:val="0"/>
        </w:numPr>
        <w:ind w:left="709"/>
      </w:pPr>
    </w:p>
    <w:p w14:paraId="2201D24A" w14:textId="0AC10208" w:rsidR="00BB35DD" w:rsidRDefault="00940060" w:rsidP="005F3F87">
      <w:pPr>
        <w:pStyle w:val="ListParagraph"/>
        <w:numPr>
          <w:ilvl w:val="1"/>
          <w:numId w:val="11"/>
        </w:numPr>
        <w:ind w:left="709" w:hanging="709"/>
      </w:pPr>
      <w:r>
        <w:t>First, cl</w:t>
      </w:r>
      <w:r w:rsidR="00D56E32">
        <w:t>ause 4</w:t>
      </w:r>
      <w:r w:rsidR="001E1712">
        <w:t>(2)</w:t>
      </w:r>
      <w:r w:rsidR="00D56E32">
        <w:t xml:space="preserve"> precludes </w:t>
      </w:r>
      <w:r w:rsidR="000E03F5">
        <w:t xml:space="preserve">officials and courts from considering any </w:t>
      </w:r>
      <w:r w:rsidR="00087550">
        <w:t>matter, claim or complaint relating to th</w:t>
      </w:r>
      <w:r w:rsidR="00493918">
        <w:t>e</w:t>
      </w:r>
      <w:r w:rsidR="00B75012">
        <w:t xml:space="preserve"> </w:t>
      </w:r>
      <w:r w:rsidR="00067A69">
        <w:t>individual’s risk of refoulement</w:t>
      </w:r>
      <w:r w:rsidR="006A4618">
        <w:t xml:space="preserve"> following their removal.</w:t>
      </w:r>
      <w:r w:rsidR="009E7C2C">
        <w:t xml:space="preserve"> </w:t>
      </w:r>
      <w:r w:rsidR="00C56840">
        <w:t>The</w:t>
      </w:r>
      <w:r w:rsidR="00C56840" w:rsidRPr="009E7C2C">
        <w:t xml:space="preserve"> UK’s procedural obligations under Article</w:t>
      </w:r>
      <w:r w:rsidR="00C56840">
        <w:t>s 2 and</w:t>
      </w:r>
      <w:r w:rsidR="00C56840" w:rsidRPr="009E7C2C">
        <w:t xml:space="preserve"> 3 </w:t>
      </w:r>
      <w:r w:rsidR="00C56840">
        <w:t xml:space="preserve">of the </w:t>
      </w:r>
      <w:r w:rsidR="00C56840" w:rsidRPr="009E7C2C">
        <w:t xml:space="preserve">ECHR require consideration of </w:t>
      </w:r>
      <w:r w:rsidR="00C56840">
        <w:t>the individual’s risk of</w:t>
      </w:r>
      <w:r w:rsidR="00C56840" w:rsidRPr="009E7C2C">
        <w:t xml:space="preserve"> refoulement</w:t>
      </w:r>
      <w:r w:rsidR="00C56840">
        <w:t xml:space="preserve"> following removal to</w:t>
      </w:r>
      <w:r w:rsidR="00C56840" w:rsidRPr="009E7C2C">
        <w:t xml:space="preserve"> a third country</w:t>
      </w:r>
      <w:r w:rsidR="00C56840">
        <w:t>, prior to their removal</w:t>
      </w:r>
      <w:r w:rsidR="00C56840" w:rsidRPr="009E7C2C">
        <w:t>.</w:t>
      </w:r>
      <w:r w:rsidR="00C56840" w:rsidRPr="009E7C2C">
        <w:rPr>
          <w:vertAlign w:val="superscript"/>
        </w:rPr>
        <w:footnoteReference w:id="84"/>
      </w:r>
      <w:r w:rsidR="00C56840">
        <w:t xml:space="preserve"> Obligations under ICCPR, UN CAT and the 1951 Refugee Convention also</w:t>
      </w:r>
      <w:r w:rsidR="00C56840" w:rsidRPr="00CD1C71">
        <w:t xml:space="preserve"> require States to provide individualised assessment procedures </w:t>
      </w:r>
      <w:r w:rsidR="00C56840">
        <w:t xml:space="preserve">protecting against the risk of refoulement and </w:t>
      </w:r>
      <w:r w:rsidR="00C56840" w:rsidRPr="00CD1C71">
        <w:t xml:space="preserve">access to a right of appeal </w:t>
      </w:r>
      <w:r w:rsidR="00C56840">
        <w:t>with</w:t>
      </w:r>
      <w:r w:rsidR="00C56840" w:rsidRPr="00CD1C71">
        <w:t xml:space="preserve"> suspensive effect.</w:t>
      </w:r>
      <w:r w:rsidR="00C56840" w:rsidRPr="00CD1C71">
        <w:rPr>
          <w:vertAlign w:val="superscript"/>
        </w:rPr>
        <w:footnoteReference w:id="85"/>
      </w:r>
      <w:r w:rsidR="00C56840">
        <w:t xml:space="preserve"> </w:t>
      </w:r>
    </w:p>
    <w:p w14:paraId="7FA74371" w14:textId="6766C113" w:rsidR="000169D6" w:rsidRPr="00291D8D" w:rsidRDefault="000169D6" w:rsidP="00291D8D">
      <w:pPr>
        <w:rPr>
          <w:rFonts w:cs="Poppins"/>
          <w:shd w:val="clear" w:color="auto" w:fill="FFFFFF"/>
        </w:rPr>
      </w:pPr>
    </w:p>
    <w:p w14:paraId="0AE806A7" w14:textId="54A21F09" w:rsidR="00FB3DBE" w:rsidRPr="00C4414A" w:rsidRDefault="00AA04BB" w:rsidP="005F3F87">
      <w:pPr>
        <w:pStyle w:val="ListParagraph"/>
        <w:numPr>
          <w:ilvl w:val="1"/>
          <w:numId w:val="11"/>
        </w:numPr>
        <w:ind w:left="709" w:hanging="709"/>
        <w:jc w:val="left"/>
        <w:rPr>
          <w:rFonts w:cs="Poppins"/>
          <w:shd w:val="clear" w:color="auto" w:fill="FFFFFF"/>
        </w:rPr>
      </w:pPr>
      <w:r>
        <w:rPr>
          <w:rFonts w:cs="Poppins"/>
          <w:shd w:val="clear" w:color="auto" w:fill="FFFFFF"/>
        </w:rPr>
        <w:t>Second, c</w:t>
      </w:r>
      <w:r w:rsidR="00761ECB">
        <w:rPr>
          <w:rFonts w:cs="Poppins"/>
          <w:shd w:val="clear" w:color="auto" w:fill="FFFFFF"/>
        </w:rPr>
        <w:t>lause 4</w:t>
      </w:r>
      <w:r w:rsidR="00590E26">
        <w:rPr>
          <w:rFonts w:cs="Poppins"/>
          <w:shd w:val="clear" w:color="auto" w:fill="FFFFFF"/>
        </w:rPr>
        <w:t xml:space="preserve">(4) </w:t>
      </w:r>
      <w:r w:rsidR="00867CFC">
        <w:rPr>
          <w:rFonts w:cs="Poppins"/>
          <w:shd w:val="clear" w:color="auto" w:fill="FFFFFF"/>
        </w:rPr>
        <w:t>places</w:t>
      </w:r>
      <w:r w:rsidR="00301AFB">
        <w:rPr>
          <w:rFonts w:cs="Poppins"/>
          <w:shd w:val="clear" w:color="auto" w:fill="FFFFFF"/>
        </w:rPr>
        <w:t xml:space="preserve"> </w:t>
      </w:r>
      <w:r w:rsidR="00301AFB">
        <w:t>restrict</w:t>
      </w:r>
      <w:r w:rsidR="00867CFC">
        <w:t>ions on</w:t>
      </w:r>
      <w:r w:rsidR="00301AFB">
        <w:t xml:space="preserve"> the power of a UK court or tribunal to grant</w:t>
      </w:r>
      <w:r w:rsidR="00CD71FE">
        <w:t xml:space="preserve"> domestic</w:t>
      </w:r>
      <w:r w:rsidR="00301AFB">
        <w:t xml:space="preserve"> interim remedies to prevent a person from being removed to Rwanda</w:t>
      </w:r>
      <w:r w:rsidR="00301AFB">
        <w:rPr>
          <w:rFonts w:cs="Poppins"/>
          <w:shd w:val="clear" w:color="auto" w:fill="FFFFFF"/>
        </w:rPr>
        <w:t xml:space="preserve">. Such </w:t>
      </w:r>
      <w:r w:rsidR="00EC4485">
        <w:rPr>
          <w:rFonts w:cs="Poppins"/>
          <w:shd w:val="clear" w:color="auto" w:fill="FFFFFF"/>
        </w:rPr>
        <w:t xml:space="preserve">interim </w:t>
      </w:r>
      <w:r w:rsidR="003A458E">
        <w:rPr>
          <w:rFonts w:cs="Poppins"/>
          <w:shd w:val="clear" w:color="auto" w:fill="FFFFFF"/>
        </w:rPr>
        <w:t>remedies</w:t>
      </w:r>
      <w:r w:rsidR="00657FD5" w:rsidRPr="00657FD5">
        <w:rPr>
          <w:rFonts w:cs="Poppins"/>
          <w:shd w:val="clear" w:color="auto" w:fill="FFFFFF"/>
        </w:rPr>
        <w:t xml:space="preserve"> can</w:t>
      </w:r>
      <w:r w:rsidR="00BE3961">
        <w:rPr>
          <w:rFonts w:cs="Poppins"/>
          <w:shd w:val="clear" w:color="auto" w:fill="FFFFFF"/>
        </w:rPr>
        <w:t xml:space="preserve"> only</w:t>
      </w:r>
      <w:r w:rsidR="00657FD5" w:rsidRPr="00657FD5">
        <w:rPr>
          <w:rFonts w:cs="Poppins"/>
          <w:shd w:val="clear" w:color="auto" w:fill="FFFFFF"/>
        </w:rPr>
        <w:t xml:space="preserve"> be issued where </w:t>
      </w:r>
      <w:r w:rsidR="00193EEA">
        <w:rPr>
          <w:rFonts w:cs="Poppins"/>
          <w:shd w:val="clear" w:color="auto" w:fill="FFFFFF"/>
        </w:rPr>
        <w:t xml:space="preserve">the court or tribunal is satisfied that </w:t>
      </w:r>
      <w:r w:rsidR="00340413">
        <w:rPr>
          <w:rFonts w:cs="Poppins"/>
          <w:shd w:val="clear" w:color="auto" w:fill="FFFFFF"/>
        </w:rPr>
        <w:t>the person would</w:t>
      </w:r>
      <w:r w:rsidR="00A24CCB">
        <w:rPr>
          <w:rFonts w:cs="Poppins"/>
          <w:shd w:val="clear" w:color="auto" w:fill="FFFFFF"/>
        </w:rPr>
        <w:t xml:space="preserve"> </w:t>
      </w:r>
      <w:r w:rsidR="00657FD5" w:rsidRPr="00657FD5">
        <w:rPr>
          <w:rFonts w:cs="Poppins"/>
          <w:shd w:val="clear" w:color="auto" w:fill="FFFFFF"/>
        </w:rPr>
        <w:t>“</w:t>
      </w:r>
      <w:r w:rsidR="00A24CCB">
        <w:rPr>
          <w:rFonts w:cs="Poppins"/>
          <w:shd w:val="clear" w:color="auto" w:fill="FFFFFF"/>
        </w:rPr>
        <w:t xml:space="preserve">face </w:t>
      </w:r>
      <w:r w:rsidR="00657FD5" w:rsidRPr="00657FD5">
        <w:rPr>
          <w:rFonts w:cs="Poppins"/>
          <w:shd w:val="clear" w:color="auto" w:fill="FFFFFF"/>
        </w:rPr>
        <w:t>a real, imminent and foreseeable risk of serious and irreversible harm</w:t>
      </w:r>
      <w:r w:rsidR="004F685B">
        <w:rPr>
          <w:rFonts w:cs="Poppins"/>
          <w:shd w:val="clear" w:color="auto" w:fill="FFFFFF"/>
        </w:rPr>
        <w:t>”</w:t>
      </w:r>
      <w:r w:rsidR="009029FC">
        <w:rPr>
          <w:rFonts w:cs="Poppins"/>
          <w:shd w:val="clear" w:color="auto" w:fill="FFFFFF"/>
        </w:rPr>
        <w:t xml:space="preserve"> in Rwanda </w:t>
      </w:r>
      <w:r w:rsidR="009029FC">
        <w:t>before the review or appeal is determined</w:t>
      </w:r>
      <w:r w:rsidR="00657FD5" w:rsidRPr="00657FD5">
        <w:rPr>
          <w:rFonts w:cs="Poppins"/>
          <w:shd w:val="clear" w:color="auto" w:fill="FFFFFF"/>
        </w:rPr>
        <w:t>.</w:t>
      </w:r>
      <w:r w:rsidR="00FB3DBE">
        <w:rPr>
          <w:rFonts w:cs="Poppins"/>
          <w:shd w:val="clear" w:color="auto" w:fill="FFFFFF"/>
        </w:rPr>
        <w:t xml:space="preserve"> </w:t>
      </w:r>
      <w:r w:rsidR="00711B87">
        <w:t xml:space="preserve">This proposal </w:t>
      </w:r>
      <w:r w:rsidR="00DA6C97">
        <w:t xml:space="preserve">seeks to </w:t>
      </w:r>
      <w:r w:rsidR="00C15F48">
        <w:t>overt</w:t>
      </w:r>
      <w:r w:rsidR="000066F5">
        <w:t xml:space="preserve">urn </w:t>
      </w:r>
      <w:r w:rsidR="00711B87">
        <w:t xml:space="preserve">the UK’s responsibility to ensure the lawfulness and appropriateness of an individual’s </w:t>
      </w:r>
      <w:r w:rsidR="005C22B7">
        <w:t>removal</w:t>
      </w:r>
      <w:r w:rsidR="00711B87">
        <w:t xml:space="preserve"> to Rwanda.</w:t>
      </w:r>
      <w:r w:rsidR="00711B87">
        <w:rPr>
          <w:rStyle w:val="FootnoteReference"/>
        </w:rPr>
        <w:footnoteReference w:id="86"/>
      </w:r>
      <w:r w:rsidR="00953A43">
        <w:t xml:space="preserve"> It </w:t>
      </w:r>
      <w:r w:rsidR="0021668A">
        <w:t xml:space="preserve">therefore </w:t>
      </w:r>
      <w:r w:rsidR="00FB3DBE">
        <w:t xml:space="preserve">places </w:t>
      </w:r>
      <w:r w:rsidR="00E8778B">
        <w:t xml:space="preserve">the onus and </w:t>
      </w:r>
      <w:r w:rsidR="00FB3DBE">
        <w:t xml:space="preserve">an excessive </w:t>
      </w:r>
      <w:r w:rsidR="00E8778B">
        <w:t xml:space="preserve">burden </w:t>
      </w:r>
      <w:r w:rsidR="00FB3DBE">
        <w:t>on the asylum-seeker</w:t>
      </w:r>
      <w:r w:rsidR="00E8778B">
        <w:t>,</w:t>
      </w:r>
      <w:r w:rsidR="00FB3DBE">
        <w:t xml:space="preserve"> who is unlikely to know about conditions in Rwanda and its asylum </w:t>
      </w:r>
      <w:r w:rsidR="00791BFA">
        <w:t>system and</w:t>
      </w:r>
      <w:r w:rsidR="004F0E84">
        <w:t xml:space="preserve"> may </w:t>
      </w:r>
      <w:r w:rsidR="00791BFA">
        <w:t>have limited access</w:t>
      </w:r>
      <w:r w:rsidR="004F0E84">
        <w:t xml:space="preserve"> to legal advice</w:t>
      </w:r>
      <w:r w:rsidR="00FB3DBE">
        <w:t>.</w:t>
      </w:r>
      <w:r w:rsidR="00FB3DBE">
        <w:rPr>
          <w:rStyle w:val="FootnoteReference"/>
        </w:rPr>
        <w:footnoteReference w:id="87"/>
      </w:r>
      <w:r w:rsidR="00FB3DBE">
        <w:t xml:space="preserve"> </w:t>
      </w:r>
    </w:p>
    <w:p w14:paraId="72D76606" w14:textId="77777777" w:rsidR="00C4414A" w:rsidRPr="00C4414A" w:rsidRDefault="00C4414A" w:rsidP="00C4414A">
      <w:pPr>
        <w:pStyle w:val="ListParagraph"/>
        <w:numPr>
          <w:ilvl w:val="0"/>
          <w:numId w:val="0"/>
        </w:numPr>
        <w:rPr>
          <w:rFonts w:cs="Poppins"/>
          <w:shd w:val="clear" w:color="auto" w:fill="FFFFFF"/>
        </w:rPr>
      </w:pPr>
    </w:p>
    <w:p w14:paraId="4C04E524" w14:textId="4989099E" w:rsidR="00C4414A" w:rsidRPr="00B56494" w:rsidRDefault="00E8778B" w:rsidP="005F3F87">
      <w:pPr>
        <w:pStyle w:val="ListParagraph"/>
        <w:numPr>
          <w:ilvl w:val="1"/>
          <w:numId w:val="11"/>
        </w:numPr>
        <w:ind w:left="709" w:hanging="709"/>
        <w:jc w:val="left"/>
        <w:rPr>
          <w:rStyle w:val="markedcontent"/>
          <w:rFonts w:cs="Arial"/>
        </w:rPr>
      </w:pPr>
      <w:r>
        <w:rPr>
          <w:rStyle w:val="markedcontent"/>
          <w:rFonts w:cs="Arial"/>
        </w:rPr>
        <w:t>Such an</w:t>
      </w:r>
      <w:r w:rsidRPr="000C7E43">
        <w:rPr>
          <w:rStyle w:val="markedcontent"/>
          <w:rFonts w:cs="Arial"/>
        </w:rPr>
        <w:t xml:space="preserve"> </w:t>
      </w:r>
      <w:r w:rsidR="00C4414A" w:rsidRPr="000C7E43">
        <w:rPr>
          <w:rStyle w:val="markedcontent"/>
          <w:rFonts w:cs="Arial"/>
        </w:rPr>
        <w:t xml:space="preserve">approach </w:t>
      </w:r>
      <w:r w:rsidR="009964F5">
        <w:rPr>
          <w:rStyle w:val="markedcontent"/>
          <w:rFonts w:cs="Arial"/>
        </w:rPr>
        <w:t>is</w:t>
      </w:r>
      <w:r w:rsidR="00C4414A" w:rsidRPr="000C7E43">
        <w:rPr>
          <w:rStyle w:val="markedcontent"/>
          <w:rFonts w:cs="Arial"/>
        </w:rPr>
        <w:t xml:space="preserve"> inconsistent with the right to seek and enjoy asylum</w:t>
      </w:r>
      <w:r w:rsidR="00DB6B0D" w:rsidRPr="000C7E43">
        <w:rPr>
          <w:rStyle w:val="markedcontent"/>
          <w:rFonts w:cs="Arial"/>
        </w:rPr>
        <w:t xml:space="preserve"> </w:t>
      </w:r>
      <w:r w:rsidR="00C4414A" w:rsidRPr="000C7E43">
        <w:rPr>
          <w:rStyle w:val="markedcontent"/>
          <w:rFonts w:cs="Arial"/>
        </w:rPr>
        <w:t>under Article 14(1) of the Universal Declaration of Human Rights</w:t>
      </w:r>
      <w:r w:rsidR="00DB6B0D" w:rsidRPr="000C7E43">
        <w:rPr>
          <w:rStyle w:val="markedcontent"/>
          <w:rFonts w:cs="Arial"/>
        </w:rPr>
        <w:t xml:space="preserve"> </w:t>
      </w:r>
      <w:r w:rsidR="00C4414A" w:rsidRPr="000C7E43">
        <w:rPr>
          <w:rStyle w:val="markedcontent"/>
          <w:rFonts w:cs="Arial"/>
        </w:rPr>
        <w:t xml:space="preserve">and the </w:t>
      </w:r>
      <w:r w:rsidR="00DB6B0D" w:rsidRPr="000C7E43">
        <w:rPr>
          <w:rStyle w:val="markedcontent"/>
          <w:rFonts w:cs="Arial"/>
        </w:rPr>
        <w:t xml:space="preserve">1951 </w:t>
      </w:r>
      <w:r w:rsidR="00C4414A" w:rsidRPr="000C7E43">
        <w:rPr>
          <w:rStyle w:val="markedcontent"/>
          <w:rFonts w:cs="Arial"/>
        </w:rPr>
        <w:t>Refugee Convention.</w:t>
      </w:r>
      <w:r w:rsidR="00B7228B">
        <w:rPr>
          <w:rStyle w:val="markedcontent"/>
          <w:rFonts w:cs="Arial"/>
        </w:rPr>
        <w:t xml:space="preserve"> </w:t>
      </w:r>
      <w:r w:rsidR="00981E78" w:rsidRPr="0054245D">
        <w:rPr>
          <w:rStyle w:val="markedcontent"/>
          <w:rFonts w:cs="Arial"/>
          <w:shd w:val="clear" w:color="auto" w:fill="FFFFFF"/>
        </w:rPr>
        <w:t>The</w:t>
      </w:r>
      <w:r w:rsidR="00C4414A" w:rsidRPr="0054245D">
        <w:rPr>
          <w:rStyle w:val="markedcontent"/>
          <w:rFonts w:cs="Arial"/>
          <w:shd w:val="clear" w:color="auto" w:fill="FFFFFF"/>
        </w:rPr>
        <w:t xml:space="preserve"> primary responsibility for identifying and assessing international protection needs and</w:t>
      </w:r>
      <w:r w:rsidR="000C7E43" w:rsidRPr="0054245D">
        <w:rPr>
          <w:rStyle w:val="markedcontent"/>
          <w:rFonts w:cs="Arial"/>
          <w:shd w:val="clear" w:color="auto" w:fill="FFFFFF"/>
        </w:rPr>
        <w:t xml:space="preserve"> </w:t>
      </w:r>
      <w:r w:rsidR="00C4414A" w:rsidRPr="0054245D">
        <w:rPr>
          <w:rStyle w:val="markedcontent"/>
          <w:rFonts w:cs="Arial"/>
          <w:shd w:val="clear" w:color="auto" w:fill="FFFFFF"/>
        </w:rPr>
        <w:t>ensuring</w:t>
      </w:r>
      <w:r w:rsidR="000C7E43" w:rsidRPr="0054245D">
        <w:rPr>
          <w:rStyle w:val="markedcontent"/>
          <w:rFonts w:cs="Arial"/>
          <w:shd w:val="clear" w:color="auto" w:fill="FFFFFF"/>
        </w:rPr>
        <w:t xml:space="preserve"> </w:t>
      </w:r>
      <w:r w:rsidR="00A450EA" w:rsidRPr="0054245D">
        <w:rPr>
          <w:rStyle w:val="markedcontent"/>
          <w:rFonts w:cs="Arial"/>
          <w:shd w:val="clear" w:color="auto" w:fill="FFFFFF"/>
        </w:rPr>
        <w:t xml:space="preserve">fair and efficient </w:t>
      </w:r>
      <w:r w:rsidR="00C4414A" w:rsidRPr="0054245D">
        <w:rPr>
          <w:rStyle w:val="markedcontent"/>
          <w:rFonts w:cs="Arial"/>
          <w:shd w:val="clear" w:color="auto" w:fill="FFFFFF"/>
        </w:rPr>
        <w:t>asylum procedures, rests with the State in which a</w:t>
      </w:r>
      <w:r w:rsidR="009E1972" w:rsidRPr="0054245D">
        <w:rPr>
          <w:rStyle w:val="markedcontent"/>
          <w:rFonts w:cs="Arial"/>
          <w:shd w:val="clear" w:color="auto" w:fill="FFFFFF"/>
        </w:rPr>
        <w:t>n</w:t>
      </w:r>
      <w:r w:rsidR="000C7E43" w:rsidRPr="0054245D">
        <w:rPr>
          <w:rStyle w:val="markedcontent"/>
          <w:rFonts w:cs="Arial"/>
          <w:shd w:val="clear" w:color="auto" w:fill="FFFFFF"/>
        </w:rPr>
        <w:t xml:space="preserve"> </w:t>
      </w:r>
      <w:r w:rsidR="00C4414A" w:rsidRPr="0054245D">
        <w:rPr>
          <w:rStyle w:val="markedcontent"/>
          <w:rFonts w:cs="Arial"/>
          <w:shd w:val="clear" w:color="auto" w:fill="FFFFFF"/>
        </w:rPr>
        <w:t>applicant arrives and seeks protection.</w:t>
      </w:r>
      <w:r w:rsidR="004E6FB0">
        <w:rPr>
          <w:rStyle w:val="FootnoteReference"/>
          <w:rFonts w:cs="Arial"/>
          <w:shd w:val="clear" w:color="auto" w:fill="FFFFFF"/>
        </w:rPr>
        <w:footnoteReference w:id="88"/>
      </w:r>
      <w:r w:rsidR="00C4414A" w:rsidRPr="0054245D">
        <w:rPr>
          <w:rStyle w:val="markedcontent"/>
          <w:rFonts w:cs="Arial"/>
          <w:shd w:val="clear" w:color="auto" w:fill="FFFFFF"/>
        </w:rPr>
        <w:t xml:space="preserve"> </w:t>
      </w:r>
      <w:r w:rsidR="006C17BD" w:rsidRPr="0054245D">
        <w:rPr>
          <w:rStyle w:val="markedcontent"/>
          <w:rFonts w:cs="Arial"/>
          <w:shd w:val="clear" w:color="auto" w:fill="FFFFFF"/>
        </w:rPr>
        <w:t xml:space="preserve">The onus is </w:t>
      </w:r>
      <w:r w:rsidR="00877C3A" w:rsidRPr="0054245D">
        <w:rPr>
          <w:rStyle w:val="markedcontent"/>
          <w:rFonts w:cs="Arial"/>
          <w:shd w:val="clear" w:color="auto" w:fill="FFFFFF"/>
        </w:rPr>
        <w:t>on the State</w:t>
      </w:r>
      <w:r w:rsidR="00C4414A" w:rsidRPr="0054245D">
        <w:rPr>
          <w:rStyle w:val="markedcontent"/>
          <w:rFonts w:cs="Arial"/>
          <w:shd w:val="clear" w:color="auto" w:fill="FFFFFF"/>
        </w:rPr>
        <w:t xml:space="preserve"> to make inquiries as to the need for international protection of </w:t>
      </w:r>
      <w:r w:rsidR="009E1972" w:rsidRPr="0054245D">
        <w:rPr>
          <w:rStyle w:val="markedcontent"/>
          <w:rFonts w:cs="Arial"/>
          <w:shd w:val="clear" w:color="auto" w:fill="FFFFFF"/>
        </w:rPr>
        <w:t xml:space="preserve">the </w:t>
      </w:r>
      <w:r w:rsidR="00C4414A" w:rsidRPr="0054245D">
        <w:rPr>
          <w:rStyle w:val="markedcontent"/>
          <w:rFonts w:cs="Arial"/>
          <w:shd w:val="clear" w:color="auto" w:fill="FFFFFF"/>
        </w:rPr>
        <w:t>person</w:t>
      </w:r>
      <w:r w:rsidR="009E1972" w:rsidRPr="0054245D">
        <w:rPr>
          <w:rStyle w:val="markedcontent"/>
          <w:rFonts w:cs="Arial"/>
          <w:shd w:val="clear" w:color="auto" w:fill="FFFFFF"/>
        </w:rPr>
        <w:t xml:space="preserve"> concerned</w:t>
      </w:r>
      <w:r w:rsidR="00877C3A" w:rsidRPr="0054245D">
        <w:rPr>
          <w:rStyle w:val="markedcontent"/>
          <w:rFonts w:cs="Arial"/>
          <w:shd w:val="clear" w:color="auto" w:fill="FFFFFF"/>
        </w:rPr>
        <w:t xml:space="preserve">. </w:t>
      </w:r>
      <w:r w:rsidR="00C4414A" w:rsidRPr="0054245D">
        <w:rPr>
          <w:rStyle w:val="markedcontent"/>
          <w:rFonts w:cs="Arial"/>
          <w:shd w:val="clear" w:color="auto" w:fill="FFFFFF"/>
        </w:rPr>
        <w:t>Transfers to a third country can only take place</w:t>
      </w:r>
      <w:r w:rsidR="00AC72E2" w:rsidRPr="0054245D">
        <w:rPr>
          <w:rStyle w:val="markedcontent"/>
          <w:rFonts w:cs="Arial"/>
          <w:shd w:val="clear" w:color="auto" w:fill="FFFFFF"/>
        </w:rPr>
        <w:t xml:space="preserve"> </w:t>
      </w:r>
      <w:r w:rsidR="00C4414A" w:rsidRPr="0054245D">
        <w:rPr>
          <w:rStyle w:val="markedcontent"/>
          <w:rFonts w:cs="Arial"/>
          <w:shd w:val="clear" w:color="auto" w:fill="FFFFFF"/>
        </w:rPr>
        <w:t>if asylum</w:t>
      </w:r>
      <w:r w:rsidR="00472D53">
        <w:rPr>
          <w:rStyle w:val="markedcontent"/>
          <w:rFonts w:cs="Arial"/>
          <w:shd w:val="clear" w:color="auto" w:fill="FFFFFF"/>
        </w:rPr>
        <w:t xml:space="preserve"> </w:t>
      </w:r>
      <w:r w:rsidR="00C4414A" w:rsidRPr="0054245D">
        <w:rPr>
          <w:rStyle w:val="markedcontent"/>
          <w:rFonts w:cs="Arial"/>
          <w:shd w:val="clear" w:color="auto" w:fill="FFFFFF"/>
        </w:rPr>
        <w:t xml:space="preserve">seekers will receive adequate protection there, a requirement that </w:t>
      </w:r>
      <w:r w:rsidR="00472D53">
        <w:rPr>
          <w:rStyle w:val="markedcontent"/>
          <w:rFonts w:cs="Arial"/>
          <w:shd w:val="clear" w:color="auto" w:fill="FFFFFF"/>
        </w:rPr>
        <w:t xml:space="preserve">is </w:t>
      </w:r>
      <w:r w:rsidR="00E316B8" w:rsidRPr="0054245D">
        <w:rPr>
          <w:rStyle w:val="markedcontent"/>
          <w:rFonts w:cs="Arial"/>
          <w:shd w:val="clear" w:color="auto" w:fill="FFFFFF"/>
        </w:rPr>
        <w:t xml:space="preserve">overlooked by the conclusive deeming provision in clause 2 of the Bill. </w:t>
      </w:r>
    </w:p>
    <w:p w14:paraId="5C7612BE" w14:textId="77777777" w:rsidR="00B56494" w:rsidRPr="00B56494" w:rsidRDefault="00B56494" w:rsidP="00B56494">
      <w:pPr>
        <w:pStyle w:val="ListParagraph"/>
        <w:numPr>
          <w:ilvl w:val="0"/>
          <w:numId w:val="0"/>
        </w:numPr>
        <w:rPr>
          <w:rFonts w:cs="Arial"/>
        </w:rPr>
      </w:pPr>
    </w:p>
    <w:p w14:paraId="7381FA8E" w14:textId="282A94EB" w:rsidR="00B56494" w:rsidRPr="004E6FB0" w:rsidRDefault="00F12585" w:rsidP="005F3F87">
      <w:pPr>
        <w:pStyle w:val="ListParagraph"/>
        <w:numPr>
          <w:ilvl w:val="1"/>
          <w:numId w:val="11"/>
        </w:numPr>
        <w:ind w:left="709" w:hanging="709"/>
        <w:jc w:val="left"/>
        <w:rPr>
          <w:rFonts w:cs="Poppins"/>
          <w:shd w:val="clear" w:color="auto" w:fill="FFFFFF"/>
        </w:rPr>
      </w:pPr>
      <w:r>
        <w:rPr>
          <w:rStyle w:val="markedcontent"/>
          <w:rFonts w:cs="Arial"/>
        </w:rPr>
        <w:t xml:space="preserve">Contrary to </w:t>
      </w:r>
      <w:r w:rsidR="00DE1DF9">
        <w:rPr>
          <w:rStyle w:val="markedcontent"/>
          <w:rFonts w:cs="Arial"/>
        </w:rPr>
        <w:t>what is suggested in the ECHR Memorandum,</w:t>
      </w:r>
      <w:r w:rsidR="00DE1DF9">
        <w:rPr>
          <w:rStyle w:val="FootnoteReference"/>
          <w:rFonts w:cs="Arial"/>
        </w:rPr>
        <w:footnoteReference w:id="89"/>
      </w:r>
      <w:r w:rsidR="00DE1DF9">
        <w:rPr>
          <w:rStyle w:val="markedcontent"/>
          <w:rFonts w:cs="Arial"/>
        </w:rPr>
        <w:t xml:space="preserve"> t</w:t>
      </w:r>
      <w:r w:rsidR="000D65CC">
        <w:rPr>
          <w:rStyle w:val="markedcontent"/>
          <w:rFonts w:cs="Arial"/>
        </w:rPr>
        <w:t xml:space="preserve">he procedural guarantees in </w:t>
      </w:r>
      <w:r w:rsidR="0049489B">
        <w:rPr>
          <w:rStyle w:val="markedcontent"/>
          <w:rFonts w:cs="Arial"/>
        </w:rPr>
        <w:t>ECHR Articles 2 and 3, in conjunction with ECHR Article 13, requ</w:t>
      </w:r>
      <w:r w:rsidR="00F5497A">
        <w:rPr>
          <w:rStyle w:val="markedcontent"/>
          <w:rFonts w:cs="Arial"/>
        </w:rPr>
        <w:t xml:space="preserve">ire </w:t>
      </w:r>
      <w:r w:rsidR="00B56494" w:rsidRPr="0071296D">
        <w:t>the removing State to examine</w:t>
      </w:r>
      <w:r w:rsidR="00E8778B">
        <w:t xml:space="preserve"> thoroughly </w:t>
      </w:r>
      <w:r w:rsidR="00B56494" w:rsidRPr="0071296D">
        <w:t xml:space="preserve">whether or not there is a real risk </w:t>
      </w:r>
      <w:r w:rsidR="00D97081">
        <w:t>to</w:t>
      </w:r>
      <w:r w:rsidR="00B56494" w:rsidRPr="0071296D">
        <w:t xml:space="preserve"> the asylum seeker in the receiving third country.</w:t>
      </w:r>
      <w:r w:rsidR="00B56494">
        <w:rPr>
          <w:rStyle w:val="FootnoteReference"/>
        </w:rPr>
        <w:footnoteReference w:id="90"/>
      </w:r>
      <w:r w:rsidR="004F3CAF">
        <w:t xml:space="preserve"> </w:t>
      </w:r>
      <w:r w:rsidR="5FA0DB40">
        <w:t>The</w:t>
      </w:r>
      <w:r w:rsidR="004F3CAF">
        <w:t xml:space="preserve"> ECtHR</w:t>
      </w:r>
      <w:r w:rsidR="763FB147">
        <w:t xml:space="preserve"> </w:t>
      </w:r>
      <w:r w:rsidR="002F3CF1">
        <w:t xml:space="preserve">advises </w:t>
      </w:r>
      <w:r w:rsidR="004F3CAF">
        <w:t>that</w:t>
      </w:r>
      <w:r w:rsidR="00FB4D5B">
        <w:t xml:space="preserve"> assessments</w:t>
      </w:r>
      <w:r w:rsidR="004F3CAF">
        <w:t xml:space="preserve"> </w:t>
      </w:r>
      <w:r w:rsidR="008D4914">
        <w:t>must consider the</w:t>
      </w:r>
      <w:r w:rsidR="00280EA0">
        <w:t xml:space="preserve"> </w:t>
      </w:r>
      <w:r w:rsidR="004F3CAF" w:rsidRPr="0078309E">
        <w:t xml:space="preserve">accessibility and functioning </w:t>
      </w:r>
      <w:r w:rsidR="002F3CF1">
        <w:t xml:space="preserve">of the third country’s </w:t>
      </w:r>
      <w:r w:rsidR="004F3CAF" w:rsidRPr="0078309E">
        <w:t xml:space="preserve">asylum system and the safeguards it affords </w:t>
      </w:r>
      <w:r w:rsidR="004F3CAF" w:rsidRPr="00FB4D5B">
        <w:t>in practice</w:t>
      </w:r>
      <w:r w:rsidR="004F3CAF">
        <w:t>.</w:t>
      </w:r>
      <w:r w:rsidR="004F3CAF">
        <w:rPr>
          <w:rStyle w:val="FootnoteReference"/>
        </w:rPr>
        <w:footnoteReference w:id="91"/>
      </w:r>
      <w:r w:rsidR="001E2F62">
        <w:t xml:space="preserve"> </w:t>
      </w:r>
    </w:p>
    <w:p w14:paraId="4912A6AB" w14:textId="77777777" w:rsidR="00291D8D" w:rsidRPr="00E843A5" w:rsidRDefault="00291D8D" w:rsidP="00E843A5">
      <w:pPr>
        <w:rPr>
          <w:rFonts w:cs="Poppins"/>
          <w:shd w:val="clear" w:color="auto" w:fill="FFFFFF"/>
        </w:rPr>
      </w:pPr>
    </w:p>
    <w:p w14:paraId="642199EF" w14:textId="4DF8E8E8" w:rsidR="00291D8D" w:rsidRDefault="00867CFC" w:rsidP="005F3F87">
      <w:pPr>
        <w:pStyle w:val="ListParagraph"/>
        <w:numPr>
          <w:ilvl w:val="1"/>
          <w:numId w:val="11"/>
        </w:numPr>
        <w:ind w:left="709" w:hanging="709"/>
      </w:pPr>
      <w:r>
        <w:lastRenderedPageBreak/>
        <w:t>Third</w:t>
      </w:r>
      <w:r w:rsidR="0048074B">
        <w:t>,</w:t>
      </w:r>
      <w:r w:rsidR="00291D8D">
        <w:t xml:space="preserve"> </w:t>
      </w:r>
      <w:r w:rsidR="00DD18B0">
        <w:t xml:space="preserve">the ECHR Memorandum </w:t>
      </w:r>
      <w:r w:rsidR="002C54E6">
        <w:t xml:space="preserve">suggests </w:t>
      </w:r>
      <w:r w:rsidR="00DD18B0">
        <w:t xml:space="preserve">that </w:t>
      </w:r>
      <w:r w:rsidR="00291D8D">
        <w:t xml:space="preserve">any evidence </w:t>
      </w:r>
      <w:r w:rsidR="00587598">
        <w:t xml:space="preserve">relating </w:t>
      </w:r>
      <w:r w:rsidR="002F5947">
        <w:t>“specifically to the person’s particular circumstances”</w:t>
      </w:r>
      <w:r w:rsidR="00B715FA">
        <w:t xml:space="preserve"> </w:t>
      </w:r>
      <w:r w:rsidR="002C54E6">
        <w:t xml:space="preserve">must </w:t>
      </w:r>
      <w:r w:rsidR="00372D32">
        <w:t xml:space="preserve">be distinguished from </w:t>
      </w:r>
      <w:r w:rsidR="00CD1CB4">
        <w:t>arguments</w:t>
      </w:r>
      <w:r w:rsidR="002F5F9E">
        <w:t xml:space="preserve"> that</w:t>
      </w:r>
      <w:r w:rsidR="00291D8D">
        <w:t xml:space="preserve"> </w:t>
      </w:r>
      <w:r w:rsidR="00450355">
        <w:t>“</w:t>
      </w:r>
      <w:r w:rsidR="00291D8D">
        <w:t>Rwanda is not a safe country in general</w:t>
      </w:r>
      <w:r w:rsidR="00450355">
        <w:t xml:space="preserve">” or it </w:t>
      </w:r>
      <w:r w:rsidR="002366ED">
        <w:t>may</w:t>
      </w:r>
      <w:r w:rsidR="00450355">
        <w:t xml:space="preserve"> not be permissible</w:t>
      </w:r>
      <w:r w:rsidR="00291D8D">
        <w:t>.</w:t>
      </w:r>
      <w:r w:rsidR="00E30E45">
        <w:t xml:space="preserve"> </w:t>
      </w:r>
      <w:r w:rsidR="004F3A16">
        <w:t xml:space="preserve">It is not clear how this </w:t>
      </w:r>
      <w:r w:rsidR="00257A0D">
        <w:t>will apply in practice</w:t>
      </w:r>
      <w:r w:rsidR="004112E0">
        <w:t>. F</w:t>
      </w:r>
      <w:r w:rsidR="00257A0D">
        <w:t>or example</w:t>
      </w:r>
      <w:r w:rsidR="004112E0">
        <w:t>,</w:t>
      </w:r>
      <w:r w:rsidR="00257A0D">
        <w:t xml:space="preserve"> whether </w:t>
      </w:r>
      <w:r w:rsidR="009E1AE3">
        <w:t>assessment</w:t>
      </w:r>
      <w:r w:rsidR="007A54D4">
        <w:t>s</w:t>
      </w:r>
      <w:r w:rsidR="009E1AE3">
        <w:t xml:space="preserve"> </w:t>
      </w:r>
      <w:r w:rsidR="002C54E6">
        <w:t xml:space="preserve">will </w:t>
      </w:r>
      <w:r w:rsidR="009536FF">
        <w:t xml:space="preserve">be limited to evidence of targeted threats or attacks to the specific individual </w:t>
      </w:r>
      <w:r w:rsidR="008F3F0F">
        <w:t xml:space="preserve">or whether </w:t>
      </w:r>
      <w:r w:rsidR="009E1AE3">
        <w:t xml:space="preserve">an individual’s circumstances </w:t>
      </w:r>
      <w:r w:rsidR="002C54E6">
        <w:t xml:space="preserve">will </w:t>
      </w:r>
      <w:r w:rsidR="009E1AE3">
        <w:t xml:space="preserve">be </w:t>
      </w:r>
      <w:r w:rsidR="00855668">
        <w:t>risk assessed</w:t>
      </w:r>
      <w:r w:rsidR="009E1AE3">
        <w:t xml:space="preserve"> </w:t>
      </w:r>
      <w:proofErr w:type="gramStart"/>
      <w:r w:rsidR="009E1AE3">
        <w:t>in light of</w:t>
      </w:r>
      <w:proofErr w:type="gramEnd"/>
      <w:r w:rsidR="009E1AE3">
        <w:t xml:space="preserve"> the general human rights situation in Rwanda</w:t>
      </w:r>
      <w:r w:rsidR="007A54D4">
        <w:t>.</w:t>
      </w:r>
      <w:r w:rsidR="007A7E35">
        <w:t xml:space="preserve"> </w:t>
      </w:r>
      <w:r w:rsidR="005A2D5C">
        <w:t xml:space="preserve">To comply with UN CAT, ICCPR and ECHR Article 3, </w:t>
      </w:r>
      <w:r w:rsidR="00D804E5">
        <w:t>o</w:t>
      </w:r>
      <w:r w:rsidR="00891192">
        <w:t xml:space="preserve">fficials and courts </w:t>
      </w:r>
      <w:r w:rsidR="00102791">
        <w:t xml:space="preserve">must </w:t>
      </w:r>
      <w:r w:rsidR="00033C26">
        <w:t xml:space="preserve">be allowed to examine </w:t>
      </w:r>
      <w:r w:rsidR="00462D84">
        <w:t xml:space="preserve">whether an individual </w:t>
      </w:r>
      <w:r w:rsidR="00AF47D9">
        <w:t xml:space="preserve">may be at risk of persecution or systematic discrimination amounting to </w:t>
      </w:r>
      <w:r w:rsidR="00462D84">
        <w:t xml:space="preserve">torture or other forms of </w:t>
      </w:r>
      <w:r w:rsidR="004C5B9D">
        <w:t>ill-</w:t>
      </w:r>
      <w:r w:rsidR="00AF47D9">
        <w:t>treatment or punishment on account of his or her belonging to any identifiable group</w:t>
      </w:r>
      <w:r w:rsidR="006C4A19">
        <w:t xml:space="preserve">. </w:t>
      </w:r>
    </w:p>
    <w:p w14:paraId="4EBFA68E" w14:textId="77777777" w:rsidR="008A0AF3" w:rsidRPr="008A0AF3" w:rsidRDefault="008A0AF3" w:rsidP="008A0AF3">
      <w:pPr>
        <w:pStyle w:val="ListParagraph"/>
        <w:numPr>
          <w:ilvl w:val="0"/>
          <w:numId w:val="0"/>
        </w:numPr>
        <w:rPr>
          <w:rFonts w:eastAsia="Times New Roman"/>
        </w:rPr>
      </w:pPr>
    </w:p>
    <w:p w14:paraId="10C333B2" w14:textId="47673194" w:rsidR="66088114" w:rsidRPr="0087641E" w:rsidRDefault="008A0AF3" w:rsidP="005F3F87">
      <w:pPr>
        <w:pStyle w:val="ListParagraph"/>
        <w:numPr>
          <w:ilvl w:val="1"/>
          <w:numId w:val="11"/>
        </w:numPr>
        <w:ind w:left="709" w:hanging="709"/>
        <w:rPr>
          <w:rFonts w:eastAsia="Times New Roman"/>
        </w:rPr>
      </w:pPr>
      <w:r w:rsidRPr="66088114">
        <w:rPr>
          <w:rFonts w:eastAsia="Times New Roman"/>
        </w:rPr>
        <w:t>Fourth,</w:t>
      </w:r>
      <w:r w:rsidR="00DE69F0" w:rsidRPr="66088114">
        <w:rPr>
          <w:rFonts w:eastAsia="Times New Roman"/>
        </w:rPr>
        <w:t xml:space="preserve"> clause 4(</w:t>
      </w:r>
      <w:r w:rsidR="001625CD">
        <w:rPr>
          <w:rFonts w:eastAsia="Times New Roman"/>
        </w:rPr>
        <w:t>6</w:t>
      </w:r>
      <w:r w:rsidR="00DE69F0" w:rsidRPr="66088114">
        <w:rPr>
          <w:rFonts w:eastAsia="Times New Roman"/>
        </w:rPr>
        <w:t xml:space="preserve">) </w:t>
      </w:r>
      <w:r w:rsidR="00251B7A" w:rsidRPr="66088114">
        <w:rPr>
          <w:rFonts w:eastAsia="Times New Roman"/>
        </w:rPr>
        <w:t xml:space="preserve">stipulates that </w:t>
      </w:r>
      <w:r w:rsidR="00361133" w:rsidRPr="66088114">
        <w:rPr>
          <w:rFonts w:eastAsia="Times New Roman"/>
        </w:rPr>
        <w:t>interim reme</w:t>
      </w:r>
      <w:r w:rsidR="00C249CE" w:rsidRPr="66088114">
        <w:rPr>
          <w:rFonts w:eastAsia="Times New Roman"/>
        </w:rPr>
        <w:t>dies</w:t>
      </w:r>
      <w:r w:rsidR="00A76366">
        <w:rPr>
          <w:rFonts w:eastAsia="Times New Roman"/>
        </w:rPr>
        <w:t xml:space="preserve"> under the current Bill</w:t>
      </w:r>
      <w:r w:rsidR="00C249CE" w:rsidRPr="66088114">
        <w:rPr>
          <w:rFonts w:eastAsia="Times New Roman"/>
        </w:rPr>
        <w:t xml:space="preserve"> are only available to individuals who are not subject to removal under the Illegal Migration Act 2023</w:t>
      </w:r>
      <w:r w:rsidR="00F0264C">
        <w:rPr>
          <w:rFonts w:eastAsia="Times New Roman"/>
        </w:rPr>
        <w:t>.</w:t>
      </w:r>
      <w:r w:rsidR="00A76366">
        <w:rPr>
          <w:rFonts w:eastAsia="Times New Roman"/>
        </w:rPr>
        <w:t xml:space="preserve"> </w:t>
      </w:r>
      <w:r w:rsidR="00453E00">
        <w:rPr>
          <w:rFonts w:eastAsia="Times New Roman"/>
        </w:rPr>
        <w:t xml:space="preserve">The </w:t>
      </w:r>
      <w:r w:rsidR="00944963">
        <w:rPr>
          <w:rFonts w:eastAsia="Times New Roman"/>
        </w:rPr>
        <w:t>high</w:t>
      </w:r>
      <w:r w:rsidR="00453E00">
        <w:rPr>
          <w:rFonts w:eastAsia="Times New Roman"/>
        </w:rPr>
        <w:t xml:space="preserve"> number of individuals </w:t>
      </w:r>
      <w:r w:rsidR="001A1C5B">
        <w:rPr>
          <w:rFonts w:eastAsia="Times New Roman"/>
        </w:rPr>
        <w:t xml:space="preserve">likely </w:t>
      </w:r>
      <w:r w:rsidR="002C54E6">
        <w:rPr>
          <w:rFonts w:eastAsia="Times New Roman"/>
        </w:rPr>
        <w:t xml:space="preserve">to be covered </w:t>
      </w:r>
      <w:r w:rsidR="00074B5A">
        <w:rPr>
          <w:rFonts w:eastAsia="Times New Roman"/>
        </w:rPr>
        <w:t>by the provisions of the Illegal Migration Act 2023</w:t>
      </w:r>
      <w:r w:rsidR="001A1C5B">
        <w:rPr>
          <w:rStyle w:val="FootnoteReference"/>
          <w:rFonts w:eastAsia="Times New Roman"/>
        </w:rPr>
        <w:footnoteReference w:id="92"/>
      </w:r>
      <w:r w:rsidR="00074B5A">
        <w:rPr>
          <w:rFonts w:eastAsia="Times New Roman"/>
        </w:rPr>
        <w:t xml:space="preserve"> </w:t>
      </w:r>
      <w:r w:rsidR="00DF6032">
        <w:rPr>
          <w:rFonts w:eastAsia="Times New Roman"/>
        </w:rPr>
        <w:t>will be subject</w:t>
      </w:r>
      <w:r w:rsidR="002C54E6">
        <w:rPr>
          <w:rFonts w:eastAsia="Times New Roman"/>
        </w:rPr>
        <w:t>ed</w:t>
      </w:r>
      <w:r w:rsidR="00DF6032">
        <w:rPr>
          <w:rFonts w:eastAsia="Times New Roman"/>
        </w:rPr>
        <w:t xml:space="preserve"> to an even more restrictive </w:t>
      </w:r>
      <w:r w:rsidR="000E410F">
        <w:rPr>
          <w:rFonts w:eastAsia="Times New Roman"/>
        </w:rPr>
        <w:t>provision</w:t>
      </w:r>
      <w:r w:rsidR="00C22262">
        <w:rPr>
          <w:rFonts w:eastAsia="Times New Roman"/>
        </w:rPr>
        <w:t>, once commenced,</w:t>
      </w:r>
      <w:r w:rsidR="000E410F">
        <w:rPr>
          <w:rFonts w:eastAsia="Times New Roman"/>
        </w:rPr>
        <w:t xml:space="preserve"> which </w:t>
      </w:r>
      <w:r w:rsidR="00D84D41" w:rsidRPr="66088114">
        <w:rPr>
          <w:rFonts w:eastAsia="Times New Roman"/>
        </w:rPr>
        <w:t xml:space="preserve">contains a complete prohibition on </w:t>
      </w:r>
      <w:r w:rsidR="006B6C69" w:rsidRPr="66088114">
        <w:rPr>
          <w:rFonts w:eastAsia="Times New Roman"/>
        </w:rPr>
        <w:t xml:space="preserve">domestic </w:t>
      </w:r>
      <w:r w:rsidR="00D84D41" w:rsidRPr="66088114">
        <w:rPr>
          <w:rFonts w:eastAsia="Times New Roman"/>
        </w:rPr>
        <w:t>interim remedies</w:t>
      </w:r>
      <w:r w:rsidR="007F2FF2" w:rsidRPr="66088114">
        <w:rPr>
          <w:rFonts w:eastAsia="Times New Roman"/>
        </w:rPr>
        <w:t>.</w:t>
      </w:r>
      <w:r w:rsidR="000E410F">
        <w:rPr>
          <w:rStyle w:val="FootnoteReference"/>
          <w:rFonts w:eastAsia="Times New Roman"/>
        </w:rPr>
        <w:footnoteReference w:id="93"/>
      </w:r>
      <w:r w:rsidR="00E155DC">
        <w:rPr>
          <w:rFonts w:eastAsia="Times New Roman"/>
        </w:rPr>
        <w:t xml:space="preserve"> </w:t>
      </w:r>
    </w:p>
    <w:p w14:paraId="565FB26F" w14:textId="77777777" w:rsidR="004F3B4C" w:rsidRPr="004F3B4C" w:rsidRDefault="004F3B4C" w:rsidP="004F3B4C">
      <w:pPr>
        <w:pStyle w:val="ListParagraph"/>
        <w:numPr>
          <w:ilvl w:val="0"/>
          <w:numId w:val="0"/>
        </w:numPr>
        <w:rPr>
          <w:rFonts w:eastAsia="Times New Roman"/>
          <w:b/>
          <w:bCs/>
        </w:rPr>
      </w:pPr>
    </w:p>
    <w:p w14:paraId="78FE7F1F" w14:textId="7E4393F8" w:rsidR="004F3B4C" w:rsidRPr="00595227" w:rsidRDefault="004F3B4C" w:rsidP="005F3F87">
      <w:pPr>
        <w:pStyle w:val="ListParagraph"/>
        <w:numPr>
          <w:ilvl w:val="1"/>
          <w:numId w:val="11"/>
        </w:numPr>
        <w:ind w:left="709" w:hanging="709"/>
        <w:rPr>
          <w:b/>
          <w:bCs/>
        </w:rPr>
      </w:pPr>
      <w:r w:rsidRPr="66088114">
        <w:rPr>
          <w:rFonts w:eastAsia="Times New Roman"/>
          <w:b/>
          <w:bCs/>
        </w:rPr>
        <w:t xml:space="preserve">The NIHRC </w:t>
      </w:r>
      <w:r w:rsidR="003B2F2B" w:rsidRPr="66088114">
        <w:rPr>
          <w:rFonts w:eastAsia="Times New Roman"/>
          <w:b/>
          <w:bCs/>
        </w:rPr>
        <w:t>advises</w:t>
      </w:r>
      <w:r w:rsidR="00797612" w:rsidRPr="66088114">
        <w:rPr>
          <w:rFonts w:eastAsia="Times New Roman"/>
          <w:b/>
          <w:bCs/>
        </w:rPr>
        <w:t xml:space="preserve"> that the restrictions placed on </w:t>
      </w:r>
      <w:r w:rsidR="00103D12" w:rsidRPr="66088114">
        <w:rPr>
          <w:rFonts w:eastAsia="Times New Roman"/>
          <w:b/>
          <w:bCs/>
        </w:rPr>
        <w:t xml:space="preserve">the </w:t>
      </w:r>
      <w:r w:rsidR="00103D12" w:rsidRPr="66088114">
        <w:rPr>
          <w:b/>
          <w:bCs/>
        </w:rPr>
        <w:t>consideration of an individual’s circumstances under clause 4 of the Bill</w:t>
      </w:r>
      <w:r w:rsidR="00AC7BA8" w:rsidRPr="66088114">
        <w:rPr>
          <w:b/>
          <w:bCs/>
        </w:rPr>
        <w:t xml:space="preserve"> renders the </w:t>
      </w:r>
      <w:r w:rsidR="00772158" w:rsidRPr="66088114">
        <w:rPr>
          <w:b/>
          <w:bCs/>
        </w:rPr>
        <w:t xml:space="preserve">domestic remedies ineffectual and, in the case of those </w:t>
      </w:r>
      <w:r w:rsidR="00971648" w:rsidRPr="66088114">
        <w:rPr>
          <w:b/>
          <w:bCs/>
        </w:rPr>
        <w:t>who face a risk of refoulement, unavailable.</w:t>
      </w:r>
    </w:p>
    <w:p w14:paraId="68015B2E" w14:textId="77777777" w:rsidR="00913E40" w:rsidRPr="0057124D" w:rsidRDefault="00913E40" w:rsidP="0057124D">
      <w:pPr>
        <w:pStyle w:val="ListParagraph"/>
        <w:numPr>
          <w:ilvl w:val="0"/>
          <w:numId w:val="0"/>
        </w:numPr>
      </w:pPr>
    </w:p>
    <w:p w14:paraId="12C3E042" w14:textId="2527E57A" w:rsidR="00015C51" w:rsidRDefault="00FD637B" w:rsidP="007E4464">
      <w:pPr>
        <w:pStyle w:val="Heading2"/>
      </w:pPr>
      <w:bookmarkStart w:id="16" w:name="_Toc156823323"/>
      <w:r w:rsidRPr="00FD637B">
        <w:t xml:space="preserve">Individual circumstances </w:t>
      </w:r>
      <w:r>
        <w:t>&amp;</w:t>
      </w:r>
      <w:r w:rsidRPr="00FD637B">
        <w:t xml:space="preserve"> </w:t>
      </w:r>
      <w:r w:rsidR="0076041A" w:rsidRPr="00FD637B">
        <w:t>Article 27</w:t>
      </w:r>
      <w:r w:rsidR="0076041A">
        <w:t xml:space="preserve"> </w:t>
      </w:r>
      <w:r w:rsidRPr="00FD637B">
        <w:t>EU Procedures Directive</w:t>
      </w:r>
      <w:bookmarkEnd w:id="16"/>
      <w:r w:rsidRPr="00FD637B">
        <w:t xml:space="preserve"> </w:t>
      </w:r>
    </w:p>
    <w:p w14:paraId="1A95F9E6" w14:textId="77777777" w:rsidR="000B4851" w:rsidRPr="00641C2F" w:rsidRDefault="000B4851" w:rsidP="009A3819">
      <w:pPr>
        <w:pStyle w:val="ListParagraph"/>
        <w:widowControl w:val="0"/>
        <w:numPr>
          <w:ilvl w:val="1"/>
          <w:numId w:val="11"/>
        </w:numPr>
        <w:autoSpaceDE w:val="0"/>
        <w:ind w:left="709" w:hanging="709"/>
        <w:jc w:val="left"/>
        <w:textAlignment w:val="center"/>
      </w:pPr>
      <w:r w:rsidRPr="00641C2F">
        <w:t xml:space="preserve">Article 27 of the </w:t>
      </w:r>
      <w:r>
        <w:t xml:space="preserve">EU </w:t>
      </w:r>
      <w:r w:rsidRPr="00641C2F">
        <w:t>Procedures Directive</w:t>
      </w:r>
      <w:r w:rsidRPr="00641C2F">
        <w:rPr>
          <w:rStyle w:val="FootnoteReference"/>
        </w:rPr>
        <w:footnoteReference w:id="94"/>
      </w:r>
      <w:r w:rsidRPr="00641C2F">
        <w:t xml:space="preserve"> details the safe third country concept, </w:t>
      </w:r>
      <w:r>
        <w:t xml:space="preserve">stating that </w:t>
      </w:r>
      <w:r w:rsidR="002C54E6">
        <w:t xml:space="preserve">it </w:t>
      </w:r>
      <w:r>
        <w:t xml:space="preserve">may only be applied </w:t>
      </w:r>
      <w:r w:rsidRPr="00641C2F">
        <w:t xml:space="preserve">where competent authorities are satisfied that a person seeking asylum will be treated in </w:t>
      </w:r>
      <w:r>
        <w:t>accordance with</w:t>
      </w:r>
      <w:r w:rsidRPr="00641C2F">
        <w:t xml:space="preserve"> four</w:t>
      </w:r>
      <w:r>
        <w:t xml:space="preserve"> specific</w:t>
      </w:r>
      <w:r w:rsidRPr="00641C2F">
        <w:t xml:space="preserve"> principles. The first principle is that this person’s life and liberty are not threatened based on race, religion, nationality, membership of a particular social group or political opinion in that potentially third safe </w:t>
      </w:r>
      <w:r w:rsidRPr="00641C2F">
        <w:lastRenderedPageBreak/>
        <w:t>country.</w:t>
      </w:r>
      <w:r w:rsidRPr="00641C2F">
        <w:rPr>
          <w:rStyle w:val="FootnoteReference"/>
        </w:rPr>
        <w:footnoteReference w:id="95"/>
      </w:r>
      <w:r w:rsidRPr="00641C2F">
        <w:t xml:space="preserve"> The second principle is that the removal of the person does not breach </w:t>
      </w:r>
      <w:r w:rsidR="4CA8CBBA" w:rsidRPr="00641C2F">
        <w:t xml:space="preserve">the </w:t>
      </w:r>
      <w:r w:rsidRPr="00641C2F">
        <w:t>internationally recognised principle of non-refoulement according to the Geneva convention.</w:t>
      </w:r>
      <w:r w:rsidRPr="00641C2F">
        <w:rPr>
          <w:rStyle w:val="FootnoteReference"/>
        </w:rPr>
        <w:footnoteReference w:id="96"/>
      </w:r>
      <w:r w:rsidRPr="00641C2F">
        <w:t xml:space="preserve"> The third principle to be respected is the “prohibition of removal, in violation of the right to freedom from torture and cruel, inhuman or degrading treatment as laid down in international law”. Finally, the last principle detailed is that the person </w:t>
      </w:r>
      <w:r w:rsidR="002C54E6">
        <w:t>should have</w:t>
      </w:r>
      <w:r w:rsidR="002C54E6" w:rsidRPr="00641C2F">
        <w:t xml:space="preserve"> </w:t>
      </w:r>
      <w:r w:rsidRPr="00641C2F">
        <w:t>the “possibility to request refugee status and, if found to be a refugee, to receive protection in accordance with the Geneva convention”, in that third country</w:t>
      </w:r>
      <w:r w:rsidR="002C54E6">
        <w:t>.</w:t>
      </w:r>
      <w:r w:rsidRPr="00641C2F">
        <w:t xml:space="preserve"> </w:t>
      </w:r>
    </w:p>
    <w:p w14:paraId="7A74CA3C" w14:textId="77777777" w:rsidR="000B4851" w:rsidRPr="00641C2F" w:rsidRDefault="000B4851" w:rsidP="00860812">
      <w:pPr>
        <w:pStyle w:val="ListParagraph"/>
        <w:widowControl w:val="0"/>
        <w:numPr>
          <w:ilvl w:val="0"/>
          <w:numId w:val="0"/>
        </w:numPr>
        <w:autoSpaceDE w:val="0"/>
        <w:ind w:left="709"/>
        <w:jc w:val="left"/>
        <w:textAlignment w:val="center"/>
      </w:pPr>
    </w:p>
    <w:p w14:paraId="16CAF105" w14:textId="38894A64" w:rsidR="000B4851" w:rsidRPr="00641C2F" w:rsidRDefault="000B4851" w:rsidP="00860812">
      <w:pPr>
        <w:pStyle w:val="ListParagraph"/>
        <w:widowControl w:val="0"/>
        <w:numPr>
          <w:ilvl w:val="1"/>
          <w:numId w:val="11"/>
        </w:numPr>
        <w:autoSpaceDE w:val="0"/>
        <w:ind w:left="709" w:hanging="709"/>
        <w:jc w:val="left"/>
        <w:textAlignment w:val="center"/>
      </w:pPr>
      <w:r w:rsidRPr="00641C2F">
        <w:t xml:space="preserve">Article 27(2) of the Procedures Directive </w:t>
      </w:r>
      <w:r w:rsidR="006D27DC">
        <w:t xml:space="preserve">requires that </w:t>
      </w:r>
      <w:r w:rsidRPr="00641C2F">
        <w:t xml:space="preserve">the third safe country concept </w:t>
      </w:r>
      <w:r w:rsidR="006D27DC">
        <w:t>is</w:t>
      </w:r>
      <w:r w:rsidR="006D27DC" w:rsidRPr="00641C2F">
        <w:t xml:space="preserve"> </w:t>
      </w:r>
      <w:r w:rsidRPr="00641C2F">
        <w:t>anchored in national legislati</w:t>
      </w:r>
      <w:r w:rsidR="006D27DC">
        <w:t>ve</w:t>
      </w:r>
      <w:r w:rsidRPr="00641C2F">
        <w:t xml:space="preserve"> rules</w:t>
      </w:r>
      <w:r w:rsidR="006D27DC">
        <w:t xml:space="preserve">, which satisfy certain criteria. </w:t>
      </w:r>
      <w:r w:rsidRPr="00641C2F">
        <w:t xml:space="preserve">First, </w:t>
      </w:r>
      <w:r w:rsidR="006D27DC">
        <w:t>the</w:t>
      </w:r>
      <w:r w:rsidR="006D27DC" w:rsidRPr="00641C2F">
        <w:t xml:space="preserve"> </w:t>
      </w:r>
      <w:r w:rsidRPr="00641C2F">
        <w:t>rules should requir</w:t>
      </w:r>
      <w:r w:rsidR="006D27DC">
        <w:t>e</w:t>
      </w:r>
      <w:r w:rsidRPr="00641C2F">
        <w:t xml:space="preserve"> a connection between the person seeking asylum and the country </w:t>
      </w:r>
      <w:r w:rsidR="006D27DC">
        <w:t>to which they will be removed.</w:t>
      </w:r>
      <w:r w:rsidRPr="00641C2F">
        <w:rPr>
          <w:rStyle w:val="FootnoteReference"/>
        </w:rPr>
        <w:footnoteReference w:id="97"/>
      </w:r>
      <w:r w:rsidRPr="00641C2F">
        <w:t xml:space="preserve"> Second, </w:t>
      </w:r>
      <w:r w:rsidR="006D27DC">
        <w:t>the</w:t>
      </w:r>
      <w:r w:rsidR="006D27DC" w:rsidRPr="00641C2F">
        <w:t xml:space="preserve"> </w:t>
      </w:r>
      <w:r w:rsidRPr="00641C2F">
        <w:t xml:space="preserve">rules must </w:t>
      </w:r>
      <w:r w:rsidR="006D27DC">
        <w:t xml:space="preserve">dictate </w:t>
      </w:r>
      <w:r w:rsidRPr="00641C2F">
        <w:t xml:space="preserve">the </w:t>
      </w:r>
      <w:proofErr w:type="gramStart"/>
      <w:r w:rsidR="006D27DC">
        <w:t>process  for</w:t>
      </w:r>
      <w:proofErr w:type="gramEnd"/>
      <w:r w:rsidRPr="00641C2F">
        <w:t xml:space="preserve"> application of the third safe country concept</w:t>
      </w:r>
      <w:r w:rsidR="006D27DC">
        <w:t>.</w:t>
      </w:r>
      <w:r w:rsidRPr="00641C2F">
        <w:t xml:space="preserve"> </w:t>
      </w:r>
      <w:r w:rsidR="006D27DC">
        <w:t xml:space="preserve">The process </w:t>
      </w:r>
      <w:r w:rsidRPr="00641C2F">
        <w:t xml:space="preserve">must include a “case-by-case consideration of the safety of the country for a particular applicant and/or national designation of countries considered to be generally safe”. </w:t>
      </w:r>
      <w:r w:rsidR="006D27DC">
        <w:t xml:space="preserve">Third, the </w:t>
      </w:r>
      <w:r w:rsidRPr="00641C2F">
        <w:t xml:space="preserve">rules should </w:t>
      </w:r>
      <w:r w:rsidR="006D27DC">
        <w:t xml:space="preserve">conform to </w:t>
      </w:r>
      <w:r w:rsidRPr="00641C2F">
        <w:t xml:space="preserve">international law </w:t>
      </w:r>
      <w:r w:rsidR="005169C6">
        <w:t>principle</w:t>
      </w:r>
      <w:r w:rsidR="006D27DC">
        <w:t xml:space="preserve">s, which includes the right to </w:t>
      </w:r>
      <w:r w:rsidRPr="00641C2F">
        <w:t xml:space="preserve">challenge </w:t>
      </w:r>
      <w:r w:rsidR="006D27DC">
        <w:t>a</w:t>
      </w:r>
      <w:r w:rsidR="006D27DC" w:rsidRPr="00641C2F">
        <w:t xml:space="preserve"> </w:t>
      </w:r>
      <w:r w:rsidRPr="00641C2F">
        <w:t xml:space="preserve">decision on the basis that </w:t>
      </w:r>
      <w:r w:rsidR="008F1E11">
        <w:t xml:space="preserve">they </w:t>
      </w:r>
      <w:r w:rsidRPr="00641C2F">
        <w:t xml:space="preserve">face a risk of torture, cruel, </w:t>
      </w:r>
      <w:proofErr w:type="gramStart"/>
      <w:r w:rsidRPr="00641C2F">
        <w:t>inhuman</w:t>
      </w:r>
      <w:proofErr w:type="gramEnd"/>
      <w:r w:rsidRPr="00641C2F">
        <w:t xml:space="preserve"> or degrading treatment or punishment.</w:t>
      </w:r>
      <w:r w:rsidRPr="00641C2F">
        <w:rPr>
          <w:rStyle w:val="FootnoteReference"/>
        </w:rPr>
        <w:footnoteReference w:id="98"/>
      </w:r>
      <w:r w:rsidRPr="00641C2F">
        <w:t xml:space="preserve"> </w:t>
      </w:r>
    </w:p>
    <w:p w14:paraId="34944CC1" w14:textId="1DEF600F" w:rsidR="157CE772" w:rsidRDefault="157CE772" w:rsidP="157CE772">
      <w:pPr>
        <w:pStyle w:val="ListParagraph"/>
        <w:widowControl w:val="0"/>
        <w:numPr>
          <w:ilvl w:val="1"/>
          <w:numId w:val="0"/>
        </w:numPr>
        <w:ind w:left="709" w:hanging="709"/>
        <w:jc w:val="left"/>
      </w:pPr>
    </w:p>
    <w:p w14:paraId="028D1341" w14:textId="47F6FC41" w:rsidR="000B4851" w:rsidRPr="00641C2F" w:rsidRDefault="000B4851" w:rsidP="009A3819">
      <w:pPr>
        <w:pStyle w:val="ListParagraph"/>
        <w:widowControl w:val="0"/>
        <w:numPr>
          <w:ilvl w:val="1"/>
          <w:numId w:val="11"/>
        </w:numPr>
        <w:autoSpaceDE w:val="0"/>
        <w:spacing w:before="0" w:after="0"/>
        <w:ind w:left="709" w:hanging="709"/>
        <w:jc w:val="left"/>
        <w:textAlignment w:val="center"/>
      </w:pPr>
      <w:r>
        <w:t xml:space="preserve">Furthermore, Article 27 </w:t>
      </w:r>
      <w:r w:rsidR="006D27DC">
        <w:t xml:space="preserve">requires that such a person be </w:t>
      </w:r>
      <w:r>
        <w:t>provided with a document that informs the authorities of that third country</w:t>
      </w:r>
      <w:r w:rsidR="006D27DC">
        <w:t xml:space="preserve"> </w:t>
      </w:r>
      <w:r>
        <w:t>that the</w:t>
      </w:r>
      <w:r w:rsidR="006D27DC">
        <w:t>ir</w:t>
      </w:r>
      <w:r>
        <w:t xml:space="preserve"> application of that person has not been examined in substance. </w:t>
      </w:r>
    </w:p>
    <w:p w14:paraId="79284E32" w14:textId="77777777" w:rsidR="000B4851" w:rsidRPr="00641C2F" w:rsidRDefault="000B4851" w:rsidP="002D4343">
      <w:pPr>
        <w:pStyle w:val="ListParagraph"/>
        <w:numPr>
          <w:ilvl w:val="0"/>
          <w:numId w:val="0"/>
        </w:numPr>
        <w:ind w:left="709" w:hanging="720"/>
      </w:pPr>
    </w:p>
    <w:p w14:paraId="1A4CCD1A" w14:textId="40527F7E" w:rsidR="000B4851" w:rsidRPr="00641C2F" w:rsidRDefault="000B4851" w:rsidP="009A3819">
      <w:pPr>
        <w:pStyle w:val="ListParagraph"/>
        <w:widowControl w:val="0"/>
        <w:numPr>
          <w:ilvl w:val="1"/>
          <w:numId w:val="11"/>
        </w:numPr>
        <w:autoSpaceDE w:val="0"/>
        <w:spacing w:before="0" w:after="0"/>
        <w:ind w:left="709" w:hanging="709"/>
        <w:contextualSpacing w:val="0"/>
        <w:jc w:val="left"/>
        <w:textAlignment w:val="center"/>
      </w:pPr>
      <w:r>
        <w:t>Article 27 of the EU Procedures Directive</w:t>
      </w:r>
      <w:r w:rsidR="006D27DC">
        <w:t xml:space="preserve"> obliges the consideration of</w:t>
      </w:r>
      <w:r>
        <w:t xml:space="preserve"> individual circumstances including connection to the country of removal. This underscores the nuanced approach to assessing the safety of a country. </w:t>
      </w:r>
      <w:r w:rsidR="006D27DC">
        <w:t xml:space="preserve">The </w:t>
      </w:r>
      <w:r>
        <w:t xml:space="preserve">evaluation </w:t>
      </w:r>
      <w:r w:rsidR="006D27DC">
        <w:t xml:space="preserve">should </w:t>
      </w:r>
      <w:r>
        <w:t xml:space="preserve">not </w:t>
      </w:r>
      <w:r w:rsidR="006D27DC">
        <w:t xml:space="preserve">be </w:t>
      </w:r>
      <w:r>
        <w:t>carried out in a broad, generalised manner; rather, the Directive establishes specific methodologies that authorities must follow to determine the general safety and suitability of a country for a particular applicant.</w:t>
      </w:r>
    </w:p>
    <w:p w14:paraId="0F652F72" w14:textId="77777777" w:rsidR="000B4851" w:rsidRPr="00641C2F" w:rsidRDefault="000B4851" w:rsidP="002D4343">
      <w:pPr>
        <w:pStyle w:val="ListParagraph"/>
        <w:numPr>
          <w:ilvl w:val="0"/>
          <w:numId w:val="0"/>
        </w:numPr>
        <w:ind w:left="709"/>
      </w:pPr>
    </w:p>
    <w:p w14:paraId="37D9E974" w14:textId="4FAEDB12" w:rsidR="000B4851" w:rsidRDefault="000B4851" w:rsidP="009A3819">
      <w:pPr>
        <w:pStyle w:val="ListParagraph"/>
        <w:widowControl w:val="0"/>
        <w:numPr>
          <w:ilvl w:val="1"/>
          <w:numId w:val="11"/>
        </w:numPr>
        <w:autoSpaceDE w:val="0"/>
        <w:spacing w:before="0" w:after="0"/>
        <w:ind w:left="709" w:hanging="709"/>
        <w:contextualSpacing w:val="0"/>
        <w:jc w:val="left"/>
        <w:textAlignment w:val="center"/>
      </w:pPr>
      <w:r>
        <w:t xml:space="preserve">In place of the detailed duties under Article 27 </w:t>
      </w:r>
      <w:r w:rsidR="006D27DC">
        <w:t>c</w:t>
      </w:r>
      <w:r w:rsidRPr="00641C2F">
        <w:t>lause 4</w:t>
      </w:r>
      <w:r>
        <w:t>(1)</w:t>
      </w:r>
      <w:r w:rsidRPr="00641C2F">
        <w:t xml:space="preserve"> </w:t>
      </w:r>
      <w:r>
        <w:t xml:space="preserve">provides for </w:t>
      </w:r>
      <w:r w:rsidR="00FB5CFD">
        <w:t xml:space="preserve">only </w:t>
      </w:r>
      <w:r>
        <w:t>a narrow possibility of challenge</w:t>
      </w:r>
      <w:r w:rsidR="00FB5CFD">
        <w:t xml:space="preserve"> together with a very high </w:t>
      </w:r>
      <w:r>
        <w:t>evidential threshold</w:t>
      </w:r>
      <w:r w:rsidR="00FB5CFD">
        <w:t>.</w:t>
      </w:r>
      <w:r>
        <w:t xml:space="preserve"> </w:t>
      </w:r>
      <w:r w:rsidR="00FB5CFD">
        <w:t xml:space="preserve">Importantly, it should be noted that </w:t>
      </w:r>
      <w:r>
        <w:t xml:space="preserve">Article 4(5) of the EU Qualification Directive places limits on the requirements that </w:t>
      </w:r>
      <w:r w:rsidR="00FB5CFD">
        <w:t xml:space="preserve">may </w:t>
      </w:r>
      <w:r>
        <w:t>be imposed to substantiate claims, based in part on elements “at the applicant’s disposal”.</w:t>
      </w:r>
      <w:r>
        <w:rPr>
          <w:rStyle w:val="FootnoteReference"/>
        </w:rPr>
        <w:footnoteReference w:id="99"/>
      </w:r>
      <w:r>
        <w:t xml:space="preserve"> </w:t>
      </w:r>
    </w:p>
    <w:p w14:paraId="3DDDD418" w14:textId="77777777" w:rsidR="000B4851" w:rsidRDefault="000B4851" w:rsidP="002D4343">
      <w:pPr>
        <w:pStyle w:val="ListParagraph"/>
        <w:numPr>
          <w:ilvl w:val="0"/>
          <w:numId w:val="0"/>
        </w:numPr>
        <w:ind w:left="709"/>
      </w:pPr>
    </w:p>
    <w:p w14:paraId="2EE00C88" w14:textId="6B526F8B" w:rsidR="000550E0" w:rsidRPr="000550E0" w:rsidRDefault="000B4851" w:rsidP="005F3F87">
      <w:pPr>
        <w:pStyle w:val="ListParagraph"/>
        <w:numPr>
          <w:ilvl w:val="1"/>
          <w:numId w:val="11"/>
        </w:numPr>
        <w:ind w:left="709" w:hanging="709"/>
        <w:rPr>
          <w:rFonts w:eastAsia="Times New Roman"/>
        </w:rPr>
      </w:pPr>
      <w:r w:rsidRPr="157CE772">
        <w:rPr>
          <w:b/>
          <w:bCs/>
        </w:rPr>
        <w:t xml:space="preserve">The NIHRC advises that narrow grounds of challenge and a high evidential threshold </w:t>
      </w:r>
      <w:r w:rsidR="00FB5CFD" w:rsidRPr="157CE772">
        <w:rPr>
          <w:b/>
          <w:bCs/>
        </w:rPr>
        <w:t>for those grounds may</w:t>
      </w:r>
      <w:r w:rsidRPr="157CE772">
        <w:rPr>
          <w:b/>
          <w:bCs/>
        </w:rPr>
        <w:t xml:space="preserve"> diminish </w:t>
      </w:r>
      <w:r w:rsidR="00FB5CFD" w:rsidRPr="157CE772">
        <w:rPr>
          <w:b/>
          <w:bCs/>
        </w:rPr>
        <w:t xml:space="preserve">the </w:t>
      </w:r>
      <w:r w:rsidRPr="157CE772">
        <w:rPr>
          <w:b/>
          <w:bCs/>
        </w:rPr>
        <w:t xml:space="preserve">rights of asylum-seekers </w:t>
      </w:r>
      <w:r w:rsidR="00FB5CFD" w:rsidRPr="157CE772">
        <w:rPr>
          <w:b/>
          <w:bCs/>
        </w:rPr>
        <w:t xml:space="preserve">which were </w:t>
      </w:r>
      <w:r w:rsidRPr="157CE772">
        <w:rPr>
          <w:b/>
          <w:bCs/>
        </w:rPr>
        <w:t xml:space="preserve">previously protected by EU Procedures Directive Article 27 (the safe third country concept), </w:t>
      </w:r>
      <w:r w:rsidR="00FB5CFD" w:rsidRPr="157CE772">
        <w:rPr>
          <w:b/>
          <w:bCs/>
        </w:rPr>
        <w:t xml:space="preserve">which is likely to be </w:t>
      </w:r>
      <w:r w:rsidRPr="157CE772">
        <w:rPr>
          <w:b/>
          <w:bCs/>
        </w:rPr>
        <w:t>contrary to Windsor Framework Article 2.</w:t>
      </w:r>
    </w:p>
    <w:p w14:paraId="10BACAED" w14:textId="77777777" w:rsidR="000550E0" w:rsidRPr="000550E0" w:rsidRDefault="000550E0" w:rsidP="002D4343">
      <w:pPr>
        <w:pStyle w:val="ListParagraph"/>
        <w:numPr>
          <w:ilvl w:val="0"/>
          <w:numId w:val="0"/>
        </w:numPr>
        <w:ind w:left="709"/>
        <w:rPr>
          <w:rFonts w:eastAsia="Times New Roman"/>
        </w:rPr>
      </w:pPr>
    </w:p>
    <w:p w14:paraId="1617D1E8" w14:textId="46322F8F" w:rsidR="00954170" w:rsidRPr="000550E0" w:rsidRDefault="00F2320F" w:rsidP="005F3F87">
      <w:pPr>
        <w:pStyle w:val="ListParagraph"/>
        <w:numPr>
          <w:ilvl w:val="1"/>
          <w:numId w:val="11"/>
        </w:numPr>
        <w:ind w:left="709" w:hanging="709"/>
        <w:rPr>
          <w:rFonts w:eastAsia="Times New Roman"/>
        </w:rPr>
      </w:pPr>
      <w:r>
        <w:t>Clause 4(2) also engages Windsor Framework Article 2 i</w:t>
      </w:r>
      <w:r w:rsidR="00341F2D">
        <w:t xml:space="preserve">n </w:t>
      </w:r>
      <w:r w:rsidR="00954170" w:rsidRPr="00641C2F">
        <w:t>rul</w:t>
      </w:r>
      <w:r w:rsidR="00341F2D">
        <w:t>ing</w:t>
      </w:r>
      <w:r w:rsidR="00954170" w:rsidRPr="00641C2F">
        <w:t xml:space="preserve"> out an appeal or a claim based on the risk of refoulement which is </w:t>
      </w:r>
      <w:r w:rsidR="00954170">
        <w:t>a key principle</w:t>
      </w:r>
      <w:r w:rsidR="00954170" w:rsidRPr="00641C2F">
        <w:t xml:space="preserve"> of the EU asylum acquis</w:t>
      </w:r>
      <w:r w:rsidR="00954170">
        <w:t>, specifically referenced in Article 27 of the EU Procedures Directive and the focus of Article 21 of the EU Qualification Directive</w:t>
      </w:r>
      <w:r w:rsidR="00954170" w:rsidRPr="00641C2F">
        <w:t>.</w:t>
      </w:r>
      <w:r w:rsidR="00954170" w:rsidRPr="00641C2F">
        <w:rPr>
          <w:rStyle w:val="FootnoteReference"/>
        </w:rPr>
        <w:footnoteReference w:id="100"/>
      </w:r>
      <w:r w:rsidR="00954170" w:rsidRPr="00641C2F">
        <w:t xml:space="preserve"> </w:t>
      </w:r>
    </w:p>
    <w:p w14:paraId="2ADC75FE" w14:textId="77777777" w:rsidR="00954170" w:rsidRDefault="00954170" w:rsidP="002D4343">
      <w:pPr>
        <w:pStyle w:val="ListParagraph"/>
        <w:numPr>
          <w:ilvl w:val="0"/>
          <w:numId w:val="0"/>
        </w:numPr>
        <w:ind w:left="709"/>
      </w:pPr>
    </w:p>
    <w:p w14:paraId="432AFA78" w14:textId="1B12B116" w:rsidR="00235AAC" w:rsidRPr="00A67A37" w:rsidRDefault="00954170" w:rsidP="005F3F87">
      <w:pPr>
        <w:pStyle w:val="ListParagraph"/>
        <w:numPr>
          <w:ilvl w:val="1"/>
          <w:numId w:val="11"/>
        </w:numPr>
        <w:ind w:left="709" w:hanging="709"/>
        <w:rPr>
          <w:rFonts w:eastAsia="Times New Roman"/>
          <w:b/>
          <w:bCs/>
        </w:rPr>
      </w:pPr>
      <w:r w:rsidRPr="009213F2">
        <w:rPr>
          <w:b/>
          <w:bCs/>
        </w:rPr>
        <w:t xml:space="preserve">The NIHRC advises that </w:t>
      </w:r>
      <w:r w:rsidR="00FB5CFD">
        <w:rPr>
          <w:b/>
          <w:bCs/>
        </w:rPr>
        <w:t>c</w:t>
      </w:r>
      <w:r w:rsidRPr="009213F2">
        <w:rPr>
          <w:b/>
          <w:bCs/>
        </w:rPr>
        <w:t xml:space="preserve">lause 4(2) may diminish a right to </w:t>
      </w:r>
      <w:r w:rsidR="008D6B7C" w:rsidRPr="009213F2">
        <w:rPr>
          <w:b/>
          <w:bCs/>
        </w:rPr>
        <w:t>an effective remedy under Article 47 of the Charter of Fundamental Rights of the EU</w:t>
      </w:r>
      <w:r w:rsidR="000203FC">
        <w:rPr>
          <w:b/>
          <w:bCs/>
        </w:rPr>
        <w:t>,</w:t>
      </w:r>
      <w:r w:rsidR="008D6B7C">
        <w:rPr>
          <w:b/>
          <w:bCs/>
        </w:rPr>
        <w:t xml:space="preserve"> </w:t>
      </w:r>
      <w:r w:rsidR="00545ED7">
        <w:rPr>
          <w:b/>
          <w:bCs/>
        </w:rPr>
        <w:t>in relation to</w:t>
      </w:r>
      <w:r w:rsidRPr="009213F2">
        <w:rPr>
          <w:b/>
          <w:bCs/>
        </w:rPr>
        <w:t xml:space="preserve"> minimum standards set out in Article 27(1)(b) of the EU Procedures Directive</w:t>
      </w:r>
      <w:r>
        <w:rPr>
          <w:b/>
          <w:bCs/>
        </w:rPr>
        <w:t xml:space="preserve"> and Article 21 of the EU Qualification Directive</w:t>
      </w:r>
      <w:r w:rsidRPr="009213F2">
        <w:rPr>
          <w:b/>
          <w:bCs/>
        </w:rPr>
        <w:t>.</w:t>
      </w:r>
      <w:r w:rsidRPr="009213F2">
        <w:rPr>
          <w:rStyle w:val="FootnoteReference"/>
          <w:b/>
          <w:bCs/>
        </w:rPr>
        <w:footnoteReference w:id="101"/>
      </w:r>
    </w:p>
    <w:p w14:paraId="578A3D52" w14:textId="07A2E133" w:rsidR="00235AAC" w:rsidRDefault="6CDA6EE0" w:rsidP="005F3F87">
      <w:pPr>
        <w:pStyle w:val="Heading1"/>
        <w:numPr>
          <w:ilvl w:val="0"/>
          <w:numId w:val="11"/>
        </w:numPr>
      </w:pPr>
      <w:bookmarkStart w:id="17" w:name="_Toc156823324"/>
      <w:r>
        <w:lastRenderedPageBreak/>
        <w:t>Clause 5</w:t>
      </w:r>
      <w:r w:rsidR="009241BE">
        <w:t xml:space="preserve">: </w:t>
      </w:r>
      <w:r w:rsidR="002013FA">
        <w:t>Interim Measures</w:t>
      </w:r>
      <w:bookmarkEnd w:id="17"/>
    </w:p>
    <w:p w14:paraId="6F9A0F67" w14:textId="18123432" w:rsidR="002013FA" w:rsidRPr="00FB1970" w:rsidRDefault="002E4CDC" w:rsidP="002E4CDC">
      <w:pPr>
        <w:pStyle w:val="ListParagraph"/>
        <w:numPr>
          <w:ilvl w:val="1"/>
          <w:numId w:val="0"/>
        </w:numPr>
        <w:ind w:left="709" w:hanging="709"/>
        <w:rPr>
          <w:rFonts w:cs="Segoe UI"/>
          <w:vertAlign w:val="superscript"/>
          <w:lang w:val="en" w:eastAsia="en-GB"/>
        </w:rPr>
      </w:pPr>
      <w:r w:rsidRPr="654B9CC1">
        <w:rPr>
          <w:rFonts w:cs="Segoe UI"/>
          <w:lang w:val="en" w:eastAsia="en-GB"/>
        </w:rPr>
        <w:t xml:space="preserve">8.1 </w:t>
      </w:r>
      <w:r w:rsidR="002013FA">
        <w:tab/>
      </w:r>
      <w:r w:rsidR="002013FA" w:rsidRPr="654B9CC1">
        <w:rPr>
          <w:rFonts w:cs="Segoe UI"/>
          <w:lang w:val="en" w:eastAsia="en-GB"/>
        </w:rPr>
        <w:t>Clause 5(2) of the Bill proposes that “it is for a Minister of the Crown (and only a Minister of the Crown) to decide whether the UK will comply with the interim measure”. Clause 5(3) of the Bill also states that:</w:t>
      </w:r>
    </w:p>
    <w:p w14:paraId="68C43CCF" w14:textId="77777777" w:rsidR="00FB1970" w:rsidRPr="00FB1970" w:rsidRDefault="00FB1970" w:rsidP="00FB1970">
      <w:pPr>
        <w:pStyle w:val="ListParagraph"/>
        <w:numPr>
          <w:ilvl w:val="0"/>
          <w:numId w:val="0"/>
        </w:numPr>
        <w:ind w:left="709"/>
        <w:rPr>
          <w:rFonts w:cs="Segoe UI"/>
          <w:vertAlign w:val="superscript"/>
          <w:lang w:val="en" w:eastAsia="en-GB"/>
        </w:rPr>
      </w:pPr>
    </w:p>
    <w:p w14:paraId="50116365" w14:textId="573BC117" w:rsidR="00FB1970" w:rsidRDefault="00FB1970" w:rsidP="00FB1970">
      <w:pPr>
        <w:pStyle w:val="Quote"/>
        <w:ind w:left="1429"/>
        <w:rPr>
          <w:lang w:val="en" w:eastAsia="en-GB"/>
        </w:rPr>
      </w:pPr>
      <w:r>
        <w:rPr>
          <w:lang w:val="en" w:eastAsia="en-GB"/>
        </w:rPr>
        <w:t>accordingly, a court or tribunal must not have regard to the interim measure when considering any application or appeal which relates to a decision to remove the person to the Republic of Rwanda under a provision of, or made under, the Immigration Acts.</w:t>
      </w:r>
    </w:p>
    <w:p w14:paraId="4BE7B18D" w14:textId="77777777" w:rsidR="00FB1970" w:rsidRPr="00175B76" w:rsidRDefault="00FB1970" w:rsidP="00FB1970">
      <w:pPr>
        <w:pStyle w:val="ListParagraph"/>
        <w:numPr>
          <w:ilvl w:val="0"/>
          <w:numId w:val="0"/>
        </w:numPr>
        <w:ind w:left="709"/>
        <w:rPr>
          <w:rFonts w:cs="Segoe UI"/>
          <w:vertAlign w:val="superscript"/>
          <w:lang w:val="en" w:eastAsia="en-GB"/>
        </w:rPr>
      </w:pPr>
    </w:p>
    <w:p w14:paraId="23A0EA1B" w14:textId="3606025E" w:rsidR="00175B76" w:rsidRPr="00FB1970" w:rsidRDefault="002E4CDC" w:rsidP="426CB8EC">
      <w:pPr>
        <w:pStyle w:val="ListParagraph"/>
        <w:numPr>
          <w:ilvl w:val="1"/>
          <w:numId w:val="0"/>
        </w:numPr>
        <w:ind w:left="709" w:hanging="709"/>
        <w:rPr>
          <w:rFonts w:cs="Segoe UI"/>
          <w:b/>
          <w:vertAlign w:val="superscript"/>
          <w:lang w:val="en" w:eastAsia="en-GB"/>
        </w:rPr>
      </w:pPr>
      <w:proofErr w:type="gramStart"/>
      <w:r>
        <w:rPr>
          <w:rFonts w:cs="Segoe UI"/>
          <w:lang w:val="en" w:eastAsia="en-GB"/>
        </w:rPr>
        <w:t>8</w:t>
      </w:r>
      <w:r w:rsidR="7C2F3F36" w:rsidRPr="55FE7848">
        <w:rPr>
          <w:rFonts w:cs="Segoe UI"/>
          <w:lang w:val="en" w:eastAsia="en-GB"/>
        </w:rPr>
        <w:t xml:space="preserve">.2 </w:t>
      </w:r>
      <w:r w:rsidR="7C2F3F36" w:rsidRPr="56F8615E">
        <w:rPr>
          <w:rFonts w:cs="Segoe UI"/>
          <w:b/>
          <w:lang w:val="en" w:eastAsia="en-GB"/>
        </w:rPr>
        <w:t xml:space="preserve"> The</w:t>
      </w:r>
      <w:proofErr w:type="gramEnd"/>
      <w:r w:rsidR="7C2F3F36" w:rsidRPr="56F8615E">
        <w:rPr>
          <w:rFonts w:cs="Segoe UI"/>
          <w:b/>
          <w:lang w:val="en" w:eastAsia="en-GB"/>
        </w:rPr>
        <w:t xml:space="preserve"> NIHRC advises that c</w:t>
      </w:r>
      <w:r w:rsidR="07334AFE" w:rsidRPr="56F8615E">
        <w:rPr>
          <w:rFonts w:cs="Segoe UI"/>
          <w:b/>
          <w:lang w:val="en" w:eastAsia="en-GB"/>
        </w:rPr>
        <w:t xml:space="preserve">ompliance with interim measures is an essential requirement of membership of </w:t>
      </w:r>
      <w:r w:rsidR="00FB5CFD" w:rsidRPr="56F8615E">
        <w:rPr>
          <w:rFonts w:cs="Segoe UI"/>
          <w:b/>
          <w:lang w:val="en" w:eastAsia="en-GB"/>
        </w:rPr>
        <w:t xml:space="preserve">the </w:t>
      </w:r>
      <w:r w:rsidR="07334AFE" w:rsidRPr="56F8615E">
        <w:rPr>
          <w:rFonts w:cs="Segoe UI"/>
          <w:b/>
          <w:lang w:val="en" w:eastAsia="en-GB"/>
        </w:rPr>
        <w:t xml:space="preserve">Council of Europe. </w:t>
      </w:r>
    </w:p>
    <w:p w14:paraId="05B2F1DE" w14:textId="77777777" w:rsidR="00FB1970" w:rsidRPr="00175B76" w:rsidRDefault="00FB1970" w:rsidP="00FB1970">
      <w:pPr>
        <w:pStyle w:val="ListParagraph"/>
        <w:numPr>
          <w:ilvl w:val="0"/>
          <w:numId w:val="0"/>
        </w:numPr>
        <w:ind w:left="709"/>
        <w:rPr>
          <w:rFonts w:cs="Segoe UI"/>
          <w:vertAlign w:val="superscript"/>
          <w:lang w:val="en" w:eastAsia="en-GB"/>
        </w:rPr>
      </w:pPr>
    </w:p>
    <w:p w14:paraId="3523E2CC" w14:textId="2E24CA31" w:rsidR="00672828" w:rsidRDefault="201A59C2" w:rsidP="005F3F87">
      <w:pPr>
        <w:pStyle w:val="Heading1"/>
        <w:numPr>
          <w:ilvl w:val="0"/>
          <w:numId w:val="11"/>
        </w:numPr>
      </w:pPr>
      <w:bookmarkStart w:id="18" w:name="_Toc156823325"/>
      <w:r>
        <w:t>Belfast (Good Friday) Agreement and ECHR</w:t>
      </w:r>
      <w:bookmarkEnd w:id="18"/>
      <w:r>
        <w:t xml:space="preserve"> </w:t>
      </w:r>
    </w:p>
    <w:p w14:paraId="778825BB" w14:textId="6446DA3D" w:rsidR="00672828" w:rsidRPr="00672828" w:rsidRDefault="002E4CDC" w:rsidP="0B3CFC2E">
      <w:pPr>
        <w:pStyle w:val="ListParagraph"/>
        <w:numPr>
          <w:ilvl w:val="1"/>
          <w:numId w:val="0"/>
        </w:numPr>
        <w:ind w:left="709" w:hanging="709"/>
        <w:rPr>
          <w:rFonts w:cs="Poppins"/>
          <w:shd w:val="clear" w:color="auto" w:fill="FFFFFF"/>
        </w:rPr>
      </w:pPr>
      <w:r>
        <w:rPr>
          <w:rFonts w:cs="Poppins"/>
          <w:shd w:val="clear" w:color="auto" w:fill="FFFFFF"/>
        </w:rPr>
        <w:t>9</w:t>
      </w:r>
      <w:r w:rsidR="70F575F3" w:rsidRPr="00672828">
        <w:rPr>
          <w:rFonts w:cs="Poppins"/>
          <w:shd w:val="clear" w:color="auto" w:fill="FFFFFF"/>
        </w:rPr>
        <w:t xml:space="preserve">.1 </w:t>
      </w:r>
      <w:r>
        <w:rPr>
          <w:rFonts w:cs="Poppins"/>
          <w:shd w:val="clear" w:color="auto" w:fill="FFFFFF"/>
        </w:rPr>
        <w:tab/>
      </w:r>
      <w:r w:rsidR="00672828" w:rsidRPr="00672828">
        <w:rPr>
          <w:rFonts w:cs="Poppins"/>
          <w:shd w:val="clear" w:color="auto" w:fill="FFFFFF"/>
        </w:rPr>
        <w:t xml:space="preserve">The Belfast (Good Friday) Agreement </w:t>
      </w:r>
      <w:r w:rsidR="005E34BC">
        <w:rPr>
          <w:rFonts w:cs="Poppins"/>
          <w:shd w:val="clear" w:color="auto" w:fill="FFFFFF"/>
        </w:rPr>
        <w:t>imposed</w:t>
      </w:r>
      <w:r w:rsidR="005E34BC" w:rsidRPr="00672828">
        <w:rPr>
          <w:rFonts w:cs="Poppins"/>
          <w:shd w:val="clear" w:color="auto" w:fill="FFFFFF"/>
        </w:rPr>
        <w:t xml:space="preserve"> </w:t>
      </w:r>
      <w:r w:rsidR="00672828" w:rsidRPr="00672828">
        <w:rPr>
          <w:rFonts w:cs="Poppins"/>
          <w:shd w:val="clear" w:color="auto" w:fill="FFFFFF"/>
        </w:rPr>
        <w:t xml:space="preserve">a duty </w:t>
      </w:r>
      <w:r w:rsidR="005E34BC">
        <w:rPr>
          <w:rFonts w:cs="Poppins"/>
          <w:shd w:val="clear" w:color="auto" w:fill="FFFFFF"/>
        </w:rPr>
        <w:t>up</w:t>
      </w:r>
      <w:r w:rsidR="00672828" w:rsidRPr="00672828">
        <w:rPr>
          <w:rFonts w:cs="Poppins"/>
          <w:shd w:val="clear" w:color="auto" w:fill="FFFFFF"/>
        </w:rPr>
        <w:t xml:space="preserve">on the UK Government to </w:t>
      </w:r>
      <w:r w:rsidR="005E34BC">
        <w:rPr>
          <w:rFonts w:cs="Poppins"/>
          <w:shd w:val="clear" w:color="auto" w:fill="FFFFFF"/>
        </w:rPr>
        <w:t xml:space="preserve">complete </w:t>
      </w:r>
      <w:r w:rsidR="00672828" w:rsidRPr="00672828">
        <w:rPr>
          <w:rFonts w:cs="Poppins"/>
          <w:shd w:val="clear" w:color="auto" w:fill="FFFFFF"/>
        </w:rPr>
        <w:t>incorporat</w:t>
      </w:r>
      <w:r w:rsidR="005E34BC">
        <w:rPr>
          <w:rFonts w:cs="Poppins"/>
          <w:shd w:val="clear" w:color="auto" w:fill="FFFFFF"/>
        </w:rPr>
        <w:t>ion</w:t>
      </w:r>
      <w:r w:rsidR="00672828" w:rsidRPr="00672828">
        <w:rPr>
          <w:rFonts w:cs="Poppins"/>
          <w:shd w:val="clear" w:color="auto" w:fill="FFFFFF"/>
        </w:rPr>
        <w:t xml:space="preserve"> </w:t>
      </w:r>
      <w:r w:rsidR="005E34BC">
        <w:rPr>
          <w:rFonts w:cs="Poppins"/>
          <w:shd w:val="clear" w:color="auto" w:fill="FFFFFF"/>
        </w:rPr>
        <w:t xml:space="preserve">of </w:t>
      </w:r>
      <w:r w:rsidR="00672828" w:rsidRPr="00672828">
        <w:rPr>
          <w:rFonts w:cs="Poppins"/>
          <w:shd w:val="clear" w:color="auto" w:fill="FFFFFF"/>
        </w:rPr>
        <w:t>the ECHR into NI law “with direct access to the courts, and remedies for breach including power for the courts to overrule Assembly legislation on grounds of inconsistency”.</w:t>
      </w:r>
      <w:r w:rsidR="00672828" w:rsidRPr="00672828">
        <w:rPr>
          <w:rFonts w:cs="Poppins"/>
          <w:shd w:val="clear" w:color="auto" w:fill="FFFFFF"/>
          <w:vertAlign w:val="superscript"/>
        </w:rPr>
        <w:footnoteReference w:id="102"/>
      </w:r>
      <w:r w:rsidR="00672828" w:rsidRPr="00672828">
        <w:rPr>
          <w:rFonts w:cs="Poppins"/>
          <w:shd w:val="clear" w:color="auto" w:fill="FFFFFF"/>
        </w:rPr>
        <w:t xml:space="preserve"> Th</w:t>
      </w:r>
      <w:r w:rsidR="005E34BC">
        <w:rPr>
          <w:rFonts w:cs="Poppins"/>
          <w:shd w:val="clear" w:color="auto" w:fill="FFFFFF"/>
        </w:rPr>
        <w:t>at</w:t>
      </w:r>
      <w:r w:rsidR="00672828" w:rsidRPr="00672828">
        <w:rPr>
          <w:rFonts w:cs="Poppins"/>
          <w:shd w:val="clear" w:color="auto" w:fill="FFFFFF"/>
        </w:rPr>
        <w:t xml:space="preserve"> incorporation </w:t>
      </w:r>
      <w:r w:rsidR="005E34BC">
        <w:rPr>
          <w:rFonts w:cs="Poppins"/>
          <w:shd w:val="clear" w:color="auto" w:fill="FFFFFF"/>
        </w:rPr>
        <w:t>followed by enactment of</w:t>
      </w:r>
      <w:r w:rsidR="00672828" w:rsidRPr="00672828">
        <w:rPr>
          <w:rFonts w:cs="Poppins"/>
          <w:shd w:val="clear" w:color="auto" w:fill="FFFFFF"/>
        </w:rPr>
        <w:t xml:space="preserve"> the Human Rights Act. The Belfast (Good Friday) Agreement notes compliance with the ECHR is a ‘safeguard’ for the peace process in NI. It states that:</w:t>
      </w:r>
    </w:p>
    <w:p w14:paraId="3D1C7351" w14:textId="77777777" w:rsidR="00672828" w:rsidRPr="00672828" w:rsidRDefault="00672828" w:rsidP="00672828">
      <w:pPr>
        <w:pStyle w:val="ListParagraph"/>
        <w:numPr>
          <w:ilvl w:val="0"/>
          <w:numId w:val="0"/>
        </w:numPr>
        <w:ind w:left="709"/>
        <w:rPr>
          <w:rFonts w:cs="Poppins"/>
          <w:shd w:val="clear" w:color="auto" w:fill="FFFFFF"/>
        </w:rPr>
      </w:pPr>
    </w:p>
    <w:p w14:paraId="0780B1FC" w14:textId="77777777" w:rsidR="00672828" w:rsidRPr="00672828" w:rsidRDefault="00672828" w:rsidP="00672828">
      <w:pPr>
        <w:pStyle w:val="ListParagraph"/>
        <w:numPr>
          <w:ilvl w:val="0"/>
          <w:numId w:val="0"/>
        </w:numPr>
        <w:ind w:left="1440"/>
        <w:rPr>
          <w:rFonts w:cs="Poppins"/>
          <w:iCs/>
          <w:shd w:val="clear" w:color="auto" w:fill="FFFFFF"/>
        </w:rPr>
      </w:pPr>
      <w:r w:rsidRPr="00672828">
        <w:rPr>
          <w:rFonts w:cs="Poppins"/>
          <w:iCs/>
          <w:shd w:val="clear" w:color="auto" w:fill="FFFFFF"/>
        </w:rPr>
        <w:t xml:space="preserve">there will be safeguards to ensure that all sections of the community can participate and work together successfully in the operation of these institutions and that all sections of the community are protected, including… </w:t>
      </w:r>
    </w:p>
    <w:p w14:paraId="6F38D5EE" w14:textId="77777777" w:rsidR="00672828" w:rsidRPr="00672828" w:rsidRDefault="00672828" w:rsidP="00672828">
      <w:pPr>
        <w:pStyle w:val="ListParagraph"/>
        <w:numPr>
          <w:ilvl w:val="0"/>
          <w:numId w:val="0"/>
        </w:numPr>
        <w:ind w:left="709"/>
        <w:rPr>
          <w:rFonts w:cs="Poppins"/>
          <w:shd w:val="clear" w:color="auto" w:fill="FFFFFF"/>
        </w:rPr>
      </w:pPr>
    </w:p>
    <w:p w14:paraId="7273ECF1" w14:textId="77777777" w:rsidR="00672828" w:rsidRPr="00672828" w:rsidRDefault="00672828" w:rsidP="00672828">
      <w:pPr>
        <w:pStyle w:val="ListParagraph"/>
        <w:numPr>
          <w:ilvl w:val="0"/>
          <w:numId w:val="0"/>
        </w:numPr>
        <w:ind w:left="1440"/>
        <w:rPr>
          <w:rFonts w:cs="Poppins"/>
          <w:iCs/>
          <w:shd w:val="clear" w:color="auto" w:fill="FFFFFF"/>
        </w:rPr>
      </w:pPr>
      <w:r w:rsidRPr="00672828">
        <w:rPr>
          <w:rFonts w:cs="Poppins"/>
          <w:iCs/>
          <w:shd w:val="clear" w:color="auto" w:fill="FFFFFF"/>
        </w:rPr>
        <w:t xml:space="preserve">b) the ECHR and any Bill of Rights for NI supplementing it, which neither the Assembly nor public bodies can infringe, together with a Human Rights </w:t>
      </w:r>
      <w:proofErr w:type="gramStart"/>
      <w:r w:rsidRPr="00672828">
        <w:rPr>
          <w:rFonts w:cs="Poppins"/>
          <w:iCs/>
          <w:shd w:val="clear" w:color="auto" w:fill="FFFFFF"/>
        </w:rPr>
        <w:t>Commission;</w:t>
      </w:r>
      <w:proofErr w:type="gramEnd"/>
      <w:r w:rsidRPr="00672828">
        <w:rPr>
          <w:rFonts w:cs="Poppins"/>
          <w:iCs/>
          <w:shd w:val="clear" w:color="auto" w:fill="FFFFFF"/>
        </w:rPr>
        <w:t xml:space="preserve"> </w:t>
      </w:r>
    </w:p>
    <w:p w14:paraId="6455BF87" w14:textId="77777777" w:rsidR="00672828" w:rsidRPr="00672828" w:rsidRDefault="00672828" w:rsidP="00672828">
      <w:pPr>
        <w:pStyle w:val="ListParagraph"/>
        <w:numPr>
          <w:ilvl w:val="0"/>
          <w:numId w:val="0"/>
        </w:numPr>
        <w:ind w:left="709"/>
        <w:rPr>
          <w:rFonts w:cs="Poppins"/>
          <w:iCs/>
          <w:shd w:val="clear" w:color="auto" w:fill="FFFFFF"/>
        </w:rPr>
      </w:pPr>
    </w:p>
    <w:p w14:paraId="4FFD074B" w14:textId="71144021" w:rsidR="00672828" w:rsidRPr="00672828" w:rsidRDefault="65619429" w:rsidP="244B1D2B">
      <w:pPr>
        <w:pStyle w:val="ListParagraph"/>
        <w:numPr>
          <w:ilvl w:val="1"/>
          <w:numId w:val="0"/>
        </w:numPr>
        <w:ind w:left="1440"/>
        <w:rPr>
          <w:rFonts w:cs="Poppins"/>
          <w:shd w:val="clear" w:color="auto" w:fill="FFFFFF"/>
        </w:rPr>
      </w:pPr>
      <w:r w:rsidRPr="0E18E784">
        <w:rPr>
          <w:rFonts w:cs="Poppins"/>
          <w:shd w:val="clear" w:color="auto" w:fill="FFFFFF"/>
        </w:rPr>
        <w:lastRenderedPageBreak/>
        <w:t>c) arrangements to provide that key decisions and legislation are proofed to ensure that they do not infringe the ECHR and any Bill of Rights for NI.</w:t>
      </w:r>
      <w:r w:rsidR="00672828" w:rsidRPr="0E18E784">
        <w:rPr>
          <w:rFonts w:cs="Poppins"/>
          <w:shd w:val="clear" w:color="auto" w:fill="FFFFFF"/>
          <w:vertAlign w:val="superscript"/>
        </w:rPr>
        <w:footnoteReference w:id="103"/>
      </w:r>
    </w:p>
    <w:p w14:paraId="390D9965" w14:textId="77777777" w:rsidR="00672828" w:rsidRPr="00672828" w:rsidRDefault="00672828" w:rsidP="244B1D2B">
      <w:pPr>
        <w:pStyle w:val="ListParagraph"/>
        <w:numPr>
          <w:ilvl w:val="1"/>
          <w:numId w:val="0"/>
        </w:numPr>
        <w:ind w:left="709" w:hanging="709"/>
        <w:rPr>
          <w:rFonts w:cs="Poppins"/>
          <w:shd w:val="clear" w:color="auto" w:fill="FFFFFF"/>
        </w:rPr>
      </w:pPr>
    </w:p>
    <w:p w14:paraId="59C286AA" w14:textId="0EB2ABA4" w:rsidR="00672828" w:rsidRPr="00672828" w:rsidRDefault="002E4CDC" w:rsidP="0764A311">
      <w:pPr>
        <w:pStyle w:val="ListParagraph"/>
        <w:numPr>
          <w:ilvl w:val="1"/>
          <w:numId w:val="0"/>
        </w:numPr>
        <w:ind w:left="709" w:hanging="709"/>
        <w:rPr>
          <w:rFonts w:cs="Poppins"/>
          <w:shd w:val="clear" w:color="auto" w:fill="FFFFFF"/>
        </w:rPr>
      </w:pPr>
      <w:r>
        <w:rPr>
          <w:rFonts w:cs="Poppins"/>
          <w:shd w:val="clear" w:color="auto" w:fill="FFFFFF"/>
        </w:rPr>
        <w:t>9</w:t>
      </w:r>
      <w:r w:rsidR="1FD13A43" w:rsidRPr="00672828">
        <w:rPr>
          <w:rFonts w:cs="Poppins"/>
          <w:shd w:val="clear" w:color="auto" w:fill="FFFFFF"/>
        </w:rPr>
        <w:t xml:space="preserve">.2 </w:t>
      </w:r>
      <w:r>
        <w:rPr>
          <w:rFonts w:cs="Poppins"/>
          <w:shd w:val="clear" w:color="auto" w:fill="FFFFFF"/>
        </w:rPr>
        <w:tab/>
      </w:r>
      <w:r w:rsidR="65619429" w:rsidRPr="00672828">
        <w:rPr>
          <w:rFonts w:cs="Poppins"/>
          <w:shd w:val="clear" w:color="auto" w:fill="FFFFFF"/>
        </w:rPr>
        <w:t>The Human Rights Act therefore has an enhanced constitutional function and role unique to NI. The present Bill does not respect the need to fill the gap that will be created by repealing the 1998 Act and to do so in a way that enhances (rather than weakens) human rights protections.</w:t>
      </w:r>
    </w:p>
    <w:p w14:paraId="16B512D5" w14:textId="77777777" w:rsidR="00672828" w:rsidRPr="00672828" w:rsidRDefault="00672828" w:rsidP="00672828">
      <w:pPr>
        <w:pStyle w:val="ListParagraph"/>
        <w:numPr>
          <w:ilvl w:val="0"/>
          <w:numId w:val="0"/>
        </w:numPr>
        <w:ind w:left="709"/>
        <w:rPr>
          <w:rFonts w:cs="Poppins"/>
          <w:shd w:val="clear" w:color="auto" w:fill="FFFFFF"/>
        </w:rPr>
      </w:pPr>
    </w:p>
    <w:p w14:paraId="3BA03E82" w14:textId="6DE030E3" w:rsidR="00672828" w:rsidRPr="00672828" w:rsidRDefault="002E4CDC" w:rsidP="0764A311">
      <w:pPr>
        <w:pStyle w:val="ListParagraph"/>
        <w:numPr>
          <w:ilvl w:val="1"/>
          <w:numId w:val="0"/>
        </w:numPr>
        <w:ind w:left="709" w:hanging="709"/>
        <w:rPr>
          <w:rFonts w:cs="Poppins"/>
          <w:shd w:val="clear" w:color="auto" w:fill="FFFFFF"/>
        </w:rPr>
      </w:pPr>
      <w:proofErr w:type="gramStart"/>
      <w:r>
        <w:rPr>
          <w:rFonts w:cs="Poppins"/>
          <w:shd w:val="clear" w:color="auto" w:fill="FFFFFF"/>
        </w:rPr>
        <w:t>9</w:t>
      </w:r>
      <w:r w:rsidR="0565CCDE" w:rsidRPr="00672828">
        <w:rPr>
          <w:rFonts w:cs="Poppins"/>
          <w:shd w:val="clear" w:color="auto" w:fill="FFFFFF"/>
        </w:rPr>
        <w:t xml:space="preserve">.3  </w:t>
      </w:r>
      <w:r>
        <w:rPr>
          <w:rFonts w:cs="Poppins"/>
          <w:shd w:val="clear" w:color="auto" w:fill="FFFFFF"/>
        </w:rPr>
        <w:tab/>
      </w:r>
      <w:proofErr w:type="gramEnd"/>
      <w:r w:rsidR="65619429" w:rsidRPr="00672828">
        <w:rPr>
          <w:rFonts w:cs="Poppins"/>
          <w:shd w:val="clear" w:color="auto" w:fill="FFFFFF"/>
        </w:rPr>
        <w:t>The NI Act 1998 incorporates the commitments of the Belfast (Good Friday) Agreement into domestic law and legislates for devolution in NI. The ECHR is embedded into the NI Act,</w:t>
      </w:r>
      <w:r w:rsidR="00672828" w:rsidRPr="00672828">
        <w:rPr>
          <w:rFonts w:cs="Poppins"/>
          <w:shd w:val="clear" w:color="auto" w:fill="FFFFFF"/>
          <w:vertAlign w:val="superscript"/>
        </w:rPr>
        <w:footnoteReference w:id="104"/>
      </w:r>
      <w:r w:rsidR="65619429" w:rsidRPr="00672828">
        <w:rPr>
          <w:rFonts w:cs="Poppins"/>
          <w:shd w:val="clear" w:color="auto" w:fill="FFFFFF"/>
        </w:rPr>
        <w:t xml:space="preserve"> reflecting commitments made under the Belfast (Good Friday) Agreement.</w:t>
      </w:r>
      <w:r w:rsidR="00672828" w:rsidRPr="00672828">
        <w:rPr>
          <w:rFonts w:cs="Poppins"/>
          <w:shd w:val="clear" w:color="auto" w:fill="FFFFFF"/>
          <w:vertAlign w:val="superscript"/>
        </w:rPr>
        <w:footnoteReference w:id="105"/>
      </w:r>
      <w:r w:rsidR="65619429" w:rsidRPr="00672828">
        <w:rPr>
          <w:rFonts w:cs="Poppins"/>
          <w:shd w:val="clear" w:color="auto" w:fill="FFFFFF"/>
        </w:rPr>
        <w:t xml:space="preserve"> </w:t>
      </w:r>
    </w:p>
    <w:p w14:paraId="0D8AE5DC" w14:textId="77777777" w:rsidR="00672828" w:rsidRPr="00672828" w:rsidRDefault="00672828" w:rsidP="00672828">
      <w:pPr>
        <w:pStyle w:val="ListParagraph"/>
        <w:numPr>
          <w:ilvl w:val="0"/>
          <w:numId w:val="0"/>
        </w:numPr>
        <w:ind w:left="709"/>
        <w:rPr>
          <w:rFonts w:cs="Poppins"/>
          <w:shd w:val="clear" w:color="auto" w:fill="FFFFFF"/>
        </w:rPr>
      </w:pPr>
    </w:p>
    <w:p w14:paraId="24A0DA3A" w14:textId="7E0701E2" w:rsidR="00672828" w:rsidRPr="00672828" w:rsidRDefault="002E4CDC" w:rsidP="0764A311">
      <w:pPr>
        <w:pStyle w:val="ListParagraph"/>
        <w:numPr>
          <w:ilvl w:val="1"/>
          <w:numId w:val="0"/>
        </w:numPr>
        <w:ind w:left="709" w:hanging="709"/>
        <w:rPr>
          <w:rFonts w:cs="Poppins"/>
          <w:shd w:val="clear" w:color="auto" w:fill="FFFFFF"/>
        </w:rPr>
      </w:pPr>
      <w:r>
        <w:rPr>
          <w:rFonts w:cs="Poppins"/>
          <w:shd w:val="clear" w:color="auto" w:fill="FFFFFF"/>
        </w:rPr>
        <w:t>9</w:t>
      </w:r>
      <w:r w:rsidR="7FCECA50" w:rsidRPr="00672828">
        <w:rPr>
          <w:rFonts w:cs="Poppins"/>
          <w:shd w:val="clear" w:color="auto" w:fill="FFFFFF"/>
        </w:rPr>
        <w:t xml:space="preserve">.4 </w:t>
      </w:r>
      <w:r>
        <w:rPr>
          <w:rFonts w:cs="Poppins"/>
          <w:shd w:val="clear" w:color="auto" w:fill="FFFFFF"/>
        </w:rPr>
        <w:tab/>
      </w:r>
      <w:r w:rsidR="65619429" w:rsidRPr="00672828">
        <w:rPr>
          <w:rFonts w:cs="Poppins"/>
          <w:shd w:val="clear" w:color="auto" w:fill="FFFFFF"/>
        </w:rPr>
        <w:t>The Belfast (Good Friday) Agreement also commits the Government of Ireland to ensure “at least a comparable level of protection of human rights as will pertain in NI”.</w:t>
      </w:r>
      <w:r w:rsidR="00672828" w:rsidRPr="00672828">
        <w:rPr>
          <w:rFonts w:cs="Poppins"/>
          <w:shd w:val="clear" w:color="auto" w:fill="FFFFFF"/>
          <w:vertAlign w:val="superscript"/>
        </w:rPr>
        <w:footnoteReference w:id="106"/>
      </w:r>
      <w:r w:rsidR="65619429" w:rsidRPr="00672828">
        <w:rPr>
          <w:rFonts w:cs="Poppins"/>
          <w:shd w:val="clear" w:color="auto" w:fill="FFFFFF"/>
        </w:rPr>
        <w:t xml:space="preserve"> This is given effect </w:t>
      </w:r>
      <w:r w:rsidR="005E34BC">
        <w:rPr>
          <w:rFonts w:cs="Poppins"/>
          <w:shd w:val="clear" w:color="auto" w:fill="FFFFFF"/>
        </w:rPr>
        <w:t xml:space="preserve">in the UK by </w:t>
      </w:r>
      <w:r w:rsidR="65619429" w:rsidRPr="00672828">
        <w:rPr>
          <w:rFonts w:cs="Poppins"/>
          <w:shd w:val="clear" w:color="auto" w:fill="FFFFFF"/>
        </w:rPr>
        <w:t xml:space="preserve">the Human Rights Act </w:t>
      </w:r>
      <w:r w:rsidR="005E34BC">
        <w:rPr>
          <w:rFonts w:cs="Poppins"/>
          <w:shd w:val="clear" w:color="auto" w:fill="FFFFFF"/>
        </w:rPr>
        <w:t xml:space="preserve">1998 </w:t>
      </w:r>
      <w:r w:rsidR="65619429" w:rsidRPr="00672828">
        <w:rPr>
          <w:rFonts w:cs="Poppins"/>
          <w:shd w:val="clear" w:color="auto" w:fill="FFFFFF"/>
        </w:rPr>
        <w:t xml:space="preserve">and </w:t>
      </w:r>
      <w:r w:rsidR="005E34BC">
        <w:rPr>
          <w:rFonts w:cs="Poppins"/>
          <w:shd w:val="clear" w:color="auto" w:fill="FFFFFF"/>
        </w:rPr>
        <w:t>in Ireland by the</w:t>
      </w:r>
      <w:r w:rsidR="65619429" w:rsidRPr="00672828">
        <w:rPr>
          <w:rFonts w:cs="Poppins"/>
          <w:shd w:val="clear" w:color="auto" w:fill="FFFFFF"/>
        </w:rPr>
        <w:t xml:space="preserve"> E</w:t>
      </w:r>
      <w:r w:rsidR="005E34BC">
        <w:rPr>
          <w:rFonts w:cs="Poppins"/>
          <w:shd w:val="clear" w:color="auto" w:fill="FFFFFF"/>
        </w:rPr>
        <w:t xml:space="preserve">uropean </w:t>
      </w:r>
      <w:r w:rsidR="65619429" w:rsidRPr="00672828">
        <w:rPr>
          <w:rFonts w:cs="Poppins"/>
          <w:shd w:val="clear" w:color="auto" w:fill="FFFFFF"/>
        </w:rPr>
        <w:t>C</w:t>
      </w:r>
      <w:r w:rsidR="005E34BC">
        <w:rPr>
          <w:rFonts w:cs="Poppins"/>
          <w:shd w:val="clear" w:color="auto" w:fill="FFFFFF"/>
        </w:rPr>
        <w:t xml:space="preserve">onvention on </w:t>
      </w:r>
      <w:r w:rsidR="65619429" w:rsidRPr="00672828">
        <w:rPr>
          <w:rFonts w:cs="Poppins"/>
          <w:shd w:val="clear" w:color="auto" w:fill="FFFFFF"/>
        </w:rPr>
        <w:t>H</w:t>
      </w:r>
      <w:r w:rsidR="005E34BC">
        <w:rPr>
          <w:rFonts w:cs="Poppins"/>
          <w:shd w:val="clear" w:color="auto" w:fill="FFFFFF"/>
        </w:rPr>
        <w:t xml:space="preserve">uman </w:t>
      </w:r>
      <w:r w:rsidR="65619429" w:rsidRPr="00672828">
        <w:rPr>
          <w:rFonts w:cs="Poppins"/>
          <w:shd w:val="clear" w:color="auto" w:fill="FFFFFF"/>
        </w:rPr>
        <w:t>R</w:t>
      </w:r>
      <w:r w:rsidR="005E34BC">
        <w:rPr>
          <w:rFonts w:cs="Poppins"/>
          <w:shd w:val="clear" w:color="auto" w:fill="FFFFFF"/>
        </w:rPr>
        <w:t>ights</w:t>
      </w:r>
      <w:r w:rsidR="65619429" w:rsidRPr="00672828">
        <w:rPr>
          <w:rFonts w:cs="Poppins"/>
          <w:shd w:val="clear" w:color="auto" w:fill="FFFFFF"/>
        </w:rPr>
        <w:t xml:space="preserve"> Act 2003. The Bill </w:t>
      </w:r>
      <w:r w:rsidR="005E34BC">
        <w:rPr>
          <w:rFonts w:cs="Poppins"/>
          <w:shd w:val="clear" w:color="auto" w:fill="FFFFFF"/>
        </w:rPr>
        <w:t>will cause</w:t>
      </w:r>
      <w:r w:rsidR="65619429" w:rsidRPr="00672828">
        <w:rPr>
          <w:rFonts w:cs="Poppins"/>
          <w:shd w:val="clear" w:color="auto" w:fill="FFFFFF"/>
        </w:rPr>
        <w:t xml:space="preserve"> discrepancies between human rights protection </w:t>
      </w:r>
      <w:r w:rsidR="002C5E52">
        <w:rPr>
          <w:rFonts w:cs="Poppins"/>
          <w:shd w:val="clear" w:color="auto" w:fill="FFFFFF"/>
        </w:rPr>
        <w:t>in Northern Ireland and Ireland thereby risking a significant divergence of rights on the island of Ireland.</w:t>
      </w:r>
      <w:r w:rsidR="005E34BC">
        <w:rPr>
          <w:rFonts w:cs="Poppins"/>
          <w:shd w:val="clear" w:color="auto" w:fill="FFFFFF"/>
        </w:rPr>
        <w:t xml:space="preserve"> </w:t>
      </w:r>
      <w:r w:rsidR="65619429" w:rsidRPr="00672828">
        <w:rPr>
          <w:rFonts w:cs="Poppins"/>
          <w:shd w:val="clear" w:color="auto" w:fill="FFFFFF"/>
        </w:rPr>
        <w:t xml:space="preserve"> </w:t>
      </w:r>
    </w:p>
    <w:p w14:paraId="49E0AA7A" w14:textId="77777777" w:rsidR="00672828" w:rsidRPr="00672828" w:rsidRDefault="00672828" w:rsidP="00672828">
      <w:pPr>
        <w:pStyle w:val="ListParagraph"/>
        <w:numPr>
          <w:ilvl w:val="0"/>
          <w:numId w:val="0"/>
        </w:numPr>
        <w:ind w:left="709"/>
        <w:rPr>
          <w:rFonts w:cs="Poppins"/>
          <w:shd w:val="clear" w:color="auto" w:fill="FFFFFF"/>
        </w:rPr>
      </w:pPr>
    </w:p>
    <w:p w14:paraId="4AF8E821" w14:textId="41F294FA" w:rsidR="00672828" w:rsidRPr="00672828" w:rsidRDefault="002E4CDC" w:rsidP="633CB7D0">
      <w:pPr>
        <w:pStyle w:val="ListParagraph"/>
        <w:numPr>
          <w:ilvl w:val="1"/>
          <w:numId w:val="0"/>
        </w:numPr>
        <w:ind w:left="709" w:hanging="709"/>
        <w:rPr>
          <w:rFonts w:cs="Poppins"/>
          <w:shd w:val="clear" w:color="auto" w:fill="FFFFFF"/>
        </w:rPr>
      </w:pPr>
      <w:r>
        <w:rPr>
          <w:rFonts w:cs="Poppins"/>
          <w:shd w:val="clear" w:color="auto" w:fill="FFFFFF"/>
        </w:rPr>
        <w:t>9</w:t>
      </w:r>
      <w:r w:rsidR="25BD43D4">
        <w:rPr>
          <w:rFonts w:cs="Poppins"/>
          <w:shd w:val="clear" w:color="auto" w:fill="FFFFFF"/>
        </w:rPr>
        <w:t xml:space="preserve">.5 </w:t>
      </w:r>
      <w:r>
        <w:rPr>
          <w:rFonts w:cs="Poppins"/>
          <w:shd w:val="clear" w:color="auto" w:fill="FFFFFF"/>
        </w:rPr>
        <w:tab/>
      </w:r>
      <w:r w:rsidR="65619429">
        <w:rPr>
          <w:rFonts w:cs="Poppins"/>
          <w:shd w:val="clear" w:color="auto" w:fill="FFFFFF"/>
        </w:rPr>
        <w:t>Windsor Framework</w:t>
      </w:r>
      <w:r w:rsidR="65619429" w:rsidRPr="00672828">
        <w:rPr>
          <w:rFonts w:cs="Poppins"/>
          <w:shd w:val="clear" w:color="auto" w:fill="FFFFFF"/>
        </w:rPr>
        <w:t xml:space="preserve"> Article 2 reflects the recognition by both the UK and EU that special consideration of human rights and equality in the Belfast (Good Friday) Agreement was essential as the UK left the EU. As such</w:t>
      </w:r>
      <w:r w:rsidR="002C5E52">
        <w:rPr>
          <w:rFonts w:cs="Poppins"/>
          <w:shd w:val="clear" w:color="auto" w:fill="FFFFFF"/>
        </w:rPr>
        <w:t>,</w:t>
      </w:r>
      <w:r w:rsidR="65619429" w:rsidRPr="00672828">
        <w:rPr>
          <w:rFonts w:cs="Poppins"/>
          <w:shd w:val="clear" w:color="auto" w:fill="FFFFFF"/>
        </w:rPr>
        <w:t xml:space="preserve"> the UK Government committed to ensuring there would be no diminution of the rights, </w:t>
      </w:r>
      <w:proofErr w:type="gramStart"/>
      <w:r w:rsidR="65619429" w:rsidRPr="00672828">
        <w:rPr>
          <w:rFonts w:cs="Poppins"/>
          <w:shd w:val="clear" w:color="auto" w:fill="FFFFFF"/>
        </w:rPr>
        <w:t>safeguards</w:t>
      </w:r>
      <w:proofErr w:type="gramEnd"/>
      <w:r w:rsidR="65619429" w:rsidRPr="00672828">
        <w:rPr>
          <w:rFonts w:cs="Poppins"/>
          <w:shd w:val="clear" w:color="auto" w:fill="FFFFFF"/>
        </w:rPr>
        <w:t xml:space="preserve"> and equality of opportunity in the relevant part of the Agreement as a result of the UK’s withdrawal from the EU. </w:t>
      </w:r>
    </w:p>
    <w:p w14:paraId="49EE23B6" w14:textId="77777777" w:rsidR="00672828" w:rsidRPr="00672828" w:rsidRDefault="00672828" w:rsidP="00672828">
      <w:pPr>
        <w:pStyle w:val="ListParagraph"/>
        <w:numPr>
          <w:ilvl w:val="0"/>
          <w:numId w:val="0"/>
        </w:numPr>
        <w:ind w:left="709"/>
        <w:rPr>
          <w:rFonts w:cs="Poppins"/>
          <w:b/>
          <w:bCs/>
          <w:shd w:val="clear" w:color="auto" w:fill="FFFFFF"/>
        </w:rPr>
      </w:pPr>
    </w:p>
    <w:p w14:paraId="4FDCE245" w14:textId="0ADBDABD" w:rsidR="00672828" w:rsidRDefault="002E4CDC" w:rsidP="56F8615E">
      <w:pPr>
        <w:pStyle w:val="ListParagraph"/>
        <w:numPr>
          <w:ilvl w:val="1"/>
          <w:numId w:val="0"/>
        </w:numPr>
        <w:ind w:left="709" w:hanging="709"/>
        <w:rPr>
          <w:rFonts w:cs="Poppins"/>
          <w:b/>
          <w:bCs/>
          <w:shd w:val="clear" w:color="auto" w:fill="FFFFFF"/>
        </w:rPr>
      </w:pPr>
      <w:r>
        <w:rPr>
          <w:rFonts w:cs="Poppins"/>
          <w:b/>
          <w:bCs/>
          <w:shd w:val="clear" w:color="auto" w:fill="FFFFFF"/>
        </w:rPr>
        <w:t>9</w:t>
      </w:r>
      <w:r w:rsidR="0D89FADB" w:rsidRPr="00672828">
        <w:rPr>
          <w:rFonts w:cs="Poppins"/>
          <w:b/>
          <w:bCs/>
          <w:shd w:val="clear" w:color="auto" w:fill="FFFFFF"/>
        </w:rPr>
        <w:t xml:space="preserve">.6 </w:t>
      </w:r>
      <w:r>
        <w:rPr>
          <w:rFonts w:cs="Poppins"/>
          <w:b/>
          <w:bCs/>
          <w:shd w:val="clear" w:color="auto" w:fill="FFFFFF"/>
        </w:rPr>
        <w:tab/>
      </w:r>
      <w:r w:rsidR="65619429" w:rsidRPr="00672828">
        <w:rPr>
          <w:rFonts w:cs="Poppins"/>
          <w:b/>
          <w:bCs/>
          <w:shd w:val="clear" w:color="auto" w:fill="FFFFFF"/>
        </w:rPr>
        <w:t xml:space="preserve">The NIHRC advises that the present Bill does not consider the Belfast (Good Friday) Agreement, and the integral role of both the Human Rights Act and ECHR in the complex fabric of the NI Peace Process and devolution. The NIHRC is particularly </w:t>
      </w:r>
      <w:r w:rsidR="65619429" w:rsidRPr="00672828">
        <w:rPr>
          <w:rFonts w:cs="Poppins"/>
          <w:b/>
          <w:bCs/>
          <w:shd w:val="clear" w:color="auto" w:fill="FFFFFF"/>
        </w:rPr>
        <w:lastRenderedPageBreak/>
        <w:t>concerned that the present Bill appears to be incompatible with obligations under the Belfast (Good Friday) Agreement to incorporate the ECHR and provide direct access to the courts.</w:t>
      </w:r>
    </w:p>
    <w:p w14:paraId="417DA4A6" w14:textId="77777777" w:rsidR="00AF0841" w:rsidRDefault="00AF0841" w:rsidP="00AF0841">
      <w:pPr>
        <w:spacing w:after="160" w:line="259" w:lineRule="auto"/>
        <w:jc w:val="center"/>
        <w:rPr>
          <w:rFonts w:cs="Arial"/>
          <w:b/>
          <w:bCs/>
          <w:color w:val="77328A"/>
          <w:sz w:val="36"/>
          <w:szCs w:val="36"/>
        </w:rPr>
      </w:pPr>
    </w:p>
    <w:p w14:paraId="619A21C9" w14:textId="77777777" w:rsidR="00AF0841" w:rsidRDefault="00AF0841" w:rsidP="00AF0841">
      <w:pPr>
        <w:spacing w:after="160" w:line="259" w:lineRule="auto"/>
        <w:jc w:val="center"/>
        <w:rPr>
          <w:rFonts w:cs="Arial"/>
          <w:b/>
          <w:bCs/>
          <w:color w:val="77328A"/>
          <w:sz w:val="36"/>
          <w:szCs w:val="36"/>
        </w:rPr>
      </w:pPr>
    </w:p>
    <w:p w14:paraId="5E4D210A" w14:textId="77777777" w:rsidR="00AF0841" w:rsidRDefault="00AF0841" w:rsidP="00AF0841">
      <w:pPr>
        <w:spacing w:after="160" w:line="259" w:lineRule="auto"/>
        <w:jc w:val="center"/>
        <w:rPr>
          <w:rFonts w:cs="Arial"/>
          <w:b/>
          <w:bCs/>
          <w:color w:val="77328A"/>
          <w:sz w:val="36"/>
          <w:szCs w:val="36"/>
        </w:rPr>
      </w:pPr>
    </w:p>
    <w:p w14:paraId="216EA988" w14:textId="77777777" w:rsidR="00AF0841" w:rsidRDefault="00AF0841" w:rsidP="00AF0841">
      <w:pPr>
        <w:spacing w:after="160" w:line="259" w:lineRule="auto"/>
        <w:jc w:val="center"/>
        <w:rPr>
          <w:rFonts w:cs="Arial"/>
          <w:b/>
          <w:bCs/>
          <w:color w:val="77328A"/>
          <w:sz w:val="36"/>
          <w:szCs w:val="36"/>
        </w:rPr>
      </w:pPr>
    </w:p>
    <w:p w14:paraId="39FA5942" w14:textId="77777777" w:rsidR="00AF0841" w:rsidRDefault="00AF0841" w:rsidP="00AF0841">
      <w:pPr>
        <w:spacing w:after="160" w:line="259" w:lineRule="auto"/>
        <w:jc w:val="center"/>
        <w:rPr>
          <w:rFonts w:cs="Arial"/>
          <w:b/>
          <w:bCs/>
          <w:color w:val="77328A"/>
          <w:sz w:val="36"/>
          <w:szCs w:val="36"/>
        </w:rPr>
      </w:pPr>
    </w:p>
    <w:p w14:paraId="2368AA88" w14:textId="77777777" w:rsidR="00A67A37" w:rsidRDefault="00A67A37" w:rsidP="00AF0841">
      <w:pPr>
        <w:spacing w:after="160" w:line="259" w:lineRule="auto"/>
        <w:jc w:val="center"/>
        <w:rPr>
          <w:rFonts w:cs="Arial"/>
          <w:b/>
          <w:bCs/>
          <w:color w:val="77328A"/>
          <w:sz w:val="36"/>
          <w:szCs w:val="36"/>
        </w:rPr>
      </w:pPr>
    </w:p>
    <w:p w14:paraId="762C627C" w14:textId="77777777" w:rsidR="00A67A37" w:rsidRDefault="00A67A37" w:rsidP="00AF0841">
      <w:pPr>
        <w:spacing w:after="160" w:line="259" w:lineRule="auto"/>
        <w:jc w:val="center"/>
        <w:rPr>
          <w:rFonts w:cs="Arial"/>
          <w:b/>
          <w:bCs/>
          <w:color w:val="77328A"/>
          <w:sz w:val="36"/>
          <w:szCs w:val="36"/>
        </w:rPr>
      </w:pPr>
    </w:p>
    <w:p w14:paraId="6E4B4F48" w14:textId="77777777" w:rsidR="00654E6C" w:rsidRDefault="00654E6C" w:rsidP="00AF0841">
      <w:pPr>
        <w:spacing w:after="160" w:line="259" w:lineRule="auto"/>
        <w:jc w:val="center"/>
        <w:rPr>
          <w:rFonts w:cs="Arial"/>
          <w:b/>
          <w:bCs/>
          <w:color w:val="77328A"/>
          <w:sz w:val="36"/>
          <w:szCs w:val="36"/>
        </w:rPr>
      </w:pPr>
    </w:p>
    <w:p w14:paraId="1B85C2E5" w14:textId="77777777" w:rsidR="00654E6C" w:rsidRDefault="00654E6C" w:rsidP="00AF0841">
      <w:pPr>
        <w:spacing w:after="160" w:line="259" w:lineRule="auto"/>
        <w:jc w:val="center"/>
        <w:rPr>
          <w:rFonts w:cs="Arial"/>
          <w:b/>
          <w:bCs/>
          <w:color w:val="77328A"/>
          <w:sz w:val="36"/>
          <w:szCs w:val="36"/>
        </w:rPr>
      </w:pPr>
    </w:p>
    <w:p w14:paraId="07FC1806" w14:textId="77777777" w:rsidR="00AF0841" w:rsidRDefault="00AF0841" w:rsidP="00AF0841">
      <w:pPr>
        <w:spacing w:after="160" w:line="259" w:lineRule="auto"/>
        <w:jc w:val="center"/>
        <w:rPr>
          <w:rFonts w:cs="Arial"/>
          <w:b/>
          <w:bCs/>
          <w:color w:val="77328A"/>
          <w:sz w:val="36"/>
          <w:szCs w:val="36"/>
        </w:rPr>
      </w:pPr>
    </w:p>
    <w:p w14:paraId="11345508" w14:textId="77777777" w:rsidR="00BB1DF6" w:rsidRDefault="00BB1DF6">
      <w:pPr>
        <w:spacing w:after="160" w:line="259" w:lineRule="auto"/>
        <w:jc w:val="left"/>
        <w:rPr>
          <w:rFonts w:cs="Arial"/>
          <w:b/>
          <w:bCs/>
          <w:color w:val="77328A"/>
          <w:sz w:val="36"/>
          <w:szCs w:val="36"/>
        </w:rPr>
      </w:pPr>
      <w:r>
        <w:rPr>
          <w:rFonts w:cs="Arial"/>
          <w:b/>
          <w:bCs/>
          <w:color w:val="77328A"/>
          <w:sz w:val="36"/>
          <w:szCs w:val="36"/>
        </w:rPr>
        <w:br w:type="page"/>
      </w:r>
    </w:p>
    <w:p w14:paraId="12D581BA" w14:textId="77777777" w:rsidR="00BB1DF6" w:rsidRDefault="00BB1DF6" w:rsidP="00AF0841">
      <w:pPr>
        <w:spacing w:after="160" w:line="259" w:lineRule="auto"/>
        <w:jc w:val="center"/>
        <w:rPr>
          <w:rFonts w:cs="Arial"/>
          <w:b/>
          <w:bCs/>
          <w:color w:val="77328A"/>
          <w:sz w:val="36"/>
          <w:szCs w:val="36"/>
        </w:rPr>
      </w:pPr>
    </w:p>
    <w:p w14:paraId="2B34C33A" w14:textId="77777777" w:rsidR="00BB1DF6" w:rsidRDefault="00BB1DF6" w:rsidP="00AF0841">
      <w:pPr>
        <w:spacing w:after="160" w:line="259" w:lineRule="auto"/>
        <w:jc w:val="center"/>
        <w:rPr>
          <w:rFonts w:cs="Arial"/>
          <w:b/>
          <w:bCs/>
          <w:color w:val="77328A"/>
          <w:sz w:val="36"/>
          <w:szCs w:val="36"/>
        </w:rPr>
      </w:pPr>
    </w:p>
    <w:p w14:paraId="7E9E7EF2" w14:textId="77777777" w:rsidR="00BB1DF6" w:rsidRDefault="00BB1DF6" w:rsidP="00AF0841">
      <w:pPr>
        <w:spacing w:after="160" w:line="259" w:lineRule="auto"/>
        <w:jc w:val="center"/>
        <w:rPr>
          <w:rFonts w:cs="Arial"/>
          <w:b/>
          <w:bCs/>
          <w:color w:val="77328A"/>
          <w:sz w:val="36"/>
          <w:szCs w:val="36"/>
        </w:rPr>
      </w:pPr>
    </w:p>
    <w:p w14:paraId="3CF3024C" w14:textId="77777777" w:rsidR="00BB1DF6" w:rsidRDefault="00BB1DF6" w:rsidP="00AF0841">
      <w:pPr>
        <w:spacing w:after="160" w:line="259" w:lineRule="auto"/>
        <w:jc w:val="center"/>
        <w:rPr>
          <w:rFonts w:cs="Arial"/>
          <w:b/>
          <w:bCs/>
          <w:color w:val="77328A"/>
          <w:sz w:val="36"/>
          <w:szCs w:val="36"/>
        </w:rPr>
      </w:pPr>
    </w:p>
    <w:p w14:paraId="4B947BB8" w14:textId="77777777" w:rsidR="00BB1DF6" w:rsidRDefault="00BB1DF6" w:rsidP="00AF0841">
      <w:pPr>
        <w:spacing w:after="160" w:line="259" w:lineRule="auto"/>
        <w:jc w:val="center"/>
        <w:rPr>
          <w:rFonts w:cs="Arial"/>
          <w:b/>
          <w:bCs/>
          <w:color w:val="77328A"/>
          <w:sz w:val="36"/>
          <w:szCs w:val="36"/>
        </w:rPr>
      </w:pPr>
    </w:p>
    <w:p w14:paraId="34393AA3" w14:textId="77777777" w:rsidR="00BB1DF6" w:rsidRDefault="00BB1DF6" w:rsidP="00AF0841">
      <w:pPr>
        <w:spacing w:after="160" w:line="259" w:lineRule="auto"/>
        <w:jc w:val="center"/>
        <w:rPr>
          <w:rFonts w:cs="Arial"/>
          <w:b/>
          <w:bCs/>
          <w:color w:val="77328A"/>
          <w:sz w:val="36"/>
          <w:szCs w:val="36"/>
        </w:rPr>
      </w:pPr>
    </w:p>
    <w:p w14:paraId="02ED8D6A" w14:textId="77777777" w:rsidR="00BB1DF6" w:rsidRDefault="00BB1DF6" w:rsidP="00AF0841">
      <w:pPr>
        <w:spacing w:after="160" w:line="259" w:lineRule="auto"/>
        <w:jc w:val="center"/>
        <w:rPr>
          <w:rFonts w:cs="Arial"/>
          <w:b/>
          <w:bCs/>
          <w:color w:val="77328A"/>
          <w:sz w:val="36"/>
          <w:szCs w:val="36"/>
        </w:rPr>
      </w:pPr>
    </w:p>
    <w:p w14:paraId="12C8514D" w14:textId="77777777" w:rsidR="00BB1DF6" w:rsidRDefault="00BB1DF6" w:rsidP="00AF0841">
      <w:pPr>
        <w:spacing w:after="160" w:line="259" w:lineRule="auto"/>
        <w:jc w:val="center"/>
        <w:rPr>
          <w:rFonts w:cs="Arial"/>
          <w:b/>
          <w:bCs/>
          <w:color w:val="77328A"/>
          <w:sz w:val="36"/>
          <w:szCs w:val="36"/>
        </w:rPr>
      </w:pPr>
    </w:p>
    <w:p w14:paraId="21B7E54B" w14:textId="77777777" w:rsidR="00BB1DF6" w:rsidRDefault="00BB1DF6" w:rsidP="00AF0841">
      <w:pPr>
        <w:spacing w:after="160" w:line="259" w:lineRule="auto"/>
        <w:jc w:val="center"/>
        <w:rPr>
          <w:rFonts w:cs="Arial"/>
          <w:b/>
          <w:bCs/>
          <w:color w:val="77328A"/>
          <w:sz w:val="36"/>
          <w:szCs w:val="36"/>
        </w:rPr>
      </w:pPr>
    </w:p>
    <w:p w14:paraId="49A13800" w14:textId="29E3C2E0" w:rsidR="00CE0514" w:rsidRPr="00C0550B" w:rsidRDefault="00CE0514" w:rsidP="00AF0841">
      <w:pPr>
        <w:spacing w:after="160" w:line="259" w:lineRule="auto"/>
        <w:jc w:val="center"/>
      </w:pPr>
      <w:r w:rsidRPr="00331C61">
        <w:rPr>
          <w:rFonts w:cs="Arial"/>
          <w:b/>
          <w:bCs/>
          <w:color w:val="77328A"/>
          <w:sz w:val="36"/>
          <w:szCs w:val="36"/>
        </w:rPr>
        <w:t>Co</w:t>
      </w:r>
      <w:r>
        <w:rPr>
          <w:rFonts w:cs="Arial"/>
          <w:b/>
          <w:bCs/>
          <w:color w:val="77328A"/>
          <w:sz w:val="36"/>
          <w:szCs w:val="36"/>
        </w:rPr>
        <w:t xml:space="preserve">ntact </w:t>
      </w:r>
      <w:proofErr w:type="gramStart"/>
      <w:r>
        <w:rPr>
          <w:rFonts w:cs="Arial"/>
          <w:b/>
          <w:bCs/>
          <w:color w:val="77328A"/>
          <w:sz w:val="36"/>
          <w:szCs w:val="36"/>
        </w:rPr>
        <w:t>us</w:t>
      </w:r>
      <w:proofErr w:type="gramEnd"/>
    </w:p>
    <w:p w14:paraId="48EE3270" w14:textId="77777777" w:rsidR="00CE0514" w:rsidRPr="00331C61" w:rsidRDefault="00CE0514" w:rsidP="00CE0514">
      <w:pPr>
        <w:pStyle w:val="BasicParagraph"/>
        <w:suppressAutoHyphens/>
        <w:jc w:val="center"/>
        <w:rPr>
          <w:rFonts w:ascii="Verdana" w:hAnsi="Verdana" w:cs="Arial"/>
          <w:b/>
          <w:color w:val="77328A"/>
          <w:sz w:val="36"/>
          <w:szCs w:val="36"/>
        </w:rPr>
      </w:pPr>
    </w:p>
    <w:p w14:paraId="7511D5BD" w14:textId="654C85F9" w:rsidR="00CE0514" w:rsidRDefault="00CE0514" w:rsidP="00CE0514">
      <w:pPr>
        <w:jc w:val="center"/>
        <w:rPr>
          <w:rStyle w:val="Hyperlink"/>
          <w:rFonts w:cs="Arial"/>
          <w:b/>
          <w:sz w:val="30"/>
          <w:szCs w:val="30"/>
        </w:rPr>
      </w:pPr>
      <w:r>
        <w:rPr>
          <w:rFonts w:cs="Arial"/>
          <w:b/>
          <w:color w:val="232120"/>
          <w:sz w:val="30"/>
          <w:szCs w:val="30"/>
        </w:rPr>
        <w:t xml:space="preserve">Please send any queries to </w:t>
      </w:r>
      <w:hyperlink r:id="rId12" w:history="1">
        <w:r w:rsidRPr="00F213CA">
          <w:rPr>
            <w:rStyle w:val="Hyperlink"/>
            <w:rFonts w:cs="Arial"/>
            <w:b/>
            <w:sz w:val="30"/>
            <w:szCs w:val="30"/>
          </w:rPr>
          <w:t>Colin.Caughey@nihrc.org</w:t>
        </w:r>
      </w:hyperlink>
    </w:p>
    <w:p w14:paraId="5A82932C" w14:textId="2ACB8CC4" w:rsidR="0046236E" w:rsidRDefault="0046236E" w:rsidP="00CE0514">
      <w:pPr>
        <w:jc w:val="center"/>
        <w:rPr>
          <w:rFonts w:cs="Arial"/>
          <w:b/>
          <w:color w:val="232120"/>
          <w:sz w:val="30"/>
          <w:szCs w:val="30"/>
        </w:rPr>
      </w:pPr>
      <w:r>
        <w:rPr>
          <w:rStyle w:val="Hyperlink"/>
          <w:rFonts w:cs="Arial"/>
          <w:b/>
          <w:sz w:val="30"/>
          <w:szCs w:val="30"/>
        </w:rPr>
        <w:t>Eilis.Haughey@nihrc.org</w:t>
      </w:r>
    </w:p>
    <w:p w14:paraId="4841B8CF" w14:textId="77777777" w:rsidR="00CE0514" w:rsidRPr="00331C61" w:rsidRDefault="00CE0514" w:rsidP="00CE0514">
      <w:pPr>
        <w:rPr>
          <w:rFonts w:cs="Arial"/>
          <w:b/>
          <w:color w:val="232120"/>
          <w:sz w:val="30"/>
          <w:szCs w:val="30"/>
        </w:rPr>
      </w:pPr>
    </w:p>
    <w:p w14:paraId="1C5BAE80" w14:textId="77777777" w:rsidR="00CE0514" w:rsidRPr="00331C61" w:rsidRDefault="00CE0514" w:rsidP="00CE0514">
      <w:pPr>
        <w:jc w:val="center"/>
        <w:rPr>
          <w:rFonts w:cs="Arial"/>
          <w:b/>
          <w:color w:val="232120"/>
          <w:sz w:val="30"/>
          <w:szCs w:val="30"/>
        </w:rPr>
      </w:pPr>
    </w:p>
    <w:p w14:paraId="04421B0D" w14:textId="77777777" w:rsidR="00CE0514" w:rsidRPr="00331C61" w:rsidRDefault="00CE0514" w:rsidP="00CE0514">
      <w:pPr>
        <w:jc w:val="center"/>
        <w:rPr>
          <w:rFonts w:cs="Arial"/>
          <w:b/>
          <w:color w:val="232120"/>
          <w:sz w:val="30"/>
          <w:szCs w:val="30"/>
        </w:rPr>
      </w:pPr>
    </w:p>
    <w:p w14:paraId="77147E30" w14:textId="77777777" w:rsidR="00CE0514" w:rsidRPr="00331C61" w:rsidRDefault="00000000" w:rsidP="00CE0514">
      <w:pPr>
        <w:jc w:val="center"/>
        <w:rPr>
          <w:rFonts w:cs="Arial"/>
          <w:color w:val="232120"/>
          <w:sz w:val="28"/>
          <w:szCs w:val="28"/>
        </w:rPr>
      </w:pPr>
      <w:hyperlink r:id="rId13" w:history="1">
        <w:r w:rsidR="00CE0514" w:rsidRPr="00331C61">
          <w:rPr>
            <w:rStyle w:val="Hyperlink"/>
            <w:rFonts w:cs="Arial"/>
            <w:color w:val="232120"/>
            <w:sz w:val="28"/>
            <w:szCs w:val="28"/>
            <w:lang w:val="en-US"/>
          </w:rPr>
          <w:t>www.nihrc.org</w:t>
        </w:r>
      </w:hyperlink>
      <w:r w:rsidR="00CE0514" w:rsidRPr="00331C61">
        <w:rPr>
          <w:rFonts w:cs="Arial"/>
          <w:color w:val="232120"/>
          <w:sz w:val="28"/>
          <w:szCs w:val="28"/>
          <w:lang w:val="en-US"/>
        </w:rPr>
        <w:t xml:space="preserve">  |  </w:t>
      </w:r>
      <w:hyperlink r:id="rId14" w:history="1">
        <w:r w:rsidR="00CE0514" w:rsidRPr="00331C61">
          <w:rPr>
            <w:rStyle w:val="Hyperlink"/>
            <w:rFonts w:cs="Arial"/>
            <w:color w:val="232120"/>
            <w:sz w:val="28"/>
            <w:szCs w:val="28"/>
            <w:lang w:val="en-US"/>
          </w:rPr>
          <w:t>info@nihrc.org</w:t>
        </w:r>
      </w:hyperlink>
      <w:r w:rsidR="00CE0514" w:rsidRPr="00331C61">
        <w:rPr>
          <w:rFonts w:cs="Arial"/>
          <w:color w:val="232120"/>
          <w:sz w:val="28"/>
          <w:szCs w:val="28"/>
          <w:lang w:val="en-US"/>
        </w:rPr>
        <w:t xml:space="preserve">  |  +44 (0)28 9024 3987</w:t>
      </w:r>
    </w:p>
    <w:p w14:paraId="6839E7AE" w14:textId="77777777" w:rsidR="00CE0514" w:rsidRPr="00331C61" w:rsidRDefault="00CE0514" w:rsidP="00CE0514">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79DBF3" w14:textId="77777777" w:rsidR="00CE0514" w:rsidRPr="00331C61" w:rsidRDefault="00CE0514" w:rsidP="00CE0514">
      <w:pPr>
        <w:jc w:val="center"/>
        <w:rPr>
          <w:rFonts w:cs="Arial"/>
          <w:b/>
          <w:color w:val="232120"/>
          <w:sz w:val="28"/>
          <w:szCs w:val="28"/>
        </w:rPr>
      </w:pPr>
    </w:p>
    <w:p w14:paraId="2DF7B5AC" w14:textId="77777777" w:rsidR="00CE0514" w:rsidRPr="00331C61" w:rsidRDefault="00CE0514" w:rsidP="00CE0514">
      <w:pPr>
        <w:jc w:val="center"/>
        <w:rPr>
          <w:rFonts w:cs="Arial"/>
          <w:color w:val="232120"/>
          <w:sz w:val="20"/>
          <w:szCs w:val="20"/>
        </w:rPr>
      </w:pPr>
    </w:p>
    <w:p w14:paraId="13014A66" w14:textId="77777777" w:rsidR="00CE0514" w:rsidRPr="00331C61" w:rsidRDefault="00CE0514" w:rsidP="00CE0514">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23BB98C" wp14:editId="284A098D">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38FE666" w14:textId="77777777" w:rsidR="00CE0514" w:rsidRPr="00D67517" w:rsidRDefault="00CE0514" w:rsidP="00CE0514">
      <w:pPr>
        <w:pStyle w:val="ListParagraph"/>
        <w:numPr>
          <w:ilvl w:val="0"/>
          <w:numId w:val="0"/>
        </w:numPr>
        <w:spacing w:line="360" w:lineRule="auto"/>
        <w:ind w:left="720" w:hanging="720"/>
        <w:rPr>
          <w:rFonts w:cs="Segoe UI"/>
          <w:lang w:val="en" w:eastAsia="en-GB"/>
        </w:rPr>
      </w:pPr>
    </w:p>
    <w:p w14:paraId="0657D0FE" w14:textId="77777777" w:rsidR="000D463E" w:rsidRDefault="000D463E"/>
    <w:sectPr w:rsidR="000D46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CE86" w14:textId="77777777" w:rsidR="00A224BC" w:rsidRDefault="00A224BC" w:rsidP="00CE0514">
      <w:pPr>
        <w:spacing w:line="240" w:lineRule="auto"/>
      </w:pPr>
      <w:r>
        <w:separator/>
      </w:r>
    </w:p>
  </w:endnote>
  <w:endnote w:type="continuationSeparator" w:id="0">
    <w:p w14:paraId="355B300E" w14:textId="77777777" w:rsidR="00A224BC" w:rsidRDefault="00A224BC" w:rsidP="00CE0514">
      <w:pPr>
        <w:spacing w:line="240" w:lineRule="auto"/>
      </w:pPr>
      <w:r>
        <w:continuationSeparator/>
      </w:r>
    </w:p>
  </w:endnote>
  <w:endnote w:type="continuationNotice" w:id="1">
    <w:p w14:paraId="2A8AFE33" w14:textId="77777777" w:rsidR="00A224BC" w:rsidRDefault="00A22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84771"/>
      <w:docPartObj>
        <w:docPartGallery w:val="Page Numbers (Bottom of Page)"/>
        <w:docPartUnique/>
      </w:docPartObj>
    </w:sdtPr>
    <w:sdtEndPr>
      <w:rPr>
        <w:noProof/>
        <w:color w:val="77328A"/>
      </w:rPr>
    </w:sdtEndPr>
    <w:sdtContent>
      <w:p w14:paraId="3298CD01" w14:textId="77777777" w:rsidR="007A7AE2" w:rsidRPr="00A25250" w:rsidRDefault="007A7AE2">
        <w:pPr>
          <w:pStyle w:val="Footer"/>
          <w:jc w:val="right"/>
          <w:rPr>
            <w:color w:val="77328A"/>
          </w:rPr>
        </w:pPr>
        <w:r w:rsidRPr="00A25250">
          <w:rPr>
            <w:color w:val="77328A"/>
          </w:rPr>
          <w:fldChar w:fldCharType="begin"/>
        </w:r>
        <w:r w:rsidRPr="00A25250">
          <w:rPr>
            <w:color w:val="77328A"/>
          </w:rPr>
          <w:instrText xml:space="preserve"> PAGE   \* MERGEFORMAT </w:instrText>
        </w:r>
        <w:r w:rsidRPr="00A25250">
          <w:rPr>
            <w:color w:val="77328A"/>
          </w:rPr>
          <w:fldChar w:fldCharType="separate"/>
        </w:r>
        <w:r w:rsidRPr="00A25250">
          <w:rPr>
            <w:noProof/>
            <w:color w:val="77328A"/>
          </w:rPr>
          <w:t>2</w:t>
        </w:r>
        <w:r w:rsidRPr="00A25250">
          <w:rPr>
            <w:noProof/>
            <w:color w:val="77328A"/>
          </w:rPr>
          <w:fldChar w:fldCharType="end"/>
        </w:r>
      </w:p>
    </w:sdtContent>
  </w:sdt>
  <w:p w14:paraId="2AFD5BFB" w14:textId="77777777" w:rsidR="007A7AE2" w:rsidRDefault="007A7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0788" w14:textId="77777777" w:rsidR="00A224BC" w:rsidRDefault="00A224BC" w:rsidP="00CE0514">
      <w:pPr>
        <w:spacing w:line="240" w:lineRule="auto"/>
      </w:pPr>
      <w:r>
        <w:separator/>
      </w:r>
    </w:p>
  </w:footnote>
  <w:footnote w:type="continuationSeparator" w:id="0">
    <w:p w14:paraId="2CC70550" w14:textId="77777777" w:rsidR="00A224BC" w:rsidRDefault="00A224BC" w:rsidP="00CE0514">
      <w:pPr>
        <w:spacing w:line="240" w:lineRule="auto"/>
      </w:pPr>
      <w:r>
        <w:continuationSeparator/>
      </w:r>
    </w:p>
  </w:footnote>
  <w:footnote w:type="continuationNotice" w:id="1">
    <w:p w14:paraId="7357CCD2" w14:textId="77777777" w:rsidR="00A224BC" w:rsidRDefault="00A224BC">
      <w:pPr>
        <w:spacing w:line="240" w:lineRule="auto"/>
      </w:pPr>
    </w:p>
  </w:footnote>
  <w:footnote w:id="2">
    <w:p w14:paraId="5BF55D9D" w14:textId="08414336" w:rsidR="00485AC7" w:rsidRPr="00845B90" w:rsidRDefault="00485AC7" w:rsidP="00845B90">
      <w:pPr>
        <w:spacing w:line="240" w:lineRule="auto"/>
        <w:rPr>
          <w:rFonts w:eastAsia="Verdana" w:cs="Verdana"/>
          <w:color w:val="77328A"/>
          <w:sz w:val="16"/>
          <w:szCs w:val="16"/>
        </w:rPr>
      </w:pPr>
      <w:r w:rsidRPr="00845B90">
        <w:rPr>
          <w:rStyle w:val="FootnoteReference"/>
          <w:color w:val="77328A"/>
          <w:sz w:val="16"/>
          <w:szCs w:val="16"/>
        </w:rPr>
        <w:footnoteRef/>
      </w:r>
      <w:r w:rsidRPr="00845B90">
        <w:rPr>
          <w:color w:val="77328A"/>
          <w:sz w:val="16"/>
          <w:szCs w:val="16"/>
        </w:rPr>
        <w:t xml:space="preserve"> </w:t>
      </w:r>
      <w:r w:rsidR="00882025" w:rsidRPr="00845B90">
        <w:rPr>
          <w:rFonts w:eastAsia="Verdana" w:cs="Verdana"/>
          <w:color w:val="77328A"/>
          <w:sz w:val="16"/>
          <w:szCs w:val="16"/>
        </w:rPr>
        <w:t xml:space="preserve">See: Illegal Migration Act 2023; Nationality and Borders Act 2022; Home Office, ‘Memorandum of Understanding Between the Government of the UK of Great Britain </w:t>
      </w:r>
      <w:r w:rsidR="00882025" w:rsidRPr="002100D4">
        <w:rPr>
          <w:rFonts w:eastAsia="Verdana" w:cs="Verdana"/>
          <w:color w:val="77328A"/>
          <w:sz w:val="16"/>
          <w:szCs w:val="16"/>
        </w:rPr>
        <w:t>and NI</w:t>
      </w:r>
      <w:r w:rsidR="00882025" w:rsidRPr="00845B90">
        <w:rPr>
          <w:rFonts w:eastAsia="Verdana" w:cs="Verdana"/>
          <w:color w:val="77328A"/>
          <w:sz w:val="16"/>
          <w:szCs w:val="16"/>
        </w:rPr>
        <w:t xml:space="preserve"> and the Government of the Republic of Rwanda for the Provision of an Asylum Partnership Arrangement’, (UK Gov, 2022); Home Office, ‘New Plan for Immigration’ (UK Gov, 2022).</w:t>
      </w:r>
    </w:p>
  </w:footnote>
  <w:footnote w:id="3">
    <w:p w14:paraId="44EF04C6" w14:textId="31EBDECB" w:rsidR="00426C4A" w:rsidRPr="002100D4" w:rsidRDefault="00426C4A">
      <w:pPr>
        <w:pStyle w:val="FootnoteText"/>
        <w:rPr>
          <w:color w:val="77328A"/>
          <w:sz w:val="16"/>
          <w:szCs w:val="16"/>
        </w:rPr>
      </w:pPr>
      <w:r w:rsidRPr="002100D4">
        <w:rPr>
          <w:rStyle w:val="FootnoteReference"/>
          <w:color w:val="77328A"/>
          <w:sz w:val="16"/>
          <w:szCs w:val="16"/>
        </w:rPr>
        <w:footnoteRef/>
      </w:r>
      <w:r w:rsidRPr="002100D4">
        <w:rPr>
          <w:color w:val="77328A"/>
          <w:sz w:val="16"/>
          <w:szCs w:val="16"/>
        </w:rPr>
        <w:t xml:space="preserve"> </w:t>
      </w:r>
      <w:r w:rsidR="00D11DAF" w:rsidRPr="002100D4">
        <w:rPr>
          <w:color w:val="77328A"/>
          <w:sz w:val="16"/>
          <w:szCs w:val="16"/>
        </w:rPr>
        <w:t xml:space="preserve">UN Refugee Agency, ‘Press Release: </w:t>
      </w:r>
      <w:r w:rsidR="008D1C2D" w:rsidRPr="002100D4">
        <w:rPr>
          <w:color w:val="77328A"/>
          <w:sz w:val="16"/>
          <w:szCs w:val="16"/>
        </w:rPr>
        <w:t>UN Refugee Agency opposes UK plan to export asylum’</w:t>
      </w:r>
      <w:r w:rsidR="007E6236" w:rsidRPr="002100D4">
        <w:rPr>
          <w:color w:val="77328A"/>
          <w:sz w:val="16"/>
          <w:szCs w:val="16"/>
        </w:rPr>
        <w:t>, 14 April 2022.</w:t>
      </w:r>
    </w:p>
  </w:footnote>
  <w:footnote w:id="4">
    <w:p w14:paraId="5B4EAA9B" w14:textId="54F41A7B" w:rsidR="00426C4A" w:rsidRPr="002100D4" w:rsidRDefault="00426C4A">
      <w:pPr>
        <w:pStyle w:val="FootnoteText"/>
        <w:rPr>
          <w:color w:val="77328A"/>
          <w:sz w:val="16"/>
          <w:szCs w:val="16"/>
          <w:shd w:val="clear" w:color="auto" w:fill="FFFFFF"/>
        </w:rPr>
      </w:pPr>
      <w:r w:rsidRPr="002100D4">
        <w:rPr>
          <w:rStyle w:val="FootnoteReference"/>
          <w:color w:val="77328A"/>
          <w:sz w:val="16"/>
          <w:szCs w:val="16"/>
        </w:rPr>
        <w:footnoteRef/>
      </w:r>
      <w:r w:rsidRPr="002100D4">
        <w:rPr>
          <w:color w:val="77328A"/>
          <w:sz w:val="16"/>
          <w:szCs w:val="16"/>
        </w:rPr>
        <w:t xml:space="preserve"> </w:t>
      </w:r>
      <w:r w:rsidR="002100D4" w:rsidRPr="002100D4">
        <w:rPr>
          <w:color w:val="77328A"/>
          <w:sz w:val="16"/>
          <w:szCs w:val="16"/>
          <w:shd w:val="clear" w:color="auto" w:fill="FFFFFF"/>
        </w:rPr>
        <w:t>UN Refugee Agency, ‘UNHCR Analysis of the Legality and Appropriateness of the Transfer of Asylum-Seekers under the UK-Rwanda arrangement’ (UNHCR, 2022).</w:t>
      </w:r>
    </w:p>
  </w:footnote>
  <w:footnote w:id="5">
    <w:p w14:paraId="6BC60D1B"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6">
    <w:p w14:paraId="27F1BA5F" w14:textId="2E64AE94"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t>
      </w:r>
      <w:r w:rsidR="00EA672C">
        <w:rPr>
          <w:rStyle w:val="Hyperlink"/>
          <w:i/>
          <w:iCs/>
          <w:color w:val="77328A"/>
          <w:sz w:val="16"/>
          <w:szCs w:val="16"/>
          <w:lang w:val="en-US"/>
        </w:rPr>
        <w:t>Angesom’s (Aman)</w:t>
      </w:r>
      <w:r w:rsidRPr="00DA18F6">
        <w:rPr>
          <w:rStyle w:val="Hyperlink"/>
          <w:i/>
          <w:iCs/>
          <w:color w:val="77328A"/>
          <w:sz w:val="16"/>
          <w:szCs w:val="16"/>
          <w:lang w:val="en-US"/>
        </w:rPr>
        <w:t xml:space="preserve"> Application </w:t>
      </w:r>
      <w:r w:rsidR="00EA672C" w:rsidRPr="00DA18F6">
        <w:rPr>
          <w:rStyle w:val="Hyperlink"/>
          <w:color w:val="77328A"/>
          <w:sz w:val="16"/>
          <w:szCs w:val="16"/>
          <w:lang w:val="en-US"/>
        </w:rPr>
        <w:t xml:space="preserve">[2023] NIKB </w:t>
      </w:r>
      <w:r w:rsidR="00EA672C" w:rsidRPr="00DA18F6">
        <w:rPr>
          <w:rStyle w:val="Hyperlink"/>
          <w:color w:val="77328A"/>
          <w:sz w:val="16"/>
          <w:szCs w:val="16"/>
          <w:lang w:val="en-US"/>
        </w:rPr>
        <w:t>102</w:t>
      </w:r>
      <w:r w:rsidR="00EA672C">
        <w:rPr>
          <w:rStyle w:val="Hyperlink"/>
          <w:color w:val="77328A"/>
          <w:sz w:val="16"/>
          <w:szCs w:val="16"/>
          <w:lang w:val="en-US"/>
        </w:rPr>
        <w:t xml:space="preserve"> </w:t>
      </w:r>
      <w:r w:rsidRPr="00DA18F6">
        <w:rPr>
          <w:rStyle w:val="Hyperlink"/>
          <w:color w:val="77328A"/>
          <w:sz w:val="16"/>
          <w:szCs w:val="16"/>
          <w:lang w:val="en-US"/>
        </w:rPr>
        <w:t xml:space="preserve"> [2023] NIKB 102.</w:t>
      </w:r>
    </w:p>
  </w:footnote>
  <w:footnote w:id="7">
    <w:p w14:paraId="7F87A833"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Where UK law was out of alignment with EU law on 31 December 2020, the absence of a domestic implementing measure is not an insurmountable obstacle to demonstrating a diminution of rights contrary to Windsor Framework Article 2, provided the EU obligation existed and </w:t>
      </w:r>
      <w:r w:rsidRPr="00DA18F6">
        <w:rPr>
          <w:color w:val="77328A"/>
          <w:sz w:val="16"/>
          <w:szCs w:val="16"/>
        </w:rPr>
        <w:t xml:space="preserve">was capable of having direct effect on that date. </w:t>
      </w:r>
    </w:p>
  </w:footnote>
  <w:footnote w:id="8">
    <w:p w14:paraId="124C96A1"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rFonts w:cs="Calibri"/>
          <w:color w:val="77328A"/>
          <w:sz w:val="16"/>
          <w:szCs w:val="16"/>
        </w:rPr>
        <w:t xml:space="preserve"> For more detail, see NI Human Rights Commission and Equality Commission for NI</w:t>
      </w:r>
      <w:r w:rsidRPr="00DA18F6">
        <w:rPr>
          <w:color w:val="77328A"/>
          <w:sz w:val="16"/>
          <w:szCs w:val="16"/>
          <w:lang w:val="en-US"/>
        </w:rPr>
        <w:t>, ‘</w:t>
      </w:r>
      <w:hyperlink r:id="rId1" w:history="1">
        <w:r w:rsidRPr="00DA18F6">
          <w:rPr>
            <w:rStyle w:val="Hyperlink"/>
            <w:color w:val="77328A"/>
            <w:sz w:val="16"/>
            <w:szCs w:val="16"/>
            <w:lang w:val="en-US"/>
          </w:rPr>
          <w:t>Working Paper: The Scope of</w:t>
        </w:r>
      </w:hyperlink>
      <w:r w:rsidRPr="00DA18F6">
        <w:rPr>
          <w:color w:val="77328A"/>
          <w:sz w:val="16"/>
          <w:szCs w:val="16"/>
          <w:lang w:val="en-US"/>
        </w:rPr>
        <w:t xml:space="preserve"> </w:t>
      </w:r>
      <w:hyperlink r:id="rId2" w:history="1">
        <w:r w:rsidRPr="00DA18F6">
          <w:rPr>
            <w:rStyle w:val="Hyperlink"/>
            <w:color w:val="77328A"/>
            <w:sz w:val="16"/>
            <w:szCs w:val="16"/>
            <w:lang w:val="en-US"/>
          </w:rPr>
          <w:t>Article 2(1) of the Ireland/Northern Ireland Protocol</w:t>
        </w:r>
      </w:hyperlink>
      <w:r w:rsidRPr="00DA18F6">
        <w:rPr>
          <w:rStyle w:val="Hyperlink"/>
          <w:color w:val="77328A"/>
          <w:sz w:val="16"/>
          <w:szCs w:val="16"/>
          <w:lang w:val="en-US"/>
        </w:rPr>
        <w:t>’</w:t>
      </w:r>
      <w:r w:rsidRPr="00DA18F6">
        <w:rPr>
          <w:color w:val="77328A"/>
          <w:sz w:val="16"/>
          <w:szCs w:val="16"/>
          <w:lang w:val="en-US"/>
        </w:rPr>
        <w:t>, (NIHRC and ECNI, 2022).</w:t>
      </w:r>
    </w:p>
  </w:footnote>
  <w:footnote w:id="9">
    <w:p w14:paraId="1F3B59C2"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rStyle w:val="FootnoteReference"/>
          <w:color w:val="77328A"/>
          <w:sz w:val="16"/>
          <w:szCs w:val="16"/>
        </w:rPr>
        <w:t xml:space="preserve"> </w:t>
      </w:r>
      <w:r w:rsidRPr="00DA18F6">
        <w:rPr>
          <w:rFonts w:cs="Calibri"/>
          <w:i/>
          <w:iCs/>
          <w:color w:val="77328A"/>
          <w:sz w:val="16"/>
          <w:szCs w:val="16"/>
        </w:rPr>
        <w:t>Society for the Protection of the Unborn Child Pro-Life Ltd v Secretary of State for NI</w:t>
      </w:r>
      <w:r w:rsidRPr="00DA18F6">
        <w:rPr>
          <w:rFonts w:cs="Calibri"/>
          <w:color w:val="77328A"/>
          <w:sz w:val="16"/>
          <w:szCs w:val="16"/>
        </w:rPr>
        <w:t xml:space="preserve"> [2023] NICA 35, para 54.</w:t>
      </w:r>
    </w:p>
  </w:footnote>
  <w:footnote w:id="10">
    <w:p w14:paraId="42EF34F4" w14:textId="3E51F3DF"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t>
      </w:r>
      <w:r w:rsidRPr="00DA18F6">
        <w:rPr>
          <w:rStyle w:val="Hyperlink"/>
          <w:color w:val="77328A"/>
          <w:sz w:val="16"/>
          <w:szCs w:val="16"/>
          <w:lang w:val="en-US"/>
        </w:rPr>
        <w:t xml:space="preserve">See, for example, </w:t>
      </w:r>
      <w:r w:rsidRPr="00DA18F6">
        <w:rPr>
          <w:rStyle w:val="Hyperlink"/>
          <w:i/>
          <w:color w:val="77328A"/>
          <w:sz w:val="16"/>
          <w:szCs w:val="16"/>
          <w:lang w:val="en-US"/>
        </w:rPr>
        <w:t xml:space="preserve">In the Matter of an Application by </w:t>
      </w:r>
      <w:r w:rsidRPr="00DA18F6">
        <w:rPr>
          <w:rStyle w:val="Hyperlink"/>
          <w:i/>
          <w:iCs/>
          <w:color w:val="77328A"/>
          <w:sz w:val="16"/>
          <w:szCs w:val="16"/>
          <w:lang w:val="en-US"/>
        </w:rPr>
        <w:t>SPUC Pro-Life Ltd for Judicial Review</w:t>
      </w:r>
      <w:r w:rsidRPr="00DA18F6">
        <w:rPr>
          <w:rStyle w:val="Hyperlink"/>
          <w:color w:val="77328A"/>
          <w:sz w:val="16"/>
          <w:szCs w:val="16"/>
          <w:lang w:val="en-US"/>
        </w:rPr>
        <w:t xml:space="preserve"> [2022] NIQB 9; </w:t>
      </w:r>
      <w:r w:rsidR="00EA672C">
        <w:rPr>
          <w:rStyle w:val="Hyperlink"/>
          <w:i/>
          <w:iCs/>
          <w:color w:val="77328A"/>
          <w:sz w:val="16"/>
          <w:szCs w:val="16"/>
          <w:lang w:val="en-US"/>
        </w:rPr>
        <w:t>Angesom’s (Aman)</w:t>
      </w:r>
      <w:r w:rsidRPr="00DA18F6">
        <w:rPr>
          <w:rStyle w:val="Hyperlink"/>
          <w:i/>
          <w:iCs/>
          <w:color w:val="77328A"/>
          <w:sz w:val="16"/>
          <w:szCs w:val="16"/>
          <w:lang w:val="en-US"/>
        </w:rPr>
        <w:t xml:space="preserve"> Application</w:t>
      </w:r>
      <w:r w:rsidRPr="00DA18F6">
        <w:rPr>
          <w:rStyle w:val="Hyperlink"/>
          <w:color w:val="77328A"/>
          <w:sz w:val="16"/>
          <w:szCs w:val="16"/>
          <w:lang w:val="en-US"/>
        </w:rPr>
        <w:t xml:space="preserve"> </w:t>
      </w:r>
      <w:r w:rsidR="00EA672C" w:rsidRPr="00DA18F6">
        <w:rPr>
          <w:rStyle w:val="Hyperlink"/>
          <w:color w:val="77328A"/>
          <w:sz w:val="16"/>
          <w:szCs w:val="16"/>
          <w:lang w:val="en-US"/>
        </w:rPr>
        <w:t>[2023] NIKB 102</w:t>
      </w:r>
      <w:r w:rsidRPr="00DA18F6">
        <w:rPr>
          <w:rStyle w:val="Hyperlink"/>
          <w:color w:val="77328A"/>
          <w:sz w:val="16"/>
          <w:szCs w:val="16"/>
          <w:lang w:val="en-US"/>
        </w:rPr>
        <w:t>.</w:t>
      </w:r>
    </w:p>
  </w:footnote>
  <w:footnote w:id="11">
    <w:p w14:paraId="6DCF476F"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Article 31, UN Refugee Convention 1951.  </w:t>
      </w:r>
    </w:p>
  </w:footnote>
  <w:footnote w:id="12">
    <w:p w14:paraId="43F46283"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t>
      </w:r>
      <w:r w:rsidRPr="00DA18F6">
        <w:rPr>
          <w:color w:val="77328A"/>
          <w:sz w:val="16"/>
          <w:szCs w:val="16"/>
        </w:rPr>
        <w:t xml:space="preserve">CoE Parliamentary Assembly ‘Resolution 1509: Human Rights of Irregular Migrants’, 27 June 2006.  </w:t>
      </w:r>
    </w:p>
  </w:footnote>
  <w:footnote w:id="13">
    <w:p w14:paraId="117418BB"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rFonts w:cs="Calibri"/>
          <w:color w:val="77328A"/>
          <w:sz w:val="16"/>
          <w:szCs w:val="16"/>
        </w:rPr>
        <w:t xml:space="preserve"> NI Office, ‘UK Government Commitment to “No Diminution of Rights, Safeguards and Equality of Opportunity” in Northern Ireland: What does it Mean and How will it be Implemented?’ (NIO, 2020), at para 8.</w:t>
      </w:r>
    </w:p>
  </w:footnote>
  <w:footnote w:id="14">
    <w:p w14:paraId="2DE568F2"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Alison Harvey, ‘Article 2 of the Windsor Framework and the rights of refugees and persons seeking asylum’ (NIHRC, 2023).  </w:t>
      </w:r>
    </w:p>
  </w:footnote>
  <w:footnote w:id="15">
    <w:p w14:paraId="54F7C96E" w14:textId="77777777" w:rsidR="00AF1436" w:rsidRPr="00D64F63" w:rsidRDefault="00AF1436" w:rsidP="00AF1436">
      <w:pPr>
        <w:pStyle w:val="NIHRCFootnotes"/>
        <w:rPr>
          <w:rFonts w:cstheme="minorHAnsi"/>
        </w:rPr>
      </w:pPr>
      <w:r w:rsidRPr="00D64F63">
        <w:rPr>
          <w:rStyle w:val="FootnoteReference"/>
          <w:rFonts w:cstheme="minorHAnsi"/>
        </w:rPr>
        <w:footnoteRef/>
      </w:r>
      <w:r w:rsidRPr="00D64F63">
        <w:rPr>
          <w:rFonts w:cstheme="minorHAnsi"/>
        </w:rPr>
        <w:t xml:space="preserve"> The UK Government has also recognised that the rights, </w:t>
      </w:r>
      <w:r w:rsidRPr="00D64F63">
        <w:rPr>
          <w:rFonts w:cstheme="minorHAnsi"/>
        </w:rPr>
        <w:t>safeguard and equality of opportunity protections in the Belfast (Good Friday) Agreement are not limited to the “affirmed in particular” rights. See paragraph 9 of the NI Office, ‘UK Government Commitment to “No Diminution of Rights, Safeguards and Equality of Opportunity” in 0: What does it Mean and How will it be Implemented?’ (NIO, 2020).</w:t>
      </w:r>
    </w:p>
  </w:footnote>
  <w:footnote w:id="16">
    <w:p w14:paraId="40F75FAC" w14:textId="77777777" w:rsidR="00AF1436" w:rsidRPr="00D64F63" w:rsidRDefault="00AF1436" w:rsidP="00AF1436">
      <w:pPr>
        <w:pStyle w:val="NIHRCFootnotes"/>
        <w:rPr>
          <w:rFonts w:cstheme="minorHAnsi"/>
        </w:rPr>
      </w:pPr>
      <w:r w:rsidRPr="00D64F63">
        <w:rPr>
          <w:rStyle w:val="FootnoteReference"/>
          <w:rFonts w:cstheme="minorHAnsi"/>
        </w:rPr>
        <w:footnoteRef/>
      </w:r>
      <w:r w:rsidRPr="00D64F63">
        <w:rPr>
          <w:rFonts w:cstheme="minorHAnsi"/>
        </w:rPr>
        <w:t xml:space="preserve"> NI Office, ‘UK Government Commitment to “No Diminution of Rights, Safeguards and Equality of Opportunity” in Northern Ireland: What does it Mean and How will it be Implemented?’ (NIO, 2020), at para 3.</w:t>
      </w:r>
    </w:p>
  </w:footnote>
  <w:footnote w:id="17">
    <w:p w14:paraId="6D1E13BC" w14:textId="77777777" w:rsidR="00AF1436" w:rsidRPr="00D64F63" w:rsidRDefault="00AF1436" w:rsidP="00AF1436">
      <w:pPr>
        <w:pStyle w:val="FootnoteText"/>
        <w:rPr>
          <w:color w:val="77328A"/>
          <w:sz w:val="16"/>
          <w:szCs w:val="16"/>
        </w:rPr>
      </w:pPr>
      <w:r w:rsidRPr="00D64F63">
        <w:rPr>
          <w:rStyle w:val="FootnoteReference"/>
          <w:color w:val="77328A"/>
          <w:sz w:val="16"/>
          <w:szCs w:val="16"/>
        </w:rPr>
        <w:footnoteRef/>
      </w:r>
      <w:r w:rsidRPr="00D64F63">
        <w:rPr>
          <w:color w:val="77328A"/>
          <w:sz w:val="16"/>
          <w:szCs w:val="16"/>
        </w:rPr>
        <w:t xml:space="preserve"> NI Human Rights Commission and Equality Commission for NI, ‘Working Paper: The Scope of Article 2(1) of the Ireland/Northern Ireland Protocol’, (NIHRC and ECNI, 2022). </w:t>
      </w:r>
    </w:p>
  </w:footnote>
  <w:footnote w:id="18">
    <w:p w14:paraId="35E813BA" w14:textId="77777777" w:rsidR="00AF1436" w:rsidRPr="00D64F63" w:rsidRDefault="00AF1436" w:rsidP="00AF1436">
      <w:pPr>
        <w:pStyle w:val="FootnoteText"/>
        <w:rPr>
          <w:color w:val="77328A"/>
          <w:sz w:val="16"/>
          <w:szCs w:val="16"/>
        </w:rPr>
      </w:pPr>
      <w:r w:rsidRPr="00D64F63">
        <w:rPr>
          <w:rStyle w:val="FootnoteReference"/>
          <w:color w:val="77328A"/>
          <w:sz w:val="16"/>
          <w:szCs w:val="16"/>
        </w:rPr>
        <w:footnoteRef/>
      </w:r>
      <w:r w:rsidRPr="00D64F63">
        <w:rPr>
          <w:color w:val="77328A"/>
          <w:sz w:val="16"/>
          <w:szCs w:val="16"/>
        </w:rPr>
        <w:t xml:space="preserve"> NI Human Rights Commission and Equality Commission for NI, ‘Working Paper: The Scope of Article 2(1) of the Ireland/Northern Ireland Protocol’, (NIHRC and ECNI, 2022). </w:t>
      </w:r>
    </w:p>
  </w:footnote>
  <w:footnote w:id="19">
    <w:p w14:paraId="7977D3A9" w14:textId="6B7BBF0D" w:rsidR="0004591A" w:rsidRDefault="0004591A">
      <w:pPr>
        <w:pStyle w:val="FootnoteText"/>
      </w:pPr>
      <w:r w:rsidRPr="00604B7C">
        <w:rPr>
          <w:rStyle w:val="FootnoteReference"/>
          <w:color w:val="77328A"/>
          <w:sz w:val="16"/>
          <w:szCs w:val="16"/>
        </w:rPr>
        <w:footnoteRef/>
      </w:r>
      <w:r>
        <w:t xml:space="preserve"> </w:t>
      </w:r>
      <w:r w:rsidR="00B40143">
        <w:rPr>
          <w:rStyle w:val="Hyperlink"/>
          <w:i/>
          <w:iCs/>
          <w:color w:val="77328A"/>
          <w:sz w:val="16"/>
          <w:szCs w:val="16"/>
          <w:lang w:val="en-US"/>
        </w:rPr>
        <w:t>Angesom’s (</w:t>
      </w:r>
      <w:r w:rsidR="004D3FCB">
        <w:rPr>
          <w:rStyle w:val="Hyperlink"/>
          <w:i/>
          <w:iCs/>
          <w:color w:val="77328A"/>
          <w:sz w:val="16"/>
          <w:szCs w:val="16"/>
          <w:lang w:val="en-US"/>
        </w:rPr>
        <w:t>Aman)</w:t>
      </w:r>
      <w:r w:rsidR="006E39C7" w:rsidRPr="00DA18F6">
        <w:rPr>
          <w:rStyle w:val="Hyperlink"/>
          <w:i/>
          <w:iCs/>
          <w:color w:val="77328A"/>
          <w:sz w:val="16"/>
          <w:szCs w:val="16"/>
          <w:lang w:val="en-US"/>
        </w:rPr>
        <w:t xml:space="preserve"> Application </w:t>
      </w:r>
      <w:r w:rsidR="006E39C7" w:rsidRPr="00DA18F6">
        <w:rPr>
          <w:rStyle w:val="Hyperlink"/>
          <w:color w:val="77328A"/>
          <w:sz w:val="16"/>
          <w:szCs w:val="16"/>
          <w:lang w:val="en-US"/>
        </w:rPr>
        <w:t>[2023] NIKB 102</w:t>
      </w:r>
      <w:r w:rsidR="00A856FF">
        <w:rPr>
          <w:rStyle w:val="Hyperlink"/>
          <w:color w:val="77328A"/>
          <w:sz w:val="16"/>
          <w:szCs w:val="16"/>
          <w:lang w:val="en-US"/>
        </w:rPr>
        <w:t xml:space="preserve"> at para. 107: “</w:t>
      </w:r>
      <w:r w:rsidR="00A7775E" w:rsidRPr="00A7775E">
        <w:rPr>
          <w:rStyle w:val="Hyperlink"/>
          <w:color w:val="77328A"/>
          <w:sz w:val="16"/>
          <w:szCs w:val="16"/>
          <w:lang w:val="en-US"/>
        </w:rPr>
        <w:t>The applicant and respondent both agree that the rights, safeguards and equality of opportunity enshrined in the relevant part of the GFA do not exclude asylum seekers</w:t>
      </w:r>
      <w:r w:rsidR="00BB4316">
        <w:rPr>
          <w:rStyle w:val="Hyperlink"/>
          <w:color w:val="77328A"/>
          <w:sz w:val="16"/>
          <w:szCs w:val="16"/>
          <w:lang w:val="en-US"/>
        </w:rPr>
        <w:t>.”</w:t>
      </w:r>
    </w:p>
  </w:footnote>
  <w:footnote w:id="20">
    <w:p w14:paraId="234986F0"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2001/55/EC ‘Council Directive on minimum standards for giving temporary protection in the event of a mass influx of displaced persons’, 20 July 2001. </w:t>
      </w:r>
    </w:p>
  </w:footnote>
  <w:footnote w:id="21">
    <w:p w14:paraId="56CA59C9"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2003/9/EC, ‘Council Directive laying down minimum standards for the reception of asylum seekers’, 27 January 2003.</w:t>
      </w:r>
    </w:p>
  </w:footnote>
  <w:footnote w:id="22">
    <w:p w14:paraId="2BE3617E"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2004/83/EC ‘Council Directive on minimum standards for the qualification and status of third country nationals or stateless persons as refugees or as persons who otherwise need international protection and the content of the protection granted’, 29 April 2004.</w:t>
      </w:r>
    </w:p>
  </w:footnote>
  <w:footnote w:id="23">
    <w:p w14:paraId="4D1FE0B6"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2005/85/EC, ‘Council Directive on minimum standards on procedures in Member States for granting and withdrawing refugee status’, 1 December 2005.</w:t>
      </w:r>
    </w:p>
  </w:footnote>
  <w:footnote w:id="24">
    <w:p w14:paraId="5AFC79F6" w14:textId="77777777" w:rsidR="00AF1436" w:rsidRPr="00DA18F6" w:rsidRDefault="00AF1436" w:rsidP="00AF1436">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Regulation 604/2013/EU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(recast)’, 26 June 2013.</w:t>
      </w:r>
    </w:p>
  </w:footnote>
  <w:footnote w:id="25">
    <w:p w14:paraId="3A7E13FA" w14:textId="77777777" w:rsidR="00794E2E" w:rsidRDefault="00794E2E" w:rsidP="00794E2E">
      <w:pPr>
        <w:pStyle w:val="FootnoteText"/>
      </w:pPr>
      <w:r w:rsidRPr="001D0806">
        <w:rPr>
          <w:rStyle w:val="FootnoteReference"/>
          <w:color w:val="77328A"/>
          <w:sz w:val="16"/>
          <w:szCs w:val="16"/>
        </w:rPr>
        <w:footnoteRef/>
      </w:r>
      <w:r w:rsidRPr="001D0806">
        <w:rPr>
          <w:color w:val="77328A"/>
          <w:sz w:val="16"/>
          <w:szCs w:val="16"/>
        </w:rPr>
        <w:t xml:space="preserve"> Article 46(1), European </w:t>
      </w:r>
      <w:r w:rsidRPr="00F87ED2">
        <w:rPr>
          <w:color w:val="77328A"/>
          <w:sz w:val="16"/>
          <w:szCs w:val="16"/>
        </w:rPr>
        <w:t>Convention on</w:t>
      </w:r>
      <w:r w:rsidRPr="001D0806">
        <w:rPr>
          <w:color w:val="77328A"/>
          <w:sz w:val="16"/>
          <w:szCs w:val="16"/>
        </w:rPr>
        <w:t xml:space="preserve"> Human Rights 1950.</w:t>
      </w:r>
    </w:p>
  </w:footnote>
  <w:footnote w:id="26">
    <w:p w14:paraId="11D13F88" w14:textId="77777777" w:rsidR="00794E2E" w:rsidRPr="00FB34E4" w:rsidRDefault="00794E2E" w:rsidP="00794E2E">
      <w:pPr>
        <w:pStyle w:val="FootnoteText"/>
        <w:rPr>
          <w:color w:val="77328A"/>
          <w:sz w:val="16"/>
          <w:szCs w:val="16"/>
        </w:rPr>
      </w:pPr>
      <w:r w:rsidRPr="00FB34E4">
        <w:rPr>
          <w:rStyle w:val="FootnoteReference"/>
          <w:color w:val="77328A"/>
          <w:sz w:val="16"/>
          <w:szCs w:val="16"/>
        </w:rPr>
        <w:footnoteRef/>
      </w:r>
      <w:r w:rsidRPr="00FB34E4">
        <w:rPr>
          <w:color w:val="77328A"/>
          <w:sz w:val="16"/>
          <w:szCs w:val="16"/>
        </w:rPr>
        <w:t xml:space="preserve"> UN Office of the High Commissioner for Human Rights, ‘Universality and Diversity’. Available at: </w:t>
      </w:r>
      <w:hyperlink r:id="rId3" w:history="1">
        <w:r w:rsidRPr="00FB34E4">
          <w:rPr>
            <w:rStyle w:val="Hyperlink"/>
            <w:color w:val="77328A"/>
            <w:sz w:val="16"/>
            <w:szCs w:val="16"/>
          </w:rPr>
          <w:t>https://www.ohchr.org/en/special-procedures/sr-cultural-rights/universality-and-diversity</w:t>
        </w:r>
      </w:hyperlink>
      <w:r w:rsidRPr="00FB34E4">
        <w:rPr>
          <w:color w:val="77328A"/>
          <w:sz w:val="16"/>
          <w:szCs w:val="16"/>
        </w:rPr>
        <w:t xml:space="preserve">.  </w:t>
      </w:r>
    </w:p>
  </w:footnote>
  <w:footnote w:id="27">
    <w:p w14:paraId="237EF27D" w14:textId="77777777" w:rsidR="00794E2E" w:rsidRPr="00FB34E4" w:rsidRDefault="00794E2E" w:rsidP="00794E2E">
      <w:pPr>
        <w:pStyle w:val="FootnoteText"/>
        <w:rPr>
          <w:color w:val="77328A"/>
          <w:sz w:val="16"/>
          <w:szCs w:val="16"/>
        </w:rPr>
      </w:pPr>
      <w:r w:rsidRPr="00FB34E4">
        <w:rPr>
          <w:rStyle w:val="FootnoteReference"/>
          <w:color w:val="77328A"/>
          <w:sz w:val="16"/>
          <w:szCs w:val="16"/>
        </w:rPr>
        <w:footnoteRef/>
      </w:r>
      <w:r w:rsidRPr="00FB34E4">
        <w:rPr>
          <w:color w:val="77328A"/>
          <w:sz w:val="16"/>
          <w:szCs w:val="16"/>
        </w:rPr>
        <w:t xml:space="preserve"> Preamble to the Universal Declaration of Human Rights 1948.</w:t>
      </w:r>
    </w:p>
  </w:footnote>
  <w:footnote w:id="28">
    <w:p w14:paraId="49573F31" w14:textId="77777777" w:rsidR="00794E2E" w:rsidRDefault="00794E2E" w:rsidP="00794E2E">
      <w:pPr>
        <w:pStyle w:val="FootnoteText"/>
      </w:pPr>
      <w:r w:rsidRPr="00FB34E4">
        <w:rPr>
          <w:rStyle w:val="FootnoteReference"/>
          <w:color w:val="77328A"/>
          <w:sz w:val="16"/>
          <w:szCs w:val="16"/>
        </w:rPr>
        <w:footnoteRef/>
      </w:r>
      <w:r w:rsidRPr="00FB34E4">
        <w:rPr>
          <w:color w:val="77328A"/>
          <w:sz w:val="16"/>
          <w:szCs w:val="16"/>
        </w:rPr>
        <w:t xml:space="preserve"> </w:t>
      </w:r>
      <w:hyperlink r:id="rId4" w:anchor="chapter-4-safeguarding-human-rights" w:history="1">
        <w:r w:rsidRPr="00FB34E4">
          <w:rPr>
            <w:rStyle w:val="Hyperlink"/>
            <w:color w:val="77328A"/>
            <w:sz w:val="16"/>
            <w:szCs w:val="16"/>
          </w:rPr>
          <w:t>Human Rights and Democracy: the 2022 Foreign, Commonwealth &amp; Development Office report - GOV.UK (www.gov.uk)</w:t>
        </w:r>
      </w:hyperlink>
    </w:p>
  </w:footnote>
  <w:footnote w:id="29">
    <w:p w14:paraId="75517030" w14:textId="1681EE55" w:rsidR="000A6AA1" w:rsidRPr="00DA18F6" w:rsidRDefault="000A6AA1" w:rsidP="000A6AA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Article 27, </w:t>
      </w:r>
      <w:r w:rsidR="00425FD9">
        <w:rPr>
          <w:color w:val="77328A"/>
          <w:sz w:val="16"/>
          <w:szCs w:val="16"/>
        </w:rPr>
        <w:t>paragraph</w:t>
      </w:r>
      <w:r w:rsidRPr="00DA18F6">
        <w:rPr>
          <w:color w:val="77328A"/>
          <w:sz w:val="16"/>
          <w:szCs w:val="16"/>
        </w:rPr>
        <w:t xml:space="preserve"> 2(a). Directive 2005/85/EC, ‘Council Directive on minimum standards on procedures in Member States for granting and withdrawing refugee status’, 1 December 2005.</w:t>
      </w:r>
      <w:r w:rsidR="00AC28E8">
        <w:rPr>
          <w:color w:val="77328A"/>
          <w:sz w:val="16"/>
          <w:szCs w:val="16"/>
        </w:rPr>
        <w:t xml:space="preserve"> </w:t>
      </w:r>
      <w:r w:rsidR="00AC28E8">
        <w:rPr>
          <w:color w:val="77328A"/>
          <w:sz w:val="16"/>
          <w:szCs w:val="16"/>
        </w:rPr>
        <w:t xml:space="preserve">Note </w:t>
      </w:r>
      <w:r w:rsidR="008F04DF">
        <w:rPr>
          <w:color w:val="77328A"/>
          <w:sz w:val="16"/>
          <w:szCs w:val="16"/>
        </w:rPr>
        <w:t>also</w:t>
      </w:r>
      <w:r w:rsidR="00E752BE">
        <w:rPr>
          <w:color w:val="77328A"/>
          <w:sz w:val="16"/>
          <w:szCs w:val="16"/>
        </w:rPr>
        <w:t xml:space="preserve"> </w:t>
      </w:r>
      <w:r w:rsidR="00143E25" w:rsidRPr="00AB6E4E">
        <w:rPr>
          <w:i/>
          <w:iCs/>
          <w:color w:val="77328A"/>
          <w:sz w:val="16"/>
          <w:szCs w:val="16"/>
        </w:rPr>
        <w:t>AAA (Syria) &amp; Others, R (on the application of) v Secretary of State for the Home Department </w:t>
      </w:r>
      <w:r w:rsidR="00143E25">
        <w:rPr>
          <w:color w:val="77328A"/>
          <w:sz w:val="16"/>
          <w:szCs w:val="16"/>
        </w:rPr>
        <w:t>[</w:t>
      </w:r>
      <w:r w:rsidR="00143E25" w:rsidRPr="00260B4A">
        <w:rPr>
          <w:color w:val="77328A"/>
          <w:sz w:val="16"/>
          <w:szCs w:val="16"/>
        </w:rPr>
        <w:t>2023</w:t>
      </w:r>
      <w:r w:rsidR="00143E25">
        <w:rPr>
          <w:color w:val="77328A"/>
          <w:sz w:val="16"/>
          <w:szCs w:val="16"/>
        </w:rPr>
        <w:t>]</w:t>
      </w:r>
      <w:r w:rsidR="00143E25" w:rsidRPr="00260B4A">
        <w:rPr>
          <w:color w:val="77328A"/>
          <w:sz w:val="16"/>
          <w:szCs w:val="16"/>
        </w:rPr>
        <w:t xml:space="preserve"> UKSC 42</w:t>
      </w:r>
      <w:r w:rsidR="00F048B2">
        <w:rPr>
          <w:color w:val="77328A"/>
          <w:sz w:val="16"/>
          <w:szCs w:val="16"/>
        </w:rPr>
        <w:t xml:space="preserve"> at para. 108</w:t>
      </w:r>
      <w:r w:rsidR="008F04DF">
        <w:rPr>
          <w:color w:val="77328A"/>
          <w:sz w:val="16"/>
          <w:szCs w:val="16"/>
        </w:rPr>
        <w:t>:</w:t>
      </w:r>
      <w:r w:rsidR="008F04DF" w:rsidRPr="008F04DF">
        <w:rPr>
          <w:color w:val="77328A"/>
          <w:sz w:val="16"/>
          <w:szCs w:val="16"/>
          <w:u w:val="single"/>
        </w:rPr>
        <w:t xml:space="preserve"> </w:t>
      </w:r>
      <w:r w:rsidR="008F04DF" w:rsidRPr="005D63F8">
        <w:rPr>
          <w:color w:val="77328A"/>
          <w:sz w:val="16"/>
          <w:szCs w:val="16"/>
          <w:u w:val="single"/>
        </w:rPr>
        <w:t>“</w:t>
      </w:r>
      <w:r w:rsidR="008F04DF" w:rsidRPr="00BC409D">
        <w:rPr>
          <w:color w:val="77328A"/>
          <w:sz w:val="16"/>
          <w:szCs w:val="16"/>
          <w:u w:val="single"/>
        </w:rPr>
        <w:t>The Secretary of State does not dispute that if the Procedures Directive remains in force in United Kingdom domestic law as retained EU law, the MEDP scheme as relevant to these appeals is not compatible with articles 25 and 27 of the Directive.</w:t>
      </w:r>
      <w:r w:rsidR="008F04DF">
        <w:rPr>
          <w:color w:val="77328A"/>
          <w:sz w:val="16"/>
          <w:szCs w:val="16"/>
          <w:u w:val="single"/>
        </w:rPr>
        <w:t>”</w:t>
      </w:r>
    </w:p>
  </w:footnote>
  <w:footnote w:id="30">
    <w:p w14:paraId="2027029E" w14:textId="75BD9B1C" w:rsidR="007035A0" w:rsidRPr="00613DE6" w:rsidRDefault="007035A0">
      <w:pPr>
        <w:pStyle w:val="FootnoteText"/>
        <w:rPr>
          <w:color w:val="77328A"/>
          <w:sz w:val="16"/>
          <w:szCs w:val="16"/>
        </w:rPr>
      </w:pPr>
      <w:r w:rsidRPr="00613DE6">
        <w:rPr>
          <w:color w:val="77328A"/>
          <w:sz w:val="16"/>
          <w:szCs w:val="16"/>
          <w:vertAlign w:val="superscript"/>
        </w:rPr>
        <w:footnoteRef/>
      </w:r>
      <w:r w:rsidRPr="00613DE6">
        <w:rPr>
          <w:color w:val="77328A"/>
          <w:sz w:val="16"/>
          <w:szCs w:val="16"/>
        </w:rPr>
        <w:t xml:space="preserve"> </w:t>
      </w:r>
      <w:r w:rsidR="00613DE6" w:rsidRPr="00613DE6">
        <w:rPr>
          <w:color w:val="77328A"/>
          <w:sz w:val="16"/>
          <w:szCs w:val="16"/>
        </w:rPr>
        <w:t>See Section 7 (Clause 4) of this briefing for further detail.</w:t>
      </w:r>
    </w:p>
  </w:footnote>
  <w:footnote w:id="31">
    <w:p w14:paraId="1A90E40F" w14:textId="42A7E03F" w:rsidR="00315D52" w:rsidRPr="003A1757" w:rsidRDefault="00315D52" w:rsidP="00315D52">
      <w:pPr>
        <w:pStyle w:val="FootnoteText"/>
        <w:rPr>
          <w:color w:val="77328A"/>
          <w:sz w:val="16"/>
          <w:szCs w:val="16"/>
        </w:rPr>
      </w:pPr>
      <w:r w:rsidRPr="003A1757">
        <w:rPr>
          <w:rStyle w:val="FootnoteReference"/>
          <w:color w:val="77328A"/>
          <w:sz w:val="16"/>
          <w:szCs w:val="16"/>
        </w:rPr>
        <w:footnoteRef/>
      </w:r>
      <w:r w:rsidRPr="003A1757">
        <w:rPr>
          <w:color w:val="77328A"/>
          <w:sz w:val="16"/>
          <w:szCs w:val="16"/>
        </w:rPr>
        <w:t xml:space="preserve"> Clause 5(2)</w:t>
      </w:r>
      <w:r w:rsidR="00723732">
        <w:rPr>
          <w:color w:val="77328A"/>
          <w:sz w:val="16"/>
          <w:szCs w:val="16"/>
        </w:rPr>
        <w:t>.</w:t>
      </w:r>
    </w:p>
  </w:footnote>
  <w:footnote w:id="32">
    <w:p w14:paraId="3511C8BA" w14:textId="6E9F1A69" w:rsidR="00BF775B" w:rsidRPr="007163BE" w:rsidRDefault="00BF775B" w:rsidP="00BF775B">
      <w:pPr>
        <w:pStyle w:val="FootnoteText"/>
        <w:rPr>
          <w:sz w:val="16"/>
          <w:szCs w:val="16"/>
        </w:rPr>
      </w:pPr>
      <w:r w:rsidRPr="007163BE">
        <w:rPr>
          <w:rStyle w:val="FootnoteReference"/>
          <w:color w:val="77328A"/>
          <w:sz w:val="16"/>
          <w:szCs w:val="16"/>
        </w:rPr>
        <w:footnoteRef/>
      </w:r>
      <w:r w:rsidRPr="007163BE">
        <w:rPr>
          <w:color w:val="77328A"/>
          <w:sz w:val="16"/>
          <w:szCs w:val="16"/>
        </w:rPr>
        <w:t xml:space="preserve"> AAA (Syria) &amp; O</w:t>
      </w:r>
      <w:r w:rsidR="004E33F1">
        <w:rPr>
          <w:color w:val="77328A"/>
          <w:sz w:val="16"/>
          <w:szCs w:val="16"/>
        </w:rPr>
        <w:t>ther</w:t>
      </w:r>
      <w:r w:rsidRPr="007163BE">
        <w:rPr>
          <w:color w:val="77328A"/>
          <w:sz w:val="16"/>
          <w:szCs w:val="16"/>
        </w:rPr>
        <w:t>s, R (on the application of) v Secretary of State for the Home Department (2023) UKSC 42.</w:t>
      </w:r>
    </w:p>
  </w:footnote>
  <w:footnote w:id="33">
    <w:p w14:paraId="064E671C" w14:textId="7F492A2F" w:rsidR="00BF775B" w:rsidRPr="00F478F7" w:rsidRDefault="00BF775B" w:rsidP="00BF775B">
      <w:pPr>
        <w:pStyle w:val="FootnoteText"/>
        <w:rPr>
          <w:color w:val="77328A"/>
          <w:sz w:val="16"/>
          <w:szCs w:val="16"/>
        </w:rPr>
      </w:pPr>
      <w:r w:rsidRPr="00F478F7">
        <w:rPr>
          <w:rStyle w:val="FootnoteReference"/>
          <w:color w:val="77328A"/>
          <w:sz w:val="16"/>
          <w:szCs w:val="16"/>
        </w:rPr>
        <w:footnoteRef/>
      </w:r>
      <w:r w:rsidRPr="00F478F7">
        <w:rPr>
          <w:color w:val="77328A"/>
          <w:sz w:val="16"/>
          <w:szCs w:val="16"/>
        </w:rPr>
        <w:t xml:space="preserve"> Ibid, at para 76</w:t>
      </w:r>
      <w:r w:rsidR="00833888">
        <w:rPr>
          <w:color w:val="77328A"/>
          <w:sz w:val="16"/>
          <w:szCs w:val="16"/>
        </w:rPr>
        <w:t>.</w:t>
      </w:r>
    </w:p>
  </w:footnote>
  <w:footnote w:id="34">
    <w:p w14:paraId="08D640FE" w14:textId="694391F2" w:rsidR="00BF775B" w:rsidRPr="007607E4" w:rsidRDefault="00BF775B" w:rsidP="00BF775B">
      <w:pPr>
        <w:pStyle w:val="FootnoteText"/>
        <w:rPr>
          <w:color w:val="77328A"/>
          <w:sz w:val="16"/>
          <w:szCs w:val="16"/>
        </w:rPr>
      </w:pPr>
      <w:r w:rsidRPr="00F478F7">
        <w:rPr>
          <w:rStyle w:val="FootnoteReference"/>
          <w:color w:val="77328A"/>
          <w:sz w:val="16"/>
          <w:szCs w:val="16"/>
        </w:rPr>
        <w:footnoteRef/>
      </w:r>
      <w:r w:rsidRPr="00F478F7">
        <w:rPr>
          <w:color w:val="77328A"/>
          <w:sz w:val="16"/>
          <w:szCs w:val="16"/>
        </w:rPr>
        <w:t xml:space="preserve"> Ibid, at para 76</w:t>
      </w:r>
      <w:r w:rsidR="00833888">
        <w:rPr>
          <w:color w:val="77328A"/>
          <w:sz w:val="16"/>
          <w:szCs w:val="16"/>
        </w:rPr>
        <w:t>.</w:t>
      </w:r>
    </w:p>
  </w:footnote>
  <w:footnote w:id="35">
    <w:p w14:paraId="1E87FD02" w14:textId="77777777" w:rsidR="00BF775B" w:rsidRPr="007607E4" w:rsidRDefault="00BF775B" w:rsidP="00BF775B">
      <w:pPr>
        <w:pStyle w:val="FootnoteText"/>
        <w:rPr>
          <w:color w:val="77328A"/>
          <w:sz w:val="16"/>
          <w:szCs w:val="16"/>
        </w:rPr>
      </w:pPr>
      <w:r w:rsidRPr="007607E4">
        <w:rPr>
          <w:rStyle w:val="FootnoteReference"/>
          <w:color w:val="77328A"/>
          <w:sz w:val="16"/>
          <w:szCs w:val="16"/>
        </w:rPr>
        <w:footnoteRef/>
      </w:r>
      <w:r w:rsidRPr="007607E4">
        <w:rPr>
          <w:color w:val="77328A"/>
          <w:sz w:val="16"/>
          <w:szCs w:val="16"/>
        </w:rPr>
        <w:t xml:space="preserve"> Ibid, at para 79.</w:t>
      </w:r>
    </w:p>
  </w:footnote>
  <w:footnote w:id="36">
    <w:p w14:paraId="6201FA0F" w14:textId="77777777" w:rsidR="00BF775B" w:rsidRPr="007607E4" w:rsidRDefault="00BF775B" w:rsidP="00BF775B">
      <w:pPr>
        <w:pStyle w:val="FootnoteText"/>
        <w:rPr>
          <w:color w:val="77328A"/>
          <w:sz w:val="16"/>
          <w:szCs w:val="16"/>
        </w:rPr>
      </w:pPr>
      <w:r w:rsidRPr="007607E4">
        <w:rPr>
          <w:rStyle w:val="FootnoteReference"/>
          <w:color w:val="77328A"/>
          <w:sz w:val="16"/>
          <w:szCs w:val="16"/>
        </w:rPr>
        <w:footnoteRef/>
      </w:r>
      <w:r w:rsidRPr="007607E4">
        <w:rPr>
          <w:color w:val="77328A"/>
          <w:sz w:val="16"/>
          <w:szCs w:val="16"/>
        </w:rPr>
        <w:t xml:space="preserve"> Ibid, at para 82: “Although a right of appeal has existed since 2018, there has never been such an appeal in practice. The system is therefore untested, and there is no evidence as to how the right of appeal would work in practice. There are, however, concerns about the willingness of the judiciary to find against the Rwandan government.”</w:t>
      </w:r>
    </w:p>
  </w:footnote>
  <w:footnote w:id="37">
    <w:p w14:paraId="00E30478" w14:textId="77777777" w:rsidR="00BF775B" w:rsidRPr="00B436A5" w:rsidRDefault="00BF775B" w:rsidP="00BF775B">
      <w:pPr>
        <w:pStyle w:val="FootnoteText"/>
        <w:rPr>
          <w:color w:val="77328A"/>
          <w:sz w:val="16"/>
          <w:szCs w:val="16"/>
        </w:rPr>
      </w:pPr>
      <w:r w:rsidRPr="007607E4">
        <w:rPr>
          <w:rStyle w:val="FootnoteReference"/>
          <w:color w:val="77328A"/>
          <w:sz w:val="16"/>
          <w:szCs w:val="16"/>
        </w:rPr>
        <w:footnoteRef/>
      </w:r>
      <w:r w:rsidRPr="007607E4">
        <w:rPr>
          <w:color w:val="77328A"/>
          <w:sz w:val="16"/>
          <w:szCs w:val="16"/>
        </w:rPr>
        <w:t xml:space="preserve"> Ibid, at para 83.</w:t>
      </w:r>
    </w:p>
  </w:footnote>
  <w:footnote w:id="38">
    <w:p w14:paraId="202F1C1A" w14:textId="77777777" w:rsidR="00BF775B" w:rsidRPr="00B436A5" w:rsidRDefault="00BF775B" w:rsidP="00BF775B">
      <w:pPr>
        <w:pStyle w:val="FootnoteText"/>
        <w:rPr>
          <w:color w:val="77328A"/>
          <w:sz w:val="16"/>
          <w:szCs w:val="16"/>
        </w:rPr>
      </w:pPr>
      <w:r w:rsidRPr="00B436A5">
        <w:rPr>
          <w:rStyle w:val="FootnoteReference"/>
          <w:color w:val="77328A"/>
          <w:sz w:val="16"/>
          <w:szCs w:val="16"/>
        </w:rPr>
        <w:footnoteRef/>
      </w:r>
      <w:r w:rsidRPr="00B436A5">
        <w:rPr>
          <w:color w:val="77328A"/>
          <w:sz w:val="16"/>
          <w:szCs w:val="16"/>
        </w:rPr>
        <w:t xml:space="preserve"> </w:t>
      </w:r>
      <w:r>
        <w:rPr>
          <w:color w:val="77328A"/>
          <w:sz w:val="16"/>
          <w:szCs w:val="16"/>
        </w:rPr>
        <w:t>Ibid, at p</w:t>
      </w:r>
      <w:r w:rsidRPr="00B436A5">
        <w:rPr>
          <w:color w:val="77328A"/>
          <w:sz w:val="16"/>
          <w:szCs w:val="16"/>
        </w:rPr>
        <w:t xml:space="preserve">ara 85: “UNHCR’s evidence shows 100% rejection rates at [the Refugee Status Determination Committee] level during 2020-2022 for nationals of Afghanistan, </w:t>
      </w:r>
      <w:r w:rsidRPr="00B436A5">
        <w:rPr>
          <w:color w:val="77328A"/>
          <w:sz w:val="16"/>
          <w:szCs w:val="16"/>
        </w:rPr>
        <w:t>Syria and Yemen, from which asylum seekers removed from the United Kingdom may well emanate… By comparison, Home Office statistics for the same period show that asylum claims in the UK were granted in 74% of cases from Afghanistan, 98% of cases from Syria, and 40% of cases from Yemen.”</w:t>
      </w:r>
    </w:p>
  </w:footnote>
  <w:footnote w:id="39">
    <w:p w14:paraId="2ED84FD3" w14:textId="77777777" w:rsidR="00C20203" w:rsidRDefault="00BF775B" w:rsidP="00BF775B">
      <w:pPr>
        <w:pStyle w:val="FootnoteText"/>
        <w:rPr>
          <w:color w:val="77328A"/>
          <w:sz w:val="16"/>
          <w:szCs w:val="16"/>
        </w:rPr>
      </w:pPr>
      <w:r w:rsidRPr="00B436A5">
        <w:rPr>
          <w:rStyle w:val="FootnoteReference"/>
          <w:color w:val="77328A"/>
          <w:sz w:val="16"/>
          <w:szCs w:val="16"/>
        </w:rPr>
        <w:footnoteRef/>
      </w:r>
      <w:r w:rsidRPr="00B436A5">
        <w:rPr>
          <w:color w:val="77328A"/>
          <w:sz w:val="16"/>
          <w:szCs w:val="16"/>
        </w:rPr>
        <w:t xml:space="preserve"> </w:t>
      </w:r>
      <w:r>
        <w:rPr>
          <w:color w:val="77328A"/>
          <w:sz w:val="16"/>
          <w:szCs w:val="16"/>
        </w:rPr>
        <w:t>Ibid, at p</w:t>
      </w:r>
      <w:r w:rsidRPr="00B436A5">
        <w:rPr>
          <w:color w:val="77328A"/>
          <w:sz w:val="16"/>
          <w:szCs w:val="16"/>
        </w:rPr>
        <w:t>ara 87: “UNHCR reported six recent cases of expulsion of persons who claimed asylum on arrival at Kigali airport, some of which resulted in refoulement or would have done so if UNHCR had not intervened.”</w:t>
      </w:r>
      <w:r>
        <w:rPr>
          <w:color w:val="77328A"/>
          <w:sz w:val="16"/>
          <w:szCs w:val="16"/>
        </w:rPr>
        <w:t xml:space="preserve"> </w:t>
      </w:r>
    </w:p>
    <w:p w14:paraId="4A55E73D" w14:textId="6433B5F4" w:rsidR="00BF775B" w:rsidRPr="00B436A5" w:rsidRDefault="00BF775B" w:rsidP="00BF775B">
      <w:pPr>
        <w:pStyle w:val="FootnoteText"/>
        <w:rPr>
          <w:color w:val="77328A"/>
          <w:sz w:val="16"/>
          <w:szCs w:val="16"/>
        </w:rPr>
      </w:pPr>
      <w:r>
        <w:rPr>
          <w:color w:val="77328A"/>
          <w:sz w:val="16"/>
          <w:szCs w:val="16"/>
        </w:rPr>
        <w:t>See also, at p</w:t>
      </w:r>
      <w:r w:rsidRPr="00B436A5">
        <w:rPr>
          <w:color w:val="77328A"/>
          <w:sz w:val="16"/>
          <w:szCs w:val="16"/>
        </w:rPr>
        <w:t>ara 100: “Although the terms of the agreement may well have been different from the [Migration and Economic Development Partnership] the Rwandan government undertook to comply with the principle of non-refoulement”, therefore “Its apparent failure to fulfil that undertaking is relevant to an assessment of the risk of refoulement under the arrangements entered into with the government of the UK”.</w:t>
      </w:r>
    </w:p>
  </w:footnote>
  <w:footnote w:id="40">
    <w:p w14:paraId="3AC42818" w14:textId="6401F5B0" w:rsidR="00452F06" w:rsidRDefault="00452F06">
      <w:pPr>
        <w:pStyle w:val="FootnoteText"/>
      </w:pPr>
      <w:r w:rsidRPr="0015173D">
        <w:rPr>
          <w:rStyle w:val="FootnoteReference"/>
          <w:color w:val="77328A"/>
          <w:sz w:val="16"/>
          <w:szCs w:val="16"/>
        </w:rPr>
        <w:footnoteRef/>
      </w:r>
      <w:r w:rsidRPr="0015173D">
        <w:rPr>
          <w:color w:val="77328A"/>
          <w:sz w:val="16"/>
          <w:szCs w:val="16"/>
        </w:rPr>
        <w:t xml:space="preserve"> </w:t>
      </w:r>
      <w:r w:rsidR="0015173D" w:rsidRPr="0015173D">
        <w:rPr>
          <w:color w:val="77328A"/>
          <w:sz w:val="16"/>
          <w:szCs w:val="16"/>
        </w:rPr>
        <w:t>Ibid, at para 76.</w:t>
      </w:r>
    </w:p>
  </w:footnote>
  <w:footnote w:id="41">
    <w:p w14:paraId="0361A64E" w14:textId="5C8AD5F9" w:rsidR="66088114" w:rsidRDefault="66088114" w:rsidP="66088114">
      <w:pPr>
        <w:pStyle w:val="FootnoteText"/>
      </w:pPr>
      <w:r w:rsidRPr="66088114">
        <w:rPr>
          <w:rStyle w:val="FootnoteReference"/>
          <w:color w:val="77328A"/>
          <w:sz w:val="16"/>
          <w:szCs w:val="16"/>
        </w:rPr>
        <w:footnoteRef/>
      </w:r>
      <w:r w:rsidRPr="66088114">
        <w:rPr>
          <w:color w:val="77328A"/>
          <w:sz w:val="16"/>
          <w:szCs w:val="16"/>
        </w:rPr>
        <w:t xml:space="preserve"> CAT/C/RWA/CO/2, ‘UN Committee Against Torture Concluding Observations on the Second Periodic Report of Rwanda’, 21 December 2017, at para 47; CCPR/C/RWA/CO/4, ‘Human Rights Committee Concluding Observations on the Fourth Periodic Report of Rwanda’, 2 May 2016, at para 30.</w:t>
      </w:r>
    </w:p>
  </w:footnote>
  <w:footnote w:id="42">
    <w:p w14:paraId="6351725E" w14:textId="1723E01B" w:rsidR="00D41306" w:rsidRPr="00051025" w:rsidRDefault="00D41306">
      <w:pPr>
        <w:pStyle w:val="FootnoteText"/>
        <w:rPr>
          <w:color w:val="77328A"/>
          <w:sz w:val="16"/>
          <w:szCs w:val="16"/>
        </w:rPr>
      </w:pPr>
      <w:r w:rsidRPr="00051025">
        <w:rPr>
          <w:rStyle w:val="FootnoteReference"/>
          <w:color w:val="77328A"/>
          <w:sz w:val="16"/>
          <w:szCs w:val="16"/>
        </w:rPr>
        <w:footnoteRef/>
      </w:r>
      <w:r w:rsidRPr="00051025">
        <w:rPr>
          <w:color w:val="77328A"/>
          <w:sz w:val="16"/>
          <w:szCs w:val="16"/>
        </w:rPr>
        <w:t xml:space="preserve"> </w:t>
      </w:r>
      <w:r w:rsidR="006B1318" w:rsidRPr="00051025">
        <w:rPr>
          <w:color w:val="77328A"/>
          <w:sz w:val="16"/>
          <w:szCs w:val="16"/>
        </w:rPr>
        <w:t>UN Human Rights Council, ‘</w:t>
      </w:r>
      <w:r w:rsidR="00C002EF" w:rsidRPr="00051025">
        <w:rPr>
          <w:color w:val="77328A"/>
          <w:sz w:val="16"/>
          <w:szCs w:val="16"/>
        </w:rPr>
        <w:t>Universal Periodic Review</w:t>
      </w:r>
      <w:r w:rsidR="00A827C4" w:rsidRPr="00051025">
        <w:rPr>
          <w:color w:val="77328A"/>
          <w:sz w:val="16"/>
          <w:szCs w:val="16"/>
        </w:rPr>
        <w:t xml:space="preserve"> – Rwanda (Third Cycle)</w:t>
      </w:r>
      <w:r w:rsidR="00C002EF" w:rsidRPr="00051025">
        <w:rPr>
          <w:color w:val="77328A"/>
          <w:sz w:val="16"/>
          <w:szCs w:val="16"/>
        </w:rPr>
        <w:t xml:space="preserve"> – Advance Questions to Rwanda (First Batch)</w:t>
      </w:r>
      <w:r w:rsidR="00A827C4" w:rsidRPr="00051025">
        <w:rPr>
          <w:color w:val="77328A"/>
          <w:sz w:val="16"/>
          <w:szCs w:val="16"/>
        </w:rPr>
        <w:t>’</w:t>
      </w:r>
      <w:r w:rsidR="006B5D70" w:rsidRPr="00051025">
        <w:rPr>
          <w:color w:val="77328A"/>
          <w:sz w:val="16"/>
          <w:szCs w:val="16"/>
        </w:rPr>
        <w:t xml:space="preserve">. Available at: </w:t>
      </w:r>
      <w:hyperlink r:id="rId5" w:history="1">
        <w:r w:rsidR="006B5D70" w:rsidRPr="00051025">
          <w:rPr>
            <w:rStyle w:val="Hyperlink"/>
            <w:color w:val="77328A"/>
            <w:sz w:val="16"/>
            <w:szCs w:val="16"/>
          </w:rPr>
          <w:t>https://www.ohchr.org/en/hr-bodies/upr/rw-index</w:t>
        </w:r>
      </w:hyperlink>
      <w:r w:rsidR="006B5D70" w:rsidRPr="00051025">
        <w:rPr>
          <w:color w:val="77328A"/>
          <w:sz w:val="16"/>
          <w:szCs w:val="16"/>
        </w:rPr>
        <w:t xml:space="preserve">. </w:t>
      </w:r>
    </w:p>
  </w:footnote>
  <w:footnote w:id="43">
    <w:p w14:paraId="59551434" w14:textId="52BE0F70" w:rsidR="00BF775B" w:rsidRPr="00051025" w:rsidRDefault="00BF775B" w:rsidP="00BF775B">
      <w:pPr>
        <w:pStyle w:val="FootnoteText"/>
        <w:rPr>
          <w:color w:val="77328A"/>
          <w:sz w:val="16"/>
          <w:szCs w:val="16"/>
        </w:rPr>
      </w:pPr>
      <w:r w:rsidRPr="00051025">
        <w:rPr>
          <w:rStyle w:val="FootnoteReference"/>
          <w:color w:val="77328A"/>
          <w:sz w:val="16"/>
          <w:szCs w:val="16"/>
        </w:rPr>
        <w:footnoteRef/>
      </w:r>
      <w:r w:rsidRPr="00051025">
        <w:rPr>
          <w:color w:val="77328A"/>
          <w:sz w:val="16"/>
          <w:szCs w:val="16"/>
        </w:rPr>
        <w:t xml:space="preserve"> </w:t>
      </w:r>
      <w:r w:rsidR="00E60AC7" w:rsidRPr="00051025">
        <w:rPr>
          <w:color w:val="77328A"/>
          <w:sz w:val="16"/>
          <w:szCs w:val="16"/>
        </w:rPr>
        <w:t xml:space="preserve">A/HRC/47/14, ‘UN Human Rights Council: Report of the Working Group on the Universal Periodic Review </w:t>
      </w:r>
      <w:r w:rsidR="00051025" w:rsidRPr="00051025">
        <w:rPr>
          <w:color w:val="77328A"/>
          <w:sz w:val="16"/>
          <w:szCs w:val="16"/>
        </w:rPr>
        <w:t>–</w:t>
      </w:r>
      <w:r w:rsidR="00E60AC7" w:rsidRPr="00051025">
        <w:rPr>
          <w:color w:val="77328A"/>
          <w:sz w:val="16"/>
          <w:szCs w:val="16"/>
        </w:rPr>
        <w:t xml:space="preserve"> Rwanda</w:t>
      </w:r>
      <w:r w:rsidR="00051025" w:rsidRPr="00051025">
        <w:rPr>
          <w:color w:val="77328A"/>
          <w:sz w:val="16"/>
          <w:szCs w:val="16"/>
        </w:rPr>
        <w:t>’, 25 March 2021, a</w:t>
      </w:r>
      <w:r w:rsidRPr="00051025">
        <w:rPr>
          <w:color w:val="77328A"/>
          <w:sz w:val="16"/>
          <w:szCs w:val="16"/>
        </w:rPr>
        <w:t>t 114</w:t>
      </w:r>
      <w:r w:rsidR="00051025" w:rsidRPr="00051025">
        <w:rPr>
          <w:color w:val="77328A"/>
          <w:sz w:val="16"/>
          <w:szCs w:val="16"/>
        </w:rPr>
        <w:t>.</w:t>
      </w:r>
    </w:p>
  </w:footnote>
  <w:footnote w:id="44">
    <w:p w14:paraId="2FF4FF5C" w14:textId="5A35813F" w:rsidR="00BF775B" w:rsidRPr="00051025" w:rsidRDefault="00BF775B" w:rsidP="00BF775B">
      <w:pPr>
        <w:pStyle w:val="FootnoteText"/>
        <w:rPr>
          <w:color w:val="77328A"/>
          <w:sz w:val="16"/>
          <w:szCs w:val="16"/>
        </w:rPr>
      </w:pPr>
      <w:r w:rsidRPr="00051025">
        <w:rPr>
          <w:rStyle w:val="FootnoteReference"/>
          <w:color w:val="77328A"/>
          <w:sz w:val="16"/>
          <w:szCs w:val="16"/>
        </w:rPr>
        <w:footnoteRef/>
      </w:r>
      <w:r w:rsidRPr="00051025">
        <w:rPr>
          <w:color w:val="77328A"/>
          <w:sz w:val="16"/>
          <w:szCs w:val="16"/>
        </w:rPr>
        <w:t xml:space="preserve"> </w:t>
      </w:r>
      <w:r w:rsidR="00051025" w:rsidRPr="00051025">
        <w:rPr>
          <w:color w:val="77328A"/>
          <w:sz w:val="16"/>
          <w:szCs w:val="16"/>
        </w:rPr>
        <w:t>Ibid, a</w:t>
      </w:r>
      <w:r w:rsidRPr="00051025">
        <w:rPr>
          <w:color w:val="77328A"/>
          <w:sz w:val="16"/>
          <w:szCs w:val="16"/>
        </w:rPr>
        <w:t>t 134.62</w:t>
      </w:r>
    </w:p>
  </w:footnote>
  <w:footnote w:id="45">
    <w:p w14:paraId="2E8741AE" w14:textId="4071ADAC" w:rsidR="00BF775B" w:rsidRPr="00051025" w:rsidRDefault="00BF775B" w:rsidP="00BF775B">
      <w:pPr>
        <w:pStyle w:val="FootnoteText"/>
        <w:rPr>
          <w:color w:val="77328A"/>
          <w:sz w:val="16"/>
          <w:szCs w:val="16"/>
        </w:rPr>
      </w:pPr>
      <w:r w:rsidRPr="00051025">
        <w:rPr>
          <w:rStyle w:val="FootnoteReference"/>
          <w:color w:val="77328A"/>
          <w:sz w:val="16"/>
          <w:szCs w:val="16"/>
        </w:rPr>
        <w:footnoteRef/>
      </w:r>
      <w:r w:rsidRPr="00051025">
        <w:rPr>
          <w:color w:val="77328A"/>
          <w:sz w:val="16"/>
          <w:szCs w:val="16"/>
        </w:rPr>
        <w:t xml:space="preserve"> </w:t>
      </w:r>
      <w:r w:rsidR="00051025" w:rsidRPr="00051025">
        <w:rPr>
          <w:color w:val="77328A"/>
          <w:sz w:val="16"/>
          <w:szCs w:val="16"/>
        </w:rPr>
        <w:t>Ibid, a</w:t>
      </w:r>
      <w:r w:rsidRPr="00051025">
        <w:rPr>
          <w:color w:val="77328A"/>
          <w:sz w:val="16"/>
          <w:szCs w:val="16"/>
        </w:rPr>
        <w:t>t 135.33</w:t>
      </w:r>
    </w:p>
  </w:footnote>
  <w:footnote w:id="46">
    <w:p w14:paraId="15EF7C7E" w14:textId="11C3C285" w:rsidR="00BF775B" w:rsidRPr="00051025" w:rsidRDefault="00BF775B" w:rsidP="00BF775B">
      <w:pPr>
        <w:pStyle w:val="FootnoteText"/>
        <w:rPr>
          <w:color w:val="77328A"/>
          <w:sz w:val="16"/>
          <w:szCs w:val="16"/>
        </w:rPr>
      </w:pPr>
      <w:r w:rsidRPr="00051025">
        <w:rPr>
          <w:rStyle w:val="FootnoteReference"/>
          <w:color w:val="77328A"/>
          <w:sz w:val="16"/>
          <w:szCs w:val="16"/>
        </w:rPr>
        <w:footnoteRef/>
      </w:r>
      <w:r w:rsidRPr="00051025">
        <w:rPr>
          <w:color w:val="77328A"/>
          <w:sz w:val="16"/>
          <w:szCs w:val="16"/>
        </w:rPr>
        <w:t xml:space="preserve"> </w:t>
      </w:r>
      <w:r w:rsidR="00051025" w:rsidRPr="00051025">
        <w:rPr>
          <w:color w:val="77328A"/>
          <w:sz w:val="16"/>
          <w:szCs w:val="16"/>
        </w:rPr>
        <w:t>Ibid, a</w:t>
      </w:r>
      <w:r w:rsidRPr="00051025">
        <w:rPr>
          <w:color w:val="77328A"/>
          <w:sz w:val="16"/>
          <w:szCs w:val="16"/>
        </w:rPr>
        <w:t>t 135.46</w:t>
      </w:r>
    </w:p>
  </w:footnote>
  <w:footnote w:id="47">
    <w:p w14:paraId="62D74F5C" w14:textId="1EC21F1F" w:rsidR="003E67CC" w:rsidRPr="000B5615" w:rsidRDefault="003E67CC" w:rsidP="00616EAB">
      <w:pPr>
        <w:pStyle w:val="FootnoteText"/>
        <w:rPr>
          <w:color w:val="77328A"/>
          <w:sz w:val="16"/>
          <w:szCs w:val="16"/>
          <w:shd w:val="clear" w:color="auto" w:fill="FFFFFF"/>
        </w:rPr>
      </w:pPr>
      <w:r w:rsidRPr="00D13300">
        <w:rPr>
          <w:rStyle w:val="FootnoteReference"/>
          <w:color w:val="77328A"/>
          <w:sz w:val="16"/>
          <w:szCs w:val="16"/>
        </w:rPr>
        <w:footnoteRef/>
      </w:r>
      <w:r w:rsidRPr="00D13300">
        <w:rPr>
          <w:color w:val="77328A"/>
          <w:sz w:val="16"/>
          <w:szCs w:val="16"/>
        </w:rPr>
        <w:t xml:space="preserve"> </w:t>
      </w:r>
      <w:r w:rsidR="00616EAB" w:rsidRPr="00D13300">
        <w:rPr>
          <w:color w:val="77328A"/>
          <w:sz w:val="16"/>
          <w:szCs w:val="16"/>
        </w:rPr>
        <w:t>UN Refugee Agency, ‘</w:t>
      </w:r>
      <w:r w:rsidR="00B71A20" w:rsidRPr="00D13300">
        <w:rPr>
          <w:color w:val="77328A"/>
          <w:sz w:val="16"/>
          <w:szCs w:val="16"/>
          <w:shd w:val="clear" w:color="auto" w:fill="FFFFFF"/>
        </w:rPr>
        <w:t>UNHCR Submission for the Office of the High Commissioner for Human Rights</w:t>
      </w:r>
      <w:r w:rsidR="00D13300" w:rsidRPr="00D13300">
        <w:rPr>
          <w:color w:val="77328A"/>
          <w:sz w:val="16"/>
          <w:szCs w:val="16"/>
          <w:shd w:val="clear" w:color="auto" w:fill="FFFFFF"/>
        </w:rPr>
        <w:t xml:space="preserve"> </w:t>
      </w:r>
      <w:r w:rsidR="00B71A20" w:rsidRPr="000B5615">
        <w:rPr>
          <w:color w:val="77328A"/>
          <w:sz w:val="16"/>
          <w:szCs w:val="16"/>
          <w:shd w:val="clear" w:color="auto" w:fill="FFFFFF"/>
        </w:rPr>
        <w:t>Compilation Report Universal Periodic Review: 3rd Cycle</w:t>
      </w:r>
      <w:r w:rsidR="00D13300" w:rsidRPr="000B5615">
        <w:rPr>
          <w:color w:val="77328A"/>
          <w:sz w:val="16"/>
          <w:szCs w:val="16"/>
          <w:shd w:val="clear" w:color="auto" w:fill="FFFFFF"/>
        </w:rPr>
        <w:t xml:space="preserve">’ (UNHCR, </w:t>
      </w:r>
      <w:r w:rsidR="00B71A20" w:rsidRPr="000B5615">
        <w:rPr>
          <w:color w:val="77328A"/>
          <w:sz w:val="16"/>
          <w:szCs w:val="16"/>
          <w:shd w:val="clear" w:color="auto" w:fill="FFFFFF"/>
        </w:rPr>
        <w:t>2020</w:t>
      </w:r>
      <w:r w:rsidR="00D13300" w:rsidRPr="000B5615">
        <w:rPr>
          <w:color w:val="77328A"/>
          <w:sz w:val="16"/>
          <w:szCs w:val="16"/>
          <w:shd w:val="clear" w:color="auto" w:fill="FFFFFF"/>
        </w:rPr>
        <w:t>)</w:t>
      </w:r>
      <w:r w:rsidR="00C73931" w:rsidRPr="000B5615">
        <w:rPr>
          <w:color w:val="77328A"/>
          <w:sz w:val="16"/>
          <w:szCs w:val="16"/>
          <w:shd w:val="clear" w:color="auto" w:fill="FFFFFF"/>
        </w:rPr>
        <w:t>; UN Refugee Agency, ‘</w:t>
      </w:r>
      <w:r w:rsidR="00616EAB" w:rsidRPr="000B5615">
        <w:rPr>
          <w:color w:val="77328A"/>
          <w:sz w:val="16"/>
          <w:szCs w:val="16"/>
          <w:shd w:val="clear" w:color="auto" w:fill="FFFFFF"/>
        </w:rPr>
        <w:t>UNHCR Analysis of the Legality and Appropriateness of the Transfer of Asylum-Seekers under the UK-Rwanda arrangement’ (UNHCR, 2022).</w:t>
      </w:r>
    </w:p>
  </w:footnote>
  <w:footnote w:id="48">
    <w:p w14:paraId="18F0468E" w14:textId="34510CF5" w:rsidR="00574553" w:rsidRDefault="00574553" w:rsidP="00574553">
      <w:pPr>
        <w:pStyle w:val="FootnoteText"/>
      </w:pPr>
      <w:r w:rsidRPr="009C1383">
        <w:rPr>
          <w:rStyle w:val="FootnoteReference"/>
          <w:color w:val="77328A"/>
          <w:sz w:val="16"/>
          <w:szCs w:val="16"/>
        </w:rPr>
        <w:footnoteRef/>
      </w:r>
      <w:r w:rsidRPr="009C1383">
        <w:rPr>
          <w:color w:val="77328A"/>
          <w:sz w:val="16"/>
          <w:szCs w:val="16"/>
        </w:rPr>
        <w:t xml:space="preserve"> </w:t>
      </w:r>
      <w:r w:rsidRPr="009C1383">
        <w:rPr>
          <w:color w:val="77328A"/>
          <w:sz w:val="16"/>
          <w:szCs w:val="16"/>
          <w:shd w:val="clear" w:color="auto" w:fill="FFFFFF"/>
        </w:rPr>
        <w:t>UN Refugee Agency, ‘UNHCR Analysis of the Legality and Appropriateness of the Transfer of Asylum-Seekers under the UK-Rwanda arrangement’ (UNHCR, 2022), at paras 12 -23</w:t>
      </w:r>
      <w:r>
        <w:rPr>
          <w:color w:val="77328A"/>
          <w:sz w:val="16"/>
          <w:szCs w:val="16"/>
          <w:shd w:val="clear" w:color="auto" w:fill="FFFFFF"/>
        </w:rPr>
        <w:t xml:space="preserve">. </w:t>
      </w:r>
    </w:p>
  </w:footnote>
  <w:footnote w:id="49">
    <w:p w14:paraId="0D5C3737" w14:textId="77777777" w:rsidR="00FE6D6D" w:rsidRPr="008A27B3" w:rsidRDefault="00FE6D6D" w:rsidP="00FE6D6D">
      <w:pPr>
        <w:pStyle w:val="FootnoteText"/>
        <w:rPr>
          <w:sz w:val="16"/>
          <w:szCs w:val="16"/>
        </w:rPr>
      </w:pPr>
      <w:r w:rsidRPr="008A27B3">
        <w:rPr>
          <w:rStyle w:val="FootnoteReference"/>
          <w:color w:val="77328A"/>
          <w:sz w:val="16"/>
          <w:szCs w:val="16"/>
        </w:rPr>
        <w:footnoteRef/>
      </w:r>
      <w:r w:rsidRPr="008A27B3">
        <w:rPr>
          <w:color w:val="77328A"/>
          <w:sz w:val="16"/>
          <w:szCs w:val="16"/>
        </w:rPr>
        <w:t xml:space="preserve"> ‘Nothing has changed in James Cleverly's new asylum treaty, Rwandan government claims’, </w:t>
      </w:r>
      <w:r w:rsidRPr="008A27B3">
        <w:rPr>
          <w:i/>
          <w:iCs/>
          <w:color w:val="77328A"/>
          <w:sz w:val="16"/>
          <w:szCs w:val="16"/>
        </w:rPr>
        <w:t>ITV News</w:t>
      </w:r>
      <w:r w:rsidRPr="008A27B3">
        <w:rPr>
          <w:color w:val="77328A"/>
          <w:sz w:val="16"/>
          <w:szCs w:val="16"/>
        </w:rPr>
        <w:t xml:space="preserve">, 5 December 2023. </w:t>
      </w:r>
    </w:p>
  </w:footnote>
  <w:footnote w:id="50">
    <w:p w14:paraId="0D30A526" w14:textId="77777777" w:rsidR="00D83CCC" w:rsidRPr="009A3633" w:rsidRDefault="00D83CCC" w:rsidP="00D83CCC">
      <w:pPr>
        <w:pStyle w:val="FootnoteText"/>
        <w:rPr>
          <w:sz w:val="16"/>
          <w:szCs w:val="16"/>
        </w:rPr>
      </w:pPr>
      <w:r w:rsidRPr="009A3633">
        <w:rPr>
          <w:rStyle w:val="FootnoteReference"/>
          <w:sz w:val="16"/>
          <w:szCs w:val="16"/>
        </w:rPr>
        <w:footnoteRef/>
      </w:r>
      <w:r w:rsidRPr="009A3633">
        <w:rPr>
          <w:color w:val="77328A"/>
          <w:sz w:val="16"/>
          <w:szCs w:val="16"/>
          <w:vertAlign w:val="superscript"/>
        </w:rPr>
        <w:t xml:space="preserve"> </w:t>
      </w:r>
      <w:r w:rsidRPr="009A3633">
        <w:rPr>
          <w:color w:val="77328A"/>
          <w:sz w:val="16"/>
          <w:szCs w:val="16"/>
        </w:rPr>
        <w:t>Directive 2005/85/EC, ‘Council Directive on minimum standards on procedures in Member States for granting and withdrawing refugee status’, 1 December 2005</w:t>
      </w:r>
    </w:p>
  </w:footnote>
  <w:footnote w:id="51">
    <w:p w14:paraId="45C869AB" w14:textId="77777777" w:rsidR="00AF44B0" w:rsidRPr="00613DE6" w:rsidRDefault="00AF44B0" w:rsidP="00AF44B0">
      <w:pPr>
        <w:pStyle w:val="FootnoteText"/>
        <w:rPr>
          <w:color w:val="77328A"/>
          <w:sz w:val="16"/>
          <w:szCs w:val="16"/>
        </w:rPr>
      </w:pPr>
      <w:r w:rsidRPr="00613DE6">
        <w:rPr>
          <w:color w:val="77328A"/>
          <w:sz w:val="16"/>
          <w:szCs w:val="16"/>
          <w:vertAlign w:val="superscript"/>
        </w:rPr>
        <w:footnoteRef/>
      </w:r>
      <w:r w:rsidRPr="00613DE6">
        <w:rPr>
          <w:color w:val="77328A"/>
          <w:sz w:val="16"/>
          <w:szCs w:val="16"/>
        </w:rPr>
        <w:t xml:space="preserve"> See Section 7 (Clause 4) of this briefing for further detail.</w:t>
      </w:r>
    </w:p>
  </w:footnote>
  <w:footnote w:id="52">
    <w:p w14:paraId="3821F057" w14:textId="256EAC02" w:rsidR="0014406B" w:rsidRPr="003870B0" w:rsidRDefault="0014406B">
      <w:pPr>
        <w:pStyle w:val="FootnoteText"/>
        <w:rPr>
          <w:color w:val="77328A"/>
          <w:sz w:val="16"/>
          <w:szCs w:val="16"/>
          <w:u w:val="single"/>
        </w:rPr>
      </w:pPr>
      <w:r w:rsidRPr="003870B0">
        <w:rPr>
          <w:rStyle w:val="FootnoteReference"/>
          <w:color w:val="77328A"/>
          <w:sz w:val="16"/>
          <w:szCs w:val="16"/>
        </w:rPr>
        <w:footnoteRef/>
      </w:r>
      <w:r w:rsidRPr="003870B0">
        <w:rPr>
          <w:rStyle w:val="FootnoteReference"/>
          <w:color w:val="77328A"/>
          <w:sz w:val="16"/>
          <w:szCs w:val="16"/>
        </w:rPr>
        <w:t xml:space="preserve"> </w:t>
      </w:r>
      <w:r w:rsidRPr="00AB6E4E">
        <w:rPr>
          <w:i/>
          <w:color w:val="77328A"/>
          <w:sz w:val="16"/>
          <w:szCs w:val="16"/>
        </w:rPr>
        <w:t>AAA (Syria) &amp; O</w:t>
      </w:r>
      <w:r w:rsidR="003870B0" w:rsidRPr="00AB6E4E">
        <w:rPr>
          <w:i/>
          <w:color w:val="77328A"/>
          <w:sz w:val="16"/>
          <w:szCs w:val="16"/>
        </w:rPr>
        <w:t>the</w:t>
      </w:r>
      <w:r w:rsidRPr="00AB6E4E">
        <w:rPr>
          <w:i/>
          <w:color w:val="77328A"/>
          <w:sz w:val="16"/>
          <w:szCs w:val="16"/>
        </w:rPr>
        <w:t>rs, R (on the application of) v Secretary of State for the Home Department </w:t>
      </w:r>
      <w:r w:rsidR="00775BA4">
        <w:rPr>
          <w:color w:val="77328A"/>
          <w:sz w:val="16"/>
          <w:szCs w:val="16"/>
        </w:rPr>
        <w:t>[</w:t>
      </w:r>
      <w:r w:rsidRPr="00260B4A">
        <w:rPr>
          <w:color w:val="77328A"/>
          <w:sz w:val="16"/>
          <w:szCs w:val="16"/>
        </w:rPr>
        <w:t>2023</w:t>
      </w:r>
      <w:r w:rsidR="00775BA4">
        <w:rPr>
          <w:color w:val="77328A"/>
          <w:sz w:val="16"/>
          <w:szCs w:val="16"/>
        </w:rPr>
        <w:t>]</w:t>
      </w:r>
      <w:r w:rsidRPr="00260B4A">
        <w:rPr>
          <w:color w:val="77328A"/>
          <w:sz w:val="16"/>
          <w:szCs w:val="16"/>
        </w:rPr>
        <w:t xml:space="preserve"> UKSC 42</w:t>
      </w:r>
      <w:r w:rsidR="003870B0" w:rsidRPr="003870B0">
        <w:rPr>
          <w:color w:val="77328A"/>
          <w:sz w:val="16"/>
          <w:szCs w:val="16"/>
        </w:rPr>
        <w:t xml:space="preserve"> </w:t>
      </w:r>
      <w:r w:rsidRPr="003870B0">
        <w:rPr>
          <w:color w:val="77328A"/>
          <w:sz w:val="16"/>
          <w:szCs w:val="16"/>
          <w:u w:val="single"/>
        </w:rPr>
        <w:t xml:space="preserve"> at paragraph</w:t>
      </w:r>
      <w:r w:rsidR="00AC452A" w:rsidRPr="003870B0">
        <w:rPr>
          <w:color w:val="77328A"/>
          <w:sz w:val="16"/>
          <w:szCs w:val="16"/>
          <w:u w:val="single"/>
        </w:rPr>
        <w:t xml:space="preserve"> </w:t>
      </w:r>
      <w:r w:rsidR="27CD2AC0">
        <w:rPr>
          <w:color w:val="77328A"/>
          <w:sz w:val="16"/>
          <w:szCs w:val="16"/>
          <w:u w:val="single"/>
        </w:rPr>
        <w:t>108</w:t>
      </w:r>
      <w:r w:rsidR="00450C8A">
        <w:rPr>
          <w:color w:val="77328A"/>
          <w:sz w:val="16"/>
          <w:szCs w:val="16"/>
          <w:u w:val="single"/>
        </w:rPr>
        <w:t>:</w:t>
      </w:r>
      <w:r w:rsidR="003870B0" w:rsidRPr="003870B0">
        <w:rPr>
          <w:color w:val="77328A"/>
          <w:sz w:val="16"/>
          <w:szCs w:val="16"/>
          <w:u w:val="single"/>
        </w:rPr>
        <w:t xml:space="preserve"> “</w:t>
      </w:r>
      <w:r w:rsidR="00BC409D" w:rsidRPr="00BC409D">
        <w:rPr>
          <w:color w:val="77328A"/>
          <w:sz w:val="16"/>
          <w:szCs w:val="16"/>
          <w:u w:val="single"/>
        </w:rPr>
        <w:t>The Secretary of State does not dispute that if the Procedures Directive remains in force in United Kingdom domestic law as retained EU law, the MEDP scheme as relevant to these appeals is not compatible with articles 25 and 27 of the Directive</w:t>
      </w:r>
      <w:r w:rsidR="4DDB3A25" w:rsidRPr="00BC409D">
        <w:rPr>
          <w:color w:val="77328A"/>
          <w:sz w:val="16"/>
          <w:szCs w:val="16"/>
          <w:u w:val="single"/>
        </w:rPr>
        <w:t>.</w:t>
      </w:r>
      <w:r w:rsidR="4DDB3A25">
        <w:rPr>
          <w:color w:val="77328A"/>
          <w:sz w:val="16"/>
          <w:szCs w:val="16"/>
          <w:u w:val="single"/>
        </w:rPr>
        <w:t>”</w:t>
      </w:r>
    </w:p>
  </w:footnote>
  <w:footnote w:id="53">
    <w:p w14:paraId="46E892B4" w14:textId="60449624" w:rsidR="00BA7B18" w:rsidRPr="009A3633" w:rsidRDefault="00BA7B18" w:rsidP="00BA7B18">
      <w:pPr>
        <w:pStyle w:val="FootnoteText"/>
        <w:rPr>
          <w:color w:val="77328A"/>
          <w:sz w:val="16"/>
          <w:szCs w:val="16"/>
        </w:rPr>
      </w:pPr>
      <w:r w:rsidRPr="003870B0">
        <w:rPr>
          <w:rStyle w:val="FootnoteReference"/>
          <w:color w:val="77328A"/>
          <w:sz w:val="16"/>
          <w:szCs w:val="16"/>
          <w:u w:val="single"/>
        </w:rPr>
        <w:footnoteRef/>
      </w:r>
      <w:r w:rsidRPr="003870B0">
        <w:rPr>
          <w:color w:val="77328A"/>
          <w:sz w:val="16"/>
          <w:szCs w:val="16"/>
          <w:u w:val="single"/>
        </w:rPr>
        <w:t xml:space="preserve"> Article 8, paragraph 2(a). Directive 2005/85/EC, ‘Council Directive on minimum standards</w:t>
      </w:r>
      <w:r w:rsidRPr="009A3633">
        <w:rPr>
          <w:color w:val="77328A"/>
          <w:sz w:val="16"/>
          <w:szCs w:val="16"/>
        </w:rPr>
        <w:t xml:space="preserve"> on procedures in Member States for granting and withdrawing refugee status’, of 1 December 2005.</w:t>
      </w:r>
    </w:p>
  </w:footnote>
  <w:footnote w:id="54">
    <w:p w14:paraId="6350EB2A" w14:textId="77777777" w:rsidR="00BA7B18" w:rsidRPr="009A3633" w:rsidRDefault="00BA7B18" w:rsidP="00BA7B18">
      <w:pPr>
        <w:pStyle w:val="FootnoteText"/>
        <w:rPr>
          <w:color w:val="77328A"/>
          <w:sz w:val="16"/>
          <w:szCs w:val="16"/>
        </w:rPr>
      </w:pPr>
      <w:r w:rsidRPr="009A3633">
        <w:rPr>
          <w:rStyle w:val="FootnoteReference"/>
          <w:color w:val="77328A"/>
          <w:sz w:val="16"/>
          <w:szCs w:val="16"/>
        </w:rPr>
        <w:footnoteRef/>
      </w:r>
      <w:r w:rsidRPr="009A3633">
        <w:rPr>
          <w:color w:val="77328A"/>
          <w:sz w:val="16"/>
          <w:szCs w:val="16"/>
        </w:rPr>
        <w:t xml:space="preserve"> Article 8 paragraph 2(b). Directive 2005/85/EC, ‘Council Directive on minimum standards on procedures in Member States for granting and withdrawing refugee status’, of 1 December 2005. </w:t>
      </w:r>
    </w:p>
  </w:footnote>
  <w:footnote w:id="55">
    <w:p w14:paraId="4389E4F9" w14:textId="77777777" w:rsidR="00315D52" w:rsidRPr="003A1757" w:rsidRDefault="00315D52" w:rsidP="00315D52">
      <w:pPr>
        <w:pStyle w:val="FootnoteText"/>
        <w:rPr>
          <w:color w:val="77328A"/>
          <w:sz w:val="16"/>
          <w:szCs w:val="16"/>
        </w:rPr>
      </w:pPr>
      <w:r w:rsidRPr="003A1757">
        <w:rPr>
          <w:rStyle w:val="FootnoteReference"/>
          <w:color w:val="77328A"/>
          <w:sz w:val="16"/>
          <w:szCs w:val="16"/>
        </w:rPr>
        <w:footnoteRef/>
      </w:r>
      <w:r w:rsidRPr="003A1757">
        <w:rPr>
          <w:color w:val="77328A"/>
          <w:sz w:val="16"/>
          <w:szCs w:val="16"/>
        </w:rPr>
        <w:t xml:space="preserve"> CCPR/C/GC/20, </w:t>
      </w:r>
      <w:r>
        <w:rPr>
          <w:color w:val="77328A"/>
          <w:sz w:val="16"/>
          <w:szCs w:val="16"/>
        </w:rPr>
        <w:t>‘</w:t>
      </w:r>
      <w:r w:rsidRPr="003A1757">
        <w:rPr>
          <w:color w:val="77328A"/>
          <w:sz w:val="16"/>
          <w:szCs w:val="16"/>
        </w:rPr>
        <w:t>UN Human Rights Committee</w:t>
      </w:r>
      <w:r>
        <w:rPr>
          <w:color w:val="77328A"/>
          <w:sz w:val="16"/>
          <w:szCs w:val="16"/>
        </w:rPr>
        <w:t xml:space="preserve"> </w:t>
      </w:r>
      <w:r w:rsidRPr="003A1757">
        <w:rPr>
          <w:color w:val="77328A"/>
          <w:sz w:val="16"/>
          <w:szCs w:val="16"/>
        </w:rPr>
        <w:t xml:space="preserve">General Comment No.20: Article 7 (Prohibition of Torture, or Other Cruel, Inhuman or Degrading Treatment or Punishment)’, 10 March 1992, at para 9; CCPR/C/GC/36, </w:t>
      </w:r>
      <w:r>
        <w:rPr>
          <w:color w:val="77328A"/>
          <w:sz w:val="16"/>
          <w:szCs w:val="16"/>
        </w:rPr>
        <w:t>‘</w:t>
      </w:r>
      <w:r w:rsidRPr="003A1757">
        <w:rPr>
          <w:color w:val="77328A"/>
          <w:sz w:val="16"/>
          <w:szCs w:val="16"/>
        </w:rPr>
        <w:t>UN Human Rights Committee</w:t>
      </w:r>
      <w:r>
        <w:rPr>
          <w:color w:val="77328A"/>
          <w:sz w:val="16"/>
          <w:szCs w:val="16"/>
        </w:rPr>
        <w:t xml:space="preserve"> </w:t>
      </w:r>
      <w:r w:rsidRPr="003A1757">
        <w:rPr>
          <w:color w:val="77328A"/>
          <w:sz w:val="16"/>
          <w:szCs w:val="16"/>
        </w:rPr>
        <w:t>General Comment No. 36: Article 6 (Right to Life)’, 30 October 2018, at para 31.</w:t>
      </w:r>
    </w:p>
  </w:footnote>
  <w:footnote w:id="56">
    <w:p w14:paraId="1C21EFEA" w14:textId="77777777" w:rsidR="00315D52" w:rsidRPr="007607E4" w:rsidRDefault="00315D52" w:rsidP="00315D52">
      <w:pPr>
        <w:pStyle w:val="FootnoteText"/>
        <w:rPr>
          <w:color w:val="77328A"/>
          <w:sz w:val="16"/>
          <w:szCs w:val="16"/>
        </w:rPr>
      </w:pPr>
      <w:r w:rsidRPr="005F0900">
        <w:rPr>
          <w:rStyle w:val="FootnoteReference"/>
          <w:color w:val="77328A"/>
          <w:sz w:val="16"/>
          <w:szCs w:val="16"/>
        </w:rPr>
        <w:footnoteRef/>
      </w:r>
      <w:r w:rsidRPr="005F0900">
        <w:rPr>
          <w:color w:val="77328A"/>
          <w:sz w:val="16"/>
          <w:szCs w:val="16"/>
        </w:rPr>
        <w:t xml:space="preserve"> CAT/C/MNE/CO/3, </w:t>
      </w:r>
      <w:r>
        <w:rPr>
          <w:color w:val="77328A"/>
          <w:sz w:val="16"/>
          <w:szCs w:val="16"/>
        </w:rPr>
        <w:t>‘</w:t>
      </w:r>
      <w:r w:rsidRPr="005F0900">
        <w:rPr>
          <w:color w:val="77328A"/>
          <w:sz w:val="16"/>
          <w:szCs w:val="16"/>
        </w:rPr>
        <w:t>UN Committee Against Torture</w:t>
      </w:r>
      <w:r>
        <w:rPr>
          <w:color w:val="77328A"/>
          <w:sz w:val="16"/>
          <w:szCs w:val="16"/>
        </w:rPr>
        <w:t xml:space="preserve"> </w:t>
      </w:r>
      <w:r w:rsidRPr="005F0900">
        <w:rPr>
          <w:color w:val="77328A"/>
          <w:sz w:val="16"/>
          <w:szCs w:val="16"/>
        </w:rPr>
        <w:t xml:space="preserve">Concluding Observations on the Third Periodic Report of Montenegro’, 2 June 2022, at para 21; CCPR/C/NOR/CO/7, </w:t>
      </w:r>
      <w:r>
        <w:rPr>
          <w:color w:val="77328A"/>
          <w:sz w:val="16"/>
          <w:szCs w:val="16"/>
        </w:rPr>
        <w:t>‘</w:t>
      </w:r>
      <w:r w:rsidRPr="005F0900">
        <w:rPr>
          <w:color w:val="77328A"/>
          <w:sz w:val="16"/>
          <w:szCs w:val="16"/>
        </w:rPr>
        <w:t>UN Human Rights Committee</w:t>
      </w:r>
      <w:r>
        <w:rPr>
          <w:color w:val="77328A"/>
          <w:sz w:val="16"/>
          <w:szCs w:val="16"/>
        </w:rPr>
        <w:t xml:space="preserve"> </w:t>
      </w:r>
      <w:r w:rsidRPr="005F0900">
        <w:rPr>
          <w:color w:val="77328A"/>
          <w:sz w:val="16"/>
          <w:szCs w:val="16"/>
        </w:rPr>
        <w:t xml:space="preserve">Concluding Observations on the Seventh Periodic Report of Norway’, 25 April 2018, at para 32; CAT/C/RWA/CO/2, </w:t>
      </w:r>
      <w:r>
        <w:rPr>
          <w:color w:val="77328A"/>
          <w:sz w:val="16"/>
          <w:szCs w:val="16"/>
        </w:rPr>
        <w:t>‘</w:t>
      </w:r>
      <w:r w:rsidRPr="005F0900">
        <w:rPr>
          <w:color w:val="77328A"/>
          <w:sz w:val="16"/>
          <w:szCs w:val="16"/>
        </w:rPr>
        <w:t>UN Committee Against Torture</w:t>
      </w:r>
      <w:r>
        <w:rPr>
          <w:color w:val="77328A"/>
          <w:sz w:val="16"/>
          <w:szCs w:val="16"/>
        </w:rPr>
        <w:t xml:space="preserve"> </w:t>
      </w:r>
      <w:r w:rsidRPr="005F0900">
        <w:rPr>
          <w:color w:val="77328A"/>
          <w:sz w:val="16"/>
          <w:szCs w:val="16"/>
        </w:rPr>
        <w:t xml:space="preserve">Concluding Observations on the Second Periodic Report of Rwanda’, 21 December </w:t>
      </w:r>
      <w:r w:rsidRPr="007607E4">
        <w:rPr>
          <w:color w:val="77328A"/>
          <w:sz w:val="16"/>
          <w:szCs w:val="16"/>
        </w:rPr>
        <w:t>2017, at para 47.</w:t>
      </w:r>
    </w:p>
  </w:footnote>
  <w:footnote w:id="57">
    <w:p w14:paraId="4BBB3073" w14:textId="063FAAAA" w:rsidR="000E752A" w:rsidRPr="000E752A" w:rsidRDefault="000E752A">
      <w:pPr>
        <w:pStyle w:val="FootnoteText"/>
        <w:rPr>
          <w:sz w:val="16"/>
          <w:szCs w:val="16"/>
        </w:rPr>
      </w:pPr>
      <w:r w:rsidRPr="000E752A">
        <w:rPr>
          <w:rStyle w:val="FootnoteReference"/>
          <w:color w:val="77328A"/>
          <w:sz w:val="16"/>
          <w:szCs w:val="16"/>
        </w:rPr>
        <w:footnoteRef/>
      </w:r>
      <w:r w:rsidRPr="000E752A">
        <w:rPr>
          <w:color w:val="77328A"/>
          <w:sz w:val="16"/>
          <w:szCs w:val="16"/>
        </w:rPr>
        <w:t xml:space="preserve"> Article 1, ECHR.</w:t>
      </w:r>
    </w:p>
  </w:footnote>
  <w:footnote w:id="58">
    <w:p w14:paraId="5CFD941C" w14:textId="77777777" w:rsidR="00315D52" w:rsidRPr="0017784F" w:rsidRDefault="00315D52" w:rsidP="00315D52">
      <w:pPr>
        <w:pStyle w:val="FootnoteText"/>
        <w:rPr>
          <w:color w:val="77328A"/>
          <w:sz w:val="16"/>
          <w:szCs w:val="16"/>
        </w:rPr>
      </w:pPr>
      <w:r w:rsidRPr="0017784F">
        <w:rPr>
          <w:rStyle w:val="FootnoteReference"/>
          <w:color w:val="77328A"/>
          <w:sz w:val="16"/>
          <w:szCs w:val="16"/>
        </w:rPr>
        <w:footnoteRef/>
      </w:r>
      <w:r w:rsidRPr="0017784F">
        <w:rPr>
          <w:color w:val="77328A"/>
          <w:sz w:val="16"/>
          <w:szCs w:val="16"/>
        </w:rPr>
        <w:t xml:space="preserve"> Soering v UK (1989) ECHR 17; Al Saadoon and </w:t>
      </w:r>
      <w:r w:rsidRPr="0017784F">
        <w:rPr>
          <w:color w:val="77328A"/>
          <w:sz w:val="16"/>
          <w:szCs w:val="16"/>
        </w:rPr>
        <w:t>Mufdhi v UK (2010) ECHR 279; Othman (Abu Qatada) v UK (2012) ECHR 817.</w:t>
      </w:r>
    </w:p>
  </w:footnote>
  <w:footnote w:id="59">
    <w:p w14:paraId="0727E78B" w14:textId="77777777" w:rsidR="00315D52" w:rsidRPr="0017784F" w:rsidRDefault="00315D52" w:rsidP="00315D52">
      <w:pPr>
        <w:pStyle w:val="FootnoteText"/>
        <w:rPr>
          <w:color w:val="77328A"/>
          <w:sz w:val="16"/>
          <w:szCs w:val="16"/>
        </w:rPr>
      </w:pPr>
      <w:r w:rsidRPr="0017784F">
        <w:rPr>
          <w:rStyle w:val="FootnoteReference"/>
          <w:color w:val="77328A"/>
          <w:sz w:val="16"/>
          <w:szCs w:val="16"/>
        </w:rPr>
        <w:footnoteRef/>
      </w:r>
      <w:r w:rsidRPr="0017784F">
        <w:rPr>
          <w:color w:val="77328A"/>
          <w:sz w:val="16"/>
          <w:szCs w:val="16"/>
        </w:rPr>
        <w:t xml:space="preserve"> Ilias and Ahmed v Hungary, Application No. 47287/15, Judgment of 21 November 2019.</w:t>
      </w:r>
    </w:p>
  </w:footnote>
  <w:footnote w:id="60">
    <w:p w14:paraId="20EA6C28" w14:textId="77777777" w:rsidR="00315D52" w:rsidRPr="0017784F" w:rsidRDefault="00315D52" w:rsidP="00315D52">
      <w:pPr>
        <w:pStyle w:val="FootnoteText"/>
        <w:rPr>
          <w:color w:val="77328A"/>
          <w:sz w:val="16"/>
          <w:szCs w:val="16"/>
        </w:rPr>
      </w:pPr>
      <w:r w:rsidRPr="0017784F">
        <w:rPr>
          <w:rStyle w:val="FootnoteReference"/>
          <w:color w:val="77328A"/>
          <w:sz w:val="16"/>
          <w:szCs w:val="16"/>
        </w:rPr>
        <w:footnoteRef/>
      </w:r>
      <w:r w:rsidRPr="0017784F">
        <w:rPr>
          <w:color w:val="77328A"/>
          <w:sz w:val="16"/>
          <w:szCs w:val="16"/>
        </w:rPr>
        <w:t xml:space="preserve"> Ibid, at para 134.</w:t>
      </w:r>
    </w:p>
  </w:footnote>
  <w:footnote w:id="61">
    <w:p w14:paraId="5C43F7E5" w14:textId="77777777" w:rsidR="00315D52" w:rsidRPr="0017784F" w:rsidRDefault="00315D52" w:rsidP="00315D52">
      <w:pPr>
        <w:pStyle w:val="FootnoteText"/>
        <w:rPr>
          <w:color w:val="77328A"/>
          <w:sz w:val="16"/>
          <w:szCs w:val="16"/>
        </w:rPr>
      </w:pPr>
      <w:r w:rsidRPr="0017784F">
        <w:rPr>
          <w:rStyle w:val="FootnoteReference"/>
          <w:color w:val="77328A"/>
          <w:sz w:val="16"/>
          <w:szCs w:val="16"/>
        </w:rPr>
        <w:footnoteRef/>
      </w:r>
      <w:r w:rsidRPr="0017784F">
        <w:rPr>
          <w:color w:val="77328A"/>
          <w:sz w:val="16"/>
          <w:szCs w:val="16"/>
        </w:rPr>
        <w:t xml:space="preserve"> M.K. and Others v Poland (2020) ECHR 568; D.A. and Others v Poland (2021) ECHR 615.</w:t>
      </w:r>
    </w:p>
  </w:footnote>
  <w:footnote w:id="62">
    <w:p w14:paraId="67AE8002" w14:textId="77777777" w:rsidR="00315D52" w:rsidRDefault="00315D52" w:rsidP="00315D52">
      <w:pPr>
        <w:pStyle w:val="FootnoteText"/>
      </w:pPr>
      <w:r w:rsidRPr="008A27B3">
        <w:rPr>
          <w:rStyle w:val="FootnoteReference"/>
          <w:color w:val="77328A"/>
          <w:sz w:val="16"/>
          <w:szCs w:val="16"/>
        </w:rPr>
        <w:footnoteRef/>
      </w:r>
      <w:r w:rsidRPr="008A27B3">
        <w:rPr>
          <w:color w:val="77328A"/>
          <w:sz w:val="16"/>
          <w:szCs w:val="16"/>
        </w:rPr>
        <w:t xml:space="preserve"> Ibid, at para 69.</w:t>
      </w:r>
      <w:r w:rsidRPr="008A27B3">
        <w:rPr>
          <w:color w:val="77328A"/>
        </w:rPr>
        <w:t xml:space="preserve"> </w:t>
      </w:r>
    </w:p>
  </w:footnote>
  <w:footnote w:id="63">
    <w:p w14:paraId="6C35EC7B" w14:textId="77777777" w:rsidR="001F0520" w:rsidRPr="0078309E" w:rsidRDefault="001F0520" w:rsidP="001F0520">
      <w:pPr>
        <w:pStyle w:val="FootnoteText"/>
        <w:rPr>
          <w:color w:val="77328A"/>
          <w:sz w:val="16"/>
          <w:szCs w:val="16"/>
        </w:rPr>
      </w:pPr>
      <w:r w:rsidRPr="0078309E">
        <w:rPr>
          <w:rStyle w:val="FootnoteReference"/>
          <w:color w:val="77328A"/>
          <w:sz w:val="16"/>
          <w:szCs w:val="16"/>
        </w:rPr>
        <w:footnoteRef/>
      </w:r>
      <w:r w:rsidRPr="0078309E">
        <w:rPr>
          <w:color w:val="77328A"/>
          <w:sz w:val="16"/>
          <w:szCs w:val="16"/>
        </w:rPr>
        <w:t xml:space="preserve"> </w:t>
      </w:r>
      <w:r>
        <w:rPr>
          <w:color w:val="77328A"/>
          <w:sz w:val="16"/>
          <w:szCs w:val="16"/>
        </w:rPr>
        <w:t>UK Government, ‘Safety of Rwanda (Asylum and Immigration) Bill – European Convention on Human Rights Memorandum’, (2023) at para 26(b).</w:t>
      </w:r>
    </w:p>
  </w:footnote>
  <w:footnote w:id="64">
    <w:p w14:paraId="6BBE2E7B" w14:textId="77777777" w:rsidR="001F0520" w:rsidRDefault="001F0520" w:rsidP="001F0520">
      <w:pPr>
        <w:pStyle w:val="FootnoteText"/>
      </w:pPr>
      <w:r w:rsidRPr="0078309E">
        <w:rPr>
          <w:rStyle w:val="FootnoteReference"/>
          <w:color w:val="77328A"/>
          <w:sz w:val="16"/>
          <w:szCs w:val="16"/>
        </w:rPr>
        <w:footnoteRef/>
      </w:r>
      <w:r w:rsidRPr="0078309E">
        <w:rPr>
          <w:color w:val="77328A"/>
          <w:sz w:val="16"/>
          <w:szCs w:val="16"/>
        </w:rPr>
        <w:t xml:space="preserve"> Ilias and Ahmed v Hungary, Application No. 47287/15, Judgment of 21 November 2019, at 141 (emphasis added).</w:t>
      </w:r>
    </w:p>
  </w:footnote>
  <w:footnote w:id="65">
    <w:p w14:paraId="7A0A1200" w14:textId="77777777" w:rsidR="001F0520" w:rsidRPr="00F478F7" w:rsidRDefault="001F0520" w:rsidP="002056DC">
      <w:pPr>
        <w:pStyle w:val="FootnoteText"/>
        <w:rPr>
          <w:color w:val="77328A"/>
          <w:sz w:val="16"/>
          <w:szCs w:val="16"/>
        </w:rPr>
      </w:pPr>
      <w:r w:rsidRPr="00F478F7">
        <w:rPr>
          <w:rStyle w:val="FootnoteReference"/>
          <w:color w:val="77328A"/>
          <w:sz w:val="16"/>
          <w:szCs w:val="16"/>
        </w:rPr>
        <w:footnoteRef/>
      </w:r>
      <w:r w:rsidRPr="00F478F7">
        <w:rPr>
          <w:color w:val="77328A"/>
          <w:sz w:val="16"/>
          <w:szCs w:val="16"/>
        </w:rPr>
        <w:t xml:space="preserve"> Ibid, at para 141.</w:t>
      </w:r>
    </w:p>
  </w:footnote>
  <w:footnote w:id="66">
    <w:p w14:paraId="271E8ABB" w14:textId="2C5AA2D1" w:rsidR="00B73928" w:rsidRPr="009A3633" w:rsidRDefault="00B73928" w:rsidP="00B73928">
      <w:pPr>
        <w:pStyle w:val="FootnoteText"/>
        <w:rPr>
          <w:color w:val="77328A"/>
          <w:sz w:val="16"/>
          <w:szCs w:val="16"/>
        </w:rPr>
      </w:pPr>
      <w:r w:rsidRPr="009A3633">
        <w:rPr>
          <w:color w:val="77328A"/>
          <w:sz w:val="16"/>
          <w:szCs w:val="16"/>
          <w:vertAlign w:val="superscript"/>
        </w:rPr>
        <w:footnoteRef/>
      </w:r>
      <w:r w:rsidRPr="009A3633">
        <w:rPr>
          <w:color w:val="77328A"/>
          <w:sz w:val="16"/>
          <w:szCs w:val="16"/>
        </w:rPr>
        <w:t xml:space="preserve"> For further detail on Article 27 of EU Procedures Directive (2005/85/EC), see commentary on </w:t>
      </w:r>
      <w:r w:rsidR="662180CB">
        <w:rPr>
          <w:color w:val="77328A"/>
          <w:sz w:val="16"/>
          <w:szCs w:val="16"/>
        </w:rPr>
        <w:t>c</w:t>
      </w:r>
      <w:r w:rsidR="662180CB" w:rsidRPr="009A3633">
        <w:rPr>
          <w:color w:val="77328A"/>
          <w:sz w:val="16"/>
          <w:szCs w:val="16"/>
        </w:rPr>
        <w:t>lause</w:t>
      </w:r>
      <w:r w:rsidRPr="009A3633">
        <w:rPr>
          <w:color w:val="77328A"/>
          <w:sz w:val="16"/>
          <w:szCs w:val="16"/>
        </w:rPr>
        <w:t xml:space="preserve"> 4, below.</w:t>
      </w:r>
    </w:p>
  </w:footnote>
  <w:footnote w:id="67">
    <w:p w14:paraId="3ED7A960" w14:textId="77777777" w:rsidR="00356B32" w:rsidRPr="008100D3" w:rsidRDefault="00356B32" w:rsidP="002056DC">
      <w:pPr>
        <w:pStyle w:val="NIHRCFootnotes"/>
        <w:jc w:val="left"/>
      </w:pPr>
      <w:r w:rsidRPr="008100D3">
        <w:rPr>
          <w:rStyle w:val="FootnoteReference"/>
        </w:rPr>
        <w:footnoteRef/>
      </w:r>
      <w:r w:rsidRPr="008100D3">
        <w:t xml:space="preserve"> UK Parliament, ‘Parliamentary Sovereignty’. Available at: </w:t>
      </w:r>
      <w:hyperlink r:id="rId6" w:history="1">
        <w:r w:rsidRPr="008100D3">
          <w:rPr>
            <w:rStyle w:val="Hyperlink"/>
            <w:color w:val="77328A"/>
          </w:rPr>
          <w:t>https://www.parliament.uk/site-information/glossary/parliamentary-sovereignty</w:t>
        </w:r>
      </w:hyperlink>
    </w:p>
  </w:footnote>
  <w:footnote w:id="68">
    <w:p w14:paraId="7289A8D4" w14:textId="77777777" w:rsidR="00356B32" w:rsidRPr="008100D3" w:rsidRDefault="00356B32" w:rsidP="002056DC">
      <w:pPr>
        <w:pStyle w:val="NIHRCFootnotes"/>
        <w:jc w:val="left"/>
      </w:pPr>
      <w:r w:rsidRPr="008100D3">
        <w:rPr>
          <w:rStyle w:val="FootnoteReference"/>
        </w:rPr>
        <w:footnoteRef/>
      </w:r>
      <w:r w:rsidRPr="008100D3">
        <w:t xml:space="preserve"> UK Parliament, ‘Parliamentary Sovereignty’. Available at: </w:t>
      </w:r>
      <w:hyperlink r:id="rId7" w:history="1">
        <w:r w:rsidRPr="008100D3">
          <w:rPr>
            <w:rStyle w:val="Hyperlink"/>
            <w:color w:val="77328A"/>
          </w:rPr>
          <w:t>https://www.parliament.uk/site-information/glossary/parliamentary-sovereignty</w:t>
        </w:r>
      </w:hyperlink>
    </w:p>
  </w:footnote>
  <w:footnote w:id="69">
    <w:p w14:paraId="261ECEDE" w14:textId="77777777" w:rsidR="00356B32" w:rsidRPr="008100D3" w:rsidRDefault="00356B32" w:rsidP="00356B32">
      <w:pPr>
        <w:pStyle w:val="NIHRCFootnotes"/>
      </w:pPr>
      <w:r w:rsidRPr="008100D3">
        <w:rPr>
          <w:rStyle w:val="FootnoteReference"/>
        </w:rPr>
        <w:footnoteRef/>
      </w:r>
      <w:r w:rsidRPr="008100D3">
        <w:t xml:space="preserve"> Richard Benwell and Oonagh Gray, ‘The Separation of Powers’ (</w:t>
      </w:r>
      <w:r w:rsidRPr="008100D3">
        <w:t>HoC, 2022).</w:t>
      </w:r>
    </w:p>
  </w:footnote>
  <w:footnote w:id="70">
    <w:p w14:paraId="522DA0FF" w14:textId="47FFFAA6" w:rsidR="00315D52" w:rsidRPr="00F478F7" w:rsidRDefault="00315D52" w:rsidP="00315D52">
      <w:pPr>
        <w:pStyle w:val="FootnoteText"/>
        <w:rPr>
          <w:color w:val="77328A"/>
          <w:sz w:val="16"/>
          <w:szCs w:val="16"/>
        </w:rPr>
      </w:pPr>
      <w:r w:rsidRPr="00F478F7">
        <w:rPr>
          <w:rStyle w:val="FootnoteReference"/>
          <w:color w:val="77328A"/>
          <w:sz w:val="16"/>
          <w:szCs w:val="16"/>
        </w:rPr>
        <w:footnoteRef/>
      </w:r>
      <w:r w:rsidRPr="00F478F7">
        <w:rPr>
          <w:color w:val="77328A"/>
          <w:sz w:val="16"/>
          <w:szCs w:val="16"/>
        </w:rPr>
        <w:t xml:space="preserve"> </w:t>
      </w:r>
      <w:r w:rsidR="00442F0C" w:rsidRPr="003F2611">
        <w:rPr>
          <w:color w:val="77328A"/>
          <w:sz w:val="16"/>
          <w:szCs w:val="16"/>
        </w:rPr>
        <w:t>AAA (Syria) &amp; O</w:t>
      </w:r>
      <w:r w:rsidR="004E33F1">
        <w:rPr>
          <w:color w:val="77328A"/>
          <w:sz w:val="16"/>
          <w:szCs w:val="16"/>
        </w:rPr>
        <w:t>the</w:t>
      </w:r>
      <w:r w:rsidR="00442F0C" w:rsidRPr="003F2611">
        <w:rPr>
          <w:color w:val="77328A"/>
          <w:sz w:val="16"/>
          <w:szCs w:val="16"/>
        </w:rPr>
        <w:t>rs, R (on the application of) v Secretary of State for the Home Department (2023) UKSC 42</w:t>
      </w:r>
      <w:r w:rsidR="00442F0C">
        <w:rPr>
          <w:color w:val="77328A"/>
          <w:sz w:val="16"/>
          <w:szCs w:val="16"/>
        </w:rPr>
        <w:t>, at p</w:t>
      </w:r>
      <w:r w:rsidRPr="00F478F7">
        <w:rPr>
          <w:color w:val="77328A"/>
          <w:sz w:val="16"/>
          <w:szCs w:val="16"/>
        </w:rPr>
        <w:t xml:space="preserve">ara 57. </w:t>
      </w:r>
    </w:p>
  </w:footnote>
  <w:footnote w:id="71">
    <w:p w14:paraId="562A2219" w14:textId="0A412D9F" w:rsidR="004B6402" w:rsidRPr="00DA18F6" w:rsidRDefault="004B6402" w:rsidP="004B6402">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t>
      </w:r>
      <w:r w:rsidR="007F4EDF">
        <w:rPr>
          <w:rStyle w:val="Hyperlink"/>
          <w:i/>
          <w:iCs/>
          <w:color w:val="77328A"/>
          <w:sz w:val="16"/>
          <w:szCs w:val="16"/>
          <w:lang w:val="en-US"/>
        </w:rPr>
        <w:t>Angesom’s (Aman)</w:t>
      </w:r>
      <w:r w:rsidRPr="00DA18F6">
        <w:rPr>
          <w:rStyle w:val="Hyperlink"/>
          <w:i/>
          <w:iCs/>
          <w:color w:val="77328A"/>
          <w:sz w:val="16"/>
          <w:szCs w:val="16"/>
          <w:lang w:val="en-US"/>
        </w:rPr>
        <w:t xml:space="preserve"> Application</w:t>
      </w:r>
      <w:r w:rsidRPr="00DA18F6">
        <w:rPr>
          <w:rStyle w:val="Hyperlink"/>
          <w:color w:val="77328A"/>
          <w:sz w:val="16"/>
          <w:szCs w:val="16"/>
          <w:lang w:val="en-US"/>
        </w:rPr>
        <w:t xml:space="preserve"> [2023] NIKB 102</w:t>
      </w:r>
      <w:r w:rsidRPr="00DA18F6">
        <w:rPr>
          <w:color w:val="77328A"/>
          <w:sz w:val="16"/>
          <w:szCs w:val="16"/>
        </w:rPr>
        <w:t xml:space="preserve">, at para 92. </w:t>
      </w:r>
    </w:p>
  </w:footnote>
  <w:footnote w:id="72">
    <w:p w14:paraId="296B06DB" w14:textId="77777777" w:rsidR="004B6402" w:rsidRPr="00DA18F6" w:rsidRDefault="004B6402" w:rsidP="004B6402">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t>
      </w:r>
      <w:r w:rsidRPr="00DA18F6">
        <w:rPr>
          <w:i/>
          <w:iCs/>
          <w:color w:val="77328A"/>
          <w:sz w:val="16"/>
          <w:szCs w:val="16"/>
        </w:rPr>
        <w:t xml:space="preserve">Samba Diouf v. </w:t>
      </w:r>
      <w:r w:rsidRPr="00DA18F6">
        <w:rPr>
          <w:i/>
          <w:iCs/>
          <w:color w:val="77328A"/>
          <w:sz w:val="16"/>
          <w:szCs w:val="16"/>
        </w:rPr>
        <w:t>Ministre du Travail, de l’Emploi et de l’Immigration</w:t>
      </w:r>
      <w:r w:rsidRPr="00DA18F6">
        <w:rPr>
          <w:color w:val="77328A"/>
          <w:sz w:val="16"/>
          <w:szCs w:val="16"/>
        </w:rPr>
        <w:t>, Case C-69/10, 28 July 2011.</w:t>
      </w:r>
    </w:p>
  </w:footnote>
  <w:footnote w:id="73">
    <w:p w14:paraId="75394204" w14:textId="11C8E0A8" w:rsidR="009D1111" w:rsidRPr="00DA18F6" w:rsidRDefault="009D1111" w:rsidP="009D111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w:t>
      </w:r>
      <w:r w:rsidRPr="00DA18F6">
        <w:rPr>
          <w:rStyle w:val="Hyperlink"/>
          <w:color w:val="77328A"/>
          <w:sz w:val="16"/>
          <w:szCs w:val="16"/>
          <w:lang w:val="en-US"/>
        </w:rPr>
        <w:t xml:space="preserve">See, for example, </w:t>
      </w:r>
      <w:r w:rsidRPr="00DA18F6">
        <w:rPr>
          <w:rStyle w:val="Hyperlink"/>
          <w:i/>
          <w:iCs/>
          <w:color w:val="77328A"/>
          <w:sz w:val="16"/>
          <w:szCs w:val="16"/>
          <w:lang w:val="en-US"/>
        </w:rPr>
        <w:t>In the Matter of an Application by SPUC Pro-Life Ltd for Judicial Review</w:t>
      </w:r>
      <w:r w:rsidRPr="00DA18F6">
        <w:rPr>
          <w:rStyle w:val="Hyperlink"/>
          <w:color w:val="77328A"/>
          <w:sz w:val="16"/>
          <w:szCs w:val="16"/>
          <w:lang w:val="en-US"/>
        </w:rPr>
        <w:t xml:space="preserve"> [2022] NIQB 9; </w:t>
      </w:r>
      <w:r w:rsidR="007F4EDF">
        <w:rPr>
          <w:rStyle w:val="Hyperlink"/>
          <w:i/>
          <w:iCs/>
          <w:color w:val="77328A"/>
          <w:sz w:val="16"/>
          <w:szCs w:val="16"/>
          <w:lang w:val="en-US"/>
        </w:rPr>
        <w:t>Angesom’s (Aman)</w:t>
      </w:r>
      <w:r w:rsidRPr="00DA18F6">
        <w:rPr>
          <w:rStyle w:val="Hyperlink"/>
          <w:i/>
          <w:iCs/>
          <w:color w:val="77328A"/>
          <w:sz w:val="16"/>
          <w:szCs w:val="16"/>
          <w:lang w:val="en-US"/>
        </w:rPr>
        <w:t xml:space="preserve"> Application</w:t>
      </w:r>
      <w:r w:rsidRPr="00DA18F6">
        <w:rPr>
          <w:rStyle w:val="Hyperlink"/>
          <w:color w:val="77328A"/>
          <w:sz w:val="16"/>
          <w:szCs w:val="16"/>
          <w:lang w:val="en-US"/>
        </w:rPr>
        <w:t xml:space="preserve"> [2023] NIKB 102.</w:t>
      </w:r>
    </w:p>
  </w:footnote>
  <w:footnote w:id="74">
    <w:p w14:paraId="0DD46960" w14:textId="77777777" w:rsidR="00A51CBD" w:rsidRPr="00327DDF" w:rsidRDefault="00A51CBD" w:rsidP="00A51CBD">
      <w:pPr>
        <w:pStyle w:val="FootnoteText"/>
        <w:rPr>
          <w:color w:val="77328A"/>
          <w:sz w:val="16"/>
          <w:szCs w:val="16"/>
        </w:rPr>
      </w:pPr>
      <w:r w:rsidRPr="00327DDF">
        <w:rPr>
          <w:rStyle w:val="FootnoteReference"/>
          <w:color w:val="77328A"/>
          <w:sz w:val="16"/>
          <w:szCs w:val="16"/>
        </w:rPr>
        <w:footnoteRef/>
      </w:r>
      <w:r w:rsidRPr="00327DDF">
        <w:rPr>
          <w:color w:val="77328A"/>
          <w:sz w:val="16"/>
          <w:szCs w:val="16"/>
        </w:rPr>
        <w:t xml:space="preserve"> M.S.S. v Belgium and Greece (2011) ECHR 1124.</w:t>
      </w:r>
    </w:p>
  </w:footnote>
  <w:footnote w:id="75">
    <w:p w14:paraId="28DB2EC4" w14:textId="77777777" w:rsidR="00A51CBD" w:rsidRPr="00327DDF" w:rsidRDefault="00A51CBD" w:rsidP="00A51CBD">
      <w:pPr>
        <w:pStyle w:val="FootnoteText"/>
        <w:rPr>
          <w:color w:val="77328A"/>
          <w:sz w:val="16"/>
          <w:szCs w:val="16"/>
        </w:rPr>
      </w:pPr>
      <w:r w:rsidRPr="00327DDF">
        <w:rPr>
          <w:rStyle w:val="FootnoteReference"/>
          <w:color w:val="77328A"/>
          <w:sz w:val="16"/>
          <w:szCs w:val="16"/>
        </w:rPr>
        <w:footnoteRef/>
      </w:r>
      <w:r w:rsidRPr="00327DDF">
        <w:rPr>
          <w:color w:val="77328A"/>
          <w:sz w:val="16"/>
          <w:szCs w:val="16"/>
        </w:rPr>
        <w:t xml:space="preserve"> UK Government, ‘Safety of Rwanda (Asylum and Immigration) Bill – European Convention on Human Rights Memorandum’, (2023) at para 21.</w:t>
      </w:r>
    </w:p>
  </w:footnote>
  <w:footnote w:id="76">
    <w:p w14:paraId="7B9DD317" w14:textId="77777777" w:rsidR="00A51CBD" w:rsidRPr="00631ABE" w:rsidRDefault="00A51CBD" w:rsidP="00A51CBD">
      <w:pPr>
        <w:pStyle w:val="FootnoteText"/>
        <w:rPr>
          <w:color w:val="77328A"/>
          <w:sz w:val="16"/>
          <w:szCs w:val="16"/>
        </w:rPr>
      </w:pPr>
      <w:r w:rsidRPr="00327DDF">
        <w:rPr>
          <w:rStyle w:val="FootnoteReference"/>
          <w:color w:val="77328A"/>
          <w:sz w:val="16"/>
          <w:szCs w:val="16"/>
        </w:rPr>
        <w:footnoteRef/>
      </w:r>
      <w:r w:rsidRPr="00327DDF">
        <w:rPr>
          <w:color w:val="77328A"/>
          <w:sz w:val="16"/>
          <w:szCs w:val="16"/>
        </w:rPr>
        <w:t xml:space="preserve"> Burden and Burden v UK (2006) ECHR 1064; M.M. v UK (2012) ECHR 1906.</w:t>
      </w:r>
    </w:p>
  </w:footnote>
  <w:footnote w:id="77">
    <w:p w14:paraId="70B81AE7" w14:textId="77777777" w:rsidR="00A51CBD" w:rsidRPr="00631ABE" w:rsidRDefault="00A51CBD" w:rsidP="00A51CBD">
      <w:pPr>
        <w:pStyle w:val="FootnoteText"/>
        <w:rPr>
          <w:color w:val="77328A"/>
          <w:sz w:val="16"/>
          <w:szCs w:val="16"/>
        </w:rPr>
      </w:pPr>
      <w:r w:rsidRPr="00631ABE">
        <w:rPr>
          <w:rStyle w:val="FootnoteReference"/>
          <w:color w:val="77328A"/>
          <w:sz w:val="16"/>
          <w:szCs w:val="16"/>
        </w:rPr>
        <w:footnoteRef/>
      </w:r>
      <w:r w:rsidRPr="00631ABE">
        <w:rPr>
          <w:color w:val="77328A"/>
          <w:sz w:val="16"/>
          <w:szCs w:val="16"/>
        </w:rPr>
        <w:t xml:space="preserve"> M.M. v UK (2012) ECHR 1906, at para 178.</w:t>
      </w:r>
    </w:p>
  </w:footnote>
  <w:footnote w:id="78">
    <w:p w14:paraId="16B074F3" w14:textId="77777777" w:rsidR="008632EA" w:rsidRPr="00B64E2E" w:rsidRDefault="008632EA" w:rsidP="008632EA">
      <w:pPr>
        <w:pStyle w:val="FootnoteText"/>
        <w:rPr>
          <w:sz w:val="16"/>
          <w:szCs w:val="16"/>
        </w:rPr>
      </w:pPr>
      <w:r w:rsidRPr="00B64E2E">
        <w:rPr>
          <w:rStyle w:val="FootnoteReference"/>
          <w:color w:val="77328A"/>
          <w:sz w:val="16"/>
          <w:szCs w:val="16"/>
        </w:rPr>
        <w:footnoteRef/>
      </w:r>
      <w:r w:rsidRPr="00B64E2E">
        <w:rPr>
          <w:color w:val="77328A"/>
          <w:sz w:val="16"/>
          <w:szCs w:val="16"/>
        </w:rPr>
        <w:t xml:space="preserve"> The Bill of Rights Bill; the Illegal Migration </w:t>
      </w:r>
      <w:r>
        <w:rPr>
          <w:color w:val="77328A"/>
          <w:sz w:val="16"/>
          <w:szCs w:val="16"/>
        </w:rPr>
        <w:t>Act 2023</w:t>
      </w:r>
      <w:r w:rsidRPr="00B64E2E">
        <w:rPr>
          <w:color w:val="77328A"/>
          <w:sz w:val="16"/>
          <w:szCs w:val="16"/>
        </w:rPr>
        <w:t xml:space="preserve">; the NI Troubles (Legacy and Reconciliation) </w:t>
      </w:r>
      <w:r>
        <w:rPr>
          <w:color w:val="77328A"/>
          <w:sz w:val="16"/>
          <w:szCs w:val="16"/>
        </w:rPr>
        <w:t xml:space="preserve">Act 2023. </w:t>
      </w:r>
    </w:p>
  </w:footnote>
  <w:footnote w:id="79">
    <w:p w14:paraId="4A486580" w14:textId="77777777" w:rsidR="008D3016" w:rsidRPr="001042E0" w:rsidRDefault="008D3016" w:rsidP="008D3016">
      <w:pPr>
        <w:pStyle w:val="FootnoteText"/>
        <w:rPr>
          <w:color w:val="77328A"/>
          <w:sz w:val="16"/>
          <w:szCs w:val="16"/>
        </w:rPr>
      </w:pPr>
      <w:r w:rsidRPr="001042E0">
        <w:rPr>
          <w:rStyle w:val="FootnoteReference"/>
          <w:color w:val="77328A"/>
          <w:sz w:val="16"/>
          <w:szCs w:val="16"/>
        </w:rPr>
        <w:footnoteRef/>
      </w:r>
      <w:r w:rsidRPr="001042E0">
        <w:rPr>
          <w:color w:val="77328A"/>
          <w:sz w:val="16"/>
          <w:szCs w:val="16"/>
        </w:rPr>
        <w:t xml:space="preserve"> Clause 1(2), Bill of Rights Bill. See also: NI Human Rights Commission, ‘Advice on the Bill of Rights Bill’ (NIHRC, 2022).</w:t>
      </w:r>
    </w:p>
  </w:footnote>
  <w:footnote w:id="80">
    <w:p w14:paraId="34384F99" w14:textId="2100D67C" w:rsidR="00F62C1D" w:rsidRPr="00F62C1D" w:rsidRDefault="00F62C1D">
      <w:pPr>
        <w:pStyle w:val="FootnoteText"/>
        <w:rPr>
          <w:color w:val="77328A"/>
          <w:sz w:val="16"/>
          <w:szCs w:val="16"/>
        </w:rPr>
      </w:pPr>
      <w:r w:rsidRPr="00F62C1D">
        <w:rPr>
          <w:rStyle w:val="FootnoteReference"/>
          <w:sz w:val="16"/>
          <w:szCs w:val="16"/>
        </w:rPr>
        <w:footnoteRef/>
      </w:r>
      <w:r w:rsidRPr="00F62C1D">
        <w:rPr>
          <w:sz w:val="16"/>
          <w:szCs w:val="16"/>
        </w:rPr>
        <w:t xml:space="preserve"> </w:t>
      </w:r>
      <w:r w:rsidRPr="00F62C1D">
        <w:rPr>
          <w:color w:val="77328A"/>
          <w:sz w:val="16"/>
          <w:szCs w:val="16"/>
        </w:rPr>
        <w:t>NI Human Rights Commission, ‘Advice on the Bill of Rights Bill’ (NIHRC, 2022).</w:t>
      </w:r>
    </w:p>
  </w:footnote>
  <w:footnote w:id="81">
    <w:p w14:paraId="6824D3F3" w14:textId="77777777" w:rsidR="00C56840" w:rsidRPr="00A43E3A" w:rsidRDefault="00C56840" w:rsidP="00C56840">
      <w:pPr>
        <w:pStyle w:val="FootnoteText"/>
        <w:rPr>
          <w:sz w:val="16"/>
          <w:szCs w:val="16"/>
        </w:rPr>
      </w:pPr>
      <w:r w:rsidRPr="00A43E3A">
        <w:rPr>
          <w:rStyle w:val="FootnoteReference"/>
          <w:color w:val="77328A"/>
          <w:sz w:val="16"/>
          <w:szCs w:val="16"/>
        </w:rPr>
        <w:footnoteRef/>
      </w:r>
      <w:r w:rsidRPr="00A43E3A">
        <w:rPr>
          <w:color w:val="77328A"/>
          <w:sz w:val="16"/>
          <w:szCs w:val="16"/>
        </w:rPr>
        <w:t xml:space="preserve"> M.S.S v Belgium (2011) ECHR 108, at para 293.</w:t>
      </w:r>
    </w:p>
  </w:footnote>
  <w:footnote w:id="82">
    <w:p w14:paraId="67E401E4" w14:textId="77777777" w:rsidR="00C56840" w:rsidRPr="001636C1" w:rsidRDefault="00C56840" w:rsidP="00C56840">
      <w:pPr>
        <w:pStyle w:val="FootnoteText"/>
        <w:rPr>
          <w:color w:val="77328A"/>
          <w:sz w:val="16"/>
          <w:szCs w:val="16"/>
        </w:rPr>
      </w:pPr>
      <w:r w:rsidRPr="001636C1">
        <w:rPr>
          <w:rStyle w:val="FootnoteReference"/>
          <w:color w:val="77328A"/>
          <w:sz w:val="16"/>
          <w:szCs w:val="16"/>
        </w:rPr>
        <w:footnoteRef/>
      </w:r>
      <w:r w:rsidRPr="001636C1">
        <w:rPr>
          <w:color w:val="77328A"/>
          <w:sz w:val="16"/>
          <w:szCs w:val="16"/>
        </w:rPr>
        <w:t xml:space="preserve"> M.S.S v Belgium (2011) ECHR 108, at para 293.</w:t>
      </w:r>
    </w:p>
  </w:footnote>
  <w:footnote w:id="83">
    <w:p w14:paraId="637A48A4" w14:textId="67B52BE5" w:rsidR="00A95F70" w:rsidRDefault="00A95F70">
      <w:pPr>
        <w:pStyle w:val="FootnoteText"/>
      </w:pPr>
      <w:r w:rsidRPr="001636C1">
        <w:rPr>
          <w:rStyle w:val="FootnoteReference"/>
          <w:color w:val="77328A"/>
          <w:sz w:val="16"/>
          <w:szCs w:val="16"/>
        </w:rPr>
        <w:footnoteRef/>
      </w:r>
      <w:r w:rsidRPr="001636C1">
        <w:rPr>
          <w:color w:val="77328A"/>
          <w:sz w:val="16"/>
          <w:szCs w:val="16"/>
        </w:rPr>
        <w:t xml:space="preserve"> </w:t>
      </w:r>
      <w:r w:rsidR="00BD186D" w:rsidRPr="001636C1">
        <w:rPr>
          <w:color w:val="77328A"/>
          <w:sz w:val="16"/>
          <w:szCs w:val="16"/>
        </w:rPr>
        <w:t xml:space="preserve">A.M. v the Netherlands </w:t>
      </w:r>
      <w:r w:rsidR="001636C1" w:rsidRPr="001636C1">
        <w:rPr>
          <w:color w:val="77328A"/>
          <w:sz w:val="16"/>
          <w:szCs w:val="16"/>
        </w:rPr>
        <w:t>(2016) ECHR 620, a</w:t>
      </w:r>
      <w:r w:rsidRPr="001636C1">
        <w:rPr>
          <w:color w:val="77328A"/>
          <w:sz w:val="16"/>
          <w:szCs w:val="16"/>
        </w:rPr>
        <w:t>t para 63.</w:t>
      </w:r>
      <w:r w:rsidRPr="001636C1">
        <w:rPr>
          <w:color w:val="77328A"/>
        </w:rPr>
        <w:t xml:space="preserve"> </w:t>
      </w:r>
    </w:p>
  </w:footnote>
  <w:footnote w:id="84">
    <w:p w14:paraId="2BCD238B" w14:textId="77777777" w:rsidR="00C56840" w:rsidRPr="00430AEB" w:rsidRDefault="00C56840" w:rsidP="00C56840">
      <w:pPr>
        <w:pStyle w:val="FootnoteText"/>
        <w:rPr>
          <w:color w:val="77328A"/>
          <w:sz w:val="16"/>
          <w:szCs w:val="16"/>
        </w:rPr>
      </w:pPr>
      <w:r w:rsidRPr="0078309E">
        <w:rPr>
          <w:rStyle w:val="FootnoteReference"/>
          <w:color w:val="77328A"/>
          <w:sz w:val="16"/>
          <w:szCs w:val="16"/>
        </w:rPr>
        <w:footnoteRef/>
      </w:r>
      <w:r w:rsidRPr="0078309E">
        <w:rPr>
          <w:color w:val="77328A"/>
          <w:sz w:val="16"/>
          <w:szCs w:val="16"/>
        </w:rPr>
        <w:t xml:space="preserve"> Ilias and Ahmed v Hungary, Application No. 47287/15, Judgment of 21 November 2019; M.K. and Others v </w:t>
      </w:r>
      <w:r w:rsidRPr="00430AEB">
        <w:rPr>
          <w:color w:val="77328A"/>
          <w:sz w:val="16"/>
          <w:szCs w:val="16"/>
        </w:rPr>
        <w:t>Poland (2020) ECHR 568; D.A. and Others v Poland (2021) ECHR 615.</w:t>
      </w:r>
    </w:p>
  </w:footnote>
  <w:footnote w:id="85">
    <w:p w14:paraId="77D967E1" w14:textId="77777777" w:rsidR="00C56840" w:rsidRPr="003A1757" w:rsidRDefault="00C56840" w:rsidP="00C56840">
      <w:pPr>
        <w:pStyle w:val="FootnoteText"/>
        <w:rPr>
          <w:color w:val="77328A"/>
          <w:sz w:val="16"/>
          <w:szCs w:val="16"/>
        </w:rPr>
      </w:pPr>
      <w:r w:rsidRPr="003A1757">
        <w:rPr>
          <w:rStyle w:val="FootnoteReference"/>
          <w:color w:val="77328A"/>
          <w:sz w:val="16"/>
          <w:szCs w:val="16"/>
        </w:rPr>
        <w:footnoteRef/>
      </w:r>
      <w:r w:rsidRPr="003A1757">
        <w:rPr>
          <w:color w:val="77328A"/>
          <w:sz w:val="16"/>
          <w:szCs w:val="16"/>
        </w:rPr>
        <w:t xml:space="preserve"> CAT/C/GC/4, </w:t>
      </w:r>
      <w:r>
        <w:rPr>
          <w:color w:val="77328A"/>
          <w:sz w:val="16"/>
          <w:szCs w:val="16"/>
        </w:rPr>
        <w:t>‘</w:t>
      </w:r>
      <w:r w:rsidRPr="003A1757">
        <w:rPr>
          <w:color w:val="77328A"/>
          <w:sz w:val="16"/>
          <w:szCs w:val="16"/>
        </w:rPr>
        <w:t>UN Committee Against Torture</w:t>
      </w:r>
      <w:r>
        <w:rPr>
          <w:color w:val="77328A"/>
          <w:sz w:val="16"/>
          <w:szCs w:val="16"/>
        </w:rPr>
        <w:t xml:space="preserve"> </w:t>
      </w:r>
      <w:r w:rsidRPr="003A1757">
        <w:rPr>
          <w:color w:val="77328A"/>
          <w:sz w:val="16"/>
          <w:szCs w:val="16"/>
        </w:rPr>
        <w:t xml:space="preserve">General Comment No. 4 on the Implementation of Article 3 of the Convention in the Context of Article 22’, 4 September 2018, at para 18. See also: CCPR/C/BEL/CO/6, </w:t>
      </w:r>
      <w:r>
        <w:rPr>
          <w:color w:val="77328A"/>
          <w:sz w:val="16"/>
          <w:szCs w:val="16"/>
        </w:rPr>
        <w:t>‘</w:t>
      </w:r>
      <w:r w:rsidRPr="003A1757">
        <w:rPr>
          <w:color w:val="77328A"/>
          <w:sz w:val="16"/>
          <w:szCs w:val="16"/>
        </w:rPr>
        <w:t>UN Human Rights Committee</w:t>
      </w:r>
      <w:r>
        <w:rPr>
          <w:color w:val="77328A"/>
          <w:sz w:val="16"/>
          <w:szCs w:val="16"/>
        </w:rPr>
        <w:t xml:space="preserve"> </w:t>
      </w:r>
      <w:r w:rsidRPr="003A1757">
        <w:rPr>
          <w:color w:val="77328A"/>
          <w:sz w:val="16"/>
          <w:szCs w:val="16"/>
        </w:rPr>
        <w:t xml:space="preserve">Concluding Observations on the Sixth Periodic Report of Belgium’, 6 December 2019, at para 31; CCPR/C/SDN/CO/5, </w:t>
      </w:r>
      <w:r>
        <w:rPr>
          <w:color w:val="77328A"/>
          <w:sz w:val="16"/>
          <w:szCs w:val="16"/>
        </w:rPr>
        <w:t>‘</w:t>
      </w:r>
      <w:r w:rsidRPr="003A1757">
        <w:rPr>
          <w:color w:val="77328A"/>
          <w:sz w:val="16"/>
          <w:szCs w:val="16"/>
        </w:rPr>
        <w:t>UN</w:t>
      </w:r>
      <w:r w:rsidRPr="001636C1">
        <w:rPr>
          <w:color w:val="77328A"/>
          <w:sz w:val="16"/>
          <w:szCs w:val="16"/>
        </w:rPr>
        <w:t xml:space="preserve"> Human Rights Committee Concluding Observations on the Fifth Periodic Report of the Sudan’, 19 November 2018, at</w:t>
      </w:r>
      <w:r w:rsidRPr="003A1757">
        <w:rPr>
          <w:color w:val="77328A"/>
          <w:sz w:val="16"/>
          <w:szCs w:val="16"/>
        </w:rPr>
        <w:t xml:space="preserve"> para 58; CAT/C/BDG/CO/1, </w:t>
      </w:r>
      <w:r>
        <w:rPr>
          <w:color w:val="77328A"/>
          <w:sz w:val="16"/>
          <w:szCs w:val="16"/>
        </w:rPr>
        <w:t>‘</w:t>
      </w:r>
      <w:r w:rsidRPr="003A1757">
        <w:rPr>
          <w:color w:val="77328A"/>
          <w:sz w:val="16"/>
          <w:szCs w:val="16"/>
        </w:rPr>
        <w:t>UN Committee Against Torture</w:t>
      </w:r>
      <w:r>
        <w:rPr>
          <w:color w:val="77328A"/>
          <w:sz w:val="16"/>
          <w:szCs w:val="16"/>
        </w:rPr>
        <w:t xml:space="preserve"> </w:t>
      </w:r>
      <w:r w:rsidRPr="003A1757">
        <w:rPr>
          <w:color w:val="77328A"/>
          <w:sz w:val="16"/>
          <w:szCs w:val="16"/>
        </w:rPr>
        <w:t xml:space="preserve">Concluding </w:t>
      </w:r>
      <w:r>
        <w:rPr>
          <w:color w:val="77328A"/>
          <w:sz w:val="16"/>
          <w:szCs w:val="16"/>
        </w:rPr>
        <w:t>O</w:t>
      </w:r>
      <w:r w:rsidRPr="003A1757">
        <w:rPr>
          <w:color w:val="77328A"/>
          <w:sz w:val="16"/>
          <w:szCs w:val="16"/>
        </w:rPr>
        <w:t xml:space="preserve">bservations on the </w:t>
      </w:r>
      <w:r>
        <w:rPr>
          <w:color w:val="77328A"/>
          <w:sz w:val="16"/>
          <w:szCs w:val="16"/>
        </w:rPr>
        <w:t>I</w:t>
      </w:r>
      <w:r w:rsidRPr="003A1757">
        <w:rPr>
          <w:color w:val="77328A"/>
          <w:sz w:val="16"/>
          <w:szCs w:val="16"/>
        </w:rPr>
        <w:t xml:space="preserve">nitial </w:t>
      </w:r>
      <w:r>
        <w:rPr>
          <w:color w:val="77328A"/>
          <w:sz w:val="16"/>
          <w:szCs w:val="16"/>
        </w:rPr>
        <w:t>R</w:t>
      </w:r>
      <w:r w:rsidRPr="003A1757">
        <w:rPr>
          <w:color w:val="77328A"/>
          <w:sz w:val="16"/>
          <w:szCs w:val="16"/>
        </w:rPr>
        <w:t>eport of Bangladesh’, 26 August 2019, at para 43.</w:t>
      </w:r>
    </w:p>
  </w:footnote>
  <w:footnote w:id="86">
    <w:p w14:paraId="7FC925ED" w14:textId="2215F67F" w:rsidR="00711B87" w:rsidRPr="00430AEB" w:rsidRDefault="00711B87" w:rsidP="00711B87">
      <w:pPr>
        <w:pStyle w:val="FootnoteText"/>
        <w:rPr>
          <w:color w:val="77328A"/>
          <w:sz w:val="16"/>
          <w:szCs w:val="16"/>
        </w:rPr>
      </w:pPr>
      <w:r w:rsidRPr="00430AEB">
        <w:rPr>
          <w:rStyle w:val="FootnoteReference"/>
          <w:color w:val="77328A"/>
          <w:sz w:val="16"/>
          <w:szCs w:val="16"/>
        </w:rPr>
        <w:footnoteRef/>
      </w:r>
      <w:r w:rsidRPr="00430AEB">
        <w:rPr>
          <w:color w:val="77328A"/>
          <w:sz w:val="16"/>
          <w:szCs w:val="16"/>
        </w:rPr>
        <w:t xml:space="preserve"> </w:t>
      </w:r>
      <w:r w:rsidR="00577927" w:rsidRPr="00430AEB">
        <w:rPr>
          <w:color w:val="77328A"/>
          <w:sz w:val="16"/>
          <w:szCs w:val="16"/>
          <w:shd w:val="clear" w:color="auto" w:fill="FFFFFF"/>
        </w:rPr>
        <w:t>UN Refugee Agency, ‘UNHCR Analysis of the Legality and Appropriateness of the Transfer of Asylum-Seekers under the UK-Rwanda arrangement’ (UNHCR, 2022),</w:t>
      </w:r>
      <w:r w:rsidRPr="00430AEB">
        <w:rPr>
          <w:color w:val="77328A"/>
          <w:sz w:val="16"/>
          <w:szCs w:val="16"/>
        </w:rPr>
        <w:t xml:space="preserve"> at para 15.</w:t>
      </w:r>
    </w:p>
  </w:footnote>
  <w:footnote w:id="87">
    <w:p w14:paraId="6717AF75" w14:textId="65DFC254" w:rsidR="00FB3DBE" w:rsidRPr="004E6FB0" w:rsidRDefault="00FB3DBE" w:rsidP="00FB3DBE">
      <w:pPr>
        <w:pStyle w:val="FootnoteText"/>
        <w:rPr>
          <w:color w:val="77328A"/>
          <w:sz w:val="16"/>
          <w:szCs w:val="16"/>
        </w:rPr>
      </w:pPr>
      <w:r w:rsidRPr="004E6FB0">
        <w:rPr>
          <w:rStyle w:val="FootnoteReference"/>
          <w:color w:val="77328A"/>
          <w:sz w:val="16"/>
          <w:szCs w:val="16"/>
        </w:rPr>
        <w:footnoteRef/>
      </w:r>
      <w:r w:rsidRPr="004E6FB0">
        <w:rPr>
          <w:color w:val="77328A"/>
          <w:sz w:val="16"/>
          <w:szCs w:val="16"/>
        </w:rPr>
        <w:t xml:space="preserve"> </w:t>
      </w:r>
      <w:r w:rsidR="00F97621" w:rsidRPr="004E6FB0">
        <w:rPr>
          <w:color w:val="77328A"/>
          <w:sz w:val="16"/>
          <w:szCs w:val="16"/>
        </w:rPr>
        <w:t>Ibid, a</w:t>
      </w:r>
      <w:r w:rsidRPr="004E6FB0">
        <w:rPr>
          <w:color w:val="77328A"/>
          <w:sz w:val="16"/>
          <w:szCs w:val="16"/>
        </w:rPr>
        <w:t>t para 16.</w:t>
      </w:r>
    </w:p>
  </w:footnote>
  <w:footnote w:id="88">
    <w:p w14:paraId="53369E2B" w14:textId="13E1DE89" w:rsidR="004E6FB0" w:rsidRDefault="004E6FB0">
      <w:pPr>
        <w:pStyle w:val="FootnoteText"/>
      </w:pPr>
      <w:r w:rsidRPr="004E6FB0">
        <w:rPr>
          <w:rStyle w:val="FootnoteReference"/>
          <w:color w:val="77328A"/>
          <w:sz w:val="16"/>
          <w:szCs w:val="16"/>
        </w:rPr>
        <w:footnoteRef/>
      </w:r>
      <w:r w:rsidRPr="004E6FB0">
        <w:rPr>
          <w:color w:val="77328A"/>
          <w:sz w:val="16"/>
          <w:szCs w:val="16"/>
        </w:rPr>
        <w:t xml:space="preserve"> Ibid.</w:t>
      </w:r>
    </w:p>
  </w:footnote>
  <w:footnote w:id="89">
    <w:p w14:paraId="2EA813D3" w14:textId="437C0AE8" w:rsidR="00DE1DF9" w:rsidRPr="00DE1DF9" w:rsidRDefault="00DE1DF9">
      <w:pPr>
        <w:pStyle w:val="FootnoteText"/>
        <w:rPr>
          <w:color w:val="77328A"/>
          <w:sz w:val="16"/>
          <w:szCs w:val="16"/>
        </w:rPr>
      </w:pPr>
      <w:r w:rsidRPr="00DE1DF9">
        <w:rPr>
          <w:rStyle w:val="FootnoteReference"/>
          <w:color w:val="77328A"/>
          <w:sz w:val="16"/>
          <w:szCs w:val="16"/>
        </w:rPr>
        <w:footnoteRef/>
      </w:r>
      <w:r w:rsidRPr="00DE1DF9">
        <w:rPr>
          <w:color w:val="77328A"/>
          <w:sz w:val="16"/>
          <w:szCs w:val="16"/>
        </w:rPr>
        <w:t xml:space="preserve"> UK Government, ‘Safety of Rwanda (Asylum and Immigration) Bill – European Convention on Human Rights Memorandum’, (2023) at para 26(b).</w:t>
      </w:r>
    </w:p>
  </w:footnote>
  <w:footnote w:id="90">
    <w:p w14:paraId="0040B865" w14:textId="15D7A54D" w:rsidR="00B56494" w:rsidRPr="00B06596" w:rsidRDefault="00B56494" w:rsidP="00B56494">
      <w:pPr>
        <w:pStyle w:val="FootnoteText"/>
      </w:pPr>
      <w:r w:rsidRPr="0017784F">
        <w:rPr>
          <w:rStyle w:val="FootnoteReference"/>
          <w:color w:val="77328A"/>
          <w:sz w:val="16"/>
          <w:szCs w:val="16"/>
        </w:rPr>
        <w:footnoteRef/>
      </w:r>
      <w:r w:rsidRPr="0017784F">
        <w:rPr>
          <w:color w:val="77328A"/>
          <w:sz w:val="16"/>
          <w:szCs w:val="16"/>
        </w:rPr>
        <w:t xml:space="preserve"> </w:t>
      </w:r>
      <w:r w:rsidR="00B06596" w:rsidRPr="0078309E">
        <w:rPr>
          <w:color w:val="77328A"/>
          <w:sz w:val="16"/>
          <w:szCs w:val="16"/>
        </w:rPr>
        <w:t xml:space="preserve">Ilias and Ahmed v Hungary, Application No. 47287/15, Judgment of 21 November 2019, </w:t>
      </w:r>
      <w:r w:rsidRPr="0017784F">
        <w:rPr>
          <w:color w:val="77328A"/>
          <w:sz w:val="16"/>
          <w:szCs w:val="16"/>
        </w:rPr>
        <w:t>at para 134.</w:t>
      </w:r>
    </w:p>
  </w:footnote>
  <w:footnote w:id="91">
    <w:p w14:paraId="6174B643" w14:textId="428DFCBB" w:rsidR="004F3CAF" w:rsidRDefault="004F3CAF" w:rsidP="004F3CAF">
      <w:pPr>
        <w:pStyle w:val="FootnoteText"/>
      </w:pPr>
      <w:r w:rsidRPr="0078309E">
        <w:rPr>
          <w:rStyle w:val="FootnoteReference"/>
          <w:color w:val="77328A"/>
          <w:sz w:val="16"/>
          <w:szCs w:val="16"/>
        </w:rPr>
        <w:footnoteRef/>
      </w:r>
      <w:r w:rsidRPr="0078309E">
        <w:rPr>
          <w:color w:val="77328A"/>
          <w:sz w:val="16"/>
          <w:szCs w:val="16"/>
        </w:rPr>
        <w:t xml:space="preserve"> Ilias and Ahmed v Hungary, Application No. 47287/15, Judgment of 21 November 2019, at </w:t>
      </w:r>
      <w:r w:rsidR="0058096C">
        <w:rPr>
          <w:color w:val="77328A"/>
          <w:sz w:val="16"/>
          <w:szCs w:val="16"/>
        </w:rPr>
        <w:t xml:space="preserve">para </w:t>
      </w:r>
      <w:r w:rsidRPr="0078309E">
        <w:rPr>
          <w:color w:val="77328A"/>
          <w:sz w:val="16"/>
          <w:szCs w:val="16"/>
        </w:rPr>
        <w:t>141</w:t>
      </w:r>
      <w:r w:rsidR="00B06596">
        <w:rPr>
          <w:color w:val="77328A"/>
          <w:sz w:val="16"/>
          <w:szCs w:val="16"/>
        </w:rPr>
        <w:t>.</w:t>
      </w:r>
    </w:p>
  </w:footnote>
  <w:footnote w:id="92">
    <w:p w14:paraId="6B797453" w14:textId="591CB3FA" w:rsidR="001A1C5B" w:rsidRPr="001A1C5B" w:rsidRDefault="001A1C5B">
      <w:pPr>
        <w:pStyle w:val="FootnoteText"/>
        <w:rPr>
          <w:color w:val="77328A"/>
          <w:sz w:val="16"/>
          <w:szCs w:val="16"/>
        </w:rPr>
      </w:pPr>
      <w:r w:rsidRPr="001A1C5B">
        <w:rPr>
          <w:rStyle w:val="FootnoteReference"/>
          <w:color w:val="77328A"/>
          <w:sz w:val="16"/>
          <w:szCs w:val="16"/>
        </w:rPr>
        <w:footnoteRef/>
      </w:r>
      <w:r w:rsidRPr="001A1C5B">
        <w:rPr>
          <w:color w:val="77328A"/>
          <w:sz w:val="16"/>
          <w:szCs w:val="16"/>
        </w:rPr>
        <w:t xml:space="preserve"> NI Human Rights Commission, ‘Submission to the House of Lords on the Illegal Migration Bill’ (NIHRC, 2023).</w:t>
      </w:r>
    </w:p>
  </w:footnote>
  <w:footnote w:id="93">
    <w:p w14:paraId="5F746580" w14:textId="3170EAD1" w:rsidR="000E410F" w:rsidRPr="000E410F" w:rsidRDefault="000E410F">
      <w:pPr>
        <w:pStyle w:val="FootnoteText"/>
        <w:rPr>
          <w:sz w:val="16"/>
          <w:szCs w:val="16"/>
        </w:rPr>
      </w:pPr>
      <w:r w:rsidRPr="001A1C5B">
        <w:rPr>
          <w:rStyle w:val="FootnoteReference"/>
          <w:color w:val="77328A"/>
          <w:sz w:val="16"/>
          <w:szCs w:val="16"/>
        </w:rPr>
        <w:footnoteRef/>
      </w:r>
      <w:r w:rsidRPr="001A1C5B">
        <w:rPr>
          <w:color w:val="77328A"/>
          <w:sz w:val="16"/>
          <w:szCs w:val="16"/>
        </w:rPr>
        <w:t xml:space="preserve"> Section 54, Illegal Migration Act 2023.</w:t>
      </w:r>
    </w:p>
  </w:footnote>
  <w:footnote w:id="94">
    <w:p w14:paraId="195515C4" w14:textId="77777777" w:rsidR="000B4851" w:rsidRPr="00DA18F6" w:rsidRDefault="000B4851" w:rsidP="000B485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2005/85/EC, ‘Council Directive on minimum standards on procedures in Member States for granting and withdrawing refugee status’, of 1 December 2005. </w:t>
      </w:r>
    </w:p>
  </w:footnote>
  <w:footnote w:id="95">
    <w:p w14:paraId="7030D29F" w14:textId="77777777" w:rsidR="000B4851" w:rsidRPr="00DA18F6" w:rsidRDefault="000B4851" w:rsidP="000B485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Ibid, at Article 27, section 1 (a)</w:t>
      </w:r>
    </w:p>
  </w:footnote>
  <w:footnote w:id="96">
    <w:p w14:paraId="1C0D1679" w14:textId="77777777" w:rsidR="000B4851" w:rsidRPr="00DA18F6" w:rsidRDefault="000B4851" w:rsidP="000B485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Ibid, at Article 27, section 1 (b)</w:t>
      </w:r>
    </w:p>
  </w:footnote>
  <w:footnote w:id="97">
    <w:p w14:paraId="3D23EB69" w14:textId="77777777" w:rsidR="000B4851" w:rsidRPr="00DA18F6" w:rsidRDefault="000B4851" w:rsidP="000B485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Ibid, at Article 27, section 2 (a) </w:t>
      </w:r>
    </w:p>
  </w:footnote>
  <w:footnote w:id="98">
    <w:p w14:paraId="260AF19D" w14:textId="77777777" w:rsidR="000B4851" w:rsidRPr="00DA18F6" w:rsidRDefault="000B4851" w:rsidP="000B4851">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Article 27, section 2, c. </w:t>
      </w:r>
    </w:p>
  </w:footnote>
  <w:footnote w:id="99">
    <w:p w14:paraId="0CE3DF0B" w14:textId="77777777" w:rsidR="000B4851" w:rsidRDefault="000B4851" w:rsidP="000B4851">
      <w:pPr>
        <w:pStyle w:val="FootnoteText"/>
      </w:pPr>
      <w:r w:rsidRPr="009213F2">
        <w:rPr>
          <w:color w:val="77328A"/>
          <w:sz w:val="16"/>
          <w:szCs w:val="16"/>
        </w:rPr>
        <w:footnoteRef/>
      </w:r>
      <w:r>
        <w:t xml:space="preserve"> </w:t>
      </w:r>
      <w:r w:rsidRPr="00D64F63">
        <w:rPr>
          <w:color w:val="77328A"/>
          <w:sz w:val="16"/>
          <w:szCs w:val="16"/>
        </w:rPr>
        <w:t>Directive 2004/83/EC ‘Council Directive on minimum standards for the qualification and status of third country nationals or stateless persons as refugees or as persons who otherwise need international protection and the content of the protection granted’, 29 April 2004</w:t>
      </w:r>
      <w:r>
        <w:rPr>
          <w:color w:val="77328A"/>
          <w:sz w:val="16"/>
          <w:szCs w:val="16"/>
        </w:rPr>
        <w:t>.</w:t>
      </w:r>
    </w:p>
  </w:footnote>
  <w:footnote w:id="100">
    <w:p w14:paraId="3F6B3544" w14:textId="77777777" w:rsidR="00954170" w:rsidRPr="00DA18F6" w:rsidRDefault="00954170" w:rsidP="00954170">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2005/85/EC, ‘Council Directive on minimum standards on procedures in Member States for granting and withdrawing refugee status’, of 1 December 2005</w:t>
      </w:r>
      <w:r>
        <w:rPr>
          <w:color w:val="77328A"/>
          <w:sz w:val="16"/>
          <w:szCs w:val="16"/>
        </w:rPr>
        <w:t xml:space="preserve">; </w:t>
      </w:r>
      <w:r w:rsidRPr="00D64F63">
        <w:rPr>
          <w:color w:val="77328A"/>
          <w:sz w:val="16"/>
          <w:szCs w:val="16"/>
        </w:rPr>
        <w:t>Directive 2004/83/EC ‘Council Directive on minimum standards for the qualification and status of third country nationals or stateless persons as refugees or as persons who otherwise need international protection and the content of the protection granted’, 29 April 2004</w:t>
      </w:r>
      <w:r>
        <w:rPr>
          <w:color w:val="77328A"/>
          <w:sz w:val="16"/>
          <w:szCs w:val="16"/>
        </w:rPr>
        <w:t xml:space="preserve">. See also </w:t>
      </w:r>
      <w:r w:rsidRPr="00DA18F6">
        <w:rPr>
          <w:color w:val="77328A"/>
          <w:sz w:val="16"/>
          <w:szCs w:val="16"/>
        </w:rPr>
        <w:t xml:space="preserve">Recital </w:t>
      </w:r>
      <w:r>
        <w:rPr>
          <w:color w:val="77328A"/>
          <w:sz w:val="16"/>
          <w:szCs w:val="16"/>
        </w:rPr>
        <w:t xml:space="preserve">(3) </w:t>
      </w:r>
      <w:r w:rsidRPr="00DA18F6">
        <w:rPr>
          <w:color w:val="77328A"/>
          <w:sz w:val="16"/>
          <w:szCs w:val="16"/>
        </w:rPr>
        <w:t xml:space="preserve">of </w:t>
      </w:r>
      <w:r>
        <w:rPr>
          <w:color w:val="77328A"/>
          <w:sz w:val="16"/>
          <w:szCs w:val="16"/>
        </w:rPr>
        <w:t>the ‘Dublin III Regulation’ (</w:t>
      </w:r>
      <w:r w:rsidRPr="00D64F63">
        <w:rPr>
          <w:color w:val="77328A"/>
          <w:sz w:val="16"/>
          <w:szCs w:val="16"/>
        </w:rPr>
        <w:t>604/2013</w:t>
      </w:r>
      <w:r>
        <w:rPr>
          <w:color w:val="77328A"/>
          <w:sz w:val="16"/>
          <w:szCs w:val="16"/>
        </w:rPr>
        <w:t>/EU) ‘Regulation</w:t>
      </w:r>
      <w:r w:rsidRPr="00D64F63">
        <w:rPr>
          <w:color w:val="77328A"/>
          <w:sz w:val="16"/>
          <w:szCs w:val="16"/>
        </w:rPr>
        <w:t xml:space="preserve"> of the European Parliament and of the Council establishing the criteria and mechanisms for determining the Member State responsible for examining an application for international protection lodged in one of the Member States by a third-country national or a stateless person (recast)</w:t>
      </w:r>
      <w:r>
        <w:rPr>
          <w:color w:val="77328A"/>
          <w:sz w:val="16"/>
          <w:szCs w:val="16"/>
        </w:rPr>
        <w:t xml:space="preserve">’, </w:t>
      </w:r>
      <w:r w:rsidRPr="00D64F63">
        <w:rPr>
          <w:color w:val="77328A"/>
          <w:sz w:val="16"/>
          <w:szCs w:val="16"/>
        </w:rPr>
        <w:t>26 June 2013</w:t>
      </w:r>
      <w:r>
        <w:rPr>
          <w:color w:val="77328A"/>
          <w:sz w:val="16"/>
          <w:szCs w:val="16"/>
        </w:rPr>
        <w:t>.</w:t>
      </w:r>
    </w:p>
  </w:footnote>
  <w:footnote w:id="101">
    <w:p w14:paraId="0EE75A88" w14:textId="77777777" w:rsidR="00954170" w:rsidRPr="00DA18F6" w:rsidRDefault="00954170" w:rsidP="00954170">
      <w:pPr>
        <w:pStyle w:val="FootnoteText"/>
        <w:rPr>
          <w:color w:val="77328A"/>
          <w:sz w:val="16"/>
          <w:szCs w:val="16"/>
        </w:rPr>
      </w:pPr>
      <w:r w:rsidRPr="00DA18F6">
        <w:rPr>
          <w:rStyle w:val="FootnoteReference"/>
          <w:color w:val="77328A"/>
          <w:sz w:val="16"/>
          <w:szCs w:val="16"/>
        </w:rPr>
        <w:footnoteRef/>
      </w:r>
      <w:r w:rsidRPr="00DA18F6">
        <w:rPr>
          <w:color w:val="77328A"/>
          <w:sz w:val="16"/>
          <w:szCs w:val="16"/>
        </w:rPr>
        <w:t xml:space="preserve"> Directive 2005/85/EC, ‘Council Directive on minimum standards on procedures in Member States for granting and withdrawing refugee status’, of 1 December 2005.</w:t>
      </w:r>
      <w:r>
        <w:rPr>
          <w:color w:val="77328A"/>
          <w:sz w:val="16"/>
          <w:szCs w:val="16"/>
        </w:rPr>
        <w:t xml:space="preserve"> </w:t>
      </w:r>
      <w:r w:rsidRPr="00D64F63">
        <w:rPr>
          <w:color w:val="77328A"/>
          <w:sz w:val="16"/>
          <w:szCs w:val="16"/>
        </w:rPr>
        <w:t>Directive 2004/83/EC ‘Council Directive on minimum standards for the qualification and status of third country nationals or stateless persons as refugees or as persons who otherwise need international protection and the content of the protection granted’, 29 April 2004</w:t>
      </w:r>
      <w:r w:rsidRPr="00DA18F6">
        <w:rPr>
          <w:color w:val="77328A"/>
          <w:sz w:val="16"/>
          <w:szCs w:val="16"/>
        </w:rPr>
        <w:t xml:space="preserve"> </w:t>
      </w:r>
    </w:p>
  </w:footnote>
  <w:footnote w:id="102">
    <w:p w14:paraId="67E15325" w14:textId="77777777" w:rsidR="00672828" w:rsidRPr="008100D3" w:rsidRDefault="00672828" w:rsidP="00672828">
      <w:pPr>
        <w:pStyle w:val="NIHRCFootnotes"/>
      </w:pPr>
      <w:r w:rsidRPr="008100D3">
        <w:rPr>
          <w:vertAlign w:val="superscript"/>
        </w:rPr>
        <w:footnoteRef/>
      </w:r>
      <w:r w:rsidRPr="008100D3">
        <w:rPr>
          <w:vertAlign w:val="superscript"/>
        </w:rPr>
        <w:t xml:space="preserve"> </w:t>
      </w:r>
      <w:r>
        <w:t>Belfast (</w:t>
      </w:r>
      <w:r w:rsidRPr="008100D3">
        <w:t>Good Friday</w:t>
      </w:r>
      <w:r>
        <w:t>)</w:t>
      </w:r>
      <w:r w:rsidRPr="008100D3">
        <w:t xml:space="preserve"> Agreement 1998, Rights, Safeguards and Equality of Opportunity, at para 2.</w:t>
      </w:r>
    </w:p>
  </w:footnote>
  <w:footnote w:id="103">
    <w:p w14:paraId="4A3FA9BA" w14:textId="77777777" w:rsidR="00672828" w:rsidRPr="008100D3" w:rsidRDefault="00672828" w:rsidP="00672828">
      <w:pPr>
        <w:pStyle w:val="NIHRCFootnotes"/>
      </w:pPr>
      <w:r w:rsidRPr="008100D3">
        <w:rPr>
          <w:vertAlign w:val="superscript"/>
        </w:rPr>
        <w:footnoteRef/>
      </w:r>
      <w:r w:rsidRPr="008100D3">
        <w:t xml:space="preserve"> </w:t>
      </w:r>
      <w:r>
        <w:t>Belfast (</w:t>
      </w:r>
      <w:r w:rsidRPr="008100D3">
        <w:t>Good Friday</w:t>
      </w:r>
      <w:r>
        <w:t>)</w:t>
      </w:r>
      <w:r w:rsidRPr="008100D3">
        <w:t xml:space="preserve"> Agreement 1998, Strand One: Democratic Institutions in Northern Ireland, at para 5.</w:t>
      </w:r>
    </w:p>
  </w:footnote>
  <w:footnote w:id="104">
    <w:p w14:paraId="075F2502" w14:textId="77777777" w:rsidR="00672828" w:rsidRPr="008100D3" w:rsidRDefault="00672828" w:rsidP="00672828">
      <w:pPr>
        <w:pStyle w:val="NIHRCFootnotes"/>
      </w:pPr>
      <w:r w:rsidRPr="008100D3">
        <w:rPr>
          <w:rStyle w:val="FootnoteReference"/>
        </w:rPr>
        <w:footnoteRef/>
      </w:r>
      <w:r w:rsidRPr="008100D3">
        <w:t xml:space="preserve"> For example, sections 6 and 24 of the NI Act require compatibility with ECHR rights.</w:t>
      </w:r>
    </w:p>
  </w:footnote>
  <w:footnote w:id="105">
    <w:p w14:paraId="681B686F" w14:textId="77777777" w:rsidR="00672828" w:rsidRPr="008100D3" w:rsidRDefault="00672828" w:rsidP="00672828">
      <w:pPr>
        <w:pStyle w:val="NIHRCFootnotes"/>
      </w:pPr>
      <w:r w:rsidRPr="008100D3">
        <w:rPr>
          <w:vertAlign w:val="superscript"/>
        </w:rPr>
        <w:footnoteRef/>
      </w:r>
      <w:r w:rsidRPr="008100D3">
        <w:rPr>
          <w:vertAlign w:val="superscript"/>
        </w:rPr>
        <w:t xml:space="preserve"> </w:t>
      </w:r>
      <w:r>
        <w:t>Belfast (</w:t>
      </w:r>
      <w:r w:rsidRPr="008100D3">
        <w:t>Good Friday</w:t>
      </w:r>
      <w:r>
        <w:t>)</w:t>
      </w:r>
      <w:r w:rsidRPr="008100D3">
        <w:t xml:space="preserve"> Friday Agreement 1998, Rights, Safeguards and Equality of Opportunity, at para 2.</w:t>
      </w:r>
    </w:p>
  </w:footnote>
  <w:footnote w:id="106">
    <w:p w14:paraId="7E8258B1" w14:textId="77777777" w:rsidR="00672828" w:rsidRPr="008100D3" w:rsidRDefault="00672828" w:rsidP="00672828">
      <w:pPr>
        <w:pStyle w:val="NIHRCFootnotes"/>
      </w:pPr>
      <w:r w:rsidRPr="008100D3">
        <w:rPr>
          <w:rStyle w:val="FootnoteReference"/>
        </w:rPr>
        <w:footnoteRef/>
      </w:r>
      <w:r w:rsidRPr="008100D3">
        <w:t xml:space="preserve"> </w:t>
      </w:r>
      <w:r>
        <w:t>Belfast (</w:t>
      </w:r>
      <w:r w:rsidRPr="008100D3">
        <w:t>Good Friday</w:t>
      </w:r>
      <w:r>
        <w:t>)</w:t>
      </w:r>
      <w:r w:rsidRPr="008100D3">
        <w:t xml:space="preserve"> Agreement 1998, Rights, Safeguards and Equality of Opportunity, at para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9D9"/>
    <w:multiLevelType w:val="multilevel"/>
    <w:tmpl w:val="4FA4DCE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F2C4290"/>
    <w:multiLevelType w:val="multilevel"/>
    <w:tmpl w:val="A2CAD18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8E69FE"/>
    <w:multiLevelType w:val="multilevel"/>
    <w:tmpl w:val="07C68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418DF"/>
    <w:multiLevelType w:val="multilevel"/>
    <w:tmpl w:val="C3FAE29C"/>
    <w:lvl w:ilvl="0">
      <w:start w:val="5"/>
      <w:numFmt w:val="decimal"/>
      <w:lvlText w:val="%1"/>
      <w:lvlJc w:val="left"/>
      <w:pPr>
        <w:ind w:left="608" w:hanging="608"/>
      </w:pPr>
      <w:rPr>
        <w:rFonts w:hint="default"/>
        <w:b/>
      </w:rPr>
    </w:lvl>
    <w:lvl w:ilvl="1">
      <w:start w:val="1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16725987"/>
    <w:multiLevelType w:val="multilevel"/>
    <w:tmpl w:val="951825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AC82463"/>
    <w:multiLevelType w:val="hybridMultilevel"/>
    <w:tmpl w:val="91A85D7E"/>
    <w:lvl w:ilvl="0" w:tplc="CD3E6066">
      <w:start w:val="1"/>
      <w:numFmt w:val="lowerRoman"/>
      <w:lvlText w:val="(%1)"/>
      <w:lvlJc w:val="left"/>
      <w:pPr>
        <w:ind w:left="1517" w:hanging="1080"/>
      </w:pPr>
      <w:rPr>
        <w:rFonts w:hint="default"/>
      </w:rPr>
    </w:lvl>
    <w:lvl w:ilvl="1" w:tplc="08090019" w:tentative="1">
      <w:start w:val="1"/>
      <w:numFmt w:val="lowerLetter"/>
      <w:lvlText w:val="%2."/>
      <w:lvlJc w:val="left"/>
      <w:pPr>
        <w:ind w:left="1517" w:hanging="360"/>
      </w:pPr>
    </w:lvl>
    <w:lvl w:ilvl="2" w:tplc="0809001B" w:tentative="1">
      <w:start w:val="1"/>
      <w:numFmt w:val="lowerRoman"/>
      <w:lvlText w:val="%3."/>
      <w:lvlJc w:val="right"/>
      <w:pPr>
        <w:ind w:left="2237" w:hanging="180"/>
      </w:pPr>
    </w:lvl>
    <w:lvl w:ilvl="3" w:tplc="0809000F" w:tentative="1">
      <w:start w:val="1"/>
      <w:numFmt w:val="decimal"/>
      <w:lvlText w:val="%4."/>
      <w:lvlJc w:val="left"/>
      <w:pPr>
        <w:ind w:left="2957" w:hanging="360"/>
      </w:pPr>
    </w:lvl>
    <w:lvl w:ilvl="4" w:tplc="08090019" w:tentative="1">
      <w:start w:val="1"/>
      <w:numFmt w:val="lowerLetter"/>
      <w:lvlText w:val="%5."/>
      <w:lvlJc w:val="left"/>
      <w:pPr>
        <w:ind w:left="3677" w:hanging="360"/>
      </w:pPr>
    </w:lvl>
    <w:lvl w:ilvl="5" w:tplc="0809001B" w:tentative="1">
      <w:start w:val="1"/>
      <w:numFmt w:val="lowerRoman"/>
      <w:lvlText w:val="%6."/>
      <w:lvlJc w:val="right"/>
      <w:pPr>
        <w:ind w:left="4397" w:hanging="180"/>
      </w:pPr>
    </w:lvl>
    <w:lvl w:ilvl="6" w:tplc="0809000F" w:tentative="1">
      <w:start w:val="1"/>
      <w:numFmt w:val="decimal"/>
      <w:lvlText w:val="%7."/>
      <w:lvlJc w:val="left"/>
      <w:pPr>
        <w:ind w:left="5117" w:hanging="360"/>
      </w:pPr>
    </w:lvl>
    <w:lvl w:ilvl="7" w:tplc="08090019" w:tentative="1">
      <w:start w:val="1"/>
      <w:numFmt w:val="lowerLetter"/>
      <w:lvlText w:val="%8."/>
      <w:lvlJc w:val="left"/>
      <w:pPr>
        <w:ind w:left="5837" w:hanging="360"/>
      </w:pPr>
    </w:lvl>
    <w:lvl w:ilvl="8" w:tplc="0809001B" w:tentative="1">
      <w:start w:val="1"/>
      <w:numFmt w:val="lowerRoman"/>
      <w:lvlText w:val="%9."/>
      <w:lvlJc w:val="right"/>
      <w:pPr>
        <w:ind w:left="6557" w:hanging="180"/>
      </w:pPr>
    </w:lvl>
  </w:abstractNum>
  <w:abstractNum w:abstractNumId="6" w15:restartNumberingAfterBreak="0">
    <w:nsid w:val="38072D74"/>
    <w:multiLevelType w:val="multilevel"/>
    <w:tmpl w:val="88A24400"/>
    <w:styleLink w:val="LFO1"/>
    <w:lvl w:ilvl="0">
      <w:start w:val="1"/>
      <w:numFmt w:val="decimal"/>
      <w:lvlText w:val="%1.0"/>
      <w:lvlJc w:val="left"/>
      <w:pPr>
        <w:ind w:left="720" w:hanging="720"/>
      </w:pPr>
      <w:rPr>
        <w:rFonts w:hint="default"/>
      </w:rPr>
    </w:lvl>
    <w:lvl w:ilvl="1">
      <w:start w:val="1"/>
      <w:numFmt w:val="decimal"/>
      <w:lvlText w:val="%1.%2"/>
      <w:lvlJc w:val="left"/>
      <w:pPr>
        <w:ind w:left="862" w:hanging="720"/>
      </w:pPr>
      <w:rPr>
        <w:rFonts w:hint="default"/>
        <w:b w:val="0"/>
        <w:bCs w:val="0"/>
        <w:color w:val="auto"/>
        <w:position w:val="0"/>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A307F3E"/>
    <w:multiLevelType w:val="multilevel"/>
    <w:tmpl w:val="47028E3A"/>
    <w:styleLink w:val="CurrentList1"/>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DF47034"/>
    <w:multiLevelType w:val="hybridMultilevel"/>
    <w:tmpl w:val="56C4F01C"/>
    <w:lvl w:ilvl="0" w:tplc="1E945A7C">
      <w:start w:val="1"/>
      <w:numFmt w:val="bullet"/>
      <w:pStyle w:val="Bulletlis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 w15:restartNumberingAfterBreak="0">
    <w:nsid w:val="428A77F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304FE3"/>
    <w:multiLevelType w:val="multilevel"/>
    <w:tmpl w:val="DCBCC5BA"/>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778"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F360D4"/>
    <w:multiLevelType w:val="multilevel"/>
    <w:tmpl w:val="5F2454B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541E5D7B"/>
    <w:multiLevelType w:val="multilevel"/>
    <w:tmpl w:val="A0AC5198"/>
    <w:lvl w:ilvl="0">
      <w:start w:val="6"/>
      <w:numFmt w:val="decimal"/>
      <w:lvlText w:val="%1"/>
      <w:lvlJc w:val="left"/>
      <w:pPr>
        <w:ind w:left="435" w:hanging="435"/>
      </w:pPr>
      <w:rPr>
        <w:rFonts w:hint="default"/>
        <w:b/>
      </w:rPr>
    </w:lvl>
    <w:lvl w:ilvl="1">
      <w:start w:val="7"/>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5ED90033"/>
    <w:multiLevelType w:val="multilevel"/>
    <w:tmpl w:val="3788E4B2"/>
    <w:lvl w:ilvl="0">
      <w:start w:val="3"/>
      <w:numFmt w:val="decimal"/>
      <w:lvlText w:val="%1"/>
      <w:lvlJc w:val="left"/>
      <w:pPr>
        <w:ind w:left="608" w:hanging="608"/>
      </w:pPr>
      <w:rPr>
        <w:rFonts w:hint="default"/>
        <w:b/>
      </w:rPr>
    </w:lvl>
    <w:lvl w:ilvl="1">
      <w:start w:val="15"/>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4" w15:restartNumberingAfterBreak="0">
    <w:nsid w:val="69925D6F"/>
    <w:multiLevelType w:val="multilevel"/>
    <w:tmpl w:val="376A5EFE"/>
    <w:lvl w:ilvl="0">
      <w:start w:val="5"/>
      <w:numFmt w:val="decimal"/>
      <w:lvlText w:val="%1"/>
      <w:lvlJc w:val="left"/>
      <w:pPr>
        <w:ind w:left="608" w:hanging="608"/>
      </w:pPr>
      <w:rPr>
        <w:rFonts w:hint="default"/>
        <w:b/>
      </w:rPr>
    </w:lvl>
    <w:lvl w:ilvl="1">
      <w:start w:val="2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6B7A7988"/>
    <w:multiLevelType w:val="multilevel"/>
    <w:tmpl w:val="40F69324"/>
    <w:lvl w:ilvl="0">
      <w:start w:val="7"/>
      <w:numFmt w:val="decimal"/>
      <w:lvlText w:val="%1"/>
      <w:lvlJc w:val="left"/>
      <w:pPr>
        <w:ind w:left="608" w:hanging="608"/>
      </w:pPr>
      <w:rPr>
        <w:rFonts w:hint="default"/>
        <w:b/>
      </w:rPr>
    </w:lvl>
    <w:lvl w:ilvl="1">
      <w:start w:val="10"/>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6" w15:restartNumberingAfterBreak="0">
    <w:nsid w:val="70110F06"/>
    <w:multiLevelType w:val="multilevel"/>
    <w:tmpl w:val="061CA5E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71BC7688"/>
    <w:multiLevelType w:val="multilevel"/>
    <w:tmpl w:val="6D805512"/>
    <w:lvl w:ilvl="0">
      <w:start w:val="5"/>
      <w:numFmt w:val="decimal"/>
      <w:lvlText w:val="%1.0"/>
      <w:lvlJc w:val="left"/>
      <w:pPr>
        <w:ind w:left="720" w:hanging="720"/>
      </w:pPr>
      <w:rPr>
        <w:rFonts w:hint="default"/>
      </w:rPr>
    </w:lvl>
    <w:lvl w:ilvl="1">
      <w:start w:val="5"/>
      <w:numFmt w:val="decimal"/>
      <w:pStyle w:val="ListParagraph"/>
      <w:lvlText w:val="%1.%2"/>
      <w:lvlJc w:val="left"/>
      <w:pPr>
        <w:ind w:left="0" w:firstLine="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7BE012AC"/>
    <w:multiLevelType w:val="multilevel"/>
    <w:tmpl w:val="03D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56181">
    <w:abstractNumId w:val="17"/>
  </w:num>
  <w:num w:numId="2" w16cid:durableId="1077173050">
    <w:abstractNumId w:val="7"/>
  </w:num>
  <w:num w:numId="3" w16cid:durableId="1627857365">
    <w:abstractNumId w:val="0"/>
  </w:num>
  <w:num w:numId="4" w16cid:durableId="1802575344">
    <w:abstractNumId w:val="4"/>
  </w:num>
  <w:num w:numId="5" w16cid:durableId="705983612">
    <w:abstractNumId w:val="6"/>
  </w:num>
  <w:num w:numId="6" w16cid:durableId="107436187">
    <w:abstractNumId w:val="8"/>
  </w:num>
  <w:num w:numId="7" w16cid:durableId="1227648079">
    <w:abstractNumId w:val="1"/>
  </w:num>
  <w:num w:numId="8" w16cid:durableId="178592375">
    <w:abstractNumId w:val="10"/>
  </w:num>
  <w:num w:numId="9" w16cid:durableId="62685061">
    <w:abstractNumId w:val="5"/>
  </w:num>
  <w:num w:numId="10" w16cid:durableId="218908066">
    <w:abstractNumId w:val="16"/>
  </w:num>
  <w:num w:numId="11" w16cid:durableId="1899513059">
    <w:abstractNumId w:val="11"/>
  </w:num>
  <w:num w:numId="12" w16cid:durableId="754744692">
    <w:abstractNumId w:val="9"/>
  </w:num>
  <w:num w:numId="13" w16cid:durableId="99497191">
    <w:abstractNumId w:val="17"/>
  </w:num>
  <w:num w:numId="14" w16cid:durableId="1891845178">
    <w:abstractNumId w:val="17"/>
  </w:num>
  <w:num w:numId="15" w16cid:durableId="1209564992">
    <w:abstractNumId w:val="17"/>
  </w:num>
  <w:num w:numId="16" w16cid:durableId="728112052">
    <w:abstractNumId w:val="18"/>
  </w:num>
  <w:num w:numId="17" w16cid:durableId="1375933505">
    <w:abstractNumId w:val="2"/>
  </w:num>
  <w:num w:numId="18" w16cid:durableId="60255166">
    <w:abstractNumId w:val="13"/>
  </w:num>
  <w:num w:numId="19" w16cid:durableId="666133875">
    <w:abstractNumId w:val="3"/>
  </w:num>
  <w:num w:numId="20" w16cid:durableId="256182375">
    <w:abstractNumId w:val="14"/>
  </w:num>
  <w:num w:numId="21" w16cid:durableId="939948557">
    <w:abstractNumId w:val="12"/>
  </w:num>
  <w:num w:numId="22" w16cid:durableId="191366382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14"/>
    <w:rsid w:val="000015C1"/>
    <w:rsid w:val="00001615"/>
    <w:rsid w:val="00001925"/>
    <w:rsid w:val="00001CCF"/>
    <w:rsid w:val="00003A5D"/>
    <w:rsid w:val="00003CB7"/>
    <w:rsid w:val="000044E1"/>
    <w:rsid w:val="0000592D"/>
    <w:rsid w:val="00005A4E"/>
    <w:rsid w:val="000066F5"/>
    <w:rsid w:val="00010252"/>
    <w:rsid w:val="00010C2D"/>
    <w:rsid w:val="000116CE"/>
    <w:rsid w:val="0001207D"/>
    <w:rsid w:val="00014CC3"/>
    <w:rsid w:val="00015587"/>
    <w:rsid w:val="00015C51"/>
    <w:rsid w:val="00015ED6"/>
    <w:rsid w:val="000164EE"/>
    <w:rsid w:val="000165DA"/>
    <w:rsid w:val="000169D6"/>
    <w:rsid w:val="000173B1"/>
    <w:rsid w:val="000173B8"/>
    <w:rsid w:val="00017570"/>
    <w:rsid w:val="0002030D"/>
    <w:rsid w:val="000203FC"/>
    <w:rsid w:val="000245A5"/>
    <w:rsid w:val="000245E0"/>
    <w:rsid w:val="00024C90"/>
    <w:rsid w:val="00025505"/>
    <w:rsid w:val="0002619E"/>
    <w:rsid w:val="00027186"/>
    <w:rsid w:val="00027679"/>
    <w:rsid w:val="000328DF"/>
    <w:rsid w:val="00032901"/>
    <w:rsid w:val="000329F2"/>
    <w:rsid w:val="00032D26"/>
    <w:rsid w:val="000335D0"/>
    <w:rsid w:val="00033C26"/>
    <w:rsid w:val="0003491E"/>
    <w:rsid w:val="00035FD1"/>
    <w:rsid w:val="000360CC"/>
    <w:rsid w:val="000360E1"/>
    <w:rsid w:val="000360FC"/>
    <w:rsid w:val="000361A2"/>
    <w:rsid w:val="000375D5"/>
    <w:rsid w:val="00040458"/>
    <w:rsid w:val="0004048A"/>
    <w:rsid w:val="00040709"/>
    <w:rsid w:val="000431BE"/>
    <w:rsid w:val="00043A98"/>
    <w:rsid w:val="0004591A"/>
    <w:rsid w:val="00045D07"/>
    <w:rsid w:val="000475EB"/>
    <w:rsid w:val="00050277"/>
    <w:rsid w:val="0005077E"/>
    <w:rsid w:val="00051025"/>
    <w:rsid w:val="00051273"/>
    <w:rsid w:val="000513FB"/>
    <w:rsid w:val="0005176B"/>
    <w:rsid w:val="000530F4"/>
    <w:rsid w:val="00053110"/>
    <w:rsid w:val="000550E0"/>
    <w:rsid w:val="00055351"/>
    <w:rsid w:val="00060041"/>
    <w:rsid w:val="00060791"/>
    <w:rsid w:val="00060F41"/>
    <w:rsid w:val="00061799"/>
    <w:rsid w:val="00062819"/>
    <w:rsid w:val="00066271"/>
    <w:rsid w:val="000677DD"/>
    <w:rsid w:val="00067A69"/>
    <w:rsid w:val="0007069A"/>
    <w:rsid w:val="00070A7B"/>
    <w:rsid w:val="00071E34"/>
    <w:rsid w:val="00072150"/>
    <w:rsid w:val="00072743"/>
    <w:rsid w:val="000730E8"/>
    <w:rsid w:val="00073ECF"/>
    <w:rsid w:val="00074B5A"/>
    <w:rsid w:val="00076789"/>
    <w:rsid w:val="00076834"/>
    <w:rsid w:val="000768FF"/>
    <w:rsid w:val="00077074"/>
    <w:rsid w:val="00077AE2"/>
    <w:rsid w:val="00080FA8"/>
    <w:rsid w:val="00081692"/>
    <w:rsid w:val="00083761"/>
    <w:rsid w:val="00083C75"/>
    <w:rsid w:val="00083F5E"/>
    <w:rsid w:val="00084983"/>
    <w:rsid w:val="00084E8E"/>
    <w:rsid w:val="000855A3"/>
    <w:rsid w:val="0008667C"/>
    <w:rsid w:val="00086D33"/>
    <w:rsid w:val="00087550"/>
    <w:rsid w:val="0008788D"/>
    <w:rsid w:val="00090446"/>
    <w:rsid w:val="0009087B"/>
    <w:rsid w:val="00090DE4"/>
    <w:rsid w:val="0009113D"/>
    <w:rsid w:val="00092D21"/>
    <w:rsid w:val="000939BF"/>
    <w:rsid w:val="0009563D"/>
    <w:rsid w:val="00095A1C"/>
    <w:rsid w:val="00095BBF"/>
    <w:rsid w:val="00096EEE"/>
    <w:rsid w:val="000A00A0"/>
    <w:rsid w:val="000A1CFB"/>
    <w:rsid w:val="000A20A7"/>
    <w:rsid w:val="000A2B96"/>
    <w:rsid w:val="000A333B"/>
    <w:rsid w:val="000A55C5"/>
    <w:rsid w:val="000A6AA1"/>
    <w:rsid w:val="000B029B"/>
    <w:rsid w:val="000B0DC7"/>
    <w:rsid w:val="000B1D22"/>
    <w:rsid w:val="000B26C0"/>
    <w:rsid w:val="000B2AED"/>
    <w:rsid w:val="000B4851"/>
    <w:rsid w:val="000B5615"/>
    <w:rsid w:val="000B57E6"/>
    <w:rsid w:val="000B5E70"/>
    <w:rsid w:val="000C16B4"/>
    <w:rsid w:val="000C19D2"/>
    <w:rsid w:val="000C2CCA"/>
    <w:rsid w:val="000C3FF9"/>
    <w:rsid w:val="000C45D1"/>
    <w:rsid w:val="000C5BA4"/>
    <w:rsid w:val="000C651B"/>
    <w:rsid w:val="000C65AA"/>
    <w:rsid w:val="000C65D2"/>
    <w:rsid w:val="000C67A3"/>
    <w:rsid w:val="000C7095"/>
    <w:rsid w:val="000C7E43"/>
    <w:rsid w:val="000D0EFB"/>
    <w:rsid w:val="000D1415"/>
    <w:rsid w:val="000D197C"/>
    <w:rsid w:val="000D2E98"/>
    <w:rsid w:val="000D437E"/>
    <w:rsid w:val="000D44F7"/>
    <w:rsid w:val="000D463E"/>
    <w:rsid w:val="000D58F0"/>
    <w:rsid w:val="000D65CC"/>
    <w:rsid w:val="000D75B3"/>
    <w:rsid w:val="000E03F5"/>
    <w:rsid w:val="000E0765"/>
    <w:rsid w:val="000E3F19"/>
    <w:rsid w:val="000E410F"/>
    <w:rsid w:val="000E47E8"/>
    <w:rsid w:val="000E4CF2"/>
    <w:rsid w:val="000E5329"/>
    <w:rsid w:val="000E663C"/>
    <w:rsid w:val="000E6963"/>
    <w:rsid w:val="000E6F04"/>
    <w:rsid w:val="000E752A"/>
    <w:rsid w:val="000E7678"/>
    <w:rsid w:val="000E797A"/>
    <w:rsid w:val="000F0678"/>
    <w:rsid w:val="000F1519"/>
    <w:rsid w:val="000F2FB0"/>
    <w:rsid w:val="000F3511"/>
    <w:rsid w:val="000F5A87"/>
    <w:rsid w:val="000F6DC2"/>
    <w:rsid w:val="000F71C6"/>
    <w:rsid w:val="000F7D35"/>
    <w:rsid w:val="001002B3"/>
    <w:rsid w:val="00101133"/>
    <w:rsid w:val="001011C0"/>
    <w:rsid w:val="00101288"/>
    <w:rsid w:val="001019A8"/>
    <w:rsid w:val="00101CE5"/>
    <w:rsid w:val="00102791"/>
    <w:rsid w:val="00103BCF"/>
    <w:rsid w:val="00103D12"/>
    <w:rsid w:val="001042E0"/>
    <w:rsid w:val="001042FC"/>
    <w:rsid w:val="001046CD"/>
    <w:rsid w:val="001047DD"/>
    <w:rsid w:val="0010488D"/>
    <w:rsid w:val="00104EDA"/>
    <w:rsid w:val="001051E4"/>
    <w:rsid w:val="00107C41"/>
    <w:rsid w:val="00107CA7"/>
    <w:rsid w:val="001110B1"/>
    <w:rsid w:val="001116AC"/>
    <w:rsid w:val="001127FD"/>
    <w:rsid w:val="00112E2B"/>
    <w:rsid w:val="001134BF"/>
    <w:rsid w:val="00114FCD"/>
    <w:rsid w:val="001155AF"/>
    <w:rsid w:val="00117D5A"/>
    <w:rsid w:val="0012040B"/>
    <w:rsid w:val="00120BB8"/>
    <w:rsid w:val="00122974"/>
    <w:rsid w:val="00124195"/>
    <w:rsid w:val="00124FF1"/>
    <w:rsid w:val="001277ED"/>
    <w:rsid w:val="00130F7A"/>
    <w:rsid w:val="00133006"/>
    <w:rsid w:val="0013355B"/>
    <w:rsid w:val="001335FB"/>
    <w:rsid w:val="00134537"/>
    <w:rsid w:val="00134CF9"/>
    <w:rsid w:val="001352F6"/>
    <w:rsid w:val="00135609"/>
    <w:rsid w:val="001357E7"/>
    <w:rsid w:val="001400FC"/>
    <w:rsid w:val="0014012A"/>
    <w:rsid w:val="001409F6"/>
    <w:rsid w:val="0014101E"/>
    <w:rsid w:val="00141278"/>
    <w:rsid w:val="0014172C"/>
    <w:rsid w:val="00141757"/>
    <w:rsid w:val="0014302F"/>
    <w:rsid w:val="001437BF"/>
    <w:rsid w:val="00143E25"/>
    <w:rsid w:val="0014406B"/>
    <w:rsid w:val="001448E6"/>
    <w:rsid w:val="00145A23"/>
    <w:rsid w:val="00146844"/>
    <w:rsid w:val="001473D6"/>
    <w:rsid w:val="0015173D"/>
    <w:rsid w:val="0015175C"/>
    <w:rsid w:val="0015233B"/>
    <w:rsid w:val="00152F69"/>
    <w:rsid w:val="00153CC1"/>
    <w:rsid w:val="00153F2B"/>
    <w:rsid w:val="00154148"/>
    <w:rsid w:val="00156030"/>
    <w:rsid w:val="00157489"/>
    <w:rsid w:val="0015772E"/>
    <w:rsid w:val="001605E9"/>
    <w:rsid w:val="001609F7"/>
    <w:rsid w:val="0016156D"/>
    <w:rsid w:val="00161753"/>
    <w:rsid w:val="00161DBE"/>
    <w:rsid w:val="001625CD"/>
    <w:rsid w:val="0016280D"/>
    <w:rsid w:val="0016316E"/>
    <w:rsid w:val="001636C1"/>
    <w:rsid w:val="001636C7"/>
    <w:rsid w:val="0016387E"/>
    <w:rsid w:val="00164050"/>
    <w:rsid w:val="00164052"/>
    <w:rsid w:val="001650B5"/>
    <w:rsid w:val="00165122"/>
    <w:rsid w:val="00170199"/>
    <w:rsid w:val="00172788"/>
    <w:rsid w:val="001729B1"/>
    <w:rsid w:val="001733EC"/>
    <w:rsid w:val="00175B76"/>
    <w:rsid w:val="0017694A"/>
    <w:rsid w:val="0017729F"/>
    <w:rsid w:val="0017784F"/>
    <w:rsid w:val="00177AD2"/>
    <w:rsid w:val="00182385"/>
    <w:rsid w:val="001833F0"/>
    <w:rsid w:val="00183A46"/>
    <w:rsid w:val="001856B9"/>
    <w:rsid w:val="001857AA"/>
    <w:rsid w:val="00185B06"/>
    <w:rsid w:val="001866E6"/>
    <w:rsid w:val="00187DC0"/>
    <w:rsid w:val="0019041C"/>
    <w:rsid w:val="00191F3E"/>
    <w:rsid w:val="00192D22"/>
    <w:rsid w:val="00193BE8"/>
    <w:rsid w:val="00193C9E"/>
    <w:rsid w:val="00193EEA"/>
    <w:rsid w:val="00194F26"/>
    <w:rsid w:val="001953CF"/>
    <w:rsid w:val="001960CB"/>
    <w:rsid w:val="001A0D61"/>
    <w:rsid w:val="001A0E33"/>
    <w:rsid w:val="001A1C5B"/>
    <w:rsid w:val="001A2742"/>
    <w:rsid w:val="001A31A9"/>
    <w:rsid w:val="001A353B"/>
    <w:rsid w:val="001A368E"/>
    <w:rsid w:val="001A3FFE"/>
    <w:rsid w:val="001A4C50"/>
    <w:rsid w:val="001A606A"/>
    <w:rsid w:val="001A632B"/>
    <w:rsid w:val="001A6688"/>
    <w:rsid w:val="001A7DD5"/>
    <w:rsid w:val="001B1601"/>
    <w:rsid w:val="001B24E9"/>
    <w:rsid w:val="001B2C4D"/>
    <w:rsid w:val="001B2E48"/>
    <w:rsid w:val="001B3786"/>
    <w:rsid w:val="001B3B94"/>
    <w:rsid w:val="001B48E0"/>
    <w:rsid w:val="001B5172"/>
    <w:rsid w:val="001B5AEA"/>
    <w:rsid w:val="001B6F7C"/>
    <w:rsid w:val="001B753F"/>
    <w:rsid w:val="001C0097"/>
    <w:rsid w:val="001C07DD"/>
    <w:rsid w:val="001C0953"/>
    <w:rsid w:val="001C2B6A"/>
    <w:rsid w:val="001C436D"/>
    <w:rsid w:val="001C4DAD"/>
    <w:rsid w:val="001C52E4"/>
    <w:rsid w:val="001C5894"/>
    <w:rsid w:val="001C66C4"/>
    <w:rsid w:val="001C6F10"/>
    <w:rsid w:val="001C729B"/>
    <w:rsid w:val="001D0806"/>
    <w:rsid w:val="001D11D4"/>
    <w:rsid w:val="001D415E"/>
    <w:rsid w:val="001D46AB"/>
    <w:rsid w:val="001D4D4A"/>
    <w:rsid w:val="001D556A"/>
    <w:rsid w:val="001D5729"/>
    <w:rsid w:val="001D5DF0"/>
    <w:rsid w:val="001D68E8"/>
    <w:rsid w:val="001D72BE"/>
    <w:rsid w:val="001D77DC"/>
    <w:rsid w:val="001D7F51"/>
    <w:rsid w:val="001E0B23"/>
    <w:rsid w:val="001E0F80"/>
    <w:rsid w:val="001E1415"/>
    <w:rsid w:val="001E1712"/>
    <w:rsid w:val="001E17FB"/>
    <w:rsid w:val="001E1E2A"/>
    <w:rsid w:val="001E2F62"/>
    <w:rsid w:val="001E4FB4"/>
    <w:rsid w:val="001E5357"/>
    <w:rsid w:val="001E5FF8"/>
    <w:rsid w:val="001E6D7D"/>
    <w:rsid w:val="001E7B21"/>
    <w:rsid w:val="001F0520"/>
    <w:rsid w:val="001F0849"/>
    <w:rsid w:val="001F128F"/>
    <w:rsid w:val="001F1E03"/>
    <w:rsid w:val="001F45CA"/>
    <w:rsid w:val="001F51A6"/>
    <w:rsid w:val="001F5906"/>
    <w:rsid w:val="002013FA"/>
    <w:rsid w:val="00202F58"/>
    <w:rsid w:val="00203816"/>
    <w:rsid w:val="002044B8"/>
    <w:rsid w:val="002044F4"/>
    <w:rsid w:val="002052F5"/>
    <w:rsid w:val="002056DC"/>
    <w:rsid w:val="00205780"/>
    <w:rsid w:val="00205A9E"/>
    <w:rsid w:val="00207C82"/>
    <w:rsid w:val="002100D4"/>
    <w:rsid w:val="00210A28"/>
    <w:rsid w:val="00213140"/>
    <w:rsid w:val="002140A0"/>
    <w:rsid w:val="00214A69"/>
    <w:rsid w:val="00215164"/>
    <w:rsid w:val="00215494"/>
    <w:rsid w:val="002161CD"/>
    <w:rsid w:val="0021668A"/>
    <w:rsid w:val="0021678F"/>
    <w:rsid w:val="002169B7"/>
    <w:rsid w:val="00216AEC"/>
    <w:rsid w:val="00220C48"/>
    <w:rsid w:val="002213B0"/>
    <w:rsid w:val="00221877"/>
    <w:rsid w:val="00222992"/>
    <w:rsid w:val="002232A1"/>
    <w:rsid w:val="0022428F"/>
    <w:rsid w:val="00224636"/>
    <w:rsid w:val="00224A8F"/>
    <w:rsid w:val="00225059"/>
    <w:rsid w:val="0022537F"/>
    <w:rsid w:val="00225388"/>
    <w:rsid w:val="00225C3F"/>
    <w:rsid w:val="00225E45"/>
    <w:rsid w:val="0022643D"/>
    <w:rsid w:val="00227979"/>
    <w:rsid w:val="002305E5"/>
    <w:rsid w:val="00230735"/>
    <w:rsid w:val="00230F29"/>
    <w:rsid w:val="002321FE"/>
    <w:rsid w:val="00234990"/>
    <w:rsid w:val="002356D0"/>
    <w:rsid w:val="00235AAC"/>
    <w:rsid w:val="002366ED"/>
    <w:rsid w:val="00240045"/>
    <w:rsid w:val="002419A6"/>
    <w:rsid w:val="00243DEB"/>
    <w:rsid w:val="0024425C"/>
    <w:rsid w:val="002463FC"/>
    <w:rsid w:val="00246A3E"/>
    <w:rsid w:val="00250FEE"/>
    <w:rsid w:val="00251A46"/>
    <w:rsid w:val="00251B7A"/>
    <w:rsid w:val="0025359A"/>
    <w:rsid w:val="0025436E"/>
    <w:rsid w:val="0025475E"/>
    <w:rsid w:val="00255A2F"/>
    <w:rsid w:val="00256EC8"/>
    <w:rsid w:val="00257A0D"/>
    <w:rsid w:val="002601FE"/>
    <w:rsid w:val="00260488"/>
    <w:rsid w:val="00260B4A"/>
    <w:rsid w:val="00260EEF"/>
    <w:rsid w:val="00261444"/>
    <w:rsid w:val="00261694"/>
    <w:rsid w:val="00261959"/>
    <w:rsid w:val="002621B4"/>
    <w:rsid w:val="00263AC4"/>
    <w:rsid w:val="00264C00"/>
    <w:rsid w:val="00266191"/>
    <w:rsid w:val="00266EAF"/>
    <w:rsid w:val="00270505"/>
    <w:rsid w:val="0027071D"/>
    <w:rsid w:val="00270DC2"/>
    <w:rsid w:val="00270EB7"/>
    <w:rsid w:val="00271262"/>
    <w:rsid w:val="00272B00"/>
    <w:rsid w:val="0027377D"/>
    <w:rsid w:val="00274ACF"/>
    <w:rsid w:val="00275E28"/>
    <w:rsid w:val="00276EA6"/>
    <w:rsid w:val="002776F3"/>
    <w:rsid w:val="00277CE6"/>
    <w:rsid w:val="00280038"/>
    <w:rsid w:val="00280EA0"/>
    <w:rsid w:val="002818E2"/>
    <w:rsid w:val="00281D31"/>
    <w:rsid w:val="0028235B"/>
    <w:rsid w:val="00282A7D"/>
    <w:rsid w:val="00284275"/>
    <w:rsid w:val="00285DFF"/>
    <w:rsid w:val="002868C7"/>
    <w:rsid w:val="002873E3"/>
    <w:rsid w:val="0029023D"/>
    <w:rsid w:val="00291003"/>
    <w:rsid w:val="00291281"/>
    <w:rsid w:val="002917B5"/>
    <w:rsid w:val="00291D8D"/>
    <w:rsid w:val="00292CD8"/>
    <w:rsid w:val="00293B3F"/>
    <w:rsid w:val="00294522"/>
    <w:rsid w:val="002949FA"/>
    <w:rsid w:val="0029686D"/>
    <w:rsid w:val="002979D9"/>
    <w:rsid w:val="002A013A"/>
    <w:rsid w:val="002A2871"/>
    <w:rsid w:val="002A33C9"/>
    <w:rsid w:val="002A3E25"/>
    <w:rsid w:val="002A538B"/>
    <w:rsid w:val="002A5F2C"/>
    <w:rsid w:val="002A6924"/>
    <w:rsid w:val="002A71C1"/>
    <w:rsid w:val="002A79A3"/>
    <w:rsid w:val="002A7F4F"/>
    <w:rsid w:val="002B2611"/>
    <w:rsid w:val="002B2A78"/>
    <w:rsid w:val="002B3ED3"/>
    <w:rsid w:val="002B7C62"/>
    <w:rsid w:val="002B7CDD"/>
    <w:rsid w:val="002C32B3"/>
    <w:rsid w:val="002C37ED"/>
    <w:rsid w:val="002C39D4"/>
    <w:rsid w:val="002C4AB4"/>
    <w:rsid w:val="002C54E6"/>
    <w:rsid w:val="002C5E52"/>
    <w:rsid w:val="002C779A"/>
    <w:rsid w:val="002C7AFF"/>
    <w:rsid w:val="002D1036"/>
    <w:rsid w:val="002D1A76"/>
    <w:rsid w:val="002D2A6D"/>
    <w:rsid w:val="002D328D"/>
    <w:rsid w:val="002D4343"/>
    <w:rsid w:val="002D4B97"/>
    <w:rsid w:val="002D5F66"/>
    <w:rsid w:val="002E05E6"/>
    <w:rsid w:val="002E28B6"/>
    <w:rsid w:val="002E2CC0"/>
    <w:rsid w:val="002E3295"/>
    <w:rsid w:val="002E4950"/>
    <w:rsid w:val="002E4CDC"/>
    <w:rsid w:val="002E60EF"/>
    <w:rsid w:val="002E6F3E"/>
    <w:rsid w:val="002F1B07"/>
    <w:rsid w:val="002F1C67"/>
    <w:rsid w:val="002F21A3"/>
    <w:rsid w:val="002F304C"/>
    <w:rsid w:val="002F3CF1"/>
    <w:rsid w:val="002F5725"/>
    <w:rsid w:val="002F5947"/>
    <w:rsid w:val="002F5F9E"/>
    <w:rsid w:val="002F6586"/>
    <w:rsid w:val="002F7327"/>
    <w:rsid w:val="002F755C"/>
    <w:rsid w:val="00301AFB"/>
    <w:rsid w:val="00302904"/>
    <w:rsid w:val="00303711"/>
    <w:rsid w:val="00303E35"/>
    <w:rsid w:val="00304470"/>
    <w:rsid w:val="003049BE"/>
    <w:rsid w:val="00304B2A"/>
    <w:rsid w:val="003055B1"/>
    <w:rsid w:val="003055B6"/>
    <w:rsid w:val="00305A31"/>
    <w:rsid w:val="00307491"/>
    <w:rsid w:val="00307B7D"/>
    <w:rsid w:val="00307C90"/>
    <w:rsid w:val="003116ED"/>
    <w:rsid w:val="003119E4"/>
    <w:rsid w:val="003135DE"/>
    <w:rsid w:val="00313D7C"/>
    <w:rsid w:val="00315D52"/>
    <w:rsid w:val="00316F1D"/>
    <w:rsid w:val="003220BD"/>
    <w:rsid w:val="0032307D"/>
    <w:rsid w:val="003244BA"/>
    <w:rsid w:val="00325B2B"/>
    <w:rsid w:val="003263AC"/>
    <w:rsid w:val="003266DD"/>
    <w:rsid w:val="00327242"/>
    <w:rsid w:val="003279CA"/>
    <w:rsid w:val="00327C7B"/>
    <w:rsid w:val="00327DDF"/>
    <w:rsid w:val="00331AB2"/>
    <w:rsid w:val="0033285B"/>
    <w:rsid w:val="0033297F"/>
    <w:rsid w:val="00332DCD"/>
    <w:rsid w:val="003376F7"/>
    <w:rsid w:val="00337C38"/>
    <w:rsid w:val="00340413"/>
    <w:rsid w:val="003411D6"/>
    <w:rsid w:val="00341F2D"/>
    <w:rsid w:val="0034238E"/>
    <w:rsid w:val="00343F17"/>
    <w:rsid w:val="0034544B"/>
    <w:rsid w:val="003460D9"/>
    <w:rsid w:val="003503DA"/>
    <w:rsid w:val="003505E9"/>
    <w:rsid w:val="003529AA"/>
    <w:rsid w:val="003532C4"/>
    <w:rsid w:val="00353C40"/>
    <w:rsid w:val="00354633"/>
    <w:rsid w:val="00356408"/>
    <w:rsid w:val="00356988"/>
    <w:rsid w:val="00356B32"/>
    <w:rsid w:val="00360D3F"/>
    <w:rsid w:val="00360E71"/>
    <w:rsid w:val="00361133"/>
    <w:rsid w:val="003616EA"/>
    <w:rsid w:val="00362871"/>
    <w:rsid w:val="00364392"/>
    <w:rsid w:val="003646F3"/>
    <w:rsid w:val="00364E52"/>
    <w:rsid w:val="00365840"/>
    <w:rsid w:val="00366D0B"/>
    <w:rsid w:val="00367C89"/>
    <w:rsid w:val="00371726"/>
    <w:rsid w:val="00372BE7"/>
    <w:rsid w:val="00372D32"/>
    <w:rsid w:val="00376E11"/>
    <w:rsid w:val="0037758E"/>
    <w:rsid w:val="00377F45"/>
    <w:rsid w:val="00380E4F"/>
    <w:rsid w:val="003812F0"/>
    <w:rsid w:val="00381FD1"/>
    <w:rsid w:val="0038233B"/>
    <w:rsid w:val="00385281"/>
    <w:rsid w:val="0038569B"/>
    <w:rsid w:val="00386E7F"/>
    <w:rsid w:val="003870B0"/>
    <w:rsid w:val="003878B4"/>
    <w:rsid w:val="0039005D"/>
    <w:rsid w:val="00390B9B"/>
    <w:rsid w:val="00391D1A"/>
    <w:rsid w:val="0039247E"/>
    <w:rsid w:val="003928DE"/>
    <w:rsid w:val="00392C5F"/>
    <w:rsid w:val="003931BB"/>
    <w:rsid w:val="003936B3"/>
    <w:rsid w:val="00394706"/>
    <w:rsid w:val="00394B88"/>
    <w:rsid w:val="00397AB4"/>
    <w:rsid w:val="003A05BF"/>
    <w:rsid w:val="003A0C60"/>
    <w:rsid w:val="003A1187"/>
    <w:rsid w:val="003A13DB"/>
    <w:rsid w:val="003A19BD"/>
    <w:rsid w:val="003A21F5"/>
    <w:rsid w:val="003A2578"/>
    <w:rsid w:val="003A28D9"/>
    <w:rsid w:val="003A3C19"/>
    <w:rsid w:val="003A458E"/>
    <w:rsid w:val="003A50BA"/>
    <w:rsid w:val="003A57C3"/>
    <w:rsid w:val="003A663E"/>
    <w:rsid w:val="003B1A2B"/>
    <w:rsid w:val="003B1C03"/>
    <w:rsid w:val="003B2E0E"/>
    <w:rsid w:val="003B2F2B"/>
    <w:rsid w:val="003B5A21"/>
    <w:rsid w:val="003B5CF3"/>
    <w:rsid w:val="003B5DDD"/>
    <w:rsid w:val="003C2971"/>
    <w:rsid w:val="003C5076"/>
    <w:rsid w:val="003C5E3E"/>
    <w:rsid w:val="003C6BB8"/>
    <w:rsid w:val="003C6DDF"/>
    <w:rsid w:val="003C78ED"/>
    <w:rsid w:val="003C7965"/>
    <w:rsid w:val="003D0BE9"/>
    <w:rsid w:val="003D1181"/>
    <w:rsid w:val="003D16C6"/>
    <w:rsid w:val="003D2A81"/>
    <w:rsid w:val="003D41D9"/>
    <w:rsid w:val="003D42E4"/>
    <w:rsid w:val="003D487B"/>
    <w:rsid w:val="003D6031"/>
    <w:rsid w:val="003D77DF"/>
    <w:rsid w:val="003E0790"/>
    <w:rsid w:val="003E3A29"/>
    <w:rsid w:val="003E3B0E"/>
    <w:rsid w:val="003E463A"/>
    <w:rsid w:val="003E581F"/>
    <w:rsid w:val="003E67CC"/>
    <w:rsid w:val="003E786E"/>
    <w:rsid w:val="003F15E3"/>
    <w:rsid w:val="003F1CEB"/>
    <w:rsid w:val="003F2611"/>
    <w:rsid w:val="003F28DF"/>
    <w:rsid w:val="003F4019"/>
    <w:rsid w:val="003F5941"/>
    <w:rsid w:val="003F708E"/>
    <w:rsid w:val="00401C83"/>
    <w:rsid w:val="0040225B"/>
    <w:rsid w:val="004029FF"/>
    <w:rsid w:val="00402BE9"/>
    <w:rsid w:val="0040300E"/>
    <w:rsid w:val="0040348E"/>
    <w:rsid w:val="00404C14"/>
    <w:rsid w:val="00405145"/>
    <w:rsid w:val="00405C95"/>
    <w:rsid w:val="004060E5"/>
    <w:rsid w:val="00406A7B"/>
    <w:rsid w:val="00410023"/>
    <w:rsid w:val="0041016D"/>
    <w:rsid w:val="00410894"/>
    <w:rsid w:val="00410A8F"/>
    <w:rsid w:val="00411233"/>
    <w:rsid w:val="004112E0"/>
    <w:rsid w:val="00411EEB"/>
    <w:rsid w:val="004122E9"/>
    <w:rsid w:val="004138BB"/>
    <w:rsid w:val="004142C0"/>
    <w:rsid w:val="00414B8A"/>
    <w:rsid w:val="00420956"/>
    <w:rsid w:val="0042185E"/>
    <w:rsid w:val="004242B4"/>
    <w:rsid w:val="004244D1"/>
    <w:rsid w:val="00424589"/>
    <w:rsid w:val="004248D7"/>
    <w:rsid w:val="0042500E"/>
    <w:rsid w:val="00425A30"/>
    <w:rsid w:val="00425A76"/>
    <w:rsid w:val="00425FD9"/>
    <w:rsid w:val="0042632F"/>
    <w:rsid w:val="00426C4A"/>
    <w:rsid w:val="00426C50"/>
    <w:rsid w:val="00427106"/>
    <w:rsid w:val="00427652"/>
    <w:rsid w:val="00430622"/>
    <w:rsid w:val="00430726"/>
    <w:rsid w:val="00430748"/>
    <w:rsid w:val="00430AEB"/>
    <w:rsid w:val="004323C2"/>
    <w:rsid w:val="0043333C"/>
    <w:rsid w:val="00433400"/>
    <w:rsid w:val="004338DA"/>
    <w:rsid w:val="004342A5"/>
    <w:rsid w:val="00437171"/>
    <w:rsid w:val="00440AAF"/>
    <w:rsid w:val="00440E2A"/>
    <w:rsid w:val="00441246"/>
    <w:rsid w:val="00441430"/>
    <w:rsid w:val="00441893"/>
    <w:rsid w:val="00441965"/>
    <w:rsid w:val="00441A98"/>
    <w:rsid w:val="00441F0D"/>
    <w:rsid w:val="00442A43"/>
    <w:rsid w:val="00442F0C"/>
    <w:rsid w:val="00442FA2"/>
    <w:rsid w:val="004430F5"/>
    <w:rsid w:val="00444373"/>
    <w:rsid w:val="00444BDF"/>
    <w:rsid w:val="00444D4B"/>
    <w:rsid w:val="00445029"/>
    <w:rsid w:val="004463A3"/>
    <w:rsid w:val="00446702"/>
    <w:rsid w:val="00446705"/>
    <w:rsid w:val="00446B9B"/>
    <w:rsid w:val="00447172"/>
    <w:rsid w:val="00450355"/>
    <w:rsid w:val="00450C8A"/>
    <w:rsid w:val="00452C4B"/>
    <w:rsid w:val="00452F06"/>
    <w:rsid w:val="00453C7D"/>
    <w:rsid w:val="00453E00"/>
    <w:rsid w:val="00454367"/>
    <w:rsid w:val="00455120"/>
    <w:rsid w:val="00456615"/>
    <w:rsid w:val="00456991"/>
    <w:rsid w:val="004606C7"/>
    <w:rsid w:val="0046236E"/>
    <w:rsid w:val="00462D84"/>
    <w:rsid w:val="004635DA"/>
    <w:rsid w:val="00465368"/>
    <w:rsid w:val="00465CB2"/>
    <w:rsid w:val="0046734E"/>
    <w:rsid w:val="004701FE"/>
    <w:rsid w:val="004706A3"/>
    <w:rsid w:val="00470DDF"/>
    <w:rsid w:val="004712DA"/>
    <w:rsid w:val="0047141F"/>
    <w:rsid w:val="004714C9"/>
    <w:rsid w:val="00472D53"/>
    <w:rsid w:val="00472D79"/>
    <w:rsid w:val="004735F7"/>
    <w:rsid w:val="0047393B"/>
    <w:rsid w:val="00475016"/>
    <w:rsid w:val="004759B3"/>
    <w:rsid w:val="00476AF9"/>
    <w:rsid w:val="0047770B"/>
    <w:rsid w:val="0048074B"/>
    <w:rsid w:val="00481B5E"/>
    <w:rsid w:val="00481D0A"/>
    <w:rsid w:val="00484B04"/>
    <w:rsid w:val="00485625"/>
    <w:rsid w:val="00485A81"/>
    <w:rsid w:val="00485AC7"/>
    <w:rsid w:val="00485F6B"/>
    <w:rsid w:val="00486357"/>
    <w:rsid w:val="00486E89"/>
    <w:rsid w:val="0048790B"/>
    <w:rsid w:val="00487B2A"/>
    <w:rsid w:val="00487C2B"/>
    <w:rsid w:val="00487D25"/>
    <w:rsid w:val="00487FFC"/>
    <w:rsid w:val="00490D62"/>
    <w:rsid w:val="00490F65"/>
    <w:rsid w:val="00491245"/>
    <w:rsid w:val="00492298"/>
    <w:rsid w:val="004931EA"/>
    <w:rsid w:val="00493702"/>
    <w:rsid w:val="00493918"/>
    <w:rsid w:val="0049489B"/>
    <w:rsid w:val="00494CCB"/>
    <w:rsid w:val="00497493"/>
    <w:rsid w:val="004A1247"/>
    <w:rsid w:val="004A1335"/>
    <w:rsid w:val="004A1E44"/>
    <w:rsid w:val="004A2749"/>
    <w:rsid w:val="004A39ED"/>
    <w:rsid w:val="004A3FB1"/>
    <w:rsid w:val="004A4B7C"/>
    <w:rsid w:val="004A555A"/>
    <w:rsid w:val="004A589B"/>
    <w:rsid w:val="004A5988"/>
    <w:rsid w:val="004A69CA"/>
    <w:rsid w:val="004A7ED6"/>
    <w:rsid w:val="004B005A"/>
    <w:rsid w:val="004B03B0"/>
    <w:rsid w:val="004B068F"/>
    <w:rsid w:val="004B110E"/>
    <w:rsid w:val="004B111E"/>
    <w:rsid w:val="004B1285"/>
    <w:rsid w:val="004B1467"/>
    <w:rsid w:val="004B3397"/>
    <w:rsid w:val="004B35F3"/>
    <w:rsid w:val="004B4566"/>
    <w:rsid w:val="004B4D5F"/>
    <w:rsid w:val="004B57F4"/>
    <w:rsid w:val="004B6402"/>
    <w:rsid w:val="004B7EBF"/>
    <w:rsid w:val="004C1663"/>
    <w:rsid w:val="004C3C7C"/>
    <w:rsid w:val="004C44A4"/>
    <w:rsid w:val="004C4AE5"/>
    <w:rsid w:val="004C4FDB"/>
    <w:rsid w:val="004C5B9D"/>
    <w:rsid w:val="004C6526"/>
    <w:rsid w:val="004C65DE"/>
    <w:rsid w:val="004C66EB"/>
    <w:rsid w:val="004C6FD2"/>
    <w:rsid w:val="004C7034"/>
    <w:rsid w:val="004D01FC"/>
    <w:rsid w:val="004D05F5"/>
    <w:rsid w:val="004D0AE3"/>
    <w:rsid w:val="004D12B6"/>
    <w:rsid w:val="004D17C4"/>
    <w:rsid w:val="004D243C"/>
    <w:rsid w:val="004D3FCB"/>
    <w:rsid w:val="004D42B2"/>
    <w:rsid w:val="004D47BB"/>
    <w:rsid w:val="004D4D6D"/>
    <w:rsid w:val="004D5F4E"/>
    <w:rsid w:val="004D663A"/>
    <w:rsid w:val="004D67F7"/>
    <w:rsid w:val="004D6D72"/>
    <w:rsid w:val="004D764D"/>
    <w:rsid w:val="004D7ADE"/>
    <w:rsid w:val="004D7E12"/>
    <w:rsid w:val="004E22CE"/>
    <w:rsid w:val="004E3102"/>
    <w:rsid w:val="004E318D"/>
    <w:rsid w:val="004E33F1"/>
    <w:rsid w:val="004E3C75"/>
    <w:rsid w:val="004E3F2C"/>
    <w:rsid w:val="004E5548"/>
    <w:rsid w:val="004E67FA"/>
    <w:rsid w:val="004E6BDA"/>
    <w:rsid w:val="004E6FB0"/>
    <w:rsid w:val="004F0E84"/>
    <w:rsid w:val="004F1C9F"/>
    <w:rsid w:val="004F1D96"/>
    <w:rsid w:val="004F37E2"/>
    <w:rsid w:val="004F3A16"/>
    <w:rsid w:val="004F3B4C"/>
    <w:rsid w:val="004F3CAF"/>
    <w:rsid w:val="004F586D"/>
    <w:rsid w:val="004F685B"/>
    <w:rsid w:val="004F6D75"/>
    <w:rsid w:val="004F7C30"/>
    <w:rsid w:val="00500265"/>
    <w:rsid w:val="005002D0"/>
    <w:rsid w:val="00500527"/>
    <w:rsid w:val="00500922"/>
    <w:rsid w:val="00505B5D"/>
    <w:rsid w:val="005062ED"/>
    <w:rsid w:val="0050777D"/>
    <w:rsid w:val="00507F45"/>
    <w:rsid w:val="005127FB"/>
    <w:rsid w:val="005132D2"/>
    <w:rsid w:val="00514A4E"/>
    <w:rsid w:val="005152E4"/>
    <w:rsid w:val="00515A09"/>
    <w:rsid w:val="005165AE"/>
    <w:rsid w:val="005169C6"/>
    <w:rsid w:val="00517677"/>
    <w:rsid w:val="00517954"/>
    <w:rsid w:val="00520EA5"/>
    <w:rsid w:val="00521BBD"/>
    <w:rsid w:val="0052238E"/>
    <w:rsid w:val="005226B1"/>
    <w:rsid w:val="005226C3"/>
    <w:rsid w:val="00523BF5"/>
    <w:rsid w:val="00524D11"/>
    <w:rsid w:val="00527962"/>
    <w:rsid w:val="00527D98"/>
    <w:rsid w:val="005305F4"/>
    <w:rsid w:val="00530CF6"/>
    <w:rsid w:val="005323ED"/>
    <w:rsid w:val="00532E26"/>
    <w:rsid w:val="00533BC9"/>
    <w:rsid w:val="00533E5A"/>
    <w:rsid w:val="0053408B"/>
    <w:rsid w:val="0053461F"/>
    <w:rsid w:val="0053605D"/>
    <w:rsid w:val="005404AF"/>
    <w:rsid w:val="00540740"/>
    <w:rsid w:val="005418D8"/>
    <w:rsid w:val="0054245D"/>
    <w:rsid w:val="0054296D"/>
    <w:rsid w:val="00542D38"/>
    <w:rsid w:val="00542F88"/>
    <w:rsid w:val="00545A85"/>
    <w:rsid w:val="00545ED7"/>
    <w:rsid w:val="00545EEB"/>
    <w:rsid w:val="005462DF"/>
    <w:rsid w:val="0054673E"/>
    <w:rsid w:val="00547094"/>
    <w:rsid w:val="00547C44"/>
    <w:rsid w:val="00547C79"/>
    <w:rsid w:val="00550006"/>
    <w:rsid w:val="00552D23"/>
    <w:rsid w:val="00553407"/>
    <w:rsid w:val="0055391A"/>
    <w:rsid w:val="00554537"/>
    <w:rsid w:val="00556616"/>
    <w:rsid w:val="00561C16"/>
    <w:rsid w:val="00561CC4"/>
    <w:rsid w:val="0056209D"/>
    <w:rsid w:val="005621E8"/>
    <w:rsid w:val="00562669"/>
    <w:rsid w:val="0056291F"/>
    <w:rsid w:val="00562BB9"/>
    <w:rsid w:val="00562BD9"/>
    <w:rsid w:val="00563399"/>
    <w:rsid w:val="00563FC6"/>
    <w:rsid w:val="005647F4"/>
    <w:rsid w:val="00564E3A"/>
    <w:rsid w:val="005666C2"/>
    <w:rsid w:val="0056688B"/>
    <w:rsid w:val="00567DA1"/>
    <w:rsid w:val="0057124D"/>
    <w:rsid w:val="00573659"/>
    <w:rsid w:val="00574553"/>
    <w:rsid w:val="00575401"/>
    <w:rsid w:val="00577927"/>
    <w:rsid w:val="0058096C"/>
    <w:rsid w:val="00581501"/>
    <w:rsid w:val="00583C1B"/>
    <w:rsid w:val="0058452B"/>
    <w:rsid w:val="0058600F"/>
    <w:rsid w:val="00587598"/>
    <w:rsid w:val="00590983"/>
    <w:rsid w:val="00590C52"/>
    <w:rsid w:val="00590E26"/>
    <w:rsid w:val="00591BDA"/>
    <w:rsid w:val="00591CC9"/>
    <w:rsid w:val="00594F60"/>
    <w:rsid w:val="00595227"/>
    <w:rsid w:val="00595E08"/>
    <w:rsid w:val="005971D5"/>
    <w:rsid w:val="005972AE"/>
    <w:rsid w:val="0059754E"/>
    <w:rsid w:val="00597A7B"/>
    <w:rsid w:val="00597B0C"/>
    <w:rsid w:val="005A0DD8"/>
    <w:rsid w:val="005A1B94"/>
    <w:rsid w:val="005A2792"/>
    <w:rsid w:val="005A2D5C"/>
    <w:rsid w:val="005A315B"/>
    <w:rsid w:val="005A442E"/>
    <w:rsid w:val="005A591A"/>
    <w:rsid w:val="005B0FB6"/>
    <w:rsid w:val="005B11FD"/>
    <w:rsid w:val="005B2743"/>
    <w:rsid w:val="005B38D0"/>
    <w:rsid w:val="005B38D1"/>
    <w:rsid w:val="005B3AE8"/>
    <w:rsid w:val="005B5110"/>
    <w:rsid w:val="005B65FA"/>
    <w:rsid w:val="005C0374"/>
    <w:rsid w:val="005C0728"/>
    <w:rsid w:val="005C1B90"/>
    <w:rsid w:val="005C22B7"/>
    <w:rsid w:val="005C32AF"/>
    <w:rsid w:val="005C37C3"/>
    <w:rsid w:val="005C3965"/>
    <w:rsid w:val="005C441B"/>
    <w:rsid w:val="005C4827"/>
    <w:rsid w:val="005C52A0"/>
    <w:rsid w:val="005C65D4"/>
    <w:rsid w:val="005C71DF"/>
    <w:rsid w:val="005C730A"/>
    <w:rsid w:val="005D0424"/>
    <w:rsid w:val="005D0A03"/>
    <w:rsid w:val="005D1BBD"/>
    <w:rsid w:val="005D2AD3"/>
    <w:rsid w:val="005D3F79"/>
    <w:rsid w:val="005D53EA"/>
    <w:rsid w:val="005D583A"/>
    <w:rsid w:val="005D5898"/>
    <w:rsid w:val="005D5BD4"/>
    <w:rsid w:val="005D6392"/>
    <w:rsid w:val="005E0955"/>
    <w:rsid w:val="005E34BC"/>
    <w:rsid w:val="005E380C"/>
    <w:rsid w:val="005E4E73"/>
    <w:rsid w:val="005E60C5"/>
    <w:rsid w:val="005E6762"/>
    <w:rsid w:val="005E7C9A"/>
    <w:rsid w:val="005F3F87"/>
    <w:rsid w:val="005F43A8"/>
    <w:rsid w:val="005F490E"/>
    <w:rsid w:val="005F622C"/>
    <w:rsid w:val="00600388"/>
    <w:rsid w:val="0060065C"/>
    <w:rsid w:val="0060089C"/>
    <w:rsid w:val="00600CFF"/>
    <w:rsid w:val="006019E3"/>
    <w:rsid w:val="00601FAF"/>
    <w:rsid w:val="0060206B"/>
    <w:rsid w:val="00604B7C"/>
    <w:rsid w:val="00604EF5"/>
    <w:rsid w:val="00605369"/>
    <w:rsid w:val="00606171"/>
    <w:rsid w:val="0060732F"/>
    <w:rsid w:val="0061386A"/>
    <w:rsid w:val="00613DE6"/>
    <w:rsid w:val="006145BB"/>
    <w:rsid w:val="00614FB5"/>
    <w:rsid w:val="00615ADC"/>
    <w:rsid w:val="00616EAB"/>
    <w:rsid w:val="00617D09"/>
    <w:rsid w:val="0062129B"/>
    <w:rsid w:val="00621ED7"/>
    <w:rsid w:val="00621F89"/>
    <w:rsid w:val="006222B1"/>
    <w:rsid w:val="006227E8"/>
    <w:rsid w:val="00622C0F"/>
    <w:rsid w:val="00622D8A"/>
    <w:rsid w:val="00623095"/>
    <w:rsid w:val="00625717"/>
    <w:rsid w:val="0062708F"/>
    <w:rsid w:val="00631ABE"/>
    <w:rsid w:val="00632BEA"/>
    <w:rsid w:val="00633BA5"/>
    <w:rsid w:val="00636506"/>
    <w:rsid w:val="006374B6"/>
    <w:rsid w:val="00641CA1"/>
    <w:rsid w:val="00642BC1"/>
    <w:rsid w:val="00642F0A"/>
    <w:rsid w:val="00644F0A"/>
    <w:rsid w:val="00645131"/>
    <w:rsid w:val="00645E6A"/>
    <w:rsid w:val="006469F2"/>
    <w:rsid w:val="00647835"/>
    <w:rsid w:val="00650075"/>
    <w:rsid w:val="00651681"/>
    <w:rsid w:val="006523EC"/>
    <w:rsid w:val="0065246D"/>
    <w:rsid w:val="00653A22"/>
    <w:rsid w:val="00654887"/>
    <w:rsid w:val="00654E6C"/>
    <w:rsid w:val="00655C15"/>
    <w:rsid w:val="00655DA9"/>
    <w:rsid w:val="00655F1B"/>
    <w:rsid w:val="006579E5"/>
    <w:rsid w:val="00657FD5"/>
    <w:rsid w:val="006603DB"/>
    <w:rsid w:val="00660887"/>
    <w:rsid w:val="006610E9"/>
    <w:rsid w:val="006613C4"/>
    <w:rsid w:val="006624E3"/>
    <w:rsid w:val="00664DAA"/>
    <w:rsid w:val="00666067"/>
    <w:rsid w:val="0066612D"/>
    <w:rsid w:val="00666D1B"/>
    <w:rsid w:val="00666EA2"/>
    <w:rsid w:val="006670EF"/>
    <w:rsid w:val="00670469"/>
    <w:rsid w:val="006704F9"/>
    <w:rsid w:val="00672828"/>
    <w:rsid w:val="00674491"/>
    <w:rsid w:val="006750E8"/>
    <w:rsid w:val="006751C2"/>
    <w:rsid w:val="00675C4B"/>
    <w:rsid w:val="006776E5"/>
    <w:rsid w:val="00680106"/>
    <w:rsid w:val="00680B5D"/>
    <w:rsid w:val="00681933"/>
    <w:rsid w:val="0068261D"/>
    <w:rsid w:val="006834AF"/>
    <w:rsid w:val="006835F8"/>
    <w:rsid w:val="00683CE0"/>
    <w:rsid w:val="006855D9"/>
    <w:rsid w:val="00687085"/>
    <w:rsid w:val="006874DC"/>
    <w:rsid w:val="0069007F"/>
    <w:rsid w:val="00690932"/>
    <w:rsid w:val="00690A6F"/>
    <w:rsid w:val="00690D92"/>
    <w:rsid w:val="00690E0E"/>
    <w:rsid w:val="00691982"/>
    <w:rsid w:val="00693358"/>
    <w:rsid w:val="006934EB"/>
    <w:rsid w:val="00693F65"/>
    <w:rsid w:val="00693FE5"/>
    <w:rsid w:val="0069486F"/>
    <w:rsid w:val="00694F7B"/>
    <w:rsid w:val="0069596D"/>
    <w:rsid w:val="0069647A"/>
    <w:rsid w:val="00696931"/>
    <w:rsid w:val="00697704"/>
    <w:rsid w:val="006A002F"/>
    <w:rsid w:val="006A16EF"/>
    <w:rsid w:val="006A1C4C"/>
    <w:rsid w:val="006A37DD"/>
    <w:rsid w:val="006A44ED"/>
    <w:rsid w:val="006A4618"/>
    <w:rsid w:val="006A4907"/>
    <w:rsid w:val="006A5CB1"/>
    <w:rsid w:val="006A7751"/>
    <w:rsid w:val="006A777B"/>
    <w:rsid w:val="006B1318"/>
    <w:rsid w:val="006B3EB0"/>
    <w:rsid w:val="006B455A"/>
    <w:rsid w:val="006B5167"/>
    <w:rsid w:val="006B54FE"/>
    <w:rsid w:val="006B5D70"/>
    <w:rsid w:val="006B6C69"/>
    <w:rsid w:val="006B732A"/>
    <w:rsid w:val="006C130F"/>
    <w:rsid w:val="006C17BD"/>
    <w:rsid w:val="006C3147"/>
    <w:rsid w:val="006C3F35"/>
    <w:rsid w:val="006C4A19"/>
    <w:rsid w:val="006C53B9"/>
    <w:rsid w:val="006C5BE9"/>
    <w:rsid w:val="006C6E1D"/>
    <w:rsid w:val="006D052D"/>
    <w:rsid w:val="006D1238"/>
    <w:rsid w:val="006D27DC"/>
    <w:rsid w:val="006D2C6B"/>
    <w:rsid w:val="006D39FA"/>
    <w:rsid w:val="006D3CF5"/>
    <w:rsid w:val="006D48FA"/>
    <w:rsid w:val="006D4D21"/>
    <w:rsid w:val="006D70A6"/>
    <w:rsid w:val="006D7D97"/>
    <w:rsid w:val="006E064D"/>
    <w:rsid w:val="006E2FE0"/>
    <w:rsid w:val="006E3949"/>
    <w:rsid w:val="006E39C7"/>
    <w:rsid w:val="006E42F7"/>
    <w:rsid w:val="006E4ADF"/>
    <w:rsid w:val="006E51A9"/>
    <w:rsid w:val="006E76BF"/>
    <w:rsid w:val="006F0018"/>
    <w:rsid w:val="006F042C"/>
    <w:rsid w:val="006F0BC0"/>
    <w:rsid w:val="006F2732"/>
    <w:rsid w:val="006F76A2"/>
    <w:rsid w:val="00700949"/>
    <w:rsid w:val="007010A2"/>
    <w:rsid w:val="00701814"/>
    <w:rsid w:val="007021F5"/>
    <w:rsid w:val="007034A8"/>
    <w:rsid w:val="007035A0"/>
    <w:rsid w:val="0070477C"/>
    <w:rsid w:val="00704EC7"/>
    <w:rsid w:val="007062F6"/>
    <w:rsid w:val="00706F09"/>
    <w:rsid w:val="00707CD7"/>
    <w:rsid w:val="007102DF"/>
    <w:rsid w:val="0071180D"/>
    <w:rsid w:val="007119C8"/>
    <w:rsid w:val="00711B87"/>
    <w:rsid w:val="00712443"/>
    <w:rsid w:val="007151F3"/>
    <w:rsid w:val="007163BE"/>
    <w:rsid w:val="00716D71"/>
    <w:rsid w:val="00716F88"/>
    <w:rsid w:val="00722813"/>
    <w:rsid w:val="00723051"/>
    <w:rsid w:val="0072317E"/>
    <w:rsid w:val="00723732"/>
    <w:rsid w:val="00724721"/>
    <w:rsid w:val="00724F56"/>
    <w:rsid w:val="00725064"/>
    <w:rsid w:val="007257DB"/>
    <w:rsid w:val="007260CF"/>
    <w:rsid w:val="007315DF"/>
    <w:rsid w:val="00731A61"/>
    <w:rsid w:val="00732AE9"/>
    <w:rsid w:val="0073373B"/>
    <w:rsid w:val="00733756"/>
    <w:rsid w:val="00734DE3"/>
    <w:rsid w:val="007372B3"/>
    <w:rsid w:val="00737A90"/>
    <w:rsid w:val="0074013E"/>
    <w:rsid w:val="00740CB6"/>
    <w:rsid w:val="0074175C"/>
    <w:rsid w:val="007424AC"/>
    <w:rsid w:val="00743616"/>
    <w:rsid w:val="007478DA"/>
    <w:rsid w:val="007504B6"/>
    <w:rsid w:val="00752388"/>
    <w:rsid w:val="00752E39"/>
    <w:rsid w:val="00754714"/>
    <w:rsid w:val="00754E5F"/>
    <w:rsid w:val="00757446"/>
    <w:rsid w:val="00760241"/>
    <w:rsid w:val="00760403"/>
    <w:rsid w:val="0076041A"/>
    <w:rsid w:val="00761ECB"/>
    <w:rsid w:val="0076336E"/>
    <w:rsid w:val="0076383D"/>
    <w:rsid w:val="0076487F"/>
    <w:rsid w:val="007654BE"/>
    <w:rsid w:val="0077150A"/>
    <w:rsid w:val="00772158"/>
    <w:rsid w:val="007721D4"/>
    <w:rsid w:val="00772AC4"/>
    <w:rsid w:val="00773FA1"/>
    <w:rsid w:val="007744C6"/>
    <w:rsid w:val="00775BA4"/>
    <w:rsid w:val="0078117B"/>
    <w:rsid w:val="0078254D"/>
    <w:rsid w:val="0078298D"/>
    <w:rsid w:val="00784EBB"/>
    <w:rsid w:val="00785363"/>
    <w:rsid w:val="00786526"/>
    <w:rsid w:val="007865A5"/>
    <w:rsid w:val="00787127"/>
    <w:rsid w:val="00787B7E"/>
    <w:rsid w:val="00790980"/>
    <w:rsid w:val="00790D03"/>
    <w:rsid w:val="00791BFA"/>
    <w:rsid w:val="007927CC"/>
    <w:rsid w:val="00792F1E"/>
    <w:rsid w:val="007940D1"/>
    <w:rsid w:val="00794E2E"/>
    <w:rsid w:val="007952AB"/>
    <w:rsid w:val="007963E5"/>
    <w:rsid w:val="00797612"/>
    <w:rsid w:val="00797888"/>
    <w:rsid w:val="007A10D5"/>
    <w:rsid w:val="007A4C70"/>
    <w:rsid w:val="007A53CC"/>
    <w:rsid w:val="007A54D4"/>
    <w:rsid w:val="007A5594"/>
    <w:rsid w:val="007A6CA2"/>
    <w:rsid w:val="007A7AE2"/>
    <w:rsid w:val="007A7E00"/>
    <w:rsid w:val="007A7E35"/>
    <w:rsid w:val="007B0A04"/>
    <w:rsid w:val="007B18E8"/>
    <w:rsid w:val="007B2016"/>
    <w:rsid w:val="007B296B"/>
    <w:rsid w:val="007B3B55"/>
    <w:rsid w:val="007B41A6"/>
    <w:rsid w:val="007B4433"/>
    <w:rsid w:val="007B53B9"/>
    <w:rsid w:val="007B78E5"/>
    <w:rsid w:val="007B7B82"/>
    <w:rsid w:val="007C0D4A"/>
    <w:rsid w:val="007C2C58"/>
    <w:rsid w:val="007C2F80"/>
    <w:rsid w:val="007C62AF"/>
    <w:rsid w:val="007C6668"/>
    <w:rsid w:val="007D04D2"/>
    <w:rsid w:val="007D06FE"/>
    <w:rsid w:val="007D1D9F"/>
    <w:rsid w:val="007D36B6"/>
    <w:rsid w:val="007D4DAA"/>
    <w:rsid w:val="007D54A5"/>
    <w:rsid w:val="007D6456"/>
    <w:rsid w:val="007D6F79"/>
    <w:rsid w:val="007E0439"/>
    <w:rsid w:val="007E0D94"/>
    <w:rsid w:val="007E12BE"/>
    <w:rsid w:val="007E38A0"/>
    <w:rsid w:val="007E4016"/>
    <w:rsid w:val="007E4464"/>
    <w:rsid w:val="007E5738"/>
    <w:rsid w:val="007E5E67"/>
    <w:rsid w:val="007E6236"/>
    <w:rsid w:val="007E6EBA"/>
    <w:rsid w:val="007E6ECE"/>
    <w:rsid w:val="007E7052"/>
    <w:rsid w:val="007E71D2"/>
    <w:rsid w:val="007F221D"/>
    <w:rsid w:val="007F2FF2"/>
    <w:rsid w:val="007F40D2"/>
    <w:rsid w:val="007F4EDF"/>
    <w:rsid w:val="007F56F7"/>
    <w:rsid w:val="007F5DD5"/>
    <w:rsid w:val="007F689E"/>
    <w:rsid w:val="007F68FD"/>
    <w:rsid w:val="007F75E3"/>
    <w:rsid w:val="00800326"/>
    <w:rsid w:val="00800E91"/>
    <w:rsid w:val="00801D78"/>
    <w:rsid w:val="008030D7"/>
    <w:rsid w:val="008043B3"/>
    <w:rsid w:val="00805186"/>
    <w:rsid w:val="008053EE"/>
    <w:rsid w:val="00807225"/>
    <w:rsid w:val="008075F9"/>
    <w:rsid w:val="00807D21"/>
    <w:rsid w:val="00810135"/>
    <w:rsid w:val="00811CDC"/>
    <w:rsid w:val="008135FC"/>
    <w:rsid w:val="008144E3"/>
    <w:rsid w:val="008168F1"/>
    <w:rsid w:val="008169FF"/>
    <w:rsid w:val="0081775B"/>
    <w:rsid w:val="008208F5"/>
    <w:rsid w:val="00820A83"/>
    <w:rsid w:val="008211AC"/>
    <w:rsid w:val="008218D8"/>
    <w:rsid w:val="00823B03"/>
    <w:rsid w:val="00825298"/>
    <w:rsid w:val="008261E4"/>
    <w:rsid w:val="0082641D"/>
    <w:rsid w:val="00826926"/>
    <w:rsid w:val="00827829"/>
    <w:rsid w:val="00827C84"/>
    <w:rsid w:val="00827E63"/>
    <w:rsid w:val="00830146"/>
    <w:rsid w:val="00830668"/>
    <w:rsid w:val="00830BA7"/>
    <w:rsid w:val="00833888"/>
    <w:rsid w:val="00833CEE"/>
    <w:rsid w:val="00834AEA"/>
    <w:rsid w:val="00834F2D"/>
    <w:rsid w:val="00835D63"/>
    <w:rsid w:val="00836653"/>
    <w:rsid w:val="008367B6"/>
    <w:rsid w:val="00840B41"/>
    <w:rsid w:val="00841BDB"/>
    <w:rsid w:val="00841F2E"/>
    <w:rsid w:val="00842664"/>
    <w:rsid w:val="008438E7"/>
    <w:rsid w:val="00843913"/>
    <w:rsid w:val="0084553E"/>
    <w:rsid w:val="00845B90"/>
    <w:rsid w:val="00847007"/>
    <w:rsid w:val="00847A72"/>
    <w:rsid w:val="008513A4"/>
    <w:rsid w:val="00851936"/>
    <w:rsid w:val="00852148"/>
    <w:rsid w:val="008523BA"/>
    <w:rsid w:val="0085272A"/>
    <w:rsid w:val="00853275"/>
    <w:rsid w:val="00855668"/>
    <w:rsid w:val="008574DA"/>
    <w:rsid w:val="00860812"/>
    <w:rsid w:val="00862690"/>
    <w:rsid w:val="008632EA"/>
    <w:rsid w:val="008635F3"/>
    <w:rsid w:val="00863A11"/>
    <w:rsid w:val="00863AC8"/>
    <w:rsid w:val="00865B8F"/>
    <w:rsid w:val="0086669E"/>
    <w:rsid w:val="00867CFC"/>
    <w:rsid w:val="0087052D"/>
    <w:rsid w:val="00870C55"/>
    <w:rsid w:val="00870D0D"/>
    <w:rsid w:val="008720A1"/>
    <w:rsid w:val="00872C19"/>
    <w:rsid w:val="00873CAF"/>
    <w:rsid w:val="00874226"/>
    <w:rsid w:val="00875730"/>
    <w:rsid w:val="0087574A"/>
    <w:rsid w:val="0087641E"/>
    <w:rsid w:val="00876F18"/>
    <w:rsid w:val="00877066"/>
    <w:rsid w:val="00877C3A"/>
    <w:rsid w:val="00877FA3"/>
    <w:rsid w:val="0088057F"/>
    <w:rsid w:val="00882025"/>
    <w:rsid w:val="008840D4"/>
    <w:rsid w:val="008841F0"/>
    <w:rsid w:val="00884583"/>
    <w:rsid w:val="00891192"/>
    <w:rsid w:val="00892291"/>
    <w:rsid w:val="00892EB1"/>
    <w:rsid w:val="00896D29"/>
    <w:rsid w:val="00896D9D"/>
    <w:rsid w:val="008974B3"/>
    <w:rsid w:val="0089780D"/>
    <w:rsid w:val="008A0715"/>
    <w:rsid w:val="008A07BE"/>
    <w:rsid w:val="008A0AF3"/>
    <w:rsid w:val="008A1530"/>
    <w:rsid w:val="008A17AA"/>
    <w:rsid w:val="008A266B"/>
    <w:rsid w:val="008A2B60"/>
    <w:rsid w:val="008A32ED"/>
    <w:rsid w:val="008A366A"/>
    <w:rsid w:val="008A49D9"/>
    <w:rsid w:val="008A524E"/>
    <w:rsid w:val="008A5767"/>
    <w:rsid w:val="008A5FC8"/>
    <w:rsid w:val="008A60E2"/>
    <w:rsid w:val="008A6F04"/>
    <w:rsid w:val="008A70B7"/>
    <w:rsid w:val="008A7CA0"/>
    <w:rsid w:val="008A7D7C"/>
    <w:rsid w:val="008B00F1"/>
    <w:rsid w:val="008B0C31"/>
    <w:rsid w:val="008B1195"/>
    <w:rsid w:val="008B19C0"/>
    <w:rsid w:val="008B1A22"/>
    <w:rsid w:val="008B229C"/>
    <w:rsid w:val="008B26FF"/>
    <w:rsid w:val="008B2A96"/>
    <w:rsid w:val="008B2EF3"/>
    <w:rsid w:val="008B3538"/>
    <w:rsid w:val="008B3F39"/>
    <w:rsid w:val="008B400A"/>
    <w:rsid w:val="008B40D0"/>
    <w:rsid w:val="008B455D"/>
    <w:rsid w:val="008B4C88"/>
    <w:rsid w:val="008B4D95"/>
    <w:rsid w:val="008B5BA5"/>
    <w:rsid w:val="008B725B"/>
    <w:rsid w:val="008C0241"/>
    <w:rsid w:val="008C0DFD"/>
    <w:rsid w:val="008C10BD"/>
    <w:rsid w:val="008C1D22"/>
    <w:rsid w:val="008C1F76"/>
    <w:rsid w:val="008C2026"/>
    <w:rsid w:val="008C24FD"/>
    <w:rsid w:val="008C3DAA"/>
    <w:rsid w:val="008C4CA6"/>
    <w:rsid w:val="008C5710"/>
    <w:rsid w:val="008C6499"/>
    <w:rsid w:val="008C7DDB"/>
    <w:rsid w:val="008C7EB0"/>
    <w:rsid w:val="008D013E"/>
    <w:rsid w:val="008D0DF2"/>
    <w:rsid w:val="008D1135"/>
    <w:rsid w:val="008D1C2D"/>
    <w:rsid w:val="008D2B8F"/>
    <w:rsid w:val="008D3016"/>
    <w:rsid w:val="008D332B"/>
    <w:rsid w:val="008D4914"/>
    <w:rsid w:val="008D6B7C"/>
    <w:rsid w:val="008D7B45"/>
    <w:rsid w:val="008E0701"/>
    <w:rsid w:val="008E0DBE"/>
    <w:rsid w:val="008E33E2"/>
    <w:rsid w:val="008E422A"/>
    <w:rsid w:val="008E57B6"/>
    <w:rsid w:val="008E5B2E"/>
    <w:rsid w:val="008E719A"/>
    <w:rsid w:val="008E75F0"/>
    <w:rsid w:val="008F04DF"/>
    <w:rsid w:val="008F085B"/>
    <w:rsid w:val="008F1B88"/>
    <w:rsid w:val="008F1D6B"/>
    <w:rsid w:val="008F1E11"/>
    <w:rsid w:val="008F23CB"/>
    <w:rsid w:val="008F3F0F"/>
    <w:rsid w:val="008F3FF1"/>
    <w:rsid w:val="008F7FC8"/>
    <w:rsid w:val="009005CB"/>
    <w:rsid w:val="009021D8"/>
    <w:rsid w:val="009029FC"/>
    <w:rsid w:val="00902E23"/>
    <w:rsid w:val="009030D6"/>
    <w:rsid w:val="009043D4"/>
    <w:rsid w:val="009063AA"/>
    <w:rsid w:val="00906621"/>
    <w:rsid w:val="00906ACD"/>
    <w:rsid w:val="009074AB"/>
    <w:rsid w:val="0091045E"/>
    <w:rsid w:val="00910C4B"/>
    <w:rsid w:val="00913E40"/>
    <w:rsid w:val="00914898"/>
    <w:rsid w:val="009148DA"/>
    <w:rsid w:val="00916EDF"/>
    <w:rsid w:val="00916F2E"/>
    <w:rsid w:val="00917007"/>
    <w:rsid w:val="0091772C"/>
    <w:rsid w:val="00917AA0"/>
    <w:rsid w:val="00917EAD"/>
    <w:rsid w:val="00920E80"/>
    <w:rsid w:val="009210EA"/>
    <w:rsid w:val="00923BEA"/>
    <w:rsid w:val="009241BE"/>
    <w:rsid w:val="00924E20"/>
    <w:rsid w:val="0092507D"/>
    <w:rsid w:val="00926181"/>
    <w:rsid w:val="0092713B"/>
    <w:rsid w:val="00927513"/>
    <w:rsid w:val="009279AF"/>
    <w:rsid w:val="00927EB8"/>
    <w:rsid w:val="00933016"/>
    <w:rsid w:val="00934497"/>
    <w:rsid w:val="00935155"/>
    <w:rsid w:val="00935A14"/>
    <w:rsid w:val="00935DFF"/>
    <w:rsid w:val="009363A3"/>
    <w:rsid w:val="009371D0"/>
    <w:rsid w:val="00937F8B"/>
    <w:rsid w:val="00940060"/>
    <w:rsid w:val="00940172"/>
    <w:rsid w:val="00941E28"/>
    <w:rsid w:val="0094257C"/>
    <w:rsid w:val="00942B16"/>
    <w:rsid w:val="00942DFB"/>
    <w:rsid w:val="00942FCB"/>
    <w:rsid w:val="00943435"/>
    <w:rsid w:val="00943480"/>
    <w:rsid w:val="00943726"/>
    <w:rsid w:val="00944963"/>
    <w:rsid w:val="00946434"/>
    <w:rsid w:val="00946580"/>
    <w:rsid w:val="00950E63"/>
    <w:rsid w:val="00950F32"/>
    <w:rsid w:val="009512B3"/>
    <w:rsid w:val="0095194C"/>
    <w:rsid w:val="009524DC"/>
    <w:rsid w:val="00952A53"/>
    <w:rsid w:val="009536FF"/>
    <w:rsid w:val="00953A43"/>
    <w:rsid w:val="00953EC6"/>
    <w:rsid w:val="00954170"/>
    <w:rsid w:val="00957F26"/>
    <w:rsid w:val="00960980"/>
    <w:rsid w:val="00960D66"/>
    <w:rsid w:val="0096139C"/>
    <w:rsid w:val="009629E0"/>
    <w:rsid w:val="009641D9"/>
    <w:rsid w:val="0096572A"/>
    <w:rsid w:val="00965BAA"/>
    <w:rsid w:val="00965CA9"/>
    <w:rsid w:val="00965D45"/>
    <w:rsid w:val="00966A18"/>
    <w:rsid w:val="00971648"/>
    <w:rsid w:val="009719DB"/>
    <w:rsid w:val="0097222E"/>
    <w:rsid w:val="009723C8"/>
    <w:rsid w:val="009752FC"/>
    <w:rsid w:val="00975FDD"/>
    <w:rsid w:val="00976707"/>
    <w:rsid w:val="009772D6"/>
    <w:rsid w:val="00980AD6"/>
    <w:rsid w:val="00981CD7"/>
    <w:rsid w:val="00981E78"/>
    <w:rsid w:val="00981F80"/>
    <w:rsid w:val="009820A7"/>
    <w:rsid w:val="0098251B"/>
    <w:rsid w:val="00982CF9"/>
    <w:rsid w:val="00983699"/>
    <w:rsid w:val="00983A85"/>
    <w:rsid w:val="00984062"/>
    <w:rsid w:val="00984A0D"/>
    <w:rsid w:val="009853C7"/>
    <w:rsid w:val="00985480"/>
    <w:rsid w:val="009857DE"/>
    <w:rsid w:val="00985E21"/>
    <w:rsid w:val="00985F72"/>
    <w:rsid w:val="00985FB6"/>
    <w:rsid w:val="00986190"/>
    <w:rsid w:val="009864A2"/>
    <w:rsid w:val="00986F87"/>
    <w:rsid w:val="00990909"/>
    <w:rsid w:val="00990954"/>
    <w:rsid w:val="00990BD8"/>
    <w:rsid w:val="00991E2B"/>
    <w:rsid w:val="00993834"/>
    <w:rsid w:val="009956DB"/>
    <w:rsid w:val="00995E12"/>
    <w:rsid w:val="009964F5"/>
    <w:rsid w:val="009966CC"/>
    <w:rsid w:val="009A0A00"/>
    <w:rsid w:val="009A2A95"/>
    <w:rsid w:val="009A3633"/>
    <w:rsid w:val="009A3819"/>
    <w:rsid w:val="009A4894"/>
    <w:rsid w:val="009A4FFE"/>
    <w:rsid w:val="009A6785"/>
    <w:rsid w:val="009A6F57"/>
    <w:rsid w:val="009A7040"/>
    <w:rsid w:val="009A7788"/>
    <w:rsid w:val="009A7B5A"/>
    <w:rsid w:val="009B071D"/>
    <w:rsid w:val="009B0AAF"/>
    <w:rsid w:val="009B0DD2"/>
    <w:rsid w:val="009B0E45"/>
    <w:rsid w:val="009B0E66"/>
    <w:rsid w:val="009B0EFA"/>
    <w:rsid w:val="009B2992"/>
    <w:rsid w:val="009B2B4D"/>
    <w:rsid w:val="009B4267"/>
    <w:rsid w:val="009B4A86"/>
    <w:rsid w:val="009B65D1"/>
    <w:rsid w:val="009C0E42"/>
    <w:rsid w:val="009C1383"/>
    <w:rsid w:val="009C18FB"/>
    <w:rsid w:val="009C2B7B"/>
    <w:rsid w:val="009C479B"/>
    <w:rsid w:val="009C507E"/>
    <w:rsid w:val="009C514C"/>
    <w:rsid w:val="009C5382"/>
    <w:rsid w:val="009C53B8"/>
    <w:rsid w:val="009C5454"/>
    <w:rsid w:val="009C5914"/>
    <w:rsid w:val="009C6356"/>
    <w:rsid w:val="009C7121"/>
    <w:rsid w:val="009C7A15"/>
    <w:rsid w:val="009C7C5B"/>
    <w:rsid w:val="009D1111"/>
    <w:rsid w:val="009D18C7"/>
    <w:rsid w:val="009D1F01"/>
    <w:rsid w:val="009D49C7"/>
    <w:rsid w:val="009D53ED"/>
    <w:rsid w:val="009D62D1"/>
    <w:rsid w:val="009E0987"/>
    <w:rsid w:val="009E175A"/>
    <w:rsid w:val="009E1972"/>
    <w:rsid w:val="009E1AE3"/>
    <w:rsid w:val="009E1C82"/>
    <w:rsid w:val="009E3688"/>
    <w:rsid w:val="009E3DBB"/>
    <w:rsid w:val="009E408F"/>
    <w:rsid w:val="009E415A"/>
    <w:rsid w:val="009E421B"/>
    <w:rsid w:val="009E4225"/>
    <w:rsid w:val="009E452D"/>
    <w:rsid w:val="009E4F1D"/>
    <w:rsid w:val="009E56CC"/>
    <w:rsid w:val="009E61BB"/>
    <w:rsid w:val="009E61C6"/>
    <w:rsid w:val="009E626B"/>
    <w:rsid w:val="009E7444"/>
    <w:rsid w:val="009E75C3"/>
    <w:rsid w:val="009E7C2C"/>
    <w:rsid w:val="009F0057"/>
    <w:rsid w:val="009F015C"/>
    <w:rsid w:val="009F0DF0"/>
    <w:rsid w:val="009F0E1E"/>
    <w:rsid w:val="009F1A9E"/>
    <w:rsid w:val="009F285E"/>
    <w:rsid w:val="009F423F"/>
    <w:rsid w:val="009F442B"/>
    <w:rsid w:val="009F4AF8"/>
    <w:rsid w:val="009F6088"/>
    <w:rsid w:val="00A01740"/>
    <w:rsid w:val="00A01CD6"/>
    <w:rsid w:val="00A02BA9"/>
    <w:rsid w:val="00A02F1F"/>
    <w:rsid w:val="00A03036"/>
    <w:rsid w:val="00A038BD"/>
    <w:rsid w:val="00A047FC"/>
    <w:rsid w:val="00A04A49"/>
    <w:rsid w:val="00A05E86"/>
    <w:rsid w:val="00A068A5"/>
    <w:rsid w:val="00A068D5"/>
    <w:rsid w:val="00A069EC"/>
    <w:rsid w:val="00A1035C"/>
    <w:rsid w:val="00A12228"/>
    <w:rsid w:val="00A124E0"/>
    <w:rsid w:val="00A132B4"/>
    <w:rsid w:val="00A13B59"/>
    <w:rsid w:val="00A148A2"/>
    <w:rsid w:val="00A14EAC"/>
    <w:rsid w:val="00A163C0"/>
    <w:rsid w:val="00A1654E"/>
    <w:rsid w:val="00A16F50"/>
    <w:rsid w:val="00A170FB"/>
    <w:rsid w:val="00A209BC"/>
    <w:rsid w:val="00A210B7"/>
    <w:rsid w:val="00A22313"/>
    <w:rsid w:val="00A224BC"/>
    <w:rsid w:val="00A227A0"/>
    <w:rsid w:val="00A22FA5"/>
    <w:rsid w:val="00A23CF3"/>
    <w:rsid w:val="00A24CCB"/>
    <w:rsid w:val="00A271D3"/>
    <w:rsid w:val="00A27B3A"/>
    <w:rsid w:val="00A30174"/>
    <w:rsid w:val="00A309C9"/>
    <w:rsid w:val="00A32D6B"/>
    <w:rsid w:val="00A357C4"/>
    <w:rsid w:val="00A361FF"/>
    <w:rsid w:val="00A365FF"/>
    <w:rsid w:val="00A37EA9"/>
    <w:rsid w:val="00A416F8"/>
    <w:rsid w:val="00A43E39"/>
    <w:rsid w:val="00A43E3A"/>
    <w:rsid w:val="00A450EA"/>
    <w:rsid w:val="00A4513B"/>
    <w:rsid w:val="00A45285"/>
    <w:rsid w:val="00A461A8"/>
    <w:rsid w:val="00A46EDE"/>
    <w:rsid w:val="00A4777C"/>
    <w:rsid w:val="00A51CBD"/>
    <w:rsid w:val="00A520A2"/>
    <w:rsid w:val="00A52554"/>
    <w:rsid w:val="00A5324E"/>
    <w:rsid w:val="00A5376C"/>
    <w:rsid w:val="00A551AA"/>
    <w:rsid w:val="00A56BC0"/>
    <w:rsid w:val="00A600EA"/>
    <w:rsid w:val="00A6106E"/>
    <w:rsid w:val="00A61F35"/>
    <w:rsid w:val="00A6227D"/>
    <w:rsid w:val="00A623B0"/>
    <w:rsid w:val="00A62E86"/>
    <w:rsid w:val="00A63460"/>
    <w:rsid w:val="00A642B6"/>
    <w:rsid w:val="00A64824"/>
    <w:rsid w:val="00A64BF0"/>
    <w:rsid w:val="00A655FC"/>
    <w:rsid w:val="00A661E0"/>
    <w:rsid w:val="00A66FC6"/>
    <w:rsid w:val="00A67A37"/>
    <w:rsid w:val="00A7071D"/>
    <w:rsid w:val="00A7139D"/>
    <w:rsid w:val="00A718B4"/>
    <w:rsid w:val="00A71A02"/>
    <w:rsid w:val="00A71A98"/>
    <w:rsid w:val="00A751C4"/>
    <w:rsid w:val="00A75947"/>
    <w:rsid w:val="00A75F41"/>
    <w:rsid w:val="00A76366"/>
    <w:rsid w:val="00A7775E"/>
    <w:rsid w:val="00A77A6D"/>
    <w:rsid w:val="00A80DB0"/>
    <w:rsid w:val="00A81AFD"/>
    <w:rsid w:val="00A827C4"/>
    <w:rsid w:val="00A82A51"/>
    <w:rsid w:val="00A8506A"/>
    <w:rsid w:val="00A856FF"/>
    <w:rsid w:val="00A85830"/>
    <w:rsid w:val="00A877C9"/>
    <w:rsid w:val="00A903FB"/>
    <w:rsid w:val="00A9042E"/>
    <w:rsid w:val="00A91332"/>
    <w:rsid w:val="00A94FF4"/>
    <w:rsid w:val="00A95F70"/>
    <w:rsid w:val="00A9760C"/>
    <w:rsid w:val="00A977B4"/>
    <w:rsid w:val="00AA04BB"/>
    <w:rsid w:val="00AA1682"/>
    <w:rsid w:val="00AA26D9"/>
    <w:rsid w:val="00AA32FC"/>
    <w:rsid w:val="00AA42AA"/>
    <w:rsid w:val="00AA4AFE"/>
    <w:rsid w:val="00AA5040"/>
    <w:rsid w:val="00AA5191"/>
    <w:rsid w:val="00AA5338"/>
    <w:rsid w:val="00AA5C8C"/>
    <w:rsid w:val="00AA7960"/>
    <w:rsid w:val="00AB0A63"/>
    <w:rsid w:val="00AB1E70"/>
    <w:rsid w:val="00AB23DB"/>
    <w:rsid w:val="00AB4B4D"/>
    <w:rsid w:val="00AB553D"/>
    <w:rsid w:val="00AB6E4E"/>
    <w:rsid w:val="00AC060E"/>
    <w:rsid w:val="00AC0688"/>
    <w:rsid w:val="00AC0CDC"/>
    <w:rsid w:val="00AC253D"/>
    <w:rsid w:val="00AC28D0"/>
    <w:rsid w:val="00AC28E8"/>
    <w:rsid w:val="00AC3004"/>
    <w:rsid w:val="00AC452A"/>
    <w:rsid w:val="00AC61A5"/>
    <w:rsid w:val="00AC6842"/>
    <w:rsid w:val="00AC69CC"/>
    <w:rsid w:val="00AC6DD3"/>
    <w:rsid w:val="00AC724A"/>
    <w:rsid w:val="00AC72E2"/>
    <w:rsid w:val="00AC78F3"/>
    <w:rsid w:val="00AC7989"/>
    <w:rsid w:val="00AC7BA8"/>
    <w:rsid w:val="00AD02D2"/>
    <w:rsid w:val="00AD0C7B"/>
    <w:rsid w:val="00AD2D26"/>
    <w:rsid w:val="00AD4BB7"/>
    <w:rsid w:val="00AD61CC"/>
    <w:rsid w:val="00AD64FC"/>
    <w:rsid w:val="00AD7B15"/>
    <w:rsid w:val="00AE200B"/>
    <w:rsid w:val="00AE4058"/>
    <w:rsid w:val="00AE676F"/>
    <w:rsid w:val="00AE6B99"/>
    <w:rsid w:val="00AF0841"/>
    <w:rsid w:val="00AF1436"/>
    <w:rsid w:val="00AF2AB7"/>
    <w:rsid w:val="00AF3BA4"/>
    <w:rsid w:val="00AF3CB6"/>
    <w:rsid w:val="00AF4026"/>
    <w:rsid w:val="00AF44B0"/>
    <w:rsid w:val="00AF4712"/>
    <w:rsid w:val="00AF47D9"/>
    <w:rsid w:val="00AF5F88"/>
    <w:rsid w:val="00AF69C4"/>
    <w:rsid w:val="00AF6F90"/>
    <w:rsid w:val="00B0073B"/>
    <w:rsid w:val="00B01426"/>
    <w:rsid w:val="00B02BEC"/>
    <w:rsid w:val="00B0317F"/>
    <w:rsid w:val="00B03944"/>
    <w:rsid w:val="00B05383"/>
    <w:rsid w:val="00B0538F"/>
    <w:rsid w:val="00B06596"/>
    <w:rsid w:val="00B06F3B"/>
    <w:rsid w:val="00B112A0"/>
    <w:rsid w:val="00B129EA"/>
    <w:rsid w:val="00B135BC"/>
    <w:rsid w:val="00B142E5"/>
    <w:rsid w:val="00B144E5"/>
    <w:rsid w:val="00B15E51"/>
    <w:rsid w:val="00B16690"/>
    <w:rsid w:val="00B16AA3"/>
    <w:rsid w:val="00B176F9"/>
    <w:rsid w:val="00B2144D"/>
    <w:rsid w:val="00B222C9"/>
    <w:rsid w:val="00B2243F"/>
    <w:rsid w:val="00B22BCD"/>
    <w:rsid w:val="00B22EEA"/>
    <w:rsid w:val="00B24692"/>
    <w:rsid w:val="00B26AF5"/>
    <w:rsid w:val="00B279AB"/>
    <w:rsid w:val="00B27A4F"/>
    <w:rsid w:val="00B30F96"/>
    <w:rsid w:val="00B30FBC"/>
    <w:rsid w:val="00B32302"/>
    <w:rsid w:val="00B3305F"/>
    <w:rsid w:val="00B3342B"/>
    <w:rsid w:val="00B33585"/>
    <w:rsid w:val="00B33591"/>
    <w:rsid w:val="00B335B2"/>
    <w:rsid w:val="00B34602"/>
    <w:rsid w:val="00B374F4"/>
    <w:rsid w:val="00B40143"/>
    <w:rsid w:val="00B420E2"/>
    <w:rsid w:val="00B42713"/>
    <w:rsid w:val="00B45546"/>
    <w:rsid w:val="00B46FAC"/>
    <w:rsid w:val="00B50F59"/>
    <w:rsid w:val="00B5150B"/>
    <w:rsid w:val="00B53E48"/>
    <w:rsid w:val="00B549BD"/>
    <w:rsid w:val="00B54A4D"/>
    <w:rsid w:val="00B55658"/>
    <w:rsid w:val="00B56153"/>
    <w:rsid w:val="00B56494"/>
    <w:rsid w:val="00B566FC"/>
    <w:rsid w:val="00B57BC3"/>
    <w:rsid w:val="00B603F1"/>
    <w:rsid w:val="00B60D70"/>
    <w:rsid w:val="00B6115E"/>
    <w:rsid w:val="00B6299A"/>
    <w:rsid w:val="00B62D04"/>
    <w:rsid w:val="00B62DB6"/>
    <w:rsid w:val="00B6388C"/>
    <w:rsid w:val="00B63CFF"/>
    <w:rsid w:val="00B63F4F"/>
    <w:rsid w:val="00B6406E"/>
    <w:rsid w:val="00B64E2E"/>
    <w:rsid w:val="00B6571B"/>
    <w:rsid w:val="00B670C5"/>
    <w:rsid w:val="00B679AD"/>
    <w:rsid w:val="00B70AA3"/>
    <w:rsid w:val="00B71185"/>
    <w:rsid w:val="00B71597"/>
    <w:rsid w:val="00B715FA"/>
    <w:rsid w:val="00B71A20"/>
    <w:rsid w:val="00B72011"/>
    <w:rsid w:val="00B7228B"/>
    <w:rsid w:val="00B72A47"/>
    <w:rsid w:val="00B731AD"/>
    <w:rsid w:val="00B7331E"/>
    <w:rsid w:val="00B73928"/>
    <w:rsid w:val="00B74392"/>
    <w:rsid w:val="00B74860"/>
    <w:rsid w:val="00B75012"/>
    <w:rsid w:val="00B751B8"/>
    <w:rsid w:val="00B7679D"/>
    <w:rsid w:val="00B779B0"/>
    <w:rsid w:val="00B80B30"/>
    <w:rsid w:val="00B81332"/>
    <w:rsid w:val="00B81E3B"/>
    <w:rsid w:val="00B82783"/>
    <w:rsid w:val="00B827CB"/>
    <w:rsid w:val="00B82FF0"/>
    <w:rsid w:val="00B83EED"/>
    <w:rsid w:val="00B84502"/>
    <w:rsid w:val="00B84C24"/>
    <w:rsid w:val="00B86B17"/>
    <w:rsid w:val="00B90345"/>
    <w:rsid w:val="00B90702"/>
    <w:rsid w:val="00B921E8"/>
    <w:rsid w:val="00B93316"/>
    <w:rsid w:val="00B93490"/>
    <w:rsid w:val="00B94152"/>
    <w:rsid w:val="00B95D30"/>
    <w:rsid w:val="00B971E8"/>
    <w:rsid w:val="00BA020C"/>
    <w:rsid w:val="00BA0AB0"/>
    <w:rsid w:val="00BA16E0"/>
    <w:rsid w:val="00BA1B54"/>
    <w:rsid w:val="00BA352B"/>
    <w:rsid w:val="00BA3FFB"/>
    <w:rsid w:val="00BA4101"/>
    <w:rsid w:val="00BA6C3B"/>
    <w:rsid w:val="00BA74DE"/>
    <w:rsid w:val="00BA7B18"/>
    <w:rsid w:val="00BA7E45"/>
    <w:rsid w:val="00BB1D29"/>
    <w:rsid w:val="00BB1DF6"/>
    <w:rsid w:val="00BB32C8"/>
    <w:rsid w:val="00BB35DD"/>
    <w:rsid w:val="00BB4316"/>
    <w:rsid w:val="00BB5065"/>
    <w:rsid w:val="00BB5162"/>
    <w:rsid w:val="00BB6F74"/>
    <w:rsid w:val="00BB7E42"/>
    <w:rsid w:val="00BC07B4"/>
    <w:rsid w:val="00BC0BB7"/>
    <w:rsid w:val="00BC2625"/>
    <w:rsid w:val="00BC409D"/>
    <w:rsid w:val="00BC457A"/>
    <w:rsid w:val="00BD186D"/>
    <w:rsid w:val="00BD235B"/>
    <w:rsid w:val="00BD2846"/>
    <w:rsid w:val="00BD3033"/>
    <w:rsid w:val="00BD359C"/>
    <w:rsid w:val="00BD4154"/>
    <w:rsid w:val="00BD6403"/>
    <w:rsid w:val="00BD6698"/>
    <w:rsid w:val="00BE0679"/>
    <w:rsid w:val="00BE14EF"/>
    <w:rsid w:val="00BE288E"/>
    <w:rsid w:val="00BE28D3"/>
    <w:rsid w:val="00BE2F93"/>
    <w:rsid w:val="00BE30C8"/>
    <w:rsid w:val="00BE32CE"/>
    <w:rsid w:val="00BE33C0"/>
    <w:rsid w:val="00BE3961"/>
    <w:rsid w:val="00BE45B9"/>
    <w:rsid w:val="00BE478E"/>
    <w:rsid w:val="00BE4E13"/>
    <w:rsid w:val="00BE5117"/>
    <w:rsid w:val="00BE575B"/>
    <w:rsid w:val="00BE57C6"/>
    <w:rsid w:val="00BE7905"/>
    <w:rsid w:val="00BE7F03"/>
    <w:rsid w:val="00BF03FD"/>
    <w:rsid w:val="00BF0E88"/>
    <w:rsid w:val="00BF1ABB"/>
    <w:rsid w:val="00BF2007"/>
    <w:rsid w:val="00BF38A8"/>
    <w:rsid w:val="00BF55D6"/>
    <w:rsid w:val="00BF6A85"/>
    <w:rsid w:val="00BF74B5"/>
    <w:rsid w:val="00BF775B"/>
    <w:rsid w:val="00C002EF"/>
    <w:rsid w:val="00C00DE4"/>
    <w:rsid w:val="00C0123E"/>
    <w:rsid w:val="00C02363"/>
    <w:rsid w:val="00C02DB9"/>
    <w:rsid w:val="00C0331D"/>
    <w:rsid w:val="00C0555B"/>
    <w:rsid w:val="00C05C71"/>
    <w:rsid w:val="00C06DD9"/>
    <w:rsid w:val="00C10326"/>
    <w:rsid w:val="00C1121F"/>
    <w:rsid w:val="00C11512"/>
    <w:rsid w:val="00C12D61"/>
    <w:rsid w:val="00C12E55"/>
    <w:rsid w:val="00C1344E"/>
    <w:rsid w:val="00C1354C"/>
    <w:rsid w:val="00C13663"/>
    <w:rsid w:val="00C138C1"/>
    <w:rsid w:val="00C141C4"/>
    <w:rsid w:val="00C1483C"/>
    <w:rsid w:val="00C15670"/>
    <w:rsid w:val="00C15D01"/>
    <w:rsid w:val="00C15F48"/>
    <w:rsid w:val="00C2013B"/>
    <w:rsid w:val="00C20203"/>
    <w:rsid w:val="00C20CE3"/>
    <w:rsid w:val="00C22262"/>
    <w:rsid w:val="00C23123"/>
    <w:rsid w:val="00C249CE"/>
    <w:rsid w:val="00C25160"/>
    <w:rsid w:val="00C25547"/>
    <w:rsid w:val="00C26011"/>
    <w:rsid w:val="00C27870"/>
    <w:rsid w:val="00C27B81"/>
    <w:rsid w:val="00C308C5"/>
    <w:rsid w:val="00C31579"/>
    <w:rsid w:val="00C32EDD"/>
    <w:rsid w:val="00C3340D"/>
    <w:rsid w:val="00C3483E"/>
    <w:rsid w:val="00C35123"/>
    <w:rsid w:val="00C36A20"/>
    <w:rsid w:val="00C40139"/>
    <w:rsid w:val="00C412C8"/>
    <w:rsid w:val="00C42EA2"/>
    <w:rsid w:val="00C43460"/>
    <w:rsid w:val="00C44053"/>
    <w:rsid w:val="00C4414A"/>
    <w:rsid w:val="00C442C5"/>
    <w:rsid w:val="00C457E4"/>
    <w:rsid w:val="00C458B4"/>
    <w:rsid w:val="00C45D9A"/>
    <w:rsid w:val="00C47984"/>
    <w:rsid w:val="00C5034A"/>
    <w:rsid w:val="00C55309"/>
    <w:rsid w:val="00C5537C"/>
    <w:rsid w:val="00C555AA"/>
    <w:rsid w:val="00C55F83"/>
    <w:rsid w:val="00C56037"/>
    <w:rsid w:val="00C56290"/>
    <w:rsid w:val="00C56840"/>
    <w:rsid w:val="00C56A23"/>
    <w:rsid w:val="00C60B62"/>
    <w:rsid w:val="00C613DA"/>
    <w:rsid w:val="00C61463"/>
    <w:rsid w:val="00C62963"/>
    <w:rsid w:val="00C63777"/>
    <w:rsid w:val="00C63F3F"/>
    <w:rsid w:val="00C64FD7"/>
    <w:rsid w:val="00C665BC"/>
    <w:rsid w:val="00C67225"/>
    <w:rsid w:val="00C703A3"/>
    <w:rsid w:val="00C7048F"/>
    <w:rsid w:val="00C70D00"/>
    <w:rsid w:val="00C715E1"/>
    <w:rsid w:val="00C71DBC"/>
    <w:rsid w:val="00C71F04"/>
    <w:rsid w:val="00C73931"/>
    <w:rsid w:val="00C73D77"/>
    <w:rsid w:val="00C75453"/>
    <w:rsid w:val="00C80D96"/>
    <w:rsid w:val="00C80F72"/>
    <w:rsid w:val="00C8231D"/>
    <w:rsid w:val="00C82699"/>
    <w:rsid w:val="00C8277D"/>
    <w:rsid w:val="00C82E3F"/>
    <w:rsid w:val="00C83138"/>
    <w:rsid w:val="00C8393F"/>
    <w:rsid w:val="00C83BE9"/>
    <w:rsid w:val="00C83FDD"/>
    <w:rsid w:val="00C87289"/>
    <w:rsid w:val="00C91C7B"/>
    <w:rsid w:val="00C93076"/>
    <w:rsid w:val="00C931A7"/>
    <w:rsid w:val="00C94296"/>
    <w:rsid w:val="00C94A24"/>
    <w:rsid w:val="00C94D53"/>
    <w:rsid w:val="00C95CEE"/>
    <w:rsid w:val="00CA020D"/>
    <w:rsid w:val="00CA1245"/>
    <w:rsid w:val="00CA3C26"/>
    <w:rsid w:val="00CA4F50"/>
    <w:rsid w:val="00CA51A9"/>
    <w:rsid w:val="00CA5319"/>
    <w:rsid w:val="00CA5ED0"/>
    <w:rsid w:val="00CA69B7"/>
    <w:rsid w:val="00CA6AD9"/>
    <w:rsid w:val="00CA738C"/>
    <w:rsid w:val="00CB1EFA"/>
    <w:rsid w:val="00CB240B"/>
    <w:rsid w:val="00CB319F"/>
    <w:rsid w:val="00CB32FD"/>
    <w:rsid w:val="00CB5818"/>
    <w:rsid w:val="00CB799E"/>
    <w:rsid w:val="00CC41C7"/>
    <w:rsid w:val="00CC7EFA"/>
    <w:rsid w:val="00CD18C2"/>
    <w:rsid w:val="00CD1C71"/>
    <w:rsid w:val="00CD1CB4"/>
    <w:rsid w:val="00CD1DBB"/>
    <w:rsid w:val="00CD21D1"/>
    <w:rsid w:val="00CD2447"/>
    <w:rsid w:val="00CD300D"/>
    <w:rsid w:val="00CD3E3B"/>
    <w:rsid w:val="00CD42B4"/>
    <w:rsid w:val="00CD4D78"/>
    <w:rsid w:val="00CD51FC"/>
    <w:rsid w:val="00CD604D"/>
    <w:rsid w:val="00CD62D1"/>
    <w:rsid w:val="00CD71FE"/>
    <w:rsid w:val="00CE037D"/>
    <w:rsid w:val="00CE0514"/>
    <w:rsid w:val="00CE1815"/>
    <w:rsid w:val="00CE2238"/>
    <w:rsid w:val="00CE2C69"/>
    <w:rsid w:val="00CE5645"/>
    <w:rsid w:val="00CE5F3C"/>
    <w:rsid w:val="00CE633E"/>
    <w:rsid w:val="00CE7BD6"/>
    <w:rsid w:val="00CF01F6"/>
    <w:rsid w:val="00CF1442"/>
    <w:rsid w:val="00CF24C6"/>
    <w:rsid w:val="00CF2C90"/>
    <w:rsid w:val="00CF3911"/>
    <w:rsid w:val="00CF46E7"/>
    <w:rsid w:val="00CF4932"/>
    <w:rsid w:val="00CF6E8E"/>
    <w:rsid w:val="00CF73D0"/>
    <w:rsid w:val="00CF7964"/>
    <w:rsid w:val="00D02B2D"/>
    <w:rsid w:val="00D036DA"/>
    <w:rsid w:val="00D038B5"/>
    <w:rsid w:val="00D039B1"/>
    <w:rsid w:val="00D03ABA"/>
    <w:rsid w:val="00D04176"/>
    <w:rsid w:val="00D04341"/>
    <w:rsid w:val="00D04D67"/>
    <w:rsid w:val="00D063A6"/>
    <w:rsid w:val="00D06995"/>
    <w:rsid w:val="00D10518"/>
    <w:rsid w:val="00D10AEE"/>
    <w:rsid w:val="00D10DBF"/>
    <w:rsid w:val="00D11676"/>
    <w:rsid w:val="00D11DAF"/>
    <w:rsid w:val="00D11FF0"/>
    <w:rsid w:val="00D12391"/>
    <w:rsid w:val="00D13087"/>
    <w:rsid w:val="00D13096"/>
    <w:rsid w:val="00D13300"/>
    <w:rsid w:val="00D1405F"/>
    <w:rsid w:val="00D140B0"/>
    <w:rsid w:val="00D14BBF"/>
    <w:rsid w:val="00D151DD"/>
    <w:rsid w:val="00D179AE"/>
    <w:rsid w:val="00D2001D"/>
    <w:rsid w:val="00D2057C"/>
    <w:rsid w:val="00D20D87"/>
    <w:rsid w:val="00D211A1"/>
    <w:rsid w:val="00D21509"/>
    <w:rsid w:val="00D21ACE"/>
    <w:rsid w:val="00D232C4"/>
    <w:rsid w:val="00D23F66"/>
    <w:rsid w:val="00D246FA"/>
    <w:rsid w:val="00D247F2"/>
    <w:rsid w:val="00D24888"/>
    <w:rsid w:val="00D2529E"/>
    <w:rsid w:val="00D25829"/>
    <w:rsid w:val="00D2743A"/>
    <w:rsid w:val="00D27671"/>
    <w:rsid w:val="00D31913"/>
    <w:rsid w:val="00D336F7"/>
    <w:rsid w:val="00D33C80"/>
    <w:rsid w:val="00D33D99"/>
    <w:rsid w:val="00D34811"/>
    <w:rsid w:val="00D360E3"/>
    <w:rsid w:val="00D36148"/>
    <w:rsid w:val="00D36C61"/>
    <w:rsid w:val="00D36E8C"/>
    <w:rsid w:val="00D379BA"/>
    <w:rsid w:val="00D4016C"/>
    <w:rsid w:val="00D40796"/>
    <w:rsid w:val="00D41306"/>
    <w:rsid w:val="00D41371"/>
    <w:rsid w:val="00D42954"/>
    <w:rsid w:val="00D42D68"/>
    <w:rsid w:val="00D42F82"/>
    <w:rsid w:val="00D43514"/>
    <w:rsid w:val="00D43727"/>
    <w:rsid w:val="00D44C44"/>
    <w:rsid w:val="00D45002"/>
    <w:rsid w:val="00D45AB0"/>
    <w:rsid w:val="00D45EBB"/>
    <w:rsid w:val="00D464CE"/>
    <w:rsid w:val="00D47861"/>
    <w:rsid w:val="00D47C7C"/>
    <w:rsid w:val="00D47E62"/>
    <w:rsid w:val="00D512DE"/>
    <w:rsid w:val="00D51E34"/>
    <w:rsid w:val="00D53EAA"/>
    <w:rsid w:val="00D54405"/>
    <w:rsid w:val="00D547B5"/>
    <w:rsid w:val="00D55550"/>
    <w:rsid w:val="00D56E32"/>
    <w:rsid w:val="00D56ED4"/>
    <w:rsid w:val="00D579F3"/>
    <w:rsid w:val="00D57F30"/>
    <w:rsid w:val="00D620F9"/>
    <w:rsid w:val="00D62920"/>
    <w:rsid w:val="00D63B39"/>
    <w:rsid w:val="00D63BA2"/>
    <w:rsid w:val="00D63E8E"/>
    <w:rsid w:val="00D652B9"/>
    <w:rsid w:val="00D65E1A"/>
    <w:rsid w:val="00D65E60"/>
    <w:rsid w:val="00D660C3"/>
    <w:rsid w:val="00D70ABE"/>
    <w:rsid w:val="00D718A1"/>
    <w:rsid w:val="00D73CE1"/>
    <w:rsid w:val="00D740C9"/>
    <w:rsid w:val="00D76957"/>
    <w:rsid w:val="00D77835"/>
    <w:rsid w:val="00D804E5"/>
    <w:rsid w:val="00D81903"/>
    <w:rsid w:val="00D83AD7"/>
    <w:rsid w:val="00D83B96"/>
    <w:rsid w:val="00D83CCC"/>
    <w:rsid w:val="00D84D41"/>
    <w:rsid w:val="00D85163"/>
    <w:rsid w:val="00D90386"/>
    <w:rsid w:val="00D906EE"/>
    <w:rsid w:val="00D90B40"/>
    <w:rsid w:val="00D90EEB"/>
    <w:rsid w:val="00D911E3"/>
    <w:rsid w:val="00D91FA8"/>
    <w:rsid w:val="00D92A28"/>
    <w:rsid w:val="00D92B81"/>
    <w:rsid w:val="00D9441D"/>
    <w:rsid w:val="00D94D2B"/>
    <w:rsid w:val="00D97081"/>
    <w:rsid w:val="00DA008C"/>
    <w:rsid w:val="00DA2C96"/>
    <w:rsid w:val="00DA4985"/>
    <w:rsid w:val="00DA4E01"/>
    <w:rsid w:val="00DA50C1"/>
    <w:rsid w:val="00DA5334"/>
    <w:rsid w:val="00DA6B48"/>
    <w:rsid w:val="00DA6C97"/>
    <w:rsid w:val="00DB0077"/>
    <w:rsid w:val="00DB04E5"/>
    <w:rsid w:val="00DB32AD"/>
    <w:rsid w:val="00DB3B89"/>
    <w:rsid w:val="00DB4552"/>
    <w:rsid w:val="00DB5DC7"/>
    <w:rsid w:val="00DB6B0D"/>
    <w:rsid w:val="00DC1591"/>
    <w:rsid w:val="00DC2387"/>
    <w:rsid w:val="00DC3B46"/>
    <w:rsid w:val="00DC4233"/>
    <w:rsid w:val="00DC5197"/>
    <w:rsid w:val="00DC5EF8"/>
    <w:rsid w:val="00DC735D"/>
    <w:rsid w:val="00DD0B8E"/>
    <w:rsid w:val="00DD18B0"/>
    <w:rsid w:val="00DD2965"/>
    <w:rsid w:val="00DD2A39"/>
    <w:rsid w:val="00DD351F"/>
    <w:rsid w:val="00DD3837"/>
    <w:rsid w:val="00DD449E"/>
    <w:rsid w:val="00DD5D0C"/>
    <w:rsid w:val="00DD5E60"/>
    <w:rsid w:val="00DD657A"/>
    <w:rsid w:val="00DD6652"/>
    <w:rsid w:val="00DD73EB"/>
    <w:rsid w:val="00DD7591"/>
    <w:rsid w:val="00DD7C4D"/>
    <w:rsid w:val="00DE068E"/>
    <w:rsid w:val="00DE0D5F"/>
    <w:rsid w:val="00DE1DF9"/>
    <w:rsid w:val="00DE3765"/>
    <w:rsid w:val="00DE3C10"/>
    <w:rsid w:val="00DE69F0"/>
    <w:rsid w:val="00DF0A64"/>
    <w:rsid w:val="00DF24DA"/>
    <w:rsid w:val="00DF24F2"/>
    <w:rsid w:val="00DF2EBC"/>
    <w:rsid w:val="00DF454E"/>
    <w:rsid w:val="00DF6032"/>
    <w:rsid w:val="00DF7072"/>
    <w:rsid w:val="00E007F9"/>
    <w:rsid w:val="00E01748"/>
    <w:rsid w:val="00E01857"/>
    <w:rsid w:val="00E01B2F"/>
    <w:rsid w:val="00E01FEF"/>
    <w:rsid w:val="00E02503"/>
    <w:rsid w:val="00E02B33"/>
    <w:rsid w:val="00E02F07"/>
    <w:rsid w:val="00E0346D"/>
    <w:rsid w:val="00E03B3A"/>
    <w:rsid w:val="00E04D17"/>
    <w:rsid w:val="00E04E14"/>
    <w:rsid w:val="00E05181"/>
    <w:rsid w:val="00E055C6"/>
    <w:rsid w:val="00E07BF5"/>
    <w:rsid w:val="00E07CA8"/>
    <w:rsid w:val="00E07FA8"/>
    <w:rsid w:val="00E1036C"/>
    <w:rsid w:val="00E1051F"/>
    <w:rsid w:val="00E11A35"/>
    <w:rsid w:val="00E11B3B"/>
    <w:rsid w:val="00E13C7A"/>
    <w:rsid w:val="00E146E5"/>
    <w:rsid w:val="00E14E41"/>
    <w:rsid w:val="00E155DC"/>
    <w:rsid w:val="00E16458"/>
    <w:rsid w:val="00E215DA"/>
    <w:rsid w:val="00E23784"/>
    <w:rsid w:val="00E24137"/>
    <w:rsid w:val="00E247EA"/>
    <w:rsid w:val="00E25136"/>
    <w:rsid w:val="00E25D21"/>
    <w:rsid w:val="00E2607D"/>
    <w:rsid w:val="00E26926"/>
    <w:rsid w:val="00E27427"/>
    <w:rsid w:val="00E2781B"/>
    <w:rsid w:val="00E27C37"/>
    <w:rsid w:val="00E30E45"/>
    <w:rsid w:val="00E316B8"/>
    <w:rsid w:val="00E31D91"/>
    <w:rsid w:val="00E326FE"/>
    <w:rsid w:val="00E338CC"/>
    <w:rsid w:val="00E34350"/>
    <w:rsid w:val="00E3513E"/>
    <w:rsid w:val="00E35253"/>
    <w:rsid w:val="00E3575D"/>
    <w:rsid w:val="00E378A4"/>
    <w:rsid w:val="00E40E63"/>
    <w:rsid w:val="00E4154E"/>
    <w:rsid w:val="00E4180F"/>
    <w:rsid w:val="00E41BDA"/>
    <w:rsid w:val="00E43874"/>
    <w:rsid w:val="00E43D4D"/>
    <w:rsid w:val="00E454B9"/>
    <w:rsid w:val="00E457AA"/>
    <w:rsid w:val="00E46B5F"/>
    <w:rsid w:val="00E47E26"/>
    <w:rsid w:val="00E47E65"/>
    <w:rsid w:val="00E51A1F"/>
    <w:rsid w:val="00E51D7A"/>
    <w:rsid w:val="00E52C9C"/>
    <w:rsid w:val="00E52FDF"/>
    <w:rsid w:val="00E53643"/>
    <w:rsid w:val="00E53A04"/>
    <w:rsid w:val="00E53A76"/>
    <w:rsid w:val="00E55191"/>
    <w:rsid w:val="00E553B1"/>
    <w:rsid w:val="00E55916"/>
    <w:rsid w:val="00E5730A"/>
    <w:rsid w:val="00E57458"/>
    <w:rsid w:val="00E57782"/>
    <w:rsid w:val="00E57DA5"/>
    <w:rsid w:val="00E60AC7"/>
    <w:rsid w:val="00E610EA"/>
    <w:rsid w:val="00E618CC"/>
    <w:rsid w:val="00E61F9B"/>
    <w:rsid w:val="00E635BF"/>
    <w:rsid w:val="00E642AC"/>
    <w:rsid w:val="00E64C11"/>
    <w:rsid w:val="00E67370"/>
    <w:rsid w:val="00E702E1"/>
    <w:rsid w:val="00E706CF"/>
    <w:rsid w:val="00E717AE"/>
    <w:rsid w:val="00E72F14"/>
    <w:rsid w:val="00E73D8D"/>
    <w:rsid w:val="00E741B4"/>
    <w:rsid w:val="00E744E4"/>
    <w:rsid w:val="00E74AE1"/>
    <w:rsid w:val="00E752BE"/>
    <w:rsid w:val="00E7678D"/>
    <w:rsid w:val="00E806E7"/>
    <w:rsid w:val="00E81EAB"/>
    <w:rsid w:val="00E82DBC"/>
    <w:rsid w:val="00E83471"/>
    <w:rsid w:val="00E83C1E"/>
    <w:rsid w:val="00E843A5"/>
    <w:rsid w:val="00E84D4A"/>
    <w:rsid w:val="00E8778B"/>
    <w:rsid w:val="00E87C81"/>
    <w:rsid w:val="00E87E51"/>
    <w:rsid w:val="00E9003B"/>
    <w:rsid w:val="00E9051D"/>
    <w:rsid w:val="00E90CED"/>
    <w:rsid w:val="00E90DAD"/>
    <w:rsid w:val="00E911C0"/>
    <w:rsid w:val="00E91265"/>
    <w:rsid w:val="00E936E3"/>
    <w:rsid w:val="00E949EE"/>
    <w:rsid w:val="00EA072C"/>
    <w:rsid w:val="00EA17A5"/>
    <w:rsid w:val="00EA36AF"/>
    <w:rsid w:val="00EA4671"/>
    <w:rsid w:val="00EA4726"/>
    <w:rsid w:val="00EA5790"/>
    <w:rsid w:val="00EA672C"/>
    <w:rsid w:val="00EA6E44"/>
    <w:rsid w:val="00EB0628"/>
    <w:rsid w:val="00EB1D63"/>
    <w:rsid w:val="00EB21B0"/>
    <w:rsid w:val="00EB3318"/>
    <w:rsid w:val="00EB3762"/>
    <w:rsid w:val="00EB3FFD"/>
    <w:rsid w:val="00EB4080"/>
    <w:rsid w:val="00EB5B92"/>
    <w:rsid w:val="00EB688B"/>
    <w:rsid w:val="00EB7973"/>
    <w:rsid w:val="00EC0DCC"/>
    <w:rsid w:val="00EC0DD4"/>
    <w:rsid w:val="00EC1C63"/>
    <w:rsid w:val="00EC1E77"/>
    <w:rsid w:val="00EC309F"/>
    <w:rsid w:val="00EC4485"/>
    <w:rsid w:val="00EC45B1"/>
    <w:rsid w:val="00EC4884"/>
    <w:rsid w:val="00EC6158"/>
    <w:rsid w:val="00ED0575"/>
    <w:rsid w:val="00ED0E20"/>
    <w:rsid w:val="00ED4A6C"/>
    <w:rsid w:val="00ED69D9"/>
    <w:rsid w:val="00ED6CD2"/>
    <w:rsid w:val="00ED6FFB"/>
    <w:rsid w:val="00EE1073"/>
    <w:rsid w:val="00EE1121"/>
    <w:rsid w:val="00EE1228"/>
    <w:rsid w:val="00EE4AFE"/>
    <w:rsid w:val="00EE7167"/>
    <w:rsid w:val="00EF007F"/>
    <w:rsid w:val="00EF2A8E"/>
    <w:rsid w:val="00EF38D5"/>
    <w:rsid w:val="00EF4BED"/>
    <w:rsid w:val="00EF4E1B"/>
    <w:rsid w:val="00EF659A"/>
    <w:rsid w:val="00EF67CC"/>
    <w:rsid w:val="00EF7567"/>
    <w:rsid w:val="00EF776E"/>
    <w:rsid w:val="00EF77AF"/>
    <w:rsid w:val="00F00EF3"/>
    <w:rsid w:val="00F00FC8"/>
    <w:rsid w:val="00F02413"/>
    <w:rsid w:val="00F0264C"/>
    <w:rsid w:val="00F02A00"/>
    <w:rsid w:val="00F02E54"/>
    <w:rsid w:val="00F03626"/>
    <w:rsid w:val="00F048B2"/>
    <w:rsid w:val="00F057E8"/>
    <w:rsid w:val="00F05E77"/>
    <w:rsid w:val="00F05ED9"/>
    <w:rsid w:val="00F07A86"/>
    <w:rsid w:val="00F11966"/>
    <w:rsid w:val="00F123A2"/>
    <w:rsid w:val="00F12585"/>
    <w:rsid w:val="00F12BB4"/>
    <w:rsid w:val="00F12DFD"/>
    <w:rsid w:val="00F17AD7"/>
    <w:rsid w:val="00F201D4"/>
    <w:rsid w:val="00F206DA"/>
    <w:rsid w:val="00F21629"/>
    <w:rsid w:val="00F2260E"/>
    <w:rsid w:val="00F2320F"/>
    <w:rsid w:val="00F2345C"/>
    <w:rsid w:val="00F239E8"/>
    <w:rsid w:val="00F23BDE"/>
    <w:rsid w:val="00F247DC"/>
    <w:rsid w:val="00F251B0"/>
    <w:rsid w:val="00F26B79"/>
    <w:rsid w:val="00F30E29"/>
    <w:rsid w:val="00F33340"/>
    <w:rsid w:val="00F33418"/>
    <w:rsid w:val="00F33AC2"/>
    <w:rsid w:val="00F33C12"/>
    <w:rsid w:val="00F352EB"/>
    <w:rsid w:val="00F36087"/>
    <w:rsid w:val="00F377CD"/>
    <w:rsid w:val="00F40F78"/>
    <w:rsid w:val="00F41178"/>
    <w:rsid w:val="00F43A31"/>
    <w:rsid w:val="00F4430A"/>
    <w:rsid w:val="00F45D72"/>
    <w:rsid w:val="00F50F60"/>
    <w:rsid w:val="00F513C2"/>
    <w:rsid w:val="00F521E5"/>
    <w:rsid w:val="00F5254C"/>
    <w:rsid w:val="00F5497A"/>
    <w:rsid w:val="00F559C4"/>
    <w:rsid w:val="00F56F70"/>
    <w:rsid w:val="00F61E6A"/>
    <w:rsid w:val="00F626CD"/>
    <w:rsid w:val="00F62C1D"/>
    <w:rsid w:val="00F64A30"/>
    <w:rsid w:val="00F64D56"/>
    <w:rsid w:val="00F65A31"/>
    <w:rsid w:val="00F65A39"/>
    <w:rsid w:val="00F65EA5"/>
    <w:rsid w:val="00F67726"/>
    <w:rsid w:val="00F7071E"/>
    <w:rsid w:val="00F70B12"/>
    <w:rsid w:val="00F7263B"/>
    <w:rsid w:val="00F7266C"/>
    <w:rsid w:val="00F7363F"/>
    <w:rsid w:val="00F73C2B"/>
    <w:rsid w:val="00F74C7D"/>
    <w:rsid w:val="00F7599F"/>
    <w:rsid w:val="00F77D0A"/>
    <w:rsid w:val="00F80509"/>
    <w:rsid w:val="00F80B23"/>
    <w:rsid w:val="00F8108B"/>
    <w:rsid w:val="00F82226"/>
    <w:rsid w:val="00F86287"/>
    <w:rsid w:val="00F87ED2"/>
    <w:rsid w:val="00F93640"/>
    <w:rsid w:val="00F9469D"/>
    <w:rsid w:val="00F94D6B"/>
    <w:rsid w:val="00F95863"/>
    <w:rsid w:val="00F95D09"/>
    <w:rsid w:val="00F95DB3"/>
    <w:rsid w:val="00F97621"/>
    <w:rsid w:val="00F97A27"/>
    <w:rsid w:val="00F97DC1"/>
    <w:rsid w:val="00FA0D7F"/>
    <w:rsid w:val="00FA1DAC"/>
    <w:rsid w:val="00FA3A8B"/>
    <w:rsid w:val="00FA512A"/>
    <w:rsid w:val="00FA5A7A"/>
    <w:rsid w:val="00FB0C00"/>
    <w:rsid w:val="00FB1970"/>
    <w:rsid w:val="00FB1D5F"/>
    <w:rsid w:val="00FB2BC3"/>
    <w:rsid w:val="00FB2BE1"/>
    <w:rsid w:val="00FB34E4"/>
    <w:rsid w:val="00FB3DBE"/>
    <w:rsid w:val="00FB44AB"/>
    <w:rsid w:val="00FB457B"/>
    <w:rsid w:val="00FB46E5"/>
    <w:rsid w:val="00FB4D5B"/>
    <w:rsid w:val="00FB4E8F"/>
    <w:rsid w:val="00FB5187"/>
    <w:rsid w:val="00FB5CFD"/>
    <w:rsid w:val="00FB721E"/>
    <w:rsid w:val="00FB7A3F"/>
    <w:rsid w:val="00FB7EBA"/>
    <w:rsid w:val="00FC0FD0"/>
    <w:rsid w:val="00FC1B2C"/>
    <w:rsid w:val="00FC30C5"/>
    <w:rsid w:val="00FC30E4"/>
    <w:rsid w:val="00FC4482"/>
    <w:rsid w:val="00FC4B9F"/>
    <w:rsid w:val="00FC5555"/>
    <w:rsid w:val="00FC57D7"/>
    <w:rsid w:val="00FC6897"/>
    <w:rsid w:val="00FC6A39"/>
    <w:rsid w:val="00FC6F05"/>
    <w:rsid w:val="00FD0183"/>
    <w:rsid w:val="00FD0B5D"/>
    <w:rsid w:val="00FD14BC"/>
    <w:rsid w:val="00FD323E"/>
    <w:rsid w:val="00FD4261"/>
    <w:rsid w:val="00FD44D8"/>
    <w:rsid w:val="00FD50C6"/>
    <w:rsid w:val="00FD637B"/>
    <w:rsid w:val="00FD6D21"/>
    <w:rsid w:val="00FD7354"/>
    <w:rsid w:val="00FD739B"/>
    <w:rsid w:val="00FD7423"/>
    <w:rsid w:val="00FD7A2B"/>
    <w:rsid w:val="00FD7ABC"/>
    <w:rsid w:val="00FD7FE6"/>
    <w:rsid w:val="00FE12E2"/>
    <w:rsid w:val="00FE1308"/>
    <w:rsid w:val="00FE142A"/>
    <w:rsid w:val="00FE2859"/>
    <w:rsid w:val="00FE3165"/>
    <w:rsid w:val="00FE3FF3"/>
    <w:rsid w:val="00FE6D6D"/>
    <w:rsid w:val="00FE6F75"/>
    <w:rsid w:val="00FF0B27"/>
    <w:rsid w:val="00FF2633"/>
    <w:rsid w:val="00FF3448"/>
    <w:rsid w:val="00FF358D"/>
    <w:rsid w:val="00FF641A"/>
    <w:rsid w:val="00FF6B55"/>
    <w:rsid w:val="01112DE4"/>
    <w:rsid w:val="01AA0747"/>
    <w:rsid w:val="02374508"/>
    <w:rsid w:val="02709F7B"/>
    <w:rsid w:val="028B3DA1"/>
    <w:rsid w:val="02A903E2"/>
    <w:rsid w:val="02B8AF2C"/>
    <w:rsid w:val="02EEB020"/>
    <w:rsid w:val="03B3889B"/>
    <w:rsid w:val="03FB049F"/>
    <w:rsid w:val="04AC9480"/>
    <w:rsid w:val="04B8683A"/>
    <w:rsid w:val="053C2D40"/>
    <w:rsid w:val="0565CCDE"/>
    <w:rsid w:val="05B55D81"/>
    <w:rsid w:val="0602991E"/>
    <w:rsid w:val="061F533C"/>
    <w:rsid w:val="062E3BCD"/>
    <w:rsid w:val="068CEC31"/>
    <w:rsid w:val="07251726"/>
    <w:rsid w:val="0731B142"/>
    <w:rsid w:val="07334AFE"/>
    <w:rsid w:val="0764A311"/>
    <w:rsid w:val="0771AA54"/>
    <w:rsid w:val="07D8F803"/>
    <w:rsid w:val="08547824"/>
    <w:rsid w:val="087FFA3D"/>
    <w:rsid w:val="08B0D8C1"/>
    <w:rsid w:val="09B3A0CE"/>
    <w:rsid w:val="0A5A47D8"/>
    <w:rsid w:val="0A68D9CB"/>
    <w:rsid w:val="0A8C08B2"/>
    <w:rsid w:val="0ACF4265"/>
    <w:rsid w:val="0AF86022"/>
    <w:rsid w:val="0B3CFC2E"/>
    <w:rsid w:val="0B668EAC"/>
    <w:rsid w:val="0D041219"/>
    <w:rsid w:val="0D89AB3A"/>
    <w:rsid w:val="0D89FADB"/>
    <w:rsid w:val="0D8F9063"/>
    <w:rsid w:val="0E18E784"/>
    <w:rsid w:val="0EEE8210"/>
    <w:rsid w:val="116A9E2E"/>
    <w:rsid w:val="119BEC3C"/>
    <w:rsid w:val="11C99D92"/>
    <w:rsid w:val="12357163"/>
    <w:rsid w:val="130B2E68"/>
    <w:rsid w:val="13219EF7"/>
    <w:rsid w:val="1355FA43"/>
    <w:rsid w:val="1357D88F"/>
    <w:rsid w:val="14C24C32"/>
    <w:rsid w:val="1501ACA6"/>
    <w:rsid w:val="15296CDB"/>
    <w:rsid w:val="157CE772"/>
    <w:rsid w:val="160F157B"/>
    <w:rsid w:val="1697A842"/>
    <w:rsid w:val="16FA824E"/>
    <w:rsid w:val="178152A0"/>
    <w:rsid w:val="1870710D"/>
    <w:rsid w:val="187EFB57"/>
    <w:rsid w:val="18CB453E"/>
    <w:rsid w:val="1950FDA9"/>
    <w:rsid w:val="1965A1D0"/>
    <w:rsid w:val="19B9D99E"/>
    <w:rsid w:val="1A0C0793"/>
    <w:rsid w:val="1A124432"/>
    <w:rsid w:val="1A4CE12F"/>
    <w:rsid w:val="1CBEC70A"/>
    <w:rsid w:val="1CCD33B2"/>
    <w:rsid w:val="1CF80169"/>
    <w:rsid w:val="1D1625B5"/>
    <w:rsid w:val="1DC30FCC"/>
    <w:rsid w:val="1EC530CB"/>
    <w:rsid w:val="1FD13A43"/>
    <w:rsid w:val="2003582D"/>
    <w:rsid w:val="201A59C2"/>
    <w:rsid w:val="2024EB8A"/>
    <w:rsid w:val="20312FEE"/>
    <w:rsid w:val="20971B26"/>
    <w:rsid w:val="22D619D9"/>
    <w:rsid w:val="244B1D2B"/>
    <w:rsid w:val="2466D483"/>
    <w:rsid w:val="24F53CC8"/>
    <w:rsid w:val="25AF6D91"/>
    <w:rsid w:val="25BD43D4"/>
    <w:rsid w:val="26871847"/>
    <w:rsid w:val="26A2F8C7"/>
    <w:rsid w:val="26AF3A3B"/>
    <w:rsid w:val="26E73FFE"/>
    <w:rsid w:val="271931FF"/>
    <w:rsid w:val="277FBA5C"/>
    <w:rsid w:val="27CD2AC0"/>
    <w:rsid w:val="27D2A780"/>
    <w:rsid w:val="290BF602"/>
    <w:rsid w:val="2A3D650F"/>
    <w:rsid w:val="2AE24F45"/>
    <w:rsid w:val="2B0761EF"/>
    <w:rsid w:val="2B1E880F"/>
    <w:rsid w:val="2B28E2A3"/>
    <w:rsid w:val="2B599C82"/>
    <w:rsid w:val="2C329606"/>
    <w:rsid w:val="2C4B865B"/>
    <w:rsid w:val="2C9AB369"/>
    <w:rsid w:val="2CC0D6D7"/>
    <w:rsid w:val="2CFCB0F7"/>
    <w:rsid w:val="2DFECB63"/>
    <w:rsid w:val="2E2D74C1"/>
    <w:rsid w:val="2E37A138"/>
    <w:rsid w:val="2E70341C"/>
    <w:rsid w:val="2EBB169D"/>
    <w:rsid w:val="2F9D57A1"/>
    <w:rsid w:val="300D27AD"/>
    <w:rsid w:val="304B30D7"/>
    <w:rsid w:val="30612E64"/>
    <w:rsid w:val="30ACF4BA"/>
    <w:rsid w:val="315BFDA3"/>
    <w:rsid w:val="3180B94C"/>
    <w:rsid w:val="31DFF96F"/>
    <w:rsid w:val="3217DD7C"/>
    <w:rsid w:val="32B57DBC"/>
    <w:rsid w:val="32CE07F7"/>
    <w:rsid w:val="32F4DA9A"/>
    <w:rsid w:val="3337650E"/>
    <w:rsid w:val="336844D4"/>
    <w:rsid w:val="3391DEBA"/>
    <w:rsid w:val="345E65A7"/>
    <w:rsid w:val="355C00D3"/>
    <w:rsid w:val="368DB9F0"/>
    <w:rsid w:val="368F1D39"/>
    <w:rsid w:val="3692830B"/>
    <w:rsid w:val="36E86955"/>
    <w:rsid w:val="3754E475"/>
    <w:rsid w:val="3781D432"/>
    <w:rsid w:val="39C90E08"/>
    <w:rsid w:val="3B53EF5C"/>
    <w:rsid w:val="3BBCA79E"/>
    <w:rsid w:val="3C8DFE3F"/>
    <w:rsid w:val="3D0FD567"/>
    <w:rsid w:val="3D15BE9F"/>
    <w:rsid w:val="3D7F8664"/>
    <w:rsid w:val="3E58E9FD"/>
    <w:rsid w:val="3E8A18FB"/>
    <w:rsid w:val="3EDDBF81"/>
    <w:rsid w:val="3F2F3234"/>
    <w:rsid w:val="3F40133A"/>
    <w:rsid w:val="40131797"/>
    <w:rsid w:val="4025E95C"/>
    <w:rsid w:val="4085EB55"/>
    <w:rsid w:val="40A624D5"/>
    <w:rsid w:val="40A6423F"/>
    <w:rsid w:val="411A3EB2"/>
    <w:rsid w:val="41B0CC36"/>
    <w:rsid w:val="41E66843"/>
    <w:rsid w:val="420590EB"/>
    <w:rsid w:val="421ADD6C"/>
    <w:rsid w:val="42427747"/>
    <w:rsid w:val="426532C8"/>
    <w:rsid w:val="426CB8EC"/>
    <w:rsid w:val="42EEC148"/>
    <w:rsid w:val="431D1887"/>
    <w:rsid w:val="4407278C"/>
    <w:rsid w:val="44328130"/>
    <w:rsid w:val="44A87763"/>
    <w:rsid w:val="44DE2556"/>
    <w:rsid w:val="45EFF975"/>
    <w:rsid w:val="46539FC5"/>
    <w:rsid w:val="4703FBE6"/>
    <w:rsid w:val="4719B4A2"/>
    <w:rsid w:val="477D991A"/>
    <w:rsid w:val="480A7974"/>
    <w:rsid w:val="482D7E5A"/>
    <w:rsid w:val="48AB8B0C"/>
    <w:rsid w:val="48B90A1D"/>
    <w:rsid w:val="491A8220"/>
    <w:rsid w:val="4946AEFD"/>
    <w:rsid w:val="49DCFD21"/>
    <w:rsid w:val="4A5FB0C1"/>
    <w:rsid w:val="4AEAE22C"/>
    <w:rsid w:val="4B17EC0F"/>
    <w:rsid w:val="4B2DF740"/>
    <w:rsid w:val="4B41C17E"/>
    <w:rsid w:val="4B45D4AF"/>
    <w:rsid w:val="4B6A4B27"/>
    <w:rsid w:val="4BBFBA6E"/>
    <w:rsid w:val="4CA8CBBA"/>
    <w:rsid w:val="4DDB3A25"/>
    <w:rsid w:val="4DFBEA66"/>
    <w:rsid w:val="4E37D30E"/>
    <w:rsid w:val="4F0F4F81"/>
    <w:rsid w:val="4F3A0826"/>
    <w:rsid w:val="4FEA8363"/>
    <w:rsid w:val="502C7D8A"/>
    <w:rsid w:val="50FE15CF"/>
    <w:rsid w:val="511BB5BB"/>
    <w:rsid w:val="5129EAA8"/>
    <w:rsid w:val="51D50EF4"/>
    <w:rsid w:val="523E6B45"/>
    <w:rsid w:val="52ABCEA2"/>
    <w:rsid w:val="52C61A36"/>
    <w:rsid w:val="52F8385A"/>
    <w:rsid w:val="53364114"/>
    <w:rsid w:val="535BA09D"/>
    <w:rsid w:val="540CFBF8"/>
    <w:rsid w:val="5547EF74"/>
    <w:rsid w:val="5551971A"/>
    <w:rsid w:val="556F8367"/>
    <w:rsid w:val="55FE7848"/>
    <w:rsid w:val="562AADC4"/>
    <w:rsid w:val="562E5FBC"/>
    <w:rsid w:val="56C30AED"/>
    <w:rsid w:val="56C44340"/>
    <w:rsid w:val="56E3F4C1"/>
    <w:rsid w:val="56F8615E"/>
    <w:rsid w:val="572828F3"/>
    <w:rsid w:val="576422AA"/>
    <w:rsid w:val="585D3141"/>
    <w:rsid w:val="5865009C"/>
    <w:rsid w:val="59D5F522"/>
    <w:rsid w:val="59F024EE"/>
    <w:rsid w:val="5A4699CC"/>
    <w:rsid w:val="5B5F68E0"/>
    <w:rsid w:val="5B6A5E48"/>
    <w:rsid w:val="5C38E7AC"/>
    <w:rsid w:val="5CA1BDDA"/>
    <w:rsid w:val="5D8DAFF8"/>
    <w:rsid w:val="5DE7C872"/>
    <w:rsid w:val="5DE7CC8B"/>
    <w:rsid w:val="5E89A931"/>
    <w:rsid w:val="5EBB3084"/>
    <w:rsid w:val="5FA0DB40"/>
    <w:rsid w:val="6058A2DA"/>
    <w:rsid w:val="60B66B21"/>
    <w:rsid w:val="6147D1D5"/>
    <w:rsid w:val="61B18DAD"/>
    <w:rsid w:val="61B6A825"/>
    <w:rsid w:val="621ED563"/>
    <w:rsid w:val="6278C75E"/>
    <w:rsid w:val="633188D9"/>
    <w:rsid w:val="633C317A"/>
    <w:rsid w:val="633CB7D0"/>
    <w:rsid w:val="637751D8"/>
    <w:rsid w:val="638857D7"/>
    <w:rsid w:val="647131D3"/>
    <w:rsid w:val="654B78C1"/>
    <w:rsid w:val="654B9CC1"/>
    <w:rsid w:val="65619429"/>
    <w:rsid w:val="65828ED8"/>
    <w:rsid w:val="66088114"/>
    <w:rsid w:val="662180CB"/>
    <w:rsid w:val="66446BC0"/>
    <w:rsid w:val="667F1222"/>
    <w:rsid w:val="67876A05"/>
    <w:rsid w:val="67BD669C"/>
    <w:rsid w:val="685252A7"/>
    <w:rsid w:val="68639A85"/>
    <w:rsid w:val="688D7E12"/>
    <w:rsid w:val="6930D460"/>
    <w:rsid w:val="697E2C7C"/>
    <w:rsid w:val="69DEA4B5"/>
    <w:rsid w:val="69FF71C7"/>
    <w:rsid w:val="6A28A155"/>
    <w:rsid w:val="6AB81A5B"/>
    <w:rsid w:val="6B1B38DE"/>
    <w:rsid w:val="6B422910"/>
    <w:rsid w:val="6B6D2F34"/>
    <w:rsid w:val="6B7F4473"/>
    <w:rsid w:val="6BC30B63"/>
    <w:rsid w:val="6BCB2BCE"/>
    <w:rsid w:val="6C4A04F8"/>
    <w:rsid w:val="6CDA6EE0"/>
    <w:rsid w:val="6CF90C44"/>
    <w:rsid w:val="6CFE0C0E"/>
    <w:rsid w:val="6D0BD23B"/>
    <w:rsid w:val="6DD7C638"/>
    <w:rsid w:val="6E97EAB6"/>
    <w:rsid w:val="6ED670F1"/>
    <w:rsid w:val="6F1CCC6A"/>
    <w:rsid w:val="6F58AF97"/>
    <w:rsid w:val="6FFD6E9E"/>
    <w:rsid w:val="706BB30B"/>
    <w:rsid w:val="708882B3"/>
    <w:rsid w:val="70AECAAA"/>
    <w:rsid w:val="70F575F3"/>
    <w:rsid w:val="718FC9E3"/>
    <w:rsid w:val="71F666E1"/>
    <w:rsid w:val="720731B8"/>
    <w:rsid w:val="7210914F"/>
    <w:rsid w:val="7345923A"/>
    <w:rsid w:val="73D6B89F"/>
    <w:rsid w:val="73F843FD"/>
    <w:rsid w:val="7490CBCB"/>
    <w:rsid w:val="75266B75"/>
    <w:rsid w:val="757060E2"/>
    <w:rsid w:val="75BAEE8F"/>
    <w:rsid w:val="763FB147"/>
    <w:rsid w:val="76706E86"/>
    <w:rsid w:val="768D6B9C"/>
    <w:rsid w:val="76A73256"/>
    <w:rsid w:val="76BBC548"/>
    <w:rsid w:val="771DD95D"/>
    <w:rsid w:val="776F86B9"/>
    <w:rsid w:val="778A6416"/>
    <w:rsid w:val="7832DAFE"/>
    <w:rsid w:val="78C49A99"/>
    <w:rsid w:val="78D4BC94"/>
    <w:rsid w:val="7A379E49"/>
    <w:rsid w:val="7A37F46A"/>
    <w:rsid w:val="7A61F47C"/>
    <w:rsid w:val="7ABB2C9F"/>
    <w:rsid w:val="7AF87BC1"/>
    <w:rsid w:val="7B8CB169"/>
    <w:rsid w:val="7BB5A871"/>
    <w:rsid w:val="7C25386E"/>
    <w:rsid w:val="7C2F3F36"/>
    <w:rsid w:val="7D3352A5"/>
    <w:rsid w:val="7DD2E769"/>
    <w:rsid w:val="7E8748C2"/>
    <w:rsid w:val="7ED9F5BC"/>
    <w:rsid w:val="7F146AAA"/>
    <w:rsid w:val="7F68BEC1"/>
    <w:rsid w:val="7FCEC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C5AB"/>
  <w15:chartTrackingRefBased/>
  <w15:docId w15:val="{411D89A8-3C6C-4EA4-B14F-5787516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514"/>
    <w:pPr>
      <w:spacing w:after="0" w:line="288" w:lineRule="auto"/>
      <w:jc w:val="both"/>
    </w:pPr>
    <w:rPr>
      <w:rFonts w:ascii="Verdana" w:eastAsiaTheme="minorEastAsia" w:hAnsi="Verdana"/>
      <w:kern w:val="0"/>
      <w:sz w:val="24"/>
      <w:szCs w:val="24"/>
      <w14:ligatures w14:val="none"/>
    </w:rPr>
  </w:style>
  <w:style w:type="paragraph" w:styleId="Heading1">
    <w:name w:val="heading 1"/>
    <w:basedOn w:val="Normal"/>
    <w:next w:val="Normal"/>
    <w:link w:val="Heading1Char"/>
    <w:uiPriority w:val="9"/>
    <w:qFormat/>
    <w:rsid w:val="00CE0514"/>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CE0514"/>
    <w:pPr>
      <w:keepNext/>
      <w:keepLines/>
      <w:spacing w:before="40" w:line="48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14"/>
    <w:rPr>
      <w:rFonts w:ascii="Verdana" w:eastAsiaTheme="majorEastAsia" w:hAnsi="Verdana" w:cstheme="majorBidi"/>
      <w:b/>
      <w:color w:val="77328A"/>
      <w:kern w:val="0"/>
      <w:sz w:val="30"/>
      <w:szCs w:val="32"/>
      <w14:ligatures w14:val="none"/>
    </w:rPr>
  </w:style>
  <w:style w:type="character" w:customStyle="1" w:styleId="Heading2Char">
    <w:name w:val="Heading 2 Char"/>
    <w:basedOn w:val="DefaultParagraphFont"/>
    <w:link w:val="Heading2"/>
    <w:uiPriority w:val="9"/>
    <w:rsid w:val="00CE0514"/>
    <w:rPr>
      <w:rFonts w:ascii="Verdana" w:eastAsiaTheme="majorEastAsia" w:hAnsi="Verdana" w:cstheme="majorBidi"/>
      <w:b/>
      <w:kern w:val="0"/>
      <w:sz w:val="24"/>
      <w:szCs w:val="26"/>
      <w14:ligatures w14:val="none"/>
    </w:rPr>
  </w:style>
  <w:style w:type="paragraph" w:customStyle="1" w:styleId="BasicParagraph">
    <w:name w:val="[Basic Paragraph]"/>
    <w:basedOn w:val="Normal"/>
    <w:uiPriority w:val="99"/>
    <w:rsid w:val="00CE0514"/>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CE0514"/>
    <w:pPr>
      <w:widowControl w:val="0"/>
      <w:autoSpaceDE w:val="0"/>
      <w:autoSpaceDN w:val="0"/>
      <w:adjustRightInd w:val="0"/>
      <w:spacing w:after="0" w:line="360" w:lineRule="auto"/>
      <w:jc w:val="both"/>
    </w:pPr>
    <w:rPr>
      <w:rFonts w:ascii="Verdana" w:eastAsiaTheme="minorEastAsia" w:hAnsi="Verdana" w:cs="Verdana"/>
      <w:color w:val="000000"/>
      <w:kern w:val="0"/>
      <w:sz w:val="24"/>
      <w:szCs w:val="24"/>
      <w:lang w:val="en-US"/>
      <w14:ligatures w14:val="non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CE0514"/>
    <w:rPr>
      <w:vertAlign w:val="superscript"/>
    </w:rPr>
  </w:style>
  <w:style w:type="paragraph" w:customStyle="1" w:styleId="NIHRCFootnotes">
    <w:name w:val="NIHRC Footnotes"/>
    <w:basedOn w:val="Normal"/>
    <w:qFormat/>
    <w:rsid w:val="00CE0514"/>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CE0514"/>
    <w:pPr>
      <w:numPr>
        <w:ilvl w:val="1"/>
        <w:numId w:val="1"/>
      </w:numPr>
      <w:spacing w:before="24" w:after="24"/>
      <w:contextualSpacing/>
    </w:pPr>
    <w:rPr>
      <w:rFonts w:eastAsia="Verdana" w:cs="Times New Roman"/>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CE0514"/>
    <w:pPr>
      <w:spacing w:after="160" w:line="240" w:lineRule="exact"/>
    </w:pPr>
    <w:rPr>
      <w:rFonts w:asciiTheme="minorHAnsi" w:eastAsiaTheme="minorHAnsi" w:hAnsiTheme="minorHAnsi"/>
      <w:kern w:val="2"/>
      <w:sz w:val="22"/>
      <w:szCs w:val="22"/>
      <w:vertAlign w:val="superscript"/>
      <w14:ligatures w14:val="standardContextual"/>
    </w:rPr>
  </w:style>
  <w:style w:type="paragraph" w:styleId="Quote">
    <w:name w:val="Quote"/>
    <w:basedOn w:val="Normal"/>
    <w:next w:val="Normal"/>
    <w:link w:val="QuoteChar"/>
    <w:uiPriority w:val="29"/>
    <w:qFormat/>
    <w:rsid w:val="00CE0514"/>
    <w:pPr>
      <w:ind w:left="862" w:right="862"/>
    </w:pPr>
    <w:rPr>
      <w:iCs/>
    </w:rPr>
  </w:style>
  <w:style w:type="character" w:customStyle="1" w:styleId="QuoteChar">
    <w:name w:val="Quote Char"/>
    <w:basedOn w:val="DefaultParagraphFont"/>
    <w:link w:val="Quote"/>
    <w:uiPriority w:val="29"/>
    <w:rsid w:val="00CE0514"/>
    <w:rPr>
      <w:rFonts w:ascii="Verdana" w:eastAsiaTheme="minorEastAsia" w:hAnsi="Verdana"/>
      <w:iCs/>
      <w:kern w:val="0"/>
      <w:sz w:val="24"/>
      <w:szCs w:val="24"/>
      <w14:ligatures w14:val="none"/>
    </w:rPr>
  </w:style>
  <w:style w:type="character" w:styleId="Hyperlink">
    <w:name w:val="Hyperlink"/>
    <w:basedOn w:val="DefaultParagraphFont"/>
    <w:uiPriority w:val="99"/>
    <w:unhideWhenUsed/>
    <w:rsid w:val="00CE0514"/>
    <w:rPr>
      <w:color w:val="0563C1" w:themeColor="hyperlink"/>
      <w:u w:val="single"/>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CE0514"/>
    <w:pPr>
      <w:spacing w:line="240" w:lineRule="auto"/>
      <w:jc w:val="left"/>
    </w:p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CE0514"/>
    <w:rPr>
      <w:rFonts w:ascii="Verdana" w:eastAsiaTheme="minorEastAsia" w:hAnsi="Verdana"/>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CE0514"/>
    <w:rPr>
      <w:rFonts w:ascii="Verdana" w:eastAsia="Verdana" w:hAnsi="Verdana" w:cs="Times New Roman"/>
      <w:kern w:val="0"/>
      <w:sz w:val="24"/>
      <w:szCs w:val="24"/>
      <w14:ligatures w14:val="none"/>
    </w:rPr>
  </w:style>
  <w:style w:type="character" w:styleId="Strong">
    <w:name w:val="Strong"/>
    <w:basedOn w:val="DefaultParagraphFont"/>
    <w:uiPriority w:val="22"/>
    <w:qFormat/>
    <w:rsid w:val="00CE0514"/>
    <w:rPr>
      <w:b/>
      <w:bCs/>
    </w:rPr>
  </w:style>
  <w:style w:type="character" w:styleId="CommentReference">
    <w:name w:val="annotation reference"/>
    <w:basedOn w:val="DefaultParagraphFont"/>
    <w:unhideWhenUsed/>
    <w:rsid w:val="00CE0514"/>
    <w:rPr>
      <w:sz w:val="16"/>
      <w:szCs w:val="16"/>
    </w:rPr>
  </w:style>
  <w:style w:type="paragraph" w:styleId="CommentText">
    <w:name w:val="annotation text"/>
    <w:basedOn w:val="Normal"/>
    <w:link w:val="CommentTextChar"/>
    <w:unhideWhenUsed/>
    <w:rsid w:val="00CE0514"/>
    <w:pPr>
      <w:spacing w:line="240" w:lineRule="auto"/>
    </w:pPr>
    <w:rPr>
      <w:sz w:val="20"/>
      <w:szCs w:val="20"/>
    </w:rPr>
  </w:style>
  <w:style w:type="character" w:customStyle="1" w:styleId="CommentTextChar">
    <w:name w:val="Comment Text Char"/>
    <w:basedOn w:val="DefaultParagraphFont"/>
    <w:link w:val="CommentText"/>
    <w:uiPriority w:val="99"/>
    <w:rsid w:val="00CE0514"/>
    <w:rPr>
      <w:rFonts w:ascii="Verdana" w:eastAsiaTheme="minorEastAsi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E0514"/>
    <w:rPr>
      <w:b/>
      <w:bCs/>
    </w:rPr>
  </w:style>
  <w:style w:type="character" w:customStyle="1" w:styleId="CommentSubjectChar">
    <w:name w:val="Comment Subject Char"/>
    <w:basedOn w:val="CommentTextChar"/>
    <w:link w:val="CommentSubject"/>
    <w:uiPriority w:val="99"/>
    <w:semiHidden/>
    <w:rsid w:val="00CE0514"/>
    <w:rPr>
      <w:rFonts w:ascii="Verdana" w:eastAsiaTheme="minorEastAsia" w:hAnsi="Verdana"/>
      <w:b/>
      <w:bCs/>
      <w:kern w:val="0"/>
      <w:sz w:val="20"/>
      <w:szCs w:val="20"/>
      <w14:ligatures w14:val="none"/>
    </w:rPr>
  </w:style>
  <w:style w:type="character" w:styleId="UnresolvedMention">
    <w:name w:val="Unresolved Mention"/>
    <w:basedOn w:val="DefaultParagraphFont"/>
    <w:uiPriority w:val="99"/>
    <w:semiHidden/>
    <w:unhideWhenUsed/>
    <w:rsid w:val="00CE0514"/>
    <w:rPr>
      <w:color w:val="605E5C"/>
      <w:shd w:val="clear" w:color="auto" w:fill="E1DFDD"/>
    </w:rPr>
  </w:style>
  <w:style w:type="numbering" w:customStyle="1" w:styleId="CurrentList1">
    <w:name w:val="Current List1"/>
    <w:uiPriority w:val="99"/>
    <w:rsid w:val="00CE0514"/>
    <w:pPr>
      <w:numPr>
        <w:numId w:val="2"/>
      </w:numPr>
    </w:pPr>
  </w:style>
  <w:style w:type="paragraph" w:styleId="Header">
    <w:name w:val="header"/>
    <w:basedOn w:val="Normal"/>
    <w:link w:val="HeaderChar"/>
    <w:uiPriority w:val="99"/>
    <w:unhideWhenUsed/>
    <w:rsid w:val="00CE0514"/>
    <w:pPr>
      <w:tabs>
        <w:tab w:val="center" w:pos="4513"/>
        <w:tab w:val="right" w:pos="9026"/>
      </w:tabs>
      <w:spacing w:line="240" w:lineRule="auto"/>
    </w:pPr>
  </w:style>
  <w:style w:type="character" w:customStyle="1" w:styleId="HeaderChar">
    <w:name w:val="Header Char"/>
    <w:basedOn w:val="DefaultParagraphFont"/>
    <w:link w:val="Header"/>
    <w:uiPriority w:val="99"/>
    <w:rsid w:val="00CE0514"/>
    <w:rPr>
      <w:rFonts w:ascii="Verdana" w:eastAsiaTheme="minorEastAsia" w:hAnsi="Verdana"/>
      <w:kern w:val="0"/>
      <w:sz w:val="24"/>
      <w:szCs w:val="24"/>
      <w14:ligatures w14:val="none"/>
    </w:rPr>
  </w:style>
  <w:style w:type="paragraph" w:styleId="Footer">
    <w:name w:val="footer"/>
    <w:basedOn w:val="Normal"/>
    <w:link w:val="FooterChar"/>
    <w:uiPriority w:val="99"/>
    <w:unhideWhenUsed/>
    <w:rsid w:val="00CE0514"/>
    <w:pPr>
      <w:tabs>
        <w:tab w:val="center" w:pos="4513"/>
        <w:tab w:val="right" w:pos="9026"/>
      </w:tabs>
      <w:spacing w:line="240" w:lineRule="auto"/>
    </w:pPr>
  </w:style>
  <w:style w:type="character" w:customStyle="1" w:styleId="FooterChar">
    <w:name w:val="Footer Char"/>
    <w:basedOn w:val="DefaultParagraphFont"/>
    <w:link w:val="Footer"/>
    <w:uiPriority w:val="99"/>
    <w:rsid w:val="00CE0514"/>
    <w:rPr>
      <w:rFonts w:ascii="Verdana" w:eastAsiaTheme="minorEastAsia" w:hAnsi="Verdana"/>
      <w:kern w:val="0"/>
      <w:sz w:val="24"/>
      <w:szCs w:val="24"/>
      <w14:ligatures w14:val="none"/>
    </w:rPr>
  </w:style>
  <w:style w:type="character" w:styleId="Emphasis">
    <w:name w:val="Emphasis"/>
    <w:basedOn w:val="DefaultParagraphFont"/>
    <w:uiPriority w:val="20"/>
    <w:qFormat/>
    <w:rsid w:val="00CE0514"/>
    <w:rPr>
      <w:i/>
      <w:iCs/>
    </w:rPr>
  </w:style>
  <w:style w:type="paragraph" w:styleId="TOCHeading">
    <w:name w:val="TOC Heading"/>
    <w:basedOn w:val="Heading1"/>
    <w:next w:val="Normal"/>
    <w:uiPriority w:val="39"/>
    <w:unhideWhenUsed/>
    <w:qFormat/>
    <w:rsid w:val="00CE0514"/>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BE14EF"/>
    <w:pPr>
      <w:tabs>
        <w:tab w:val="left" w:pos="660"/>
        <w:tab w:val="right" w:leader="dot" w:pos="9016"/>
      </w:tabs>
      <w:spacing w:after="100"/>
    </w:pPr>
    <w:rPr>
      <w:b/>
      <w:bCs/>
      <w:noProof/>
      <w:lang w:val="en" w:eastAsia="en-GB"/>
    </w:rPr>
  </w:style>
  <w:style w:type="paragraph" w:styleId="TOC2">
    <w:name w:val="toc 2"/>
    <w:basedOn w:val="Normal"/>
    <w:next w:val="Normal"/>
    <w:autoRedefine/>
    <w:uiPriority w:val="39"/>
    <w:unhideWhenUsed/>
    <w:rsid w:val="00CE0514"/>
    <w:pPr>
      <w:spacing w:after="100"/>
      <w:ind w:left="240"/>
    </w:pPr>
  </w:style>
  <w:style w:type="paragraph" w:styleId="Revision">
    <w:name w:val="Revision"/>
    <w:hidden/>
    <w:uiPriority w:val="99"/>
    <w:semiHidden/>
    <w:rsid w:val="00CE0514"/>
    <w:pPr>
      <w:spacing w:after="0" w:line="240" w:lineRule="auto"/>
    </w:pPr>
    <w:rPr>
      <w:rFonts w:ascii="Verdana" w:eastAsiaTheme="minorEastAsia" w:hAnsi="Verdana"/>
      <w:kern w:val="0"/>
      <w:sz w:val="24"/>
      <w:szCs w:val="24"/>
      <w14:ligatures w14:val="none"/>
    </w:rPr>
  </w:style>
  <w:style w:type="paragraph" w:customStyle="1" w:styleId="Footnote">
    <w:name w:val="Footnote"/>
    <w:basedOn w:val="FootnoteText"/>
    <w:link w:val="FootnoteChar"/>
    <w:qFormat/>
    <w:rsid w:val="0074013E"/>
    <w:rPr>
      <w:rFonts w:eastAsia="Verdana" w:cs="Verdana"/>
      <w:color w:val="77328A"/>
      <w:sz w:val="16"/>
      <w:szCs w:val="16"/>
      <w:lang w:eastAsia="en-GB"/>
    </w:rPr>
  </w:style>
  <w:style w:type="character" w:customStyle="1" w:styleId="FootnoteChar">
    <w:name w:val="Footnote Char"/>
    <w:basedOn w:val="DefaultParagraphFont"/>
    <w:link w:val="Footnote"/>
    <w:rsid w:val="0074013E"/>
    <w:rPr>
      <w:rFonts w:ascii="Verdana" w:eastAsia="Verdana" w:hAnsi="Verdana" w:cs="Verdana"/>
      <w:color w:val="77328A"/>
      <w:kern w:val="0"/>
      <w:sz w:val="16"/>
      <w:szCs w:val="16"/>
      <w:lang w:eastAsia="en-GB"/>
      <w14:ligatures w14:val="none"/>
    </w:rPr>
  </w:style>
  <w:style w:type="character" w:customStyle="1" w:styleId="markedcontent">
    <w:name w:val="markedcontent"/>
    <w:basedOn w:val="DefaultParagraphFont"/>
    <w:rsid w:val="00C4414A"/>
  </w:style>
  <w:style w:type="numbering" w:customStyle="1" w:styleId="LFO1">
    <w:name w:val="LFO1"/>
    <w:basedOn w:val="NoList"/>
    <w:rsid w:val="00AF1436"/>
    <w:pPr>
      <w:numPr>
        <w:numId w:val="5"/>
      </w:numPr>
    </w:pPr>
  </w:style>
  <w:style w:type="paragraph" w:customStyle="1" w:styleId="Bulletlist">
    <w:name w:val="Bullet list"/>
    <w:basedOn w:val="ListParagraph"/>
    <w:link w:val="BulletlistChar"/>
    <w:qFormat/>
    <w:rsid w:val="00AF1436"/>
    <w:pPr>
      <w:numPr>
        <w:ilvl w:val="0"/>
        <w:numId w:val="6"/>
      </w:numPr>
      <w:spacing w:before="0" w:after="0"/>
      <w:contextualSpacing w:val="0"/>
      <w:jc w:val="left"/>
    </w:pPr>
    <w:rPr>
      <w:rFonts w:asciiTheme="minorHAnsi" w:eastAsiaTheme="minorHAnsi" w:hAnsiTheme="minorHAnsi" w:cstheme="minorBidi"/>
      <w:sz w:val="28"/>
      <w:szCs w:val="28"/>
    </w:rPr>
  </w:style>
  <w:style w:type="character" w:customStyle="1" w:styleId="BulletlistChar">
    <w:name w:val="Bullet list Char"/>
    <w:basedOn w:val="DefaultParagraphFont"/>
    <w:link w:val="Bulletlist"/>
    <w:rsid w:val="00AF1436"/>
    <w:rPr>
      <w:kern w:val="0"/>
      <w:sz w:val="28"/>
      <w:szCs w:val="28"/>
      <w14:ligatures w14:val="none"/>
    </w:rPr>
  </w:style>
  <w:style w:type="character" w:customStyle="1" w:styleId="legds">
    <w:name w:val="legds"/>
    <w:basedOn w:val="DefaultParagraphFont"/>
    <w:rsid w:val="00AF1436"/>
  </w:style>
  <w:style w:type="character" w:styleId="Mention">
    <w:name w:val="Mention"/>
    <w:basedOn w:val="DefaultParagraphFont"/>
    <w:uiPriority w:val="99"/>
    <w:unhideWhenUsed/>
    <w:rsid w:val="00B30F96"/>
    <w:rPr>
      <w:color w:val="2B579A"/>
      <w:shd w:val="clear" w:color="auto" w:fill="E1DFDD"/>
    </w:rPr>
  </w:style>
  <w:style w:type="paragraph" w:styleId="NormalWeb">
    <w:name w:val="Normal (Web)"/>
    <w:basedOn w:val="Normal"/>
    <w:uiPriority w:val="99"/>
    <w:semiHidden/>
    <w:unhideWhenUsed/>
    <w:rsid w:val="00264C00"/>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0D58F0"/>
  </w:style>
  <w:style w:type="character" w:customStyle="1" w:styleId="eop">
    <w:name w:val="eop"/>
    <w:basedOn w:val="DefaultParagraphFont"/>
    <w:rsid w:val="000D58F0"/>
  </w:style>
  <w:style w:type="paragraph" w:customStyle="1" w:styleId="paragraph">
    <w:name w:val="paragraph"/>
    <w:basedOn w:val="Normal"/>
    <w:rsid w:val="000D58F0"/>
    <w:pPr>
      <w:spacing w:before="100" w:beforeAutospacing="1" w:after="100" w:afterAutospacing="1" w:line="240" w:lineRule="auto"/>
      <w:jc w:val="left"/>
    </w:pPr>
    <w:rPr>
      <w:rFonts w:ascii="Times New Roman" w:eastAsia="Times New Roman" w:hAnsi="Times New Roman" w:cs="Times New Roman"/>
      <w:lang w:eastAsia="en-GB"/>
      <w14:ligatures w14:val="standardContextual"/>
    </w:rPr>
  </w:style>
  <w:style w:type="character" w:customStyle="1" w:styleId="superscript">
    <w:name w:val="superscript"/>
    <w:basedOn w:val="DefaultParagraphFont"/>
    <w:rsid w:val="000D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50354">
      <w:bodyDiv w:val="1"/>
      <w:marLeft w:val="0"/>
      <w:marRight w:val="0"/>
      <w:marTop w:val="0"/>
      <w:marBottom w:val="0"/>
      <w:divBdr>
        <w:top w:val="none" w:sz="0" w:space="0" w:color="auto"/>
        <w:left w:val="none" w:sz="0" w:space="0" w:color="auto"/>
        <w:bottom w:val="none" w:sz="0" w:space="0" w:color="auto"/>
        <w:right w:val="none" w:sz="0" w:space="0" w:color="auto"/>
      </w:divBdr>
    </w:div>
    <w:div w:id="254170520">
      <w:bodyDiv w:val="1"/>
      <w:marLeft w:val="0"/>
      <w:marRight w:val="0"/>
      <w:marTop w:val="0"/>
      <w:marBottom w:val="0"/>
      <w:divBdr>
        <w:top w:val="none" w:sz="0" w:space="0" w:color="auto"/>
        <w:left w:val="none" w:sz="0" w:space="0" w:color="auto"/>
        <w:bottom w:val="none" w:sz="0" w:space="0" w:color="auto"/>
        <w:right w:val="none" w:sz="0" w:space="0" w:color="auto"/>
      </w:divBdr>
    </w:div>
    <w:div w:id="547650620">
      <w:bodyDiv w:val="1"/>
      <w:marLeft w:val="0"/>
      <w:marRight w:val="0"/>
      <w:marTop w:val="0"/>
      <w:marBottom w:val="0"/>
      <w:divBdr>
        <w:top w:val="none" w:sz="0" w:space="0" w:color="auto"/>
        <w:left w:val="none" w:sz="0" w:space="0" w:color="auto"/>
        <w:bottom w:val="none" w:sz="0" w:space="0" w:color="auto"/>
        <w:right w:val="none" w:sz="0" w:space="0" w:color="auto"/>
      </w:divBdr>
    </w:div>
    <w:div w:id="681863454">
      <w:bodyDiv w:val="1"/>
      <w:marLeft w:val="0"/>
      <w:marRight w:val="0"/>
      <w:marTop w:val="0"/>
      <w:marBottom w:val="0"/>
      <w:divBdr>
        <w:top w:val="none" w:sz="0" w:space="0" w:color="auto"/>
        <w:left w:val="none" w:sz="0" w:space="0" w:color="auto"/>
        <w:bottom w:val="none" w:sz="0" w:space="0" w:color="auto"/>
        <w:right w:val="none" w:sz="0" w:space="0" w:color="auto"/>
      </w:divBdr>
    </w:div>
    <w:div w:id="818376869">
      <w:bodyDiv w:val="1"/>
      <w:marLeft w:val="0"/>
      <w:marRight w:val="0"/>
      <w:marTop w:val="0"/>
      <w:marBottom w:val="0"/>
      <w:divBdr>
        <w:top w:val="none" w:sz="0" w:space="0" w:color="auto"/>
        <w:left w:val="none" w:sz="0" w:space="0" w:color="auto"/>
        <w:bottom w:val="none" w:sz="0" w:space="0" w:color="auto"/>
        <w:right w:val="none" w:sz="0" w:space="0" w:color="auto"/>
      </w:divBdr>
    </w:div>
    <w:div w:id="837576703">
      <w:bodyDiv w:val="1"/>
      <w:marLeft w:val="0"/>
      <w:marRight w:val="0"/>
      <w:marTop w:val="0"/>
      <w:marBottom w:val="0"/>
      <w:divBdr>
        <w:top w:val="none" w:sz="0" w:space="0" w:color="auto"/>
        <w:left w:val="none" w:sz="0" w:space="0" w:color="auto"/>
        <w:bottom w:val="none" w:sz="0" w:space="0" w:color="auto"/>
        <w:right w:val="none" w:sz="0" w:space="0" w:color="auto"/>
      </w:divBdr>
    </w:div>
    <w:div w:id="1127971500">
      <w:bodyDiv w:val="1"/>
      <w:marLeft w:val="0"/>
      <w:marRight w:val="0"/>
      <w:marTop w:val="0"/>
      <w:marBottom w:val="0"/>
      <w:divBdr>
        <w:top w:val="none" w:sz="0" w:space="0" w:color="auto"/>
        <w:left w:val="none" w:sz="0" w:space="0" w:color="auto"/>
        <w:bottom w:val="none" w:sz="0" w:space="0" w:color="auto"/>
        <w:right w:val="none" w:sz="0" w:space="0" w:color="auto"/>
      </w:divBdr>
    </w:div>
    <w:div w:id="14453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special-procedures/sr-cultural-rights/universality-and-diversity" TargetMode="External"/><Relationship Id="rId7" Type="http://schemas.openxmlformats.org/officeDocument/2006/relationships/hyperlink" Target="https://www.parliament.uk/site-information/glossary/parliamentary-sovereignty" TargetMode="External"/><Relationship Id="rId2" Type="http://schemas.openxmlformats.org/officeDocument/2006/relationships/hyperlink" Target="https://www.equalityni.org/ECNI/media/ECNI/Publications/Delivering%20Equality/DMU/NIHRC-ECNI-Scope-of-Protocol-Working-Paper-December-2022.pdf" TargetMode="External"/><Relationship Id="rId1" Type="http://schemas.openxmlformats.org/officeDocument/2006/relationships/hyperlink" Target="https://www.equalityni.org/ECNI/media/ECNI/Publications/Delivering%20Equality/DMU/NIHRC-ECNI-Scope-of-Protocol-Working-Paper-December-2022.pdf" TargetMode="External"/><Relationship Id="rId6" Type="http://schemas.openxmlformats.org/officeDocument/2006/relationships/hyperlink" Target="https://www.parliament.uk/site-information/glossary/parliamentary-sovereignty" TargetMode="External"/><Relationship Id="rId5" Type="http://schemas.openxmlformats.org/officeDocument/2006/relationships/hyperlink" Target="https://www.ohchr.org/en/hr-bodies/upr/rw-index" TargetMode="External"/><Relationship Id="rId4" Type="http://schemas.openxmlformats.org/officeDocument/2006/relationships/hyperlink" Target="https://www.gov.uk/government/publications/human-rights-and-democracy-report-2022/human-rights-and-democracy-the-2022-foreign-commonwealth-development-offic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9AA97516-A9D3-490C-9D22-BEC44C83ED96}">
  <ds:schemaRefs>
    <ds:schemaRef ds:uri="http://schemas.openxmlformats.org/officeDocument/2006/bibliography"/>
  </ds:schemaRefs>
</ds:datastoreItem>
</file>

<file path=customXml/itemProps2.xml><?xml version="1.0" encoding="utf-8"?>
<ds:datastoreItem xmlns:ds="http://schemas.openxmlformats.org/officeDocument/2006/customXml" ds:itemID="{C92787E1-7DAD-42A7-BA2A-0D2F405DE55F}">
  <ds:schemaRefs>
    <ds:schemaRef ds:uri="http://schemas.microsoft.com/sharepoint/v3/contenttype/forms"/>
  </ds:schemaRefs>
</ds:datastoreItem>
</file>

<file path=customXml/itemProps3.xml><?xml version="1.0" encoding="utf-8"?>
<ds:datastoreItem xmlns:ds="http://schemas.openxmlformats.org/officeDocument/2006/customXml" ds:itemID="{B14CBEDC-1A61-431C-ABA3-DF56C1CF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43DDA-F069-4EBA-B53F-C1D98DF0AC70}">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8520</Words>
  <Characters>48569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56976</CharactersWithSpaces>
  <SharedDoc>false</SharedDoc>
  <HLinks>
    <vt:vector size="144" baseType="variant">
      <vt:variant>
        <vt:i4>6946881</vt:i4>
      </vt:variant>
      <vt:variant>
        <vt:i4>93</vt:i4>
      </vt:variant>
      <vt:variant>
        <vt:i4>0</vt:i4>
      </vt:variant>
      <vt:variant>
        <vt:i4>5</vt:i4>
      </vt:variant>
      <vt:variant>
        <vt:lpwstr>mailto:info@nihrc.org</vt:lpwstr>
      </vt:variant>
      <vt:variant>
        <vt:lpwstr/>
      </vt:variant>
      <vt:variant>
        <vt:i4>4587543</vt:i4>
      </vt:variant>
      <vt:variant>
        <vt:i4>90</vt:i4>
      </vt:variant>
      <vt:variant>
        <vt:i4>0</vt:i4>
      </vt:variant>
      <vt:variant>
        <vt:i4>5</vt:i4>
      </vt:variant>
      <vt:variant>
        <vt:lpwstr>http://www.nihrc.org/</vt:lpwstr>
      </vt:variant>
      <vt:variant>
        <vt:lpwstr/>
      </vt:variant>
      <vt:variant>
        <vt:i4>6881286</vt:i4>
      </vt:variant>
      <vt:variant>
        <vt:i4>87</vt:i4>
      </vt:variant>
      <vt:variant>
        <vt:i4>0</vt:i4>
      </vt:variant>
      <vt:variant>
        <vt:i4>5</vt:i4>
      </vt:variant>
      <vt:variant>
        <vt:lpwstr>mailto:Colin.Caughey@nihrc.org</vt:lpwstr>
      </vt:variant>
      <vt:variant>
        <vt:lpwstr/>
      </vt:variant>
      <vt:variant>
        <vt:i4>1769526</vt:i4>
      </vt:variant>
      <vt:variant>
        <vt:i4>80</vt:i4>
      </vt:variant>
      <vt:variant>
        <vt:i4>0</vt:i4>
      </vt:variant>
      <vt:variant>
        <vt:i4>5</vt:i4>
      </vt:variant>
      <vt:variant>
        <vt:lpwstr/>
      </vt:variant>
      <vt:variant>
        <vt:lpwstr>_Toc156823325</vt:lpwstr>
      </vt:variant>
      <vt:variant>
        <vt:i4>1769526</vt:i4>
      </vt:variant>
      <vt:variant>
        <vt:i4>74</vt:i4>
      </vt:variant>
      <vt:variant>
        <vt:i4>0</vt:i4>
      </vt:variant>
      <vt:variant>
        <vt:i4>5</vt:i4>
      </vt:variant>
      <vt:variant>
        <vt:lpwstr/>
      </vt:variant>
      <vt:variant>
        <vt:lpwstr>_Toc156823324</vt:lpwstr>
      </vt:variant>
      <vt:variant>
        <vt:i4>1769526</vt:i4>
      </vt:variant>
      <vt:variant>
        <vt:i4>68</vt:i4>
      </vt:variant>
      <vt:variant>
        <vt:i4>0</vt:i4>
      </vt:variant>
      <vt:variant>
        <vt:i4>5</vt:i4>
      </vt:variant>
      <vt:variant>
        <vt:lpwstr/>
      </vt:variant>
      <vt:variant>
        <vt:lpwstr>_Toc156823323</vt:lpwstr>
      </vt:variant>
      <vt:variant>
        <vt:i4>1769526</vt:i4>
      </vt:variant>
      <vt:variant>
        <vt:i4>62</vt:i4>
      </vt:variant>
      <vt:variant>
        <vt:i4>0</vt:i4>
      </vt:variant>
      <vt:variant>
        <vt:i4>5</vt:i4>
      </vt:variant>
      <vt:variant>
        <vt:lpwstr/>
      </vt:variant>
      <vt:variant>
        <vt:lpwstr>_Toc156823322</vt:lpwstr>
      </vt:variant>
      <vt:variant>
        <vt:i4>1769526</vt:i4>
      </vt:variant>
      <vt:variant>
        <vt:i4>56</vt:i4>
      </vt:variant>
      <vt:variant>
        <vt:i4>0</vt:i4>
      </vt:variant>
      <vt:variant>
        <vt:i4>5</vt:i4>
      </vt:variant>
      <vt:variant>
        <vt:lpwstr/>
      </vt:variant>
      <vt:variant>
        <vt:lpwstr>_Toc156823321</vt:lpwstr>
      </vt:variant>
      <vt:variant>
        <vt:i4>1769526</vt:i4>
      </vt:variant>
      <vt:variant>
        <vt:i4>50</vt:i4>
      </vt:variant>
      <vt:variant>
        <vt:i4>0</vt:i4>
      </vt:variant>
      <vt:variant>
        <vt:i4>5</vt:i4>
      </vt:variant>
      <vt:variant>
        <vt:lpwstr/>
      </vt:variant>
      <vt:variant>
        <vt:lpwstr>_Toc156823320</vt:lpwstr>
      </vt:variant>
      <vt:variant>
        <vt:i4>1572918</vt:i4>
      </vt:variant>
      <vt:variant>
        <vt:i4>44</vt:i4>
      </vt:variant>
      <vt:variant>
        <vt:i4>0</vt:i4>
      </vt:variant>
      <vt:variant>
        <vt:i4>5</vt:i4>
      </vt:variant>
      <vt:variant>
        <vt:lpwstr/>
      </vt:variant>
      <vt:variant>
        <vt:lpwstr>_Toc156823319</vt:lpwstr>
      </vt:variant>
      <vt:variant>
        <vt:i4>1572918</vt:i4>
      </vt:variant>
      <vt:variant>
        <vt:i4>38</vt:i4>
      </vt:variant>
      <vt:variant>
        <vt:i4>0</vt:i4>
      </vt:variant>
      <vt:variant>
        <vt:i4>5</vt:i4>
      </vt:variant>
      <vt:variant>
        <vt:lpwstr/>
      </vt:variant>
      <vt:variant>
        <vt:lpwstr>_Toc156823318</vt:lpwstr>
      </vt:variant>
      <vt:variant>
        <vt:i4>1572918</vt:i4>
      </vt:variant>
      <vt:variant>
        <vt:i4>32</vt:i4>
      </vt:variant>
      <vt:variant>
        <vt:i4>0</vt:i4>
      </vt:variant>
      <vt:variant>
        <vt:i4>5</vt:i4>
      </vt:variant>
      <vt:variant>
        <vt:lpwstr/>
      </vt:variant>
      <vt:variant>
        <vt:lpwstr>_Toc156823317</vt:lpwstr>
      </vt:variant>
      <vt:variant>
        <vt:i4>1572918</vt:i4>
      </vt:variant>
      <vt:variant>
        <vt:i4>26</vt:i4>
      </vt:variant>
      <vt:variant>
        <vt:i4>0</vt:i4>
      </vt:variant>
      <vt:variant>
        <vt:i4>5</vt:i4>
      </vt:variant>
      <vt:variant>
        <vt:lpwstr/>
      </vt:variant>
      <vt:variant>
        <vt:lpwstr>_Toc156823316</vt:lpwstr>
      </vt:variant>
      <vt:variant>
        <vt:i4>1572918</vt:i4>
      </vt:variant>
      <vt:variant>
        <vt:i4>20</vt:i4>
      </vt:variant>
      <vt:variant>
        <vt:i4>0</vt:i4>
      </vt:variant>
      <vt:variant>
        <vt:i4>5</vt:i4>
      </vt:variant>
      <vt:variant>
        <vt:lpwstr/>
      </vt:variant>
      <vt:variant>
        <vt:lpwstr>_Toc156823315</vt:lpwstr>
      </vt:variant>
      <vt:variant>
        <vt:i4>1572918</vt:i4>
      </vt:variant>
      <vt:variant>
        <vt:i4>14</vt:i4>
      </vt:variant>
      <vt:variant>
        <vt:i4>0</vt:i4>
      </vt:variant>
      <vt:variant>
        <vt:i4>5</vt:i4>
      </vt:variant>
      <vt:variant>
        <vt:lpwstr/>
      </vt:variant>
      <vt:variant>
        <vt:lpwstr>_Toc156823314</vt:lpwstr>
      </vt:variant>
      <vt:variant>
        <vt:i4>1572918</vt:i4>
      </vt:variant>
      <vt:variant>
        <vt:i4>8</vt:i4>
      </vt:variant>
      <vt:variant>
        <vt:i4>0</vt:i4>
      </vt:variant>
      <vt:variant>
        <vt:i4>5</vt:i4>
      </vt:variant>
      <vt:variant>
        <vt:lpwstr/>
      </vt:variant>
      <vt:variant>
        <vt:lpwstr>_Toc156823313</vt:lpwstr>
      </vt:variant>
      <vt:variant>
        <vt:i4>1572918</vt:i4>
      </vt:variant>
      <vt:variant>
        <vt:i4>2</vt:i4>
      </vt:variant>
      <vt:variant>
        <vt:i4>0</vt:i4>
      </vt:variant>
      <vt:variant>
        <vt:i4>5</vt:i4>
      </vt:variant>
      <vt:variant>
        <vt:lpwstr/>
      </vt:variant>
      <vt:variant>
        <vt:lpwstr>_Toc156823312</vt:lpwstr>
      </vt:variant>
      <vt:variant>
        <vt:i4>24</vt:i4>
      </vt:variant>
      <vt:variant>
        <vt:i4>18</vt:i4>
      </vt:variant>
      <vt:variant>
        <vt:i4>0</vt:i4>
      </vt:variant>
      <vt:variant>
        <vt:i4>5</vt:i4>
      </vt:variant>
      <vt:variant>
        <vt:lpwstr>https://www.parliament.uk/site-information/glossary/parliamentary-sovereignty</vt:lpwstr>
      </vt:variant>
      <vt:variant>
        <vt:lpwstr/>
      </vt:variant>
      <vt:variant>
        <vt:i4>24</vt:i4>
      </vt:variant>
      <vt:variant>
        <vt:i4>15</vt:i4>
      </vt:variant>
      <vt:variant>
        <vt:i4>0</vt:i4>
      </vt:variant>
      <vt:variant>
        <vt:i4>5</vt:i4>
      </vt:variant>
      <vt:variant>
        <vt:lpwstr>https://www.parliament.uk/site-information/glossary/parliamentary-sovereignty</vt:lpwstr>
      </vt:variant>
      <vt:variant>
        <vt:lpwstr/>
      </vt:variant>
      <vt:variant>
        <vt:i4>3539047</vt:i4>
      </vt:variant>
      <vt:variant>
        <vt:i4>12</vt:i4>
      </vt:variant>
      <vt:variant>
        <vt:i4>0</vt:i4>
      </vt:variant>
      <vt:variant>
        <vt:i4>5</vt:i4>
      </vt:variant>
      <vt:variant>
        <vt:lpwstr>https://www.ohchr.org/en/hr-bodies/upr/rw-index</vt:lpwstr>
      </vt:variant>
      <vt:variant>
        <vt:lpwstr/>
      </vt:variant>
      <vt:variant>
        <vt:i4>2949216</vt:i4>
      </vt:variant>
      <vt:variant>
        <vt:i4>9</vt:i4>
      </vt:variant>
      <vt:variant>
        <vt:i4>0</vt:i4>
      </vt:variant>
      <vt:variant>
        <vt:i4>5</vt:i4>
      </vt:variant>
      <vt:variant>
        <vt:lpwstr>https://www.gov.uk/government/publications/human-rights-and-democracy-report-2022/human-rights-and-democracy-the-2022-foreign-commonwealth-development-office-report</vt:lpwstr>
      </vt:variant>
      <vt:variant>
        <vt:lpwstr>chapter-4-safeguarding-human-rights</vt:lpwstr>
      </vt:variant>
      <vt:variant>
        <vt:i4>4325455</vt:i4>
      </vt:variant>
      <vt:variant>
        <vt:i4>6</vt:i4>
      </vt:variant>
      <vt:variant>
        <vt:i4>0</vt:i4>
      </vt:variant>
      <vt:variant>
        <vt:i4>5</vt:i4>
      </vt:variant>
      <vt:variant>
        <vt:lpwstr>https://www.ohchr.org/en/special-procedures/sr-cultural-rights/universality-and-diversity</vt:lpwstr>
      </vt:variant>
      <vt:variant>
        <vt:lpwstr/>
      </vt:variant>
      <vt:variant>
        <vt:i4>5570639</vt:i4>
      </vt:variant>
      <vt:variant>
        <vt:i4>3</vt:i4>
      </vt:variant>
      <vt:variant>
        <vt:i4>0</vt:i4>
      </vt:variant>
      <vt:variant>
        <vt:i4>5</vt:i4>
      </vt:variant>
      <vt:variant>
        <vt:lpwstr>https://www.equalityni.org/ECNI/media/ECNI/Publications/Delivering Equality/DMU/NIHRC-ECNI-Scope-of-Protocol-Working-Paper-December-2022.pdf</vt:lpwstr>
      </vt:variant>
      <vt:variant>
        <vt:lpwstr/>
      </vt:variant>
      <vt:variant>
        <vt:i4>5570639</vt:i4>
      </vt:variant>
      <vt:variant>
        <vt:i4>0</vt:i4>
      </vt:variant>
      <vt:variant>
        <vt:i4>0</vt:i4>
      </vt:variant>
      <vt:variant>
        <vt:i4>5</vt:i4>
      </vt:variant>
      <vt:variant>
        <vt:lpwstr>https://www.equalityni.org/ECNI/media/ECNI/Publications/Delivering Equality/DMU/NIHRC-ECNI-Scope-of-Protocol-Working-Paper-December-2022.pdf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Jason McKeown</cp:lastModifiedBy>
  <cp:revision>2</cp:revision>
  <cp:lastPrinted>2024-01-23T10:54:00Z</cp:lastPrinted>
  <dcterms:created xsi:type="dcterms:W3CDTF">2024-01-23T15:28:00Z</dcterms:created>
  <dcterms:modified xsi:type="dcterms:W3CDTF">2024-01-23T15:28:00Z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