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51B1" w14:textId="77777777" w:rsidR="00F24261" w:rsidRDefault="00F24261" w:rsidP="00F24261">
      <w:pPr>
        <w:rPr>
          <w:rFonts w:ascii="Verdana" w:hAnsi="Verdana"/>
          <w:b/>
          <w:bCs/>
          <w:color w:val="77328A"/>
          <w:sz w:val="32"/>
          <w:szCs w:val="32"/>
        </w:rPr>
      </w:pPr>
    </w:p>
    <w:p w14:paraId="64224F5C" w14:textId="2972CB32" w:rsidR="00F24261" w:rsidRDefault="00F24261" w:rsidP="00F24261">
      <w:pPr>
        <w:jc w:val="center"/>
        <w:rPr>
          <w:rFonts w:ascii="Verdana" w:hAnsi="Verdana"/>
          <w:b/>
          <w:bCs/>
          <w:color w:val="77328A"/>
          <w:sz w:val="32"/>
          <w:szCs w:val="32"/>
        </w:rPr>
      </w:pPr>
      <w:r w:rsidRPr="00EA12CE">
        <w:rPr>
          <w:rFonts w:ascii="Verdana" w:hAnsi="Verdana" w:cs="Arial"/>
          <w:b/>
          <w:bCs/>
          <w:noProof/>
          <w:color w:val="734791"/>
          <w:sz w:val="36"/>
          <w:szCs w:val="36"/>
          <w:lang w:eastAsia="en-GB"/>
        </w:rPr>
        <w:drawing>
          <wp:inline distT="0" distB="0" distL="0" distR="0" wp14:anchorId="33EA180E" wp14:editId="29A0A2B1">
            <wp:extent cx="2430162" cy="3247437"/>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316" cy="3259670"/>
                    </a:xfrm>
                    <a:prstGeom prst="rect">
                      <a:avLst/>
                    </a:prstGeom>
                    <a:noFill/>
                    <a:ln>
                      <a:noFill/>
                    </a:ln>
                  </pic:spPr>
                </pic:pic>
              </a:graphicData>
            </a:graphic>
          </wp:inline>
        </w:drawing>
      </w:r>
    </w:p>
    <w:p w14:paraId="46F0D4F1" w14:textId="77777777" w:rsidR="0026407A" w:rsidRDefault="0026407A" w:rsidP="00F24261">
      <w:pPr>
        <w:jc w:val="center"/>
        <w:rPr>
          <w:rFonts w:ascii="Verdana" w:hAnsi="Verdana"/>
          <w:b/>
          <w:bCs/>
          <w:color w:val="77328A"/>
          <w:sz w:val="36"/>
          <w:szCs w:val="36"/>
        </w:rPr>
      </w:pPr>
    </w:p>
    <w:p w14:paraId="4D6BFFA5" w14:textId="77777777" w:rsidR="00F24261" w:rsidRPr="00F24261" w:rsidRDefault="00586ABA" w:rsidP="00F24261">
      <w:pPr>
        <w:jc w:val="center"/>
        <w:rPr>
          <w:rFonts w:ascii="Verdana" w:hAnsi="Verdana"/>
          <w:b/>
          <w:bCs/>
          <w:color w:val="77328A"/>
          <w:sz w:val="36"/>
          <w:szCs w:val="36"/>
        </w:rPr>
      </w:pPr>
      <w:r w:rsidRPr="00F24261">
        <w:rPr>
          <w:rFonts w:ascii="Verdana" w:hAnsi="Verdana"/>
          <w:b/>
          <w:bCs/>
          <w:color w:val="77328A"/>
          <w:sz w:val="36"/>
          <w:szCs w:val="36"/>
        </w:rPr>
        <w:t>Windsor Framework Article 2 and the rights of Refugees and Asylum-Seekers</w:t>
      </w:r>
      <w:r w:rsidR="006D5BDD" w:rsidRPr="00F24261">
        <w:rPr>
          <w:rFonts w:ascii="Verdana" w:hAnsi="Verdana"/>
          <w:b/>
          <w:bCs/>
          <w:color w:val="77328A"/>
          <w:sz w:val="36"/>
          <w:szCs w:val="36"/>
        </w:rPr>
        <w:t xml:space="preserve"> </w:t>
      </w:r>
    </w:p>
    <w:p w14:paraId="0741615D" w14:textId="4A11D647" w:rsidR="00F24261" w:rsidRPr="00F24261" w:rsidRDefault="00F24261" w:rsidP="00F24261">
      <w:pPr>
        <w:jc w:val="center"/>
        <w:rPr>
          <w:rFonts w:ascii="Verdana" w:hAnsi="Verdana"/>
          <w:b/>
          <w:bCs/>
          <w:color w:val="77328A"/>
          <w:sz w:val="36"/>
          <w:szCs w:val="36"/>
        </w:rPr>
      </w:pPr>
      <w:r w:rsidRPr="00F24261">
        <w:rPr>
          <w:rFonts w:ascii="Verdana" w:hAnsi="Verdana"/>
          <w:b/>
          <w:bCs/>
          <w:color w:val="77328A"/>
          <w:sz w:val="36"/>
          <w:szCs w:val="36"/>
        </w:rPr>
        <w:t xml:space="preserve">Briefing </w:t>
      </w:r>
      <w:r w:rsidR="00F46679" w:rsidRPr="00F24261">
        <w:rPr>
          <w:rFonts w:ascii="Verdana" w:hAnsi="Verdana"/>
          <w:b/>
          <w:bCs/>
          <w:color w:val="77328A"/>
          <w:sz w:val="36"/>
          <w:szCs w:val="36"/>
        </w:rPr>
        <w:t xml:space="preserve">and </w:t>
      </w:r>
      <w:r w:rsidR="001C6920" w:rsidRPr="00F24261">
        <w:rPr>
          <w:rFonts w:ascii="Verdana" w:hAnsi="Verdana"/>
          <w:b/>
          <w:bCs/>
          <w:color w:val="77328A"/>
          <w:sz w:val="36"/>
          <w:szCs w:val="36"/>
        </w:rPr>
        <w:t>Recommendations</w:t>
      </w:r>
    </w:p>
    <w:p w14:paraId="76ECB750" w14:textId="77777777" w:rsidR="00F24261" w:rsidRDefault="00F24261" w:rsidP="00F24261">
      <w:pPr>
        <w:jc w:val="center"/>
        <w:rPr>
          <w:rFonts w:ascii="Verdana" w:hAnsi="Verdana"/>
          <w:b/>
          <w:bCs/>
          <w:color w:val="77328A"/>
          <w:sz w:val="32"/>
          <w:szCs w:val="32"/>
        </w:rPr>
      </w:pPr>
    </w:p>
    <w:p w14:paraId="53342B85" w14:textId="6AEBBE8A" w:rsidR="00F24261" w:rsidRPr="00F24261" w:rsidRDefault="005E1FEF" w:rsidP="00F24261">
      <w:pPr>
        <w:jc w:val="center"/>
        <w:rPr>
          <w:rFonts w:ascii="Verdana" w:hAnsi="Verdana"/>
          <w:b/>
          <w:bCs/>
          <w:sz w:val="28"/>
          <w:szCs w:val="28"/>
        </w:rPr>
      </w:pPr>
      <w:r>
        <w:rPr>
          <w:rFonts w:ascii="Verdana" w:hAnsi="Verdana"/>
          <w:b/>
          <w:bCs/>
          <w:sz w:val="28"/>
          <w:szCs w:val="28"/>
        </w:rPr>
        <w:t>November</w:t>
      </w:r>
      <w:r w:rsidR="00F24261" w:rsidRPr="00F24261">
        <w:rPr>
          <w:rFonts w:ascii="Verdana" w:hAnsi="Verdana"/>
          <w:b/>
          <w:bCs/>
          <w:sz w:val="28"/>
          <w:szCs w:val="28"/>
        </w:rPr>
        <w:t xml:space="preserve"> 2023</w:t>
      </w:r>
    </w:p>
    <w:p w14:paraId="29564B5E" w14:textId="77777777" w:rsidR="00F24261" w:rsidRDefault="00F24261" w:rsidP="00F24261">
      <w:pPr>
        <w:rPr>
          <w:rFonts w:ascii="Verdana" w:hAnsi="Verdana"/>
          <w:b/>
          <w:bCs/>
          <w:color w:val="77328A"/>
          <w:sz w:val="32"/>
          <w:szCs w:val="32"/>
        </w:rPr>
      </w:pPr>
      <w:r>
        <w:rPr>
          <w:rFonts w:ascii="Verdana" w:hAnsi="Verdana"/>
          <w:b/>
          <w:bCs/>
          <w:color w:val="77328A"/>
          <w:sz w:val="32"/>
          <w:szCs w:val="32"/>
        </w:rPr>
        <w:br w:type="page"/>
      </w:r>
    </w:p>
    <w:p w14:paraId="14E2A665" w14:textId="77777777" w:rsidR="00586ABA" w:rsidRDefault="00586ABA" w:rsidP="00F24261">
      <w:pPr>
        <w:rPr>
          <w:b/>
          <w:bCs/>
          <w:szCs w:val="24"/>
        </w:rPr>
      </w:pPr>
    </w:p>
    <w:bookmarkStart w:id="0" w:name="_Toc134622733" w:displacedByCustomXml="next"/>
    <w:bookmarkStart w:id="1" w:name="_Toc134614506" w:displacedByCustomXml="next"/>
    <w:sdt>
      <w:sdtPr>
        <w:rPr>
          <w:rFonts w:asciiTheme="minorHAnsi" w:eastAsiaTheme="minorEastAsia" w:hAnsiTheme="minorHAnsi" w:cstheme="minorBidi"/>
          <w:b w:val="0"/>
          <w:color w:val="auto"/>
          <w:sz w:val="24"/>
          <w:szCs w:val="24"/>
          <w:shd w:val="clear" w:color="auto" w:fill="E6E6E6"/>
        </w:rPr>
        <w:id w:val="504181103"/>
        <w:docPartObj>
          <w:docPartGallery w:val="Table of Contents"/>
          <w:docPartUnique/>
        </w:docPartObj>
      </w:sdtPr>
      <w:sdtEndPr>
        <w:rPr>
          <w:rFonts w:eastAsiaTheme="minorHAnsi"/>
          <w:szCs w:val="22"/>
        </w:rPr>
      </w:sdtEndPr>
      <w:sdtContent>
        <w:bookmarkEnd w:id="1" w:displacedByCustomXml="prev"/>
        <w:bookmarkEnd w:id="0" w:displacedByCustomXml="prev"/>
        <w:p w14:paraId="51B92BE4" w14:textId="6BA80D2F" w:rsidR="00CA38BF" w:rsidRDefault="00CA38BF" w:rsidP="00F24261">
          <w:pPr>
            <w:pStyle w:val="Heading1"/>
            <w:numPr>
              <w:ilvl w:val="0"/>
              <w:numId w:val="0"/>
            </w:numPr>
            <w:ind w:left="720" w:hanging="720"/>
            <w:rPr>
              <w:rFonts w:asciiTheme="minorHAnsi" w:eastAsiaTheme="minorEastAsia" w:hAnsiTheme="minorHAnsi" w:cstheme="minorBidi"/>
              <w:b w:val="0"/>
              <w:color w:val="auto"/>
              <w:sz w:val="24"/>
              <w:szCs w:val="24"/>
              <w:shd w:val="clear" w:color="auto" w:fill="E6E6E6"/>
            </w:rPr>
          </w:pPr>
        </w:p>
        <w:p w14:paraId="572A2F71" w14:textId="0961E770" w:rsidR="007A43B6" w:rsidRPr="00DA187A" w:rsidRDefault="007A43B6" w:rsidP="007A43B6">
          <w:pPr>
            <w:rPr>
              <w:rFonts w:ascii="Verdana" w:hAnsi="Verdana"/>
              <w:b/>
              <w:bCs/>
              <w:color w:val="77328A"/>
              <w:sz w:val="36"/>
              <w:szCs w:val="36"/>
            </w:rPr>
          </w:pPr>
          <w:r w:rsidRPr="00DA187A">
            <w:rPr>
              <w:rFonts w:ascii="Verdana" w:hAnsi="Verdana"/>
              <w:b/>
              <w:bCs/>
              <w:color w:val="77328A"/>
              <w:sz w:val="36"/>
              <w:szCs w:val="36"/>
            </w:rPr>
            <w:t>Contents</w:t>
          </w:r>
        </w:p>
        <w:p w14:paraId="07F87CD9" w14:textId="6951F687" w:rsidR="00413B63" w:rsidRDefault="00CA38BF">
          <w:pPr>
            <w:pStyle w:val="TOC1"/>
            <w:rPr>
              <w:rFonts w:asciiTheme="minorHAnsi" w:hAnsiTheme="minorHAnsi"/>
              <w:b w:val="0"/>
              <w:bCs w:val="0"/>
              <w:kern w:val="2"/>
              <w:sz w:val="22"/>
              <w:szCs w:val="22"/>
              <w:lang w:eastAsia="en-GB"/>
              <w14:ligatures w14:val="standardContextual"/>
            </w:rPr>
          </w:pPr>
          <w:r w:rsidRPr="005548EC">
            <w:rPr>
              <w:color w:val="2B579A"/>
              <w:shd w:val="clear" w:color="auto" w:fill="E6E6E6"/>
            </w:rPr>
            <w:fldChar w:fldCharType="begin"/>
          </w:r>
          <w:r w:rsidRPr="005548EC">
            <w:instrText xml:space="preserve"> TOC \o "1-3" \h \z \u </w:instrText>
          </w:r>
          <w:r w:rsidRPr="005548EC">
            <w:rPr>
              <w:color w:val="2B579A"/>
              <w:shd w:val="clear" w:color="auto" w:fill="E6E6E6"/>
            </w:rPr>
            <w:fldChar w:fldCharType="separate"/>
          </w:r>
          <w:hyperlink w:anchor="_Toc151371445" w:history="1">
            <w:r w:rsidR="00413B63" w:rsidRPr="00710BBE">
              <w:rPr>
                <w:rStyle w:val="Hyperlink"/>
              </w:rPr>
              <w:t>1.0</w:t>
            </w:r>
            <w:r w:rsidR="00413B63">
              <w:rPr>
                <w:rFonts w:asciiTheme="minorHAnsi" w:hAnsiTheme="minorHAnsi"/>
                <w:b w:val="0"/>
                <w:bCs w:val="0"/>
                <w:kern w:val="2"/>
                <w:sz w:val="22"/>
                <w:szCs w:val="22"/>
                <w:lang w:eastAsia="en-GB"/>
                <w14:ligatures w14:val="standardContextual"/>
              </w:rPr>
              <w:tab/>
            </w:r>
            <w:r w:rsidR="00413B63" w:rsidRPr="00710BBE">
              <w:rPr>
                <w:rStyle w:val="Hyperlink"/>
              </w:rPr>
              <w:t>Introduction</w:t>
            </w:r>
            <w:r w:rsidR="00413B63">
              <w:rPr>
                <w:webHidden/>
              </w:rPr>
              <w:tab/>
            </w:r>
            <w:r w:rsidR="00413B63">
              <w:rPr>
                <w:webHidden/>
              </w:rPr>
              <w:fldChar w:fldCharType="begin"/>
            </w:r>
            <w:r w:rsidR="00413B63">
              <w:rPr>
                <w:webHidden/>
              </w:rPr>
              <w:instrText xml:space="preserve"> PAGEREF _Toc151371445 \h </w:instrText>
            </w:r>
            <w:r w:rsidR="00413B63">
              <w:rPr>
                <w:webHidden/>
              </w:rPr>
            </w:r>
            <w:r w:rsidR="00413B63">
              <w:rPr>
                <w:webHidden/>
              </w:rPr>
              <w:fldChar w:fldCharType="separate"/>
            </w:r>
            <w:r w:rsidR="00E3479A">
              <w:rPr>
                <w:webHidden/>
              </w:rPr>
              <w:t>3</w:t>
            </w:r>
            <w:r w:rsidR="00413B63">
              <w:rPr>
                <w:webHidden/>
              </w:rPr>
              <w:fldChar w:fldCharType="end"/>
            </w:r>
          </w:hyperlink>
        </w:p>
        <w:p w14:paraId="62DA49DA" w14:textId="24EC47A8" w:rsidR="00413B63" w:rsidRDefault="00000000">
          <w:pPr>
            <w:pStyle w:val="TOC1"/>
            <w:rPr>
              <w:rFonts w:asciiTheme="minorHAnsi" w:hAnsiTheme="minorHAnsi"/>
              <w:b w:val="0"/>
              <w:bCs w:val="0"/>
              <w:kern w:val="2"/>
              <w:sz w:val="22"/>
              <w:szCs w:val="22"/>
              <w:lang w:eastAsia="en-GB"/>
              <w14:ligatures w14:val="standardContextual"/>
            </w:rPr>
          </w:pPr>
          <w:hyperlink w:anchor="_Toc151371446" w:history="1">
            <w:r w:rsidR="00413B63" w:rsidRPr="00710BBE">
              <w:rPr>
                <w:rStyle w:val="Hyperlink"/>
              </w:rPr>
              <w:t>2.0</w:t>
            </w:r>
            <w:r w:rsidR="00413B63">
              <w:rPr>
                <w:rFonts w:asciiTheme="minorHAnsi" w:hAnsiTheme="minorHAnsi"/>
                <w:b w:val="0"/>
                <w:bCs w:val="0"/>
                <w:kern w:val="2"/>
                <w:sz w:val="22"/>
                <w:szCs w:val="22"/>
                <w:lang w:eastAsia="en-GB"/>
                <w14:ligatures w14:val="standardContextual"/>
              </w:rPr>
              <w:tab/>
            </w:r>
            <w:r w:rsidR="00413B63" w:rsidRPr="00710BBE">
              <w:rPr>
                <w:rStyle w:val="Hyperlink"/>
              </w:rPr>
              <w:t>Overview of Windsor Framework Article 2</w:t>
            </w:r>
            <w:r w:rsidR="00413B63">
              <w:rPr>
                <w:webHidden/>
              </w:rPr>
              <w:tab/>
            </w:r>
            <w:r w:rsidR="00413B63">
              <w:rPr>
                <w:webHidden/>
              </w:rPr>
              <w:fldChar w:fldCharType="begin"/>
            </w:r>
            <w:r w:rsidR="00413B63">
              <w:rPr>
                <w:webHidden/>
              </w:rPr>
              <w:instrText xml:space="preserve"> PAGEREF _Toc151371446 \h </w:instrText>
            </w:r>
            <w:r w:rsidR="00413B63">
              <w:rPr>
                <w:webHidden/>
              </w:rPr>
            </w:r>
            <w:r w:rsidR="00413B63">
              <w:rPr>
                <w:webHidden/>
              </w:rPr>
              <w:fldChar w:fldCharType="separate"/>
            </w:r>
            <w:r w:rsidR="00E3479A">
              <w:rPr>
                <w:webHidden/>
              </w:rPr>
              <w:t>4</w:t>
            </w:r>
            <w:r w:rsidR="00413B63">
              <w:rPr>
                <w:webHidden/>
              </w:rPr>
              <w:fldChar w:fldCharType="end"/>
            </w:r>
          </w:hyperlink>
        </w:p>
        <w:p w14:paraId="6B5012CC" w14:textId="023EBBCB" w:rsidR="00413B63" w:rsidRDefault="00000000">
          <w:pPr>
            <w:pStyle w:val="TOC2"/>
            <w:rPr>
              <w:rFonts w:asciiTheme="minorHAnsi" w:hAnsiTheme="minorHAnsi"/>
              <w:noProof/>
              <w:kern w:val="2"/>
              <w:sz w:val="22"/>
              <w:szCs w:val="22"/>
              <w:lang w:eastAsia="en-GB"/>
              <w14:ligatures w14:val="standardContextual"/>
            </w:rPr>
          </w:pPr>
          <w:hyperlink w:anchor="_Toc151371447" w:history="1">
            <w:r w:rsidR="00413B63" w:rsidRPr="00710BBE">
              <w:rPr>
                <w:rStyle w:val="Hyperlink"/>
                <w:noProof/>
              </w:rPr>
              <w:t>‘Keeping pace’ obligation</w:t>
            </w:r>
            <w:r w:rsidR="00413B63">
              <w:rPr>
                <w:noProof/>
                <w:webHidden/>
              </w:rPr>
              <w:tab/>
            </w:r>
            <w:r w:rsidR="00413B63">
              <w:rPr>
                <w:noProof/>
                <w:webHidden/>
              </w:rPr>
              <w:fldChar w:fldCharType="begin"/>
            </w:r>
            <w:r w:rsidR="00413B63">
              <w:rPr>
                <w:noProof/>
                <w:webHidden/>
              </w:rPr>
              <w:instrText xml:space="preserve"> PAGEREF _Toc151371447 \h </w:instrText>
            </w:r>
            <w:r w:rsidR="00413B63">
              <w:rPr>
                <w:noProof/>
                <w:webHidden/>
              </w:rPr>
            </w:r>
            <w:r w:rsidR="00413B63">
              <w:rPr>
                <w:noProof/>
                <w:webHidden/>
              </w:rPr>
              <w:fldChar w:fldCharType="separate"/>
            </w:r>
            <w:r w:rsidR="00E3479A">
              <w:rPr>
                <w:noProof/>
                <w:webHidden/>
              </w:rPr>
              <w:t>5</w:t>
            </w:r>
            <w:r w:rsidR="00413B63">
              <w:rPr>
                <w:noProof/>
                <w:webHidden/>
              </w:rPr>
              <w:fldChar w:fldCharType="end"/>
            </w:r>
          </w:hyperlink>
        </w:p>
        <w:p w14:paraId="79EE1DCF" w14:textId="78D1B091" w:rsidR="00413B63" w:rsidRDefault="00000000">
          <w:pPr>
            <w:pStyle w:val="TOC2"/>
            <w:rPr>
              <w:rFonts w:asciiTheme="minorHAnsi" w:hAnsiTheme="minorHAnsi"/>
              <w:noProof/>
              <w:kern w:val="2"/>
              <w:sz w:val="22"/>
              <w:szCs w:val="22"/>
              <w:lang w:eastAsia="en-GB"/>
              <w14:ligatures w14:val="standardContextual"/>
            </w:rPr>
          </w:pPr>
          <w:hyperlink w:anchor="_Toc151371448" w:history="1">
            <w:r w:rsidR="00413B63" w:rsidRPr="00710BBE">
              <w:rPr>
                <w:rStyle w:val="Hyperlink"/>
                <w:noProof/>
              </w:rPr>
              <w:t>When and how is Windsor Framework Article 2 engaged?</w:t>
            </w:r>
            <w:r w:rsidR="00413B63">
              <w:rPr>
                <w:noProof/>
                <w:webHidden/>
              </w:rPr>
              <w:tab/>
            </w:r>
            <w:r w:rsidR="00413B63">
              <w:rPr>
                <w:noProof/>
                <w:webHidden/>
              </w:rPr>
              <w:fldChar w:fldCharType="begin"/>
            </w:r>
            <w:r w:rsidR="00413B63">
              <w:rPr>
                <w:noProof/>
                <w:webHidden/>
              </w:rPr>
              <w:instrText xml:space="preserve"> PAGEREF _Toc151371448 \h </w:instrText>
            </w:r>
            <w:r w:rsidR="00413B63">
              <w:rPr>
                <w:noProof/>
                <w:webHidden/>
              </w:rPr>
            </w:r>
            <w:r w:rsidR="00413B63">
              <w:rPr>
                <w:noProof/>
                <w:webHidden/>
              </w:rPr>
              <w:fldChar w:fldCharType="separate"/>
            </w:r>
            <w:r w:rsidR="00E3479A">
              <w:rPr>
                <w:noProof/>
                <w:webHidden/>
              </w:rPr>
              <w:t>6</w:t>
            </w:r>
            <w:r w:rsidR="00413B63">
              <w:rPr>
                <w:noProof/>
                <w:webHidden/>
              </w:rPr>
              <w:fldChar w:fldCharType="end"/>
            </w:r>
          </w:hyperlink>
        </w:p>
        <w:p w14:paraId="3EFA7839" w14:textId="1A76E600" w:rsidR="00413B63" w:rsidRDefault="00000000">
          <w:pPr>
            <w:pStyle w:val="TOC1"/>
            <w:rPr>
              <w:rFonts w:asciiTheme="minorHAnsi" w:hAnsiTheme="minorHAnsi"/>
              <w:b w:val="0"/>
              <w:bCs w:val="0"/>
              <w:kern w:val="2"/>
              <w:sz w:val="22"/>
              <w:szCs w:val="22"/>
              <w:lang w:eastAsia="en-GB"/>
              <w14:ligatures w14:val="standardContextual"/>
            </w:rPr>
          </w:pPr>
          <w:hyperlink w:anchor="_Toc151371449" w:history="1">
            <w:r w:rsidR="00413B63" w:rsidRPr="00710BBE">
              <w:rPr>
                <w:rStyle w:val="Hyperlink"/>
              </w:rPr>
              <w:t>3.0</w:t>
            </w:r>
            <w:r w:rsidR="00413B63">
              <w:rPr>
                <w:rFonts w:asciiTheme="minorHAnsi" w:hAnsiTheme="minorHAnsi"/>
                <w:b w:val="0"/>
                <w:bCs w:val="0"/>
                <w:kern w:val="2"/>
                <w:sz w:val="22"/>
                <w:szCs w:val="22"/>
                <w:lang w:eastAsia="en-GB"/>
                <w14:ligatures w14:val="standardContextual"/>
              </w:rPr>
              <w:tab/>
            </w:r>
            <w:r w:rsidR="00413B63" w:rsidRPr="00710BBE">
              <w:rPr>
                <w:rStyle w:val="Hyperlink"/>
              </w:rPr>
              <w:t>Article 2 and Refugees &amp; Asylum-Seekers</w:t>
            </w:r>
            <w:r w:rsidR="00413B63">
              <w:rPr>
                <w:webHidden/>
              </w:rPr>
              <w:tab/>
            </w:r>
            <w:r w:rsidR="00413B63">
              <w:rPr>
                <w:webHidden/>
              </w:rPr>
              <w:fldChar w:fldCharType="begin"/>
            </w:r>
            <w:r w:rsidR="00413B63">
              <w:rPr>
                <w:webHidden/>
              </w:rPr>
              <w:instrText xml:space="preserve"> PAGEREF _Toc151371449 \h </w:instrText>
            </w:r>
            <w:r w:rsidR="00413B63">
              <w:rPr>
                <w:webHidden/>
              </w:rPr>
            </w:r>
            <w:r w:rsidR="00413B63">
              <w:rPr>
                <w:webHidden/>
              </w:rPr>
              <w:fldChar w:fldCharType="separate"/>
            </w:r>
            <w:r w:rsidR="00E3479A">
              <w:rPr>
                <w:webHidden/>
              </w:rPr>
              <w:t>7</w:t>
            </w:r>
            <w:r w:rsidR="00413B63">
              <w:rPr>
                <w:webHidden/>
              </w:rPr>
              <w:fldChar w:fldCharType="end"/>
            </w:r>
          </w:hyperlink>
        </w:p>
        <w:p w14:paraId="29E2FD72" w14:textId="7EACA67E" w:rsidR="00413B63" w:rsidRDefault="00000000">
          <w:pPr>
            <w:pStyle w:val="TOC2"/>
            <w:rPr>
              <w:rFonts w:asciiTheme="minorHAnsi" w:hAnsiTheme="minorHAnsi"/>
              <w:noProof/>
              <w:kern w:val="2"/>
              <w:sz w:val="22"/>
              <w:szCs w:val="22"/>
              <w:lang w:eastAsia="en-GB"/>
              <w14:ligatures w14:val="standardContextual"/>
            </w:rPr>
          </w:pPr>
          <w:hyperlink w:anchor="_Toc151371450" w:history="1">
            <w:r w:rsidR="00413B63" w:rsidRPr="00710BBE">
              <w:rPr>
                <w:rStyle w:val="Hyperlink"/>
                <w:noProof/>
              </w:rPr>
              <w:t>Whose Rights?</w:t>
            </w:r>
            <w:r w:rsidR="00413B63">
              <w:rPr>
                <w:noProof/>
                <w:webHidden/>
              </w:rPr>
              <w:tab/>
            </w:r>
            <w:r w:rsidR="00413B63">
              <w:rPr>
                <w:noProof/>
                <w:webHidden/>
              </w:rPr>
              <w:fldChar w:fldCharType="begin"/>
            </w:r>
            <w:r w:rsidR="00413B63">
              <w:rPr>
                <w:noProof/>
                <w:webHidden/>
              </w:rPr>
              <w:instrText xml:space="preserve"> PAGEREF _Toc151371450 \h </w:instrText>
            </w:r>
            <w:r w:rsidR="00413B63">
              <w:rPr>
                <w:noProof/>
                <w:webHidden/>
              </w:rPr>
            </w:r>
            <w:r w:rsidR="00413B63">
              <w:rPr>
                <w:noProof/>
                <w:webHidden/>
              </w:rPr>
              <w:fldChar w:fldCharType="separate"/>
            </w:r>
            <w:r w:rsidR="00E3479A">
              <w:rPr>
                <w:noProof/>
                <w:webHidden/>
              </w:rPr>
              <w:t>7</w:t>
            </w:r>
            <w:r w:rsidR="00413B63">
              <w:rPr>
                <w:noProof/>
                <w:webHidden/>
              </w:rPr>
              <w:fldChar w:fldCharType="end"/>
            </w:r>
          </w:hyperlink>
        </w:p>
        <w:p w14:paraId="0421D6FC" w14:textId="75974F04" w:rsidR="00413B63" w:rsidRDefault="00000000">
          <w:pPr>
            <w:pStyle w:val="TOC2"/>
            <w:rPr>
              <w:rFonts w:asciiTheme="minorHAnsi" w:hAnsiTheme="minorHAnsi"/>
              <w:noProof/>
              <w:kern w:val="2"/>
              <w:sz w:val="22"/>
              <w:szCs w:val="22"/>
              <w:lang w:eastAsia="en-GB"/>
              <w14:ligatures w14:val="standardContextual"/>
            </w:rPr>
          </w:pPr>
          <w:hyperlink w:anchor="_Toc151371451" w:history="1">
            <w:r w:rsidR="00413B63" w:rsidRPr="00710BBE">
              <w:rPr>
                <w:rStyle w:val="Hyperlink"/>
                <w:noProof/>
              </w:rPr>
              <w:t>Which Rights?</w:t>
            </w:r>
            <w:r w:rsidR="00413B63">
              <w:rPr>
                <w:noProof/>
                <w:webHidden/>
              </w:rPr>
              <w:tab/>
            </w:r>
            <w:r w:rsidR="00413B63">
              <w:rPr>
                <w:noProof/>
                <w:webHidden/>
              </w:rPr>
              <w:fldChar w:fldCharType="begin"/>
            </w:r>
            <w:r w:rsidR="00413B63">
              <w:rPr>
                <w:noProof/>
                <w:webHidden/>
              </w:rPr>
              <w:instrText xml:space="preserve"> PAGEREF _Toc151371451 \h </w:instrText>
            </w:r>
            <w:r w:rsidR="00413B63">
              <w:rPr>
                <w:noProof/>
                <w:webHidden/>
              </w:rPr>
            </w:r>
            <w:r w:rsidR="00413B63">
              <w:rPr>
                <w:noProof/>
                <w:webHidden/>
              </w:rPr>
              <w:fldChar w:fldCharType="separate"/>
            </w:r>
            <w:r w:rsidR="00E3479A">
              <w:rPr>
                <w:noProof/>
                <w:webHidden/>
              </w:rPr>
              <w:t>9</w:t>
            </w:r>
            <w:r w:rsidR="00413B63">
              <w:rPr>
                <w:noProof/>
                <w:webHidden/>
              </w:rPr>
              <w:fldChar w:fldCharType="end"/>
            </w:r>
          </w:hyperlink>
        </w:p>
        <w:p w14:paraId="2141297C" w14:textId="6F202D03" w:rsidR="00413B63" w:rsidRDefault="00000000">
          <w:pPr>
            <w:pStyle w:val="TOC2"/>
            <w:rPr>
              <w:rFonts w:asciiTheme="minorHAnsi" w:hAnsiTheme="minorHAnsi"/>
              <w:noProof/>
              <w:kern w:val="2"/>
              <w:sz w:val="22"/>
              <w:szCs w:val="22"/>
              <w:lang w:eastAsia="en-GB"/>
              <w14:ligatures w14:val="standardContextual"/>
            </w:rPr>
          </w:pPr>
          <w:hyperlink w:anchor="_Toc151371452" w:history="1">
            <w:r w:rsidR="00413B63" w:rsidRPr="00710BBE">
              <w:rPr>
                <w:rStyle w:val="Hyperlink"/>
                <w:noProof/>
              </w:rPr>
              <w:t>Underpinning EU law</w:t>
            </w:r>
            <w:r w:rsidR="00413B63">
              <w:rPr>
                <w:noProof/>
                <w:webHidden/>
              </w:rPr>
              <w:tab/>
            </w:r>
            <w:r w:rsidR="00413B63">
              <w:rPr>
                <w:noProof/>
                <w:webHidden/>
              </w:rPr>
              <w:fldChar w:fldCharType="begin"/>
            </w:r>
            <w:r w:rsidR="00413B63">
              <w:rPr>
                <w:noProof/>
                <w:webHidden/>
              </w:rPr>
              <w:instrText xml:space="preserve"> PAGEREF _Toc151371452 \h </w:instrText>
            </w:r>
            <w:r w:rsidR="00413B63">
              <w:rPr>
                <w:noProof/>
                <w:webHidden/>
              </w:rPr>
            </w:r>
            <w:r w:rsidR="00413B63">
              <w:rPr>
                <w:noProof/>
                <w:webHidden/>
              </w:rPr>
              <w:fldChar w:fldCharType="separate"/>
            </w:r>
            <w:r w:rsidR="00E3479A">
              <w:rPr>
                <w:noProof/>
                <w:webHidden/>
              </w:rPr>
              <w:t>11</w:t>
            </w:r>
            <w:r w:rsidR="00413B63">
              <w:rPr>
                <w:noProof/>
                <w:webHidden/>
              </w:rPr>
              <w:fldChar w:fldCharType="end"/>
            </w:r>
          </w:hyperlink>
        </w:p>
        <w:p w14:paraId="5BE14CC4" w14:textId="01B75483" w:rsidR="00413B63" w:rsidRDefault="00000000">
          <w:pPr>
            <w:pStyle w:val="TOC1"/>
            <w:rPr>
              <w:rFonts w:asciiTheme="minorHAnsi" w:hAnsiTheme="minorHAnsi"/>
              <w:b w:val="0"/>
              <w:bCs w:val="0"/>
              <w:kern w:val="2"/>
              <w:sz w:val="22"/>
              <w:szCs w:val="22"/>
              <w:lang w:eastAsia="en-GB"/>
              <w14:ligatures w14:val="standardContextual"/>
            </w:rPr>
          </w:pPr>
          <w:hyperlink w:anchor="_Toc151371453" w:history="1">
            <w:r w:rsidR="00413B63" w:rsidRPr="00710BBE">
              <w:rPr>
                <w:rStyle w:val="Hyperlink"/>
              </w:rPr>
              <w:t>4.0</w:t>
            </w:r>
            <w:r w:rsidR="00413B63">
              <w:rPr>
                <w:rFonts w:asciiTheme="minorHAnsi" w:hAnsiTheme="minorHAnsi"/>
                <w:b w:val="0"/>
                <w:bCs w:val="0"/>
                <w:kern w:val="2"/>
                <w:sz w:val="22"/>
                <w:szCs w:val="22"/>
                <w:lang w:eastAsia="en-GB"/>
                <w14:ligatures w14:val="standardContextual"/>
              </w:rPr>
              <w:tab/>
            </w:r>
            <w:r w:rsidR="00413B63" w:rsidRPr="00710BBE">
              <w:rPr>
                <w:rStyle w:val="Hyperlink"/>
              </w:rPr>
              <w:t>Potential diminution of rights and recommendations</w:t>
            </w:r>
            <w:r w:rsidR="00413B63">
              <w:rPr>
                <w:webHidden/>
              </w:rPr>
              <w:tab/>
            </w:r>
            <w:r w:rsidR="00413B63">
              <w:rPr>
                <w:webHidden/>
              </w:rPr>
              <w:fldChar w:fldCharType="begin"/>
            </w:r>
            <w:r w:rsidR="00413B63">
              <w:rPr>
                <w:webHidden/>
              </w:rPr>
              <w:instrText xml:space="preserve"> PAGEREF _Toc151371453 \h </w:instrText>
            </w:r>
            <w:r w:rsidR="00413B63">
              <w:rPr>
                <w:webHidden/>
              </w:rPr>
            </w:r>
            <w:r w:rsidR="00413B63">
              <w:rPr>
                <w:webHidden/>
              </w:rPr>
              <w:fldChar w:fldCharType="separate"/>
            </w:r>
            <w:r w:rsidR="00E3479A">
              <w:rPr>
                <w:webHidden/>
              </w:rPr>
              <w:t>14</w:t>
            </w:r>
            <w:r w:rsidR="00413B63">
              <w:rPr>
                <w:webHidden/>
              </w:rPr>
              <w:fldChar w:fldCharType="end"/>
            </w:r>
          </w:hyperlink>
        </w:p>
        <w:p w14:paraId="6D4AE96C" w14:textId="217DC60D" w:rsidR="00413B63" w:rsidRDefault="00000000">
          <w:pPr>
            <w:pStyle w:val="TOC2"/>
            <w:rPr>
              <w:rFonts w:asciiTheme="minorHAnsi" w:hAnsiTheme="minorHAnsi"/>
              <w:noProof/>
              <w:kern w:val="2"/>
              <w:sz w:val="22"/>
              <w:szCs w:val="22"/>
              <w:lang w:eastAsia="en-GB"/>
              <w14:ligatures w14:val="standardContextual"/>
            </w:rPr>
          </w:pPr>
          <w:hyperlink w:anchor="_Toc151371454" w:history="1">
            <w:r w:rsidR="00413B63" w:rsidRPr="00710BBE">
              <w:rPr>
                <w:rStyle w:val="Hyperlink"/>
                <w:noProof/>
              </w:rPr>
              <w:t>Illegal Migration Act 2023</w:t>
            </w:r>
            <w:r w:rsidR="00413B63">
              <w:rPr>
                <w:noProof/>
                <w:webHidden/>
              </w:rPr>
              <w:tab/>
            </w:r>
            <w:r w:rsidR="00413B63">
              <w:rPr>
                <w:noProof/>
                <w:webHidden/>
              </w:rPr>
              <w:fldChar w:fldCharType="begin"/>
            </w:r>
            <w:r w:rsidR="00413B63">
              <w:rPr>
                <w:noProof/>
                <w:webHidden/>
              </w:rPr>
              <w:instrText xml:space="preserve"> PAGEREF _Toc151371454 \h </w:instrText>
            </w:r>
            <w:r w:rsidR="00413B63">
              <w:rPr>
                <w:noProof/>
                <w:webHidden/>
              </w:rPr>
            </w:r>
            <w:r w:rsidR="00413B63">
              <w:rPr>
                <w:noProof/>
                <w:webHidden/>
              </w:rPr>
              <w:fldChar w:fldCharType="separate"/>
            </w:r>
            <w:r w:rsidR="00E3479A">
              <w:rPr>
                <w:noProof/>
                <w:webHidden/>
              </w:rPr>
              <w:t>15</w:t>
            </w:r>
            <w:r w:rsidR="00413B63">
              <w:rPr>
                <w:noProof/>
                <w:webHidden/>
              </w:rPr>
              <w:fldChar w:fldCharType="end"/>
            </w:r>
          </w:hyperlink>
        </w:p>
        <w:p w14:paraId="6DE9B57D" w14:textId="7CB43D4D" w:rsidR="00413B63" w:rsidRDefault="00000000">
          <w:pPr>
            <w:pStyle w:val="TOC1"/>
            <w:rPr>
              <w:rFonts w:asciiTheme="minorHAnsi" w:hAnsiTheme="minorHAnsi"/>
              <w:b w:val="0"/>
              <w:bCs w:val="0"/>
              <w:kern w:val="2"/>
              <w:sz w:val="22"/>
              <w:szCs w:val="22"/>
              <w:lang w:eastAsia="en-GB"/>
              <w14:ligatures w14:val="standardContextual"/>
            </w:rPr>
          </w:pPr>
          <w:hyperlink w:anchor="_Toc151371456" w:history="1">
            <w:r w:rsidR="00413B63" w:rsidRPr="00710BBE">
              <w:rPr>
                <w:rStyle w:val="Hyperlink"/>
              </w:rPr>
              <w:t>Annex 1</w:t>
            </w:r>
            <w:r w:rsidR="00413B63">
              <w:rPr>
                <w:webHidden/>
              </w:rPr>
              <w:tab/>
            </w:r>
            <w:r w:rsidR="00413B63">
              <w:rPr>
                <w:webHidden/>
              </w:rPr>
              <w:fldChar w:fldCharType="begin"/>
            </w:r>
            <w:r w:rsidR="00413B63">
              <w:rPr>
                <w:webHidden/>
              </w:rPr>
              <w:instrText xml:space="preserve"> PAGEREF _Toc151371456 \h </w:instrText>
            </w:r>
            <w:r w:rsidR="00413B63">
              <w:rPr>
                <w:webHidden/>
              </w:rPr>
            </w:r>
            <w:r w:rsidR="00413B63">
              <w:rPr>
                <w:webHidden/>
              </w:rPr>
              <w:fldChar w:fldCharType="separate"/>
            </w:r>
            <w:r w:rsidR="00E3479A">
              <w:rPr>
                <w:webHidden/>
              </w:rPr>
              <w:t>18</w:t>
            </w:r>
            <w:r w:rsidR="00413B63">
              <w:rPr>
                <w:webHidden/>
              </w:rPr>
              <w:fldChar w:fldCharType="end"/>
            </w:r>
          </w:hyperlink>
        </w:p>
        <w:p w14:paraId="4D9BD8E8" w14:textId="39E473EC" w:rsidR="00CA38BF" w:rsidRPr="00387C3F" w:rsidRDefault="00CA38BF" w:rsidP="00F24261">
          <w:r w:rsidRPr="005548EC">
            <w:rPr>
              <w:rFonts w:ascii="Verdana" w:hAnsi="Verdana"/>
              <w:b/>
              <w:color w:val="2B579A"/>
              <w:shd w:val="clear" w:color="auto" w:fill="E6E6E6"/>
            </w:rPr>
            <w:fldChar w:fldCharType="end"/>
          </w:r>
        </w:p>
      </w:sdtContent>
    </w:sdt>
    <w:p w14:paraId="6EDD173E" w14:textId="77777777" w:rsidR="00CA38BF" w:rsidRPr="00387C3F" w:rsidRDefault="00CA38BF" w:rsidP="00F24261">
      <w:pPr>
        <w:spacing w:line="240" w:lineRule="auto"/>
        <w:rPr>
          <w:rFonts w:eastAsiaTheme="majorEastAsia" w:cstheme="majorBidi"/>
          <w:b/>
          <w:color w:val="77328A"/>
          <w:sz w:val="32"/>
          <w:szCs w:val="32"/>
        </w:rPr>
      </w:pPr>
      <w:r w:rsidRPr="00387C3F">
        <w:br w:type="page"/>
      </w:r>
    </w:p>
    <w:p w14:paraId="32D192FF" w14:textId="54FFC17D" w:rsidR="00CA38BF" w:rsidRPr="00387C3F" w:rsidRDefault="00CA38BF" w:rsidP="00F24261">
      <w:pPr>
        <w:pStyle w:val="Heading1"/>
      </w:pPr>
      <w:bookmarkStart w:id="2" w:name="_Toc151371445"/>
      <w:r w:rsidRPr="00387C3F">
        <w:lastRenderedPageBreak/>
        <w:t>Introduction</w:t>
      </w:r>
      <w:bookmarkEnd w:id="2"/>
      <w:r w:rsidR="008D09AE">
        <w:t xml:space="preserve"> </w:t>
      </w:r>
    </w:p>
    <w:p w14:paraId="77B00685" w14:textId="4A308EA6" w:rsidR="00F24261" w:rsidRDefault="00980CD5" w:rsidP="004C6DF8">
      <w:pPr>
        <w:pStyle w:val="ListParagraph"/>
      </w:pPr>
      <w:r>
        <w:t xml:space="preserve">The </w:t>
      </w:r>
      <w:r w:rsidR="00DE0D01">
        <w:t>withdrawal of the UK from the EU raised a wide range of</w:t>
      </w:r>
      <w:r w:rsidR="007D2364">
        <w:t xml:space="preserve"> human </w:t>
      </w:r>
      <w:r w:rsidR="007D2364" w:rsidRPr="00F24261">
        <w:t>rights</w:t>
      </w:r>
      <w:r w:rsidR="007D2364">
        <w:t xml:space="preserve"> questions including</w:t>
      </w:r>
      <w:r w:rsidR="004F0E2D">
        <w:t xml:space="preserve"> </w:t>
      </w:r>
      <w:r w:rsidR="001133DC">
        <w:t>implications for</w:t>
      </w:r>
      <w:r w:rsidR="008F73D4">
        <w:t xml:space="preserve"> </w:t>
      </w:r>
      <w:r w:rsidR="00AE5A7E">
        <w:t>the right to seek international protection</w:t>
      </w:r>
      <w:r w:rsidR="008F73D4">
        <w:t xml:space="preserve">. </w:t>
      </w:r>
      <w:r w:rsidR="006E2C0F">
        <w:t xml:space="preserve">With the Illegal Migration Act </w:t>
      </w:r>
      <w:r w:rsidR="008863C4">
        <w:t xml:space="preserve">passed in July 2023, </w:t>
      </w:r>
      <w:r w:rsidR="00A06102">
        <w:t>and</w:t>
      </w:r>
      <w:r w:rsidR="008863C4">
        <w:t xml:space="preserve"> the Nationality and </w:t>
      </w:r>
      <w:r w:rsidR="0022172A">
        <w:t xml:space="preserve">Borders Act </w:t>
      </w:r>
      <w:r w:rsidR="00E43304">
        <w:t xml:space="preserve">in </w:t>
      </w:r>
      <w:r w:rsidR="0022172A">
        <w:t>2022</w:t>
      </w:r>
      <w:r w:rsidR="00E43304">
        <w:t xml:space="preserve">, these concerns </w:t>
      </w:r>
      <w:r w:rsidR="00B03887">
        <w:t>came into sharp focus</w:t>
      </w:r>
      <w:r w:rsidR="000327DD">
        <w:t xml:space="preserve">. </w:t>
      </w:r>
    </w:p>
    <w:p w14:paraId="407872CA" w14:textId="77777777" w:rsidR="00F24261" w:rsidRDefault="00F24261" w:rsidP="004C6DF8">
      <w:pPr>
        <w:spacing w:after="0"/>
        <w:ind w:left="709"/>
      </w:pPr>
    </w:p>
    <w:p w14:paraId="09C59028" w14:textId="1E602462" w:rsidR="00F24261" w:rsidRPr="00F24261" w:rsidRDefault="00B45E0B" w:rsidP="004C6DF8">
      <w:pPr>
        <w:pStyle w:val="ListParagraph"/>
        <w:rPr>
          <w:rFonts w:cstheme="minorHAnsi"/>
        </w:rPr>
      </w:pPr>
      <w:r w:rsidRPr="00F24261">
        <w:t xml:space="preserve">Article 2 of the Windsor Framework requires the UK Government to ensure that no diminution of </w:t>
      </w:r>
      <w:r w:rsidR="006074C6">
        <w:t xml:space="preserve">the </w:t>
      </w:r>
      <w:r w:rsidRPr="00F24261">
        <w:t xml:space="preserve">rights, safeguards and equality </w:t>
      </w:r>
      <w:r w:rsidR="006074C6">
        <w:t>protections</w:t>
      </w:r>
      <w:r w:rsidRPr="00F24261">
        <w:t xml:space="preserve"> contained in the relevant part of the Belfast (Good Friday) Agreement 1998 occurs </w:t>
      </w:r>
      <w:proofErr w:type="gramStart"/>
      <w:r w:rsidRPr="00F24261">
        <w:t>as a result of</w:t>
      </w:r>
      <w:proofErr w:type="gramEnd"/>
      <w:r w:rsidRPr="00F24261">
        <w:t xml:space="preserve"> the UK’s withdrawal from the EU.</w:t>
      </w:r>
      <w:r w:rsidR="0000315D">
        <w:rPr>
          <w:rStyle w:val="FootnoteReference"/>
        </w:rPr>
        <w:footnoteReference w:id="2"/>
      </w:r>
      <w:r w:rsidR="00F24261">
        <w:t xml:space="preserve"> </w:t>
      </w:r>
    </w:p>
    <w:p w14:paraId="7B380500" w14:textId="77777777" w:rsidR="00F24261" w:rsidRPr="00F24261" w:rsidRDefault="00F24261" w:rsidP="004C6DF8">
      <w:pPr>
        <w:spacing w:after="0"/>
        <w:ind w:left="709"/>
      </w:pPr>
    </w:p>
    <w:p w14:paraId="65708F7D" w14:textId="1C801536" w:rsidR="00F24261" w:rsidRPr="00F24261" w:rsidRDefault="00362527" w:rsidP="004C6DF8">
      <w:pPr>
        <w:pStyle w:val="ListParagraph"/>
      </w:pPr>
      <w:r w:rsidRPr="00F24261">
        <w:t xml:space="preserve">The Northern Ireland Human Rights Commission (NIHRC) </w:t>
      </w:r>
      <w:r w:rsidR="0034593A">
        <w:t xml:space="preserve">is a </w:t>
      </w:r>
      <w:r w:rsidR="005E2364">
        <w:t>n</w:t>
      </w:r>
      <w:r w:rsidRPr="00F24261">
        <w:t xml:space="preserve">ational </w:t>
      </w:r>
      <w:r w:rsidR="005E2364">
        <w:t>h</w:t>
      </w:r>
      <w:r w:rsidRPr="00F24261">
        <w:t xml:space="preserve">uman </w:t>
      </w:r>
      <w:r w:rsidR="005E2364">
        <w:t>r</w:t>
      </w:r>
      <w:r w:rsidRPr="00F24261">
        <w:t xml:space="preserve">ights </w:t>
      </w:r>
      <w:r w:rsidR="005E2364">
        <w:t>i</w:t>
      </w:r>
      <w:r w:rsidRPr="00F24261">
        <w:t>nstitutio</w:t>
      </w:r>
      <w:r w:rsidR="0034593A">
        <w:t xml:space="preserve">n with ‘A status’ </w:t>
      </w:r>
      <w:r w:rsidR="005E2364">
        <w:t>accreditation from</w:t>
      </w:r>
      <w:r w:rsidR="0034593A">
        <w:t xml:space="preserve"> the U</w:t>
      </w:r>
      <w:r w:rsidR="004834D1">
        <w:t>nited Nations</w:t>
      </w:r>
      <w:r w:rsidRPr="00F24261">
        <w:t xml:space="preserve">. </w:t>
      </w:r>
      <w:r w:rsidR="00695D64">
        <w:t>The</w:t>
      </w:r>
      <w:r w:rsidRPr="00F24261">
        <w:t xml:space="preserve"> NIHRC, pursuant to Section 69(1) of the Northern Ireland Act 1998, reviews the adequacy and effectiveness of law and practice relating to the protection of human rights in </w:t>
      </w:r>
      <w:r w:rsidR="0050533E">
        <w:t>NI</w:t>
      </w:r>
      <w:r w:rsidRPr="00F24261">
        <w:t>. The NIHRC’s mandate extends to all matters relating to the protection and promotion of human rights in NI. The NIHRC is also mandated, under Section 78</w:t>
      </w:r>
      <w:proofErr w:type="gramStart"/>
      <w:r w:rsidRPr="00F24261">
        <w:t>A(</w:t>
      </w:r>
      <w:proofErr w:type="gramEnd"/>
      <w:r w:rsidRPr="00F24261">
        <w:t xml:space="preserve">1) to monitor the implementation of Article 2(1) of the Windsor Framework. </w:t>
      </w:r>
    </w:p>
    <w:p w14:paraId="2A3DAB3E" w14:textId="77777777" w:rsidR="00F24261" w:rsidRPr="00F24261" w:rsidRDefault="00F24261" w:rsidP="004C6DF8">
      <w:pPr>
        <w:spacing w:after="0"/>
        <w:ind w:left="709"/>
      </w:pPr>
    </w:p>
    <w:p w14:paraId="77326E01" w14:textId="0C56AFFD" w:rsidR="00F24261" w:rsidRDefault="00935FF6" w:rsidP="004C6DF8">
      <w:pPr>
        <w:pStyle w:val="ListParagraph"/>
      </w:pPr>
      <w:r w:rsidRPr="00F24261">
        <w:t xml:space="preserve">This briefing note accompanies the research paper drafted by Alison Harvey BL, published by the </w:t>
      </w:r>
      <w:r w:rsidR="00A71E04">
        <w:t>NIHRC</w:t>
      </w:r>
      <w:r w:rsidRPr="00F24261">
        <w:t>, which explores the protections afforded to refugees and asylum-seekers under Article 2 of the Windsor Framework.</w:t>
      </w:r>
      <w:r w:rsidR="00045450">
        <w:rPr>
          <w:rStyle w:val="FootnoteReference"/>
        </w:rPr>
        <w:footnoteReference w:id="3"/>
      </w:r>
      <w:r w:rsidRPr="00F24261">
        <w:t xml:space="preserve"> Article 2 is novel and complex, necessitating further exploration of the interrelation between EU and domestic law. NIHRC commissioned the research paper to </w:t>
      </w:r>
      <w:r w:rsidR="007A72FF">
        <w:t>explore</w:t>
      </w:r>
      <w:r w:rsidRPr="00F24261">
        <w:t xml:space="preserve"> the engagement of asylum and immigration law with the protection and safeguards of Windsor Framework</w:t>
      </w:r>
      <w:r w:rsidR="0046073A" w:rsidRPr="0046073A">
        <w:t xml:space="preserve"> </w:t>
      </w:r>
      <w:r w:rsidR="0046073A" w:rsidRPr="00F24261">
        <w:t>Article 2</w:t>
      </w:r>
      <w:r w:rsidRPr="00F24261">
        <w:t>. The brief</w:t>
      </w:r>
      <w:r w:rsidR="00C47418">
        <w:t>ing</w:t>
      </w:r>
      <w:r w:rsidRPr="00F24261">
        <w:t xml:space="preserve"> </w:t>
      </w:r>
      <w:r w:rsidR="0098107C">
        <w:t xml:space="preserve">sets out NIHRC advice informed by the research, </w:t>
      </w:r>
      <w:r w:rsidR="00F540AB">
        <w:t>highlights key points</w:t>
      </w:r>
      <w:r w:rsidR="00A973D1">
        <w:t xml:space="preserve"> </w:t>
      </w:r>
      <w:r w:rsidR="00360048">
        <w:t>in the research</w:t>
      </w:r>
      <w:r w:rsidR="0098107C">
        <w:t xml:space="preserve"> and</w:t>
      </w:r>
      <w:r w:rsidR="00360048">
        <w:t xml:space="preserve"> </w:t>
      </w:r>
      <w:r w:rsidR="00A973D1">
        <w:t xml:space="preserve">signposts the </w:t>
      </w:r>
      <w:r w:rsidR="00360048">
        <w:t xml:space="preserve">reader to the </w:t>
      </w:r>
      <w:r w:rsidR="00A973D1">
        <w:t xml:space="preserve">detail in the </w:t>
      </w:r>
      <w:r w:rsidR="00360048">
        <w:t>report</w:t>
      </w:r>
      <w:r w:rsidRPr="00F24261">
        <w:t>.</w:t>
      </w:r>
    </w:p>
    <w:p w14:paraId="747C6F1F" w14:textId="399C0CCA" w:rsidR="004963B2" w:rsidRPr="00F24261" w:rsidRDefault="004963B2" w:rsidP="004C6DF8">
      <w:pPr>
        <w:pStyle w:val="ListParagraph"/>
      </w:pPr>
      <w:r w:rsidRPr="00F24261">
        <w:lastRenderedPageBreak/>
        <w:t>The next section of this briefing note</w:t>
      </w:r>
      <w:r w:rsidR="002476D3" w:rsidRPr="00F24261">
        <w:t xml:space="preserve"> provides an overview of Windsor Framework Article 2 before </w:t>
      </w:r>
      <w:r w:rsidR="00086DBB" w:rsidRPr="00F24261">
        <w:t>section 3</w:t>
      </w:r>
      <w:r w:rsidRPr="00F24261">
        <w:t xml:space="preserve"> summarises and endorses the main argument put forward for reading refugees and asylum seekers as part of the </w:t>
      </w:r>
      <w:r w:rsidR="00291092" w:rsidRPr="00F24261">
        <w:t>‘</w:t>
      </w:r>
      <w:r w:rsidRPr="00F24261">
        <w:t>community</w:t>
      </w:r>
      <w:r w:rsidR="00291092" w:rsidRPr="00F24261">
        <w:t>’</w:t>
      </w:r>
      <w:r w:rsidRPr="00F24261">
        <w:t xml:space="preserve"> protected in the rights, </w:t>
      </w:r>
      <w:proofErr w:type="gramStart"/>
      <w:r w:rsidRPr="00F24261">
        <w:t>safeguards</w:t>
      </w:r>
      <w:proofErr w:type="gramEnd"/>
      <w:r w:rsidRPr="00F24261">
        <w:t xml:space="preserve"> and equality of opportunity chapter of the BGFA. Th</w:t>
      </w:r>
      <w:r w:rsidR="002476D3" w:rsidRPr="00F24261">
        <w:t>is</w:t>
      </w:r>
      <w:r w:rsidRPr="00F24261">
        <w:t xml:space="preserve"> section also sets out the </w:t>
      </w:r>
      <w:r w:rsidR="00C6478E">
        <w:t>NIHRC</w:t>
      </w:r>
      <w:r w:rsidRPr="00F24261">
        <w:t xml:space="preserve">’s view, informed by the research, that the range of rights and safeguards protected in the relevant part of the BGFA encompasses rights particular to those seeking and granted asylum. </w:t>
      </w:r>
      <w:r w:rsidR="00816B92" w:rsidRPr="00F24261">
        <w:t xml:space="preserve">Relevant </w:t>
      </w:r>
      <w:r w:rsidR="00506D45" w:rsidRPr="00F24261">
        <w:t>EU law</w:t>
      </w:r>
      <w:r w:rsidR="00816B92" w:rsidRPr="00F24261">
        <w:t xml:space="preserve"> is also referenced.</w:t>
      </w:r>
      <w:r w:rsidR="00506D45" w:rsidRPr="00F24261">
        <w:t xml:space="preserve"> </w:t>
      </w:r>
      <w:r w:rsidR="00086DBB" w:rsidRPr="00F24261">
        <w:t>Section 4</w:t>
      </w:r>
      <w:r w:rsidRPr="00F24261">
        <w:t xml:space="preserve"> </w:t>
      </w:r>
      <w:r w:rsidR="00816B92" w:rsidRPr="00F24261">
        <w:t xml:space="preserve">goes on to </w:t>
      </w:r>
      <w:r w:rsidRPr="00F24261">
        <w:t xml:space="preserve">consider the research findings on the potential diminutions of rights </w:t>
      </w:r>
      <w:r w:rsidR="00791177">
        <w:t xml:space="preserve">under </w:t>
      </w:r>
      <w:r w:rsidRPr="00F24261">
        <w:t xml:space="preserve">the Illegal Migration Act </w:t>
      </w:r>
      <w:r w:rsidR="00E737D4" w:rsidRPr="00F24261">
        <w:t>2023 and</w:t>
      </w:r>
      <w:r w:rsidRPr="00F24261">
        <w:t xml:space="preserve"> </w:t>
      </w:r>
      <w:r w:rsidR="007D0DEF">
        <w:t xml:space="preserve">summarises </w:t>
      </w:r>
      <w:r w:rsidR="00C6478E">
        <w:t xml:space="preserve">NIHRC </w:t>
      </w:r>
      <w:r w:rsidR="007D0DEF">
        <w:t>concerns</w:t>
      </w:r>
      <w:r w:rsidRPr="00F24261">
        <w:t xml:space="preserve">. </w:t>
      </w:r>
    </w:p>
    <w:p w14:paraId="10838263" w14:textId="77777777" w:rsidR="004963B2" w:rsidRDefault="004963B2" w:rsidP="00F24261">
      <w:pPr>
        <w:spacing w:line="360" w:lineRule="auto"/>
        <w:rPr>
          <w:rFonts w:ascii="Verdana" w:hAnsi="Verdana"/>
        </w:rPr>
      </w:pPr>
    </w:p>
    <w:p w14:paraId="416908C3" w14:textId="41604F0D" w:rsidR="00FE7B10" w:rsidRPr="007F21A5" w:rsidRDefault="00070378" w:rsidP="00F24261">
      <w:pPr>
        <w:pStyle w:val="Heading1"/>
      </w:pPr>
      <w:bookmarkStart w:id="3" w:name="_Toc151371446"/>
      <w:r>
        <w:t>Overview of Windsor Framework Article 2</w:t>
      </w:r>
      <w:bookmarkEnd w:id="3"/>
      <w:r>
        <w:t xml:space="preserve"> </w:t>
      </w:r>
    </w:p>
    <w:p w14:paraId="2B8BDC41" w14:textId="77777777" w:rsidR="004C6DF8" w:rsidRDefault="00E15B4C" w:rsidP="004C6DF8">
      <w:pPr>
        <w:pStyle w:val="ListParagraph"/>
      </w:pPr>
      <w:r w:rsidRPr="004C6DF8">
        <w:t>Article 2 states:</w:t>
      </w:r>
    </w:p>
    <w:p w14:paraId="53CA0FD7" w14:textId="77777777" w:rsidR="004C6DF8" w:rsidRDefault="004C6DF8" w:rsidP="004C6DF8">
      <w:pPr>
        <w:pStyle w:val="ListParagraph"/>
        <w:numPr>
          <w:ilvl w:val="0"/>
          <w:numId w:val="0"/>
        </w:numPr>
        <w:ind w:left="709"/>
      </w:pPr>
    </w:p>
    <w:p w14:paraId="07ACCBD6" w14:textId="059E40EF" w:rsidR="004C6DF8" w:rsidRDefault="00E15B4C" w:rsidP="004C6DF8">
      <w:pPr>
        <w:pStyle w:val="ListParagraph"/>
        <w:numPr>
          <w:ilvl w:val="0"/>
          <w:numId w:val="0"/>
        </w:numPr>
        <w:ind w:left="1440" w:right="873" w:hanging="567"/>
      </w:pPr>
      <w:r w:rsidRPr="004C6DF8">
        <w:t xml:space="preserve">1. </w:t>
      </w:r>
      <w:r w:rsidR="004C6DF8">
        <w:tab/>
      </w:r>
      <w:r w:rsidRPr="004C6DF8">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Framework, and shall implement this paragraph through dedicated mechanisms.</w:t>
      </w:r>
    </w:p>
    <w:p w14:paraId="6630A30A" w14:textId="77777777" w:rsidR="004C6DF8" w:rsidRDefault="004C6DF8" w:rsidP="004C6DF8">
      <w:pPr>
        <w:pStyle w:val="ListParagraph"/>
        <w:numPr>
          <w:ilvl w:val="0"/>
          <w:numId w:val="0"/>
        </w:numPr>
        <w:ind w:left="709"/>
      </w:pPr>
    </w:p>
    <w:p w14:paraId="6B7ADA1E" w14:textId="44E9094F" w:rsidR="00F41CFE" w:rsidRDefault="002D7820" w:rsidP="004C6DF8">
      <w:pPr>
        <w:pStyle w:val="ListParagraph"/>
      </w:pPr>
      <w:r w:rsidRPr="002D7820">
        <w:t xml:space="preserve">In Article 2, the UK Government commits to ensuring that certain rights, </w:t>
      </w:r>
      <w:proofErr w:type="gramStart"/>
      <w:r w:rsidRPr="002D7820">
        <w:t>safeguards</w:t>
      </w:r>
      <w:proofErr w:type="gramEnd"/>
      <w:r w:rsidRPr="002D7820">
        <w:t xml:space="preserve"> and equality of opportunity protections are not diminished as a result of the UK leaving the EU. Therefore, to fall within scope of Protocol Article 2, the human right or equality protection being relied </w:t>
      </w:r>
      <w:r w:rsidR="007D0DEF">
        <w:t>up</w:t>
      </w:r>
      <w:r w:rsidRPr="002D7820">
        <w:t xml:space="preserve">on must be covered by the relevant chapter of the Belfast (Good Friday) Agreement and have been underpinned by EU law including EU treaties, </w:t>
      </w:r>
      <w:proofErr w:type="gramStart"/>
      <w:r w:rsidRPr="002D7820">
        <w:t>directives</w:t>
      </w:r>
      <w:proofErr w:type="gramEnd"/>
      <w:r w:rsidRPr="002D7820">
        <w:t xml:space="preserve"> and regulations, in place on or before 31 December 2020</w:t>
      </w:r>
      <w:r w:rsidR="00F41CFE">
        <w:t>.</w:t>
      </w:r>
      <w:r w:rsidR="00D6587C">
        <w:t xml:space="preserve"> </w:t>
      </w:r>
      <w:r w:rsidR="00945DE5">
        <w:t xml:space="preserve">In most cases, the relevant EU law will be </w:t>
      </w:r>
      <w:r w:rsidR="002B090B">
        <w:t>that which was binding on the UK on 31 December 2020.</w:t>
      </w:r>
    </w:p>
    <w:p w14:paraId="2B554C3A" w14:textId="206D7E93" w:rsidR="004C6DF8" w:rsidRPr="004C6DF8" w:rsidRDefault="00802867" w:rsidP="004C6DF8">
      <w:pPr>
        <w:pStyle w:val="ListParagraph"/>
        <w:numPr>
          <w:ilvl w:val="0"/>
          <w:numId w:val="0"/>
        </w:numPr>
        <w:ind w:left="709"/>
      </w:pPr>
      <w:r w:rsidRPr="004C6DF8">
        <w:t xml:space="preserve"> </w:t>
      </w:r>
    </w:p>
    <w:p w14:paraId="1283FA28" w14:textId="77777777" w:rsidR="00825D56" w:rsidRDefault="00825D56" w:rsidP="004C6DF8">
      <w:pPr>
        <w:pStyle w:val="Heading2"/>
      </w:pPr>
    </w:p>
    <w:p w14:paraId="6168D2B1" w14:textId="1577083E" w:rsidR="00FF2B83" w:rsidRPr="004C6DF8" w:rsidRDefault="00933F24" w:rsidP="004C6DF8">
      <w:pPr>
        <w:pStyle w:val="Heading2"/>
      </w:pPr>
      <w:bookmarkStart w:id="4" w:name="_Toc151371447"/>
      <w:r w:rsidRPr="004C6DF8">
        <w:lastRenderedPageBreak/>
        <w:t>‘</w:t>
      </w:r>
      <w:r w:rsidR="00FF2B83" w:rsidRPr="004C6DF8">
        <w:t xml:space="preserve">Keeping pace’ </w:t>
      </w:r>
      <w:proofErr w:type="gramStart"/>
      <w:r w:rsidR="00FF2B83" w:rsidRPr="004C6DF8">
        <w:t>obligation</w:t>
      </w:r>
      <w:bookmarkEnd w:id="4"/>
      <w:proofErr w:type="gramEnd"/>
      <w:r w:rsidR="00FF2B83" w:rsidRPr="004C6DF8">
        <w:t xml:space="preserve"> </w:t>
      </w:r>
    </w:p>
    <w:p w14:paraId="58E252AA" w14:textId="769F8832" w:rsidR="00664AA9" w:rsidRDefault="002B090B" w:rsidP="007A683A">
      <w:pPr>
        <w:pStyle w:val="ListParagraph"/>
      </w:pPr>
      <w:r>
        <w:t xml:space="preserve">In addition to the ‘no diminution’ commitment, </w:t>
      </w:r>
      <w:r w:rsidR="00FF2B83" w:rsidRPr="00E36469">
        <w:t>Windsor Framework</w:t>
      </w:r>
      <w:r w:rsidR="00453E70">
        <w:t xml:space="preserve"> Article 2</w:t>
      </w:r>
      <w:r w:rsidR="00FF2B83" w:rsidRPr="00E36469">
        <w:t xml:space="preserve"> requires the UK Government to “keep pace” with any changes made by the EU to the six EU </w:t>
      </w:r>
      <w:r w:rsidR="00D05F84">
        <w:t xml:space="preserve">main </w:t>
      </w:r>
      <w:r w:rsidR="00FF2B83" w:rsidRPr="00E36469">
        <w:t xml:space="preserve">equality </w:t>
      </w:r>
      <w:r w:rsidR="005A46F7">
        <w:t>d</w:t>
      </w:r>
      <w:r w:rsidR="00FF2B83" w:rsidRPr="00E36469">
        <w:t>irectives listed Annex 1, which improve the minimum levels of protection available, after 1 January 2021, including relevant case law of the Court of Justice of the EU (CJEU).</w:t>
      </w:r>
      <w:r w:rsidR="00FF2B83" w:rsidRPr="00E36469">
        <w:rPr>
          <w:vertAlign w:val="superscript"/>
        </w:rPr>
        <w:footnoteReference w:id="4"/>
      </w:r>
      <w:r w:rsidR="00FF2B83" w:rsidRPr="00E36469">
        <w:t xml:space="preserve">  </w:t>
      </w:r>
      <w:r w:rsidR="00FF2B83" w:rsidRPr="003B6B49">
        <w:t xml:space="preserve">Article 13(3) of the Protocol provides that where the Protocol refers to an EU law measure, including the six equality directives in Annex 1, “that reference shall be read as referring to a Union act as amended or replaced”. </w:t>
      </w:r>
      <w:r w:rsidR="002C3F6B">
        <w:t>T</w:t>
      </w:r>
      <w:r w:rsidR="00FF2B83" w:rsidRPr="003B6B49">
        <w:t>herefore</w:t>
      </w:r>
      <w:r w:rsidR="002C3F6B">
        <w:t>,</w:t>
      </w:r>
      <w:r w:rsidR="00FF2B83" w:rsidRPr="003B6B49">
        <w:t xml:space="preserve"> </w:t>
      </w:r>
      <w:r w:rsidR="0083779F">
        <w:t xml:space="preserve">the </w:t>
      </w:r>
      <w:r w:rsidR="00FF2B83" w:rsidRPr="003B6B49">
        <w:t xml:space="preserve">UK Government </w:t>
      </w:r>
      <w:r w:rsidR="0083779F">
        <w:t xml:space="preserve">is obliged </w:t>
      </w:r>
      <w:r w:rsidR="00FF2B83" w:rsidRPr="003B6B49">
        <w:t xml:space="preserve">to ensure that any amendment to, or replacement of, an Annex 1 Directive by the EU on or after 1 January 2021 which enhances rights and protections, is reflected in NI law. Article 13 might therefore be described as providing an evolving benchmark for protection against certain forms of discrimination in NI. </w:t>
      </w:r>
    </w:p>
    <w:p w14:paraId="67B0DB2F" w14:textId="77777777" w:rsidR="00664AA9" w:rsidRDefault="00664AA9" w:rsidP="007A683A">
      <w:pPr>
        <w:pStyle w:val="ListParagraph"/>
        <w:numPr>
          <w:ilvl w:val="0"/>
          <w:numId w:val="0"/>
        </w:numPr>
        <w:ind w:left="709"/>
      </w:pPr>
    </w:p>
    <w:p w14:paraId="12A6C48F" w14:textId="472B0762" w:rsidR="000D4ACD" w:rsidRDefault="001D5898" w:rsidP="007D0DEF">
      <w:pPr>
        <w:pStyle w:val="ListParagraph"/>
      </w:pPr>
      <w:r w:rsidRPr="00664AA9">
        <w:t>The UK Government has confirmed its commitment to dynamic alignment with the Annex 1 equality directives to “provide a reassurance that, at the very least, the minimum standard of rights protection required by the listed directives will continue to be relevant in NI” and this will “ensure NI will not fall behind minimum European standards in anti-discrimination law”.</w:t>
      </w:r>
      <w:r w:rsidRPr="003B6B49">
        <w:rPr>
          <w:vertAlign w:val="superscript"/>
        </w:rPr>
        <w:footnoteReference w:id="5"/>
      </w:r>
      <w:r w:rsidRPr="00664AA9">
        <w:t xml:space="preserve"> </w:t>
      </w:r>
      <w:r w:rsidR="00F01F28" w:rsidRPr="00664AA9">
        <w:t>Annex 1 include</w:t>
      </w:r>
      <w:r w:rsidR="004A14FD">
        <w:t>s</w:t>
      </w:r>
      <w:r w:rsidR="000F19EE">
        <w:t xml:space="preserve">: </w:t>
      </w:r>
    </w:p>
    <w:p w14:paraId="1812366C" w14:textId="77777777" w:rsidR="0037372E" w:rsidRPr="006F6E42" w:rsidRDefault="0037372E" w:rsidP="000F19EE">
      <w:pPr>
        <w:pStyle w:val="ListParagraph"/>
        <w:numPr>
          <w:ilvl w:val="0"/>
          <w:numId w:val="16"/>
        </w:numPr>
        <w:ind w:left="1134"/>
      </w:pPr>
      <w:r w:rsidRPr="006F6E42">
        <w:t>Racial Equality Directive;</w:t>
      </w:r>
      <w:r w:rsidRPr="006F6E42">
        <w:rPr>
          <w:rStyle w:val="FootnoteReference"/>
        </w:rPr>
        <w:footnoteReference w:id="6"/>
      </w:r>
      <w:r w:rsidRPr="006F6E42">
        <w:t xml:space="preserve"> </w:t>
      </w:r>
    </w:p>
    <w:p w14:paraId="0DBE9A6A" w14:textId="77777777" w:rsidR="0037372E" w:rsidRPr="006F6E42" w:rsidRDefault="0037372E" w:rsidP="000F19EE">
      <w:pPr>
        <w:pStyle w:val="ListParagraph"/>
        <w:numPr>
          <w:ilvl w:val="0"/>
          <w:numId w:val="16"/>
        </w:numPr>
        <w:ind w:left="1134"/>
      </w:pPr>
      <w:r w:rsidRPr="006F6E42">
        <w:t>Employment Equality (Framework) Directive;</w:t>
      </w:r>
      <w:r w:rsidRPr="006F6E42">
        <w:rPr>
          <w:rStyle w:val="FootnoteReference"/>
        </w:rPr>
        <w:footnoteReference w:id="7"/>
      </w:r>
      <w:r w:rsidRPr="006F6E42">
        <w:t xml:space="preserve"> </w:t>
      </w:r>
    </w:p>
    <w:p w14:paraId="64368B6E" w14:textId="77777777" w:rsidR="0037372E" w:rsidRPr="006F6E42" w:rsidRDefault="0037372E" w:rsidP="000F19EE">
      <w:pPr>
        <w:pStyle w:val="ListParagraph"/>
        <w:numPr>
          <w:ilvl w:val="0"/>
          <w:numId w:val="16"/>
        </w:numPr>
        <w:ind w:left="1134"/>
      </w:pPr>
      <w:r w:rsidRPr="006F6E42">
        <w:t>Gender Goods and Services Directive;</w:t>
      </w:r>
      <w:r w:rsidRPr="006F6E42">
        <w:rPr>
          <w:rStyle w:val="FootnoteReference"/>
        </w:rPr>
        <w:footnoteReference w:id="8"/>
      </w:r>
      <w:r w:rsidRPr="000F19EE">
        <w:rPr>
          <w:vertAlign w:val="superscript"/>
        </w:rPr>
        <w:t xml:space="preserve"> </w:t>
      </w:r>
    </w:p>
    <w:p w14:paraId="1B8FDA46" w14:textId="77777777" w:rsidR="0037372E" w:rsidRPr="006F6E42" w:rsidRDefault="0037372E" w:rsidP="000F19EE">
      <w:pPr>
        <w:pStyle w:val="ListParagraph"/>
        <w:numPr>
          <w:ilvl w:val="0"/>
          <w:numId w:val="16"/>
        </w:numPr>
        <w:ind w:left="1134"/>
      </w:pPr>
      <w:r w:rsidRPr="006F6E42">
        <w:lastRenderedPageBreak/>
        <w:t>Equal Treatment (Employment) Directive;</w:t>
      </w:r>
      <w:r w:rsidRPr="006F6E42">
        <w:rPr>
          <w:rStyle w:val="FootnoteReference"/>
        </w:rPr>
        <w:footnoteReference w:id="9"/>
      </w:r>
    </w:p>
    <w:p w14:paraId="5D23F8F1" w14:textId="77777777" w:rsidR="00B6308B" w:rsidRDefault="0037372E" w:rsidP="00B6308B">
      <w:pPr>
        <w:pStyle w:val="ListParagraph"/>
        <w:numPr>
          <w:ilvl w:val="0"/>
          <w:numId w:val="16"/>
        </w:numPr>
        <w:ind w:left="1134"/>
      </w:pPr>
      <w:r w:rsidRPr="006F6E42">
        <w:t>Self-Employment Equal Treatment Directive;</w:t>
      </w:r>
      <w:r w:rsidRPr="006F6E42">
        <w:rPr>
          <w:rStyle w:val="FootnoteReference"/>
        </w:rPr>
        <w:footnoteReference w:id="10"/>
      </w:r>
      <w:r w:rsidRPr="006F6E42">
        <w:t xml:space="preserve"> and </w:t>
      </w:r>
    </w:p>
    <w:p w14:paraId="22CF544E" w14:textId="3A76082A" w:rsidR="000D4ACD" w:rsidRDefault="0037372E" w:rsidP="00B6308B">
      <w:pPr>
        <w:pStyle w:val="ListParagraph"/>
        <w:numPr>
          <w:ilvl w:val="0"/>
          <w:numId w:val="16"/>
        </w:numPr>
        <w:ind w:left="1134"/>
      </w:pPr>
      <w:r w:rsidRPr="006F6E42">
        <w:t>Equal Treatment in Social Security Directive.</w:t>
      </w:r>
      <w:r w:rsidRPr="006F6E42">
        <w:rPr>
          <w:rStyle w:val="FootnoteReference"/>
        </w:rPr>
        <w:footnoteReference w:id="11"/>
      </w:r>
    </w:p>
    <w:p w14:paraId="7FAEB606" w14:textId="426610E8" w:rsidR="00A71E04" w:rsidRPr="00664AA9" w:rsidRDefault="00A71E04" w:rsidP="000F19EE">
      <w:pPr>
        <w:pStyle w:val="ListParagraph"/>
        <w:numPr>
          <w:ilvl w:val="0"/>
          <w:numId w:val="0"/>
        </w:numPr>
        <w:ind w:left="709"/>
      </w:pPr>
    </w:p>
    <w:p w14:paraId="103D5EEF" w14:textId="7F1236A1" w:rsidR="00FF2B83" w:rsidRDefault="00B7315E" w:rsidP="004C6DF8">
      <w:pPr>
        <w:pStyle w:val="Heading2"/>
      </w:pPr>
      <w:bookmarkStart w:id="5" w:name="_Toc151371448"/>
      <w:r>
        <w:t>When and how is Windsor Framework Article 2 engaged?</w:t>
      </w:r>
      <w:bookmarkEnd w:id="5"/>
      <w:r w:rsidR="00FF2B83">
        <w:t xml:space="preserve"> </w:t>
      </w:r>
    </w:p>
    <w:p w14:paraId="5BCB3EFA" w14:textId="753C5D79" w:rsidR="00FE7B10" w:rsidRDefault="00F874E9" w:rsidP="00DF2B0F">
      <w:pPr>
        <w:pStyle w:val="ListParagraph"/>
      </w:pPr>
      <w:r w:rsidRPr="003B6B49">
        <w:t xml:space="preserve">To show that there has been a diminution of rights, </w:t>
      </w:r>
      <w:proofErr w:type="gramStart"/>
      <w:r w:rsidRPr="003B6B49">
        <w:t>safeguards</w:t>
      </w:r>
      <w:proofErr w:type="gramEnd"/>
      <w:r w:rsidRPr="003B6B49">
        <w:t xml:space="preserve"> or equality of opportunity protections, as set out in the relevant part of the Belfast (Good Friday) Agreement, resulting from the UK’s withdrawal from the EU, there must be a right or safeguard which was underpinned by EU law and given effect in NI law on or before 31 December 2020.  </w:t>
      </w:r>
    </w:p>
    <w:p w14:paraId="7DAAB3CE" w14:textId="77777777" w:rsidR="0048536A" w:rsidRDefault="0048536A" w:rsidP="005B7441">
      <w:pPr>
        <w:pStyle w:val="ListParagraph"/>
        <w:numPr>
          <w:ilvl w:val="0"/>
          <w:numId w:val="0"/>
        </w:numPr>
        <w:ind w:left="709"/>
      </w:pPr>
    </w:p>
    <w:p w14:paraId="68215BF4" w14:textId="15CCA670" w:rsidR="00053324" w:rsidRDefault="00053324" w:rsidP="005460CA">
      <w:pPr>
        <w:pStyle w:val="ListParagraph"/>
        <w:spacing w:after="120"/>
      </w:pPr>
      <w:r w:rsidRPr="009E0890">
        <w:t>If the answer to each of the questions</w:t>
      </w:r>
      <w:r>
        <w:t xml:space="preserve"> below</w:t>
      </w:r>
      <w:r w:rsidRPr="009E0890">
        <w:t xml:space="preserve"> is yes, then a breach of Windsor Framework</w:t>
      </w:r>
      <w:r>
        <w:t xml:space="preserve"> Article 2</w:t>
      </w:r>
      <w:r w:rsidRPr="009E0890">
        <w:t xml:space="preserve"> has been identified. </w:t>
      </w:r>
      <w:r>
        <w:t xml:space="preserve">These questions are: </w:t>
      </w:r>
    </w:p>
    <w:p w14:paraId="1EF972A0" w14:textId="6719DA45" w:rsidR="00053324" w:rsidRDefault="00053324" w:rsidP="005460CA">
      <w:pPr>
        <w:spacing w:after="120" w:line="276" w:lineRule="auto"/>
        <w:ind w:left="1440" w:hanging="720"/>
        <w:rPr>
          <w:rFonts w:ascii="Verdana" w:hAnsi="Verdana"/>
        </w:rPr>
      </w:pPr>
      <w:r w:rsidRPr="00691CE8">
        <w:rPr>
          <w:rFonts w:ascii="Verdana" w:hAnsi="Verdana"/>
        </w:rPr>
        <w:t>(</w:t>
      </w:r>
      <w:proofErr w:type="spellStart"/>
      <w:r w:rsidRPr="00691CE8">
        <w:rPr>
          <w:rFonts w:ascii="Verdana" w:hAnsi="Verdana"/>
        </w:rPr>
        <w:t>i</w:t>
      </w:r>
      <w:proofErr w:type="spellEnd"/>
      <w:r w:rsidRPr="00691CE8">
        <w:rPr>
          <w:rFonts w:ascii="Verdana" w:hAnsi="Verdana"/>
        </w:rPr>
        <w:t>)</w:t>
      </w:r>
      <w:r w:rsidRPr="00691CE8">
        <w:rPr>
          <w:rFonts w:ascii="Verdana" w:hAnsi="Verdana"/>
        </w:rPr>
        <w:tab/>
        <w:t>Does the right, safeguard or equality of opportunity protection fall within</w:t>
      </w:r>
      <w:r>
        <w:rPr>
          <w:rFonts w:ascii="Verdana" w:hAnsi="Verdana"/>
        </w:rPr>
        <w:t xml:space="preserve"> </w:t>
      </w:r>
      <w:r w:rsidRPr="00691CE8">
        <w:rPr>
          <w:rFonts w:ascii="Verdana" w:hAnsi="Verdana"/>
        </w:rPr>
        <w:t>the relevant part of the Belfast (Good Friday) Agreement?</w:t>
      </w:r>
    </w:p>
    <w:p w14:paraId="62AF2D07" w14:textId="77777777" w:rsidR="00053324" w:rsidRDefault="00053324" w:rsidP="005460CA">
      <w:pPr>
        <w:spacing w:after="120" w:line="276" w:lineRule="auto"/>
        <w:ind w:left="1440" w:hanging="720"/>
        <w:rPr>
          <w:rFonts w:ascii="Verdana" w:hAnsi="Verdana"/>
        </w:rPr>
      </w:pPr>
      <w:r w:rsidRPr="00691CE8">
        <w:rPr>
          <w:rFonts w:ascii="Verdana" w:hAnsi="Verdana"/>
        </w:rPr>
        <w:t>(ii)</w:t>
      </w:r>
      <w:r w:rsidRPr="00691CE8">
        <w:rPr>
          <w:rFonts w:ascii="Verdana" w:hAnsi="Verdana"/>
        </w:rPr>
        <w:tab/>
        <w:t xml:space="preserve">Was the right, </w:t>
      </w:r>
      <w:proofErr w:type="gramStart"/>
      <w:r w:rsidRPr="00691CE8">
        <w:rPr>
          <w:rFonts w:ascii="Verdana" w:hAnsi="Verdana"/>
        </w:rPr>
        <w:t>safeguard</w:t>
      </w:r>
      <w:proofErr w:type="gramEnd"/>
      <w:r w:rsidRPr="00691CE8">
        <w:rPr>
          <w:rFonts w:ascii="Verdana" w:hAnsi="Verdana"/>
        </w:rPr>
        <w:t xml:space="preserve"> or equality of opportunity protection:</w:t>
      </w:r>
    </w:p>
    <w:p w14:paraId="755F5BA1" w14:textId="77777777" w:rsidR="00053324" w:rsidRPr="00691CE8" w:rsidRDefault="00053324" w:rsidP="005460CA">
      <w:pPr>
        <w:spacing w:after="120" w:line="276" w:lineRule="auto"/>
        <w:ind w:left="2160" w:hanging="720"/>
        <w:rPr>
          <w:rFonts w:ascii="Verdana" w:hAnsi="Verdana"/>
        </w:rPr>
      </w:pPr>
      <w:r w:rsidRPr="00691CE8">
        <w:rPr>
          <w:rFonts w:ascii="Verdana" w:hAnsi="Verdana"/>
        </w:rPr>
        <w:t xml:space="preserve">(a) </w:t>
      </w:r>
      <w:r>
        <w:rPr>
          <w:rFonts w:ascii="Verdana" w:hAnsi="Verdana"/>
        </w:rPr>
        <w:tab/>
      </w:r>
      <w:r w:rsidRPr="00691CE8">
        <w:rPr>
          <w:rFonts w:ascii="Verdana" w:hAnsi="Verdana"/>
        </w:rPr>
        <w:t xml:space="preserve">underpinned by EU law binding on the UK on or before 31 December 2020? </w:t>
      </w:r>
    </w:p>
    <w:p w14:paraId="664B1384" w14:textId="77777777" w:rsidR="00053324" w:rsidRPr="00691CE8" w:rsidRDefault="00053324" w:rsidP="005460CA">
      <w:pPr>
        <w:spacing w:after="120" w:line="276" w:lineRule="auto"/>
        <w:ind w:left="2160" w:hanging="720"/>
        <w:rPr>
          <w:rFonts w:ascii="Verdana" w:hAnsi="Verdana"/>
        </w:rPr>
      </w:pPr>
      <w:r w:rsidRPr="00691CE8">
        <w:rPr>
          <w:rFonts w:ascii="Verdana" w:hAnsi="Verdana"/>
        </w:rPr>
        <w:t>(b)</w:t>
      </w:r>
      <w:r w:rsidRPr="00691CE8">
        <w:rPr>
          <w:rFonts w:ascii="Verdana" w:hAnsi="Verdana"/>
        </w:rPr>
        <w:tab/>
        <w:t xml:space="preserve"> given effect in NI law, in whole or in part, on or before</w:t>
      </w:r>
      <w:r>
        <w:rPr>
          <w:rFonts w:ascii="Verdana" w:hAnsi="Verdana"/>
        </w:rPr>
        <w:t xml:space="preserve"> </w:t>
      </w:r>
      <w:r w:rsidRPr="00691CE8">
        <w:rPr>
          <w:rFonts w:ascii="Verdana" w:hAnsi="Verdana"/>
        </w:rPr>
        <w:t>31 December</w:t>
      </w:r>
      <w:r>
        <w:rPr>
          <w:rFonts w:ascii="Verdana" w:hAnsi="Verdana"/>
        </w:rPr>
        <w:t xml:space="preserve"> </w:t>
      </w:r>
      <w:r w:rsidRPr="00691CE8">
        <w:rPr>
          <w:rFonts w:ascii="Verdana" w:hAnsi="Verdana"/>
        </w:rPr>
        <w:t>2020?</w:t>
      </w:r>
      <w:r>
        <w:rPr>
          <w:rStyle w:val="FootnoteReference"/>
          <w:rFonts w:ascii="Verdana" w:hAnsi="Verdana"/>
        </w:rPr>
        <w:footnoteReference w:id="12"/>
      </w:r>
    </w:p>
    <w:p w14:paraId="69389BAC" w14:textId="77777777" w:rsidR="00053324" w:rsidRPr="00691CE8" w:rsidRDefault="00053324" w:rsidP="00053324">
      <w:pPr>
        <w:spacing w:line="276" w:lineRule="auto"/>
        <w:ind w:left="1440" w:hanging="720"/>
        <w:rPr>
          <w:rFonts w:ascii="Verdana" w:hAnsi="Verdana"/>
        </w:rPr>
      </w:pPr>
      <w:r w:rsidRPr="00691CE8">
        <w:rPr>
          <w:rFonts w:ascii="Verdana" w:hAnsi="Verdana"/>
        </w:rPr>
        <w:t>(iii)</w:t>
      </w:r>
      <w:r w:rsidRPr="00691CE8">
        <w:rPr>
          <w:rFonts w:ascii="Verdana" w:hAnsi="Verdana"/>
        </w:rPr>
        <w:tab/>
        <w:t xml:space="preserve">Has there been a diminution in the right, </w:t>
      </w:r>
      <w:proofErr w:type="gramStart"/>
      <w:r w:rsidRPr="00691CE8">
        <w:rPr>
          <w:rFonts w:ascii="Verdana" w:hAnsi="Verdana"/>
        </w:rPr>
        <w:t>safeguard</w:t>
      </w:r>
      <w:proofErr w:type="gramEnd"/>
      <w:r w:rsidRPr="00691CE8">
        <w:rPr>
          <w:rFonts w:ascii="Verdana" w:hAnsi="Verdana"/>
        </w:rPr>
        <w:t xml:space="preserve"> or equality</w:t>
      </w:r>
      <w:r>
        <w:rPr>
          <w:rFonts w:ascii="Verdana" w:hAnsi="Verdana"/>
        </w:rPr>
        <w:t xml:space="preserve"> </w:t>
      </w:r>
      <w:r w:rsidRPr="00691CE8">
        <w:rPr>
          <w:rFonts w:ascii="Verdana" w:hAnsi="Verdana"/>
        </w:rPr>
        <w:t>of opportunity protection on or after 1 January 2021?</w:t>
      </w:r>
    </w:p>
    <w:p w14:paraId="43FB0FB5" w14:textId="021C9AB9" w:rsidR="00053324" w:rsidRDefault="00053324" w:rsidP="00AE2CC8">
      <w:pPr>
        <w:spacing w:line="276" w:lineRule="auto"/>
        <w:ind w:left="1440" w:hanging="720"/>
        <w:rPr>
          <w:rFonts w:ascii="Verdana" w:hAnsi="Verdana"/>
        </w:rPr>
      </w:pPr>
      <w:r w:rsidRPr="00691CE8">
        <w:rPr>
          <w:rFonts w:ascii="Verdana" w:hAnsi="Verdana"/>
        </w:rPr>
        <w:t>(iv)</w:t>
      </w:r>
      <w:r w:rsidRPr="00691CE8">
        <w:rPr>
          <w:rFonts w:ascii="Verdana" w:hAnsi="Verdana"/>
        </w:rPr>
        <w:tab/>
        <w:t xml:space="preserve">Would this diminution </w:t>
      </w:r>
      <w:r>
        <w:rPr>
          <w:rFonts w:ascii="Verdana" w:hAnsi="Verdana"/>
        </w:rPr>
        <w:t>have been unlawful</w:t>
      </w:r>
      <w:r w:rsidRPr="00691CE8">
        <w:rPr>
          <w:rFonts w:ascii="Verdana" w:hAnsi="Verdana"/>
        </w:rPr>
        <w:t xml:space="preserve"> had the UK remained</w:t>
      </w:r>
      <w:r>
        <w:rPr>
          <w:rFonts w:ascii="Verdana" w:hAnsi="Verdana"/>
        </w:rPr>
        <w:t xml:space="preserve"> </w:t>
      </w:r>
      <w:r w:rsidRPr="00691CE8">
        <w:rPr>
          <w:rFonts w:ascii="Verdana" w:hAnsi="Verdana"/>
        </w:rPr>
        <w:t>in the EU?</w:t>
      </w:r>
      <w:r>
        <w:rPr>
          <w:rStyle w:val="FootnoteReference"/>
          <w:rFonts w:ascii="Verdana" w:hAnsi="Verdana"/>
        </w:rPr>
        <w:footnoteReference w:id="13"/>
      </w:r>
    </w:p>
    <w:p w14:paraId="34DF87E9" w14:textId="09BD483B" w:rsidR="0048536A" w:rsidRDefault="00254CB0" w:rsidP="00DF2B0F">
      <w:pPr>
        <w:pStyle w:val="ListParagraph"/>
      </w:pPr>
      <w:r>
        <w:lastRenderedPageBreak/>
        <w:t xml:space="preserve">In May 2023, the NI Court of Appeal set out a </w:t>
      </w:r>
      <w:r w:rsidR="007561CE">
        <w:t xml:space="preserve">six-part </w:t>
      </w:r>
      <w:r>
        <w:t>test which is not dissimilar.</w:t>
      </w:r>
      <w:r w:rsidR="00D93D2A">
        <w:rPr>
          <w:rStyle w:val="FootnoteReference"/>
        </w:rPr>
        <w:footnoteReference w:id="14"/>
      </w:r>
      <w:r w:rsidR="00106CF8">
        <w:t xml:space="preserve"> Court rulings have also confirmed that </w:t>
      </w:r>
      <w:r w:rsidR="00047557">
        <w:t>Windsor Framework Article 2 has direct effect, meaning individuals can assert their rights</w:t>
      </w:r>
      <w:r w:rsidR="00D84F08">
        <w:t xml:space="preserve"> under Article 2 before domestic courts.</w:t>
      </w:r>
      <w:r w:rsidR="007A4DD0">
        <w:rPr>
          <w:rStyle w:val="FootnoteReference"/>
        </w:rPr>
        <w:footnoteReference w:id="15"/>
      </w:r>
      <w:r w:rsidR="00D84F08">
        <w:t xml:space="preserve"> </w:t>
      </w:r>
      <w:r w:rsidR="00047557">
        <w:t xml:space="preserve"> </w:t>
      </w:r>
    </w:p>
    <w:p w14:paraId="4787CB2C" w14:textId="77777777" w:rsidR="005D442C" w:rsidRPr="00544A2B" w:rsidRDefault="005D442C" w:rsidP="00705075">
      <w:pPr>
        <w:pStyle w:val="ListParagraph"/>
        <w:numPr>
          <w:ilvl w:val="0"/>
          <w:numId w:val="0"/>
        </w:numPr>
        <w:ind w:left="709"/>
      </w:pPr>
    </w:p>
    <w:p w14:paraId="4592BCA7" w14:textId="0526E357" w:rsidR="009A5843" w:rsidRDefault="00794C02" w:rsidP="00F24261">
      <w:pPr>
        <w:pStyle w:val="Heading1"/>
      </w:pPr>
      <w:bookmarkStart w:id="6" w:name="_Toc151371449"/>
      <w:r w:rsidRPr="00794C02">
        <w:t>Article 2</w:t>
      </w:r>
      <w:r w:rsidR="00EE6115">
        <w:t xml:space="preserve"> </w:t>
      </w:r>
      <w:r w:rsidR="00E66698">
        <w:t xml:space="preserve">and </w:t>
      </w:r>
      <w:r w:rsidR="009833F5">
        <w:t>R</w:t>
      </w:r>
      <w:r w:rsidR="00E10F54">
        <w:t>efugees &amp; Asylum-Seekers</w:t>
      </w:r>
      <w:bookmarkEnd w:id="6"/>
    </w:p>
    <w:p w14:paraId="60D05936" w14:textId="4BE3C28A" w:rsidR="00127BB0" w:rsidRDefault="00760C0D" w:rsidP="007A683A">
      <w:pPr>
        <w:pStyle w:val="ListParagraph"/>
      </w:pPr>
      <w:r>
        <w:t xml:space="preserve">This section </w:t>
      </w:r>
      <w:r w:rsidR="00823AF8">
        <w:t xml:space="preserve">considers </w:t>
      </w:r>
      <w:r w:rsidR="007C513C">
        <w:t xml:space="preserve">the research findings and sets out the </w:t>
      </w:r>
      <w:r w:rsidR="00C6478E">
        <w:t>NIHRC</w:t>
      </w:r>
      <w:r w:rsidR="007C513C">
        <w:t xml:space="preserve"> views on </w:t>
      </w:r>
      <w:r w:rsidR="00823AF8">
        <w:t xml:space="preserve">three separate questions. First, whether and on what basis refugees and asylum-seekers are protected by the relevant part of the Belfast (Good Friday) Agreement. Secondly, whether the rights in question extend to rights particular to refugees and asylum-seekers such as rights </w:t>
      </w:r>
      <w:r w:rsidR="00127BB0">
        <w:t>associated with consideration of their applications</w:t>
      </w:r>
      <w:r w:rsidR="007E73BD">
        <w:t xml:space="preserve">, </w:t>
      </w:r>
      <w:r w:rsidR="007E1021">
        <w:t>accommodation,</w:t>
      </w:r>
      <w:r w:rsidR="00127BB0">
        <w:t xml:space="preserve"> and treatment of vulnerable individuals.</w:t>
      </w:r>
      <w:r w:rsidR="00516458">
        <w:t xml:space="preserve"> </w:t>
      </w:r>
      <w:r w:rsidR="007C513C">
        <w:t xml:space="preserve">This </w:t>
      </w:r>
      <w:r w:rsidR="00127BB0">
        <w:t xml:space="preserve">section then looks briefly at EU </w:t>
      </w:r>
      <w:r w:rsidR="00516458">
        <w:t>law</w:t>
      </w:r>
      <w:r w:rsidR="00D60EC2">
        <w:t>, binding on the UK before Brexit</w:t>
      </w:r>
      <w:r w:rsidR="00A43F15">
        <w:t>,</w:t>
      </w:r>
      <w:r w:rsidR="00D60EC2">
        <w:t xml:space="preserve"> and</w:t>
      </w:r>
      <w:r w:rsidR="00A86FAA">
        <w:t xml:space="preserve"> </w:t>
      </w:r>
      <w:r w:rsidR="007C513C">
        <w:t xml:space="preserve">identified as setting minimum standards below which the law in </w:t>
      </w:r>
      <w:r w:rsidR="00C3323B">
        <w:t>NI</w:t>
      </w:r>
      <w:r w:rsidR="007C513C">
        <w:t xml:space="preserve"> should not fall.</w:t>
      </w:r>
    </w:p>
    <w:p w14:paraId="3540AC70" w14:textId="77777777" w:rsidR="007A683A" w:rsidRDefault="007A683A" w:rsidP="007A683A">
      <w:pPr>
        <w:pStyle w:val="ListParagraph"/>
        <w:numPr>
          <w:ilvl w:val="0"/>
          <w:numId w:val="0"/>
        </w:numPr>
        <w:ind w:left="709"/>
      </w:pPr>
    </w:p>
    <w:p w14:paraId="76EAE504" w14:textId="52CCB9B0" w:rsidR="000F5DA3" w:rsidRDefault="00D5182B" w:rsidP="007A683A">
      <w:pPr>
        <w:pStyle w:val="ListParagraph"/>
      </w:pPr>
      <w:r>
        <w:t xml:space="preserve">Before </w:t>
      </w:r>
      <w:r w:rsidR="003D5330">
        <w:t xml:space="preserve">highlighting </w:t>
      </w:r>
      <w:r w:rsidR="00566359">
        <w:t>how</w:t>
      </w:r>
      <w:r w:rsidR="00E37DDB">
        <w:t xml:space="preserve"> the protections and safeguards of</w:t>
      </w:r>
      <w:r w:rsidR="00566359">
        <w:t xml:space="preserve"> Windsor Framework</w:t>
      </w:r>
      <w:r w:rsidR="00E37DDB">
        <w:t xml:space="preserve"> </w:t>
      </w:r>
      <w:r w:rsidR="00A84320">
        <w:t xml:space="preserve">Article 2 </w:t>
      </w:r>
      <w:r w:rsidR="00E37DDB">
        <w:t>extend to refugees and asylum seekers, i</w:t>
      </w:r>
      <w:r w:rsidR="000F5DA3" w:rsidRPr="00F67892">
        <w:t xml:space="preserve">t is important </w:t>
      </w:r>
      <w:r w:rsidR="00B95BA6" w:rsidRPr="00F67892">
        <w:t>to highlight</w:t>
      </w:r>
      <w:r w:rsidR="00AC3A10">
        <w:t xml:space="preserve"> </w:t>
      </w:r>
      <w:r w:rsidR="00AE13E1">
        <w:t xml:space="preserve">that </w:t>
      </w:r>
      <w:r w:rsidR="00B95BA6" w:rsidRPr="00F67892">
        <w:t>UK immigration law distinguishes between asylum seekers, refugees, individuals with humanitarian protection and individuals with discretionary leave to remain.</w:t>
      </w:r>
      <w:r w:rsidR="00AC3A10" w:rsidRPr="00F67892">
        <w:rPr>
          <w:rStyle w:val="FootnoteReference"/>
        </w:rPr>
        <w:footnoteReference w:id="16"/>
      </w:r>
      <w:r w:rsidR="00AC3A10">
        <w:t xml:space="preserve"> </w:t>
      </w:r>
      <w:r w:rsidR="00B95BA6" w:rsidRPr="00F67892">
        <w:t>Separated or unaccompanied children are also distinguished as a specific category of asylum seeker. These distinctions have practical implications</w:t>
      </w:r>
      <w:r w:rsidR="009D0163">
        <w:t xml:space="preserve">. </w:t>
      </w:r>
    </w:p>
    <w:p w14:paraId="59A769E3" w14:textId="77777777" w:rsidR="007A683A" w:rsidRDefault="007A683A" w:rsidP="007A683A">
      <w:pPr>
        <w:pStyle w:val="ListParagraph"/>
        <w:numPr>
          <w:ilvl w:val="0"/>
          <w:numId w:val="0"/>
        </w:numPr>
        <w:ind w:left="709"/>
      </w:pPr>
    </w:p>
    <w:p w14:paraId="1309F4F8" w14:textId="77777777" w:rsidR="000873D2" w:rsidRDefault="000873D2" w:rsidP="00A71E04">
      <w:pPr>
        <w:pStyle w:val="Heading2"/>
      </w:pPr>
      <w:bookmarkStart w:id="7" w:name="_Toc151371450"/>
      <w:bookmarkStart w:id="8" w:name="_Hlk141968097"/>
      <w:r>
        <w:t>Whose Rights?</w:t>
      </w:r>
      <w:bookmarkEnd w:id="7"/>
      <w:r>
        <w:t xml:space="preserve"> </w:t>
      </w:r>
    </w:p>
    <w:p w14:paraId="323DCFBB" w14:textId="35A7A2FA" w:rsidR="007A683A" w:rsidRDefault="000873D2" w:rsidP="00CD3427">
      <w:pPr>
        <w:pStyle w:val="ListParagraph"/>
      </w:pPr>
      <w:r>
        <w:t xml:space="preserve">In the research paper, Harvey </w:t>
      </w:r>
      <w:r w:rsidR="00EE7F98">
        <w:t xml:space="preserve">points to the </w:t>
      </w:r>
      <w:r w:rsidR="00AF1029">
        <w:t xml:space="preserve">declaration of support </w:t>
      </w:r>
      <w:r w:rsidR="008B59B2">
        <w:t xml:space="preserve">by the signatories of the </w:t>
      </w:r>
      <w:r w:rsidR="00AF1029">
        <w:t xml:space="preserve">Belfast </w:t>
      </w:r>
      <w:r w:rsidR="008B59B2">
        <w:t>(</w:t>
      </w:r>
      <w:r w:rsidR="00AF1029">
        <w:t>Good F</w:t>
      </w:r>
      <w:r w:rsidR="008B59B2">
        <w:t>riday) Agreement in which they commit to</w:t>
      </w:r>
      <w:r w:rsidR="00132E52">
        <w:t xml:space="preserve"> </w:t>
      </w:r>
      <w:r w:rsidR="005C4703">
        <w:t>building</w:t>
      </w:r>
      <w:r w:rsidR="008B59B2">
        <w:t xml:space="preserve"> </w:t>
      </w:r>
      <w:r>
        <w:t>a</w:t>
      </w:r>
      <w:r w:rsidRPr="008535C0">
        <w:t xml:space="preserve"> society founded upon “the protection and vindication of the human rights of all” </w:t>
      </w:r>
      <w:r w:rsidR="008B3873">
        <w:t xml:space="preserve">arguing that a society founded on such principles </w:t>
      </w:r>
      <w:r w:rsidRPr="008535C0">
        <w:t xml:space="preserve">is one </w:t>
      </w:r>
      <w:r w:rsidR="007D09DE">
        <w:t>“</w:t>
      </w:r>
      <w:r w:rsidRPr="008535C0">
        <w:t xml:space="preserve">which must grapple with the </w:t>
      </w:r>
      <w:r w:rsidRPr="008535C0">
        <w:lastRenderedPageBreak/>
        <w:t>effects of immigration control on all.</w:t>
      </w:r>
      <w:r>
        <w:t>”</w:t>
      </w:r>
      <w:r w:rsidR="00667AE5">
        <w:rPr>
          <w:rStyle w:val="FootnoteReference"/>
        </w:rPr>
        <w:footnoteReference w:id="17"/>
      </w:r>
      <w:r>
        <w:t xml:space="preserve"> </w:t>
      </w:r>
      <w:r w:rsidR="00E31B1A">
        <w:t xml:space="preserve">In section 2, </w:t>
      </w:r>
      <w:r>
        <w:t>Harvey emphasi</w:t>
      </w:r>
      <w:r w:rsidR="0004271E">
        <w:t>s</w:t>
      </w:r>
      <w:r>
        <w:t>es that i</w:t>
      </w:r>
      <w:r w:rsidRPr="008535C0">
        <w:t>mmigration control affects not only those directly subject to it but their family members, their employers, those using their services, their friends and those dependent upon them.</w:t>
      </w:r>
      <w:r>
        <w:t xml:space="preserve"> The immigration status determines </w:t>
      </w:r>
      <w:r w:rsidR="00B322F8">
        <w:t xml:space="preserve">an individual’s </w:t>
      </w:r>
      <w:r>
        <w:t xml:space="preserve">access to goods and services. </w:t>
      </w:r>
    </w:p>
    <w:p w14:paraId="4F2DAEA0" w14:textId="77777777" w:rsidR="00CD3427" w:rsidRDefault="00CD3427" w:rsidP="00CD3427">
      <w:pPr>
        <w:pStyle w:val="ListParagraph"/>
        <w:numPr>
          <w:ilvl w:val="0"/>
          <w:numId w:val="0"/>
        </w:numPr>
        <w:ind w:left="709"/>
      </w:pPr>
    </w:p>
    <w:p w14:paraId="267F4EEE" w14:textId="5A8B362B" w:rsidR="00383985" w:rsidRDefault="00080891" w:rsidP="00383985">
      <w:pPr>
        <w:pStyle w:val="ListParagraph"/>
      </w:pPr>
      <w:r w:rsidRPr="00691181">
        <w:t xml:space="preserve">The Rights, Safeguards and Equality of Opportunity chapter of the </w:t>
      </w:r>
      <w:r w:rsidR="00B70F8F">
        <w:t xml:space="preserve">Belfast (Good Friday) Agreement </w:t>
      </w:r>
      <w:r w:rsidR="004A1330" w:rsidRPr="00691181">
        <w:t xml:space="preserve">makes explicit the signatories’ commitment to </w:t>
      </w:r>
      <w:r w:rsidR="00D25BCF" w:rsidRPr="00691181">
        <w:t>“</w:t>
      </w:r>
      <w:r w:rsidR="004A1330" w:rsidRPr="00691181">
        <w:t xml:space="preserve">the civil rights and </w:t>
      </w:r>
      <w:r w:rsidR="00D25BCF" w:rsidRPr="00691181">
        <w:t xml:space="preserve">the </w:t>
      </w:r>
      <w:r w:rsidR="004A1330" w:rsidRPr="00691181">
        <w:t>religious liberties of everyone in the community</w:t>
      </w:r>
      <w:r w:rsidR="00D25BCF" w:rsidRPr="00691181">
        <w:t>”</w:t>
      </w:r>
      <w:r w:rsidR="004A1330" w:rsidRPr="00691181">
        <w:t xml:space="preserve">. </w:t>
      </w:r>
      <w:r w:rsidR="00C830D5">
        <w:t>“</w:t>
      </w:r>
      <w:r w:rsidR="00140F54">
        <w:t>Everyone in the community</w:t>
      </w:r>
      <w:r w:rsidR="00C830D5">
        <w:t>”</w:t>
      </w:r>
      <w:r w:rsidR="00140F54">
        <w:t xml:space="preserve"> </w:t>
      </w:r>
      <w:r w:rsidR="005277F5">
        <w:t>is</w:t>
      </w:r>
      <w:r w:rsidR="005277F5" w:rsidRPr="003C1746">
        <w:t xml:space="preserve"> </w:t>
      </w:r>
      <w:r w:rsidR="000873D2" w:rsidRPr="003C1746">
        <w:t>not confined to citizens</w:t>
      </w:r>
      <w:r w:rsidR="009E1DCF">
        <w:t xml:space="preserve"> or</w:t>
      </w:r>
      <w:r w:rsidR="007546BE">
        <w:t xml:space="preserve"> </w:t>
      </w:r>
      <w:r w:rsidR="00BF06D5">
        <w:t>“</w:t>
      </w:r>
      <w:r w:rsidR="007546BE">
        <w:t>pe</w:t>
      </w:r>
      <w:r w:rsidR="009E1DCF">
        <w:t>ople</w:t>
      </w:r>
      <w:r w:rsidR="007546BE">
        <w:t xml:space="preserve"> of Northern Ireland</w:t>
      </w:r>
      <w:r w:rsidR="00BF06D5">
        <w:t>”</w:t>
      </w:r>
      <w:r w:rsidR="007546BE">
        <w:t xml:space="preserve"> as referenced in the constitutional</w:t>
      </w:r>
      <w:r w:rsidR="000F01A4">
        <w:t xml:space="preserve"> issues</w:t>
      </w:r>
      <w:r w:rsidR="007546BE">
        <w:t xml:space="preserve"> section of the </w:t>
      </w:r>
      <w:r w:rsidR="00B70F8F">
        <w:t>Belfast (Good Friday) Agreement</w:t>
      </w:r>
      <w:r w:rsidR="007546BE">
        <w:t>.</w:t>
      </w:r>
      <w:r w:rsidR="000873D2" w:rsidRPr="00210165">
        <w:t xml:space="preserve"> </w:t>
      </w:r>
    </w:p>
    <w:p w14:paraId="249441C7" w14:textId="77777777" w:rsidR="00CD3427" w:rsidRDefault="00CD3427" w:rsidP="00CD3427">
      <w:pPr>
        <w:pStyle w:val="ListParagraph"/>
        <w:numPr>
          <w:ilvl w:val="0"/>
          <w:numId w:val="0"/>
        </w:numPr>
        <w:ind w:left="709"/>
      </w:pPr>
    </w:p>
    <w:p w14:paraId="3F104106" w14:textId="743F3688" w:rsidR="000873D2" w:rsidRDefault="00D45A7B" w:rsidP="00383985">
      <w:pPr>
        <w:pStyle w:val="ListParagraph"/>
      </w:pPr>
      <w:r>
        <w:t>International human rights treaties make clear that i</w:t>
      </w:r>
      <w:r w:rsidR="00D04C71">
        <w:t>mmigration status should not be a reason to exclude persons from the enjoyment of human rights</w:t>
      </w:r>
      <w:r w:rsidR="00D04C71" w:rsidRPr="00210165">
        <w:t xml:space="preserve"> </w:t>
      </w:r>
      <w:r w:rsidR="000873D2" w:rsidRPr="00210165">
        <w:t>albeit that immigration status may be relevant to the scope of those rights</w:t>
      </w:r>
      <w:bookmarkEnd w:id="8"/>
      <w:r w:rsidR="00563581">
        <w:t>.</w:t>
      </w:r>
      <w:r w:rsidR="00292D38" w:rsidRPr="00292D38">
        <w:t xml:space="preserve"> </w:t>
      </w:r>
      <w:r w:rsidR="00383985" w:rsidRPr="00383985">
        <w:t>Article 14 of the Universal Declaration of Human Rights states that, “everyone has the right to seek and enjoy in other countries asylum from persecution”. The UN Refugee Convention 1951 (the Refugee Convention) builds on this to include the right not to be penalised for being in or entering a country without permission where this is necessary to seek and receive asylu</w:t>
      </w:r>
      <w:r w:rsidR="00383985">
        <w:t>m.</w:t>
      </w:r>
      <w:r w:rsidR="0033437E">
        <w:rPr>
          <w:rStyle w:val="FootnoteReference"/>
        </w:rPr>
        <w:footnoteReference w:id="18"/>
      </w:r>
      <w:r w:rsidR="00383985" w:rsidRPr="00383985">
        <w:t xml:space="preserve"> </w:t>
      </w:r>
      <w:r w:rsidR="00292D38" w:rsidRPr="00383985">
        <w:t xml:space="preserve">The </w:t>
      </w:r>
      <w:proofErr w:type="spellStart"/>
      <w:r w:rsidR="00292D38" w:rsidRPr="00383985">
        <w:t>CoE</w:t>
      </w:r>
      <w:proofErr w:type="spellEnd"/>
      <w:r w:rsidR="00292D38" w:rsidRPr="00383985">
        <w:t xml:space="preserve"> Parliamentary Assembly has stated that</w:t>
      </w:r>
      <w:r w:rsidR="00292D38">
        <w:t xml:space="preserve"> </w:t>
      </w:r>
      <w:r w:rsidR="00292D38" w:rsidRPr="00292D38">
        <w:t>“as a starting point, international human rights instruments are applicable to all persons regardless of their nationality or status”</w:t>
      </w:r>
      <w:r w:rsidR="00292D38">
        <w:t>.</w:t>
      </w:r>
      <w:r w:rsidR="00563581">
        <w:rPr>
          <w:rStyle w:val="FootnoteReference"/>
        </w:rPr>
        <w:footnoteReference w:id="19"/>
      </w:r>
      <w:r w:rsidR="00394648">
        <w:t xml:space="preserve"> </w:t>
      </w:r>
    </w:p>
    <w:p w14:paraId="6516534D" w14:textId="77777777" w:rsidR="007A683A" w:rsidRPr="00855526" w:rsidRDefault="007A683A" w:rsidP="007A683A">
      <w:pPr>
        <w:pStyle w:val="ListParagraph"/>
        <w:numPr>
          <w:ilvl w:val="0"/>
          <w:numId w:val="0"/>
        </w:numPr>
        <w:ind w:left="709"/>
      </w:pPr>
    </w:p>
    <w:p w14:paraId="7CCDADC8" w14:textId="77777777" w:rsidR="004B66B9" w:rsidRDefault="007A0DC4" w:rsidP="004B66B9">
      <w:pPr>
        <w:pStyle w:val="ListParagraph"/>
      </w:pPr>
      <w:r>
        <w:t xml:space="preserve">Windsor Framework Article 2 </w:t>
      </w:r>
      <w:r w:rsidRPr="006234B8">
        <w:t xml:space="preserve">protects everyone subject to the law in NI, regardless of immigration status. </w:t>
      </w:r>
      <w:r w:rsidR="00F24088" w:rsidRPr="001A2CBE">
        <w:t xml:space="preserve">The </w:t>
      </w:r>
      <w:r w:rsidR="00F24088" w:rsidRPr="00231540">
        <w:t xml:space="preserve">UK Government’s ‘Explainer’ </w:t>
      </w:r>
      <w:r w:rsidR="009E67EB" w:rsidRPr="009E67EB">
        <w:t>recognises that these protections and safeguards apply to “everyone who is subject to NI law – irrespective of whether that law has been passed by the NI legislature or Westminster”.</w:t>
      </w:r>
      <w:r w:rsidR="009E67EB" w:rsidRPr="009E67EB">
        <w:rPr>
          <w:vertAlign w:val="superscript"/>
        </w:rPr>
        <w:footnoteReference w:id="20"/>
      </w:r>
      <w:r w:rsidR="009E67EB">
        <w:t xml:space="preserve"> </w:t>
      </w:r>
      <w:r w:rsidR="00627D10">
        <w:t xml:space="preserve">The NI High Court </w:t>
      </w:r>
      <w:r w:rsidR="001F1406">
        <w:t xml:space="preserve">has </w:t>
      </w:r>
      <w:r w:rsidR="00627D10">
        <w:t xml:space="preserve">confirmed that </w:t>
      </w:r>
      <w:r w:rsidR="000E355F">
        <w:t xml:space="preserve">the </w:t>
      </w:r>
      <w:r w:rsidR="000873D2" w:rsidRPr="001A2CBE">
        <w:t xml:space="preserve">protections of the relevant chapter of the Belfast (Good Friday) Agreement </w:t>
      </w:r>
      <w:r w:rsidR="00E77567">
        <w:t xml:space="preserve">are </w:t>
      </w:r>
      <w:r w:rsidR="00627D10">
        <w:t xml:space="preserve">not </w:t>
      </w:r>
      <w:r w:rsidR="00E77567">
        <w:t xml:space="preserve">limited to </w:t>
      </w:r>
      <w:r w:rsidR="00E77567">
        <w:lastRenderedPageBreak/>
        <w:t>the political context of Northern Ireland in 1998</w:t>
      </w:r>
      <w:r w:rsidR="000873D2" w:rsidRPr="001A2CBE">
        <w:t xml:space="preserve"> </w:t>
      </w:r>
      <w:r w:rsidR="00FA5A8F">
        <w:t>and do not exclude</w:t>
      </w:r>
      <w:r w:rsidR="000873D2" w:rsidRPr="001A2CBE">
        <w:t xml:space="preserve"> asylum-seekers and refugees</w:t>
      </w:r>
      <w:r w:rsidR="00D24A5F">
        <w:t>.</w:t>
      </w:r>
      <w:r w:rsidR="000873D2" w:rsidRPr="001A2CBE">
        <w:rPr>
          <w:rStyle w:val="FootnoteReference"/>
        </w:rPr>
        <w:footnoteReference w:id="21"/>
      </w:r>
      <w:r w:rsidR="000873D2" w:rsidRPr="001A2CBE">
        <w:t xml:space="preserve"> </w:t>
      </w:r>
      <w:r w:rsidR="00215E80">
        <w:t xml:space="preserve">This argument is the foundation of Harvey’s research paper and concurs with the </w:t>
      </w:r>
      <w:r w:rsidR="00C6478E">
        <w:t>NIHRC</w:t>
      </w:r>
      <w:r w:rsidR="00215E80">
        <w:t xml:space="preserve">’s analysis. </w:t>
      </w:r>
    </w:p>
    <w:p w14:paraId="7990BA1A" w14:textId="77777777" w:rsidR="004B66B9" w:rsidRPr="004B66B9" w:rsidRDefault="004B66B9" w:rsidP="004B66B9">
      <w:pPr>
        <w:pStyle w:val="ListParagraph"/>
        <w:numPr>
          <w:ilvl w:val="0"/>
          <w:numId w:val="0"/>
        </w:numPr>
        <w:ind w:left="709"/>
        <w:rPr>
          <w:b/>
          <w:bCs/>
        </w:rPr>
      </w:pPr>
    </w:p>
    <w:p w14:paraId="02CD0EB2" w14:textId="3020FE6F" w:rsidR="00215E80" w:rsidRPr="00934D05" w:rsidRDefault="00215E80" w:rsidP="004B66B9">
      <w:pPr>
        <w:pStyle w:val="ListParagraph"/>
      </w:pPr>
      <w:r w:rsidRPr="004B66B9">
        <w:rPr>
          <w:b/>
          <w:bCs/>
        </w:rPr>
        <w:t xml:space="preserve">The </w:t>
      </w:r>
      <w:r w:rsidR="00C6478E" w:rsidRPr="004B66B9">
        <w:rPr>
          <w:b/>
          <w:bCs/>
        </w:rPr>
        <w:t>NIHRC</w:t>
      </w:r>
      <w:r w:rsidRPr="004B66B9">
        <w:rPr>
          <w:b/>
          <w:bCs/>
        </w:rPr>
        <w:t xml:space="preserve"> advises that refugees and asylum seekers are protected by Article 2 of the Windsor Framework.</w:t>
      </w:r>
    </w:p>
    <w:p w14:paraId="0B8ED1BF" w14:textId="77777777" w:rsidR="00B70F8F" w:rsidRPr="004F3BC5" w:rsidRDefault="00B70F8F" w:rsidP="00F24261">
      <w:pPr>
        <w:widowControl w:val="0"/>
        <w:suppressAutoHyphens/>
        <w:autoSpaceDE w:val="0"/>
        <w:autoSpaceDN w:val="0"/>
        <w:adjustRightInd w:val="0"/>
        <w:spacing w:after="0" w:line="360" w:lineRule="auto"/>
        <w:textAlignment w:val="center"/>
        <w:rPr>
          <w:rFonts w:ascii="Verdana" w:hAnsi="Verdana"/>
          <w:b/>
          <w:bCs/>
        </w:rPr>
      </w:pPr>
    </w:p>
    <w:p w14:paraId="1348739C" w14:textId="31CC469F" w:rsidR="00463281" w:rsidRDefault="00910258" w:rsidP="00A71E04">
      <w:pPr>
        <w:pStyle w:val="Heading2"/>
      </w:pPr>
      <w:bookmarkStart w:id="9" w:name="_Toc151371451"/>
      <w:r>
        <w:t xml:space="preserve">Which </w:t>
      </w:r>
      <w:r w:rsidR="00AA079C">
        <w:t>Rights?</w:t>
      </w:r>
      <w:bookmarkEnd w:id="9"/>
      <w:r w:rsidR="00AA079C">
        <w:t xml:space="preserve"> </w:t>
      </w:r>
    </w:p>
    <w:p w14:paraId="416F4CB6" w14:textId="1B4A3B25" w:rsidR="003B1C1A" w:rsidRDefault="003B1C1A" w:rsidP="003B1C1A">
      <w:pPr>
        <w:pStyle w:val="ListParagraph"/>
      </w:pPr>
      <w:r w:rsidRPr="004C6DF8">
        <w:t xml:space="preserve">To understand </w:t>
      </w:r>
      <w:r w:rsidR="000F43BA">
        <w:t xml:space="preserve">the </w:t>
      </w:r>
      <w:r w:rsidR="0051038D">
        <w:t xml:space="preserve">scope </w:t>
      </w:r>
      <w:r w:rsidR="000F43BA">
        <w:t xml:space="preserve">of protections </w:t>
      </w:r>
      <w:r w:rsidR="0051038D">
        <w:t xml:space="preserve">afforded by </w:t>
      </w:r>
      <w:r w:rsidRPr="004C6DF8">
        <w:t xml:space="preserve">Windsor Framework Article 2, we need to consider the Rights, Safeguards and Equality of Opportunity chapter of the Belfast (Good Friday) Agreement. </w:t>
      </w:r>
    </w:p>
    <w:p w14:paraId="4D1088FA" w14:textId="77777777" w:rsidR="000F43BA" w:rsidRDefault="000F43BA" w:rsidP="000F43BA">
      <w:pPr>
        <w:pStyle w:val="ListParagraph"/>
        <w:numPr>
          <w:ilvl w:val="0"/>
          <w:numId w:val="0"/>
        </w:numPr>
        <w:ind w:left="709"/>
      </w:pPr>
    </w:p>
    <w:p w14:paraId="2F3D1450" w14:textId="2780F56F" w:rsidR="003C4C4E" w:rsidRDefault="003C4C4E" w:rsidP="007A683A">
      <w:pPr>
        <w:pStyle w:val="ListParagraph"/>
      </w:pPr>
      <w:r w:rsidRPr="001A2CBE">
        <w:t>The first section of this chapter of the Belfast (Good Friday) Agreement is entitled ‘Human Rights’ and opens with a general commitment to the “civil rights and religious liberties of everyone in the community”. This is followed by a non-exhaustive list of rights “affirmed in particular”.</w:t>
      </w:r>
      <w:r w:rsidRPr="001A2CBE">
        <w:rPr>
          <w:rStyle w:val="FootnoteReference"/>
        </w:rPr>
        <w:footnoteReference w:id="22"/>
      </w:r>
      <w:r w:rsidRPr="001A2CBE">
        <w:t xml:space="preserve"> Within this human rights section is the UK Government’s commitment to the incorporation of the ECHR with direct access to the courts and remedies for breach. In summary, </w:t>
      </w:r>
      <w:r w:rsidRPr="0071519D">
        <w:rPr>
          <w:b/>
          <w:bCs/>
        </w:rPr>
        <w:t xml:space="preserve">the chapter represents wide-ranging acknowledgement of and commitment to civil, political, economic, </w:t>
      </w:r>
      <w:proofErr w:type="gramStart"/>
      <w:r w:rsidRPr="0071519D">
        <w:rPr>
          <w:b/>
          <w:bCs/>
        </w:rPr>
        <w:t>social</w:t>
      </w:r>
      <w:proofErr w:type="gramEnd"/>
      <w:r w:rsidRPr="0071519D">
        <w:rPr>
          <w:b/>
          <w:bCs/>
        </w:rPr>
        <w:t xml:space="preserve"> and cultural rights and equality of opportunity, anticipating further legislation to entrench and safeguard those rights</w:t>
      </w:r>
      <w:r w:rsidRPr="001A2CBE">
        <w:t>.</w:t>
      </w:r>
    </w:p>
    <w:p w14:paraId="6E80B933" w14:textId="77777777" w:rsidR="00B96596" w:rsidRDefault="00B96596" w:rsidP="007A683A">
      <w:pPr>
        <w:pStyle w:val="ListParagraph"/>
        <w:numPr>
          <w:ilvl w:val="0"/>
          <w:numId w:val="0"/>
        </w:numPr>
        <w:ind w:left="709"/>
        <w:rPr>
          <w:lang w:val="en-US"/>
        </w:rPr>
      </w:pPr>
    </w:p>
    <w:p w14:paraId="3AC0EFB7" w14:textId="2B65ADCE" w:rsidR="00644962" w:rsidRDefault="00C52942" w:rsidP="00644962">
      <w:pPr>
        <w:pStyle w:val="ListParagraph"/>
      </w:pPr>
      <w:r w:rsidRPr="001A2CBE">
        <w:t>Read in the context of the additional pledges on rights within this chapter, the general commitment of the Belfast (Good Friday) Agreement signatories</w:t>
      </w:r>
      <w:r w:rsidR="00644962">
        <w:t>,</w:t>
      </w:r>
      <w:r w:rsidRPr="001A2CBE">
        <w:t xml:space="preserve"> to the range of rights referenced within the chapter must be understood as embracing, as a minimum, those rights set out in the </w:t>
      </w:r>
      <w:r w:rsidRPr="00A859CD">
        <w:t>ECHR</w:t>
      </w:r>
      <w:r w:rsidRPr="001A2CBE">
        <w:t>.</w:t>
      </w:r>
      <w:r w:rsidRPr="001A2CBE">
        <w:rPr>
          <w:rStyle w:val="FootnoteReference"/>
        </w:rPr>
        <w:footnoteReference w:id="23"/>
      </w:r>
      <w:r w:rsidRPr="001A2CBE">
        <w:t xml:space="preserve">  In its Explainer the UK Government has confirmed that the “key rights and equality provisions in the </w:t>
      </w:r>
      <w:r w:rsidRPr="001A2CBE">
        <w:lastRenderedPageBreak/>
        <w:t>Agreement are supported by the ECHR”.  The Explainer further confirms that the UK Government acknowledges that “in NI, EU law, particularly on anti-discrimination, has formed an important part of the framework for delivering the guarantees on rights and equality set out in the Agreement”.</w:t>
      </w:r>
      <w:r w:rsidRPr="001A2CBE">
        <w:rPr>
          <w:rStyle w:val="FootnoteReference"/>
        </w:rPr>
        <w:footnoteReference w:id="24"/>
      </w:r>
      <w:r w:rsidRPr="001A2CBE">
        <w:t xml:space="preserve">  </w:t>
      </w:r>
    </w:p>
    <w:p w14:paraId="56A95F7C" w14:textId="77777777" w:rsidR="00644962" w:rsidRDefault="00644962" w:rsidP="00644962">
      <w:pPr>
        <w:pStyle w:val="ListParagraph"/>
        <w:numPr>
          <w:ilvl w:val="0"/>
          <w:numId w:val="0"/>
        </w:numPr>
        <w:ind w:left="709"/>
      </w:pPr>
    </w:p>
    <w:p w14:paraId="1FE4FD7A" w14:textId="212126C6" w:rsidR="00305439" w:rsidRDefault="00C52942" w:rsidP="007A683A">
      <w:pPr>
        <w:pStyle w:val="ListParagraph"/>
      </w:pPr>
      <w:r w:rsidRPr="003C6C0A">
        <w:rPr>
          <w:b/>
          <w:bCs/>
        </w:rPr>
        <w:t xml:space="preserve">The </w:t>
      </w:r>
      <w:r w:rsidR="00C6478E" w:rsidRPr="003C6C0A">
        <w:rPr>
          <w:b/>
          <w:bCs/>
        </w:rPr>
        <w:t>NIHRC</w:t>
      </w:r>
      <w:r w:rsidR="008B2BBC" w:rsidRPr="003C6C0A">
        <w:rPr>
          <w:b/>
          <w:bCs/>
        </w:rPr>
        <w:t xml:space="preserve"> and ECNI</w:t>
      </w:r>
      <w:r w:rsidRPr="003C6C0A">
        <w:rPr>
          <w:b/>
          <w:bCs/>
        </w:rPr>
        <w:t xml:space="preserve"> </w:t>
      </w:r>
      <w:r w:rsidR="00FD646C" w:rsidRPr="003C6C0A">
        <w:rPr>
          <w:b/>
          <w:bCs/>
        </w:rPr>
        <w:t>consider</w:t>
      </w:r>
      <w:r w:rsidRPr="003C6C0A">
        <w:rPr>
          <w:b/>
          <w:bCs/>
        </w:rPr>
        <w:t xml:space="preserve"> that the non-diminution commitment in Windsor Framework Article 2 encompasses the full range of rights set out in the ECHR, to the extent that they are underpinned by EU legal obligations in force on or before 31 December 2020</w:t>
      </w:r>
      <w:r w:rsidRPr="001A2CBE">
        <w:t>.  Put another way, the Commission</w:t>
      </w:r>
      <w:r w:rsidR="006F7A39">
        <w:t>s</w:t>
      </w:r>
      <w:r w:rsidRPr="001A2CBE">
        <w:t xml:space="preserve"> consider that all EU law in force in NI on or before 31 December 2020 which underpins an ECHR right, falls within scope of the non-diminution commitment in Windsor Framework Article 2.</w:t>
      </w:r>
      <w:r w:rsidR="00605A66">
        <w:t xml:space="preserve"> </w:t>
      </w:r>
      <w:r w:rsidR="00A74782" w:rsidRPr="00210165">
        <w:t>In the context of the Belfast (Good Friday) Agreement, they are rights recognised by the UK and by Ireland.</w:t>
      </w:r>
      <w:r w:rsidR="00605A66">
        <w:t xml:space="preserve"> </w:t>
      </w:r>
    </w:p>
    <w:p w14:paraId="2EDCF98D" w14:textId="77777777" w:rsidR="00305439" w:rsidRDefault="00305439" w:rsidP="00305439">
      <w:pPr>
        <w:pStyle w:val="ListParagraph"/>
        <w:numPr>
          <w:ilvl w:val="0"/>
          <w:numId w:val="0"/>
        </w:numPr>
        <w:ind w:left="709"/>
      </w:pPr>
    </w:p>
    <w:p w14:paraId="2C515F25" w14:textId="446D2F77" w:rsidR="00C35AE2" w:rsidRPr="007B294A" w:rsidRDefault="00755A8A" w:rsidP="007A683A">
      <w:pPr>
        <w:pStyle w:val="ListParagraph"/>
      </w:pPr>
      <w:r>
        <w:t xml:space="preserve">ECHR rights of </w:t>
      </w:r>
      <w:proofErr w:type="gramStart"/>
      <w:r>
        <w:t>particular relevance</w:t>
      </w:r>
      <w:proofErr w:type="gramEnd"/>
      <w:r>
        <w:t xml:space="preserve"> to refugees and asylum-seekers include </w:t>
      </w:r>
      <w:r w:rsidR="00B075C2" w:rsidRPr="00D270B2">
        <w:t>protections against slavery and forced labour (Article 4 ECHR), the right to liberty and security (Article 5 ECHR) and the right to a private and family life (Article 8 ECHR) as well as freedom from discrimination (Article 14 ECHR)</w:t>
      </w:r>
      <w:r w:rsidR="00272908">
        <w:t xml:space="preserve">. </w:t>
      </w:r>
      <w:r w:rsidR="00C76DB7">
        <w:rPr>
          <w:lang w:val="en-US"/>
        </w:rPr>
        <w:t>Plus, t</w:t>
      </w:r>
      <w:r w:rsidR="00B96596" w:rsidRPr="00B96596">
        <w:rPr>
          <w:lang w:val="en-US"/>
        </w:rPr>
        <w:t xml:space="preserve">he EU Charter on Fundamental Rights also continues to have relevance in the application and interpretation of those provisions of EU law which are relevant to the application of Article 2. Article 18 of the </w:t>
      </w:r>
      <w:r w:rsidR="00CC02EA">
        <w:rPr>
          <w:lang w:val="en-US"/>
        </w:rPr>
        <w:t xml:space="preserve">EU </w:t>
      </w:r>
      <w:r w:rsidR="00B96596" w:rsidRPr="00B96596">
        <w:rPr>
          <w:lang w:val="en-US"/>
        </w:rPr>
        <w:t>Charter protects the Right to Asylum</w:t>
      </w:r>
      <w:r w:rsidR="00826896">
        <w:rPr>
          <w:lang w:val="en-US"/>
        </w:rPr>
        <w:t xml:space="preserve"> and </w:t>
      </w:r>
      <w:r w:rsidR="00826896">
        <w:t xml:space="preserve">Article 47 </w:t>
      </w:r>
      <w:r w:rsidR="00A41732">
        <w:t>sets out</w:t>
      </w:r>
      <w:r w:rsidR="00826896">
        <w:t xml:space="preserve"> the right to an effective remedy and </w:t>
      </w:r>
      <w:r w:rsidR="00A41732">
        <w:t xml:space="preserve">the right </w:t>
      </w:r>
      <w:r w:rsidR="00826896">
        <w:t>to a fair trial</w:t>
      </w:r>
      <w:r w:rsidR="00B96596" w:rsidRPr="00B96596">
        <w:rPr>
          <w:lang w:val="en-US"/>
        </w:rPr>
        <w:t>.</w:t>
      </w:r>
      <w:r w:rsidR="0033484A">
        <w:rPr>
          <w:lang w:val="en-US"/>
        </w:rPr>
        <w:t xml:space="preserve"> These rights </w:t>
      </w:r>
      <w:r w:rsidR="00B663A7">
        <w:rPr>
          <w:lang w:val="en-US"/>
        </w:rPr>
        <w:t xml:space="preserve">should inform the care and treatment of refugees and asylum-seekers including for example, the </w:t>
      </w:r>
      <w:r w:rsidR="0033484A" w:rsidRPr="0033484A">
        <w:rPr>
          <w:lang w:val="en-US"/>
        </w:rPr>
        <w:t xml:space="preserve">processing of claims, reception conditions, protection for vulnerable </w:t>
      </w:r>
      <w:proofErr w:type="gramStart"/>
      <w:r w:rsidR="0033484A" w:rsidRPr="0033484A">
        <w:rPr>
          <w:lang w:val="en-US"/>
        </w:rPr>
        <w:t>individuals</w:t>
      </w:r>
      <w:proofErr w:type="gramEnd"/>
      <w:r w:rsidR="0033484A" w:rsidRPr="0033484A">
        <w:rPr>
          <w:lang w:val="en-US"/>
        </w:rPr>
        <w:t xml:space="preserve"> </w:t>
      </w:r>
      <w:r w:rsidR="00C6713C">
        <w:rPr>
          <w:lang w:val="en-US"/>
        </w:rPr>
        <w:t>access to justice</w:t>
      </w:r>
      <w:r w:rsidR="0073036C">
        <w:rPr>
          <w:lang w:val="en-US"/>
        </w:rPr>
        <w:t>.</w:t>
      </w:r>
    </w:p>
    <w:p w14:paraId="476F2995" w14:textId="77777777" w:rsidR="007B294A" w:rsidRPr="005B7441" w:rsidRDefault="007B294A" w:rsidP="007B294A">
      <w:pPr>
        <w:pStyle w:val="ListParagraph"/>
        <w:numPr>
          <w:ilvl w:val="0"/>
          <w:numId w:val="0"/>
        </w:numPr>
        <w:ind w:left="709"/>
      </w:pPr>
    </w:p>
    <w:p w14:paraId="0582813D" w14:textId="6630CCE3" w:rsidR="00707429" w:rsidRPr="007B294A" w:rsidRDefault="00707429" w:rsidP="007A683A">
      <w:pPr>
        <w:pStyle w:val="ListParagraph"/>
        <w:rPr>
          <w:b/>
          <w:bCs/>
        </w:rPr>
      </w:pPr>
      <w:r w:rsidRPr="007B294A">
        <w:rPr>
          <w:b/>
          <w:bCs/>
          <w:lang w:val="en-US"/>
        </w:rPr>
        <w:t xml:space="preserve">NIHRC </w:t>
      </w:r>
      <w:r w:rsidR="00E53294" w:rsidRPr="007B294A">
        <w:rPr>
          <w:b/>
          <w:bCs/>
          <w:lang w:val="en-US"/>
        </w:rPr>
        <w:t xml:space="preserve">advises that </w:t>
      </w:r>
      <w:r w:rsidR="00E9744C" w:rsidRPr="007B294A">
        <w:rPr>
          <w:b/>
          <w:bCs/>
          <w:lang w:val="en-US"/>
        </w:rPr>
        <w:t>rights particular to refugees and asylum-seekers are within the scope of the</w:t>
      </w:r>
      <w:r w:rsidR="007B294A" w:rsidRPr="007B294A">
        <w:rPr>
          <w:b/>
          <w:bCs/>
          <w:lang w:val="en-US"/>
        </w:rPr>
        <w:t xml:space="preserve"> Rights, Safeguards and Equality of Opportunity chapter of the Belfast (Good Friday) Agreement</w:t>
      </w:r>
      <w:r w:rsidR="008976A8">
        <w:rPr>
          <w:b/>
          <w:bCs/>
          <w:lang w:val="en-US"/>
        </w:rPr>
        <w:t xml:space="preserve"> by virtue</w:t>
      </w:r>
      <w:proofErr w:type="gramStart"/>
      <w:r w:rsidR="008976A8">
        <w:rPr>
          <w:b/>
          <w:bCs/>
          <w:lang w:val="en-US"/>
        </w:rPr>
        <w:t>, in particular</w:t>
      </w:r>
      <w:r w:rsidR="003566DA">
        <w:rPr>
          <w:b/>
          <w:bCs/>
          <w:lang w:val="en-US"/>
        </w:rPr>
        <w:t>,</w:t>
      </w:r>
      <w:r w:rsidR="008976A8">
        <w:rPr>
          <w:b/>
          <w:bCs/>
          <w:lang w:val="en-US"/>
        </w:rPr>
        <w:t xml:space="preserve"> of</w:t>
      </w:r>
      <w:proofErr w:type="gramEnd"/>
      <w:r w:rsidR="008976A8">
        <w:rPr>
          <w:b/>
          <w:bCs/>
          <w:lang w:val="en-US"/>
        </w:rPr>
        <w:t xml:space="preserve"> the general commitment to civil rights and t</w:t>
      </w:r>
      <w:r w:rsidR="003566DA">
        <w:rPr>
          <w:b/>
          <w:bCs/>
          <w:lang w:val="en-US"/>
        </w:rPr>
        <w:t>o the incorporation of the ECHR into domestic law</w:t>
      </w:r>
      <w:r w:rsidR="007B294A" w:rsidRPr="007B294A">
        <w:rPr>
          <w:b/>
          <w:bCs/>
          <w:lang w:val="en-US"/>
        </w:rPr>
        <w:t>.</w:t>
      </w:r>
    </w:p>
    <w:p w14:paraId="09FD1D89" w14:textId="39CDF8DB" w:rsidR="00F46A9F" w:rsidRPr="00F46A9F" w:rsidRDefault="00F46A9F" w:rsidP="00A71E04">
      <w:pPr>
        <w:pStyle w:val="Heading2"/>
      </w:pPr>
      <w:bookmarkStart w:id="10" w:name="_Toc151371452"/>
      <w:r w:rsidRPr="00F46A9F">
        <w:lastRenderedPageBreak/>
        <w:t>Underpinning EU law</w:t>
      </w:r>
      <w:bookmarkEnd w:id="10"/>
      <w:r w:rsidRPr="00F46A9F">
        <w:t xml:space="preserve"> </w:t>
      </w:r>
    </w:p>
    <w:p w14:paraId="35459932" w14:textId="73C8D947" w:rsidR="00F46A9F" w:rsidRDefault="00107618" w:rsidP="00AB521F">
      <w:pPr>
        <w:pStyle w:val="ListParagraph"/>
      </w:pPr>
      <w:r>
        <w:t xml:space="preserve">As outlined above, the </w:t>
      </w:r>
      <w:r w:rsidR="00C6478E">
        <w:t>NIHRC</w:t>
      </w:r>
      <w:r w:rsidR="00B261DD">
        <w:t xml:space="preserve"> considers that the</w:t>
      </w:r>
      <w:r w:rsidR="00B07C63">
        <w:t xml:space="preserve"> Rights, Safeguards and E</w:t>
      </w:r>
      <w:r w:rsidR="00E75E22">
        <w:t>qu</w:t>
      </w:r>
      <w:r w:rsidR="00B07C63">
        <w:t>ality of Opportunity chapter of the Belfast (Good Friday) Agreement</w:t>
      </w:r>
      <w:r w:rsidR="00E75E22">
        <w:t xml:space="preserve"> represents a wide-ranging commitment to human rights</w:t>
      </w:r>
      <w:r w:rsidR="008363BA">
        <w:t>.</w:t>
      </w:r>
      <w:r w:rsidR="00B261DD">
        <w:t xml:space="preserve"> </w:t>
      </w:r>
      <w:r>
        <w:t xml:space="preserve"> </w:t>
      </w:r>
      <w:r w:rsidR="00654B66" w:rsidRPr="001A2CBE">
        <w:t xml:space="preserve">The breadth of rights and protections addressed is important in determining the range of EU law relevant to, and within scope of, Windsor Framework Article 2. </w:t>
      </w:r>
      <w:r w:rsidR="00A608D9">
        <w:t xml:space="preserve"> </w:t>
      </w:r>
      <w:r w:rsidR="006A2E26">
        <w:t xml:space="preserve">Informed by </w:t>
      </w:r>
      <w:r w:rsidR="0017657A">
        <w:t xml:space="preserve">early drafts of </w:t>
      </w:r>
      <w:r w:rsidR="00171971">
        <w:t>Alison Harvey’s</w:t>
      </w:r>
      <w:r w:rsidR="006A2E26">
        <w:t xml:space="preserve"> </w:t>
      </w:r>
      <w:r w:rsidR="008850DE">
        <w:t>research</w:t>
      </w:r>
      <w:r w:rsidR="00BA1903">
        <w:t xml:space="preserve"> paper</w:t>
      </w:r>
      <w:r w:rsidR="008850DE">
        <w:t xml:space="preserve">, as well as </w:t>
      </w:r>
      <w:r w:rsidR="006A2E26">
        <w:t xml:space="preserve">other research, legal opinions and analysis, </w:t>
      </w:r>
      <w:r w:rsidR="00264E0F">
        <w:t>t</w:t>
      </w:r>
      <w:r w:rsidR="00F46A9F" w:rsidRPr="002045BE">
        <w:t>h</w:t>
      </w:r>
      <w:r w:rsidR="00F46A9F">
        <w:t xml:space="preserve">e </w:t>
      </w:r>
      <w:r w:rsidR="003935E3">
        <w:t xml:space="preserve">NIHRC/ECNI </w:t>
      </w:r>
      <w:r w:rsidR="007A5633">
        <w:t xml:space="preserve">working </w:t>
      </w:r>
      <w:r w:rsidR="00D20A93">
        <w:t>paper</w:t>
      </w:r>
      <w:r w:rsidR="007A5633">
        <w:t xml:space="preserve"> on the scope of </w:t>
      </w:r>
      <w:r w:rsidR="002E0CCC">
        <w:br/>
      </w:r>
      <w:r w:rsidR="007A5633">
        <w:t>Article 2</w:t>
      </w:r>
      <w:r w:rsidR="00264E0F">
        <w:t>,</w:t>
      </w:r>
      <w:r w:rsidR="00D20A93">
        <w:t xml:space="preserve"> includes</w:t>
      </w:r>
      <w:r w:rsidR="00F46A9F">
        <w:t xml:space="preserve"> a</w:t>
      </w:r>
      <w:r w:rsidR="00F46A9F" w:rsidRPr="002045BE">
        <w:t xml:space="preserve"> table</w:t>
      </w:r>
      <w:r w:rsidR="00F46A9F">
        <w:t xml:space="preserve"> that</w:t>
      </w:r>
      <w:r w:rsidR="00F46A9F" w:rsidRPr="002045BE">
        <w:t xml:space="preserve"> sets out the EU </w:t>
      </w:r>
      <w:r w:rsidR="009B139E">
        <w:t>measures</w:t>
      </w:r>
      <w:r w:rsidR="009B139E" w:rsidRPr="002045BE">
        <w:t xml:space="preserve"> </w:t>
      </w:r>
      <w:r w:rsidR="00F46A9F" w:rsidRPr="002045BE">
        <w:t xml:space="preserve">which the </w:t>
      </w:r>
      <w:r w:rsidR="00037D45">
        <w:t xml:space="preserve">Commissions </w:t>
      </w:r>
      <w:r w:rsidR="00F46A9F" w:rsidRPr="002045BE">
        <w:t xml:space="preserve">have identified to date as falling within the scope of the UK Government’s commitment under Article </w:t>
      </w:r>
      <w:r w:rsidR="00F46A9F">
        <w:t xml:space="preserve">2 </w:t>
      </w:r>
      <w:r w:rsidR="00F46A9F" w:rsidRPr="002045BE">
        <w:t xml:space="preserve">of the </w:t>
      </w:r>
      <w:r w:rsidR="00F46A9F">
        <w:t>Windsor Framework</w:t>
      </w:r>
      <w:r w:rsidR="00171971">
        <w:t>.</w:t>
      </w:r>
      <w:r w:rsidR="00235915">
        <w:rPr>
          <w:rStyle w:val="FootnoteReference"/>
        </w:rPr>
        <w:footnoteReference w:id="25"/>
      </w:r>
      <w:r w:rsidR="00171971">
        <w:t xml:space="preserve"> We have also published</w:t>
      </w:r>
      <w:r w:rsidR="00F46A9F" w:rsidRPr="002045BE">
        <w:t xml:space="preserve"> </w:t>
      </w:r>
      <w:r w:rsidR="00171971">
        <w:t xml:space="preserve">a table setting out the </w:t>
      </w:r>
      <w:r w:rsidR="00F46A9F" w:rsidRPr="002045BE">
        <w:t xml:space="preserve">associated underpinning domestic legislation that has transposed </w:t>
      </w:r>
      <w:r w:rsidR="00D549C5">
        <w:t>relevant</w:t>
      </w:r>
      <w:r w:rsidR="00D549C5" w:rsidRPr="002045BE">
        <w:t xml:space="preserve"> </w:t>
      </w:r>
      <w:r w:rsidR="00F46A9F" w:rsidRPr="002045BE">
        <w:t>EU Directive</w:t>
      </w:r>
      <w:r w:rsidR="00D549C5">
        <w:t>s</w:t>
      </w:r>
      <w:r w:rsidR="00F46A9F" w:rsidRPr="002045BE">
        <w:t xml:space="preserve"> into law in NI.</w:t>
      </w:r>
      <w:r w:rsidR="00F46A9F">
        <w:rPr>
          <w:rStyle w:val="FootnoteReference"/>
        </w:rPr>
        <w:footnoteReference w:id="26"/>
      </w:r>
      <w:r w:rsidR="00F46A9F">
        <w:t xml:space="preserve"> </w:t>
      </w:r>
    </w:p>
    <w:p w14:paraId="734AA89F" w14:textId="77777777" w:rsidR="00AB521F" w:rsidRDefault="00AB521F" w:rsidP="00AB521F">
      <w:pPr>
        <w:pStyle w:val="ListParagraph"/>
        <w:numPr>
          <w:ilvl w:val="0"/>
          <w:numId w:val="0"/>
        </w:numPr>
        <w:ind w:left="709"/>
      </w:pPr>
    </w:p>
    <w:p w14:paraId="70D59161" w14:textId="11E2770E" w:rsidR="003C0B1E" w:rsidRDefault="00AB5D22" w:rsidP="007A683A">
      <w:pPr>
        <w:pStyle w:val="ListParagraph"/>
      </w:pPr>
      <w:r w:rsidRPr="008535C0">
        <w:t>A</w:t>
      </w:r>
      <w:r>
        <w:t>ppendix</w:t>
      </w:r>
      <w:r w:rsidRPr="008535C0">
        <w:t xml:space="preserve"> </w:t>
      </w:r>
      <w:r w:rsidR="004C3C01" w:rsidRPr="008535C0">
        <w:t>1 to the working paper</w:t>
      </w:r>
      <w:r w:rsidR="0049090C">
        <w:t xml:space="preserve"> includes a range of measures of potential relevance to refugees and asylum-seekers as members of the communit</w:t>
      </w:r>
      <w:r w:rsidR="00AB521F">
        <w:t>y.</w:t>
      </w:r>
      <w:r w:rsidR="0049090C">
        <w:t xml:space="preserve"> </w:t>
      </w:r>
      <w:r w:rsidR="00AB521F">
        <w:t>In addition, however,</w:t>
      </w:r>
      <w:r w:rsidR="00B613DC">
        <w:t xml:space="preserve"> </w:t>
      </w:r>
      <w:r w:rsidR="0002706D">
        <w:t xml:space="preserve">the </w:t>
      </w:r>
      <w:r w:rsidR="00AB521F">
        <w:t>NIHRC and ECNI</w:t>
      </w:r>
      <w:r w:rsidR="0002706D">
        <w:t xml:space="preserve"> identify</w:t>
      </w:r>
      <w:r w:rsidR="004C3C01" w:rsidRPr="008535C0">
        <w:t xml:space="preserve"> a </w:t>
      </w:r>
      <w:r w:rsidR="004C3C01" w:rsidRPr="00FF2251">
        <w:t xml:space="preserve">range of </w:t>
      </w:r>
      <w:r w:rsidR="001C6A53">
        <w:t>d</w:t>
      </w:r>
      <w:r w:rsidR="004C3C01" w:rsidRPr="00FF2251">
        <w:t>irectives and regulations on asylum and refugees covering matte</w:t>
      </w:r>
      <w:r w:rsidR="004C3C01" w:rsidRPr="008535C0">
        <w:t>rs such as</w:t>
      </w:r>
      <w:r w:rsidR="00F3479A">
        <w:t xml:space="preserve"> procedure and</w:t>
      </w:r>
      <w:r w:rsidR="004C3C01" w:rsidRPr="008535C0">
        <w:t xml:space="preserve"> reception conditions</w:t>
      </w:r>
      <w:r w:rsidR="00AB521F">
        <w:t xml:space="preserve">. </w:t>
      </w:r>
    </w:p>
    <w:p w14:paraId="391BAAF4" w14:textId="77777777" w:rsidR="007A683A" w:rsidRPr="003C0B1E" w:rsidRDefault="007A683A" w:rsidP="007A683A">
      <w:pPr>
        <w:pStyle w:val="ListParagraph"/>
        <w:numPr>
          <w:ilvl w:val="0"/>
          <w:numId w:val="0"/>
        </w:numPr>
        <w:ind w:left="709"/>
      </w:pPr>
    </w:p>
    <w:p w14:paraId="4A00D7AB" w14:textId="1D9AF352" w:rsidR="008D6C9C" w:rsidRDefault="004D3F45" w:rsidP="007A683A">
      <w:pPr>
        <w:pStyle w:val="ListParagraph"/>
      </w:pPr>
      <w:r>
        <w:t xml:space="preserve">As detailed further in section </w:t>
      </w:r>
      <w:r w:rsidR="004F50A3">
        <w:t>5 of Harvey’s research, t</w:t>
      </w:r>
      <w:r w:rsidR="00DF2CA2" w:rsidRPr="00C41A27">
        <w:t>he UK opted into</w:t>
      </w:r>
      <w:r w:rsidR="006B100E">
        <w:t xml:space="preserve"> </w:t>
      </w:r>
      <w:proofErr w:type="gramStart"/>
      <w:r w:rsidR="006B100E">
        <w:t>a number of</w:t>
      </w:r>
      <w:proofErr w:type="gramEnd"/>
      <w:r w:rsidR="006B100E">
        <w:t xml:space="preserve"> measures which </w:t>
      </w:r>
      <w:r w:rsidR="000160B6">
        <w:t xml:space="preserve">include provisions </w:t>
      </w:r>
      <w:r w:rsidR="006B100E">
        <w:t>underpin</w:t>
      </w:r>
      <w:r w:rsidR="000160B6">
        <w:t>ning</w:t>
      </w:r>
      <w:r w:rsidR="006B100E">
        <w:t xml:space="preserve"> </w:t>
      </w:r>
      <w:r w:rsidR="000160B6">
        <w:t>the rights of refugees and asylum-seekers</w:t>
      </w:r>
      <w:r w:rsidR="008D6C9C">
        <w:t>:</w:t>
      </w:r>
      <w:r w:rsidR="00DF2CA2" w:rsidRPr="00C41A27">
        <w:t xml:space="preserve"> </w:t>
      </w:r>
    </w:p>
    <w:p w14:paraId="4498E652" w14:textId="2119B834" w:rsidR="008D6C9C" w:rsidRPr="00881A8F" w:rsidRDefault="00DF2CA2" w:rsidP="004C6DF8">
      <w:pPr>
        <w:pStyle w:val="Bulletlist"/>
        <w:rPr>
          <w:rFonts w:ascii="Verdana" w:hAnsi="Verdana"/>
          <w:sz w:val="24"/>
          <w:szCs w:val="24"/>
        </w:rPr>
      </w:pPr>
      <w:r w:rsidRPr="00881A8F">
        <w:rPr>
          <w:rFonts w:ascii="Verdana" w:hAnsi="Verdana"/>
          <w:sz w:val="24"/>
          <w:szCs w:val="24"/>
        </w:rPr>
        <w:t xml:space="preserve">the </w:t>
      </w:r>
      <w:r w:rsidR="00211D91" w:rsidRPr="00881A8F">
        <w:rPr>
          <w:rFonts w:ascii="Verdana" w:hAnsi="Verdana"/>
          <w:sz w:val="24"/>
          <w:szCs w:val="24"/>
        </w:rPr>
        <w:t xml:space="preserve">EU </w:t>
      </w:r>
      <w:r w:rsidRPr="00881A8F">
        <w:rPr>
          <w:rFonts w:ascii="Verdana" w:hAnsi="Verdana"/>
          <w:sz w:val="24"/>
          <w:szCs w:val="24"/>
        </w:rPr>
        <w:t>Temporary Protection Directive (2001/55/EC)</w:t>
      </w:r>
      <w:r w:rsidR="00881A8F">
        <w:rPr>
          <w:rFonts w:ascii="Verdana" w:hAnsi="Verdana"/>
          <w:sz w:val="24"/>
          <w:szCs w:val="24"/>
        </w:rPr>
        <w:t>,</w:t>
      </w:r>
      <w:r w:rsidR="00AB521F" w:rsidRPr="00881A8F">
        <w:rPr>
          <w:rStyle w:val="FootnoteReference"/>
          <w:rFonts w:ascii="Verdana" w:hAnsi="Verdana"/>
          <w:sz w:val="24"/>
          <w:szCs w:val="24"/>
        </w:rPr>
        <w:footnoteReference w:id="27"/>
      </w:r>
      <w:r w:rsidR="00AB521F" w:rsidRPr="00881A8F">
        <w:rPr>
          <w:rFonts w:ascii="Verdana" w:hAnsi="Verdana"/>
          <w:sz w:val="24"/>
          <w:szCs w:val="24"/>
        </w:rPr>
        <w:t xml:space="preserve"> </w:t>
      </w:r>
    </w:p>
    <w:p w14:paraId="71B7DE73" w14:textId="43466C66" w:rsidR="008D6C9C" w:rsidRPr="00881A8F" w:rsidRDefault="00DF2CA2" w:rsidP="004C6DF8">
      <w:pPr>
        <w:pStyle w:val="Bulletlist"/>
        <w:rPr>
          <w:rFonts w:ascii="Verdana" w:hAnsi="Verdana"/>
          <w:sz w:val="24"/>
          <w:szCs w:val="24"/>
        </w:rPr>
      </w:pPr>
      <w:r w:rsidRPr="00881A8F">
        <w:rPr>
          <w:rFonts w:ascii="Verdana" w:hAnsi="Verdana"/>
          <w:sz w:val="24"/>
          <w:szCs w:val="24"/>
        </w:rPr>
        <w:t xml:space="preserve">the original </w:t>
      </w:r>
      <w:r w:rsidR="00211D91" w:rsidRPr="00881A8F">
        <w:rPr>
          <w:rFonts w:ascii="Verdana" w:hAnsi="Verdana"/>
          <w:sz w:val="24"/>
          <w:szCs w:val="24"/>
        </w:rPr>
        <w:t xml:space="preserve">EU </w:t>
      </w:r>
      <w:r w:rsidRPr="00881A8F">
        <w:rPr>
          <w:rFonts w:ascii="Verdana" w:hAnsi="Verdana"/>
          <w:sz w:val="24"/>
          <w:szCs w:val="24"/>
        </w:rPr>
        <w:t>Asylum Reception Directive (</w:t>
      </w:r>
      <w:r w:rsidRPr="00881A8F">
        <w:rPr>
          <w:rFonts w:ascii="Verdana" w:hAnsi="Verdana" w:cs="Tahoma"/>
          <w:sz w:val="24"/>
          <w:szCs w:val="24"/>
        </w:rPr>
        <w:t>2003/9/EC</w:t>
      </w:r>
      <w:r w:rsidRPr="00881A8F">
        <w:rPr>
          <w:rFonts w:ascii="Verdana" w:hAnsi="Verdana"/>
          <w:sz w:val="24"/>
          <w:szCs w:val="24"/>
        </w:rPr>
        <w:t>)</w:t>
      </w:r>
      <w:r w:rsidR="00881A8F">
        <w:rPr>
          <w:rFonts w:ascii="Verdana" w:hAnsi="Verdana"/>
          <w:sz w:val="24"/>
          <w:szCs w:val="24"/>
        </w:rPr>
        <w:t>,</w:t>
      </w:r>
      <w:r w:rsidR="00AB521F" w:rsidRPr="00881A8F">
        <w:rPr>
          <w:rStyle w:val="FootnoteReference"/>
          <w:rFonts w:ascii="Verdana" w:hAnsi="Verdana"/>
          <w:sz w:val="24"/>
          <w:szCs w:val="24"/>
        </w:rPr>
        <w:footnoteReference w:id="28"/>
      </w:r>
      <w:r w:rsidRPr="00881A8F">
        <w:rPr>
          <w:rFonts w:ascii="Verdana" w:hAnsi="Verdana" w:cs="Arial"/>
          <w:sz w:val="24"/>
          <w:szCs w:val="24"/>
        </w:rPr>
        <w:t xml:space="preserve"> </w:t>
      </w:r>
    </w:p>
    <w:p w14:paraId="488D04B6" w14:textId="072F3536" w:rsidR="008D6C9C" w:rsidRPr="00881A8F" w:rsidRDefault="00C03041" w:rsidP="004C6DF8">
      <w:pPr>
        <w:pStyle w:val="Bulletlist"/>
        <w:rPr>
          <w:rFonts w:ascii="Verdana" w:hAnsi="Verdana"/>
          <w:sz w:val="24"/>
          <w:szCs w:val="24"/>
        </w:rPr>
      </w:pPr>
      <w:r w:rsidRPr="00881A8F">
        <w:rPr>
          <w:rFonts w:ascii="Verdana" w:hAnsi="Verdana"/>
          <w:sz w:val="24"/>
          <w:szCs w:val="24"/>
        </w:rPr>
        <w:t xml:space="preserve">the </w:t>
      </w:r>
      <w:r w:rsidR="00211D91" w:rsidRPr="00881A8F">
        <w:rPr>
          <w:rFonts w:ascii="Verdana" w:hAnsi="Verdana"/>
          <w:sz w:val="24"/>
          <w:szCs w:val="24"/>
        </w:rPr>
        <w:t xml:space="preserve">EU </w:t>
      </w:r>
      <w:r w:rsidR="00DF2CA2" w:rsidRPr="00881A8F">
        <w:rPr>
          <w:rFonts w:ascii="Verdana" w:hAnsi="Verdana"/>
          <w:sz w:val="24"/>
          <w:szCs w:val="24"/>
        </w:rPr>
        <w:t>Qualification Directive (2004/83/EC)</w:t>
      </w:r>
      <w:r w:rsidR="00881A8F">
        <w:rPr>
          <w:rFonts w:ascii="Verdana" w:hAnsi="Verdana"/>
          <w:sz w:val="24"/>
          <w:szCs w:val="24"/>
        </w:rPr>
        <w:t>,</w:t>
      </w:r>
      <w:r w:rsidR="00AB521F" w:rsidRPr="00881A8F">
        <w:rPr>
          <w:rStyle w:val="FootnoteReference"/>
          <w:rFonts w:ascii="Verdana" w:hAnsi="Verdana"/>
          <w:sz w:val="24"/>
          <w:szCs w:val="24"/>
        </w:rPr>
        <w:footnoteReference w:id="29"/>
      </w:r>
      <w:r w:rsidR="00DF2CA2" w:rsidRPr="00881A8F">
        <w:rPr>
          <w:rFonts w:ascii="Verdana" w:hAnsi="Verdana"/>
          <w:sz w:val="24"/>
          <w:szCs w:val="24"/>
        </w:rPr>
        <w:t xml:space="preserve"> </w:t>
      </w:r>
    </w:p>
    <w:p w14:paraId="2B84D0EA" w14:textId="0F035CA3" w:rsidR="008D6C9C" w:rsidRPr="00881A8F" w:rsidRDefault="00C03041" w:rsidP="004C6DF8">
      <w:pPr>
        <w:pStyle w:val="Bulletlist"/>
        <w:rPr>
          <w:rFonts w:ascii="Verdana" w:hAnsi="Verdana"/>
          <w:sz w:val="24"/>
          <w:szCs w:val="24"/>
        </w:rPr>
      </w:pPr>
      <w:r w:rsidRPr="00881A8F">
        <w:rPr>
          <w:rFonts w:ascii="Verdana" w:hAnsi="Verdana"/>
          <w:sz w:val="24"/>
          <w:szCs w:val="24"/>
        </w:rPr>
        <w:t xml:space="preserve">the </w:t>
      </w:r>
      <w:r w:rsidR="00211D91" w:rsidRPr="00881A8F">
        <w:rPr>
          <w:rFonts w:ascii="Verdana" w:hAnsi="Verdana"/>
          <w:sz w:val="24"/>
          <w:szCs w:val="24"/>
        </w:rPr>
        <w:t xml:space="preserve">EU </w:t>
      </w:r>
      <w:r w:rsidR="00DF2CA2" w:rsidRPr="00881A8F">
        <w:rPr>
          <w:rFonts w:ascii="Verdana" w:hAnsi="Verdana"/>
          <w:sz w:val="24"/>
          <w:szCs w:val="24"/>
        </w:rPr>
        <w:t>Asylum Procedures Directive (2005/85/EC)</w:t>
      </w:r>
      <w:r w:rsidR="00881A8F">
        <w:rPr>
          <w:rFonts w:ascii="Verdana" w:hAnsi="Verdana"/>
          <w:sz w:val="24"/>
          <w:szCs w:val="24"/>
        </w:rPr>
        <w:t>,</w:t>
      </w:r>
      <w:r w:rsidR="00AB521F" w:rsidRPr="00881A8F">
        <w:rPr>
          <w:rStyle w:val="FootnoteReference"/>
          <w:rFonts w:ascii="Verdana" w:hAnsi="Verdana"/>
          <w:sz w:val="24"/>
          <w:szCs w:val="24"/>
        </w:rPr>
        <w:footnoteReference w:id="30"/>
      </w:r>
      <w:r w:rsidR="00DF2CA2" w:rsidRPr="00881A8F">
        <w:rPr>
          <w:rFonts w:ascii="Verdana" w:hAnsi="Verdana"/>
          <w:sz w:val="24"/>
          <w:szCs w:val="24"/>
        </w:rPr>
        <w:t xml:space="preserve"> and </w:t>
      </w:r>
    </w:p>
    <w:p w14:paraId="6D39BE05" w14:textId="6C7BC354" w:rsidR="00DF2CA2" w:rsidRPr="004C6DF8" w:rsidRDefault="00DF2CA2" w:rsidP="004C6DF8">
      <w:pPr>
        <w:pStyle w:val="Bulletlist"/>
        <w:rPr>
          <w:rFonts w:ascii="Verdana" w:hAnsi="Verdana"/>
          <w:sz w:val="24"/>
          <w:szCs w:val="24"/>
        </w:rPr>
      </w:pPr>
      <w:r w:rsidRPr="004C6DF8">
        <w:rPr>
          <w:rFonts w:ascii="Verdana" w:hAnsi="Verdana"/>
          <w:sz w:val="24"/>
          <w:szCs w:val="24"/>
        </w:rPr>
        <w:lastRenderedPageBreak/>
        <w:t xml:space="preserve">the Dublin Convention and successor Regulations, the latest of which </w:t>
      </w:r>
      <w:r w:rsidRPr="007D1C38">
        <w:rPr>
          <w:rFonts w:ascii="Verdana" w:hAnsi="Verdana"/>
          <w:sz w:val="24"/>
          <w:szCs w:val="24"/>
        </w:rPr>
        <w:t xml:space="preserve">is </w:t>
      </w:r>
      <w:r w:rsidRPr="007D1C38">
        <w:rPr>
          <w:rStyle w:val="legds"/>
          <w:rFonts w:ascii="Verdana" w:hAnsi="Verdana" w:cs="Arial"/>
          <w:sz w:val="24"/>
          <w:szCs w:val="24"/>
        </w:rPr>
        <w:t xml:space="preserve">Regulation (EU) No 604/2013 </w:t>
      </w:r>
      <w:r w:rsidRPr="004C6DF8">
        <w:rPr>
          <w:rStyle w:val="legds"/>
          <w:rFonts w:ascii="Verdana" w:hAnsi="Verdana" w:cs="Arial"/>
          <w:sz w:val="24"/>
          <w:szCs w:val="24"/>
        </w:rPr>
        <w:t xml:space="preserve">known as the </w:t>
      </w:r>
      <w:r w:rsidRPr="004C6DF8">
        <w:rPr>
          <w:rFonts w:ascii="Verdana" w:hAnsi="Verdana"/>
          <w:sz w:val="24"/>
          <w:szCs w:val="24"/>
        </w:rPr>
        <w:t>Dublin III Regulation.</w:t>
      </w:r>
      <w:r w:rsidR="00D4775D">
        <w:rPr>
          <w:rStyle w:val="FootnoteReference"/>
          <w:rFonts w:ascii="Verdana" w:hAnsi="Verdana"/>
          <w:sz w:val="24"/>
          <w:szCs w:val="24"/>
        </w:rPr>
        <w:footnoteReference w:id="31"/>
      </w:r>
      <w:r w:rsidRPr="004C6DF8">
        <w:rPr>
          <w:rFonts w:ascii="Verdana" w:hAnsi="Verdana"/>
          <w:sz w:val="24"/>
          <w:szCs w:val="24"/>
        </w:rPr>
        <w:t xml:space="preserve"> </w:t>
      </w:r>
    </w:p>
    <w:p w14:paraId="271BF6AC" w14:textId="77777777" w:rsidR="00942521" w:rsidRDefault="00942521" w:rsidP="004C6DF8">
      <w:pPr>
        <w:pStyle w:val="Bulletlist"/>
        <w:numPr>
          <w:ilvl w:val="0"/>
          <w:numId w:val="0"/>
        </w:numPr>
        <w:ind w:left="1429"/>
      </w:pPr>
    </w:p>
    <w:p w14:paraId="6475E0C9" w14:textId="469BDF6D" w:rsidR="00942521" w:rsidRPr="00942521" w:rsidRDefault="00942521" w:rsidP="007A683A">
      <w:pPr>
        <w:pStyle w:val="ListParagraph"/>
      </w:pPr>
      <w:r w:rsidRPr="00942521">
        <w:t xml:space="preserve">The </w:t>
      </w:r>
      <w:r w:rsidR="00211D91">
        <w:t xml:space="preserve">EU </w:t>
      </w:r>
      <w:r w:rsidRPr="00942521">
        <w:t xml:space="preserve">Reception Directive sets </w:t>
      </w:r>
      <w:r w:rsidR="007B4FAE">
        <w:t>out</w:t>
      </w:r>
      <w:r w:rsidRPr="00942521">
        <w:t xml:space="preserve"> guidelines for the treatment of asylum seekers, including provisions for housing, food, healthcare, education, and employment, with particular attention to the needs of children. It also addresses the detention of asylum seekers and offers certain assurances related to </w:t>
      </w:r>
      <w:r w:rsidR="004D5246">
        <w:t xml:space="preserve">freedom of </w:t>
      </w:r>
      <w:r w:rsidRPr="00942521">
        <w:t>movement, family reunification, education, employment, and basic support. However, the directive prioriti</w:t>
      </w:r>
      <w:r w:rsidR="000E2895">
        <w:t>s</w:t>
      </w:r>
      <w:r w:rsidRPr="00942521">
        <w:t>es information about legal advisors over providing an explicit right to legal counsel.</w:t>
      </w:r>
    </w:p>
    <w:p w14:paraId="193D587D" w14:textId="77777777" w:rsidR="00942521" w:rsidRPr="00942521" w:rsidRDefault="00942521" w:rsidP="007A683A">
      <w:pPr>
        <w:pStyle w:val="ListParagraph"/>
        <w:numPr>
          <w:ilvl w:val="0"/>
          <w:numId w:val="0"/>
        </w:numPr>
        <w:ind w:left="709"/>
      </w:pPr>
    </w:p>
    <w:p w14:paraId="6178623D" w14:textId="6337A467" w:rsidR="00942521" w:rsidRPr="00942521" w:rsidRDefault="00942521" w:rsidP="007A683A">
      <w:pPr>
        <w:pStyle w:val="ListParagraph"/>
      </w:pPr>
      <w:r w:rsidRPr="00942521">
        <w:t xml:space="preserve">The </w:t>
      </w:r>
      <w:r w:rsidR="00211D91">
        <w:t xml:space="preserve">EU </w:t>
      </w:r>
      <w:r w:rsidRPr="00942521">
        <w:t>Qualification Directive offers an interpretation of Article 1(A) of the Refugee Convention and its Protocol</w:t>
      </w:r>
      <w:r w:rsidR="00C95DFE">
        <w:rPr>
          <w:rStyle w:val="FootnoteReference"/>
        </w:rPr>
        <w:footnoteReference w:id="32"/>
      </w:r>
      <w:r w:rsidRPr="00942521">
        <w:t xml:space="preserve">, outlining the criteria for identifying refugees and granting "subsidiary protection" or "humanitarian protection" to individuals who face human rights violations upon return but do not </w:t>
      </w:r>
      <w:r w:rsidR="00543BC9">
        <w:t>qualify for</w:t>
      </w:r>
      <w:r w:rsidRPr="00942521">
        <w:t xml:space="preserve"> refugee </w:t>
      </w:r>
      <w:r w:rsidR="00543BC9">
        <w:t>status</w:t>
      </w:r>
      <w:r w:rsidRPr="00942521">
        <w:t xml:space="preserve">. The </w:t>
      </w:r>
      <w:r w:rsidR="00F92984">
        <w:t>D</w:t>
      </w:r>
      <w:r w:rsidRPr="00942521">
        <w:t>irective ensures safeguards against deportation, access to pertinent information, maintenance of family unity, issuance of residence permits, employment opportunities, and educational access for both recogni</w:t>
      </w:r>
      <w:r w:rsidR="00FB3482">
        <w:t>s</w:t>
      </w:r>
      <w:r w:rsidRPr="00942521">
        <w:t>ed refugees and those given international protection. Furthermore, it provides arrangements for lodging, integration initiatives, and aid for potential repatriation.</w:t>
      </w:r>
    </w:p>
    <w:p w14:paraId="625DAC27" w14:textId="77777777" w:rsidR="00942521" w:rsidRPr="00942521" w:rsidRDefault="00942521" w:rsidP="007A683A">
      <w:pPr>
        <w:pStyle w:val="ListParagraph"/>
        <w:numPr>
          <w:ilvl w:val="0"/>
          <w:numId w:val="0"/>
        </w:numPr>
        <w:ind w:left="709"/>
      </w:pPr>
    </w:p>
    <w:p w14:paraId="3EA246E2" w14:textId="24D6292F" w:rsidR="00942521" w:rsidRPr="00942521" w:rsidRDefault="00942521" w:rsidP="007A683A">
      <w:pPr>
        <w:pStyle w:val="ListParagraph"/>
      </w:pPr>
      <w:r w:rsidRPr="00942521">
        <w:t xml:space="preserve">The </w:t>
      </w:r>
      <w:r w:rsidR="00211D91">
        <w:t xml:space="preserve">EU </w:t>
      </w:r>
      <w:r w:rsidRPr="00942521">
        <w:t>Asylum Procedures Directive delineates the processes involved in handling asylum applications, with considerations for minors and survivors of torture. It guarantees the right to engage in asylum procedures, although applications might be restricted to designated locations. The directive also briefly touches on detention matters.</w:t>
      </w:r>
    </w:p>
    <w:p w14:paraId="3D82822D" w14:textId="77777777" w:rsidR="0053556A" w:rsidRDefault="0053556A" w:rsidP="007A683A">
      <w:pPr>
        <w:pStyle w:val="ListParagraph"/>
        <w:numPr>
          <w:ilvl w:val="0"/>
          <w:numId w:val="0"/>
        </w:numPr>
        <w:ind w:left="709"/>
      </w:pPr>
    </w:p>
    <w:p w14:paraId="51348D52" w14:textId="77777777" w:rsidR="0031566F" w:rsidRDefault="00921D05" w:rsidP="007A683A">
      <w:pPr>
        <w:pStyle w:val="ListParagraph"/>
      </w:pPr>
      <w:r>
        <w:t xml:space="preserve">It is worth </w:t>
      </w:r>
      <w:r w:rsidR="00981D37">
        <w:t>underscoring</w:t>
      </w:r>
      <w:r>
        <w:t xml:space="preserve"> that the UK did not opt </w:t>
      </w:r>
      <w:r w:rsidR="0050652B">
        <w:t>into</w:t>
      </w:r>
      <w:r>
        <w:t xml:space="preserve"> </w:t>
      </w:r>
      <w:proofErr w:type="gramStart"/>
      <w:r>
        <w:t>all of</w:t>
      </w:r>
      <w:proofErr w:type="gramEnd"/>
      <w:r>
        <w:t xml:space="preserve"> the Common European Asylum System </w:t>
      </w:r>
      <w:r w:rsidR="0085790A">
        <w:t xml:space="preserve">or, for example, later versions of the Reception </w:t>
      </w:r>
      <w:r w:rsidR="00B14C5B">
        <w:t xml:space="preserve">Directive (2013) </w:t>
      </w:r>
      <w:r w:rsidR="0085790A">
        <w:t xml:space="preserve">or </w:t>
      </w:r>
      <w:r w:rsidR="00B14C5B">
        <w:t xml:space="preserve">the </w:t>
      </w:r>
      <w:r w:rsidR="0085790A">
        <w:t>Qualification Directive</w:t>
      </w:r>
      <w:r w:rsidR="00B14C5B">
        <w:t xml:space="preserve"> (2011)</w:t>
      </w:r>
      <w:r w:rsidR="0085790A">
        <w:t>.</w:t>
      </w:r>
      <w:r w:rsidR="006627A6">
        <w:t xml:space="preserve"> </w:t>
      </w:r>
    </w:p>
    <w:p w14:paraId="681E5F53" w14:textId="77777777" w:rsidR="0031566F" w:rsidRDefault="0031566F" w:rsidP="0031566F">
      <w:pPr>
        <w:pStyle w:val="ListParagraph"/>
        <w:numPr>
          <w:ilvl w:val="0"/>
          <w:numId w:val="0"/>
        </w:numPr>
        <w:ind w:left="709"/>
      </w:pPr>
    </w:p>
    <w:p w14:paraId="072191F2" w14:textId="6D41D418" w:rsidR="00E3232F" w:rsidRDefault="00E3232F" w:rsidP="007A683A">
      <w:pPr>
        <w:pStyle w:val="ListParagraph"/>
      </w:pPr>
      <w:r>
        <w:t xml:space="preserve">The </w:t>
      </w:r>
      <w:r w:rsidR="00601186">
        <w:t>High Court</w:t>
      </w:r>
      <w:r w:rsidR="003A44B2">
        <w:t xml:space="preserve"> of Justice in NI </w:t>
      </w:r>
      <w:r w:rsidR="00246653">
        <w:t xml:space="preserve">has </w:t>
      </w:r>
      <w:r w:rsidR="003A44B2">
        <w:t xml:space="preserve">confirmed that </w:t>
      </w:r>
      <w:r w:rsidR="00B61A2E">
        <w:t xml:space="preserve">certain </w:t>
      </w:r>
      <w:r w:rsidR="003A44B2">
        <w:t>provisions</w:t>
      </w:r>
      <w:r w:rsidR="00B61A2E">
        <w:t xml:space="preserve"> of the Reception Directive are within the scope of Windsor Framework Article 2</w:t>
      </w:r>
      <w:r w:rsidR="00C74B98">
        <w:t xml:space="preserve">, subject to requirements </w:t>
      </w:r>
      <w:r w:rsidR="00A06563">
        <w:t xml:space="preserve">of EU law </w:t>
      </w:r>
      <w:r w:rsidR="00C74B98">
        <w:t xml:space="preserve">that the provisions are </w:t>
      </w:r>
      <w:r w:rsidR="00A06563">
        <w:t xml:space="preserve">sufficiently clear, </w:t>
      </w:r>
      <w:proofErr w:type="gramStart"/>
      <w:r w:rsidR="00A06563">
        <w:t>precise</w:t>
      </w:r>
      <w:proofErr w:type="gramEnd"/>
      <w:r w:rsidR="00A06563">
        <w:t xml:space="preserve"> and complete as to be </w:t>
      </w:r>
      <w:r w:rsidR="00C74B98">
        <w:t>capable of direct</w:t>
      </w:r>
      <w:r w:rsidR="00A06563">
        <w:t xml:space="preserve"> effect</w:t>
      </w:r>
      <w:r w:rsidR="00B61A2E">
        <w:t>.</w:t>
      </w:r>
      <w:r w:rsidR="00B61A2E">
        <w:rPr>
          <w:rStyle w:val="FootnoteReference"/>
        </w:rPr>
        <w:footnoteReference w:id="33"/>
      </w:r>
    </w:p>
    <w:p w14:paraId="346D89A0" w14:textId="77777777" w:rsidR="00C92DDB" w:rsidRDefault="00C92DDB" w:rsidP="00C92DDB">
      <w:pPr>
        <w:pStyle w:val="ListParagraph"/>
        <w:numPr>
          <w:ilvl w:val="0"/>
          <w:numId w:val="0"/>
        </w:numPr>
        <w:ind w:left="709"/>
      </w:pPr>
    </w:p>
    <w:p w14:paraId="0DD80CBE" w14:textId="642F04F2" w:rsidR="00C92DDB" w:rsidRDefault="006F1D76" w:rsidP="007A683A">
      <w:pPr>
        <w:pStyle w:val="ListParagraph"/>
      </w:pPr>
      <w:r w:rsidRPr="00EA1FF9">
        <w:rPr>
          <w:b/>
          <w:bCs/>
        </w:rPr>
        <w:t xml:space="preserve">For the reasons detailed above, the Commission advises that, </w:t>
      </w:r>
      <w:proofErr w:type="gramStart"/>
      <w:r w:rsidRPr="00EA1FF9">
        <w:rPr>
          <w:b/>
          <w:bCs/>
        </w:rPr>
        <w:t>as a consequence of</w:t>
      </w:r>
      <w:proofErr w:type="gramEnd"/>
      <w:r w:rsidRPr="00EA1FF9">
        <w:rPr>
          <w:b/>
          <w:bCs/>
        </w:rPr>
        <w:t xml:space="preserve"> Windsor Framework Article 2, the Procedures Directive,</w:t>
      </w:r>
      <w:r w:rsidRPr="00EA1FF9">
        <w:rPr>
          <w:rStyle w:val="FootnoteReference"/>
          <w:b/>
          <w:bCs/>
        </w:rPr>
        <w:footnoteReference w:id="34"/>
      </w:r>
      <w:r w:rsidRPr="00EA1FF9">
        <w:rPr>
          <w:b/>
          <w:bCs/>
        </w:rPr>
        <w:t xml:space="preserve"> the Qualification Directive,</w:t>
      </w:r>
      <w:r w:rsidRPr="00EA1FF9">
        <w:rPr>
          <w:rStyle w:val="FootnoteReference"/>
          <w:b/>
          <w:bCs/>
        </w:rPr>
        <w:footnoteReference w:id="35"/>
      </w:r>
      <w:r w:rsidRPr="00EA1FF9">
        <w:rPr>
          <w:b/>
          <w:bCs/>
        </w:rPr>
        <w:t xml:space="preserve">  the Reception Directive</w:t>
      </w:r>
      <w:r w:rsidRPr="00EA1FF9">
        <w:rPr>
          <w:rStyle w:val="FootnoteReference"/>
          <w:b/>
          <w:bCs/>
        </w:rPr>
        <w:footnoteReference w:id="36"/>
      </w:r>
      <w:r w:rsidRPr="00EA1FF9">
        <w:rPr>
          <w:b/>
          <w:bCs/>
        </w:rPr>
        <w:t xml:space="preserve"> and the Dublin III Regulation,</w:t>
      </w:r>
      <w:r w:rsidRPr="00EA1FF9">
        <w:rPr>
          <w:rStyle w:val="FootnoteReference"/>
          <w:b/>
          <w:bCs/>
        </w:rPr>
        <w:footnoteReference w:id="37"/>
      </w:r>
      <w:r w:rsidRPr="00EA1FF9">
        <w:rPr>
          <w:b/>
          <w:bCs/>
        </w:rPr>
        <w:t xml:space="preserve"> remain relevant for determining minimum standards of rights required for asylum-seekers and refugees in NI</w:t>
      </w:r>
      <w:r w:rsidR="00EA1FF9">
        <w:t>.</w:t>
      </w:r>
      <w:r w:rsidR="00203EB7">
        <w:t xml:space="preserve"> </w:t>
      </w:r>
      <w:r w:rsidR="00203EB7" w:rsidRPr="00203EB7">
        <w:rPr>
          <w:b/>
          <w:bCs/>
        </w:rPr>
        <w:t>EU Directives on Victims and Combating Human Trafficking are also relevant.</w:t>
      </w:r>
      <w:r w:rsidR="00203EB7" w:rsidRPr="00203EB7">
        <w:rPr>
          <w:rStyle w:val="FootnoteReference"/>
          <w:b/>
          <w:bCs/>
        </w:rPr>
        <w:footnoteReference w:id="38"/>
      </w:r>
    </w:p>
    <w:p w14:paraId="2DE8ABE2" w14:textId="77777777" w:rsidR="00E3232F" w:rsidRDefault="00E3232F" w:rsidP="00D64F63">
      <w:pPr>
        <w:pStyle w:val="ListParagraph"/>
        <w:numPr>
          <w:ilvl w:val="0"/>
          <w:numId w:val="0"/>
        </w:numPr>
        <w:ind w:left="709"/>
      </w:pPr>
    </w:p>
    <w:p w14:paraId="62210FAA" w14:textId="72F7198D" w:rsidR="00265F50" w:rsidRDefault="00C01B82" w:rsidP="007A683A">
      <w:pPr>
        <w:pStyle w:val="ListParagraph"/>
      </w:pPr>
      <w:r>
        <w:t xml:space="preserve">Annex 1 of this paper lists some of the key pieces of domestic legislation affecting the rights of refugees and asylum-seekers. </w:t>
      </w:r>
      <w:r w:rsidR="00A906CA">
        <w:t xml:space="preserve">Further </w:t>
      </w:r>
      <w:r w:rsidR="00D16E82">
        <w:t xml:space="preserve">detail </w:t>
      </w:r>
      <w:r w:rsidR="00A5520D" w:rsidRPr="00D16E82">
        <w:t>about</w:t>
      </w:r>
      <w:r w:rsidR="004D2D8A">
        <w:t xml:space="preserve"> the UK’s</w:t>
      </w:r>
      <w:r w:rsidR="005D7472">
        <w:t xml:space="preserve"> and Ireland’s</w:t>
      </w:r>
      <w:r w:rsidR="004D2D8A">
        <w:t xml:space="preserve"> approach</w:t>
      </w:r>
      <w:r w:rsidR="005D7472">
        <w:t xml:space="preserve"> to the Common European Asylum System</w:t>
      </w:r>
      <w:r w:rsidR="0085790A">
        <w:t>,</w:t>
      </w:r>
      <w:r w:rsidR="0031566F">
        <w:t xml:space="preserve"> </w:t>
      </w:r>
      <w:r w:rsidR="00DD28CE">
        <w:t>how the measures</w:t>
      </w:r>
      <w:r w:rsidR="006B5F21">
        <w:t xml:space="preserve"> listed above</w:t>
      </w:r>
      <w:r w:rsidR="00DD28CE">
        <w:t xml:space="preserve"> were implemented in UK law</w:t>
      </w:r>
      <w:r w:rsidR="00F04C01">
        <w:t xml:space="preserve"> </w:t>
      </w:r>
      <w:r w:rsidR="005E22A8">
        <w:t>before and after</w:t>
      </w:r>
      <w:r w:rsidR="00A5520D" w:rsidRPr="00D16E82">
        <w:t xml:space="preserve"> Brexit</w:t>
      </w:r>
      <w:r w:rsidR="00DD28CE">
        <w:t>,</w:t>
      </w:r>
      <w:r w:rsidR="00087AE4" w:rsidRPr="00D16E82">
        <w:t xml:space="preserve"> </w:t>
      </w:r>
      <w:r w:rsidR="00AD2200">
        <w:t>is</w:t>
      </w:r>
      <w:r w:rsidR="00087AE4" w:rsidRPr="00D16E82">
        <w:t xml:space="preserve"> provided in </w:t>
      </w:r>
      <w:r w:rsidR="00C37AF9">
        <w:t xml:space="preserve">the research paper at </w:t>
      </w:r>
      <w:r w:rsidR="00125F90">
        <w:t xml:space="preserve">section 5 </w:t>
      </w:r>
      <w:r w:rsidR="00D32B54">
        <w:t>‘The EU and Asylum</w:t>
      </w:r>
      <w:r w:rsidR="00D45CE1">
        <w:t>: what rights does the Common European Asylum System protect?</w:t>
      </w:r>
      <w:r w:rsidR="00D32B54">
        <w:t>’</w:t>
      </w:r>
      <w:r w:rsidR="00C37AF9">
        <w:t xml:space="preserve"> </w:t>
      </w:r>
      <w:r w:rsidR="00125F90">
        <w:t>and</w:t>
      </w:r>
      <w:r w:rsidR="00D32B54">
        <w:t xml:space="preserve"> section</w:t>
      </w:r>
      <w:r w:rsidR="00125F90">
        <w:t xml:space="preserve"> 6 </w:t>
      </w:r>
      <w:r w:rsidR="00D32B54">
        <w:t>‘</w:t>
      </w:r>
      <w:r w:rsidR="00C37AF9">
        <w:t xml:space="preserve">The Common European Asylum System in UK </w:t>
      </w:r>
      <w:r w:rsidR="00783DAD">
        <w:t xml:space="preserve">law </w:t>
      </w:r>
      <w:r w:rsidR="00C37AF9">
        <w:t>aft</w:t>
      </w:r>
      <w:r w:rsidR="00783DAD">
        <w:t>er Brexit’</w:t>
      </w:r>
      <w:r w:rsidR="00C95DFE">
        <w:t xml:space="preserve">. </w:t>
      </w:r>
    </w:p>
    <w:p w14:paraId="7AB3F23D" w14:textId="77777777" w:rsidR="00D61C96" w:rsidRDefault="00D61C96">
      <w:pPr>
        <w:spacing w:after="160" w:line="259" w:lineRule="auto"/>
        <w:rPr>
          <w:rFonts w:ascii="Verdana" w:eastAsiaTheme="majorEastAsia" w:hAnsi="Verdana" w:cstheme="majorBidi"/>
          <w:b/>
          <w:color w:val="77328A"/>
          <w:sz w:val="32"/>
          <w:szCs w:val="32"/>
        </w:rPr>
      </w:pPr>
      <w:r>
        <w:br w:type="page"/>
      </w:r>
    </w:p>
    <w:p w14:paraId="40159AD0" w14:textId="34C4BDD9" w:rsidR="00C55410" w:rsidRPr="00C55410" w:rsidRDefault="00432842" w:rsidP="00F24261">
      <w:pPr>
        <w:pStyle w:val="Heading1"/>
      </w:pPr>
      <w:bookmarkStart w:id="11" w:name="_Toc151371453"/>
      <w:r>
        <w:lastRenderedPageBreak/>
        <w:t>Potential diminution of rights and recommendations</w:t>
      </w:r>
      <w:bookmarkEnd w:id="11"/>
      <w:r>
        <w:t xml:space="preserve"> </w:t>
      </w:r>
    </w:p>
    <w:p w14:paraId="72B94A7F" w14:textId="746A6D72" w:rsidR="00C85891" w:rsidRDefault="00C575DA" w:rsidP="007A683A">
      <w:pPr>
        <w:pStyle w:val="ListParagraph"/>
      </w:pPr>
      <w:r>
        <w:t>T</w:t>
      </w:r>
      <w:r w:rsidR="004E1B2F">
        <w:t xml:space="preserve">he case studies chosen by Harvey in </w:t>
      </w:r>
      <w:r w:rsidR="0099445D" w:rsidRPr="009A311C">
        <w:t xml:space="preserve">section </w:t>
      </w:r>
      <w:r w:rsidR="009A311C">
        <w:t>7</w:t>
      </w:r>
      <w:r w:rsidR="00B41A88">
        <w:t xml:space="preserve"> </w:t>
      </w:r>
      <w:r w:rsidR="0099445D">
        <w:t xml:space="preserve">of </w:t>
      </w:r>
      <w:r w:rsidR="004E1B2F">
        <w:t>her research paper</w:t>
      </w:r>
      <w:r w:rsidR="00E441F1">
        <w:t xml:space="preserve">, namely the Nationality and Borders Act 2022 and the Illegal Migration Act 2023, </w:t>
      </w:r>
      <w:r w:rsidR="000B17BD">
        <w:t xml:space="preserve">illustrate the practical application of Windsor Framework </w:t>
      </w:r>
      <w:r w:rsidR="00C85891">
        <w:t xml:space="preserve">Article 2. </w:t>
      </w:r>
      <w:r w:rsidR="002E7236">
        <w:t xml:space="preserve">In both </w:t>
      </w:r>
      <w:r w:rsidR="00E01164">
        <w:t>cases</w:t>
      </w:r>
      <w:r w:rsidR="002E7236">
        <w:t xml:space="preserve">, </w:t>
      </w:r>
      <w:r w:rsidR="004014C7">
        <w:t xml:space="preserve">potential </w:t>
      </w:r>
      <w:r w:rsidR="002E7236">
        <w:t>breaches of</w:t>
      </w:r>
      <w:r w:rsidR="004A5FA4">
        <w:t xml:space="preserve"> </w:t>
      </w:r>
      <w:r w:rsidR="004D4EBD">
        <w:t>Article 2</w:t>
      </w:r>
      <w:r w:rsidR="002E7236">
        <w:t xml:space="preserve"> have been </w:t>
      </w:r>
      <w:r w:rsidR="004A5FA4">
        <w:t>identified</w:t>
      </w:r>
      <w:r w:rsidR="002E7236">
        <w:t xml:space="preserve"> </w:t>
      </w:r>
      <w:proofErr w:type="gramStart"/>
      <w:r w:rsidR="004D4EBD">
        <w:t>as a result of</w:t>
      </w:r>
      <w:proofErr w:type="gramEnd"/>
      <w:r w:rsidR="004D4EBD">
        <w:t xml:space="preserve"> </w:t>
      </w:r>
      <w:r w:rsidR="000C166B">
        <w:t xml:space="preserve">a reduction in rights under </w:t>
      </w:r>
      <w:r w:rsidR="002E7236">
        <w:t xml:space="preserve">the </w:t>
      </w:r>
      <w:r w:rsidR="00F75637">
        <w:t>several d</w:t>
      </w:r>
      <w:r w:rsidR="002E7236">
        <w:t>irectives as well as articles of the ECHR and the EU Charter.</w:t>
      </w:r>
      <w:r w:rsidR="00D270B2">
        <w:t xml:space="preserve"> </w:t>
      </w:r>
      <w:r w:rsidR="00D270B2" w:rsidRPr="00D270B2">
        <w:t>Relevant ECHR rights include, for example, protections against slavery and forced labour (Article 4 ECHR), the right to liberty and security (Article 5 ECHR) and the right to a private and family life (Article 8 ECHR) as well as freedom from discrimination (Article 14 ECHR).</w:t>
      </w:r>
      <w:r w:rsidR="00D270B2">
        <w:t xml:space="preserve"> Relevant EU Charter of Fundamental Rights include Article 18 on the right to asylum and Article 47 on the right to an effective remedy and to a fair trial.</w:t>
      </w:r>
    </w:p>
    <w:p w14:paraId="258E9A1E" w14:textId="77777777" w:rsidR="007A683A" w:rsidRDefault="007A683A" w:rsidP="007A683A">
      <w:pPr>
        <w:pStyle w:val="ListParagraph"/>
        <w:numPr>
          <w:ilvl w:val="0"/>
          <w:numId w:val="0"/>
        </w:numPr>
        <w:ind w:left="709"/>
      </w:pPr>
    </w:p>
    <w:p w14:paraId="25391575" w14:textId="6254C72E" w:rsidR="004C2CCC" w:rsidRDefault="002D6058" w:rsidP="007B1A76">
      <w:pPr>
        <w:pStyle w:val="ListParagraph"/>
      </w:pPr>
      <w:r>
        <w:t xml:space="preserve">This section of the briefing note draws on the research </w:t>
      </w:r>
      <w:r w:rsidR="00CC4956">
        <w:t>to highlight</w:t>
      </w:r>
      <w:r w:rsidR="00E441F1">
        <w:t xml:space="preserve"> the </w:t>
      </w:r>
      <w:r w:rsidR="00C6478E">
        <w:t>NIHRC</w:t>
      </w:r>
      <w:r w:rsidR="00E441F1">
        <w:t xml:space="preserve">’s main </w:t>
      </w:r>
      <w:r w:rsidR="00A2516D">
        <w:t xml:space="preserve">concerns </w:t>
      </w:r>
      <w:r w:rsidR="00893FA0">
        <w:t xml:space="preserve">in </w:t>
      </w:r>
      <w:r w:rsidR="00AD24F1">
        <w:t xml:space="preserve">line with our submissions to </w:t>
      </w:r>
      <w:r w:rsidR="00C622B5">
        <w:t>Parliament during the passage of the legislation</w:t>
      </w:r>
      <w:r w:rsidR="00893FA0">
        <w:t>.</w:t>
      </w:r>
      <w:r w:rsidR="0077162C" w:rsidRPr="00664AA9">
        <w:rPr>
          <w:rStyle w:val="FootnoteReference"/>
        </w:rPr>
        <w:footnoteReference w:id="39"/>
      </w:r>
      <w:r w:rsidR="00C622B5">
        <w:t xml:space="preserve"> </w:t>
      </w:r>
      <w:r w:rsidR="004C2CCC">
        <w:t>Whereas the submission</w:t>
      </w:r>
      <w:r w:rsidR="00D66B7E">
        <w:t>s</w:t>
      </w:r>
      <w:r w:rsidR="004C2CCC">
        <w:t xml:space="preserve"> set out the </w:t>
      </w:r>
      <w:r w:rsidR="003A75D7">
        <w:t xml:space="preserve">Commission’s </w:t>
      </w:r>
      <w:r w:rsidR="004C2CCC">
        <w:t>grave concerns in respect of a wide range of human rights requirements</w:t>
      </w:r>
      <w:r w:rsidR="003A75D7">
        <w:t>, w</w:t>
      </w:r>
      <w:r w:rsidR="004C2CCC">
        <w:t>hat follows here is a summary of issues arising in respect of Windsor Framework Article 2, assessing compliance of the Act with minimum standards required under EU measures cited above in section 3 of this paper</w:t>
      </w:r>
      <w:r w:rsidR="006E1464">
        <w:t>.</w:t>
      </w:r>
    </w:p>
    <w:p w14:paraId="19F8E0BB" w14:textId="77777777" w:rsidR="004C2CCC" w:rsidRDefault="004C2CCC" w:rsidP="004C2CCC">
      <w:pPr>
        <w:pStyle w:val="ListParagraph"/>
        <w:numPr>
          <w:ilvl w:val="0"/>
          <w:numId w:val="0"/>
        </w:numPr>
        <w:ind w:left="709"/>
      </w:pPr>
    </w:p>
    <w:p w14:paraId="0C4DC921" w14:textId="78D323F6" w:rsidR="00111274" w:rsidRDefault="00C73B4D" w:rsidP="007B1A76">
      <w:pPr>
        <w:pStyle w:val="ListParagraph"/>
      </w:pPr>
      <w:r>
        <w:t xml:space="preserve">One of the issues raised by the </w:t>
      </w:r>
      <w:r w:rsidR="00C6478E">
        <w:t>NIHRC</w:t>
      </w:r>
      <w:r>
        <w:t xml:space="preserve"> during the passage of these Bills was the absence of consideration of Windsor Framework Article 2 in the Explanatory or Human Rights Memorandum to the Bills.</w:t>
      </w:r>
      <w:r w:rsidR="00801D9A" w:rsidRPr="002D0F7A">
        <w:rPr>
          <w:rStyle w:val="FootnoteReference"/>
          <w:rFonts w:cs="Poppins"/>
          <w:color w:val="232120"/>
          <w:shd w:val="clear" w:color="auto" w:fill="FFFFFF"/>
        </w:rPr>
        <w:footnoteReference w:id="40"/>
      </w:r>
      <w:r>
        <w:t xml:space="preserve"> </w:t>
      </w:r>
      <w:r w:rsidR="00EA3E30">
        <w:t>Early consideration of the implications of Windsor Framework Article 2 is necessary in the development of policy and legislation.</w:t>
      </w:r>
    </w:p>
    <w:p w14:paraId="15B5FC21" w14:textId="77777777" w:rsidR="00F124D4" w:rsidRDefault="00F124D4" w:rsidP="00F124D4">
      <w:pPr>
        <w:pStyle w:val="ListParagraph"/>
        <w:numPr>
          <w:ilvl w:val="0"/>
          <w:numId w:val="0"/>
        </w:numPr>
        <w:ind w:left="709"/>
      </w:pPr>
    </w:p>
    <w:p w14:paraId="01BE7B89" w14:textId="77777777" w:rsidR="00D808A4" w:rsidRDefault="00D808A4">
      <w:pPr>
        <w:spacing w:after="160" w:line="259" w:lineRule="auto"/>
        <w:rPr>
          <w:rFonts w:ascii="Verdana" w:hAnsi="Verdana"/>
          <w:b/>
          <w:bCs/>
        </w:rPr>
      </w:pPr>
      <w:r>
        <w:br w:type="page"/>
      </w:r>
    </w:p>
    <w:p w14:paraId="226421B1" w14:textId="244EE546" w:rsidR="007C12D6" w:rsidRPr="004930B5" w:rsidRDefault="007C12D6" w:rsidP="00A71E04">
      <w:pPr>
        <w:pStyle w:val="Heading2"/>
      </w:pPr>
      <w:bookmarkStart w:id="12" w:name="_Toc151371454"/>
      <w:r>
        <w:lastRenderedPageBreak/>
        <w:t>Illegal Migration Act 2023</w:t>
      </w:r>
      <w:bookmarkEnd w:id="12"/>
      <w:r>
        <w:t xml:space="preserve"> </w:t>
      </w:r>
    </w:p>
    <w:p w14:paraId="5200495D" w14:textId="45C1E1BE" w:rsidR="00471F4D" w:rsidRDefault="00471F4D" w:rsidP="00471F4D">
      <w:pPr>
        <w:pStyle w:val="ListParagraph"/>
      </w:pPr>
      <w:r>
        <w:t xml:space="preserve">Under section 5(2) of the </w:t>
      </w:r>
      <w:r w:rsidR="00F71FE2">
        <w:t xml:space="preserve">Illegal Migration </w:t>
      </w:r>
      <w:r>
        <w:t xml:space="preserve">Act, human rights and asylum claims will be declared </w:t>
      </w:r>
      <w:r w:rsidRPr="001F7848">
        <w:t>inadmissible</w:t>
      </w:r>
      <w:r>
        <w:t xml:space="preserve"> if the conditions in section 2 are met. This means automatic </w:t>
      </w:r>
      <w:r w:rsidR="00F65410">
        <w:t>categorisation of</w:t>
      </w:r>
      <w:r>
        <w:t xml:space="preserve"> applications without consideration of individual circumstances as required by A</w:t>
      </w:r>
      <w:r w:rsidRPr="00463958">
        <w:t xml:space="preserve">rticle 4(3) of the </w:t>
      </w:r>
      <w:r>
        <w:t xml:space="preserve">EU </w:t>
      </w:r>
      <w:r w:rsidRPr="00463958">
        <w:t>Qualification Directive</w:t>
      </w:r>
      <w:r w:rsidR="00FF6C2E">
        <w:t xml:space="preserve"> and Article 8(2) of the EU Procedures Directive</w:t>
      </w:r>
      <w:r>
        <w:t xml:space="preserve">. </w:t>
      </w:r>
      <w:r w:rsidRPr="001F7848">
        <w:t xml:space="preserve">Article 6(2) and recitals 13 and 22 of the </w:t>
      </w:r>
      <w:r w:rsidR="00D818DF" w:rsidRPr="001F7848">
        <w:t xml:space="preserve">EU </w:t>
      </w:r>
      <w:r w:rsidRPr="001F7848">
        <w:t xml:space="preserve">Procedures Directive are also relevant as well as Articles 13 and 18 of the </w:t>
      </w:r>
      <w:r w:rsidR="00D818DF" w:rsidRPr="001F7848">
        <w:t xml:space="preserve">EU </w:t>
      </w:r>
      <w:r w:rsidRPr="001F7848">
        <w:t>Qualification Directive</w:t>
      </w:r>
      <w:r>
        <w:t>.</w:t>
      </w:r>
    </w:p>
    <w:p w14:paraId="700B52F8" w14:textId="77777777" w:rsidR="00471F4D" w:rsidRPr="00A936FA" w:rsidRDefault="00471F4D" w:rsidP="00471F4D">
      <w:pPr>
        <w:pStyle w:val="ListParagraph"/>
        <w:numPr>
          <w:ilvl w:val="0"/>
          <w:numId w:val="0"/>
        </w:numPr>
        <w:ind w:left="709"/>
        <w:rPr>
          <w:highlight w:val="yellow"/>
        </w:rPr>
      </w:pPr>
    </w:p>
    <w:p w14:paraId="3370EFA1" w14:textId="5A9782E8" w:rsidR="00BF4EFF" w:rsidRDefault="00880872" w:rsidP="007A683A">
      <w:pPr>
        <w:pStyle w:val="ListParagraph"/>
      </w:pPr>
      <w:r>
        <w:t xml:space="preserve">Article 25 of the </w:t>
      </w:r>
      <w:r w:rsidR="00D818DF">
        <w:t xml:space="preserve">EU </w:t>
      </w:r>
      <w:r>
        <w:t xml:space="preserve">Procedures Directive lists </w:t>
      </w:r>
      <w:r w:rsidR="00583394">
        <w:t>seven cases where an asylum claim can be considered inadmissible.</w:t>
      </w:r>
      <w:r w:rsidR="00114F42">
        <w:t xml:space="preserve"> </w:t>
      </w:r>
      <w:r w:rsidR="00246548">
        <w:t>The approach taken to inadmissibility under section 5 of the Act</w:t>
      </w:r>
      <w:r w:rsidR="000B0206">
        <w:t>,</w:t>
      </w:r>
      <w:r w:rsidR="00246548">
        <w:t xml:space="preserve"> </w:t>
      </w:r>
      <w:r w:rsidR="009F39E7">
        <w:t xml:space="preserve">is outside the list of </w:t>
      </w:r>
      <w:r w:rsidR="001304D6">
        <w:t>grounds in Article 25</w:t>
      </w:r>
      <w:r w:rsidR="009F39E7">
        <w:t xml:space="preserve"> and would appear to diminish the rights of asylum-seekers </w:t>
      </w:r>
      <w:proofErr w:type="gramStart"/>
      <w:r w:rsidR="009F39E7">
        <w:t>as a consequence</w:t>
      </w:r>
      <w:proofErr w:type="gramEnd"/>
      <w:r w:rsidR="001304D6">
        <w:t>.</w:t>
      </w:r>
    </w:p>
    <w:p w14:paraId="0EA5CC35" w14:textId="77777777" w:rsidR="00BF4EFF" w:rsidRDefault="00BF4EFF" w:rsidP="005B7441">
      <w:pPr>
        <w:pStyle w:val="ListParagraph"/>
        <w:numPr>
          <w:ilvl w:val="0"/>
          <w:numId w:val="0"/>
        </w:numPr>
        <w:ind w:left="709"/>
      </w:pPr>
    </w:p>
    <w:p w14:paraId="1C47136A" w14:textId="2DAE08D7" w:rsidR="00C056E4" w:rsidRDefault="004029AD" w:rsidP="007A683A">
      <w:pPr>
        <w:pStyle w:val="ListParagraph"/>
      </w:pPr>
      <w:r>
        <w:t xml:space="preserve">The duty to remove </w:t>
      </w:r>
      <w:r w:rsidR="00371415">
        <w:t xml:space="preserve">an individual, </w:t>
      </w:r>
      <w:r w:rsidR="008E5AF7">
        <w:t>under</w:t>
      </w:r>
      <w:r>
        <w:t xml:space="preserve"> section 2 </w:t>
      </w:r>
      <w:r w:rsidR="00211D91">
        <w:t>of the Act</w:t>
      </w:r>
      <w:r w:rsidR="00371415">
        <w:t>,</w:t>
      </w:r>
      <w:r w:rsidR="00211D91">
        <w:t xml:space="preserve"> </w:t>
      </w:r>
      <w:r w:rsidR="008F0A7D">
        <w:t xml:space="preserve">applies even if the asylum seeker made a human rights claim, </w:t>
      </w:r>
      <w:r w:rsidR="004B6D9D">
        <w:t xml:space="preserve">a </w:t>
      </w:r>
      <w:r w:rsidR="008F0A7D">
        <w:t xml:space="preserve">claim </w:t>
      </w:r>
      <w:r w:rsidR="00A53F96">
        <w:t xml:space="preserve">related to human </w:t>
      </w:r>
      <w:r w:rsidR="008F0A7D">
        <w:t xml:space="preserve">trafficking, </w:t>
      </w:r>
      <w:r w:rsidR="00A53F96">
        <w:t xml:space="preserve">a </w:t>
      </w:r>
      <w:r w:rsidR="008F0A7D">
        <w:t xml:space="preserve">protection </w:t>
      </w:r>
      <w:proofErr w:type="gramStart"/>
      <w:r w:rsidR="008F0A7D">
        <w:t>claim</w:t>
      </w:r>
      <w:proofErr w:type="gramEnd"/>
      <w:r w:rsidR="00C261CD">
        <w:t>,</w:t>
      </w:r>
      <w:r w:rsidR="008F0A7D">
        <w:t xml:space="preserve"> or </w:t>
      </w:r>
      <w:r w:rsidR="004B6D9D">
        <w:t xml:space="preserve">an </w:t>
      </w:r>
      <w:r w:rsidR="004C0408">
        <w:t xml:space="preserve">application for </w:t>
      </w:r>
      <w:r w:rsidR="00CF4FFC">
        <w:t>judicial</w:t>
      </w:r>
      <w:r w:rsidR="008F0A7D">
        <w:t xml:space="preserve"> review</w:t>
      </w:r>
      <w:r w:rsidR="00CF4FFC">
        <w:t xml:space="preserve">. </w:t>
      </w:r>
      <w:r w:rsidR="00C23822">
        <w:t xml:space="preserve">The NIHRC believes this </w:t>
      </w:r>
      <w:r w:rsidR="00DE6D4D">
        <w:t xml:space="preserve">may </w:t>
      </w:r>
      <w:r w:rsidR="00C23822">
        <w:t xml:space="preserve">not </w:t>
      </w:r>
      <w:r w:rsidR="00DE6D4D">
        <w:t xml:space="preserve">be </w:t>
      </w:r>
      <w:r w:rsidR="00C23822">
        <w:t xml:space="preserve">compliant with Article 7(1) of the </w:t>
      </w:r>
      <w:r w:rsidR="00DE6D4D">
        <w:t xml:space="preserve">EU </w:t>
      </w:r>
      <w:r w:rsidR="00C23822">
        <w:t xml:space="preserve">Procedures Directive which </w:t>
      </w:r>
      <w:r w:rsidR="004C0168">
        <w:t>provides for a right to</w:t>
      </w:r>
      <w:r w:rsidR="00C23822">
        <w:t xml:space="preserve"> </w:t>
      </w:r>
      <w:r w:rsidR="00C23822" w:rsidRPr="001F7848">
        <w:t>remain</w:t>
      </w:r>
      <w:r w:rsidR="00CE31A5" w:rsidRPr="001F7848">
        <w:t xml:space="preserve"> in the State</w:t>
      </w:r>
      <w:r w:rsidR="00C23822" w:rsidRPr="001F7848">
        <w:t xml:space="preserve"> pending </w:t>
      </w:r>
      <w:r w:rsidR="00CC353F" w:rsidRPr="001F7848">
        <w:t>examination</w:t>
      </w:r>
      <w:r w:rsidR="00CC353F">
        <w:t xml:space="preserve"> of </w:t>
      </w:r>
      <w:r w:rsidR="00CE31A5">
        <w:t>an application</w:t>
      </w:r>
      <w:r w:rsidR="00C23822">
        <w:t>.</w:t>
      </w:r>
    </w:p>
    <w:p w14:paraId="6DC09DA6" w14:textId="77777777" w:rsidR="00C056E4" w:rsidRDefault="00C056E4" w:rsidP="000C7CE5">
      <w:pPr>
        <w:pStyle w:val="ListParagraph"/>
        <w:numPr>
          <w:ilvl w:val="0"/>
          <w:numId w:val="0"/>
        </w:numPr>
        <w:ind w:left="709"/>
      </w:pPr>
    </w:p>
    <w:p w14:paraId="4AF98CC4" w14:textId="78C02305" w:rsidR="005E7C8A" w:rsidRDefault="0011527F" w:rsidP="004B6EAF">
      <w:pPr>
        <w:pStyle w:val="ListParagraph"/>
      </w:pPr>
      <w:r w:rsidRPr="0011527F">
        <w:t xml:space="preserve">The Home Secretary’s broad </w:t>
      </w:r>
      <w:r w:rsidRPr="001F7848">
        <w:t>powers of detention, combined with the lack of judicial oversight</w:t>
      </w:r>
      <w:r w:rsidRPr="004A6D65">
        <w:rPr>
          <w:b/>
          <w:bCs/>
        </w:rPr>
        <w:t xml:space="preserve"> </w:t>
      </w:r>
      <w:r w:rsidRPr="0011527F">
        <w:t>also raise questions of compliance with Windsor Framework</w:t>
      </w:r>
      <w:r w:rsidR="008F2B2E">
        <w:t xml:space="preserve"> </w:t>
      </w:r>
      <w:r w:rsidR="008F2B2E" w:rsidRPr="0011527F">
        <w:t>Article 2</w:t>
      </w:r>
      <w:r w:rsidR="00CB03C9">
        <w:t xml:space="preserve">. </w:t>
      </w:r>
      <w:r w:rsidR="00FE0E94" w:rsidRPr="00FE0E94">
        <w:t>Section</w:t>
      </w:r>
      <w:r w:rsidR="0099686A">
        <w:t xml:space="preserve"> 13</w:t>
      </w:r>
      <w:r w:rsidR="00C47299">
        <w:t>(4)</w:t>
      </w:r>
      <w:r w:rsidR="0099686A">
        <w:t xml:space="preserve"> </w:t>
      </w:r>
      <w:r w:rsidR="00EB491E">
        <w:t>of the Act</w:t>
      </w:r>
      <w:r w:rsidR="00FE0E94" w:rsidRPr="00FE0E94">
        <w:t xml:space="preserve"> </w:t>
      </w:r>
      <w:r w:rsidR="00A505F0">
        <w:t xml:space="preserve">provides that </w:t>
      </w:r>
      <w:r w:rsidR="00075945">
        <w:t xml:space="preserve">as regards </w:t>
      </w:r>
      <w:r w:rsidR="00A505F0">
        <w:t>detention</w:t>
      </w:r>
      <w:r w:rsidR="00075945">
        <w:t xml:space="preserve"> </w:t>
      </w:r>
      <w:r w:rsidR="000C66C3">
        <w:t xml:space="preserve">in specified circumstances </w:t>
      </w:r>
      <w:r w:rsidR="00A505F0">
        <w:t>by</w:t>
      </w:r>
      <w:r w:rsidR="003D16D5">
        <w:t xml:space="preserve"> immigration officials or the Secretary of State “</w:t>
      </w:r>
      <w:r w:rsidR="003D16D5" w:rsidRPr="003D16D5">
        <w:t>the decision is final and is not liable to be questioned or set aside in any court or tribunal</w:t>
      </w:r>
      <w:r w:rsidR="00075945">
        <w:t>”</w:t>
      </w:r>
      <w:r w:rsidR="00C013EA">
        <w:t xml:space="preserve"> </w:t>
      </w:r>
      <w:r w:rsidR="000E4B62">
        <w:t>during</w:t>
      </w:r>
      <w:r w:rsidR="00C013EA">
        <w:t xml:space="preserve"> the first 28 days, except on very limited grounds</w:t>
      </w:r>
      <w:r w:rsidR="009E1DA6">
        <w:t>.</w:t>
      </w:r>
      <w:r w:rsidR="00C013EA">
        <w:t xml:space="preserve"> </w:t>
      </w:r>
      <w:r w:rsidR="00CA271F">
        <w:t xml:space="preserve">By contrast, </w:t>
      </w:r>
      <w:r w:rsidR="00EE219C" w:rsidRPr="00EE219C">
        <w:t>Article 18 of the EU Procedures Directive requires states to ensure there is a “possibility of speedy judicial review” when an asylum applicant is held in detention and that no one should be held in detention for the sole reason that they are an asylum seeker. Article 47 of the Charter of Fundamental Rights of the EU grants protection against violation of any right or freedom arising under EU law</w:t>
      </w:r>
      <w:r w:rsidR="00FE1737">
        <w:t>.</w:t>
      </w:r>
      <w:r w:rsidR="00747C79">
        <w:rPr>
          <w:rStyle w:val="FootnoteReference"/>
        </w:rPr>
        <w:footnoteReference w:id="41"/>
      </w:r>
    </w:p>
    <w:p w14:paraId="425373CB" w14:textId="54376C7A" w:rsidR="007A2A2A" w:rsidRDefault="004401C3" w:rsidP="004B6EAF">
      <w:pPr>
        <w:pStyle w:val="ListParagraph"/>
      </w:pPr>
      <w:r w:rsidRPr="004401C3">
        <w:lastRenderedPageBreak/>
        <w:t xml:space="preserve">Article 39(1) of the EU Procedures Directive further provides that applicants for asylum shall have a </w:t>
      </w:r>
      <w:r w:rsidRPr="001F7848">
        <w:t>right to an effective remedy</w:t>
      </w:r>
      <w:r w:rsidRPr="004401C3">
        <w:t xml:space="preserve"> before a court or tribunal </w:t>
      </w:r>
      <w:r w:rsidR="00F40651">
        <w:t>in relation to</w:t>
      </w:r>
      <w:r w:rsidRPr="004401C3">
        <w:t xml:space="preserve"> a decision on their application for asylum, including </w:t>
      </w:r>
      <w:r w:rsidR="00F40651">
        <w:t xml:space="preserve">a </w:t>
      </w:r>
      <w:r w:rsidRPr="004401C3">
        <w:t>decision to consider an application inadmissible, a decision taken at a border or transit zone</w:t>
      </w:r>
      <w:r w:rsidR="00A81F8B">
        <w:t>,</w:t>
      </w:r>
      <w:r w:rsidR="00717C6A">
        <w:t xml:space="preserve"> or a decision under the</w:t>
      </w:r>
      <w:r w:rsidR="00A52E4D">
        <w:t xml:space="preserve"> European</w:t>
      </w:r>
      <w:r w:rsidR="00717C6A">
        <w:t xml:space="preserve"> safe third country provisions of Article 36</w:t>
      </w:r>
      <w:r w:rsidRPr="004401C3">
        <w:t xml:space="preserve">. </w:t>
      </w:r>
      <w:r w:rsidR="00B73267">
        <w:t xml:space="preserve">The CJEU has </w:t>
      </w:r>
      <w:r w:rsidR="00B73267" w:rsidRPr="006A6C38">
        <w:t xml:space="preserve">emphasised the fundamental </w:t>
      </w:r>
      <w:r w:rsidR="00B73267">
        <w:t xml:space="preserve">nature </w:t>
      </w:r>
      <w:r w:rsidR="00B73267" w:rsidRPr="006A6C38">
        <w:t>of the right to an effective remedy as per Article 47 of the EU Charter as underscored by Article 39 of the Directive.</w:t>
      </w:r>
      <w:r w:rsidR="00B73267">
        <w:rPr>
          <w:rStyle w:val="FootnoteReference"/>
        </w:rPr>
        <w:footnoteReference w:id="42"/>
      </w:r>
      <w:r w:rsidR="00B73267">
        <w:t xml:space="preserve"> </w:t>
      </w:r>
      <w:r w:rsidR="005E744C">
        <w:t xml:space="preserve">It is unclear how </w:t>
      </w:r>
      <w:r w:rsidRPr="004401C3">
        <w:t xml:space="preserve">section 5 </w:t>
      </w:r>
      <w:r>
        <w:t xml:space="preserve">of the Act, </w:t>
      </w:r>
      <w:r w:rsidR="008D08A2">
        <w:t>in relation to</w:t>
      </w:r>
      <w:r w:rsidRPr="004401C3">
        <w:t xml:space="preserve"> inadmissibility or </w:t>
      </w:r>
      <w:r w:rsidR="00A74B6B" w:rsidRPr="004401C3">
        <w:t>section 54</w:t>
      </w:r>
      <w:r w:rsidR="00A74B6B">
        <w:t>,</w:t>
      </w:r>
      <w:r w:rsidR="00A74B6B" w:rsidRPr="004401C3">
        <w:t xml:space="preserve"> </w:t>
      </w:r>
      <w:r w:rsidR="00A74B6B">
        <w:t xml:space="preserve">relating to </w:t>
      </w:r>
      <w:r w:rsidRPr="004401C3">
        <w:t>restrictions on interim remedies</w:t>
      </w:r>
      <w:r w:rsidR="005E744C">
        <w:t>, comply with this requirement</w:t>
      </w:r>
      <w:r w:rsidR="00346113">
        <w:t>.</w:t>
      </w:r>
      <w:r w:rsidR="006A6C38" w:rsidRPr="006A6C38">
        <w:t xml:space="preserve">  </w:t>
      </w:r>
    </w:p>
    <w:p w14:paraId="168E0E29" w14:textId="77777777" w:rsidR="007A2A2A" w:rsidRDefault="007A2A2A" w:rsidP="007A2A2A">
      <w:pPr>
        <w:pStyle w:val="ListParagraph"/>
        <w:numPr>
          <w:ilvl w:val="0"/>
          <w:numId w:val="0"/>
        </w:numPr>
        <w:ind w:left="709"/>
      </w:pPr>
    </w:p>
    <w:p w14:paraId="14F24890" w14:textId="5EF47F9A" w:rsidR="00964B90" w:rsidRDefault="00BB6A1E" w:rsidP="004B6EAF">
      <w:pPr>
        <w:pStyle w:val="ListParagraph"/>
      </w:pPr>
      <w:r w:rsidRPr="00BB6A1E">
        <w:t xml:space="preserve">The </w:t>
      </w:r>
      <w:r>
        <w:t>Act</w:t>
      </w:r>
      <w:r w:rsidRPr="00BB6A1E">
        <w:t xml:space="preserve"> does not provide </w:t>
      </w:r>
      <w:r w:rsidRPr="001F7848">
        <w:t>particular and explicit safeguards for persons at particular risk or individuals with specific needs.</w:t>
      </w:r>
      <w:r>
        <w:t xml:space="preserve"> </w:t>
      </w:r>
      <w:r w:rsidR="00BF42EA" w:rsidRPr="00BF42EA">
        <w:t xml:space="preserve">Article 17 of the </w:t>
      </w:r>
      <w:r w:rsidR="009E1DA6">
        <w:t xml:space="preserve">EU </w:t>
      </w:r>
      <w:r w:rsidR="00BF42EA" w:rsidRPr="00BF42EA">
        <w:t xml:space="preserve">Reception Directive and </w:t>
      </w:r>
      <w:r w:rsidR="009E1DA6" w:rsidRPr="00BF42EA">
        <w:t xml:space="preserve">Article </w:t>
      </w:r>
      <w:r w:rsidR="00BF42EA" w:rsidRPr="00BF42EA">
        <w:t xml:space="preserve">20 of the </w:t>
      </w:r>
      <w:r w:rsidR="009E1DA6">
        <w:t xml:space="preserve">EU </w:t>
      </w:r>
      <w:r w:rsidR="00BF42EA" w:rsidRPr="00BF42EA">
        <w:t>Qualification Directive pertain to specific situations of vulnerable individuals, such as pregnant women and disabled people</w:t>
      </w:r>
      <w:r w:rsidR="006470F6">
        <w:t xml:space="preserve">. </w:t>
      </w:r>
      <w:r w:rsidR="00BB3B4D">
        <w:t xml:space="preserve">All the EU measures specified above </w:t>
      </w:r>
      <w:r w:rsidR="0073598B">
        <w:t xml:space="preserve">stipulate that </w:t>
      </w:r>
      <w:r w:rsidR="0073598B" w:rsidRPr="0073598B">
        <w:t>“the best interests of the child shall be a primary consideration” when implementing relevant provisions</w:t>
      </w:r>
      <w:r w:rsidR="0010306B">
        <w:t>.</w:t>
      </w:r>
      <w:r w:rsidR="00BB3B4D">
        <w:t xml:space="preserve"> </w:t>
      </w:r>
    </w:p>
    <w:p w14:paraId="5A2E8502" w14:textId="77777777" w:rsidR="00AF6977" w:rsidRDefault="00AF6977" w:rsidP="005B7441">
      <w:pPr>
        <w:pStyle w:val="ListParagraph"/>
        <w:numPr>
          <w:ilvl w:val="0"/>
          <w:numId w:val="0"/>
        </w:numPr>
        <w:ind w:left="709"/>
      </w:pPr>
    </w:p>
    <w:p w14:paraId="25E720FE" w14:textId="7A662BAE" w:rsidR="00BF64EC" w:rsidRDefault="00BF64EC" w:rsidP="00BF64EC">
      <w:pPr>
        <w:pStyle w:val="ListParagraph"/>
      </w:pPr>
      <w:r>
        <w:t xml:space="preserve">Sections 22 and 25 of the Act provide for removal of, and withholding of support and assistance from, potential victims of human trafficking, contrary to the obligations in Article 11 of the </w:t>
      </w:r>
      <w:r w:rsidR="00E078E9">
        <w:t xml:space="preserve">EU </w:t>
      </w:r>
      <w:r>
        <w:t>Trafficking Directive.</w:t>
      </w:r>
      <w:r>
        <w:rPr>
          <w:rStyle w:val="FootnoteReference"/>
        </w:rPr>
        <w:footnoteReference w:id="43"/>
      </w:r>
      <w:r>
        <w:t xml:space="preserve"> Consistent with the analysis in section 3 of this paper, victims of crime or human trafficking fall within the scope of relevant chapter of the Belfast (Good Friday) Agreement for three reasons: firstly, due to the commitment to the ECHR; secondly, due to the gendered element of human trafficking</w:t>
      </w:r>
      <w:r w:rsidR="00497BCF">
        <w:t xml:space="preserve"> and thirdly</w:t>
      </w:r>
      <w:r w:rsidR="00D25278">
        <w:t>,</w:t>
      </w:r>
      <w:r w:rsidR="00497BCF">
        <w:t xml:space="preserve"> by virtue of the rights of victims included in the chapter</w:t>
      </w:r>
      <w:r>
        <w:t>.</w:t>
      </w:r>
      <w:r w:rsidR="00293B74">
        <w:rPr>
          <w:rStyle w:val="FootnoteReference"/>
        </w:rPr>
        <w:footnoteReference w:id="44"/>
      </w:r>
      <w:r>
        <w:t xml:space="preserve"> </w:t>
      </w:r>
    </w:p>
    <w:p w14:paraId="2DD66CCB" w14:textId="77777777" w:rsidR="00964B90" w:rsidRDefault="00964B90" w:rsidP="005B7441">
      <w:pPr>
        <w:pStyle w:val="ListParagraph"/>
        <w:numPr>
          <w:ilvl w:val="0"/>
          <w:numId w:val="0"/>
        </w:numPr>
        <w:ind w:left="709"/>
      </w:pPr>
    </w:p>
    <w:p w14:paraId="1446876F" w14:textId="7F036B11" w:rsidR="002A3CF0" w:rsidRDefault="00547CA8" w:rsidP="007A683A">
      <w:pPr>
        <w:pStyle w:val="ListParagraph"/>
      </w:pPr>
      <w:r>
        <w:t xml:space="preserve">NIHRC is concerned that the provisions referenced above, </w:t>
      </w:r>
      <w:r w:rsidR="00402D58">
        <w:t xml:space="preserve">providing for </w:t>
      </w:r>
      <w:r>
        <w:t>automatic remov</w:t>
      </w:r>
      <w:r w:rsidR="00402D58">
        <w:t>al of individuals</w:t>
      </w:r>
      <w:r>
        <w:t xml:space="preserve"> without consideration of their </w:t>
      </w:r>
      <w:proofErr w:type="gramStart"/>
      <w:r w:rsidR="00A90CED">
        <w:lastRenderedPageBreak/>
        <w:t xml:space="preserve">particular </w:t>
      </w:r>
      <w:r>
        <w:t>circumstances</w:t>
      </w:r>
      <w:proofErr w:type="gramEnd"/>
      <w:r>
        <w:t xml:space="preserve">, </w:t>
      </w:r>
      <w:r w:rsidR="00C912B7">
        <w:t>may result in breach of</w:t>
      </w:r>
      <w:r>
        <w:t xml:space="preserve"> the principle of non-refoulement. </w:t>
      </w:r>
      <w:r w:rsidR="00C94A37" w:rsidRPr="00C94A37">
        <w:t xml:space="preserve">The principle of non-refoulement forms an essential protection under international human rights law. It prohibits States from transferring or removing individuals from their jurisdiction when there are substantial grounds for believing that the person would be at risk of irreparable harm on return, including persecution, torture, </w:t>
      </w:r>
      <w:proofErr w:type="gramStart"/>
      <w:r w:rsidR="00C94A37" w:rsidRPr="00C94A37">
        <w:t>ill-treatment</w:t>
      </w:r>
      <w:proofErr w:type="gramEnd"/>
      <w:r w:rsidR="00C94A37" w:rsidRPr="00C94A37">
        <w:t xml:space="preserve"> or other serious human rights violations</w:t>
      </w:r>
      <w:r w:rsidR="00C94A37">
        <w:t xml:space="preserve">. </w:t>
      </w:r>
      <w:r w:rsidR="00E84657">
        <w:t xml:space="preserve">Article 21 of the </w:t>
      </w:r>
      <w:r w:rsidR="00CE68C2">
        <w:t xml:space="preserve">EU </w:t>
      </w:r>
      <w:r w:rsidR="00E84657">
        <w:t xml:space="preserve">Qualification Directive requires States to respect the principle of non-refoulement, </w:t>
      </w:r>
      <w:r w:rsidR="003E62D7">
        <w:t>in line with Article 33 of the Refugee Convention. Moreover, t</w:t>
      </w:r>
      <w:r w:rsidR="002A3CF0" w:rsidRPr="002A3CF0">
        <w:t xml:space="preserve">he CJEU has affirmed that the </w:t>
      </w:r>
      <w:r w:rsidR="00F476D9">
        <w:t xml:space="preserve">EU </w:t>
      </w:r>
      <w:r w:rsidR="002A3CF0" w:rsidRPr="002A3CF0">
        <w:t>Procedures Directive's primary objective is to ensure full compliance with the Refugee Convention and fundamental rights</w:t>
      </w:r>
      <w:r w:rsidR="0076522B">
        <w:t>.</w:t>
      </w:r>
      <w:r w:rsidR="00F476D9">
        <w:rPr>
          <w:rStyle w:val="FootnoteReference"/>
        </w:rPr>
        <w:footnoteReference w:id="45"/>
      </w:r>
      <w:r w:rsidR="002A3CF0" w:rsidRPr="002A3CF0">
        <w:t xml:space="preserve"> </w:t>
      </w:r>
    </w:p>
    <w:p w14:paraId="000644E9" w14:textId="77777777" w:rsidR="007A683A" w:rsidRPr="002A3CF0" w:rsidRDefault="007A683A" w:rsidP="007A683A">
      <w:pPr>
        <w:pStyle w:val="ListParagraph"/>
        <w:numPr>
          <w:ilvl w:val="0"/>
          <w:numId w:val="0"/>
        </w:numPr>
        <w:ind w:left="709"/>
      </w:pPr>
    </w:p>
    <w:p w14:paraId="70E38748" w14:textId="0E6E6015" w:rsidR="00432842" w:rsidRPr="00C55410" w:rsidRDefault="00C55410" w:rsidP="00F24261">
      <w:pPr>
        <w:pStyle w:val="NormalWeb"/>
        <w:shd w:val="clear" w:color="auto" w:fill="FFFFFF"/>
        <w:spacing w:before="0" w:beforeAutospacing="0" w:line="360" w:lineRule="auto"/>
        <w:rPr>
          <w:rFonts w:ascii="Verdana" w:eastAsiaTheme="minorHAnsi" w:hAnsi="Verdana" w:cstheme="minorBidi"/>
          <w:sz w:val="28"/>
          <w:szCs w:val="28"/>
          <w:lang w:eastAsia="en-US"/>
        </w:rPr>
      </w:pPr>
      <w:r w:rsidRPr="00C55410">
        <w:rPr>
          <w:rFonts w:ascii="Verdana" w:hAnsi="Verdana"/>
          <w:b/>
          <w:bCs/>
          <w:color w:val="77328A"/>
          <w:sz w:val="32"/>
          <w:szCs w:val="32"/>
        </w:rPr>
        <w:t xml:space="preserve">5.0 </w:t>
      </w:r>
      <w:r w:rsidR="00E53821" w:rsidRPr="00C55410">
        <w:rPr>
          <w:rFonts w:ascii="Verdana" w:hAnsi="Verdana"/>
          <w:b/>
          <w:bCs/>
          <w:color w:val="77328A"/>
          <w:sz w:val="32"/>
          <w:szCs w:val="32"/>
        </w:rPr>
        <w:t>Conclusion</w:t>
      </w:r>
      <w:r w:rsidR="00E53821" w:rsidRPr="00C55410">
        <w:rPr>
          <w:rFonts w:ascii="Verdana" w:eastAsiaTheme="minorHAnsi" w:hAnsi="Verdana" w:cstheme="minorBidi"/>
          <w:sz w:val="28"/>
          <w:szCs w:val="28"/>
          <w:lang w:eastAsia="en-US"/>
        </w:rPr>
        <w:t xml:space="preserve"> </w:t>
      </w:r>
    </w:p>
    <w:p w14:paraId="6CF51462" w14:textId="77777777" w:rsidR="00293B74" w:rsidRPr="00293B74" w:rsidRDefault="00293B74" w:rsidP="00293B74">
      <w:pPr>
        <w:pStyle w:val="ListParagraph"/>
        <w:keepNext/>
        <w:keepLines/>
        <w:widowControl/>
        <w:numPr>
          <w:ilvl w:val="0"/>
          <w:numId w:val="1"/>
        </w:numPr>
        <w:suppressAutoHyphens w:val="0"/>
        <w:autoSpaceDE/>
        <w:autoSpaceDN/>
        <w:adjustRightInd/>
        <w:spacing w:before="240" w:after="240"/>
        <w:textAlignment w:val="auto"/>
        <w:outlineLvl w:val="0"/>
        <w:rPr>
          <w:rFonts w:eastAsiaTheme="majorEastAsia" w:cstheme="majorBidi"/>
          <w:b/>
          <w:vanish/>
          <w:color w:val="77328A"/>
          <w:sz w:val="32"/>
          <w:szCs w:val="32"/>
        </w:rPr>
      </w:pPr>
      <w:bookmarkStart w:id="13" w:name="_Toc151032242"/>
      <w:bookmarkStart w:id="14" w:name="_Toc151368077"/>
      <w:bookmarkStart w:id="15" w:name="_Toc151368315"/>
      <w:bookmarkStart w:id="16" w:name="_Toc151368391"/>
      <w:bookmarkStart w:id="17" w:name="_Toc151368991"/>
      <w:bookmarkStart w:id="18" w:name="_Toc151371455"/>
      <w:bookmarkEnd w:id="13"/>
      <w:bookmarkEnd w:id="14"/>
      <w:bookmarkEnd w:id="15"/>
      <w:bookmarkEnd w:id="16"/>
      <w:bookmarkEnd w:id="17"/>
      <w:bookmarkEnd w:id="18"/>
    </w:p>
    <w:p w14:paraId="66DEE17B" w14:textId="5494D67B" w:rsidR="00BB6D60" w:rsidRDefault="00A45879" w:rsidP="00293B74">
      <w:pPr>
        <w:pStyle w:val="ListParagraph"/>
      </w:pPr>
      <w:r>
        <w:t>Windsor Framework Article 2 remains a new and complex area of law</w:t>
      </w:r>
      <w:r w:rsidR="00BB00BD">
        <w:t xml:space="preserve"> subject to ongoing research and legal analysis</w:t>
      </w:r>
      <w:r>
        <w:t>. While</w:t>
      </w:r>
      <w:r w:rsidR="00EF09EA">
        <w:t>, as outlined above,</w:t>
      </w:r>
      <w:r>
        <w:t xml:space="preserve"> </w:t>
      </w:r>
      <w:r w:rsidR="00EF09EA">
        <w:t xml:space="preserve">early judgments have </w:t>
      </w:r>
      <w:r w:rsidR="00622522">
        <w:t xml:space="preserve">already </w:t>
      </w:r>
      <w:proofErr w:type="gramStart"/>
      <w:r w:rsidR="00622522">
        <w:t>made a contribution</w:t>
      </w:r>
      <w:proofErr w:type="gramEnd"/>
      <w:r w:rsidR="008D12C4">
        <w:t>,</w:t>
      </w:r>
      <w:r w:rsidR="006547A9">
        <w:t xml:space="preserve"> </w:t>
      </w:r>
      <w:r w:rsidR="00C8710E">
        <w:t xml:space="preserve">it is anticipated that </w:t>
      </w:r>
      <w:r w:rsidR="00AD3666">
        <w:t>further</w:t>
      </w:r>
      <w:r w:rsidR="001D654A">
        <w:t xml:space="preserve"> legal </w:t>
      </w:r>
      <w:r w:rsidR="0049620D">
        <w:t xml:space="preserve">rulings will clarify </w:t>
      </w:r>
      <w:r w:rsidR="004F729C">
        <w:t xml:space="preserve">the scope </w:t>
      </w:r>
      <w:r w:rsidR="00080A84">
        <w:t xml:space="preserve">of the provision including the </w:t>
      </w:r>
      <w:r w:rsidR="00982B55">
        <w:t xml:space="preserve">range of rights </w:t>
      </w:r>
      <w:r w:rsidR="00F12F26">
        <w:t>protected</w:t>
      </w:r>
      <w:r w:rsidR="008D12C4">
        <w:t xml:space="preserve">, not least </w:t>
      </w:r>
      <w:r w:rsidR="000740CC">
        <w:t xml:space="preserve">as a result of </w:t>
      </w:r>
      <w:r w:rsidR="008D12C4">
        <w:t xml:space="preserve">the own-motion case </w:t>
      </w:r>
      <w:r w:rsidR="00FA6FBB">
        <w:t xml:space="preserve">on the Illegal Migration Act </w:t>
      </w:r>
      <w:r w:rsidR="008D12C4">
        <w:t xml:space="preserve">being taken </w:t>
      </w:r>
      <w:r w:rsidR="00BB6D60" w:rsidRPr="002871B1">
        <w:t xml:space="preserve">by the </w:t>
      </w:r>
      <w:r w:rsidR="00BB6D60">
        <w:t>NIHRC.</w:t>
      </w:r>
      <w:r w:rsidR="00651325">
        <w:t xml:space="preserve"> The advice here is offered with that caveat.</w:t>
      </w:r>
    </w:p>
    <w:p w14:paraId="1572D1B3" w14:textId="529A7A05" w:rsidR="00432842" w:rsidRPr="00F24261" w:rsidRDefault="00432842" w:rsidP="004F034E">
      <w:pPr>
        <w:ind w:left="709" w:hanging="709"/>
      </w:pPr>
    </w:p>
    <w:p w14:paraId="0F248E43" w14:textId="77777777" w:rsidR="00122526" w:rsidRDefault="00122526">
      <w:pPr>
        <w:spacing w:after="160" w:line="259" w:lineRule="auto"/>
        <w:rPr>
          <w:rFonts w:ascii="Verdana" w:eastAsiaTheme="majorEastAsia" w:hAnsi="Verdana" w:cstheme="majorBidi"/>
          <w:b/>
          <w:color w:val="77328A"/>
          <w:sz w:val="32"/>
          <w:szCs w:val="32"/>
        </w:rPr>
      </w:pPr>
      <w:r>
        <w:br w:type="page"/>
      </w:r>
    </w:p>
    <w:p w14:paraId="76EB5A7F" w14:textId="63D8CC5A" w:rsidR="009A5843" w:rsidRPr="00AC14E6" w:rsidRDefault="00AC14E6" w:rsidP="00A71E04">
      <w:pPr>
        <w:pStyle w:val="Heading1"/>
        <w:numPr>
          <w:ilvl w:val="0"/>
          <w:numId w:val="0"/>
        </w:numPr>
        <w:ind w:left="720" w:hanging="720"/>
      </w:pPr>
      <w:bookmarkStart w:id="19" w:name="_Toc151371456"/>
      <w:r w:rsidRPr="00AC14E6">
        <w:lastRenderedPageBreak/>
        <w:t>Annex 1</w:t>
      </w:r>
      <w:bookmarkEnd w:id="19"/>
      <w:r w:rsidRPr="00AC14E6">
        <w:t xml:space="preserve"> </w:t>
      </w:r>
    </w:p>
    <w:p w14:paraId="03392C35" w14:textId="77777777" w:rsidR="00AC14E6" w:rsidRPr="00AC14E6" w:rsidRDefault="00AC14E6" w:rsidP="00F24261">
      <w:pPr>
        <w:spacing w:line="360" w:lineRule="auto"/>
        <w:rPr>
          <w:rFonts w:ascii="Verdana" w:hAnsi="Verdana"/>
        </w:rPr>
      </w:pPr>
      <w:r w:rsidRPr="00AC14E6">
        <w:rPr>
          <w:rFonts w:ascii="Verdana" w:hAnsi="Verdana"/>
        </w:rPr>
        <w:t xml:space="preserve">Below is a list of the various primary legislation that governs immigration broadly but also that affect asylum seeking and refugee protection. </w:t>
      </w:r>
    </w:p>
    <w:p w14:paraId="641AF649" w14:textId="686BB55C"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Illegal Migration Act 202</w:t>
      </w:r>
      <w:r w:rsidR="004B6EAF">
        <w:rPr>
          <w:rFonts w:ascii="Verdana" w:hAnsi="Verdana"/>
        </w:rPr>
        <w:t>3</w:t>
      </w:r>
    </w:p>
    <w:p w14:paraId="74956B18"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Nationality and Borders Act 2022 </w:t>
      </w:r>
    </w:p>
    <w:p w14:paraId="148D70B1" w14:textId="3CD9843A"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Immigration and Social Security Co-ordination (EU Withdrawal) Act 2020 </w:t>
      </w:r>
    </w:p>
    <w:p w14:paraId="4C6A9659"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Immigration Act 2016 </w:t>
      </w:r>
    </w:p>
    <w:p w14:paraId="7443E8ED"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Immigration Act 2014</w:t>
      </w:r>
    </w:p>
    <w:p w14:paraId="03BC46FE" w14:textId="77777777" w:rsidR="00AC14E6" w:rsidRPr="00AC14E6"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Borders, </w:t>
      </w:r>
      <w:proofErr w:type="gramStart"/>
      <w:r w:rsidRPr="00AC14E6">
        <w:rPr>
          <w:rFonts w:ascii="Verdana" w:hAnsi="Verdana"/>
        </w:rPr>
        <w:t>Citizenship</w:t>
      </w:r>
      <w:proofErr w:type="gramEnd"/>
      <w:r w:rsidRPr="00AC14E6">
        <w:rPr>
          <w:rFonts w:ascii="Verdana" w:hAnsi="Verdana"/>
        </w:rPr>
        <w:t xml:space="preserve"> and Immigration Act 2009</w:t>
      </w:r>
    </w:p>
    <w:p w14:paraId="68FC41EE" w14:textId="77777777" w:rsidR="00AC14E6" w:rsidRPr="00AC14E6" w:rsidRDefault="00AC14E6" w:rsidP="003C6609">
      <w:pPr>
        <w:numPr>
          <w:ilvl w:val="0"/>
          <w:numId w:val="2"/>
        </w:numPr>
        <w:spacing w:after="120" w:line="360" w:lineRule="auto"/>
        <w:ind w:left="714" w:hanging="357"/>
        <w:rPr>
          <w:rFonts w:ascii="Verdana" w:hAnsi="Verdana"/>
        </w:rPr>
      </w:pPr>
      <w:r w:rsidRPr="00AC14E6">
        <w:rPr>
          <w:rFonts w:ascii="Verdana" w:hAnsi="Verdana"/>
        </w:rPr>
        <w:t>Criminal Justice and Immigration Act 2008</w:t>
      </w:r>
    </w:p>
    <w:p w14:paraId="307A487D" w14:textId="77777777" w:rsidR="00AC14E6" w:rsidRPr="00AC14E6"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Tribunals, </w:t>
      </w:r>
      <w:proofErr w:type="gramStart"/>
      <w:r w:rsidRPr="00AC14E6">
        <w:rPr>
          <w:rFonts w:ascii="Verdana" w:hAnsi="Verdana"/>
        </w:rPr>
        <w:t>Courts</w:t>
      </w:r>
      <w:proofErr w:type="gramEnd"/>
      <w:r w:rsidRPr="00AC14E6">
        <w:rPr>
          <w:rFonts w:ascii="Verdana" w:hAnsi="Verdana"/>
        </w:rPr>
        <w:t xml:space="preserve"> and enforcement Act 2007</w:t>
      </w:r>
    </w:p>
    <w:p w14:paraId="2F4BE15D"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UK Borders Act 2007 </w:t>
      </w:r>
    </w:p>
    <w:p w14:paraId="7307C992"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Immigration, Asylum and Nationality Act 2006 </w:t>
      </w:r>
    </w:p>
    <w:p w14:paraId="2C33A410" w14:textId="35B4466A"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Asylum and Immigration (</w:t>
      </w:r>
      <w:r w:rsidR="005849A1">
        <w:rPr>
          <w:rFonts w:ascii="Verdana" w:hAnsi="Verdana"/>
        </w:rPr>
        <w:t xml:space="preserve">Treatment of Claimants </w:t>
      </w:r>
      <w:r w:rsidRPr="00AC14E6">
        <w:rPr>
          <w:rFonts w:ascii="Verdana" w:hAnsi="Verdana"/>
        </w:rPr>
        <w:t>etc) Act 2004 </w:t>
      </w:r>
    </w:p>
    <w:p w14:paraId="63BD9E6F"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Nationality, Immigration and Asylum Act 2002 </w:t>
      </w:r>
    </w:p>
    <w:p w14:paraId="07220583" w14:textId="77777777" w:rsidR="00AC14E6" w:rsidRPr="00AC14E6" w:rsidRDefault="00AC14E6" w:rsidP="003C6609">
      <w:pPr>
        <w:numPr>
          <w:ilvl w:val="0"/>
          <w:numId w:val="2"/>
        </w:numPr>
        <w:spacing w:after="120" w:line="360" w:lineRule="auto"/>
        <w:ind w:left="714" w:hanging="357"/>
        <w:rPr>
          <w:rFonts w:ascii="Verdana" w:hAnsi="Verdana"/>
        </w:rPr>
      </w:pPr>
      <w:r w:rsidRPr="00AC14E6">
        <w:rPr>
          <w:rFonts w:ascii="Verdana" w:hAnsi="Verdana"/>
        </w:rPr>
        <w:t>Immigration and Asylum Act 1999</w:t>
      </w:r>
    </w:p>
    <w:p w14:paraId="3F3A294A" w14:textId="77777777" w:rsidR="00AC14E6" w:rsidRDefault="00AC14E6" w:rsidP="003C6609">
      <w:pPr>
        <w:numPr>
          <w:ilvl w:val="0"/>
          <w:numId w:val="2"/>
        </w:numPr>
        <w:spacing w:after="120" w:line="360" w:lineRule="auto"/>
        <w:ind w:left="714" w:hanging="357"/>
        <w:rPr>
          <w:rFonts w:ascii="Verdana" w:hAnsi="Verdana"/>
        </w:rPr>
      </w:pPr>
      <w:r w:rsidRPr="00AC14E6">
        <w:rPr>
          <w:rFonts w:ascii="Verdana" w:hAnsi="Verdana"/>
        </w:rPr>
        <w:t>Special Immigration Appeals Commission Act 1997</w:t>
      </w:r>
    </w:p>
    <w:p w14:paraId="71BB425A" w14:textId="510BA40A" w:rsidR="00BE69B5" w:rsidRPr="00AC14E6" w:rsidRDefault="00BE69B5" w:rsidP="003C6609">
      <w:pPr>
        <w:numPr>
          <w:ilvl w:val="0"/>
          <w:numId w:val="2"/>
        </w:numPr>
        <w:spacing w:after="120" w:line="360" w:lineRule="auto"/>
        <w:ind w:left="714" w:hanging="357"/>
        <w:rPr>
          <w:rFonts w:ascii="Verdana" w:hAnsi="Verdana"/>
        </w:rPr>
      </w:pPr>
      <w:r>
        <w:rPr>
          <w:rFonts w:ascii="Verdana" w:hAnsi="Verdana"/>
        </w:rPr>
        <w:t>Asylum and Immigration Act 1996</w:t>
      </w:r>
    </w:p>
    <w:p w14:paraId="6DB331D3"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Asylum and Immigration Appeals Act 1993 </w:t>
      </w:r>
    </w:p>
    <w:p w14:paraId="124BA9A0"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Immigration Act 1988 </w:t>
      </w:r>
    </w:p>
    <w:p w14:paraId="38519B21" w14:textId="77777777" w:rsidR="004B6EAF" w:rsidRDefault="00AC14E6" w:rsidP="003C6609">
      <w:pPr>
        <w:numPr>
          <w:ilvl w:val="0"/>
          <w:numId w:val="2"/>
        </w:numPr>
        <w:spacing w:after="120" w:line="360" w:lineRule="auto"/>
        <w:ind w:left="714" w:hanging="357"/>
        <w:rPr>
          <w:rFonts w:ascii="Verdana" w:hAnsi="Verdana"/>
        </w:rPr>
      </w:pPr>
      <w:r w:rsidRPr="00AC14E6">
        <w:rPr>
          <w:rFonts w:ascii="Verdana" w:hAnsi="Verdana"/>
        </w:rPr>
        <w:t xml:space="preserve">British Nationality Act 1981 </w:t>
      </w:r>
    </w:p>
    <w:p w14:paraId="23C26672" w14:textId="7FB2868C" w:rsidR="00AC14E6" w:rsidRPr="00AC14E6" w:rsidRDefault="00AC14E6" w:rsidP="003C6609">
      <w:pPr>
        <w:numPr>
          <w:ilvl w:val="0"/>
          <w:numId w:val="2"/>
        </w:numPr>
        <w:spacing w:after="120" w:line="360" w:lineRule="auto"/>
        <w:ind w:left="714" w:hanging="357"/>
        <w:rPr>
          <w:rFonts w:ascii="Verdana" w:hAnsi="Verdana"/>
        </w:rPr>
      </w:pPr>
      <w:r w:rsidRPr="00AC14E6">
        <w:rPr>
          <w:rFonts w:ascii="Verdana" w:hAnsi="Verdana"/>
        </w:rPr>
        <w:t>Immigration Act 1971 </w:t>
      </w:r>
    </w:p>
    <w:p w14:paraId="732A2354" w14:textId="77777777" w:rsidR="00697C10" w:rsidRPr="00697C10" w:rsidRDefault="00697C10" w:rsidP="00697C10">
      <w:pPr>
        <w:ind w:left="360"/>
        <w:jc w:val="center"/>
      </w:pPr>
    </w:p>
    <w:p w14:paraId="6C34269D" w14:textId="77777777" w:rsidR="00697C10" w:rsidRPr="00697C10" w:rsidRDefault="00697C10" w:rsidP="00697C10">
      <w:pPr>
        <w:ind w:left="360"/>
        <w:jc w:val="center"/>
      </w:pPr>
    </w:p>
    <w:p w14:paraId="382FA77A" w14:textId="77777777" w:rsidR="00697C10" w:rsidRPr="00697C10" w:rsidRDefault="00697C10" w:rsidP="00697C10">
      <w:pPr>
        <w:ind w:left="360"/>
        <w:jc w:val="center"/>
      </w:pPr>
    </w:p>
    <w:p w14:paraId="186FD6FA" w14:textId="77777777" w:rsidR="00697C10" w:rsidRDefault="00697C10" w:rsidP="00697C10">
      <w:pPr>
        <w:ind w:left="360"/>
        <w:jc w:val="center"/>
      </w:pPr>
    </w:p>
    <w:p w14:paraId="0D9167AB" w14:textId="2F689B14" w:rsidR="00EC70B6" w:rsidRDefault="00EC70B6">
      <w:pPr>
        <w:spacing w:after="160" w:line="259" w:lineRule="auto"/>
      </w:pPr>
      <w:r>
        <w:br w:type="page"/>
      </w:r>
    </w:p>
    <w:p w14:paraId="5B120855" w14:textId="77777777" w:rsidR="003C6609" w:rsidRDefault="003C6609" w:rsidP="00697C10">
      <w:pPr>
        <w:ind w:left="360"/>
        <w:jc w:val="center"/>
      </w:pPr>
    </w:p>
    <w:p w14:paraId="7FD6596D" w14:textId="77777777" w:rsidR="003C6609" w:rsidRDefault="003C6609" w:rsidP="00697C10">
      <w:pPr>
        <w:ind w:left="360"/>
        <w:jc w:val="center"/>
      </w:pPr>
    </w:p>
    <w:p w14:paraId="53FC9D08" w14:textId="77777777" w:rsidR="003C6609" w:rsidRDefault="003C6609" w:rsidP="00697C10">
      <w:pPr>
        <w:ind w:left="360"/>
        <w:jc w:val="center"/>
      </w:pPr>
    </w:p>
    <w:p w14:paraId="1A126923" w14:textId="77777777" w:rsidR="003C6609" w:rsidRPr="00697C10" w:rsidRDefault="003C6609" w:rsidP="00697C10">
      <w:pPr>
        <w:ind w:left="360"/>
        <w:jc w:val="center"/>
      </w:pPr>
    </w:p>
    <w:p w14:paraId="4AED30B9" w14:textId="77777777" w:rsidR="00697C10" w:rsidRPr="00697C10" w:rsidRDefault="00697C10" w:rsidP="00697C10">
      <w:pPr>
        <w:ind w:left="360"/>
        <w:jc w:val="center"/>
      </w:pPr>
    </w:p>
    <w:p w14:paraId="6D17E7A5" w14:textId="0D5EE549" w:rsidR="00697C10" w:rsidRPr="00387C3F" w:rsidRDefault="00697C10" w:rsidP="00697C10">
      <w:pPr>
        <w:ind w:left="360"/>
        <w:jc w:val="center"/>
      </w:pPr>
      <w:r w:rsidRPr="00697C10">
        <w:rPr>
          <w:rFonts w:cs="Arial"/>
          <w:b/>
          <w:bCs/>
          <w:color w:val="77328A"/>
          <w:sz w:val="36"/>
          <w:szCs w:val="36"/>
        </w:rPr>
        <w:t xml:space="preserve">Contact </w:t>
      </w:r>
      <w:proofErr w:type="gramStart"/>
      <w:r w:rsidRPr="00697C10">
        <w:rPr>
          <w:rFonts w:cs="Arial"/>
          <w:b/>
          <w:bCs/>
          <w:color w:val="77328A"/>
          <w:sz w:val="36"/>
          <w:szCs w:val="36"/>
        </w:rPr>
        <w:t>us</w:t>
      </w:r>
      <w:proofErr w:type="gramEnd"/>
    </w:p>
    <w:p w14:paraId="491E9542" w14:textId="77777777" w:rsidR="00697C10" w:rsidRPr="00387C3F" w:rsidRDefault="00697C10" w:rsidP="00697C10">
      <w:pPr>
        <w:pStyle w:val="BasicParagraph"/>
        <w:suppressAutoHyphens/>
        <w:ind w:left="360"/>
        <w:jc w:val="center"/>
        <w:rPr>
          <w:rFonts w:ascii="Verdana" w:hAnsi="Verdana" w:cs="Arial"/>
          <w:b/>
          <w:color w:val="77328A"/>
          <w:sz w:val="36"/>
          <w:szCs w:val="36"/>
        </w:rPr>
      </w:pPr>
    </w:p>
    <w:p w14:paraId="3550E99B" w14:textId="0E9108B8" w:rsidR="00697C10" w:rsidRPr="00697C10" w:rsidRDefault="00697C10" w:rsidP="00697C10">
      <w:pPr>
        <w:ind w:left="360"/>
        <w:jc w:val="center"/>
        <w:rPr>
          <w:rFonts w:cs="Arial"/>
          <w:b/>
          <w:color w:val="232120"/>
          <w:sz w:val="30"/>
          <w:szCs w:val="30"/>
        </w:rPr>
      </w:pPr>
      <w:r w:rsidRPr="00697C10">
        <w:rPr>
          <w:rFonts w:cs="Arial"/>
          <w:b/>
          <w:color w:val="232120"/>
          <w:sz w:val="30"/>
          <w:szCs w:val="30"/>
        </w:rPr>
        <w:t xml:space="preserve">Please send any queries to </w:t>
      </w:r>
      <w:hyperlink r:id="rId12" w:history="1">
        <w:r w:rsidRPr="00697C10">
          <w:rPr>
            <w:rStyle w:val="Hyperlink"/>
            <w:rFonts w:cs="Arial"/>
            <w:b/>
            <w:sz w:val="30"/>
            <w:szCs w:val="30"/>
          </w:rPr>
          <w:t>Eilis.Haughey@nihrc.org</w:t>
        </w:r>
      </w:hyperlink>
      <w:r w:rsidRPr="00697C10">
        <w:rPr>
          <w:rFonts w:cs="Arial"/>
          <w:b/>
          <w:color w:val="232120"/>
          <w:sz w:val="30"/>
          <w:szCs w:val="30"/>
        </w:rPr>
        <w:t xml:space="preserve"> </w:t>
      </w:r>
    </w:p>
    <w:p w14:paraId="7C1EB6F9" w14:textId="77777777" w:rsidR="00697C10" w:rsidRPr="00697C10" w:rsidRDefault="00697C10" w:rsidP="00697C10">
      <w:pPr>
        <w:ind w:left="360"/>
        <w:rPr>
          <w:rFonts w:cs="Arial"/>
          <w:b/>
          <w:color w:val="232120"/>
          <w:sz w:val="30"/>
          <w:szCs w:val="30"/>
        </w:rPr>
      </w:pPr>
    </w:p>
    <w:p w14:paraId="415E5C3A" w14:textId="77777777" w:rsidR="00697C10" w:rsidRPr="00697C10" w:rsidRDefault="00697C10" w:rsidP="00697C10">
      <w:pPr>
        <w:ind w:left="360"/>
        <w:jc w:val="center"/>
        <w:rPr>
          <w:rFonts w:cs="Arial"/>
          <w:b/>
          <w:color w:val="232120"/>
          <w:sz w:val="30"/>
          <w:szCs w:val="30"/>
        </w:rPr>
      </w:pPr>
    </w:p>
    <w:p w14:paraId="5C04FAF4" w14:textId="77777777" w:rsidR="00697C10" w:rsidRPr="00697C10" w:rsidRDefault="00697C10" w:rsidP="00697C10">
      <w:pPr>
        <w:ind w:left="360"/>
        <w:jc w:val="center"/>
        <w:rPr>
          <w:rFonts w:cs="Arial"/>
          <w:b/>
          <w:color w:val="232120"/>
          <w:sz w:val="30"/>
          <w:szCs w:val="30"/>
        </w:rPr>
      </w:pPr>
    </w:p>
    <w:p w14:paraId="461C5355" w14:textId="77777777" w:rsidR="00697C10" w:rsidRPr="00697C10" w:rsidRDefault="00000000" w:rsidP="00697C10">
      <w:pPr>
        <w:ind w:left="360"/>
        <w:jc w:val="center"/>
        <w:rPr>
          <w:rFonts w:cs="Arial"/>
          <w:color w:val="232120"/>
          <w:sz w:val="28"/>
          <w:szCs w:val="28"/>
        </w:rPr>
      </w:pPr>
      <w:hyperlink r:id="rId13" w:history="1">
        <w:r w:rsidR="00697C10" w:rsidRPr="00697C10">
          <w:rPr>
            <w:rStyle w:val="Hyperlink"/>
            <w:rFonts w:cs="Arial"/>
            <w:color w:val="232120"/>
            <w:sz w:val="28"/>
            <w:szCs w:val="28"/>
            <w:lang w:val="en-US"/>
          </w:rPr>
          <w:t>www.nihrc.org</w:t>
        </w:r>
      </w:hyperlink>
      <w:r w:rsidR="00697C10" w:rsidRPr="00697C10">
        <w:rPr>
          <w:rFonts w:cs="Arial"/>
          <w:color w:val="232120"/>
          <w:sz w:val="28"/>
          <w:szCs w:val="28"/>
          <w:lang w:val="en-US"/>
        </w:rPr>
        <w:t xml:space="preserve">  |  </w:t>
      </w:r>
      <w:hyperlink r:id="rId14" w:history="1">
        <w:r w:rsidR="00697C10" w:rsidRPr="00697C10">
          <w:rPr>
            <w:rStyle w:val="Hyperlink"/>
            <w:rFonts w:cs="Arial"/>
            <w:color w:val="232120"/>
            <w:sz w:val="28"/>
            <w:szCs w:val="28"/>
            <w:lang w:val="en-US"/>
          </w:rPr>
          <w:t>info@nihrc.org</w:t>
        </w:r>
      </w:hyperlink>
      <w:r w:rsidR="00697C10" w:rsidRPr="00697C10">
        <w:rPr>
          <w:rFonts w:cs="Arial"/>
          <w:color w:val="232120"/>
          <w:sz w:val="28"/>
          <w:szCs w:val="28"/>
          <w:lang w:val="en-US"/>
        </w:rPr>
        <w:t xml:space="preserve">  |  +44 (0)28 9024 3987</w:t>
      </w:r>
    </w:p>
    <w:p w14:paraId="47B5C4E9" w14:textId="77777777" w:rsidR="00697C10" w:rsidRPr="00697C10" w:rsidRDefault="00697C10" w:rsidP="00697C10">
      <w:pPr>
        <w:ind w:left="360"/>
        <w:jc w:val="center"/>
        <w:rPr>
          <w:rFonts w:cs="Arial"/>
          <w:color w:val="232120"/>
          <w:sz w:val="28"/>
          <w:szCs w:val="28"/>
        </w:rPr>
      </w:pPr>
      <w:r w:rsidRPr="00697C10">
        <w:rPr>
          <w:rFonts w:cs="Arial"/>
          <w:color w:val="232120"/>
          <w:sz w:val="28"/>
          <w:szCs w:val="28"/>
          <w:lang w:val="en-US"/>
        </w:rPr>
        <w:t>4</w:t>
      </w:r>
      <w:r w:rsidRPr="00697C10">
        <w:rPr>
          <w:rFonts w:cs="Arial"/>
          <w:color w:val="232120"/>
          <w:sz w:val="28"/>
          <w:szCs w:val="28"/>
          <w:vertAlign w:val="superscript"/>
          <w:lang w:val="en-US"/>
        </w:rPr>
        <w:t>th</w:t>
      </w:r>
      <w:r w:rsidRPr="00697C10">
        <w:rPr>
          <w:rFonts w:cs="Arial"/>
          <w:color w:val="232120"/>
          <w:sz w:val="28"/>
          <w:szCs w:val="28"/>
          <w:lang w:val="en-US"/>
        </w:rPr>
        <w:t xml:space="preserve"> Floor, Alfred House, 19-21 Alfred Street, Belfast, BT2 8ED</w:t>
      </w:r>
    </w:p>
    <w:p w14:paraId="2350011A" w14:textId="77777777" w:rsidR="00697C10" w:rsidRPr="00697C10" w:rsidRDefault="00697C10" w:rsidP="00697C10">
      <w:pPr>
        <w:ind w:left="360"/>
        <w:jc w:val="center"/>
        <w:rPr>
          <w:rFonts w:cs="Arial"/>
          <w:b/>
          <w:color w:val="232120"/>
          <w:sz w:val="28"/>
          <w:szCs w:val="28"/>
        </w:rPr>
      </w:pPr>
    </w:p>
    <w:p w14:paraId="4F470FD8" w14:textId="77777777" w:rsidR="00697C10" w:rsidRPr="00697C10" w:rsidRDefault="00697C10" w:rsidP="00697C10">
      <w:pPr>
        <w:ind w:left="360"/>
        <w:jc w:val="center"/>
        <w:rPr>
          <w:rFonts w:cs="Arial"/>
          <w:color w:val="232120"/>
          <w:sz w:val="20"/>
          <w:szCs w:val="20"/>
        </w:rPr>
      </w:pPr>
    </w:p>
    <w:p w14:paraId="7437C3A8" w14:textId="77777777" w:rsidR="00697C10" w:rsidRPr="00387C3F" w:rsidRDefault="00697C10" w:rsidP="00697C10">
      <w:pPr>
        <w:pStyle w:val="BasicParagraph"/>
        <w:suppressAutoHyphens/>
        <w:spacing w:line="240" w:lineRule="auto"/>
        <w:ind w:left="360"/>
        <w:jc w:val="center"/>
        <w:rPr>
          <w:rFonts w:ascii="Verdana" w:hAnsi="Verdana" w:cs="Arial"/>
          <w:color w:val="232120"/>
          <w:sz w:val="28"/>
          <w:szCs w:val="28"/>
        </w:rPr>
      </w:pPr>
      <w:r w:rsidRPr="00387C3F">
        <w:rPr>
          <w:rFonts w:ascii="Verdana" w:hAnsi="Verdana" w:cs="Arial"/>
          <w:noProof/>
          <w:color w:val="232120"/>
          <w:sz w:val="28"/>
          <w:szCs w:val="28"/>
          <w:lang w:eastAsia="en-GB"/>
        </w:rPr>
        <w:drawing>
          <wp:inline distT="0" distB="0" distL="0" distR="0" wp14:anchorId="0958CF72" wp14:editId="2F1AFDEA">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1A59FD58" w14:textId="77777777" w:rsidR="00697C10" w:rsidRPr="00697C10" w:rsidRDefault="00697C10" w:rsidP="00697C10">
      <w:pPr>
        <w:spacing w:line="240" w:lineRule="auto"/>
        <w:ind w:left="360"/>
        <w:rPr>
          <w:rFonts w:cs="Times New Roman"/>
          <w:sz w:val="20"/>
          <w:szCs w:val="20"/>
        </w:rPr>
      </w:pPr>
    </w:p>
    <w:p w14:paraId="384D2960" w14:textId="77777777" w:rsidR="00AC14E6" w:rsidRPr="001A2CBE" w:rsidRDefault="00AC14E6" w:rsidP="00697C10">
      <w:pPr>
        <w:spacing w:line="360" w:lineRule="auto"/>
        <w:rPr>
          <w:rFonts w:ascii="Verdana" w:hAnsi="Verdana"/>
        </w:rPr>
      </w:pPr>
    </w:p>
    <w:sectPr w:rsidR="00AC14E6" w:rsidRPr="001A2CBE" w:rsidSect="00F636E9">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A786" w14:textId="77777777" w:rsidR="0068597E" w:rsidRDefault="0068597E" w:rsidP="00B7736B">
      <w:pPr>
        <w:spacing w:after="0" w:line="240" w:lineRule="auto"/>
      </w:pPr>
      <w:r>
        <w:separator/>
      </w:r>
    </w:p>
  </w:endnote>
  <w:endnote w:type="continuationSeparator" w:id="0">
    <w:p w14:paraId="25D854EF" w14:textId="77777777" w:rsidR="0068597E" w:rsidRDefault="0068597E" w:rsidP="00B7736B">
      <w:pPr>
        <w:spacing w:after="0" w:line="240" w:lineRule="auto"/>
      </w:pPr>
      <w:r>
        <w:continuationSeparator/>
      </w:r>
    </w:p>
  </w:endnote>
  <w:endnote w:type="continuationNotice" w:id="1">
    <w:p w14:paraId="4B2DC11D" w14:textId="77777777" w:rsidR="0068597E" w:rsidRDefault="0068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050686"/>
      <w:docPartObj>
        <w:docPartGallery w:val="Page Numbers (Bottom of Page)"/>
        <w:docPartUnique/>
      </w:docPartObj>
    </w:sdtPr>
    <w:sdtEndPr>
      <w:rPr>
        <w:noProof/>
      </w:rPr>
    </w:sdtEndPr>
    <w:sdtContent>
      <w:p w14:paraId="6BE3FAE5" w14:textId="68935D47" w:rsidR="006D5BDD" w:rsidRDefault="006D5B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E052A" w14:textId="77777777" w:rsidR="006D5BDD" w:rsidRDefault="006D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D541" w14:textId="77777777" w:rsidR="0068597E" w:rsidRDefault="0068597E" w:rsidP="00B7736B">
      <w:pPr>
        <w:spacing w:after="0" w:line="240" w:lineRule="auto"/>
      </w:pPr>
      <w:r>
        <w:separator/>
      </w:r>
    </w:p>
  </w:footnote>
  <w:footnote w:type="continuationSeparator" w:id="0">
    <w:p w14:paraId="049E5C8F" w14:textId="77777777" w:rsidR="0068597E" w:rsidRDefault="0068597E" w:rsidP="00B7736B">
      <w:pPr>
        <w:spacing w:after="0" w:line="240" w:lineRule="auto"/>
      </w:pPr>
      <w:r>
        <w:continuationSeparator/>
      </w:r>
    </w:p>
  </w:footnote>
  <w:footnote w:type="continuationNotice" w:id="1">
    <w:p w14:paraId="34D3C9F8" w14:textId="77777777" w:rsidR="0068597E" w:rsidRDefault="0068597E">
      <w:pPr>
        <w:spacing w:after="0" w:line="240" w:lineRule="auto"/>
      </w:pPr>
    </w:p>
  </w:footnote>
  <w:footnote w:id="2">
    <w:p w14:paraId="1A1AE08C" w14:textId="1E4B8D31" w:rsidR="0000315D" w:rsidRPr="00D64F63" w:rsidRDefault="0000315D"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The Windsor Framework was formerly known as the Protocol on Ireland/Northern Ireland to the </w:t>
      </w:r>
      <w:r w:rsidRPr="00D64F63">
        <w:rPr>
          <w:rFonts w:ascii="Verdana" w:hAnsi="Verdana"/>
          <w:color w:val="77328A"/>
          <w:sz w:val="16"/>
          <w:szCs w:val="16"/>
          <w:shd w:val="clear" w:color="auto" w:fill="FFFFFF"/>
        </w:rPr>
        <w:t>Agreement on the withdrawal of the United Kingdom of Great Britain and Northern Ireland from the European Union and the European Atomic Energy Community</w:t>
      </w:r>
      <w:r w:rsidRPr="00D64F63">
        <w:rPr>
          <w:rFonts w:ascii="Verdana" w:hAnsi="Verdana"/>
          <w:color w:val="77328A"/>
          <w:sz w:val="16"/>
          <w:szCs w:val="16"/>
        </w:rPr>
        <w:t>. All references to the Protocol in this document have been updated to reflect the revised nomenclature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493A480A" w14:textId="34177E53" w:rsidR="00045450" w:rsidRPr="00D64F63" w:rsidRDefault="00045450" w:rsidP="00D64F63">
      <w:pPr>
        <w:spacing w:after="0" w:line="240" w:lineRule="auto"/>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Alison Harvey, </w:t>
      </w:r>
      <w:r w:rsidR="00C015C9">
        <w:rPr>
          <w:rFonts w:ascii="Verdana" w:hAnsi="Verdana"/>
          <w:color w:val="77328A"/>
          <w:sz w:val="16"/>
          <w:szCs w:val="16"/>
        </w:rPr>
        <w:t>‘</w:t>
      </w:r>
      <w:r w:rsidR="00A71E04" w:rsidRPr="00D64F63">
        <w:rPr>
          <w:rFonts w:ascii="Verdana" w:hAnsi="Verdana"/>
          <w:color w:val="77328A"/>
          <w:sz w:val="16"/>
          <w:szCs w:val="16"/>
        </w:rPr>
        <w:t>Article 2 of the Windsor Framework and the rights of refugees and persons seeking asylum</w:t>
      </w:r>
      <w:r w:rsidR="002A2B98">
        <w:rPr>
          <w:rFonts w:ascii="Verdana" w:hAnsi="Verdana"/>
          <w:color w:val="77328A"/>
          <w:sz w:val="16"/>
          <w:szCs w:val="16"/>
        </w:rPr>
        <w:t>’</w:t>
      </w:r>
      <w:r w:rsidR="00A71E04" w:rsidRPr="00D64F63">
        <w:rPr>
          <w:rFonts w:ascii="Verdana" w:hAnsi="Verdana"/>
          <w:color w:val="77328A"/>
          <w:sz w:val="16"/>
          <w:szCs w:val="16"/>
        </w:rPr>
        <w:t xml:space="preserve"> </w:t>
      </w:r>
      <w:r w:rsidRPr="00D64F63">
        <w:rPr>
          <w:rFonts w:ascii="Verdana" w:hAnsi="Verdana"/>
          <w:color w:val="77328A"/>
          <w:sz w:val="16"/>
          <w:szCs w:val="16"/>
        </w:rPr>
        <w:t>(NIHRC, 2023)</w:t>
      </w:r>
    </w:p>
  </w:footnote>
  <w:footnote w:id="4">
    <w:p w14:paraId="1B2E55F3" w14:textId="77777777" w:rsidR="00FF2B83" w:rsidRPr="00D64F63" w:rsidRDefault="00FF2B83"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5">
    <w:p w14:paraId="2C5B45E1" w14:textId="77777777" w:rsidR="001D5898" w:rsidRPr="00D64F63" w:rsidRDefault="001D5898" w:rsidP="00D64F63">
      <w:pPr>
        <w:pStyle w:val="FootnoteText"/>
        <w:rPr>
          <w:rFonts w:ascii="Verdana" w:hAnsi="Verdana" w:cstheme="minorHAnsi"/>
          <w:color w:val="77328A"/>
          <w:sz w:val="16"/>
          <w:szCs w:val="16"/>
        </w:rPr>
      </w:pPr>
      <w:r w:rsidRPr="00D64F63">
        <w:rPr>
          <w:rStyle w:val="FootnoteReference"/>
          <w:rFonts w:ascii="Verdana" w:hAnsi="Verdana" w:cstheme="minorHAnsi"/>
          <w:color w:val="77328A"/>
          <w:sz w:val="16"/>
          <w:szCs w:val="16"/>
        </w:rPr>
        <w:footnoteRef/>
      </w:r>
      <w:r w:rsidRPr="00D64F63">
        <w:rPr>
          <w:rFonts w:ascii="Verdana" w:hAnsi="Verdana" w:cstheme="minorHAnsi"/>
          <w:color w:val="77328A"/>
          <w:sz w:val="16"/>
          <w:szCs w:val="16"/>
        </w:rPr>
        <w:t xml:space="preserve"> NI Office, ‘</w:t>
      </w:r>
      <w:hyperlink r:id="rId1" w:history="1">
        <w:r w:rsidRPr="00D64F63">
          <w:rPr>
            <w:rStyle w:val="Hyperlink"/>
            <w:rFonts w:ascii="Verdana" w:hAnsi="Verdana" w:cstheme="minorHAnsi"/>
            <w:color w:val="77328A"/>
            <w:sz w:val="16"/>
            <w:szCs w:val="16"/>
          </w:rPr>
          <w:t>UK Government Commitment</w:t>
        </w:r>
      </w:hyperlink>
      <w:r w:rsidRPr="00D64F63">
        <w:rPr>
          <w:rFonts w:ascii="Verdana" w:hAnsi="Verdana" w:cstheme="minorHAnsi"/>
          <w:color w:val="77328A"/>
          <w:sz w:val="16"/>
          <w:szCs w:val="16"/>
        </w:rPr>
        <w:t xml:space="preserve"> to “No Diminution of Rights, Safeguards and Equality of Opportunity” in Northern Ireland: What does it Mean and How will it be Implemented?’ (NIO, 2020), at para 12.</w:t>
      </w:r>
    </w:p>
  </w:footnote>
  <w:footnote w:id="6">
    <w:p w14:paraId="2FF66A8F"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2" w:history="1">
        <w:r w:rsidRPr="000F19EE">
          <w:rPr>
            <w:rFonts w:ascii="Verdana" w:hAnsi="Verdana"/>
          </w:rPr>
          <w:t>Directive 2000/43/EC</w:t>
        </w:r>
      </w:hyperlink>
      <w:r w:rsidRPr="000F19EE">
        <w:rPr>
          <w:rFonts w:ascii="Verdana" w:hAnsi="Verdana"/>
        </w:rPr>
        <w:t>, ‘Council Directive on Implementing the Principle of Equal Treatment between Persons Irrespective of Racial or Ethnic Origin’, 29 June 2000.</w:t>
      </w:r>
    </w:p>
  </w:footnote>
  <w:footnote w:id="7">
    <w:p w14:paraId="1B62AEBE"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3" w:history="1">
        <w:r w:rsidRPr="000F19EE">
          <w:rPr>
            <w:rFonts w:ascii="Verdana" w:hAnsi="Verdana"/>
          </w:rPr>
          <w:t>Directive 2000/78/EC</w:t>
        </w:r>
      </w:hyperlink>
      <w:r w:rsidRPr="000F19EE">
        <w:rPr>
          <w:rFonts w:ascii="Verdana" w:hAnsi="Verdana"/>
        </w:rPr>
        <w:t>,  ‘Council Directive on Establishing a General Framework for Equal Treatment in Employment and Occupation’, 27 November 2000.</w:t>
      </w:r>
    </w:p>
  </w:footnote>
  <w:footnote w:id="8">
    <w:p w14:paraId="33D66ABE"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4" w:history="1">
        <w:r w:rsidRPr="000F19EE">
          <w:rPr>
            <w:rFonts w:ascii="Verdana" w:hAnsi="Verdana"/>
          </w:rPr>
          <w:t>Directive 2004/113/EC</w:t>
        </w:r>
      </w:hyperlink>
      <w:r w:rsidRPr="000F19EE">
        <w:rPr>
          <w:rFonts w:ascii="Verdana" w:hAnsi="Verdana"/>
        </w:rPr>
        <w:t>, ‘Council Directive on Implementing the Principle of Equal Treatment between Men and Women in the access to and supply of goods and Services’, 13 December 2004.</w:t>
      </w:r>
    </w:p>
  </w:footnote>
  <w:footnote w:id="9">
    <w:p w14:paraId="43C9CBF2"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5" w:history="1">
        <w:r w:rsidRPr="000F19EE">
          <w:rPr>
            <w:rFonts w:ascii="Verdana" w:hAnsi="Verdana"/>
          </w:rPr>
          <w:t>Directive 2006/54/EC</w:t>
        </w:r>
      </w:hyperlink>
      <w:r w:rsidRPr="000F19EE">
        <w:rPr>
          <w:rFonts w:ascii="Verdana" w:hAnsi="Verdana"/>
        </w:rPr>
        <w:t>, ‘Directive of European Parliament and of the Council on the Implementation of the Principle of Equal Opportunities and Equal Treatment of Men and Women in Matters of Employment and Occupation (Recast)’, 5 July 2006.</w:t>
      </w:r>
    </w:p>
  </w:footnote>
  <w:footnote w:id="10">
    <w:p w14:paraId="2FA1E359"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6" w:history="1">
        <w:r w:rsidRPr="000F19EE">
          <w:rPr>
            <w:rFonts w:ascii="Verdana" w:hAnsi="Verdana"/>
          </w:rPr>
          <w:t>Directive 2010/41/EU</w:t>
        </w:r>
      </w:hyperlink>
      <w:r w:rsidRPr="000F19EE">
        <w:rPr>
          <w:rFonts w:ascii="Verdana" w:hAnsi="Verdana"/>
        </w:rPr>
        <w:t>,  ‘Directive of the European Parliament and of the Council on the Application of the Principle of Equal Treatment between Men and Women Engaged in an Activity in a Self-employed Capacity’, 7 July 2010.</w:t>
      </w:r>
    </w:p>
  </w:footnote>
  <w:footnote w:id="11">
    <w:p w14:paraId="709B9E67" w14:textId="77777777" w:rsidR="0037372E" w:rsidRPr="000F19EE" w:rsidRDefault="0037372E" w:rsidP="0037372E">
      <w:pPr>
        <w:pStyle w:val="Footnote"/>
        <w:rPr>
          <w:rFonts w:ascii="Verdana" w:hAnsi="Verdana"/>
        </w:rPr>
      </w:pPr>
      <w:r w:rsidRPr="000F19EE">
        <w:rPr>
          <w:rFonts w:ascii="Verdana" w:hAnsi="Verdana"/>
          <w:vertAlign w:val="superscript"/>
        </w:rPr>
        <w:footnoteRef/>
      </w:r>
      <w:r w:rsidRPr="000F19EE">
        <w:rPr>
          <w:rFonts w:ascii="Verdana" w:hAnsi="Verdana"/>
        </w:rPr>
        <w:t xml:space="preserve"> </w:t>
      </w:r>
      <w:hyperlink r:id="rId7" w:history="1">
        <w:r w:rsidRPr="000F19EE">
          <w:rPr>
            <w:rFonts w:ascii="Verdana" w:hAnsi="Verdana"/>
          </w:rPr>
          <w:t>Directive 79/7/EEC</w:t>
        </w:r>
      </w:hyperlink>
      <w:r w:rsidRPr="000F19EE">
        <w:rPr>
          <w:rFonts w:ascii="Verdana" w:hAnsi="Verdana"/>
        </w:rPr>
        <w:t>, ‘Council Directive on the Progressive Implementation of the Principle of Equal Treatment for Men and Women in Matters of Social Security’, 19 December 1978.</w:t>
      </w:r>
    </w:p>
  </w:footnote>
  <w:footnote w:id="12">
    <w:p w14:paraId="119672AA" w14:textId="77777777" w:rsidR="00053324" w:rsidRPr="00D64F63" w:rsidRDefault="00053324"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Where UK law was out of alignment with EU law on 31 December 2020, the absence of a domestic implementing measure is not an insurmountable obstacle to demonstrating a diminution of rights contrary to Windsor Framework Article 2, provided the EU obligation existed and </w:t>
      </w:r>
      <w:r w:rsidRPr="00D64F63">
        <w:rPr>
          <w:rFonts w:ascii="Verdana" w:hAnsi="Verdana"/>
          <w:color w:val="77328A"/>
          <w:sz w:val="16"/>
          <w:szCs w:val="16"/>
        </w:rPr>
        <w:t xml:space="preserve">was capable of having direct effect on that date. </w:t>
      </w:r>
    </w:p>
  </w:footnote>
  <w:footnote w:id="13">
    <w:p w14:paraId="53B9AA6A" w14:textId="45DFAAEE" w:rsidR="00053324" w:rsidRPr="00D64F63" w:rsidRDefault="00053324" w:rsidP="00D64F63">
      <w:pPr>
        <w:pStyle w:val="FootnoteText"/>
        <w:rPr>
          <w:rFonts w:ascii="Verdana" w:hAnsi="Verdana"/>
          <w:color w:val="77328A"/>
          <w:sz w:val="16"/>
          <w:szCs w:val="16"/>
          <w:lang w:val="en-US"/>
        </w:rPr>
      </w:pPr>
      <w:r w:rsidRPr="00D64F63">
        <w:rPr>
          <w:rStyle w:val="FootnoteReference"/>
          <w:rFonts w:ascii="Verdana" w:hAnsi="Verdana"/>
          <w:color w:val="77328A"/>
          <w:sz w:val="16"/>
          <w:szCs w:val="16"/>
        </w:rPr>
        <w:footnoteRef/>
      </w:r>
      <w:r w:rsidRPr="00D64F63">
        <w:rPr>
          <w:rFonts w:ascii="Verdana" w:hAnsi="Verdana" w:cstheme="minorHAnsi"/>
          <w:color w:val="77328A"/>
          <w:sz w:val="16"/>
          <w:szCs w:val="16"/>
        </w:rPr>
        <w:t xml:space="preserve"> For more detail, see NI Human Rights Commission and Equality Commission for NI</w:t>
      </w:r>
      <w:r w:rsidRPr="00D64F63">
        <w:rPr>
          <w:rFonts w:ascii="Verdana" w:hAnsi="Verdana"/>
          <w:color w:val="77328A"/>
          <w:sz w:val="16"/>
          <w:szCs w:val="16"/>
          <w:lang w:val="en-US"/>
        </w:rPr>
        <w:t>, ‘</w:t>
      </w:r>
      <w:hyperlink r:id="rId8">
        <w:r w:rsidRPr="00D64F63">
          <w:rPr>
            <w:rStyle w:val="Hyperlink"/>
            <w:rFonts w:ascii="Verdana" w:hAnsi="Verdana"/>
            <w:color w:val="77328A"/>
            <w:sz w:val="16"/>
            <w:szCs w:val="16"/>
            <w:u w:val="none"/>
            <w:lang w:val="en-US"/>
          </w:rPr>
          <w:t>Working Paper: The Scope of</w:t>
        </w:r>
      </w:hyperlink>
      <w:r w:rsidRPr="00D64F63">
        <w:rPr>
          <w:rFonts w:ascii="Verdana" w:hAnsi="Verdana"/>
          <w:color w:val="77328A"/>
          <w:sz w:val="16"/>
          <w:szCs w:val="16"/>
          <w:lang w:val="en-US"/>
        </w:rPr>
        <w:t xml:space="preserve"> </w:t>
      </w:r>
      <w:hyperlink r:id="rId9">
        <w:r w:rsidRPr="00D64F63">
          <w:rPr>
            <w:rStyle w:val="Hyperlink"/>
            <w:rFonts w:ascii="Verdana" w:hAnsi="Verdana"/>
            <w:color w:val="77328A"/>
            <w:sz w:val="16"/>
            <w:szCs w:val="16"/>
            <w:u w:val="none"/>
            <w:lang w:val="en-US"/>
          </w:rPr>
          <w:t>Article 2(1) of the Ireland/Northern Ireland Protocol</w:t>
        </w:r>
      </w:hyperlink>
      <w:r w:rsidRPr="00D64F63">
        <w:rPr>
          <w:rStyle w:val="Hyperlink"/>
          <w:rFonts w:ascii="Verdana" w:hAnsi="Verdana"/>
          <w:color w:val="77328A"/>
          <w:sz w:val="16"/>
          <w:szCs w:val="16"/>
          <w:u w:val="none"/>
          <w:lang w:val="en-US"/>
        </w:rPr>
        <w:t>’</w:t>
      </w:r>
      <w:r w:rsidRPr="00D64F63">
        <w:rPr>
          <w:rFonts w:ascii="Verdana" w:hAnsi="Verdana"/>
          <w:color w:val="77328A"/>
          <w:sz w:val="16"/>
          <w:szCs w:val="16"/>
          <w:lang w:val="en-US"/>
        </w:rPr>
        <w:t>, (NIHRC and ECNI, 2022).</w:t>
      </w:r>
    </w:p>
  </w:footnote>
  <w:footnote w:id="14">
    <w:p w14:paraId="06680F8A" w14:textId="744A7D31" w:rsidR="00D93D2A" w:rsidRPr="00D64F63" w:rsidRDefault="00D93D2A" w:rsidP="00D64F63">
      <w:pPr>
        <w:pStyle w:val="FootnoteText"/>
        <w:rPr>
          <w:rFonts w:ascii="Verdana" w:hAnsi="Verdana" w:cstheme="minorHAnsi"/>
          <w:color w:val="77328A"/>
          <w:sz w:val="16"/>
          <w:szCs w:val="16"/>
        </w:rPr>
      </w:pPr>
      <w:r w:rsidRPr="00D64F63">
        <w:rPr>
          <w:rStyle w:val="FootnoteReference"/>
          <w:rFonts w:ascii="Verdana" w:hAnsi="Verdana"/>
          <w:color w:val="77328A"/>
          <w:sz w:val="16"/>
          <w:szCs w:val="16"/>
        </w:rPr>
        <w:footnoteRef/>
      </w:r>
      <w:r w:rsidRPr="00D64F63">
        <w:rPr>
          <w:rStyle w:val="FootnoteReference"/>
          <w:rFonts w:ascii="Verdana" w:hAnsi="Verdana"/>
          <w:color w:val="77328A"/>
          <w:sz w:val="16"/>
          <w:szCs w:val="16"/>
        </w:rPr>
        <w:t xml:space="preserve"> </w:t>
      </w:r>
      <w:r w:rsidR="001B5793" w:rsidRPr="00D64F63">
        <w:rPr>
          <w:rFonts w:ascii="Verdana" w:hAnsi="Verdana" w:cstheme="minorHAnsi"/>
          <w:i/>
          <w:iCs/>
          <w:color w:val="77328A"/>
          <w:sz w:val="16"/>
          <w:szCs w:val="16"/>
        </w:rPr>
        <w:t>Society for the Protection of the Unborn Child Pro-Life Ltd v Secretary of State for NI</w:t>
      </w:r>
      <w:r w:rsidR="001B5793" w:rsidRPr="00D64F63">
        <w:rPr>
          <w:rFonts w:ascii="Verdana" w:hAnsi="Verdana" w:cstheme="minorHAnsi"/>
          <w:color w:val="77328A"/>
          <w:sz w:val="16"/>
          <w:szCs w:val="16"/>
        </w:rPr>
        <w:t xml:space="preserve"> [2023] NICA 35, para 54</w:t>
      </w:r>
      <w:r w:rsidR="00881A8F">
        <w:rPr>
          <w:rFonts w:ascii="Verdana" w:hAnsi="Verdana" w:cstheme="minorHAnsi"/>
          <w:color w:val="77328A"/>
          <w:sz w:val="16"/>
          <w:szCs w:val="16"/>
        </w:rPr>
        <w:t>.</w:t>
      </w:r>
    </w:p>
  </w:footnote>
  <w:footnote w:id="15">
    <w:p w14:paraId="3D88B083" w14:textId="68B1AC05" w:rsidR="007A4DD0" w:rsidRPr="00D64F63" w:rsidRDefault="007A4DD0"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2E3941" w:rsidRPr="00D64F63">
        <w:rPr>
          <w:rStyle w:val="Hyperlink"/>
          <w:rFonts w:ascii="Verdana" w:hAnsi="Verdana"/>
          <w:color w:val="77328A"/>
          <w:sz w:val="16"/>
          <w:szCs w:val="16"/>
          <w:u w:val="none"/>
          <w:lang w:val="en-US"/>
        </w:rPr>
        <w:t xml:space="preserve">See, for example, </w:t>
      </w:r>
      <w:r w:rsidR="002E3941" w:rsidRPr="00D64F63">
        <w:rPr>
          <w:rStyle w:val="Hyperlink"/>
          <w:rFonts w:ascii="Verdana" w:hAnsi="Verdana"/>
          <w:i/>
          <w:iCs/>
          <w:color w:val="77328A"/>
          <w:sz w:val="16"/>
          <w:szCs w:val="16"/>
          <w:u w:val="none"/>
          <w:lang w:val="en-US"/>
        </w:rPr>
        <w:t>In the Matter of an Application by AA for Judicial Review</w:t>
      </w:r>
      <w:r w:rsidR="002E3941" w:rsidRPr="00D64F63">
        <w:rPr>
          <w:rStyle w:val="Hyperlink"/>
          <w:rFonts w:ascii="Verdana" w:hAnsi="Verdana"/>
          <w:color w:val="77328A"/>
          <w:sz w:val="16"/>
          <w:szCs w:val="16"/>
          <w:u w:val="none"/>
          <w:lang w:val="en-US"/>
        </w:rPr>
        <w:t xml:space="preserve"> [2023] NIKB</w:t>
      </w:r>
      <w:r w:rsidR="00881A8F">
        <w:rPr>
          <w:rStyle w:val="Hyperlink"/>
          <w:rFonts w:ascii="Verdana" w:hAnsi="Verdana"/>
          <w:color w:val="77328A"/>
          <w:sz w:val="16"/>
          <w:szCs w:val="16"/>
          <w:u w:val="none"/>
          <w:lang w:val="en-US"/>
        </w:rPr>
        <w:t>.</w:t>
      </w:r>
    </w:p>
  </w:footnote>
  <w:footnote w:id="16">
    <w:p w14:paraId="518EFD49" w14:textId="4502A354" w:rsidR="00AC3A10" w:rsidRPr="00D64F63" w:rsidRDefault="00AC3A10"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For more details see NI human Rights Commission</w:t>
      </w:r>
      <w:r w:rsidR="00881A8F">
        <w:rPr>
          <w:rFonts w:ascii="Verdana" w:hAnsi="Verdana"/>
          <w:color w:val="77328A"/>
          <w:sz w:val="16"/>
          <w:szCs w:val="16"/>
        </w:rPr>
        <w:t>, ‘</w:t>
      </w:r>
      <w:r w:rsidRPr="00D64F63">
        <w:rPr>
          <w:rFonts w:ascii="Verdana" w:hAnsi="Verdana"/>
          <w:color w:val="77328A"/>
          <w:sz w:val="16"/>
          <w:szCs w:val="16"/>
        </w:rPr>
        <w:t xml:space="preserve">Response to Public Consultation on Draft Refugee Integration Strategy’, </w:t>
      </w:r>
      <w:r w:rsidR="00881A8F">
        <w:rPr>
          <w:rFonts w:ascii="Verdana" w:hAnsi="Verdana"/>
          <w:color w:val="77328A"/>
          <w:sz w:val="16"/>
          <w:szCs w:val="16"/>
        </w:rPr>
        <w:t>(NIHRC,</w:t>
      </w:r>
      <w:r w:rsidRPr="00D64F63">
        <w:rPr>
          <w:rFonts w:ascii="Verdana" w:hAnsi="Verdana"/>
          <w:color w:val="77328A"/>
          <w:sz w:val="16"/>
          <w:szCs w:val="16"/>
        </w:rPr>
        <w:t xml:space="preserve"> 2022</w:t>
      </w:r>
      <w:r w:rsidR="00881A8F">
        <w:rPr>
          <w:rFonts w:ascii="Verdana" w:hAnsi="Verdana"/>
          <w:color w:val="77328A"/>
          <w:sz w:val="16"/>
          <w:szCs w:val="16"/>
        </w:rPr>
        <w:t>)</w:t>
      </w:r>
      <w:r w:rsidRPr="00D64F63">
        <w:rPr>
          <w:rFonts w:ascii="Verdana" w:hAnsi="Verdana"/>
          <w:color w:val="77328A"/>
          <w:sz w:val="16"/>
          <w:szCs w:val="16"/>
        </w:rPr>
        <w:t>.</w:t>
      </w:r>
    </w:p>
  </w:footnote>
  <w:footnote w:id="17">
    <w:p w14:paraId="7B24305A" w14:textId="67C9830F" w:rsidR="00667AE5" w:rsidRPr="00D64F63" w:rsidRDefault="00667AE5"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Alison Harvey, ‘Article 2 of the Windsor Framework and the rights of refugees and persons seeking asylum’ (NIHRC, 2023) at 9.</w:t>
      </w:r>
    </w:p>
  </w:footnote>
  <w:footnote w:id="18">
    <w:p w14:paraId="381BFBF0" w14:textId="56572862" w:rsidR="0033437E" w:rsidRPr="00D64F63" w:rsidRDefault="0033437E"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Article 31, UN Refugee Convention 1951.  </w:t>
      </w:r>
    </w:p>
  </w:footnote>
  <w:footnote w:id="19">
    <w:p w14:paraId="6E9AA3DE" w14:textId="524457A0" w:rsidR="00563581" w:rsidRPr="00D64F63" w:rsidRDefault="00563581"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2D43B9" w:rsidRPr="00D64F63">
        <w:rPr>
          <w:rFonts w:ascii="Verdana" w:hAnsi="Verdana"/>
          <w:color w:val="77328A"/>
          <w:sz w:val="16"/>
          <w:szCs w:val="16"/>
        </w:rPr>
        <w:t xml:space="preserve">CoE Parliamentary Assembly ‘Resolution 1509: Human Rights of Irregular Migrants’, 27 June 2006.  </w:t>
      </w:r>
    </w:p>
  </w:footnote>
  <w:footnote w:id="20">
    <w:p w14:paraId="7B5221B9" w14:textId="77777777" w:rsidR="009E67EB" w:rsidRPr="00D64F63" w:rsidRDefault="009E67EB" w:rsidP="00D64F63">
      <w:pPr>
        <w:pStyle w:val="FootnoteText"/>
        <w:rPr>
          <w:rFonts w:ascii="Verdana" w:hAnsi="Verdana" w:cstheme="minorHAnsi"/>
          <w:color w:val="77328A"/>
          <w:sz w:val="16"/>
          <w:szCs w:val="16"/>
        </w:rPr>
      </w:pPr>
      <w:r w:rsidRPr="00D64F63">
        <w:rPr>
          <w:rStyle w:val="FootnoteReference"/>
          <w:rFonts w:ascii="Verdana" w:hAnsi="Verdana" w:cstheme="minorHAnsi"/>
          <w:color w:val="77328A"/>
          <w:sz w:val="16"/>
          <w:szCs w:val="16"/>
        </w:rPr>
        <w:footnoteRef/>
      </w:r>
      <w:r w:rsidRPr="00D64F63">
        <w:rPr>
          <w:rFonts w:ascii="Verdana" w:hAnsi="Verdana" w:cstheme="minorHAnsi"/>
          <w:color w:val="77328A"/>
          <w:sz w:val="16"/>
          <w:szCs w:val="16"/>
        </w:rPr>
        <w:t xml:space="preserve"> NI Office, ‘UK Government Commitment to “No Diminution of Rights, Safeguards and Equality of Opportunity” in Northern Ireland: What does it Mean and How will it be Implemented?’ (NIO, 2020), at para 8.</w:t>
      </w:r>
    </w:p>
  </w:footnote>
  <w:footnote w:id="21">
    <w:p w14:paraId="5F7936CE" w14:textId="19D9BE6C" w:rsidR="000873D2" w:rsidRPr="00D64F63" w:rsidRDefault="000873D2" w:rsidP="00D64F63">
      <w:pPr>
        <w:pStyle w:val="NIHRCFootnotes"/>
      </w:pPr>
      <w:r w:rsidRPr="00D64F63">
        <w:rPr>
          <w:rStyle w:val="FootnoteReference"/>
        </w:rPr>
        <w:footnoteRef/>
      </w:r>
      <w:r w:rsidRPr="00D64F63">
        <w:t xml:space="preserve"> </w:t>
      </w:r>
      <w:r w:rsidRPr="00D64F63">
        <w:rPr>
          <w:i/>
        </w:rPr>
        <w:t xml:space="preserve">In the matter of an application by </w:t>
      </w:r>
      <w:r w:rsidR="00881A8F">
        <w:rPr>
          <w:i/>
        </w:rPr>
        <w:t>AA</w:t>
      </w:r>
      <w:r w:rsidRPr="00D64F63">
        <w:rPr>
          <w:i/>
        </w:rPr>
        <w:t xml:space="preserve"> for Judicial Review</w:t>
      </w:r>
      <w:r w:rsidRPr="00D64F63">
        <w:t xml:space="preserve"> </w:t>
      </w:r>
      <w:r w:rsidR="00881A8F">
        <w:t>[2023] NIKB.</w:t>
      </w:r>
    </w:p>
  </w:footnote>
  <w:footnote w:id="22">
    <w:p w14:paraId="3E21FC8C" w14:textId="5CE205AB" w:rsidR="003C4C4E" w:rsidRPr="00D64F63" w:rsidRDefault="003C4C4E" w:rsidP="00D64F63">
      <w:pPr>
        <w:pStyle w:val="NIHRCFootnotes"/>
        <w:rPr>
          <w:rFonts w:cstheme="minorHAnsi"/>
        </w:rPr>
      </w:pPr>
      <w:r w:rsidRPr="00D64F63">
        <w:rPr>
          <w:rStyle w:val="FootnoteReference"/>
          <w:rFonts w:cstheme="minorHAnsi"/>
        </w:rPr>
        <w:footnoteRef/>
      </w:r>
      <w:r w:rsidRPr="00D64F63">
        <w:rPr>
          <w:rFonts w:cstheme="minorHAnsi"/>
        </w:rPr>
        <w:t xml:space="preserve"> The UK Government has also recognised that the rights, safeguard and equality of opportunity protections in the Belfast (Good Friday) Agreement are not limited to the “affirmed in particular” rights. See paragraph 9 of the NI Office, ‘UK Government Commitment to “No Diminution of Rights, Safeguards and Equality of Opportunity” in </w:t>
      </w:r>
      <w:r w:rsidR="0087601D" w:rsidRPr="00D64F63">
        <w:rPr>
          <w:rFonts w:cstheme="minorHAnsi"/>
        </w:rPr>
        <w:t>0</w:t>
      </w:r>
      <w:r w:rsidRPr="00D64F63">
        <w:rPr>
          <w:rFonts w:cstheme="minorHAnsi"/>
        </w:rPr>
        <w:t>: What does it Mean and How will it be Implemented?’ (NIO, 2020).</w:t>
      </w:r>
    </w:p>
  </w:footnote>
  <w:footnote w:id="23">
    <w:p w14:paraId="2CEE8389" w14:textId="77777777" w:rsidR="00C52942" w:rsidRPr="00D64F63" w:rsidRDefault="00C52942" w:rsidP="00D64F63">
      <w:pPr>
        <w:pStyle w:val="NIHRCFootnotes"/>
        <w:rPr>
          <w:rFonts w:cstheme="minorHAnsi"/>
        </w:rPr>
      </w:pPr>
      <w:r w:rsidRPr="00D64F63">
        <w:rPr>
          <w:rStyle w:val="FootnoteReference"/>
          <w:rFonts w:cstheme="minorHAnsi"/>
        </w:rPr>
        <w:footnoteRef/>
      </w:r>
      <w:r w:rsidRPr="00D64F63">
        <w:rPr>
          <w:rFonts w:cstheme="minorHAnsi"/>
        </w:rPr>
        <w:t xml:space="preserve"> This relates to the scope of issues and EU law relevant to Article 2, rather than the question of whether Article 2 requires the UK to remain committed to the ECHR as considered in Social Change Initiative, ‘Human Rights and Equality in Northern Ireland under the Protocol – A Practical Guide’ (SCI, 2021); Christopher McCrudden, ‘Parliamentary Scrutiny of the Joint Committee and the Application of the Northern Ireland Protocol – Evidence to the House of Commons European Scrutiny Committee’ (ESC, 2020); and Sylvia De Mars, Aoife O’Donoghue, Colin Murray and Ben Warwick, ‘Commentary on the Protocol on Ireland/Northern Ireland in the Draft Withdrawal Agreement’ (2018).</w:t>
      </w:r>
    </w:p>
  </w:footnote>
  <w:footnote w:id="24">
    <w:p w14:paraId="5538DBC3" w14:textId="77777777" w:rsidR="00C52942" w:rsidRPr="00D64F63" w:rsidRDefault="00C52942" w:rsidP="00D64F63">
      <w:pPr>
        <w:pStyle w:val="NIHRCFootnotes"/>
        <w:rPr>
          <w:rFonts w:cstheme="minorHAnsi"/>
        </w:rPr>
      </w:pPr>
      <w:r w:rsidRPr="00D64F63">
        <w:rPr>
          <w:rStyle w:val="FootnoteReference"/>
          <w:rFonts w:cstheme="minorHAnsi"/>
        </w:rPr>
        <w:footnoteRef/>
      </w:r>
      <w:r w:rsidRPr="00D64F63">
        <w:rPr>
          <w:rFonts w:cstheme="minorHAnsi"/>
        </w:rPr>
        <w:t xml:space="preserve"> NI Office, ‘UK Government Commitment to “No Diminution of Rights, Safeguards and Equality of Opportunity” in Northern Ireland: What does it Mean and How will it be Implemented?’ (NIO, 2020), at para 3.</w:t>
      </w:r>
    </w:p>
  </w:footnote>
  <w:footnote w:id="25">
    <w:p w14:paraId="672BD232" w14:textId="5246EADC" w:rsidR="00235915" w:rsidRPr="00D64F63" w:rsidRDefault="00235915"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B322F8" w:rsidRPr="00D64F63">
        <w:rPr>
          <w:rFonts w:ascii="Verdana" w:hAnsi="Verdana"/>
          <w:color w:val="77328A"/>
          <w:sz w:val="16"/>
          <w:szCs w:val="16"/>
        </w:rPr>
        <w:t xml:space="preserve">NI Human Rights Commission and Equality Commission for NI, ‘Working Paper: The Scope of Article 2(1) of the Ireland/Northern Ireland Protocol’, (NIHRC and ECNI, 2022). </w:t>
      </w:r>
    </w:p>
  </w:footnote>
  <w:footnote w:id="26">
    <w:p w14:paraId="53998B58" w14:textId="4A08D351" w:rsidR="00F46A9F" w:rsidRPr="00D64F63" w:rsidRDefault="00F46A9F"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NI Human Rights Commission</w:t>
      </w:r>
      <w:r w:rsidR="00881A8F">
        <w:rPr>
          <w:rFonts w:ascii="Verdana" w:hAnsi="Verdana"/>
          <w:color w:val="77328A"/>
          <w:sz w:val="16"/>
          <w:szCs w:val="16"/>
        </w:rPr>
        <w:t xml:space="preserve"> </w:t>
      </w:r>
      <w:r w:rsidR="00881A8F" w:rsidRPr="00D64F63">
        <w:rPr>
          <w:rFonts w:ascii="Verdana" w:hAnsi="Verdana"/>
          <w:color w:val="77328A"/>
          <w:sz w:val="16"/>
          <w:szCs w:val="16"/>
        </w:rPr>
        <w:t>and Equality Commission for NI</w:t>
      </w:r>
      <w:r w:rsidRPr="00D64F63">
        <w:rPr>
          <w:rFonts w:ascii="Verdana" w:hAnsi="Verdana"/>
          <w:color w:val="77328A"/>
          <w:sz w:val="16"/>
          <w:szCs w:val="16"/>
        </w:rPr>
        <w:t xml:space="preserve">, ‘Table of EU Directives which underpin the Rights, Safeguards and Equality of Opportunity Provisions included in the Chapter of the Belfast (‘Good Friday’) Agreement of the same name and Implementing Domestic Legislation’, 22 February 2023. </w:t>
      </w:r>
    </w:p>
  </w:footnote>
  <w:footnote w:id="27">
    <w:p w14:paraId="675CC003" w14:textId="5B2EB7AF" w:rsidR="00AB521F" w:rsidRPr="00D64F63" w:rsidRDefault="00AB521F"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F413AF" w:rsidRPr="00D64F63">
        <w:rPr>
          <w:rFonts w:ascii="Verdana" w:hAnsi="Verdana"/>
          <w:color w:val="77328A"/>
          <w:sz w:val="16"/>
          <w:szCs w:val="16"/>
        </w:rPr>
        <w:t xml:space="preserve">Directive 2001/55/EC </w:t>
      </w:r>
      <w:r w:rsidR="00881A8F">
        <w:rPr>
          <w:rFonts w:ascii="Verdana" w:hAnsi="Verdana"/>
          <w:color w:val="77328A"/>
          <w:sz w:val="16"/>
          <w:szCs w:val="16"/>
        </w:rPr>
        <w:t>‘</w:t>
      </w:r>
      <w:r w:rsidR="00F413AF" w:rsidRPr="00D64F63">
        <w:rPr>
          <w:rFonts w:ascii="Verdana" w:hAnsi="Verdana"/>
          <w:color w:val="77328A"/>
          <w:sz w:val="16"/>
          <w:szCs w:val="16"/>
        </w:rPr>
        <w:t>Council Directive on minimum standards for giving temporary protection in the event of a mass influx of displaced persons</w:t>
      </w:r>
      <w:r w:rsidR="00881A8F">
        <w:rPr>
          <w:rFonts w:ascii="Verdana" w:hAnsi="Verdana"/>
          <w:color w:val="77328A"/>
          <w:sz w:val="16"/>
          <w:szCs w:val="16"/>
        </w:rPr>
        <w:t xml:space="preserve">’, </w:t>
      </w:r>
      <w:r w:rsidR="00881A8F" w:rsidRPr="00D64F63">
        <w:rPr>
          <w:rFonts w:ascii="Verdana" w:hAnsi="Verdana"/>
          <w:color w:val="77328A"/>
          <w:sz w:val="16"/>
          <w:szCs w:val="16"/>
        </w:rPr>
        <w:t>20 July 2001</w:t>
      </w:r>
      <w:r w:rsidR="00F413AF" w:rsidRPr="00D64F63">
        <w:rPr>
          <w:rFonts w:ascii="Verdana" w:hAnsi="Verdana"/>
          <w:color w:val="77328A"/>
          <w:sz w:val="16"/>
          <w:szCs w:val="16"/>
        </w:rPr>
        <w:t xml:space="preserve">. </w:t>
      </w:r>
    </w:p>
  </w:footnote>
  <w:footnote w:id="28">
    <w:p w14:paraId="0EA0735E" w14:textId="4A3B0656" w:rsidR="00AB521F" w:rsidRPr="00D64F63" w:rsidRDefault="00AB521F"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C95DFE" w:rsidRPr="00D64F63">
        <w:rPr>
          <w:rFonts w:ascii="Verdana" w:hAnsi="Verdana"/>
          <w:color w:val="77328A"/>
          <w:sz w:val="16"/>
          <w:szCs w:val="16"/>
        </w:rPr>
        <w:t>Directive 2003/9/EC, ‘Council Directive laying down minimum standards for the reception of asylum seekers’, 27 January 2003.</w:t>
      </w:r>
    </w:p>
  </w:footnote>
  <w:footnote w:id="29">
    <w:p w14:paraId="2B99E461" w14:textId="6BBABC96" w:rsidR="00AB521F" w:rsidRPr="00D64F63" w:rsidRDefault="00AB521F"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C95DFE" w:rsidRPr="00D64F63">
        <w:rPr>
          <w:rFonts w:ascii="Verdana" w:hAnsi="Verdana"/>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 29 April 2004.</w:t>
      </w:r>
    </w:p>
  </w:footnote>
  <w:footnote w:id="30">
    <w:p w14:paraId="44BD3E31" w14:textId="23D3AB87" w:rsidR="00AB521F" w:rsidRPr="00D64F63" w:rsidRDefault="00AB521F"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C95DFE" w:rsidRPr="00D64F63">
        <w:rPr>
          <w:rFonts w:ascii="Verdana" w:hAnsi="Verdana"/>
          <w:color w:val="77328A"/>
          <w:sz w:val="16"/>
          <w:szCs w:val="16"/>
        </w:rPr>
        <w:t>Directive 2005/85/EC, ‘Council Directive on minimum standards on procedures in Member States for granting and withdrawing refugee status’, 1 December 2005.</w:t>
      </w:r>
    </w:p>
  </w:footnote>
  <w:footnote w:id="31">
    <w:p w14:paraId="46CD0853" w14:textId="3A03ADCF" w:rsidR="00D4775D" w:rsidRPr="00D64F63" w:rsidRDefault="00D4775D"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Regulation 604/2013</w:t>
      </w:r>
      <w:r w:rsidR="00881A8F">
        <w:rPr>
          <w:rFonts w:ascii="Verdana" w:hAnsi="Verdana"/>
          <w:color w:val="77328A"/>
          <w:sz w:val="16"/>
          <w:szCs w:val="16"/>
        </w:rPr>
        <w:t>/EU ‘Regulation</w:t>
      </w:r>
      <w:r w:rsidRPr="00D64F63">
        <w:rPr>
          <w:rFonts w:ascii="Verdana" w:hAnsi="Verdana"/>
          <w:color w:val="77328A"/>
          <w:sz w:val="16"/>
          <w:szCs w:val="16"/>
        </w:rPr>
        <w:t xml:space="preserve"> of the European Parliament and of the Council establishing the criteria and mechanisms for determining the Member State responsible for examining an application for international protection lodged in one of the Member States by a third-country national or a stateless person (recast)</w:t>
      </w:r>
      <w:r w:rsidR="00881A8F">
        <w:rPr>
          <w:rFonts w:ascii="Verdana" w:hAnsi="Verdana"/>
          <w:color w:val="77328A"/>
          <w:sz w:val="16"/>
          <w:szCs w:val="16"/>
        </w:rPr>
        <w:t xml:space="preserve">’, </w:t>
      </w:r>
      <w:r w:rsidR="00881A8F" w:rsidRPr="00D64F63">
        <w:rPr>
          <w:rFonts w:ascii="Verdana" w:hAnsi="Verdana"/>
          <w:color w:val="77328A"/>
          <w:sz w:val="16"/>
          <w:szCs w:val="16"/>
        </w:rPr>
        <w:t>26 June 2013</w:t>
      </w:r>
      <w:r w:rsidR="00E17F2D" w:rsidRPr="00D64F63">
        <w:rPr>
          <w:rFonts w:ascii="Verdana" w:hAnsi="Verdana"/>
          <w:color w:val="77328A"/>
          <w:sz w:val="16"/>
          <w:szCs w:val="16"/>
        </w:rPr>
        <w:t>.</w:t>
      </w:r>
    </w:p>
  </w:footnote>
  <w:footnote w:id="32">
    <w:p w14:paraId="599B6248" w14:textId="54CA5224" w:rsidR="00C95DFE" w:rsidRPr="00D64F63" w:rsidRDefault="00C95DFE"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UN Refugee Convention 1951 and its 1967 Protocol. </w:t>
      </w:r>
    </w:p>
  </w:footnote>
  <w:footnote w:id="33">
    <w:p w14:paraId="18AD2BE7" w14:textId="05229BE9" w:rsidR="00B61A2E" w:rsidRPr="00D64F63" w:rsidRDefault="00B61A2E" w:rsidP="00D64F63">
      <w:pPr>
        <w:pStyle w:val="FootnoteText"/>
        <w:rPr>
          <w:rFonts w:ascii="Verdana" w:hAnsi="Verdana"/>
          <w:color w:val="77328A"/>
          <w:sz w:val="16"/>
          <w:szCs w:val="16"/>
        </w:rPr>
      </w:pPr>
      <w:r w:rsidRPr="007C31BD">
        <w:rPr>
          <w:rFonts w:ascii="Verdana" w:eastAsia="Verdana" w:hAnsi="Verdana" w:cs="Verdana"/>
          <w:color w:val="77328A"/>
          <w:sz w:val="16"/>
          <w:szCs w:val="16"/>
          <w:vertAlign w:val="superscript"/>
          <w:lang w:eastAsia="en-GB"/>
        </w:rPr>
        <w:footnoteRef/>
      </w:r>
      <w:r w:rsidRPr="007C31BD">
        <w:rPr>
          <w:rFonts w:ascii="Verdana" w:hAnsi="Verdana"/>
          <w:color w:val="77328A"/>
          <w:sz w:val="16"/>
          <w:szCs w:val="16"/>
          <w:vertAlign w:val="superscript"/>
        </w:rPr>
        <w:t xml:space="preserve"> </w:t>
      </w:r>
      <w:r w:rsidR="00882415" w:rsidRPr="00D64F63">
        <w:rPr>
          <w:rFonts w:ascii="Verdana" w:eastAsia="Verdana" w:hAnsi="Verdana" w:cs="Verdana"/>
          <w:i/>
          <w:iCs/>
          <w:color w:val="77328A"/>
          <w:sz w:val="16"/>
          <w:szCs w:val="16"/>
          <w:lang w:eastAsia="en-GB"/>
        </w:rPr>
        <w:t xml:space="preserve">In the Matter of an Application by AA for Judicial Review </w:t>
      </w:r>
      <w:r w:rsidR="00882415" w:rsidRPr="00D64F63">
        <w:rPr>
          <w:rFonts w:ascii="Verdana" w:eastAsia="Verdana" w:hAnsi="Verdana" w:cs="Verdana"/>
          <w:color w:val="77328A"/>
          <w:sz w:val="16"/>
          <w:szCs w:val="16"/>
          <w:lang w:eastAsia="en-GB"/>
        </w:rPr>
        <w:t>[2023] NIKB</w:t>
      </w:r>
    </w:p>
  </w:footnote>
  <w:footnote w:id="34">
    <w:p w14:paraId="09A1316D" w14:textId="1B8B2529" w:rsidR="006F1D76" w:rsidRPr="00D64F63" w:rsidRDefault="006F1D76" w:rsidP="00D64F63">
      <w:pPr>
        <w:spacing w:after="0" w:line="240" w:lineRule="auto"/>
        <w:rPr>
          <w:rFonts w:ascii="Verdana" w:hAnsi="Verdana" w:cs="Calibri"/>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Pr="00D64F63">
        <w:rPr>
          <w:rFonts w:ascii="Verdana" w:hAnsi="Verdana" w:cs="Calibri"/>
          <w:color w:val="77328A"/>
          <w:sz w:val="16"/>
          <w:szCs w:val="16"/>
        </w:rPr>
        <w:t>Directive 2005/85/EC</w:t>
      </w:r>
      <w:r w:rsidRPr="007C31BD">
        <w:rPr>
          <w:rStyle w:val="Hyperlink"/>
          <w:rFonts w:ascii="Verdana" w:hAnsi="Verdana" w:cs="Calibri"/>
          <w:color w:val="77328A"/>
          <w:sz w:val="16"/>
          <w:szCs w:val="16"/>
          <w:u w:val="none"/>
        </w:rPr>
        <w:t>, ‘Council</w:t>
      </w:r>
      <w:r w:rsidRPr="00D64F63">
        <w:rPr>
          <w:rFonts w:ascii="Verdana" w:hAnsi="Verdana" w:cs="Calibri"/>
          <w:color w:val="77328A"/>
          <w:sz w:val="16"/>
          <w:szCs w:val="16"/>
        </w:rPr>
        <w:t xml:space="preserve"> Directive on minimum standards on procedures in Member States for granting and withdrawing refugee status’, 1 December 2005.</w:t>
      </w:r>
    </w:p>
  </w:footnote>
  <w:footnote w:id="35">
    <w:p w14:paraId="07F1D2A1" w14:textId="478E821C" w:rsidR="006F1D76" w:rsidRPr="00D64F63" w:rsidRDefault="006F1D76" w:rsidP="00D64F63">
      <w:pPr>
        <w:spacing w:after="0" w:line="240" w:lineRule="auto"/>
        <w:rPr>
          <w:rFonts w:ascii="Verdana" w:hAnsi="Verdana" w:cs="Calibri"/>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Pr="00D64F63">
        <w:rPr>
          <w:rFonts w:ascii="Verdana" w:hAnsi="Verdana" w:cs="Calibri"/>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w:t>
      </w:r>
      <w:r w:rsidR="00D64F63" w:rsidRPr="00D64F63">
        <w:rPr>
          <w:rFonts w:ascii="Verdana" w:hAnsi="Verdana" w:cs="Calibri"/>
          <w:color w:val="77328A"/>
          <w:sz w:val="16"/>
          <w:szCs w:val="16"/>
        </w:rPr>
        <w:t xml:space="preserve">, </w:t>
      </w:r>
      <w:r w:rsidRPr="00D64F63">
        <w:rPr>
          <w:rFonts w:ascii="Verdana" w:hAnsi="Verdana" w:cs="Calibri"/>
          <w:color w:val="77328A"/>
          <w:sz w:val="16"/>
          <w:szCs w:val="16"/>
        </w:rPr>
        <w:t>29 April 2004.</w:t>
      </w:r>
    </w:p>
  </w:footnote>
  <w:footnote w:id="36">
    <w:p w14:paraId="632A2E85" w14:textId="77777777" w:rsidR="006F1D76" w:rsidRPr="00D64F63" w:rsidRDefault="006F1D76" w:rsidP="00D64F63">
      <w:pPr>
        <w:spacing w:after="0" w:line="240" w:lineRule="auto"/>
        <w:rPr>
          <w:rFonts w:ascii="Verdana" w:hAnsi="Verdana" w:cs="Calibri"/>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Pr="00D64F63">
        <w:rPr>
          <w:rFonts w:ascii="Verdana" w:hAnsi="Verdana" w:cs="Calibri"/>
          <w:color w:val="77328A"/>
          <w:sz w:val="16"/>
          <w:szCs w:val="16"/>
        </w:rPr>
        <w:t>Directive 2003/9/EC</w:t>
      </w:r>
      <w:r w:rsidRPr="007C31BD">
        <w:rPr>
          <w:rStyle w:val="Hyperlink"/>
          <w:rFonts w:ascii="Verdana" w:hAnsi="Verdana" w:cs="Calibri"/>
          <w:color w:val="77328A"/>
          <w:sz w:val="16"/>
          <w:szCs w:val="16"/>
          <w:u w:val="none"/>
        </w:rPr>
        <w:t>, ‘Council Directive</w:t>
      </w:r>
      <w:r w:rsidRPr="00D64F63">
        <w:rPr>
          <w:rFonts w:ascii="Verdana" w:hAnsi="Verdana" w:cs="Calibri"/>
          <w:color w:val="77328A"/>
          <w:sz w:val="16"/>
          <w:szCs w:val="16"/>
        </w:rPr>
        <w:t xml:space="preserve"> laying down minimum standards for the reception of asylum seekers’, 27 January 2003.</w:t>
      </w:r>
    </w:p>
  </w:footnote>
  <w:footnote w:id="37">
    <w:p w14:paraId="6447A1D2" w14:textId="77777777" w:rsidR="006F1D76" w:rsidRPr="00D64F63" w:rsidRDefault="006F1D76" w:rsidP="00D64F63">
      <w:pPr>
        <w:spacing w:after="0" w:line="240" w:lineRule="auto"/>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Regulation 2013/604/EU,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26 June 2013</w:t>
      </w:r>
    </w:p>
  </w:footnote>
  <w:footnote w:id="38">
    <w:p w14:paraId="7ADDA90D" w14:textId="77777777" w:rsidR="00203EB7" w:rsidRPr="00D64F63" w:rsidRDefault="00203EB7" w:rsidP="00D64F63">
      <w:pPr>
        <w:pStyle w:val="NIHRCFootnotes"/>
      </w:pPr>
      <w:r w:rsidRPr="00D64F63">
        <w:rPr>
          <w:rStyle w:val="FootnoteReference"/>
        </w:rPr>
        <w:footnoteRef/>
      </w:r>
      <w:r w:rsidRPr="00D64F63">
        <w:t xml:space="preserve"> Directive 2012/29/EU, ‘Directive of the European Parliament and of the Council establishing minimum standards on the rights, support and protection of victims of crime’, 25 October 2012; Directive 2011/36/EU, ‘EU Council Directive on preventing and combating trafficking in human beings and protecting its victims’, 5 April 2011.</w:t>
      </w:r>
    </w:p>
  </w:footnote>
  <w:footnote w:id="39">
    <w:p w14:paraId="7C4F258B" w14:textId="3AA3B1FE" w:rsidR="0077162C" w:rsidRPr="00D64F63" w:rsidRDefault="0077162C"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NI Human Rights Commission, ‘Northern Ireland Human Rights Commission submission to House of Lords on the Illegal Migration Bill’, </w:t>
      </w:r>
      <w:r w:rsidR="007C31BD">
        <w:rPr>
          <w:rFonts w:ascii="Verdana" w:hAnsi="Verdana"/>
          <w:color w:val="77328A"/>
          <w:sz w:val="16"/>
          <w:szCs w:val="16"/>
        </w:rPr>
        <w:t>(NIHRC,</w:t>
      </w:r>
      <w:r w:rsidRPr="00D64F63">
        <w:rPr>
          <w:rFonts w:ascii="Verdana" w:hAnsi="Verdana"/>
          <w:color w:val="77328A"/>
          <w:sz w:val="16"/>
          <w:szCs w:val="16"/>
        </w:rPr>
        <w:t xml:space="preserve"> 2023</w:t>
      </w:r>
      <w:r w:rsidR="007C31BD">
        <w:rPr>
          <w:rFonts w:ascii="Verdana" w:hAnsi="Verdana"/>
          <w:color w:val="77328A"/>
          <w:sz w:val="16"/>
          <w:szCs w:val="16"/>
        </w:rPr>
        <w:t>)</w:t>
      </w:r>
      <w:r w:rsidRPr="00D64F63">
        <w:rPr>
          <w:rFonts w:ascii="Verdana" w:hAnsi="Verdana"/>
          <w:color w:val="77328A"/>
          <w:sz w:val="16"/>
          <w:szCs w:val="16"/>
        </w:rPr>
        <w:t xml:space="preserve">. </w:t>
      </w:r>
    </w:p>
  </w:footnote>
  <w:footnote w:id="40">
    <w:p w14:paraId="146A5B9F" w14:textId="35B1802F" w:rsidR="00801D9A" w:rsidRPr="00D64F63" w:rsidRDefault="00801D9A"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NI Human Rights Commission</w:t>
      </w:r>
      <w:r w:rsidR="007C31BD">
        <w:rPr>
          <w:rFonts w:ascii="Verdana" w:hAnsi="Verdana"/>
          <w:color w:val="77328A"/>
          <w:sz w:val="16"/>
          <w:szCs w:val="16"/>
        </w:rPr>
        <w:t xml:space="preserve"> and Equality Commission for NI</w:t>
      </w:r>
      <w:r w:rsidRPr="00D64F63">
        <w:rPr>
          <w:rFonts w:ascii="Verdana" w:hAnsi="Verdana"/>
          <w:color w:val="77328A"/>
          <w:sz w:val="16"/>
          <w:szCs w:val="16"/>
        </w:rPr>
        <w:t xml:space="preserve">, ‘Joint NIHRC / ECNI Briefing Paper on the Modern Slavery and Human Trafficking and Electronic Travel Authorisation provisions in the Nationality and Borders Bill’, </w:t>
      </w:r>
      <w:r w:rsidR="007C31BD">
        <w:rPr>
          <w:rFonts w:ascii="Verdana" w:hAnsi="Verdana"/>
          <w:color w:val="77328A"/>
          <w:sz w:val="16"/>
          <w:szCs w:val="16"/>
        </w:rPr>
        <w:t>(NIHRC and ECNI, 2023)</w:t>
      </w:r>
      <w:r w:rsidR="00D64F63">
        <w:rPr>
          <w:rFonts w:ascii="Verdana" w:hAnsi="Verdana"/>
          <w:color w:val="77328A"/>
          <w:sz w:val="16"/>
          <w:szCs w:val="16"/>
        </w:rPr>
        <w:t xml:space="preserve">; </w:t>
      </w:r>
      <w:r w:rsidR="00D64F63" w:rsidRPr="00D64F63">
        <w:rPr>
          <w:rFonts w:ascii="Verdana" w:hAnsi="Verdana"/>
          <w:color w:val="77328A"/>
          <w:sz w:val="16"/>
          <w:szCs w:val="16"/>
        </w:rPr>
        <w:t xml:space="preserve">NI Human Rights Commission, ‘Northern Ireland Human Rights Commission submission to House of Lords on the Illegal Migration Bill’, </w:t>
      </w:r>
      <w:r w:rsidR="007C31BD">
        <w:rPr>
          <w:rFonts w:ascii="Verdana" w:hAnsi="Verdana"/>
          <w:color w:val="77328A"/>
          <w:sz w:val="16"/>
          <w:szCs w:val="16"/>
        </w:rPr>
        <w:t>(NIHRC,</w:t>
      </w:r>
      <w:r w:rsidR="00D64F63" w:rsidRPr="00D64F63">
        <w:rPr>
          <w:rFonts w:ascii="Verdana" w:hAnsi="Verdana"/>
          <w:color w:val="77328A"/>
          <w:sz w:val="16"/>
          <w:szCs w:val="16"/>
        </w:rPr>
        <w:t xml:space="preserve"> 2023</w:t>
      </w:r>
      <w:r w:rsidR="007C31BD">
        <w:rPr>
          <w:rFonts w:ascii="Verdana" w:hAnsi="Verdana"/>
          <w:color w:val="77328A"/>
          <w:sz w:val="16"/>
          <w:szCs w:val="16"/>
        </w:rPr>
        <w:t>)</w:t>
      </w:r>
      <w:r w:rsidRPr="00D64F63">
        <w:rPr>
          <w:rFonts w:ascii="Verdana" w:hAnsi="Verdana"/>
          <w:color w:val="77328A"/>
          <w:sz w:val="16"/>
          <w:szCs w:val="16"/>
        </w:rPr>
        <w:t xml:space="preserve">. </w:t>
      </w:r>
    </w:p>
  </w:footnote>
  <w:footnote w:id="41">
    <w:p w14:paraId="1C1038D9" w14:textId="072F871C" w:rsidR="00747C79" w:rsidRPr="005B7441" w:rsidRDefault="00747C79" w:rsidP="00D64F63">
      <w:pPr>
        <w:pStyle w:val="FootnoteText"/>
        <w:rPr>
          <w:rFonts w:ascii="Verdana" w:hAnsi="Verdana"/>
          <w:color w:val="77328A"/>
          <w:sz w:val="16"/>
          <w:szCs w:val="16"/>
        </w:rPr>
      </w:pPr>
      <w:r w:rsidRPr="003D1E05">
        <w:rPr>
          <w:rStyle w:val="FootnoteReference"/>
          <w:rFonts w:ascii="Verdana" w:hAnsi="Verdana"/>
          <w:color w:val="77328A"/>
          <w:sz w:val="16"/>
          <w:szCs w:val="16"/>
        </w:rPr>
        <w:footnoteRef/>
      </w:r>
      <w:r w:rsidRPr="003D1E05">
        <w:rPr>
          <w:rStyle w:val="FootnoteReference"/>
          <w:rFonts w:ascii="Verdana" w:hAnsi="Verdana"/>
          <w:color w:val="77328A"/>
          <w:sz w:val="16"/>
          <w:szCs w:val="16"/>
        </w:rPr>
        <w:t xml:space="preserve"> </w:t>
      </w:r>
      <w:r w:rsidRPr="005B7441">
        <w:rPr>
          <w:rFonts w:ascii="Verdana" w:hAnsi="Verdana"/>
          <w:color w:val="77328A"/>
          <w:sz w:val="16"/>
          <w:szCs w:val="16"/>
        </w:rPr>
        <w:t>Due to Article 4 of the UK EU Withdrawal Agreement 2020, the Charter of Fundamental Rights remains relevant for interpreting provisions of the treaty, including the Windsor Framework, and EU law made applicable under the treaty’s provisions.</w:t>
      </w:r>
      <w:r w:rsidR="00D64F63">
        <w:rPr>
          <w:rFonts w:ascii="Verdana" w:hAnsi="Verdana"/>
          <w:color w:val="77328A"/>
          <w:sz w:val="16"/>
          <w:szCs w:val="16"/>
        </w:rPr>
        <w:t xml:space="preserve"> See </w:t>
      </w:r>
      <w:r w:rsidR="00D64F63" w:rsidRPr="00D64F63">
        <w:rPr>
          <w:rFonts w:ascii="Verdana" w:eastAsia="Verdana" w:hAnsi="Verdana" w:cs="Verdana"/>
          <w:i/>
          <w:iCs/>
          <w:color w:val="77328A"/>
          <w:sz w:val="16"/>
          <w:szCs w:val="16"/>
          <w:lang w:eastAsia="en-GB"/>
        </w:rPr>
        <w:t xml:space="preserve">In the Matter of an Application by AA for Judicial Review </w:t>
      </w:r>
      <w:r w:rsidR="00D64F63" w:rsidRPr="00D64F63">
        <w:rPr>
          <w:rFonts w:ascii="Verdana" w:eastAsia="Verdana" w:hAnsi="Verdana" w:cs="Verdana"/>
          <w:color w:val="77328A"/>
          <w:sz w:val="16"/>
          <w:szCs w:val="16"/>
          <w:lang w:eastAsia="en-GB"/>
        </w:rPr>
        <w:t>[2023] NIKB</w:t>
      </w:r>
      <w:r w:rsidR="00D64F63">
        <w:rPr>
          <w:rFonts w:ascii="Verdana" w:eastAsia="Verdana" w:hAnsi="Verdana" w:cs="Verdana"/>
          <w:color w:val="77328A"/>
          <w:sz w:val="16"/>
          <w:szCs w:val="16"/>
          <w:lang w:eastAsia="en-GB"/>
        </w:rPr>
        <w:t xml:space="preserve">; </w:t>
      </w:r>
      <w:r w:rsidR="003D1E05" w:rsidRPr="005B7441">
        <w:rPr>
          <w:rFonts w:ascii="Verdana" w:eastAsia="Verdana" w:hAnsi="Verdana" w:cs="Verdana"/>
          <w:i/>
          <w:iCs/>
          <w:color w:val="77328A"/>
          <w:sz w:val="16"/>
          <w:szCs w:val="16"/>
          <w:lang w:eastAsia="en-GB"/>
        </w:rPr>
        <w:t>Secretary of State for Work and Pensions v AT</w:t>
      </w:r>
      <w:r w:rsidR="003D1E05" w:rsidRPr="003D1E05">
        <w:rPr>
          <w:rFonts w:ascii="Verdana" w:eastAsia="Verdana" w:hAnsi="Verdana" w:cs="Verdana"/>
          <w:color w:val="77328A"/>
          <w:sz w:val="16"/>
          <w:szCs w:val="16"/>
          <w:lang w:eastAsia="en-GB"/>
        </w:rPr>
        <w:t xml:space="preserve"> [2023] EWCA Civ 1307</w:t>
      </w:r>
      <w:r w:rsidR="003D1E05">
        <w:rPr>
          <w:rFonts w:ascii="Verdana" w:eastAsia="Verdana" w:hAnsi="Verdana" w:cs="Verdana"/>
          <w:color w:val="77328A"/>
          <w:sz w:val="16"/>
          <w:szCs w:val="16"/>
          <w:lang w:eastAsia="en-GB"/>
        </w:rPr>
        <w:t>.</w:t>
      </w:r>
      <w:r w:rsidRPr="005B7441">
        <w:rPr>
          <w:rFonts w:ascii="Verdana" w:hAnsi="Verdana"/>
          <w:color w:val="77328A"/>
          <w:sz w:val="16"/>
          <w:szCs w:val="16"/>
        </w:rPr>
        <w:t xml:space="preserve">  </w:t>
      </w:r>
    </w:p>
  </w:footnote>
  <w:footnote w:id="42">
    <w:p w14:paraId="3EADF401" w14:textId="77777777" w:rsidR="00B73267" w:rsidRPr="00D64F63" w:rsidRDefault="00B73267"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Pr="00D64F63">
        <w:rPr>
          <w:rFonts w:ascii="Verdana" w:hAnsi="Verdana"/>
          <w:i/>
          <w:iCs/>
          <w:color w:val="77328A"/>
          <w:sz w:val="16"/>
          <w:szCs w:val="16"/>
        </w:rPr>
        <w:t>Samba Diouf v. Ministre du Travail, de l’Emploi et de l’Immigration</w:t>
      </w:r>
      <w:r w:rsidRPr="00D64F63">
        <w:rPr>
          <w:rFonts w:ascii="Verdana" w:hAnsi="Verdana"/>
          <w:color w:val="77328A"/>
          <w:sz w:val="16"/>
          <w:szCs w:val="16"/>
        </w:rPr>
        <w:t>, Case C-69/10, 28 July 2011.</w:t>
      </w:r>
    </w:p>
  </w:footnote>
  <w:footnote w:id="43">
    <w:p w14:paraId="2EE982C5" w14:textId="77777777" w:rsidR="00BF64EC" w:rsidRPr="00D64F63" w:rsidRDefault="00BF64EC" w:rsidP="00D64F63">
      <w:pPr>
        <w:pStyle w:val="FootnoteText"/>
        <w:rPr>
          <w:rFonts w:ascii="Verdana" w:hAnsi="Verdana"/>
          <w:color w:val="77328A"/>
          <w:sz w:val="16"/>
          <w:szCs w:val="16"/>
        </w:rPr>
      </w:pPr>
      <w:r w:rsidRPr="00D64F63">
        <w:rPr>
          <w:rFonts w:ascii="Verdana" w:hAnsi="Verdana"/>
          <w:color w:val="77328A"/>
          <w:sz w:val="16"/>
          <w:szCs w:val="16"/>
          <w:vertAlign w:val="superscript"/>
        </w:rPr>
        <w:footnoteRef/>
      </w:r>
      <w:r w:rsidRPr="00D64F63">
        <w:rPr>
          <w:rFonts w:ascii="Verdana" w:hAnsi="Verdana"/>
          <w:color w:val="77328A"/>
          <w:sz w:val="16"/>
          <w:szCs w:val="16"/>
        </w:rPr>
        <w:t xml:space="preserve"> Directive 2011/36/EU, ‘EU Council Directive on preventing and combating trafficking in human beings and protecting its victims’, 5 April 2011.  </w:t>
      </w:r>
    </w:p>
  </w:footnote>
  <w:footnote w:id="44">
    <w:p w14:paraId="3CA6A467" w14:textId="3F200C08" w:rsidR="00293B74" w:rsidRPr="00D65E3C" w:rsidRDefault="00293B74">
      <w:pPr>
        <w:pStyle w:val="FootnoteText"/>
        <w:rPr>
          <w:rFonts w:ascii="Verdana" w:hAnsi="Verdana"/>
          <w:color w:val="77328A"/>
          <w:sz w:val="16"/>
          <w:szCs w:val="16"/>
        </w:rPr>
      </w:pPr>
      <w:r w:rsidRPr="00D65E3C">
        <w:rPr>
          <w:rFonts w:ascii="Verdana" w:hAnsi="Verdana"/>
          <w:color w:val="77328A"/>
          <w:sz w:val="16"/>
          <w:szCs w:val="16"/>
          <w:vertAlign w:val="superscript"/>
        </w:rPr>
        <w:footnoteRef/>
      </w:r>
      <w:r>
        <w:t xml:space="preserve"> </w:t>
      </w:r>
      <w:r w:rsidRPr="00D65E3C">
        <w:rPr>
          <w:rFonts w:ascii="Verdana" w:hAnsi="Verdana"/>
          <w:color w:val="77328A"/>
          <w:sz w:val="16"/>
          <w:szCs w:val="16"/>
        </w:rPr>
        <w:t>See NI Human Rights Commission, ‘Submission to Department of Justice Consultation on Measures to Strengthen the Response to Modern Slavery and Human Trafficking’ (NIHRC, 2022); NI Human Rights Commission, ‘Submission to the Department of Justice’s Consultation on the Draft Modern Slavery and Human Trafficking Strategy’ (NIHRC, 2023).</w:t>
      </w:r>
    </w:p>
  </w:footnote>
  <w:footnote w:id="45">
    <w:p w14:paraId="2BF97EC7" w14:textId="5DD28E99" w:rsidR="00F476D9" w:rsidRPr="00D64F63" w:rsidRDefault="00F476D9" w:rsidP="00D64F63">
      <w:pPr>
        <w:pStyle w:val="FootnoteText"/>
        <w:rPr>
          <w:rFonts w:ascii="Verdana" w:hAnsi="Verdana"/>
          <w:color w:val="77328A"/>
          <w:sz w:val="16"/>
          <w:szCs w:val="16"/>
        </w:rPr>
      </w:pPr>
      <w:r w:rsidRPr="00D64F63">
        <w:rPr>
          <w:rStyle w:val="FootnoteReference"/>
          <w:rFonts w:ascii="Verdana" w:hAnsi="Verdana"/>
          <w:color w:val="77328A"/>
          <w:sz w:val="16"/>
          <w:szCs w:val="16"/>
        </w:rPr>
        <w:footnoteRef/>
      </w:r>
      <w:r w:rsidRPr="00D64F63">
        <w:rPr>
          <w:rFonts w:ascii="Verdana" w:hAnsi="Verdana"/>
          <w:color w:val="77328A"/>
          <w:sz w:val="16"/>
          <w:szCs w:val="16"/>
        </w:rPr>
        <w:t xml:space="preserve"> </w:t>
      </w:r>
      <w:r w:rsidR="004B6EAF" w:rsidRPr="00D64F63">
        <w:rPr>
          <w:rFonts w:ascii="Verdana" w:hAnsi="Verdana"/>
          <w:i/>
          <w:iCs/>
          <w:color w:val="77328A"/>
          <w:sz w:val="16"/>
          <w:szCs w:val="16"/>
        </w:rPr>
        <w:t>Samba Diouf v. Ministre du Travail, de l’Emploi et de l’Immigration</w:t>
      </w:r>
      <w:r w:rsidR="004B6EAF" w:rsidRPr="00D64F63">
        <w:rPr>
          <w:rFonts w:ascii="Verdana" w:hAnsi="Verdana"/>
          <w:color w:val="77328A"/>
          <w:sz w:val="16"/>
          <w:szCs w:val="16"/>
        </w:rPr>
        <w:t>, Case C-69/10, 28 July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BBD6" w14:textId="0D57CEAB" w:rsidR="006D5BDD" w:rsidRDefault="006D5BDD">
    <w:pPr>
      <w:pStyle w:val="Header"/>
    </w:pPr>
  </w:p>
  <w:p w14:paraId="6A5097A6" w14:textId="77777777" w:rsidR="006D5BDD" w:rsidRDefault="006D5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2045"/>
    <w:multiLevelType w:val="multilevel"/>
    <w:tmpl w:val="7E341BA2"/>
    <w:lvl w:ilvl="0">
      <w:start w:val="3"/>
      <w:numFmt w:val="decimal"/>
      <w:lvlText w:val="%1"/>
      <w:lvlJc w:val="left"/>
      <w:pPr>
        <w:ind w:left="749" w:hanging="608"/>
      </w:pPr>
      <w:rPr>
        <w:rFonts w:cs="MinionPro-Regular" w:hint="default"/>
        <w:color w:val="000000"/>
      </w:rPr>
    </w:lvl>
    <w:lvl w:ilvl="1">
      <w:start w:val="37"/>
      <w:numFmt w:val="decimal"/>
      <w:lvlText w:val="%1.%2"/>
      <w:lvlJc w:val="left"/>
      <w:pPr>
        <w:ind w:left="861" w:hanging="720"/>
      </w:pPr>
      <w:rPr>
        <w:rFonts w:cs="MinionPro-Regular" w:hint="default"/>
        <w:color w:val="000000"/>
      </w:rPr>
    </w:lvl>
    <w:lvl w:ilvl="2">
      <w:start w:val="1"/>
      <w:numFmt w:val="decimal"/>
      <w:lvlText w:val="%1.%2.%3"/>
      <w:lvlJc w:val="left"/>
      <w:pPr>
        <w:ind w:left="1221" w:hanging="1080"/>
      </w:pPr>
      <w:rPr>
        <w:rFonts w:cs="MinionPro-Regular" w:hint="default"/>
        <w:color w:val="000000"/>
      </w:rPr>
    </w:lvl>
    <w:lvl w:ilvl="3">
      <w:start w:val="1"/>
      <w:numFmt w:val="decimal"/>
      <w:lvlText w:val="%1.%2.%3.%4"/>
      <w:lvlJc w:val="left"/>
      <w:pPr>
        <w:ind w:left="1581" w:hanging="1440"/>
      </w:pPr>
      <w:rPr>
        <w:rFonts w:cs="MinionPro-Regular" w:hint="default"/>
        <w:color w:val="000000"/>
      </w:rPr>
    </w:lvl>
    <w:lvl w:ilvl="4">
      <w:start w:val="1"/>
      <w:numFmt w:val="decimal"/>
      <w:lvlText w:val="%1.%2.%3.%4.%5"/>
      <w:lvlJc w:val="left"/>
      <w:pPr>
        <w:ind w:left="1581" w:hanging="1440"/>
      </w:pPr>
      <w:rPr>
        <w:rFonts w:cs="MinionPro-Regular" w:hint="default"/>
        <w:color w:val="000000"/>
      </w:rPr>
    </w:lvl>
    <w:lvl w:ilvl="5">
      <w:start w:val="1"/>
      <w:numFmt w:val="decimal"/>
      <w:lvlText w:val="%1.%2.%3.%4.%5.%6"/>
      <w:lvlJc w:val="left"/>
      <w:pPr>
        <w:ind w:left="1941" w:hanging="1800"/>
      </w:pPr>
      <w:rPr>
        <w:rFonts w:cs="MinionPro-Regular" w:hint="default"/>
        <w:color w:val="000000"/>
      </w:rPr>
    </w:lvl>
    <w:lvl w:ilvl="6">
      <w:start w:val="1"/>
      <w:numFmt w:val="decimal"/>
      <w:lvlText w:val="%1.%2.%3.%4.%5.%6.%7"/>
      <w:lvlJc w:val="left"/>
      <w:pPr>
        <w:ind w:left="2301" w:hanging="2160"/>
      </w:pPr>
      <w:rPr>
        <w:rFonts w:cs="MinionPro-Regular" w:hint="default"/>
        <w:color w:val="000000"/>
      </w:rPr>
    </w:lvl>
    <w:lvl w:ilvl="7">
      <w:start w:val="1"/>
      <w:numFmt w:val="decimal"/>
      <w:lvlText w:val="%1.%2.%3.%4.%5.%6.%7.%8"/>
      <w:lvlJc w:val="left"/>
      <w:pPr>
        <w:ind w:left="2661" w:hanging="2520"/>
      </w:pPr>
      <w:rPr>
        <w:rFonts w:cs="MinionPro-Regular" w:hint="default"/>
        <w:color w:val="000000"/>
      </w:rPr>
    </w:lvl>
    <w:lvl w:ilvl="8">
      <w:start w:val="1"/>
      <w:numFmt w:val="decimal"/>
      <w:lvlText w:val="%1.%2.%3.%4.%5.%6.%7.%8.%9"/>
      <w:lvlJc w:val="left"/>
      <w:pPr>
        <w:ind w:left="3021" w:hanging="2880"/>
      </w:pPr>
      <w:rPr>
        <w:rFonts w:cs="MinionPro-Regular" w:hint="default"/>
        <w:color w:val="000000"/>
      </w:rPr>
    </w:lvl>
  </w:abstractNum>
  <w:abstractNum w:abstractNumId="1"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470589"/>
    <w:multiLevelType w:val="multilevel"/>
    <w:tmpl w:val="5FB868B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21395152"/>
    <w:multiLevelType w:val="multilevel"/>
    <w:tmpl w:val="008C59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AAC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0837E3"/>
    <w:multiLevelType w:val="hybridMultilevel"/>
    <w:tmpl w:val="858A6AC4"/>
    <w:lvl w:ilvl="0" w:tplc="66148BEC">
      <w:start w:val="1"/>
      <w:numFmt w:val="decimal"/>
      <w:lvlText w:val="%1"/>
      <w:lvlJc w:val="left"/>
      <w:pPr>
        <w:ind w:left="1700" w:hanging="567"/>
      </w:pPr>
      <w:rPr>
        <w:rFonts w:ascii="Calibri" w:eastAsia="Calibri" w:hAnsi="Calibri" w:cs="Calibri" w:hint="default"/>
        <w:w w:val="100"/>
        <w:sz w:val="18"/>
        <w:szCs w:val="18"/>
        <w:lang w:val="en-US" w:eastAsia="en-US" w:bidi="ar-SA"/>
      </w:rPr>
    </w:lvl>
    <w:lvl w:ilvl="1" w:tplc="876E0D58">
      <w:start w:val="1"/>
      <w:numFmt w:val="lowerLetter"/>
      <w:lvlText w:val="(%2)"/>
      <w:lvlJc w:val="left"/>
      <w:pPr>
        <w:ind w:left="1700" w:hanging="236"/>
      </w:pPr>
      <w:rPr>
        <w:rFonts w:ascii="Calibri" w:eastAsia="Calibri" w:hAnsi="Calibri" w:cs="Calibri" w:hint="default"/>
        <w:spacing w:val="-1"/>
        <w:w w:val="100"/>
        <w:sz w:val="18"/>
        <w:szCs w:val="18"/>
        <w:lang w:val="en-US" w:eastAsia="en-US" w:bidi="ar-SA"/>
      </w:rPr>
    </w:lvl>
    <w:lvl w:ilvl="2" w:tplc="497A2668">
      <w:numFmt w:val="bullet"/>
      <w:lvlText w:val="•"/>
      <w:lvlJc w:val="left"/>
      <w:pPr>
        <w:ind w:left="3741" w:hanging="236"/>
      </w:pPr>
      <w:rPr>
        <w:rFonts w:hint="default"/>
        <w:lang w:val="en-US" w:eastAsia="en-US" w:bidi="ar-SA"/>
      </w:rPr>
    </w:lvl>
    <w:lvl w:ilvl="3" w:tplc="B6845C3E">
      <w:numFmt w:val="bullet"/>
      <w:lvlText w:val="•"/>
      <w:lvlJc w:val="left"/>
      <w:pPr>
        <w:ind w:left="4761" w:hanging="236"/>
      </w:pPr>
      <w:rPr>
        <w:rFonts w:hint="default"/>
        <w:lang w:val="en-US" w:eastAsia="en-US" w:bidi="ar-SA"/>
      </w:rPr>
    </w:lvl>
    <w:lvl w:ilvl="4" w:tplc="0B02BD6A">
      <w:numFmt w:val="bullet"/>
      <w:lvlText w:val="•"/>
      <w:lvlJc w:val="left"/>
      <w:pPr>
        <w:ind w:left="5782" w:hanging="236"/>
      </w:pPr>
      <w:rPr>
        <w:rFonts w:hint="default"/>
        <w:lang w:val="en-US" w:eastAsia="en-US" w:bidi="ar-SA"/>
      </w:rPr>
    </w:lvl>
    <w:lvl w:ilvl="5" w:tplc="3E640642">
      <w:numFmt w:val="bullet"/>
      <w:lvlText w:val="•"/>
      <w:lvlJc w:val="left"/>
      <w:pPr>
        <w:ind w:left="6802" w:hanging="236"/>
      </w:pPr>
      <w:rPr>
        <w:rFonts w:hint="default"/>
        <w:lang w:val="en-US" w:eastAsia="en-US" w:bidi="ar-SA"/>
      </w:rPr>
    </w:lvl>
    <w:lvl w:ilvl="6" w:tplc="82C0869A">
      <w:numFmt w:val="bullet"/>
      <w:lvlText w:val="•"/>
      <w:lvlJc w:val="left"/>
      <w:pPr>
        <w:ind w:left="7823" w:hanging="236"/>
      </w:pPr>
      <w:rPr>
        <w:rFonts w:hint="default"/>
        <w:lang w:val="en-US" w:eastAsia="en-US" w:bidi="ar-SA"/>
      </w:rPr>
    </w:lvl>
    <w:lvl w:ilvl="7" w:tplc="3712F888">
      <w:numFmt w:val="bullet"/>
      <w:lvlText w:val="•"/>
      <w:lvlJc w:val="left"/>
      <w:pPr>
        <w:ind w:left="8843" w:hanging="236"/>
      </w:pPr>
      <w:rPr>
        <w:rFonts w:hint="default"/>
        <w:lang w:val="en-US" w:eastAsia="en-US" w:bidi="ar-SA"/>
      </w:rPr>
    </w:lvl>
    <w:lvl w:ilvl="8" w:tplc="08C81A10">
      <w:numFmt w:val="bullet"/>
      <w:lvlText w:val="•"/>
      <w:lvlJc w:val="left"/>
      <w:pPr>
        <w:ind w:left="9864" w:hanging="236"/>
      </w:pPr>
      <w:rPr>
        <w:rFonts w:hint="default"/>
        <w:lang w:val="en-US" w:eastAsia="en-US" w:bidi="ar-SA"/>
      </w:rPr>
    </w:lvl>
  </w:abstractNum>
  <w:abstractNum w:abstractNumId="6" w15:restartNumberingAfterBreak="0">
    <w:nsid w:val="3C40336D"/>
    <w:multiLevelType w:val="hybridMultilevel"/>
    <w:tmpl w:val="15B2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47034"/>
    <w:multiLevelType w:val="hybridMultilevel"/>
    <w:tmpl w:val="56C4F01C"/>
    <w:lvl w:ilvl="0" w:tplc="1E945A7C">
      <w:start w:val="1"/>
      <w:numFmt w:val="bullet"/>
      <w:pStyle w:val="Bulletlis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0570F0B"/>
    <w:multiLevelType w:val="multilevel"/>
    <w:tmpl w:val="BCB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116B0"/>
    <w:multiLevelType w:val="multilevel"/>
    <w:tmpl w:val="AAB215A2"/>
    <w:lvl w:ilvl="0">
      <w:start w:val="3"/>
      <w:numFmt w:val="decimal"/>
      <w:lvlText w:val="%1"/>
      <w:lvlJc w:val="left"/>
      <w:pPr>
        <w:ind w:left="390" w:hanging="390"/>
      </w:pPr>
      <w:rPr>
        <w:rFonts w:hint="default"/>
      </w:rPr>
    </w:lvl>
    <w:lvl w:ilvl="1">
      <w:start w:val="1"/>
      <w:numFmt w:val="decimal"/>
      <w:lvlText w:val="%1.%2"/>
      <w:lvlJc w:val="left"/>
      <w:pPr>
        <w:ind w:left="1145"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3C909D3"/>
    <w:multiLevelType w:val="multilevel"/>
    <w:tmpl w:val="13C0204E"/>
    <w:lvl w:ilvl="0">
      <w:start w:val="1"/>
      <w:numFmt w:val="decimal"/>
      <w:lvlText w:val="%1."/>
      <w:lvlJc w:val="left"/>
      <w:pPr>
        <w:ind w:left="2154" w:hanging="341"/>
        <w:jc w:val="right"/>
      </w:pPr>
      <w:rPr>
        <w:rFonts w:hint="default"/>
        <w:w w:val="100"/>
        <w:lang w:val="en-US" w:eastAsia="en-US" w:bidi="ar-SA"/>
      </w:rPr>
    </w:lvl>
    <w:lvl w:ilvl="1">
      <w:start w:val="1"/>
      <w:numFmt w:val="decimal"/>
      <w:lvlText w:val="%1.%2"/>
      <w:lvlJc w:val="left"/>
      <w:pPr>
        <w:ind w:left="1927" w:hanging="794"/>
      </w:pPr>
      <w:rPr>
        <w:rFonts w:hint="default"/>
        <w:w w:val="100"/>
        <w:lang w:val="en-US" w:eastAsia="en-US" w:bidi="ar-SA"/>
      </w:rPr>
    </w:lvl>
    <w:lvl w:ilvl="2">
      <w:numFmt w:val="bullet"/>
      <w:lvlText w:val="•"/>
      <w:lvlJc w:val="left"/>
      <w:pPr>
        <w:ind w:left="2267" w:hanging="794"/>
      </w:pPr>
      <w:rPr>
        <w:rFonts w:ascii="Tahoma" w:eastAsia="Tahoma" w:hAnsi="Tahoma" w:cs="Tahoma" w:hint="default"/>
        <w:b/>
        <w:bCs/>
        <w:color w:val="77328A"/>
        <w:w w:val="78"/>
        <w:sz w:val="28"/>
        <w:szCs w:val="28"/>
        <w:lang w:val="en-US" w:eastAsia="en-US" w:bidi="ar-SA"/>
      </w:rPr>
    </w:lvl>
    <w:lvl w:ilvl="3">
      <w:numFmt w:val="bullet"/>
      <w:lvlText w:val="•"/>
      <w:lvlJc w:val="left"/>
      <w:pPr>
        <w:ind w:left="3465" w:hanging="794"/>
      </w:pPr>
      <w:rPr>
        <w:rFonts w:hint="default"/>
        <w:lang w:val="en-US" w:eastAsia="en-US" w:bidi="ar-SA"/>
      </w:rPr>
    </w:lvl>
    <w:lvl w:ilvl="4">
      <w:numFmt w:val="bullet"/>
      <w:lvlText w:val="•"/>
      <w:lvlJc w:val="left"/>
      <w:pPr>
        <w:ind w:left="4671" w:hanging="794"/>
      </w:pPr>
      <w:rPr>
        <w:rFonts w:hint="default"/>
        <w:lang w:val="en-US" w:eastAsia="en-US" w:bidi="ar-SA"/>
      </w:rPr>
    </w:lvl>
    <w:lvl w:ilvl="5">
      <w:numFmt w:val="bullet"/>
      <w:lvlText w:val="•"/>
      <w:lvlJc w:val="left"/>
      <w:pPr>
        <w:ind w:left="5877" w:hanging="794"/>
      </w:pPr>
      <w:rPr>
        <w:rFonts w:hint="default"/>
        <w:lang w:val="en-US" w:eastAsia="en-US" w:bidi="ar-SA"/>
      </w:rPr>
    </w:lvl>
    <w:lvl w:ilvl="6">
      <w:numFmt w:val="bullet"/>
      <w:lvlText w:val="•"/>
      <w:lvlJc w:val="left"/>
      <w:pPr>
        <w:ind w:left="7082" w:hanging="794"/>
      </w:pPr>
      <w:rPr>
        <w:rFonts w:hint="default"/>
        <w:lang w:val="en-US" w:eastAsia="en-US" w:bidi="ar-SA"/>
      </w:rPr>
    </w:lvl>
    <w:lvl w:ilvl="7">
      <w:numFmt w:val="bullet"/>
      <w:lvlText w:val="•"/>
      <w:lvlJc w:val="left"/>
      <w:pPr>
        <w:ind w:left="8288" w:hanging="794"/>
      </w:pPr>
      <w:rPr>
        <w:rFonts w:hint="default"/>
        <w:lang w:val="en-US" w:eastAsia="en-US" w:bidi="ar-SA"/>
      </w:rPr>
    </w:lvl>
    <w:lvl w:ilvl="8">
      <w:numFmt w:val="bullet"/>
      <w:lvlText w:val="•"/>
      <w:lvlJc w:val="left"/>
      <w:pPr>
        <w:ind w:left="9494" w:hanging="794"/>
      </w:pPr>
      <w:rPr>
        <w:rFonts w:hint="default"/>
        <w:lang w:val="en-US" w:eastAsia="en-US" w:bidi="ar-SA"/>
      </w:rPr>
    </w:lvl>
  </w:abstractNum>
  <w:abstractNum w:abstractNumId="11" w15:restartNumberingAfterBreak="0">
    <w:nsid w:val="5C81117D"/>
    <w:multiLevelType w:val="multilevel"/>
    <w:tmpl w:val="47AE4E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64100"/>
    <w:multiLevelType w:val="multilevel"/>
    <w:tmpl w:val="749E69DE"/>
    <w:lvl w:ilvl="0">
      <w:start w:val="1"/>
      <w:numFmt w:val="decimal"/>
      <w:pStyle w:val="Heading1"/>
      <w:lvlText w:val="%1.0"/>
      <w:lvlJc w:val="left"/>
      <w:pPr>
        <w:ind w:left="720" w:hanging="720"/>
      </w:pPr>
    </w:lvl>
    <w:lvl w:ilvl="1">
      <w:start w:val="1"/>
      <w:numFmt w:val="decimal"/>
      <w:pStyle w:val="ListParagraph"/>
      <w:lvlText w:val="%1.%2"/>
      <w:lvlJc w:val="left"/>
      <w:pPr>
        <w:ind w:left="862" w:hanging="720"/>
      </w:pPr>
      <w:rPr>
        <w:b w:val="0"/>
        <w:bCs w:val="0"/>
        <w:color w:val="auto"/>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3" w15:restartNumberingAfterBreak="0">
    <w:nsid w:val="75133069"/>
    <w:multiLevelType w:val="multilevel"/>
    <w:tmpl w:val="E140E16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754981583">
    <w:abstractNumId w:val="12"/>
  </w:num>
  <w:num w:numId="2" w16cid:durableId="1061321501">
    <w:abstractNumId w:val="8"/>
  </w:num>
  <w:num w:numId="3" w16cid:durableId="1155298466">
    <w:abstractNumId w:val="0"/>
  </w:num>
  <w:num w:numId="4" w16cid:durableId="1799375750">
    <w:abstractNumId w:val="2"/>
  </w:num>
  <w:num w:numId="5" w16cid:durableId="107436187">
    <w:abstractNumId w:val="7"/>
  </w:num>
  <w:num w:numId="6" w16cid:durableId="1067799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9858570">
    <w:abstractNumId w:val="3"/>
  </w:num>
  <w:num w:numId="8" w16cid:durableId="1700354972">
    <w:abstractNumId w:val="11"/>
  </w:num>
  <w:num w:numId="9" w16cid:durableId="937443587">
    <w:abstractNumId w:val="13"/>
  </w:num>
  <w:num w:numId="10" w16cid:durableId="708527540">
    <w:abstractNumId w:val="9"/>
  </w:num>
  <w:num w:numId="11" w16cid:durableId="1402287722">
    <w:abstractNumId w:val="10"/>
  </w:num>
  <w:num w:numId="12" w16cid:durableId="731074217">
    <w:abstractNumId w:val="5"/>
  </w:num>
  <w:num w:numId="13" w16cid:durableId="351148414">
    <w:abstractNumId w:val="12"/>
  </w:num>
  <w:num w:numId="14" w16cid:durableId="1623611417">
    <w:abstractNumId w:val="4"/>
  </w:num>
  <w:num w:numId="15" w16cid:durableId="1363439006">
    <w:abstractNumId w:val="1"/>
  </w:num>
  <w:num w:numId="16" w16cid:durableId="1347056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0B"/>
    <w:rsid w:val="00000422"/>
    <w:rsid w:val="00000597"/>
    <w:rsid w:val="00001929"/>
    <w:rsid w:val="0000315D"/>
    <w:rsid w:val="000052C9"/>
    <w:rsid w:val="00005496"/>
    <w:rsid w:val="000067CE"/>
    <w:rsid w:val="00007876"/>
    <w:rsid w:val="00007BB9"/>
    <w:rsid w:val="00007D3A"/>
    <w:rsid w:val="000109F5"/>
    <w:rsid w:val="0001155F"/>
    <w:rsid w:val="0001269D"/>
    <w:rsid w:val="00014DBC"/>
    <w:rsid w:val="00015299"/>
    <w:rsid w:val="00015C7E"/>
    <w:rsid w:val="000160B6"/>
    <w:rsid w:val="00021051"/>
    <w:rsid w:val="00021119"/>
    <w:rsid w:val="000227CB"/>
    <w:rsid w:val="0002628F"/>
    <w:rsid w:val="00026F8D"/>
    <w:rsid w:val="0002706D"/>
    <w:rsid w:val="00030F09"/>
    <w:rsid w:val="00030FE3"/>
    <w:rsid w:val="000327DD"/>
    <w:rsid w:val="00037D45"/>
    <w:rsid w:val="00040DBE"/>
    <w:rsid w:val="0004271E"/>
    <w:rsid w:val="00045450"/>
    <w:rsid w:val="0004553F"/>
    <w:rsid w:val="00047557"/>
    <w:rsid w:val="000500F5"/>
    <w:rsid w:val="00050878"/>
    <w:rsid w:val="00050B39"/>
    <w:rsid w:val="00052A3D"/>
    <w:rsid w:val="00053324"/>
    <w:rsid w:val="000559C3"/>
    <w:rsid w:val="00055FE3"/>
    <w:rsid w:val="00057112"/>
    <w:rsid w:val="000603E9"/>
    <w:rsid w:val="000648B2"/>
    <w:rsid w:val="000662CE"/>
    <w:rsid w:val="00070378"/>
    <w:rsid w:val="000740CC"/>
    <w:rsid w:val="00075945"/>
    <w:rsid w:val="00075C24"/>
    <w:rsid w:val="00080037"/>
    <w:rsid w:val="00080891"/>
    <w:rsid w:val="00080A84"/>
    <w:rsid w:val="00085E83"/>
    <w:rsid w:val="00086DBB"/>
    <w:rsid w:val="000873D2"/>
    <w:rsid w:val="00087AC0"/>
    <w:rsid w:val="00087AE4"/>
    <w:rsid w:val="0009293A"/>
    <w:rsid w:val="00092C91"/>
    <w:rsid w:val="00096050"/>
    <w:rsid w:val="00097512"/>
    <w:rsid w:val="000A1BF5"/>
    <w:rsid w:val="000A3541"/>
    <w:rsid w:val="000A54BE"/>
    <w:rsid w:val="000A65CD"/>
    <w:rsid w:val="000B0206"/>
    <w:rsid w:val="000B17BD"/>
    <w:rsid w:val="000B22EC"/>
    <w:rsid w:val="000B27EC"/>
    <w:rsid w:val="000B2BFD"/>
    <w:rsid w:val="000B3BEC"/>
    <w:rsid w:val="000B404E"/>
    <w:rsid w:val="000B4261"/>
    <w:rsid w:val="000B47C7"/>
    <w:rsid w:val="000B68E3"/>
    <w:rsid w:val="000B7B91"/>
    <w:rsid w:val="000C166B"/>
    <w:rsid w:val="000C197C"/>
    <w:rsid w:val="000C4307"/>
    <w:rsid w:val="000C5F9B"/>
    <w:rsid w:val="000C64B9"/>
    <w:rsid w:val="000C66C3"/>
    <w:rsid w:val="000C707D"/>
    <w:rsid w:val="000C7CE5"/>
    <w:rsid w:val="000C7D4C"/>
    <w:rsid w:val="000C7DBC"/>
    <w:rsid w:val="000D27A4"/>
    <w:rsid w:val="000D3F3C"/>
    <w:rsid w:val="000D4ACD"/>
    <w:rsid w:val="000D6C78"/>
    <w:rsid w:val="000E1D2F"/>
    <w:rsid w:val="000E27C1"/>
    <w:rsid w:val="000E2895"/>
    <w:rsid w:val="000E355F"/>
    <w:rsid w:val="000E3BBC"/>
    <w:rsid w:val="000E4B62"/>
    <w:rsid w:val="000E69B5"/>
    <w:rsid w:val="000F01A4"/>
    <w:rsid w:val="000F14CF"/>
    <w:rsid w:val="000F19EE"/>
    <w:rsid w:val="000F43BA"/>
    <w:rsid w:val="000F5DA3"/>
    <w:rsid w:val="0010306B"/>
    <w:rsid w:val="00105154"/>
    <w:rsid w:val="0010523E"/>
    <w:rsid w:val="00105504"/>
    <w:rsid w:val="001068F6"/>
    <w:rsid w:val="00106CF8"/>
    <w:rsid w:val="00107618"/>
    <w:rsid w:val="00110E76"/>
    <w:rsid w:val="00111274"/>
    <w:rsid w:val="001133DC"/>
    <w:rsid w:val="001145FB"/>
    <w:rsid w:val="00114BB3"/>
    <w:rsid w:val="00114C7A"/>
    <w:rsid w:val="00114F42"/>
    <w:rsid w:val="0011527F"/>
    <w:rsid w:val="0011585C"/>
    <w:rsid w:val="00120144"/>
    <w:rsid w:val="00122526"/>
    <w:rsid w:val="00123903"/>
    <w:rsid w:val="00125449"/>
    <w:rsid w:val="00125F90"/>
    <w:rsid w:val="00126ABE"/>
    <w:rsid w:val="00127BB0"/>
    <w:rsid w:val="001304AD"/>
    <w:rsid w:val="001304D6"/>
    <w:rsid w:val="001325F3"/>
    <w:rsid w:val="00132E52"/>
    <w:rsid w:val="00137090"/>
    <w:rsid w:val="00140F54"/>
    <w:rsid w:val="00141486"/>
    <w:rsid w:val="00142C04"/>
    <w:rsid w:val="00143495"/>
    <w:rsid w:val="001435DF"/>
    <w:rsid w:val="0014705F"/>
    <w:rsid w:val="00152059"/>
    <w:rsid w:val="0015288F"/>
    <w:rsid w:val="00152BB4"/>
    <w:rsid w:val="00153192"/>
    <w:rsid w:val="0015410B"/>
    <w:rsid w:val="00155B0F"/>
    <w:rsid w:val="00155D4F"/>
    <w:rsid w:val="001563C0"/>
    <w:rsid w:val="001574C2"/>
    <w:rsid w:val="001574FF"/>
    <w:rsid w:val="00157EA4"/>
    <w:rsid w:val="00161283"/>
    <w:rsid w:val="001710E5"/>
    <w:rsid w:val="00171971"/>
    <w:rsid w:val="001726B7"/>
    <w:rsid w:val="001745A1"/>
    <w:rsid w:val="0017657A"/>
    <w:rsid w:val="00177148"/>
    <w:rsid w:val="00182231"/>
    <w:rsid w:val="00184456"/>
    <w:rsid w:val="00184479"/>
    <w:rsid w:val="00184C6E"/>
    <w:rsid w:val="001877FC"/>
    <w:rsid w:val="00191D93"/>
    <w:rsid w:val="00192814"/>
    <w:rsid w:val="001934E9"/>
    <w:rsid w:val="001A1AC7"/>
    <w:rsid w:val="001A2CBE"/>
    <w:rsid w:val="001A3767"/>
    <w:rsid w:val="001A565D"/>
    <w:rsid w:val="001A63FF"/>
    <w:rsid w:val="001A7049"/>
    <w:rsid w:val="001B2C56"/>
    <w:rsid w:val="001B400E"/>
    <w:rsid w:val="001B5793"/>
    <w:rsid w:val="001B622F"/>
    <w:rsid w:val="001B7DBC"/>
    <w:rsid w:val="001C3044"/>
    <w:rsid w:val="001C31B1"/>
    <w:rsid w:val="001C39C8"/>
    <w:rsid w:val="001C4FA4"/>
    <w:rsid w:val="001C6920"/>
    <w:rsid w:val="001C6A53"/>
    <w:rsid w:val="001D06D7"/>
    <w:rsid w:val="001D5898"/>
    <w:rsid w:val="001D654A"/>
    <w:rsid w:val="001E140D"/>
    <w:rsid w:val="001E15B4"/>
    <w:rsid w:val="001E2412"/>
    <w:rsid w:val="001E4FA3"/>
    <w:rsid w:val="001E5653"/>
    <w:rsid w:val="001F0A47"/>
    <w:rsid w:val="001F1406"/>
    <w:rsid w:val="001F37B0"/>
    <w:rsid w:val="001F41B7"/>
    <w:rsid w:val="001F711D"/>
    <w:rsid w:val="001F7848"/>
    <w:rsid w:val="00201279"/>
    <w:rsid w:val="00203109"/>
    <w:rsid w:val="00203EB7"/>
    <w:rsid w:val="002045BE"/>
    <w:rsid w:val="00206EE8"/>
    <w:rsid w:val="00210165"/>
    <w:rsid w:val="00211D91"/>
    <w:rsid w:val="00211F03"/>
    <w:rsid w:val="002124D1"/>
    <w:rsid w:val="00213694"/>
    <w:rsid w:val="00214A96"/>
    <w:rsid w:val="00214B35"/>
    <w:rsid w:val="00215E80"/>
    <w:rsid w:val="0022172A"/>
    <w:rsid w:val="002220F5"/>
    <w:rsid w:val="002226F9"/>
    <w:rsid w:val="00222787"/>
    <w:rsid w:val="002241B6"/>
    <w:rsid w:val="0022615C"/>
    <w:rsid w:val="00226660"/>
    <w:rsid w:val="00231448"/>
    <w:rsid w:val="00231540"/>
    <w:rsid w:val="00235251"/>
    <w:rsid w:val="00235915"/>
    <w:rsid w:val="002371CC"/>
    <w:rsid w:val="00237D4B"/>
    <w:rsid w:val="00244D9D"/>
    <w:rsid w:val="0024532D"/>
    <w:rsid w:val="00246548"/>
    <w:rsid w:val="00246653"/>
    <w:rsid w:val="002476D3"/>
    <w:rsid w:val="002479CC"/>
    <w:rsid w:val="00254791"/>
    <w:rsid w:val="00254CB0"/>
    <w:rsid w:val="002561D1"/>
    <w:rsid w:val="0026407A"/>
    <w:rsid w:val="00264C64"/>
    <w:rsid w:val="00264E0F"/>
    <w:rsid w:val="00265F50"/>
    <w:rsid w:val="00270A00"/>
    <w:rsid w:val="00272908"/>
    <w:rsid w:val="0027346B"/>
    <w:rsid w:val="00276698"/>
    <w:rsid w:val="0027681B"/>
    <w:rsid w:val="00282CC6"/>
    <w:rsid w:val="00283750"/>
    <w:rsid w:val="0028396B"/>
    <w:rsid w:val="002862C6"/>
    <w:rsid w:val="002871B1"/>
    <w:rsid w:val="00287A3E"/>
    <w:rsid w:val="00291092"/>
    <w:rsid w:val="00292D38"/>
    <w:rsid w:val="00293B74"/>
    <w:rsid w:val="002963CE"/>
    <w:rsid w:val="00297161"/>
    <w:rsid w:val="002A179C"/>
    <w:rsid w:val="002A281A"/>
    <w:rsid w:val="002A2B98"/>
    <w:rsid w:val="002A3A33"/>
    <w:rsid w:val="002A3CF0"/>
    <w:rsid w:val="002A3F64"/>
    <w:rsid w:val="002A4776"/>
    <w:rsid w:val="002A6534"/>
    <w:rsid w:val="002A7F8F"/>
    <w:rsid w:val="002B090B"/>
    <w:rsid w:val="002B41FA"/>
    <w:rsid w:val="002B459A"/>
    <w:rsid w:val="002C35B2"/>
    <w:rsid w:val="002C3F6B"/>
    <w:rsid w:val="002D075D"/>
    <w:rsid w:val="002D0F7A"/>
    <w:rsid w:val="002D17C0"/>
    <w:rsid w:val="002D43B9"/>
    <w:rsid w:val="002D5BBB"/>
    <w:rsid w:val="002D6058"/>
    <w:rsid w:val="002D7820"/>
    <w:rsid w:val="002E0470"/>
    <w:rsid w:val="002E0655"/>
    <w:rsid w:val="002E0CCC"/>
    <w:rsid w:val="002E117D"/>
    <w:rsid w:val="002E1F70"/>
    <w:rsid w:val="002E3941"/>
    <w:rsid w:val="002E39F6"/>
    <w:rsid w:val="002E7236"/>
    <w:rsid w:val="002F2387"/>
    <w:rsid w:val="002F3976"/>
    <w:rsid w:val="002F7424"/>
    <w:rsid w:val="002F7669"/>
    <w:rsid w:val="0030118F"/>
    <w:rsid w:val="0030261F"/>
    <w:rsid w:val="00305439"/>
    <w:rsid w:val="00312B67"/>
    <w:rsid w:val="0031566F"/>
    <w:rsid w:val="003237EE"/>
    <w:rsid w:val="003314FC"/>
    <w:rsid w:val="0033289A"/>
    <w:rsid w:val="0033437E"/>
    <w:rsid w:val="0033484A"/>
    <w:rsid w:val="003374BA"/>
    <w:rsid w:val="00341243"/>
    <w:rsid w:val="00341D17"/>
    <w:rsid w:val="00342371"/>
    <w:rsid w:val="00344B2C"/>
    <w:rsid w:val="00345044"/>
    <w:rsid w:val="0034593A"/>
    <w:rsid w:val="00346113"/>
    <w:rsid w:val="00346ADC"/>
    <w:rsid w:val="003565B2"/>
    <w:rsid w:val="003566DA"/>
    <w:rsid w:val="00360048"/>
    <w:rsid w:val="003607C9"/>
    <w:rsid w:val="003618B2"/>
    <w:rsid w:val="00362527"/>
    <w:rsid w:val="003645B7"/>
    <w:rsid w:val="00364CCE"/>
    <w:rsid w:val="003664B6"/>
    <w:rsid w:val="00371415"/>
    <w:rsid w:val="0037211D"/>
    <w:rsid w:val="00373330"/>
    <w:rsid w:val="0037372E"/>
    <w:rsid w:val="00380D94"/>
    <w:rsid w:val="00382702"/>
    <w:rsid w:val="00382C9E"/>
    <w:rsid w:val="00383985"/>
    <w:rsid w:val="0038476C"/>
    <w:rsid w:val="00384E88"/>
    <w:rsid w:val="0038576A"/>
    <w:rsid w:val="003935E3"/>
    <w:rsid w:val="00393C5F"/>
    <w:rsid w:val="00394648"/>
    <w:rsid w:val="00397F2E"/>
    <w:rsid w:val="003A0291"/>
    <w:rsid w:val="003A44B2"/>
    <w:rsid w:val="003A52A9"/>
    <w:rsid w:val="003A75D7"/>
    <w:rsid w:val="003B0084"/>
    <w:rsid w:val="003B014F"/>
    <w:rsid w:val="003B1C1A"/>
    <w:rsid w:val="003B4952"/>
    <w:rsid w:val="003B4DFD"/>
    <w:rsid w:val="003B5515"/>
    <w:rsid w:val="003B615D"/>
    <w:rsid w:val="003B69A6"/>
    <w:rsid w:val="003B6B49"/>
    <w:rsid w:val="003B77F6"/>
    <w:rsid w:val="003C0B1E"/>
    <w:rsid w:val="003C15DB"/>
    <w:rsid w:val="003C1746"/>
    <w:rsid w:val="003C3EC4"/>
    <w:rsid w:val="003C4C4E"/>
    <w:rsid w:val="003C6609"/>
    <w:rsid w:val="003C6C0A"/>
    <w:rsid w:val="003D05DD"/>
    <w:rsid w:val="003D16D5"/>
    <w:rsid w:val="003D1E05"/>
    <w:rsid w:val="003D2668"/>
    <w:rsid w:val="003D4619"/>
    <w:rsid w:val="003D5330"/>
    <w:rsid w:val="003D66A4"/>
    <w:rsid w:val="003E2B92"/>
    <w:rsid w:val="003E38AE"/>
    <w:rsid w:val="003E428E"/>
    <w:rsid w:val="003E5573"/>
    <w:rsid w:val="003E62D7"/>
    <w:rsid w:val="003E63E5"/>
    <w:rsid w:val="003E7A50"/>
    <w:rsid w:val="003F2B71"/>
    <w:rsid w:val="003F4BFA"/>
    <w:rsid w:val="00400210"/>
    <w:rsid w:val="004014C7"/>
    <w:rsid w:val="0040260B"/>
    <w:rsid w:val="004029AD"/>
    <w:rsid w:val="00402D58"/>
    <w:rsid w:val="00407C30"/>
    <w:rsid w:val="00410F97"/>
    <w:rsid w:val="00413223"/>
    <w:rsid w:val="00413B63"/>
    <w:rsid w:val="00414844"/>
    <w:rsid w:val="00417D1F"/>
    <w:rsid w:val="004216B4"/>
    <w:rsid w:val="00427AFE"/>
    <w:rsid w:val="00427C75"/>
    <w:rsid w:val="00431864"/>
    <w:rsid w:val="00431A77"/>
    <w:rsid w:val="00432842"/>
    <w:rsid w:val="00434794"/>
    <w:rsid w:val="00434F76"/>
    <w:rsid w:val="004401C3"/>
    <w:rsid w:val="00440B0E"/>
    <w:rsid w:val="00441B5A"/>
    <w:rsid w:val="00441D52"/>
    <w:rsid w:val="00444A96"/>
    <w:rsid w:val="00451D03"/>
    <w:rsid w:val="00452875"/>
    <w:rsid w:val="00453578"/>
    <w:rsid w:val="00453E70"/>
    <w:rsid w:val="004543C0"/>
    <w:rsid w:val="00457634"/>
    <w:rsid w:val="004576FC"/>
    <w:rsid w:val="0046073A"/>
    <w:rsid w:val="00462E2E"/>
    <w:rsid w:val="0046317D"/>
    <w:rsid w:val="00463281"/>
    <w:rsid w:val="00463958"/>
    <w:rsid w:val="00466C5A"/>
    <w:rsid w:val="00471357"/>
    <w:rsid w:val="00471F4D"/>
    <w:rsid w:val="00476744"/>
    <w:rsid w:val="0047746C"/>
    <w:rsid w:val="00481B1B"/>
    <w:rsid w:val="004834D1"/>
    <w:rsid w:val="0048536A"/>
    <w:rsid w:val="0049090C"/>
    <w:rsid w:val="00491422"/>
    <w:rsid w:val="00492631"/>
    <w:rsid w:val="004930B5"/>
    <w:rsid w:val="004936C2"/>
    <w:rsid w:val="004959FC"/>
    <w:rsid w:val="00495B3A"/>
    <w:rsid w:val="0049620D"/>
    <w:rsid w:val="004963B2"/>
    <w:rsid w:val="004966C0"/>
    <w:rsid w:val="00497512"/>
    <w:rsid w:val="00497BCF"/>
    <w:rsid w:val="00497E4B"/>
    <w:rsid w:val="004A1330"/>
    <w:rsid w:val="004A14FD"/>
    <w:rsid w:val="004A1699"/>
    <w:rsid w:val="004A5096"/>
    <w:rsid w:val="004A55E7"/>
    <w:rsid w:val="004A5FA4"/>
    <w:rsid w:val="004A6D65"/>
    <w:rsid w:val="004A738C"/>
    <w:rsid w:val="004A7838"/>
    <w:rsid w:val="004A7B6D"/>
    <w:rsid w:val="004B144A"/>
    <w:rsid w:val="004B58FD"/>
    <w:rsid w:val="004B66B9"/>
    <w:rsid w:val="004B6D9D"/>
    <w:rsid w:val="004B6EAF"/>
    <w:rsid w:val="004B7FA4"/>
    <w:rsid w:val="004C0168"/>
    <w:rsid w:val="004C0408"/>
    <w:rsid w:val="004C2CCC"/>
    <w:rsid w:val="004C3C01"/>
    <w:rsid w:val="004C6DF8"/>
    <w:rsid w:val="004C7AD5"/>
    <w:rsid w:val="004D0BA6"/>
    <w:rsid w:val="004D27A1"/>
    <w:rsid w:val="004D2D8A"/>
    <w:rsid w:val="004D3A86"/>
    <w:rsid w:val="004D3F45"/>
    <w:rsid w:val="004D4AEE"/>
    <w:rsid w:val="004D4EBD"/>
    <w:rsid w:val="004D5246"/>
    <w:rsid w:val="004D6DD6"/>
    <w:rsid w:val="004E17EB"/>
    <w:rsid w:val="004E1B2F"/>
    <w:rsid w:val="004E20E3"/>
    <w:rsid w:val="004E35B8"/>
    <w:rsid w:val="004E3A99"/>
    <w:rsid w:val="004E5C3C"/>
    <w:rsid w:val="004F034E"/>
    <w:rsid w:val="004F0E2D"/>
    <w:rsid w:val="004F18F3"/>
    <w:rsid w:val="004F24E5"/>
    <w:rsid w:val="004F31AF"/>
    <w:rsid w:val="004F4B03"/>
    <w:rsid w:val="004F50A3"/>
    <w:rsid w:val="004F65E4"/>
    <w:rsid w:val="004F729C"/>
    <w:rsid w:val="004F78D5"/>
    <w:rsid w:val="0050533E"/>
    <w:rsid w:val="0050652B"/>
    <w:rsid w:val="00506D45"/>
    <w:rsid w:val="00506E50"/>
    <w:rsid w:val="00507C03"/>
    <w:rsid w:val="0051038D"/>
    <w:rsid w:val="00516458"/>
    <w:rsid w:val="00517554"/>
    <w:rsid w:val="00517A35"/>
    <w:rsid w:val="0052165D"/>
    <w:rsid w:val="00523965"/>
    <w:rsid w:val="00524C30"/>
    <w:rsid w:val="005270E6"/>
    <w:rsid w:val="005277F5"/>
    <w:rsid w:val="00527E9E"/>
    <w:rsid w:val="00533B13"/>
    <w:rsid w:val="0053556A"/>
    <w:rsid w:val="00535ECF"/>
    <w:rsid w:val="00535F49"/>
    <w:rsid w:val="005413CC"/>
    <w:rsid w:val="00541535"/>
    <w:rsid w:val="0054282A"/>
    <w:rsid w:val="00543BC9"/>
    <w:rsid w:val="00544A2B"/>
    <w:rsid w:val="00544BEC"/>
    <w:rsid w:val="00545B4D"/>
    <w:rsid w:val="005460CA"/>
    <w:rsid w:val="00546A1F"/>
    <w:rsid w:val="00547CA8"/>
    <w:rsid w:val="00547D2B"/>
    <w:rsid w:val="005515BC"/>
    <w:rsid w:val="005517F8"/>
    <w:rsid w:val="00552BAA"/>
    <w:rsid w:val="005548EC"/>
    <w:rsid w:val="005553A8"/>
    <w:rsid w:val="00560DD7"/>
    <w:rsid w:val="00563581"/>
    <w:rsid w:val="00566359"/>
    <w:rsid w:val="00566DF9"/>
    <w:rsid w:val="00570F87"/>
    <w:rsid w:val="00571DE9"/>
    <w:rsid w:val="0057250A"/>
    <w:rsid w:val="00576E2A"/>
    <w:rsid w:val="005775C3"/>
    <w:rsid w:val="0058289F"/>
    <w:rsid w:val="00583394"/>
    <w:rsid w:val="005849A1"/>
    <w:rsid w:val="00586ABA"/>
    <w:rsid w:val="00590DB6"/>
    <w:rsid w:val="00593250"/>
    <w:rsid w:val="0059464E"/>
    <w:rsid w:val="00595591"/>
    <w:rsid w:val="00595C0A"/>
    <w:rsid w:val="005A2C68"/>
    <w:rsid w:val="005A4067"/>
    <w:rsid w:val="005A46F7"/>
    <w:rsid w:val="005A5880"/>
    <w:rsid w:val="005A7E0C"/>
    <w:rsid w:val="005B0100"/>
    <w:rsid w:val="005B49B2"/>
    <w:rsid w:val="005B7441"/>
    <w:rsid w:val="005C4703"/>
    <w:rsid w:val="005D1541"/>
    <w:rsid w:val="005D37DB"/>
    <w:rsid w:val="005D442C"/>
    <w:rsid w:val="005D7472"/>
    <w:rsid w:val="005D7D12"/>
    <w:rsid w:val="005E0362"/>
    <w:rsid w:val="005E1FEF"/>
    <w:rsid w:val="005E22A8"/>
    <w:rsid w:val="005E2364"/>
    <w:rsid w:val="005E4B17"/>
    <w:rsid w:val="005E5638"/>
    <w:rsid w:val="005E7226"/>
    <w:rsid w:val="005E744C"/>
    <w:rsid w:val="005E7C8A"/>
    <w:rsid w:val="005F0454"/>
    <w:rsid w:val="005F112C"/>
    <w:rsid w:val="005F558E"/>
    <w:rsid w:val="005F571C"/>
    <w:rsid w:val="005F57AC"/>
    <w:rsid w:val="005F733E"/>
    <w:rsid w:val="005F7745"/>
    <w:rsid w:val="00601186"/>
    <w:rsid w:val="00603C1D"/>
    <w:rsid w:val="00605A66"/>
    <w:rsid w:val="006074C6"/>
    <w:rsid w:val="006102A7"/>
    <w:rsid w:val="00611C2A"/>
    <w:rsid w:val="00612AE5"/>
    <w:rsid w:val="00614DB7"/>
    <w:rsid w:val="00614FDC"/>
    <w:rsid w:val="006213E8"/>
    <w:rsid w:val="00622522"/>
    <w:rsid w:val="00622E3C"/>
    <w:rsid w:val="006234B8"/>
    <w:rsid w:val="00623A6E"/>
    <w:rsid w:val="00623B11"/>
    <w:rsid w:val="00624D87"/>
    <w:rsid w:val="00627D10"/>
    <w:rsid w:val="00633CAD"/>
    <w:rsid w:val="006341CA"/>
    <w:rsid w:val="006401E1"/>
    <w:rsid w:val="00642A73"/>
    <w:rsid w:val="00642C71"/>
    <w:rsid w:val="006442CA"/>
    <w:rsid w:val="00644962"/>
    <w:rsid w:val="00646B87"/>
    <w:rsid w:val="006470F6"/>
    <w:rsid w:val="00651325"/>
    <w:rsid w:val="006529F4"/>
    <w:rsid w:val="006547A9"/>
    <w:rsid w:val="00654B66"/>
    <w:rsid w:val="00660049"/>
    <w:rsid w:val="006627A6"/>
    <w:rsid w:val="00663154"/>
    <w:rsid w:val="00664AA9"/>
    <w:rsid w:val="00667AE5"/>
    <w:rsid w:val="006714BB"/>
    <w:rsid w:val="00677500"/>
    <w:rsid w:val="006778EF"/>
    <w:rsid w:val="00677F59"/>
    <w:rsid w:val="00680BF4"/>
    <w:rsid w:val="006832E3"/>
    <w:rsid w:val="006845BE"/>
    <w:rsid w:val="0068597E"/>
    <w:rsid w:val="00685F81"/>
    <w:rsid w:val="00690FBF"/>
    <w:rsid w:val="00691181"/>
    <w:rsid w:val="00691CE8"/>
    <w:rsid w:val="00692E86"/>
    <w:rsid w:val="00695D64"/>
    <w:rsid w:val="00697C10"/>
    <w:rsid w:val="006A2E26"/>
    <w:rsid w:val="006A5C53"/>
    <w:rsid w:val="006A6C38"/>
    <w:rsid w:val="006B100E"/>
    <w:rsid w:val="006B2E0A"/>
    <w:rsid w:val="006B3E19"/>
    <w:rsid w:val="006B5E76"/>
    <w:rsid w:val="006B5F21"/>
    <w:rsid w:val="006C185E"/>
    <w:rsid w:val="006C5DE6"/>
    <w:rsid w:val="006C7821"/>
    <w:rsid w:val="006D5BDD"/>
    <w:rsid w:val="006D7D6A"/>
    <w:rsid w:val="006E1369"/>
    <w:rsid w:val="006E1464"/>
    <w:rsid w:val="006E2C0F"/>
    <w:rsid w:val="006E44E1"/>
    <w:rsid w:val="006E743E"/>
    <w:rsid w:val="006F0535"/>
    <w:rsid w:val="006F1D76"/>
    <w:rsid w:val="006F672F"/>
    <w:rsid w:val="006F6B55"/>
    <w:rsid w:val="006F7A39"/>
    <w:rsid w:val="007013FA"/>
    <w:rsid w:val="00702639"/>
    <w:rsid w:val="0070358F"/>
    <w:rsid w:val="00703A46"/>
    <w:rsid w:val="00704D37"/>
    <w:rsid w:val="00705075"/>
    <w:rsid w:val="007057DD"/>
    <w:rsid w:val="007060A4"/>
    <w:rsid w:val="00707429"/>
    <w:rsid w:val="00711472"/>
    <w:rsid w:val="007133F4"/>
    <w:rsid w:val="0071420E"/>
    <w:rsid w:val="0071519D"/>
    <w:rsid w:val="007160A0"/>
    <w:rsid w:val="007171E4"/>
    <w:rsid w:val="00717C6A"/>
    <w:rsid w:val="007208ED"/>
    <w:rsid w:val="007242B5"/>
    <w:rsid w:val="0073036C"/>
    <w:rsid w:val="00731281"/>
    <w:rsid w:val="007317CF"/>
    <w:rsid w:val="00733651"/>
    <w:rsid w:val="0073598B"/>
    <w:rsid w:val="007363F2"/>
    <w:rsid w:val="00742229"/>
    <w:rsid w:val="00742578"/>
    <w:rsid w:val="00747C79"/>
    <w:rsid w:val="007506CF"/>
    <w:rsid w:val="0075280D"/>
    <w:rsid w:val="007534BF"/>
    <w:rsid w:val="00753546"/>
    <w:rsid w:val="007546BE"/>
    <w:rsid w:val="00754992"/>
    <w:rsid w:val="00755A8A"/>
    <w:rsid w:val="007561A1"/>
    <w:rsid w:val="007561CE"/>
    <w:rsid w:val="00756FC2"/>
    <w:rsid w:val="00760C0D"/>
    <w:rsid w:val="00761A96"/>
    <w:rsid w:val="007624C5"/>
    <w:rsid w:val="0076522B"/>
    <w:rsid w:val="007652A2"/>
    <w:rsid w:val="00770165"/>
    <w:rsid w:val="0077119B"/>
    <w:rsid w:val="0077162C"/>
    <w:rsid w:val="007721F7"/>
    <w:rsid w:val="007723DC"/>
    <w:rsid w:val="007742E3"/>
    <w:rsid w:val="007761CE"/>
    <w:rsid w:val="0077753A"/>
    <w:rsid w:val="007803FA"/>
    <w:rsid w:val="00780859"/>
    <w:rsid w:val="00783DAD"/>
    <w:rsid w:val="00785F05"/>
    <w:rsid w:val="0078686C"/>
    <w:rsid w:val="00786A41"/>
    <w:rsid w:val="007875EB"/>
    <w:rsid w:val="00787B19"/>
    <w:rsid w:val="00791177"/>
    <w:rsid w:val="00792262"/>
    <w:rsid w:val="007925A8"/>
    <w:rsid w:val="00794C02"/>
    <w:rsid w:val="00797DBE"/>
    <w:rsid w:val="007A0DC4"/>
    <w:rsid w:val="007A2A2A"/>
    <w:rsid w:val="007A43B6"/>
    <w:rsid w:val="007A4DD0"/>
    <w:rsid w:val="007A5501"/>
    <w:rsid w:val="007A5633"/>
    <w:rsid w:val="007A683A"/>
    <w:rsid w:val="007A72FF"/>
    <w:rsid w:val="007B1A76"/>
    <w:rsid w:val="007B2042"/>
    <w:rsid w:val="007B294A"/>
    <w:rsid w:val="007B40E8"/>
    <w:rsid w:val="007B4FAE"/>
    <w:rsid w:val="007B5B4B"/>
    <w:rsid w:val="007B5C30"/>
    <w:rsid w:val="007C12D6"/>
    <w:rsid w:val="007C31BD"/>
    <w:rsid w:val="007C3B5A"/>
    <w:rsid w:val="007C513C"/>
    <w:rsid w:val="007D09DE"/>
    <w:rsid w:val="007D0BED"/>
    <w:rsid w:val="007D0DEF"/>
    <w:rsid w:val="007D1C38"/>
    <w:rsid w:val="007D1EB2"/>
    <w:rsid w:val="007D2364"/>
    <w:rsid w:val="007D5008"/>
    <w:rsid w:val="007D7EB1"/>
    <w:rsid w:val="007E07D5"/>
    <w:rsid w:val="007E1021"/>
    <w:rsid w:val="007E2004"/>
    <w:rsid w:val="007E2FC3"/>
    <w:rsid w:val="007E3014"/>
    <w:rsid w:val="007E3DB2"/>
    <w:rsid w:val="007E4C4E"/>
    <w:rsid w:val="007E73BD"/>
    <w:rsid w:val="007E7F67"/>
    <w:rsid w:val="007F21A5"/>
    <w:rsid w:val="007F3B10"/>
    <w:rsid w:val="007F7CDD"/>
    <w:rsid w:val="00801D9A"/>
    <w:rsid w:val="00802867"/>
    <w:rsid w:val="00802C5E"/>
    <w:rsid w:val="008038DB"/>
    <w:rsid w:val="00806024"/>
    <w:rsid w:val="0080746B"/>
    <w:rsid w:val="008074E8"/>
    <w:rsid w:val="008102B0"/>
    <w:rsid w:val="008124D2"/>
    <w:rsid w:val="008136C7"/>
    <w:rsid w:val="00813A78"/>
    <w:rsid w:val="00816B92"/>
    <w:rsid w:val="00821AAD"/>
    <w:rsid w:val="00823784"/>
    <w:rsid w:val="00823A7B"/>
    <w:rsid w:val="00823AF8"/>
    <w:rsid w:val="00825A62"/>
    <w:rsid w:val="00825B8D"/>
    <w:rsid w:val="00825D56"/>
    <w:rsid w:val="00826896"/>
    <w:rsid w:val="00830206"/>
    <w:rsid w:val="00833056"/>
    <w:rsid w:val="00834158"/>
    <w:rsid w:val="00834F71"/>
    <w:rsid w:val="008363BA"/>
    <w:rsid w:val="0083779F"/>
    <w:rsid w:val="008378EC"/>
    <w:rsid w:val="00840DBF"/>
    <w:rsid w:val="00846921"/>
    <w:rsid w:val="00846A92"/>
    <w:rsid w:val="0084709A"/>
    <w:rsid w:val="00847680"/>
    <w:rsid w:val="0085005A"/>
    <w:rsid w:val="00850FD5"/>
    <w:rsid w:val="0085138B"/>
    <w:rsid w:val="0085333B"/>
    <w:rsid w:val="008535C0"/>
    <w:rsid w:val="00853A70"/>
    <w:rsid w:val="00855526"/>
    <w:rsid w:val="0085790A"/>
    <w:rsid w:val="00873770"/>
    <w:rsid w:val="0087601D"/>
    <w:rsid w:val="00876475"/>
    <w:rsid w:val="0087697B"/>
    <w:rsid w:val="00877239"/>
    <w:rsid w:val="008777D6"/>
    <w:rsid w:val="00880872"/>
    <w:rsid w:val="00880B37"/>
    <w:rsid w:val="00881A8F"/>
    <w:rsid w:val="00882415"/>
    <w:rsid w:val="008850DE"/>
    <w:rsid w:val="008863C4"/>
    <w:rsid w:val="0088689B"/>
    <w:rsid w:val="0088745D"/>
    <w:rsid w:val="00887717"/>
    <w:rsid w:val="0089098D"/>
    <w:rsid w:val="00891B51"/>
    <w:rsid w:val="00892B8A"/>
    <w:rsid w:val="00893FA0"/>
    <w:rsid w:val="00895005"/>
    <w:rsid w:val="008976A8"/>
    <w:rsid w:val="008A38B8"/>
    <w:rsid w:val="008A44E6"/>
    <w:rsid w:val="008A55F2"/>
    <w:rsid w:val="008A5E42"/>
    <w:rsid w:val="008B0A9A"/>
    <w:rsid w:val="008B2BBC"/>
    <w:rsid w:val="008B3873"/>
    <w:rsid w:val="008B59B2"/>
    <w:rsid w:val="008B7ABC"/>
    <w:rsid w:val="008C2939"/>
    <w:rsid w:val="008C514E"/>
    <w:rsid w:val="008C792A"/>
    <w:rsid w:val="008D0797"/>
    <w:rsid w:val="008D08A2"/>
    <w:rsid w:val="008D09AE"/>
    <w:rsid w:val="008D12C4"/>
    <w:rsid w:val="008D3341"/>
    <w:rsid w:val="008D3EF9"/>
    <w:rsid w:val="008D6C9C"/>
    <w:rsid w:val="008D7638"/>
    <w:rsid w:val="008E144C"/>
    <w:rsid w:val="008E155E"/>
    <w:rsid w:val="008E5139"/>
    <w:rsid w:val="008E51C9"/>
    <w:rsid w:val="008E5AF7"/>
    <w:rsid w:val="008E5B14"/>
    <w:rsid w:val="008F0A65"/>
    <w:rsid w:val="008F0A7D"/>
    <w:rsid w:val="008F2130"/>
    <w:rsid w:val="008F2A00"/>
    <w:rsid w:val="008F2B2E"/>
    <w:rsid w:val="008F6C8C"/>
    <w:rsid w:val="008F73D4"/>
    <w:rsid w:val="009023C2"/>
    <w:rsid w:val="00902FD4"/>
    <w:rsid w:val="0090729B"/>
    <w:rsid w:val="00910258"/>
    <w:rsid w:val="00911EBD"/>
    <w:rsid w:val="0091386E"/>
    <w:rsid w:val="009154AC"/>
    <w:rsid w:val="009179E3"/>
    <w:rsid w:val="00917E86"/>
    <w:rsid w:val="009200C0"/>
    <w:rsid w:val="00921A40"/>
    <w:rsid w:val="00921C1F"/>
    <w:rsid w:val="00921C57"/>
    <w:rsid w:val="00921D05"/>
    <w:rsid w:val="00923BAE"/>
    <w:rsid w:val="00923E3C"/>
    <w:rsid w:val="00925580"/>
    <w:rsid w:val="00930BF5"/>
    <w:rsid w:val="00933F24"/>
    <w:rsid w:val="00934D05"/>
    <w:rsid w:val="009353E4"/>
    <w:rsid w:val="00935D65"/>
    <w:rsid w:val="00935FF6"/>
    <w:rsid w:val="00942117"/>
    <w:rsid w:val="00942521"/>
    <w:rsid w:val="00943410"/>
    <w:rsid w:val="00945DE5"/>
    <w:rsid w:val="00951993"/>
    <w:rsid w:val="0095245F"/>
    <w:rsid w:val="0095258C"/>
    <w:rsid w:val="00953139"/>
    <w:rsid w:val="00956AF0"/>
    <w:rsid w:val="00962126"/>
    <w:rsid w:val="00963C99"/>
    <w:rsid w:val="00963CAD"/>
    <w:rsid w:val="00964B90"/>
    <w:rsid w:val="009700D9"/>
    <w:rsid w:val="00977607"/>
    <w:rsid w:val="00980CD5"/>
    <w:rsid w:val="0098107C"/>
    <w:rsid w:val="00981A2A"/>
    <w:rsid w:val="00981D37"/>
    <w:rsid w:val="009826B7"/>
    <w:rsid w:val="00982A8D"/>
    <w:rsid w:val="00982B55"/>
    <w:rsid w:val="009833F5"/>
    <w:rsid w:val="00986F10"/>
    <w:rsid w:val="00990DA7"/>
    <w:rsid w:val="00991942"/>
    <w:rsid w:val="00992827"/>
    <w:rsid w:val="0099445D"/>
    <w:rsid w:val="009949C7"/>
    <w:rsid w:val="0099686A"/>
    <w:rsid w:val="009A311C"/>
    <w:rsid w:val="009A4A51"/>
    <w:rsid w:val="009A5843"/>
    <w:rsid w:val="009A67F3"/>
    <w:rsid w:val="009B139E"/>
    <w:rsid w:val="009C0057"/>
    <w:rsid w:val="009C3718"/>
    <w:rsid w:val="009C48CD"/>
    <w:rsid w:val="009C4CFC"/>
    <w:rsid w:val="009C5332"/>
    <w:rsid w:val="009D0163"/>
    <w:rsid w:val="009D2157"/>
    <w:rsid w:val="009D2270"/>
    <w:rsid w:val="009D261B"/>
    <w:rsid w:val="009D4760"/>
    <w:rsid w:val="009D47FA"/>
    <w:rsid w:val="009D7B0D"/>
    <w:rsid w:val="009E0890"/>
    <w:rsid w:val="009E1DA6"/>
    <w:rsid w:val="009E1DCF"/>
    <w:rsid w:val="009E36DC"/>
    <w:rsid w:val="009E3C37"/>
    <w:rsid w:val="009E67EB"/>
    <w:rsid w:val="009F0147"/>
    <w:rsid w:val="009F1D7A"/>
    <w:rsid w:val="009F39E7"/>
    <w:rsid w:val="009F4307"/>
    <w:rsid w:val="009F44D0"/>
    <w:rsid w:val="009F613E"/>
    <w:rsid w:val="009F66BC"/>
    <w:rsid w:val="009F74CE"/>
    <w:rsid w:val="00A012FF"/>
    <w:rsid w:val="00A01E7A"/>
    <w:rsid w:val="00A03DE8"/>
    <w:rsid w:val="00A04553"/>
    <w:rsid w:val="00A06102"/>
    <w:rsid w:val="00A06563"/>
    <w:rsid w:val="00A07597"/>
    <w:rsid w:val="00A076EF"/>
    <w:rsid w:val="00A11374"/>
    <w:rsid w:val="00A13414"/>
    <w:rsid w:val="00A169B3"/>
    <w:rsid w:val="00A205E9"/>
    <w:rsid w:val="00A2074A"/>
    <w:rsid w:val="00A20A14"/>
    <w:rsid w:val="00A21F80"/>
    <w:rsid w:val="00A222D5"/>
    <w:rsid w:val="00A232D4"/>
    <w:rsid w:val="00A236B4"/>
    <w:rsid w:val="00A236FF"/>
    <w:rsid w:val="00A241FA"/>
    <w:rsid w:val="00A2516D"/>
    <w:rsid w:val="00A2619B"/>
    <w:rsid w:val="00A27555"/>
    <w:rsid w:val="00A31BC3"/>
    <w:rsid w:val="00A31CFB"/>
    <w:rsid w:val="00A32197"/>
    <w:rsid w:val="00A333D7"/>
    <w:rsid w:val="00A35576"/>
    <w:rsid w:val="00A3764F"/>
    <w:rsid w:val="00A37CC7"/>
    <w:rsid w:val="00A41732"/>
    <w:rsid w:val="00A43692"/>
    <w:rsid w:val="00A43F15"/>
    <w:rsid w:val="00A45879"/>
    <w:rsid w:val="00A47A83"/>
    <w:rsid w:val="00A505F0"/>
    <w:rsid w:val="00A5230C"/>
    <w:rsid w:val="00A52E4D"/>
    <w:rsid w:val="00A538AF"/>
    <w:rsid w:val="00A53F96"/>
    <w:rsid w:val="00A5520D"/>
    <w:rsid w:val="00A552F1"/>
    <w:rsid w:val="00A5706C"/>
    <w:rsid w:val="00A608D9"/>
    <w:rsid w:val="00A61633"/>
    <w:rsid w:val="00A6192C"/>
    <w:rsid w:val="00A63C8D"/>
    <w:rsid w:val="00A6446A"/>
    <w:rsid w:val="00A66040"/>
    <w:rsid w:val="00A718BB"/>
    <w:rsid w:val="00A71E04"/>
    <w:rsid w:val="00A72BFE"/>
    <w:rsid w:val="00A74782"/>
    <w:rsid w:val="00A74B6B"/>
    <w:rsid w:val="00A7569C"/>
    <w:rsid w:val="00A80203"/>
    <w:rsid w:val="00A80F30"/>
    <w:rsid w:val="00A81F8B"/>
    <w:rsid w:val="00A84320"/>
    <w:rsid w:val="00A859CD"/>
    <w:rsid w:val="00A86FAA"/>
    <w:rsid w:val="00A904D6"/>
    <w:rsid w:val="00A906CA"/>
    <w:rsid w:val="00A90CED"/>
    <w:rsid w:val="00A91145"/>
    <w:rsid w:val="00A936FA"/>
    <w:rsid w:val="00A93965"/>
    <w:rsid w:val="00A973D1"/>
    <w:rsid w:val="00AA079C"/>
    <w:rsid w:val="00AA2765"/>
    <w:rsid w:val="00AA3DB8"/>
    <w:rsid w:val="00AA599B"/>
    <w:rsid w:val="00AA60D5"/>
    <w:rsid w:val="00AB272F"/>
    <w:rsid w:val="00AB2764"/>
    <w:rsid w:val="00AB4FC9"/>
    <w:rsid w:val="00AB5063"/>
    <w:rsid w:val="00AB521F"/>
    <w:rsid w:val="00AB5581"/>
    <w:rsid w:val="00AB5D22"/>
    <w:rsid w:val="00AC14E6"/>
    <w:rsid w:val="00AC176D"/>
    <w:rsid w:val="00AC2CEB"/>
    <w:rsid w:val="00AC350F"/>
    <w:rsid w:val="00AC3A10"/>
    <w:rsid w:val="00AC7F45"/>
    <w:rsid w:val="00AD1F27"/>
    <w:rsid w:val="00AD2200"/>
    <w:rsid w:val="00AD24F1"/>
    <w:rsid w:val="00AD3666"/>
    <w:rsid w:val="00AD43B6"/>
    <w:rsid w:val="00AD4E8B"/>
    <w:rsid w:val="00AE13E1"/>
    <w:rsid w:val="00AE2CC8"/>
    <w:rsid w:val="00AE53B4"/>
    <w:rsid w:val="00AE586F"/>
    <w:rsid w:val="00AE5A7E"/>
    <w:rsid w:val="00AE62E7"/>
    <w:rsid w:val="00AF1029"/>
    <w:rsid w:val="00AF353E"/>
    <w:rsid w:val="00AF4AFF"/>
    <w:rsid w:val="00AF6468"/>
    <w:rsid w:val="00AF6977"/>
    <w:rsid w:val="00AF6BB4"/>
    <w:rsid w:val="00AF745F"/>
    <w:rsid w:val="00B00415"/>
    <w:rsid w:val="00B008CF"/>
    <w:rsid w:val="00B03887"/>
    <w:rsid w:val="00B040E1"/>
    <w:rsid w:val="00B05FB0"/>
    <w:rsid w:val="00B075C2"/>
    <w:rsid w:val="00B07C63"/>
    <w:rsid w:val="00B1185A"/>
    <w:rsid w:val="00B1214B"/>
    <w:rsid w:val="00B14C5B"/>
    <w:rsid w:val="00B25EBE"/>
    <w:rsid w:val="00B261DD"/>
    <w:rsid w:val="00B264D7"/>
    <w:rsid w:val="00B270AD"/>
    <w:rsid w:val="00B322F8"/>
    <w:rsid w:val="00B33DB9"/>
    <w:rsid w:val="00B34DFE"/>
    <w:rsid w:val="00B36E17"/>
    <w:rsid w:val="00B41A88"/>
    <w:rsid w:val="00B43356"/>
    <w:rsid w:val="00B44896"/>
    <w:rsid w:val="00B45782"/>
    <w:rsid w:val="00B45E0B"/>
    <w:rsid w:val="00B504A8"/>
    <w:rsid w:val="00B5075D"/>
    <w:rsid w:val="00B5133B"/>
    <w:rsid w:val="00B54B90"/>
    <w:rsid w:val="00B561C1"/>
    <w:rsid w:val="00B56E8D"/>
    <w:rsid w:val="00B576CD"/>
    <w:rsid w:val="00B602F7"/>
    <w:rsid w:val="00B613DC"/>
    <w:rsid w:val="00B616DF"/>
    <w:rsid w:val="00B61A2E"/>
    <w:rsid w:val="00B6308B"/>
    <w:rsid w:val="00B64B7B"/>
    <w:rsid w:val="00B65426"/>
    <w:rsid w:val="00B663A7"/>
    <w:rsid w:val="00B6735F"/>
    <w:rsid w:val="00B70F8F"/>
    <w:rsid w:val="00B71EFD"/>
    <w:rsid w:val="00B7315E"/>
    <w:rsid w:val="00B73267"/>
    <w:rsid w:val="00B74C54"/>
    <w:rsid w:val="00B7736B"/>
    <w:rsid w:val="00B77EBD"/>
    <w:rsid w:val="00B77EC4"/>
    <w:rsid w:val="00B826DF"/>
    <w:rsid w:val="00B8416F"/>
    <w:rsid w:val="00B84CBF"/>
    <w:rsid w:val="00B84F4D"/>
    <w:rsid w:val="00B87F58"/>
    <w:rsid w:val="00B9427E"/>
    <w:rsid w:val="00B95BA6"/>
    <w:rsid w:val="00B96596"/>
    <w:rsid w:val="00BA1903"/>
    <w:rsid w:val="00BA45A7"/>
    <w:rsid w:val="00BA60E0"/>
    <w:rsid w:val="00BA770D"/>
    <w:rsid w:val="00BA7C7B"/>
    <w:rsid w:val="00BB00BD"/>
    <w:rsid w:val="00BB08B9"/>
    <w:rsid w:val="00BB287A"/>
    <w:rsid w:val="00BB3A52"/>
    <w:rsid w:val="00BB3B4D"/>
    <w:rsid w:val="00BB474D"/>
    <w:rsid w:val="00BB6A1E"/>
    <w:rsid w:val="00BB6D60"/>
    <w:rsid w:val="00BC1500"/>
    <w:rsid w:val="00BC169B"/>
    <w:rsid w:val="00BC6E1D"/>
    <w:rsid w:val="00BD0926"/>
    <w:rsid w:val="00BD16A9"/>
    <w:rsid w:val="00BD79F1"/>
    <w:rsid w:val="00BE254C"/>
    <w:rsid w:val="00BE2EE3"/>
    <w:rsid w:val="00BE43E4"/>
    <w:rsid w:val="00BE4D63"/>
    <w:rsid w:val="00BE4F17"/>
    <w:rsid w:val="00BE69B5"/>
    <w:rsid w:val="00BF06D5"/>
    <w:rsid w:val="00BF0D7D"/>
    <w:rsid w:val="00BF3CC0"/>
    <w:rsid w:val="00BF42EA"/>
    <w:rsid w:val="00BF4EFF"/>
    <w:rsid w:val="00BF64EC"/>
    <w:rsid w:val="00BF7AE8"/>
    <w:rsid w:val="00BF7F1D"/>
    <w:rsid w:val="00C00981"/>
    <w:rsid w:val="00C013EA"/>
    <w:rsid w:val="00C015C9"/>
    <w:rsid w:val="00C01B82"/>
    <w:rsid w:val="00C03041"/>
    <w:rsid w:val="00C056E4"/>
    <w:rsid w:val="00C06694"/>
    <w:rsid w:val="00C06C78"/>
    <w:rsid w:val="00C06FA1"/>
    <w:rsid w:val="00C116A6"/>
    <w:rsid w:val="00C127B6"/>
    <w:rsid w:val="00C131BF"/>
    <w:rsid w:val="00C142F5"/>
    <w:rsid w:val="00C150F0"/>
    <w:rsid w:val="00C23530"/>
    <w:rsid w:val="00C23822"/>
    <w:rsid w:val="00C261CD"/>
    <w:rsid w:val="00C310A4"/>
    <w:rsid w:val="00C31EBC"/>
    <w:rsid w:val="00C33121"/>
    <w:rsid w:val="00C3323B"/>
    <w:rsid w:val="00C34815"/>
    <w:rsid w:val="00C35AE2"/>
    <w:rsid w:val="00C36377"/>
    <w:rsid w:val="00C37AF9"/>
    <w:rsid w:val="00C37F83"/>
    <w:rsid w:val="00C408E1"/>
    <w:rsid w:val="00C41A27"/>
    <w:rsid w:val="00C47299"/>
    <w:rsid w:val="00C47418"/>
    <w:rsid w:val="00C517B1"/>
    <w:rsid w:val="00C5195B"/>
    <w:rsid w:val="00C519CE"/>
    <w:rsid w:val="00C52942"/>
    <w:rsid w:val="00C542E1"/>
    <w:rsid w:val="00C5471D"/>
    <w:rsid w:val="00C55410"/>
    <w:rsid w:val="00C575DA"/>
    <w:rsid w:val="00C622B5"/>
    <w:rsid w:val="00C639B6"/>
    <w:rsid w:val="00C63DC2"/>
    <w:rsid w:val="00C63DE4"/>
    <w:rsid w:val="00C6478E"/>
    <w:rsid w:val="00C6713C"/>
    <w:rsid w:val="00C73B4D"/>
    <w:rsid w:val="00C73FDB"/>
    <w:rsid w:val="00C74B98"/>
    <w:rsid w:val="00C76DB7"/>
    <w:rsid w:val="00C773E3"/>
    <w:rsid w:val="00C80761"/>
    <w:rsid w:val="00C818A9"/>
    <w:rsid w:val="00C82DB4"/>
    <w:rsid w:val="00C830D5"/>
    <w:rsid w:val="00C84547"/>
    <w:rsid w:val="00C84B4B"/>
    <w:rsid w:val="00C85891"/>
    <w:rsid w:val="00C8710E"/>
    <w:rsid w:val="00C906C7"/>
    <w:rsid w:val="00C912B7"/>
    <w:rsid w:val="00C92DDB"/>
    <w:rsid w:val="00C93BC6"/>
    <w:rsid w:val="00C94A37"/>
    <w:rsid w:val="00C95DFE"/>
    <w:rsid w:val="00CA1356"/>
    <w:rsid w:val="00CA271F"/>
    <w:rsid w:val="00CA38BF"/>
    <w:rsid w:val="00CA4984"/>
    <w:rsid w:val="00CA4A86"/>
    <w:rsid w:val="00CB03C9"/>
    <w:rsid w:val="00CB505D"/>
    <w:rsid w:val="00CB5437"/>
    <w:rsid w:val="00CB690E"/>
    <w:rsid w:val="00CC02EA"/>
    <w:rsid w:val="00CC0348"/>
    <w:rsid w:val="00CC291E"/>
    <w:rsid w:val="00CC353F"/>
    <w:rsid w:val="00CC46A9"/>
    <w:rsid w:val="00CC48FE"/>
    <w:rsid w:val="00CC4956"/>
    <w:rsid w:val="00CC581B"/>
    <w:rsid w:val="00CC7095"/>
    <w:rsid w:val="00CD007E"/>
    <w:rsid w:val="00CD0B95"/>
    <w:rsid w:val="00CD3427"/>
    <w:rsid w:val="00CE31A5"/>
    <w:rsid w:val="00CE4451"/>
    <w:rsid w:val="00CE5E64"/>
    <w:rsid w:val="00CE68C2"/>
    <w:rsid w:val="00CE7AB2"/>
    <w:rsid w:val="00CF338F"/>
    <w:rsid w:val="00CF4FFC"/>
    <w:rsid w:val="00CF670F"/>
    <w:rsid w:val="00D00C62"/>
    <w:rsid w:val="00D04C71"/>
    <w:rsid w:val="00D05F84"/>
    <w:rsid w:val="00D157EE"/>
    <w:rsid w:val="00D16E82"/>
    <w:rsid w:val="00D20118"/>
    <w:rsid w:val="00D20A93"/>
    <w:rsid w:val="00D24A5F"/>
    <w:rsid w:val="00D25278"/>
    <w:rsid w:val="00D25BCF"/>
    <w:rsid w:val="00D25F86"/>
    <w:rsid w:val="00D26297"/>
    <w:rsid w:val="00D270B2"/>
    <w:rsid w:val="00D323ED"/>
    <w:rsid w:val="00D32B54"/>
    <w:rsid w:val="00D3541F"/>
    <w:rsid w:val="00D35D69"/>
    <w:rsid w:val="00D42BAE"/>
    <w:rsid w:val="00D4442C"/>
    <w:rsid w:val="00D45A7B"/>
    <w:rsid w:val="00D45CE1"/>
    <w:rsid w:val="00D463F8"/>
    <w:rsid w:val="00D4775D"/>
    <w:rsid w:val="00D5077A"/>
    <w:rsid w:val="00D50CD0"/>
    <w:rsid w:val="00D5101C"/>
    <w:rsid w:val="00D5182B"/>
    <w:rsid w:val="00D532B2"/>
    <w:rsid w:val="00D5342D"/>
    <w:rsid w:val="00D549C5"/>
    <w:rsid w:val="00D56478"/>
    <w:rsid w:val="00D56E34"/>
    <w:rsid w:val="00D60EC2"/>
    <w:rsid w:val="00D61C96"/>
    <w:rsid w:val="00D64C1E"/>
    <w:rsid w:val="00D64F63"/>
    <w:rsid w:val="00D6587C"/>
    <w:rsid w:val="00D65E3C"/>
    <w:rsid w:val="00D661A0"/>
    <w:rsid w:val="00D66B7E"/>
    <w:rsid w:val="00D67A5F"/>
    <w:rsid w:val="00D67E5C"/>
    <w:rsid w:val="00D74D52"/>
    <w:rsid w:val="00D75189"/>
    <w:rsid w:val="00D7656C"/>
    <w:rsid w:val="00D77E83"/>
    <w:rsid w:val="00D808A4"/>
    <w:rsid w:val="00D814BB"/>
    <w:rsid w:val="00D818DF"/>
    <w:rsid w:val="00D82220"/>
    <w:rsid w:val="00D8484A"/>
    <w:rsid w:val="00D84F08"/>
    <w:rsid w:val="00D866B0"/>
    <w:rsid w:val="00D91DEB"/>
    <w:rsid w:val="00D91F7D"/>
    <w:rsid w:val="00D93D2A"/>
    <w:rsid w:val="00D960E8"/>
    <w:rsid w:val="00D97B15"/>
    <w:rsid w:val="00DA13C3"/>
    <w:rsid w:val="00DA187A"/>
    <w:rsid w:val="00DA2CD1"/>
    <w:rsid w:val="00DA3285"/>
    <w:rsid w:val="00DA556F"/>
    <w:rsid w:val="00DA7535"/>
    <w:rsid w:val="00DB2FB0"/>
    <w:rsid w:val="00DB53D1"/>
    <w:rsid w:val="00DC4960"/>
    <w:rsid w:val="00DC5A7D"/>
    <w:rsid w:val="00DC6ADB"/>
    <w:rsid w:val="00DD1DCE"/>
    <w:rsid w:val="00DD24A0"/>
    <w:rsid w:val="00DD28CE"/>
    <w:rsid w:val="00DD3B7D"/>
    <w:rsid w:val="00DE02AD"/>
    <w:rsid w:val="00DE0D01"/>
    <w:rsid w:val="00DE1D47"/>
    <w:rsid w:val="00DE2A67"/>
    <w:rsid w:val="00DE2ABC"/>
    <w:rsid w:val="00DE546F"/>
    <w:rsid w:val="00DE6BC9"/>
    <w:rsid w:val="00DE6D4D"/>
    <w:rsid w:val="00DF2CA2"/>
    <w:rsid w:val="00DF3CEE"/>
    <w:rsid w:val="00DF71B0"/>
    <w:rsid w:val="00DF72A7"/>
    <w:rsid w:val="00E01164"/>
    <w:rsid w:val="00E0227C"/>
    <w:rsid w:val="00E02994"/>
    <w:rsid w:val="00E071C1"/>
    <w:rsid w:val="00E078E9"/>
    <w:rsid w:val="00E07F83"/>
    <w:rsid w:val="00E106C8"/>
    <w:rsid w:val="00E10CF8"/>
    <w:rsid w:val="00E10F54"/>
    <w:rsid w:val="00E113F0"/>
    <w:rsid w:val="00E12CDE"/>
    <w:rsid w:val="00E136F9"/>
    <w:rsid w:val="00E140AB"/>
    <w:rsid w:val="00E15B4C"/>
    <w:rsid w:val="00E15C1A"/>
    <w:rsid w:val="00E17B4D"/>
    <w:rsid w:val="00E17F2D"/>
    <w:rsid w:val="00E306B3"/>
    <w:rsid w:val="00E31B1A"/>
    <w:rsid w:val="00E3232F"/>
    <w:rsid w:val="00E324D0"/>
    <w:rsid w:val="00E337B4"/>
    <w:rsid w:val="00E33872"/>
    <w:rsid w:val="00E338EA"/>
    <w:rsid w:val="00E3479A"/>
    <w:rsid w:val="00E351AC"/>
    <w:rsid w:val="00E358E0"/>
    <w:rsid w:val="00E36446"/>
    <w:rsid w:val="00E36469"/>
    <w:rsid w:val="00E37296"/>
    <w:rsid w:val="00E37330"/>
    <w:rsid w:val="00E37DDB"/>
    <w:rsid w:val="00E40021"/>
    <w:rsid w:val="00E40373"/>
    <w:rsid w:val="00E40DAA"/>
    <w:rsid w:val="00E42BA8"/>
    <w:rsid w:val="00E43304"/>
    <w:rsid w:val="00E441F1"/>
    <w:rsid w:val="00E53294"/>
    <w:rsid w:val="00E53821"/>
    <w:rsid w:val="00E53ABC"/>
    <w:rsid w:val="00E57E37"/>
    <w:rsid w:val="00E60C07"/>
    <w:rsid w:val="00E66698"/>
    <w:rsid w:val="00E666C6"/>
    <w:rsid w:val="00E67759"/>
    <w:rsid w:val="00E720A0"/>
    <w:rsid w:val="00E737D4"/>
    <w:rsid w:val="00E75E22"/>
    <w:rsid w:val="00E77567"/>
    <w:rsid w:val="00E81680"/>
    <w:rsid w:val="00E832C5"/>
    <w:rsid w:val="00E84657"/>
    <w:rsid w:val="00E85A8B"/>
    <w:rsid w:val="00E86A01"/>
    <w:rsid w:val="00E95BCB"/>
    <w:rsid w:val="00E9744C"/>
    <w:rsid w:val="00EA13BC"/>
    <w:rsid w:val="00EA1FF9"/>
    <w:rsid w:val="00EA202C"/>
    <w:rsid w:val="00EA3E30"/>
    <w:rsid w:val="00EB491E"/>
    <w:rsid w:val="00EC364D"/>
    <w:rsid w:val="00EC4AA2"/>
    <w:rsid w:val="00EC70B6"/>
    <w:rsid w:val="00ED097C"/>
    <w:rsid w:val="00ED1204"/>
    <w:rsid w:val="00ED27C5"/>
    <w:rsid w:val="00ED3F26"/>
    <w:rsid w:val="00EE219C"/>
    <w:rsid w:val="00EE2CF7"/>
    <w:rsid w:val="00EE585D"/>
    <w:rsid w:val="00EE6115"/>
    <w:rsid w:val="00EE7F98"/>
    <w:rsid w:val="00EF09EA"/>
    <w:rsid w:val="00EF1D0C"/>
    <w:rsid w:val="00EF1EFC"/>
    <w:rsid w:val="00EF2388"/>
    <w:rsid w:val="00EF29E9"/>
    <w:rsid w:val="00EF2A6D"/>
    <w:rsid w:val="00EF464B"/>
    <w:rsid w:val="00F01F28"/>
    <w:rsid w:val="00F03453"/>
    <w:rsid w:val="00F04C01"/>
    <w:rsid w:val="00F124D4"/>
    <w:rsid w:val="00F12F26"/>
    <w:rsid w:val="00F21289"/>
    <w:rsid w:val="00F22102"/>
    <w:rsid w:val="00F238A3"/>
    <w:rsid w:val="00F24088"/>
    <w:rsid w:val="00F24261"/>
    <w:rsid w:val="00F25B48"/>
    <w:rsid w:val="00F25BAC"/>
    <w:rsid w:val="00F312E2"/>
    <w:rsid w:val="00F32E98"/>
    <w:rsid w:val="00F34134"/>
    <w:rsid w:val="00F3479A"/>
    <w:rsid w:val="00F34E2C"/>
    <w:rsid w:val="00F36C31"/>
    <w:rsid w:val="00F36E48"/>
    <w:rsid w:val="00F37F2C"/>
    <w:rsid w:val="00F40651"/>
    <w:rsid w:val="00F413AF"/>
    <w:rsid w:val="00F41CFE"/>
    <w:rsid w:val="00F45130"/>
    <w:rsid w:val="00F45FA7"/>
    <w:rsid w:val="00F46679"/>
    <w:rsid w:val="00F46691"/>
    <w:rsid w:val="00F46A9F"/>
    <w:rsid w:val="00F476D9"/>
    <w:rsid w:val="00F52125"/>
    <w:rsid w:val="00F53529"/>
    <w:rsid w:val="00F540AB"/>
    <w:rsid w:val="00F5419E"/>
    <w:rsid w:val="00F54329"/>
    <w:rsid w:val="00F552C1"/>
    <w:rsid w:val="00F60430"/>
    <w:rsid w:val="00F6174A"/>
    <w:rsid w:val="00F62A73"/>
    <w:rsid w:val="00F636E9"/>
    <w:rsid w:val="00F6390A"/>
    <w:rsid w:val="00F65410"/>
    <w:rsid w:val="00F6769F"/>
    <w:rsid w:val="00F67892"/>
    <w:rsid w:val="00F71FE2"/>
    <w:rsid w:val="00F73644"/>
    <w:rsid w:val="00F73816"/>
    <w:rsid w:val="00F75637"/>
    <w:rsid w:val="00F75930"/>
    <w:rsid w:val="00F81701"/>
    <w:rsid w:val="00F81AD2"/>
    <w:rsid w:val="00F82C09"/>
    <w:rsid w:val="00F83C59"/>
    <w:rsid w:val="00F843D5"/>
    <w:rsid w:val="00F84A07"/>
    <w:rsid w:val="00F858AD"/>
    <w:rsid w:val="00F874E9"/>
    <w:rsid w:val="00F9045F"/>
    <w:rsid w:val="00F92984"/>
    <w:rsid w:val="00F9531F"/>
    <w:rsid w:val="00F95D4F"/>
    <w:rsid w:val="00F96807"/>
    <w:rsid w:val="00F972FA"/>
    <w:rsid w:val="00F97CDB"/>
    <w:rsid w:val="00FA07A0"/>
    <w:rsid w:val="00FA2A77"/>
    <w:rsid w:val="00FA5A8F"/>
    <w:rsid w:val="00FA6981"/>
    <w:rsid w:val="00FA6AB4"/>
    <w:rsid w:val="00FA6FBB"/>
    <w:rsid w:val="00FB0772"/>
    <w:rsid w:val="00FB3482"/>
    <w:rsid w:val="00FC1915"/>
    <w:rsid w:val="00FC20AA"/>
    <w:rsid w:val="00FC3774"/>
    <w:rsid w:val="00FC40BC"/>
    <w:rsid w:val="00FC4209"/>
    <w:rsid w:val="00FC431B"/>
    <w:rsid w:val="00FC7383"/>
    <w:rsid w:val="00FD646C"/>
    <w:rsid w:val="00FD783A"/>
    <w:rsid w:val="00FE0E94"/>
    <w:rsid w:val="00FE1737"/>
    <w:rsid w:val="00FE430A"/>
    <w:rsid w:val="00FE7B10"/>
    <w:rsid w:val="00FF05F6"/>
    <w:rsid w:val="00FF2251"/>
    <w:rsid w:val="00FF2B83"/>
    <w:rsid w:val="00FF5D2E"/>
    <w:rsid w:val="00FF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C36E"/>
  <w15:chartTrackingRefBased/>
  <w15:docId w15:val="{9242BDFA-2D83-4762-B5B8-CE42013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61"/>
    <w:pPr>
      <w:spacing w:after="240" w:line="288" w:lineRule="auto"/>
    </w:pPr>
    <w:rPr>
      <w:kern w:val="0"/>
      <w:sz w:val="24"/>
      <w14:ligatures w14:val="none"/>
    </w:rPr>
  </w:style>
  <w:style w:type="paragraph" w:styleId="Heading1">
    <w:name w:val="heading 1"/>
    <w:basedOn w:val="Normal"/>
    <w:next w:val="Normal"/>
    <w:link w:val="Heading1Char"/>
    <w:uiPriority w:val="9"/>
    <w:qFormat/>
    <w:rsid w:val="00CA38BF"/>
    <w:pPr>
      <w:keepNext/>
      <w:keepLines/>
      <w:numPr>
        <w:numId w:val="1"/>
      </w:numPr>
      <w:spacing w:before="240"/>
      <w:outlineLvl w:val="0"/>
    </w:pPr>
    <w:rPr>
      <w:rFonts w:ascii="Verdana" w:eastAsiaTheme="majorEastAsia" w:hAnsi="Verdana" w:cstheme="majorBidi"/>
      <w:b/>
      <w:color w:val="77328A"/>
      <w:sz w:val="32"/>
      <w:szCs w:val="32"/>
    </w:rPr>
  </w:style>
  <w:style w:type="paragraph" w:styleId="Heading2">
    <w:name w:val="heading 2"/>
    <w:basedOn w:val="Normal"/>
    <w:next w:val="Normal"/>
    <w:link w:val="Heading2Char"/>
    <w:uiPriority w:val="9"/>
    <w:unhideWhenUsed/>
    <w:qFormat/>
    <w:rsid w:val="004C6DF8"/>
    <w:pPr>
      <w:spacing w:line="360" w:lineRule="auto"/>
      <w:outlineLvl w:val="1"/>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BF"/>
    <w:rPr>
      <w:rFonts w:ascii="Verdana" w:eastAsiaTheme="majorEastAsia" w:hAnsi="Verdana" w:cstheme="majorBidi"/>
      <w:b/>
      <w:color w:val="77328A"/>
      <w:kern w:val="0"/>
      <w:sz w:val="32"/>
      <w:szCs w:val="32"/>
      <w14:ligatures w14:val="non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4C6DF8"/>
    <w:pPr>
      <w:widowControl w:val="0"/>
      <w:numPr>
        <w:ilvl w:val="1"/>
        <w:numId w:val="1"/>
      </w:numPr>
      <w:suppressAutoHyphens/>
      <w:autoSpaceDE w:val="0"/>
      <w:autoSpaceDN w:val="0"/>
      <w:adjustRightInd w:val="0"/>
      <w:spacing w:after="0"/>
      <w:ind w:left="709"/>
      <w:textAlignment w:val="center"/>
    </w:pPr>
    <w:rPr>
      <w:rFonts w:ascii="Verdana" w:eastAsiaTheme="minorEastAsia" w:hAnsi="Verdana" w:cs="MinionPro-Regular"/>
      <w:color w:val="000000"/>
      <w:szCs w:val="24"/>
    </w:rPr>
  </w:style>
  <w:style w:type="character" w:styleId="Hyperlink">
    <w:name w:val="Hyperlink"/>
    <w:basedOn w:val="DefaultParagraphFont"/>
    <w:uiPriority w:val="99"/>
    <w:unhideWhenUsed/>
    <w:rsid w:val="00CA38BF"/>
    <w:rPr>
      <w:color w:val="0563C1" w:themeColor="hyperlink"/>
      <w:u w:val="single"/>
    </w:rPr>
  </w:style>
  <w:style w:type="paragraph" w:styleId="TOC1">
    <w:name w:val="toc 1"/>
    <w:basedOn w:val="Normal"/>
    <w:next w:val="Normal"/>
    <w:autoRedefine/>
    <w:uiPriority w:val="39"/>
    <w:unhideWhenUsed/>
    <w:rsid w:val="007A683A"/>
    <w:pPr>
      <w:tabs>
        <w:tab w:val="left" w:pos="660"/>
        <w:tab w:val="right" w:leader="dot" w:pos="9016"/>
      </w:tabs>
      <w:spacing w:after="100"/>
    </w:pPr>
    <w:rPr>
      <w:rFonts w:ascii="Verdana" w:eastAsiaTheme="minorEastAsia" w:hAnsi="Verdana"/>
      <w:b/>
      <w:bCs/>
      <w:noProof/>
      <w:szCs w:val="24"/>
    </w:rPr>
  </w:style>
  <w:style w:type="paragraph" w:styleId="TOC2">
    <w:name w:val="toc 2"/>
    <w:basedOn w:val="Normal"/>
    <w:next w:val="Normal"/>
    <w:autoRedefine/>
    <w:uiPriority w:val="39"/>
    <w:unhideWhenUsed/>
    <w:rsid w:val="005D7D12"/>
    <w:pPr>
      <w:tabs>
        <w:tab w:val="right" w:leader="dot" w:pos="9016"/>
      </w:tabs>
      <w:spacing w:after="100"/>
    </w:pPr>
    <w:rPr>
      <w:rFonts w:ascii="Verdana" w:eastAsiaTheme="minorEastAsia" w:hAnsi="Verdana"/>
      <w:szCs w:val="24"/>
    </w:rPr>
  </w:style>
  <w:style w:type="character" w:styleId="UnresolvedMention">
    <w:name w:val="Unresolved Mention"/>
    <w:basedOn w:val="DefaultParagraphFont"/>
    <w:uiPriority w:val="99"/>
    <w:semiHidden/>
    <w:unhideWhenUsed/>
    <w:rsid w:val="00CE5E64"/>
    <w:rPr>
      <w:color w:val="605E5C"/>
      <w:shd w:val="clear" w:color="auto" w:fill="E1DFDD"/>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B7736B"/>
    <w:pPr>
      <w:spacing w:after="0"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B7736B"/>
    <w:rPr>
      <w:kern w:val="0"/>
      <w:sz w:val="20"/>
      <w:szCs w:val="20"/>
      <w14:ligatures w14:val="non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B7736B"/>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7736B"/>
    <w:pPr>
      <w:spacing w:after="0" w:line="240" w:lineRule="exact"/>
      <w:jc w:val="both"/>
    </w:pPr>
    <w:rPr>
      <w:kern w:val="2"/>
      <w:vertAlign w:val="superscript"/>
      <w14:ligatures w14:val="standardContextual"/>
    </w:rPr>
  </w:style>
  <w:style w:type="paragraph" w:customStyle="1" w:styleId="NIHRCFootnotes">
    <w:name w:val="NIHRC Footnotes"/>
    <w:basedOn w:val="Normal"/>
    <w:qFormat/>
    <w:rsid w:val="001C31B1"/>
    <w:pPr>
      <w:tabs>
        <w:tab w:val="left" w:pos="284"/>
      </w:tabs>
      <w:spacing w:after="0" w:line="240" w:lineRule="auto"/>
    </w:pPr>
    <w:rPr>
      <w:rFonts w:ascii="Verdana" w:eastAsiaTheme="minorEastAsia" w:hAnsi="Verdana" w:cs="Arial"/>
      <w:color w:val="77328A"/>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4C6DF8"/>
    <w:rPr>
      <w:rFonts w:ascii="Verdana" w:eastAsiaTheme="minorEastAsia" w:hAnsi="Verdana" w:cs="MinionPro-Regular"/>
      <w:color w:val="000000"/>
      <w:kern w:val="0"/>
      <w:sz w:val="24"/>
      <w:szCs w:val="24"/>
      <w14:ligatures w14:val="none"/>
    </w:rPr>
  </w:style>
  <w:style w:type="character" w:styleId="CommentReference">
    <w:name w:val="annotation reference"/>
    <w:basedOn w:val="DefaultParagraphFont"/>
    <w:uiPriority w:val="99"/>
    <w:semiHidden/>
    <w:unhideWhenUsed/>
    <w:rsid w:val="001C31B1"/>
    <w:rPr>
      <w:sz w:val="16"/>
      <w:szCs w:val="16"/>
    </w:rPr>
  </w:style>
  <w:style w:type="paragraph" w:styleId="CommentText">
    <w:name w:val="annotation text"/>
    <w:basedOn w:val="Normal"/>
    <w:link w:val="CommentTextChar"/>
    <w:uiPriority w:val="99"/>
    <w:unhideWhenUsed/>
    <w:rsid w:val="001C31B1"/>
    <w:pPr>
      <w:spacing w:line="240" w:lineRule="auto"/>
    </w:pPr>
    <w:rPr>
      <w:sz w:val="20"/>
      <w:szCs w:val="20"/>
    </w:rPr>
  </w:style>
  <w:style w:type="character" w:customStyle="1" w:styleId="CommentTextChar">
    <w:name w:val="Comment Text Char"/>
    <w:basedOn w:val="DefaultParagraphFont"/>
    <w:link w:val="CommentText"/>
    <w:uiPriority w:val="99"/>
    <w:rsid w:val="001C31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5008"/>
    <w:rPr>
      <w:b/>
      <w:bCs/>
    </w:rPr>
  </w:style>
  <w:style w:type="character" w:customStyle="1" w:styleId="CommentSubjectChar">
    <w:name w:val="Comment Subject Char"/>
    <w:basedOn w:val="CommentTextChar"/>
    <w:link w:val="CommentSubject"/>
    <w:uiPriority w:val="99"/>
    <w:semiHidden/>
    <w:rsid w:val="007D5008"/>
    <w:rPr>
      <w:b/>
      <w:bCs/>
      <w:kern w:val="0"/>
      <w:sz w:val="20"/>
      <w:szCs w:val="20"/>
      <w14:ligatures w14:val="none"/>
    </w:rPr>
  </w:style>
  <w:style w:type="paragraph" w:styleId="NormalWeb">
    <w:name w:val="Normal (Web)"/>
    <w:basedOn w:val="Normal"/>
    <w:uiPriority w:val="99"/>
    <w:unhideWhenUsed/>
    <w:rsid w:val="00AD43B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D43B6"/>
    <w:rPr>
      <w:b/>
      <w:bCs/>
    </w:rPr>
  </w:style>
  <w:style w:type="character" w:customStyle="1" w:styleId="Heading2Char">
    <w:name w:val="Heading 2 Char"/>
    <w:basedOn w:val="DefaultParagraphFont"/>
    <w:link w:val="Heading2"/>
    <w:uiPriority w:val="9"/>
    <w:rsid w:val="004C6DF8"/>
    <w:rPr>
      <w:rFonts w:ascii="Verdana" w:hAnsi="Verdana"/>
      <w:b/>
      <w:bCs/>
      <w:kern w:val="0"/>
      <w:sz w:val="24"/>
      <w14:ligatures w14:val="none"/>
    </w:rPr>
  </w:style>
  <w:style w:type="paragraph" w:customStyle="1" w:styleId="BasicParagraph">
    <w:name w:val="[Basic Paragraph]"/>
    <w:basedOn w:val="Normal"/>
    <w:link w:val="BasicParagraphChar"/>
    <w:uiPriority w:val="99"/>
    <w:rsid w:val="00780859"/>
    <w:pPr>
      <w:widowControl w:val="0"/>
      <w:autoSpaceDE w:val="0"/>
      <w:autoSpaceDN w:val="0"/>
      <w:adjustRightInd w:val="0"/>
      <w:spacing w:after="0"/>
      <w:textAlignment w:val="center"/>
    </w:pPr>
    <w:rPr>
      <w:rFonts w:ascii="MinionPro-Regular" w:eastAsiaTheme="minorEastAsia" w:hAnsi="MinionPro-Regular" w:cs="MinionPro-Regular"/>
      <w:color w:val="000000"/>
      <w:szCs w:val="24"/>
    </w:rPr>
  </w:style>
  <w:style w:type="paragraph" w:customStyle="1" w:styleId="Footnote">
    <w:name w:val="Footnote"/>
    <w:basedOn w:val="FootnoteText"/>
    <w:link w:val="FootnoteChar"/>
    <w:qFormat/>
    <w:rsid w:val="004F24E5"/>
    <w:rPr>
      <w:rFonts w:ascii="Calibri" w:hAnsi="Calibri"/>
      <w:color w:val="77328A"/>
      <w:sz w:val="16"/>
      <w:szCs w:val="16"/>
    </w:rPr>
  </w:style>
  <w:style w:type="character" w:customStyle="1" w:styleId="FootnoteChar">
    <w:name w:val="Footnote Char"/>
    <w:basedOn w:val="FootnoteTextChar"/>
    <w:link w:val="Footnote"/>
    <w:rsid w:val="004F24E5"/>
    <w:rPr>
      <w:rFonts w:ascii="Calibri" w:hAnsi="Calibri"/>
      <w:color w:val="77328A"/>
      <w:kern w:val="0"/>
      <w:sz w:val="16"/>
      <w:szCs w:val="16"/>
      <w14:ligatures w14:val="none"/>
    </w:rPr>
  </w:style>
  <w:style w:type="paragraph" w:customStyle="1" w:styleId="Bulletlist">
    <w:name w:val="Bullet list"/>
    <w:basedOn w:val="ListParagraph"/>
    <w:link w:val="BulletlistChar"/>
    <w:qFormat/>
    <w:rsid w:val="004F24E5"/>
    <w:pPr>
      <w:widowControl/>
      <w:numPr>
        <w:ilvl w:val="0"/>
        <w:numId w:val="5"/>
      </w:numPr>
      <w:suppressAutoHyphens w:val="0"/>
      <w:autoSpaceDE/>
      <w:autoSpaceDN/>
      <w:adjustRightInd/>
      <w:textAlignment w:val="auto"/>
    </w:pPr>
    <w:rPr>
      <w:rFonts w:asciiTheme="minorHAnsi" w:eastAsiaTheme="minorHAnsi" w:hAnsiTheme="minorHAnsi" w:cstheme="minorBidi"/>
      <w:color w:val="auto"/>
      <w:sz w:val="28"/>
      <w:szCs w:val="28"/>
    </w:rPr>
  </w:style>
  <w:style w:type="character" w:customStyle="1" w:styleId="BulletlistChar">
    <w:name w:val="Bullet list Char"/>
    <w:basedOn w:val="DefaultParagraphFont"/>
    <w:link w:val="Bulletlist"/>
    <w:rsid w:val="004F24E5"/>
    <w:rPr>
      <w:kern w:val="0"/>
      <w:sz w:val="28"/>
      <w:szCs w:val="28"/>
      <w14:ligatures w14:val="none"/>
    </w:rPr>
  </w:style>
  <w:style w:type="paragraph" w:styleId="Header">
    <w:name w:val="header"/>
    <w:basedOn w:val="Normal"/>
    <w:link w:val="HeaderChar"/>
    <w:uiPriority w:val="99"/>
    <w:unhideWhenUsed/>
    <w:rsid w:val="006D5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BDD"/>
    <w:rPr>
      <w:kern w:val="0"/>
      <w14:ligatures w14:val="none"/>
    </w:rPr>
  </w:style>
  <w:style w:type="paragraph" w:styleId="Footer">
    <w:name w:val="footer"/>
    <w:basedOn w:val="Normal"/>
    <w:link w:val="FooterChar"/>
    <w:uiPriority w:val="99"/>
    <w:unhideWhenUsed/>
    <w:rsid w:val="006D5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BDD"/>
    <w:rPr>
      <w:kern w:val="0"/>
      <w14:ligatures w14:val="none"/>
    </w:rPr>
  </w:style>
  <w:style w:type="paragraph" w:customStyle="1" w:styleId="paragraph">
    <w:name w:val="paragraph"/>
    <w:basedOn w:val="Normal"/>
    <w:rsid w:val="006213E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213E8"/>
  </w:style>
  <w:style w:type="character" w:customStyle="1" w:styleId="eop">
    <w:name w:val="eop"/>
    <w:basedOn w:val="DefaultParagraphFont"/>
    <w:rsid w:val="006213E8"/>
  </w:style>
  <w:style w:type="character" w:customStyle="1" w:styleId="superscript">
    <w:name w:val="superscript"/>
    <w:basedOn w:val="DefaultParagraphFont"/>
    <w:rsid w:val="006213E8"/>
  </w:style>
  <w:style w:type="paragraph" w:styleId="Revision">
    <w:name w:val="Revision"/>
    <w:hidden/>
    <w:uiPriority w:val="99"/>
    <w:semiHidden/>
    <w:rsid w:val="008D7638"/>
    <w:pPr>
      <w:spacing w:after="0" w:line="240" w:lineRule="auto"/>
    </w:pPr>
    <w:rPr>
      <w:kern w:val="0"/>
      <w14:ligatures w14:val="none"/>
    </w:rPr>
  </w:style>
  <w:style w:type="character" w:customStyle="1" w:styleId="legds">
    <w:name w:val="legds"/>
    <w:basedOn w:val="DefaultParagraphFont"/>
    <w:rsid w:val="00DF2CA2"/>
  </w:style>
  <w:style w:type="character" w:customStyle="1" w:styleId="BasicParagraphChar">
    <w:name w:val="[Basic Paragraph] Char"/>
    <w:basedOn w:val="DefaultParagraphFont"/>
    <w:link w:val="BasicParagraph"/>
    <w:uiPriority w:val="99"/>
    <w:rsid w:val="00697C10"/>
    <w:rPr>
      <w:rFonts w:ascii="MinionPro-Regular" w:eastAsiaTheme="minorEastAsia" w:hAnsi="MinionPro-Regular" w:cs="MinionPro-Regula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09">
      <w:bodyDiv w:val="1"/>
      <w:marLeft w:val="0"/>
      <w:marRight w:val="0"/>
      <w:marTop w:val="0"/>
      <w:marBottom w:val="0"/>
      <w:divBdr>
        <w:top w:val="none" w:sz="0" w:space="0" w:color="auto"/>
        <w:left w:val="none" w:sz="0" w:space="0" w:color="auto"/>
        <w:bottom w:val="none" w:sz="0" w:space="0" w:color="auto"/>
        <w:right w:val="none" w:sz="0" w:space="0" w:color="auto"/>
      </w:divBdr>
    </w:div>
    <w:div w:id="66198363">
      <w:bodyDiv w:val="1"/>
      <w:marLeft w:val="0"/>
      <w:marRight w:val="0"/>
      <w:marTop w:val="0"/>
      <w:marBottom w:val="0"/>
      <w:divBdr>
        <w:top w:val="none" w:sz="0" w:space="0" w:color="auto"/>
        <w:left w:val="none" w:sz="0" w:space="0" w:color="auto"/>
        <w:bottom w:val="none" w:sz="0" w:space="0" w:color="auto"/>
        <w:right w:val="none" w:sz="0" w:space="0" w:color="auto"/>
      </w:divBdr>
      <w:divsChild>
        <w:div w:id="386494249">
          <w:marLeft w:val="0"/>
          <w:marRight w:val="0"/>
          <w:marTop w:val="0"/>
          <w:marBottom w:val="0"/>
          <w:divBdr>
            <w:top w:val="single" w:sz="2" w:space="0" w:color="auto"/>
            <w:left w:val="single" w:sz="2" w:space="0" w:color="auto"/>
            <w:bottom w:val="single" w:sz="6" w:space="0" w:color="auto"/>
            <w:right w:val="single" w:sz="2" w:space="0" w:color="auto"/>
          </w:divBdr>
          <w:divsChild>
            <w:div w:id="186000484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183457">
                  <w:marLeft w:val="0"/>
                  <w:marRight w:val="0"/>
                  <w:marTop w:val="0"/>
                  <w:marBottom w:val="0"/>
                  <w:divBdr>
                    <w:top w:val="single" w:sz="2" w:space="0" w:color="D9D9E3"/>
                    <w:left w:val="single" w:sz="2" w:space="0" w:color="D9D9E3"/>
                    <w:bottom w:val="single" w:sz="2" w:space="0" w:color="D9D9E3"/>
                    <w:right w:val="single" w:sz="2" w:space="0" w:color="D9D9E3"/>
                  </w:divBdr>
                  <w:divsChild>
                    <w:div w:id="88089108">
                      <w:marLeft w:val="0"/>
                      <w:marRight w:val="0"/>
                      <w:marTop w:val="0"/>
                      <w:marBottom w:val="0"/>
                      <w:divBdr>
                        <w:top w:val="single" w:sz="2" w:space="0" w:color="D9D9E3"/>
                        <w:left w:val="single" w:sz="2" w:space="0" w:color="D9D9E3"/>
                        <w:bottom w:val="single" w:sz="2" w:space="0" w:color="D9D9E3"/>
                        <w:right w:val="single" w:sz="2" w:space="0" w:color="D9D9E3"/>
                      </w:divBdr>
                      <w:divsChild>
                        <w:div w:id="1702169844">
                          <w:marLeft w:val="0"/>
                          <w:marRight w:val="0"/>
                          <w:marTop w:val="0"/>
                          <w:marBottom w:val="0"/>
                          <w:divBdr>
                            <w:top w:val="single" w:sz="2" w:space="0" w:color="D9D9E3"/>
                            <w:left w:val="single" w:sz="2" w:space="0" w:color="D9D9E3"/>
                            <w:bottom w:val="single" w:sz="2" w:space="0" w:color="D9D9E3"/>
                            <w:right w:val="single" w:sz="2" w:space="0" w:color="D9D9E3"/>
                          </w:divBdr>
                          <w:divsChild>
                            <w:div w:id="863984265">
                              <w:marLeft w:val="0"/>
                              <w:marRight w:val="0"/>
                              <w:marTop w:val="0"/>
                              <w:marBottom w:val="0"/>
                              <w:divBdr>
                                <w:top w:val="single" w:sz="2" w:space="0" w:color="D9D9E3"/>
                                <w:left w:val="single" w:sz="2" w:space="0" w:color="D9D9E3"/>
                                <w:bottom w:val="single" w:sz="2" w:space="0" w:color="D9D9E3"/>
                                <w:right w:val="single" w:sz="2" w:space="0" w:color="D9D9E3"/>
                              </w:divBdr>
                              <w:divsChild>
                                <w:div w:id="1194226561">
                                  <w:marLeft w:val="0"/>
                                  <w:marRight w:val="0"/>
                                  <w:marTop w:val="0"/>
                                  <w:marBottom w:val="0"/>
                                  <w:divBdr>
                                    <w:top w:val="single" w:sz="2" w:space="0" w:color="D9D9E3"/>
                                    <w:left w:val="single" w:sz="2" w:space="0" w:color="D9D9E3"/>
                                    <w:bottom w:val="single" w:sz="2" w:space="0" w:color="D9D9E3"/>
                                    <w:right w:val="single" w:sz="2" w:space="0" w:color="D9D9E3"/>
                                  </w:divBdr>
                                  <w:divsChild>
                                    <w:div w:id="1959876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3528136">
      <w:bodyDiv w:val="1"/>
      <w:marLeft w:val="0"/>
      <w:marRight w:val="0"/>
      <w:marTop w:val="0"/>
      <w:marBottom w:val="0"/>
      <w:divBdr>
        <w:top w:val="none" w:sz="0" w:space="0" w:color="auto"/>
        <w:left w:val="none" w:sz="0" w:space="0" w:color="auto"/>
        <w:bottom w:val="none" w:sz="0" w:space="0" w:color="auto"/>
        <w:right w:val="none" w:sz="0" w:space="0" w:color="auto"/>
      </w:divBdr>
    </w:div>
    <w:div w:id="191460003">
      <w:bodyDiv w:val="1"/>
      <w:marLeft w:val="0"/>
      <w:marRight w:val="0"/>
      <w:marTop w:val="0"/>
      <w:marBottom w:val="0"/>
      <w:divBdr>
        <w:top w:val="none" w:sz="0" w:space="0" w:color="auto"/>
        <w:left w:val="none" w:sz="0" w:space="0" w:color="auto"/>
        <w:bottom w:val="none" w:sz="0" w:space="0" w:color="auto"/>
        <w:right w:val="none" w:sz="0" w:space="0" w:color="auto"/>
      </w:divBdr>
    </w:div>
    <w:div w:id="217322393">
      <w:bodyDiv w:val="1"/>
      <w:marLeft w:val="0"/>
      <w:marRight w:val="0"/>
      <w:marTop w:val="0"/>
      <w:marBottom w:val="0"/>
      <w:divBdr>
        <w:top w:val="none" w:sz="0" w:space="0" w:color="auto"/>
        <w:left w:val="none" w:sz="0" w:space="0" w:color="auto"/>
        <w:bottom w:val="none" w:sz="0" w:space="0" w:color="auto"/>
        <w:right w:val="none" w:sz="0" w:space="0" w:color="auto"/>
      </w:divBdr>
      <w:divsChild>
        <w:div w:id="997221720">
          <w:marLeft w:val="0"/>
          <w:marRight w:val="0"/>
          <w:marTop w:val="0"/>
          <w:marBottom w:val="0"/>
          <w:divBdr>
            <w:top w:val="single" w:sz="2" w:space="0" w:color="auto"/>
            <w:left w:val="single" w:sz="2" w:space="0" w:color="auto"/>
            <w:bottom w:val="single" w:sz="6" w:space="0" w:color="auto"/>
            <w:right w:val="single" w:sz="2" w:space="0" w:color="auto"/>
          </w:divBdr>
          <w:divsChild>
            <w:div w:id="2141338122">
              <w:marLeft w:val="0"/>
              <w:marRight w:val="0"/>
              <w:marTop w:val="100"/>
              <w:marBottom w:val="100"/>
              <w:divBdr>
                <w:top w:val="single" w:sz="2" w:space="0" w:color="D9D9E3"/>
                <w:left w:val="single" w:sz="2" w:space="0" w:color="D9D9E3"/>
                <w:bottom w:val="single" w:sz="2" w:space="0" w:color="D9D9E3"/>
                <w:right w:val="single" w:sz="2" w:space="0" w:color="D9D9E3"/>
              </w:divBdr>
              <w:divsChild>
                <w:div w:id="223032777">
                  <w:marLeft w:val="0"/>
                  <w:marRight w:val="0"/>
                  <w:marTop w:val="0"/>
                  <w:marBottom w:val="0"/>
                  <w:divBdr>
                    <w:top w:val="single" w:sz="2" w:space="0" w:color="D9D9E3"/>
                    <w:left w:val="single" w:sz="2" w:space="0" w:color="D9D9E3"/>
                    <w:bottom w:val="single" w:sz="2" w:space="0" w:color="D9D9E3"/>
                    <w:right w:val="single" w:sz="2" w:space="0" w:color="D9D9E3"/>
                  </w:divBdr>
                  <w:divsChild>
                    <w:div w:id="614559475">
                      <w:marLeft w:val="0"/>
                      <w:marRight w:val="0"/>
                      <w:marTop w:val="0"/>
                      <w:marBottom w:val="0"/>
                      <w:divBdr>
                        <w:top w:val="single" w:sz="2" w:space="0" w:color="D9D9E3"/>
                        <w:left w:val="single" w:sz="2" w:space="0" w:color="D9D9E3"/>
                        <w:bottom w:val="single" w:sz="2" w:space="0" w:color="D9D9E3"/>
                        <w:right w:val="single" w:sz="2" w:space="0" w:color="D9D9E3"/>
                      </w:divBdr>
                      <w:divsChild>
                        <w:div w:id="386221122">
                          <w:marLeft w:val="0"/>
                          <w:marRight w:val="0"/>
                          <w:marTop w:val="0"/>
                          <w:marBottom w:val="0"/>
                          <w:divBdr>
                            <w:top w:val="single" w:sz="2" w:space="0" w:color="D9D9E3"/>
                            <w:left w:val="single" w:sz="2" w:space="0" w:color="D9D9E3"/>
                            <w:bottom w:val="single" w:sz="2" w:space="0" w:color="D9D9E3"/>
                            <w:right w:val="single" w:sz="2" w:space="0" w:color="D9D9E3"/>
                          </w:divBdr>
                          <w:divsChild>
                            <w:div w:id="2054697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1600309">
      <w:bodyDiv w:val="1"/>
      <w:marLeft w:val="0"/>
      <w:marRight w:val="0"/>
      <w:marTop w:val="0"/>
      <w:marBottom w:val="0"/>
      <w:divBdr>
        <w:top w:val="none" w:sz="0" w:space="0" w:color="auto"/>
        <w:left w:val="none" w:sz="0" w:space="0" w:color="auto"/>
        <w:bottom w:val="none" w:sz="0" w:space="0" w:color="auto"/>
        <w:right w:val="none" w:sz="0" w:space="0" w:color="auto"/>
      </w:divBdr>
    </w:div>
    <w:div w:id="351881593">
      <w:bodyDiv w:val="1"/>
      <w:marLeft w:val="0"/>
      <w:marRight w:val="0"/>
      <w:marTop w:val="0"/>
      <w:marBottom w:val="0"/>
      <w:divBdr>
        <w:top w:val="none" w:sz="0" w:space="0" w:color="auto"/>
        <w:left w:val="none" w:sz="0" w:space="0" w:color="auto"/>
        <w:bottom w:val="none" w:sz="0" w:space="0" w:color="auto"/>
        <w:right w:val="none" w:sz="0" w:space="0" w:color="auto"/>
      </w:divBdr>
    </w:div>
    <w:div w:id="408189390">
      <w:bodyDiv w:val="1"/>
      <w:marLeft w:val="0"/>
      <w:marRight w:val="0"/>
      <w:marTop w:val="0"/>
      <w:marBottom w:val="0"/>
      <w:divBdr>
        <w:top w:val="none" w:sz="0" w:space="0" w:color="auto"/>
        <w:left w:val="none" w:sz="0" w:space="0" w:color="auto"/>
        <w:bottom w:val="none" w:sz="0" w:space="0" w:color="auto"/>
        <w:right w:val="none" w:sz="0" w:space="0" w:color="auto"/>
      </w:divBdr>
    </w:div>
    <w:div w:id="494565384">
      <w:bodyDiv w:val="1"/>
      <w:marLeft w:val="0"/>
      <w:marRight w:val="0"/>
      <w:marTop w:val="0"/>
      <w:marBottom w:val="0"/>
      <w:divBdr>
        <w:top w:val="none" w:sz="0" w:space="0" w:color="auto"/>
        <w:left w:val="none" w:sz="0" w:space="0" w:color="auto"/>
        <w:bottom w:val="none" w:sz="0" w:space="0" w:color="auto"/>
        <w:right w:val="none" w:sz="0" w:space="0" w:color="auto"/>
      </w:divBdr>
      <w:divsChild>
        <w:div w:id="1843818318">
          <w:marLeft w:val="0"/>
          <w:marRight w:val="0"/>
          <w:marTop w:val="0"/>
          <w:marBottom w:val="0"/>
          <w:divBdr>
            <w:top w:val="single" w:sz="2" w:space="0" w:color="auto"/>
            <w:left w:val="single" w:sz="2" w:space="0" w:color="auto"/>
            <w:bottom w:val="single" w:sz="6" w:space="0" w:color="auto"/>
            <w:right w:val="single" w:sz="2" w:space="0" w:color="auto"/>
          </w:divBdr>
          <w:divsChild>
            <w:div w:id="18325287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545502">
                  <w:marLeft w:val="0"/>
                  <w:marRight w:val="0"/>
                  <w:marTop w:val="0"/>
                  <w:marBottom w:val="0"/>
                  <w:divBdr>
                    <w:top w:val="single" w:sz="2" w:space="0" w:color="D9D9E3"/>
                    <w:left w:val="single" w:sz="2" w:space="0" w:color="D9D9E3"/>
                    <w:bottom w:val="single" w:sz="2" w:space="0" w:color="D9D9E3"/>
                    <w:right w:val="single" w:sz="2" w:space="0" w:color="D9D9E3"/>
                  </w:divBdr>
                  <w:divsChild>
                    <w:div w:id="1015839067">
                      <w:marLeft w:val="0"/>
                      <w:marRight w:val="0"/>
                      <w:marTop w:val="0"/>
                      <w:marBottom w:val="0"/>
                      <w:divBdr>
                        <w:top w:val="single" w:sz="2" w:space="0" w:color="D9D9E3"/>
                        <w:left w:val="single" w:sz="2" w:space="0" w:color="D9D9E3"/>
                        <w:bottom w:val="single" w:sz="2" w:space="0" w:color="D9D9E3"/>
                        <w:right w:val="single" w:sz="2" w:space="0" w:color="D9D9E3"/>
                      </w:divBdr>
                      <w:divsChild>
                        <w:div w:id="89014368">
                          <w:marLeft w:val="0"/>
                          <w:marRight w:val="0"/>
                          <w:marTop w:val="0"/>
                          <w:marBottom w:val="0"/>
                          <w:divBdr>
                            <w:top w:val="single" w:sz="2" w:space="0" w:color="D9D9E3"/>
                            <w:left w:val="single" w:sz="2" w:space="0" w:color="D9D9E3"/>
                            <w:bottom w:val="single" w:sz="2" w:space="0" w:color="D9D9E3"/>
                            <w:right w:val="single" w:sz="2" w:space="0" w:color="D9D9E3"/>
                          </w:divBdr>
                          <w:divsChild>
                            <w:div w:id="498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1314098">
      <w:bodyDiv w:val="1"/>
      <w:marLeft w:val="0"/>
      <w:marRight w:val="0"/>
      <w:marTop w:val="0"/>
      <w:marBottom w:val="0"/>
      <w:divBdr>
        <w:top w:val="none" w:sz="0" w:space="0" w:color="auto"/>
        <w:left w:val="none" w:sz="0" w:space="0" w:color="auto"/>
        <w:bottom w:val="none" w:sz="0" w:space="0" w:color="auto"/>
        <w:right w:val="none" w:sz="0" w:space="0" w:color="auto"/>
      </w:divBdr>
    </w:div>
    <w:div w:id="504516862">
      <w:bodyDiv w:val="1"/>
      <w:marLeft w:val="0"/>
      <w:marRight w:val="0"/>
      <w:marTop w:val="0"/>
      <w:marBottom w:val="0"/>
      <w:divBdr>
        <w:top w:val="none" w:sz="0" w:space="0" w:color="auto"/>
        <w:left w:val="none" w:sz="0" w:space="0" w:color="auto"/>
        <w:bottom w:val="none" w:sz="0" w:space="0" w:color="auto"/>
        <w:right w:val="none" w:sz="0" w:space="0" w:color="auto"/>
      </w:divBdr>
      <w:divsChild>
        <w:div w:id="1699428392">
          <w:marLeft w:val="0"/>
          <w:marRight w:val="0"/>
          <w:marTop w:val="0"/>
          <w:marBottom w:val="0"/>
          <w:divBdr>
            <w:top w:val="single" w:sz="2" w:space="0" w:color="D9D9E3"/>
            <w:left w:val="single" w:sz="2" w:space="0" w:color="D9D9E3"/>
            <w:bottom w:val="single" w:sz="2" w:space="0" w:color="D9D9E3"/>
            <w:right w:val="single" w:sz="2" w:space="0" w:color="D9D9E3"/>
          </w:divBdr>
          <w:divsChild>
            <w:div w:id="781071153">
              <w:marLeft w:val="0"/>
              <w:marRight w:val="0"/>
              <w:marTop w:val="0"/>
              <w:marBottom w:val="0"/>
              <w:divBdr>
                <w:top w:val="single" w:sz="2" w:space="0" w:color="D9D9E3"/>
                <w:left w:val="single" w:sz="2" w:space="0" w:color="D9D9E3"/>
                <w:bottom w:val="single" w:sz="2" w:space="0" w:color="D9D9E3"/>
                <w:right w:val="single" w:sz="2" w:space="0" w:color="D9D9E3"/>
              </w:divBdr>
              <w:divsChild>
                <w:div w:id="210003479">
                  <w:marLeft w:val="0"/>
                  <w:marRight w:val="0"/>
                  <w:marTop w:val="0"/>
                  <w:marBottom w:val="0"/>
                  <w:divBdr>
                    <w:top w:val="single" w:sz="2" w:space="0" w:color="D9D9E3"/>
                    <w:left w:val="single" w:sz="2" w:space="0" w:color="D9D9E3"/>
                    <w:bottom w:val="single" w:sz="2" w:space="0" w:color="D9D9E3"/>
                    <w:right w:val="single" w:sz="2" w:space="0" w:color="D9D9E3"/>
                  </w:divBdr>
                  <w:divsChild>
                    <w:div w:id="746149260">
                      <w:marLeft w:val="0"/>
                      <w:marRight w:val="0"/>
                      <w:marTop w:val="0"/>
                      <w:marBottom w:val="0"/>
                      <w:divBdr>
                        <w:top w:val="single" w:sz="2" w:space="0" w:color="D9D9E3"/>
                        <w:left w:val="single" w:sz="2" w:space="0" w:color="D9D9E3"/>
                        <w:bottom w:val="single" w:sz="2" w:space="0" w:color="D9D9E3"/>
                        <w:right w:val="single" w:sz="2" w:space="0" w:color="D9D9E3"/>
                      </w:divBdr>
                      <w:divsChild>
                        <w:div w:id="219439989">
                          <w:marLeft w:val="0"/>
                          <w:marRight w:val="0"/>
                          <w:marTop w:val="0"/>
                          <w:marBottom w:val="0"/>
                          <w:divBdr>
                            <w:top w:val="single" w:sz="2" w:space="0" w:color="auto"/>
                            <w:left w:val="single" w:sz="2" w:space="0" w:color="auto"/>
                            <w:bottom w:val="single" w:sz="6" w:space="0" w:color="auto"/>
                            <w:right w:val="single" w:sz="2" w:space="0" w:color="auto"/>
                          </w:divBdr>
                          <w:divsChild>
                            <w:div w:id="548883148">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80442">
                                  <w:marLeft w:val="0"/>
                                  <w:marRight w:val="0"/>
                                  <w:marTop w:val="0"/>
                                  <w:marBottom w:val="0"/>
                                  <w:divBdr>
                                    <w:top w:val="single" w:sz="2" w:space="0" w:color="D9D9E3"/>
                                    <w:left w:val="single" w:sz="2" w:space="0" w:color="D9D9E3"/>
                                    <w:bottom w:val="single" w:sz="2" w:space="0" w:color="D9D9E3"/>
                                    <w:right w:val="single" w:sz="2" w:space="0" w:color="D9D9E3"/>
                                  </w:divBdr>
                                  <w:divsChild>
                                    <w:div w:id="1196037235">
                                      <w:marLeft w:val="0"/>
                                      <w:marRight w:val="0"/>
                                      <w:marTop w:val="0"/>
                                      <w:marBottom w:val="0"/>
                                      <w:divBdr>
                                        <w:top w:val="single" w:sz="2" w:space="0" w:color="D9D9E3"/>
                                        <w:left w:val="single" w:sz="2" w:space="0" w:color="D9D9E3"/>
                                        <w:bottom w:val="single" w:sz="2" w:space="0" w:color="D9D9E3"/>
                                        <w:right w:val="single" w:sz="2" w:space="0" w:color="D9D9E3"/>
                                      </w:divBdr>
                                      <w:divsChild>
                                        <w:div w:id="1008291183">
                                          <w:marLeft w:val="0"/>
                                          <w:marRight w:val="0"/>
                                          <w:marTop w:val="0"/>
                                          <w:marBottom w:val="0"/>
                                          <w:divBdr>
                                            <w:top w:val="single" w:sz="2" w:space="0" w:color="D9D9E3"/>
                                            <w:left w:val="single" w:sz="2" w:space="0" w:color="D9D9E3"/>
                                            <w:bottom w:val="single" w:sz="2" w:space="0" w:color="D9D9E3"/>
                                            <w:right w:val="single" w:sz="2" w:space="0" w:color="D9D9E3"/>
                                          </w:divBdr>
                                          <w:divsChild>
                                            <w:div w:id="15369604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66452903">
          <w:marLeft w:val="0"/>
          <w:marRight w:val="0"/>
          <w:marTop w:val="0"/>
          <w:marBottom w:val="0"/>
          <w:divBdr>
            <w:top w:val="none" w:sz="0" w:space="0" w:color="auto"/>
            <w:left w:val="none" w:sz="0" w:space="0" w:color="auto"/>
            <w:bottom w:val="none" w:sz="0" w:space="0" w:color="auto"/>
            <w:right w:val="none" w:sz="0" w:space="0" w:color="auto"/>
          </w:divBdr>
        </w:div>
      </w:divsChild>
    </w:div>
    <w:div w:id="576867919">
      <w:bodyDiv w:val="1"/>
      <w:marLeft w:val="0"/>
      <w:marRight w:val="0"/>
      <w:marTop w:val="0"/>
      <w:marBottom w:val="0"/>
      <w:divBdr>
        <w:top w:val="none" w:sz="0" w:space="0" w:color="auto"/>
        <w:left w:val="none" w:sz="0" w:space="0" w:color="auto"/>
        <w:bottom w:val="none" w:sz="0" w:space="0" w:color="auto"/>
        <w:right w:val="none" w:sz="0" w:space="0" w:color="auto"/>
      </w:divBdr>
    </w:div>
    <w:div w:id="595214634">
      <w:bodyDiv w:val="1"/>
      <w:marLeft w:val="0"/>
      <w:marRight w:val="0"/>
      <w:marTop w:val="0"/>
      <w:marBottom w:val="0"/>
      <w:divBdr>
        <w:top w:val="none" w:sz="0" w:space="0" w:color="auto"/>
        <w:left w:val="none" w:sz="0" w:space="0" w:color="auto"/>
        <w:bottom w:val="none" w:sz="0" w:space="0" w:color="auto"/>
        <w:right w:val="none" w:sz="0" w:space="0" w:color="auto"/>
      </w:divBdr>
      <w:divsChild>
        <w:div w:id="1470199307">
          <w:marLeft w:val="0"/>
          <w:marRight w:val="0"/>
          <w:marTop w:val="0"/>
          <w:marBottom w:val="0"/>
          <w:divBdr>
            <w:top w:val="single" w:sz="2" w:space="0" w:color="auto"/>
            <w:left w:val="single" w:sz="2" w:space="0" w:color="auto"/>
            <w:bottom w:val="single" w:sz="6" w:space="0" w:color="auto"/>
            <w:right w:val="single" w:sz="2" w:space="0" w:color="auto"/>
          </w:divBdr>
          <w:divsChild>
            <w:div w:id="1150563017">
              <w:marLeft w:val="0"/>
              <w:marRight w:val="0"/>
              <w:marTop w:val="100"/>
              <w:marBottom w:val="100"/>
              <w:divBdr>
                <w:top w:val="single" w:sz="2" w:space="0" w:color="D9D9E3"/>
                <w:left w:val="single" w:sz="2" w:space="0" w:color="D9D9E3"/>
                <w:bottom w:val="single" w:sz="2" w:space="0" w:color="D9D9E3"/>
                <w:right w:val="single" w:sz="2" w:space="0" w:color="D9D9E3"/>
              </w:divBdr>
              <w:divsChild>
                <w:div w:id="902909816">
                  <w:marLeft w:val="0"/>
                  <w:marRight w:val="0"/>
                  <w:marTop w:val="0"/>
                  <w:marBottom w:val="0"/>
                  <w:divBdr>
                    <w:top w:val="single" w:sz="2" w:space="0" w:color="D9D9E3"/>
                    <w:left w:val="single" w:sz="2" w:space="0" w:color="D9D9E3"/>
                    <w:bottom w:val="single" w:sz="2" w:space="0" w:color="D9D9E3"/>
                    <w:right w:val="single" w:sz="2" w:space="0" w:color="D9D9E3"/>
                  </w:divBdr>
                  <w:divsChild>
                    <w:div w:id="357777717">
                      <w:marLeft w:val="0"/>
                      <w:marRight w:val="0"/>
                      <w:marTop w:val="0"/>
                      <w:marBottom w:val="0"/>
                      <w:divBdr>
                        <w:top w:val="single" w:sz="2" w:space="0" w:color="D9D9E3"/>
                        <w:left w:val="single" w:sz="2" w:space="0" w:color="D9D9E3"/>
                        <w:bottom w:val="single" w:sz="2" w:space="0" w:color="D9D9E3"/>
                        <w:right w:val="single" w:sz="2" w:space="0" w:color="D9D9E3"/>
                      </w:divBdr>
                      <w:divsChild>
                        <w:div w:id="1764064332">
                          <w:marLeft w:val="0"/>
                          <w:marRight w:val="0"/>
                          <w:marTop w:val="0"/>
                          <w:marBottom w:val="0"/>
                          <w:divBdr>
                            <w:top w:val="single" w:sz="2" w:space="0" w:color="D9D9E3"/>
                            <w:left w:val="single" w:sz="2" w:space="0" w:color="D9D9E3"/>
                            <w:bottom w:val="single" w:sz="2" w:space="0" w:color="D9D9E3"/>
                            <w:right w:val="single" w:sz="2" w:space="0" w:color="D9D9E3"/>
                          </w:divBdr>
                          <w:divsChild>
                            <w:div w:id="515585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3072866">
      <w:bodyDiv w:val="1"/>
      <w:marLeft w:val="0"/>
      <w:marRight w:val="0"/>
      <w:marTop w:val="0"/>
      <w:marBottom w:val="0"/>
      <w:divBdr>
        <w:top w:val="none" w:sz="0" w:space="0" w:color="auto"/>
        <w:left w:val="none" w:sz="0" w:space="0" w:color="auto"/>
        <w:bottom w:val="none" w:sz="0" w:space="0" w:color="auto"/>
        <w:right w:val="none" w:sz="0" w:space="0" w:color="auto"/>
      </w:divBdr>
    </w:div>
    <w:div w:id="755513093">
      <w:bodyDiv w:val="1"/>
      <w:marLeft w:val="0"/>
      <w:marRight w:val="0"/>
      <w:marTop w:val="0"/>
      <w:marBottom w:val="0"/>
      <w:divBdr>
        <w:top w:val="none" w:sz="0" w:space="0" w:color="auto"/>
        <w:left w:val="none" w:sz="0" w:space="0" w:color="auto"/>
        <w:bottom w:val="none" w:sz="0" w:space="0" w:color="auto"/>
        <w:right w:val="none" w:sz="0" w:space="0" w:color="auto"/>
      </w:divBdr>
    </w:div>
    <w:div w:id="940532160">
      <w:bodyDiv w:val="1"/>
      <w:marLeft w:val="0"/>
      <w:marRight w:val="0"/>
      <w:marTop w:val="0"/>
      <w:marBottom w:val="0"/>
      <w:divBdr>
        <w:top w:val="none" w:sz="0" w:space="0" w:color="auto"/>
        <w:left w:val="none" w:sz="0" w:space="0" w:color="auto"/>
        <w:bottom w:val="none" w:sz="0" w:space="0" w:color="auto"/>
        <w:right w:val="none" w:sz="0" w:space="0" w:color="auto"/>
      </w:divBdr>
    </w:div>
    <w:div w:id="958879652">
      <w:bodyDiv w:val="1"/>
      <w:marLeft w:val="0"/>
      <w:marRight w:val="0"/>
      <w:marTop w:val="0"/>
      <w:marBottom w:val="0"/>
      <w:divBdr>
        <w:top w:val="none" w:sz="0" w:space="0" w:color="auto"/>
        <w:left w:val="none" w:sz="0" w:space="0" w:color="auto"/>
        <w:bottom w:val="none" w:sz="0" w:space="0" w:color="auto"/>
        <w:right w:val="none" w:sz="0" w:space="0" w:color="auto"/>
      </w:divBdr>
    </w:div>
    <w:div w:id="1305740473">
      <w:bodyDiv w:val="1"/>
      <w:marLeft w:val="0"/>
      <w:marRight w:val="0"/>
      <w:marTop w:val="0"/>
      <w:marBottom w:val="0"/>
      <w:divBdr>
        <w:top w:val="none" w:sz="0" w:space="0" w:color="auto"/>
        <w:left w:val="none" w:sz="0" w:space="0" w:color="auto"/>
        <w:bottom w:val="none" w:sz="0" w:space="0" w:color="auto"/>
        <w:right w:val="none" w:sz="0" w:space="0" w:color="auto"/>
      </w:divBdr>
    </w:div>
    <w:div w:id="1753775480">
      <w:bodyDiv w:val="1"/>
      <w:marLeft w:val="0"/>
      <w:marRight w:val="0"/>
      <w:marTop w:val="0"/>
      <w:marBottom w:val="0"/>
      <w:divBdr>
        <w:top w:val="none" w:sz="0" w:space="0" w:color="auto"/>
        <w:left w:val="none" w:sz="0" w:space="0" w:color="auto"/>
        <w:bottom w:val="none" w:sz="0" w:space="0" w:color="auto"/>
        <w:right w:val="none" w:sz="0" w:space="0" w:color="auto"/>
      </w:divBdr>
    </w:div>
    <w:div w:id="1859850228">
      <w:bodyDiv w:val="1"/>
      <w:marLeft w:val="0"/>
      <w:marRight w:val="0"/>
      <w:marTop w:val="0"/>
      <w:marBottom w:val="0"/>
      <w:divBdr>
        <w:top w:val="none" w:sz="0" w:space="0" w:color="auto"/>
        <w:left w:val="none" w:sz="0" w:space="0" w:color="auto"/>
        <w:bottom w:val="none" w:sz="0" w:space="0" w:color="auto"/>
        <w:right w:val="none" w:sz="0" w:space="0" w:color="auto"/>
      </w:divBdr>
    </w:div>
    <w:div w:id="2083673819">
      <w:bodyDiv w:val="1"/>
      <w:marLeft w:val="0"/>
      <w:marRight w:val="0"/>
      <w:marTop w:val="0"/>
      <w:marBottom w:val="0"/>
      <w:divBdr>
        <w:top w:val="none" w:sz="0" w:space="0" w:color="auto"/>
        <w:left w:val="none" w:sz="0" w:space="0" w:color="auto"/>
        <w:bottom w:val="none" w:sz="0" w:space="0" w:color="auto"/>
        <w:right w:val="none" w:sz="0" w:space="0" w:color="auto"/>
      </w:divBdr>
      <w:divsChild>
        <w:div w:id="1565213160">
          <w:marLeft w:val="0"/>
          <w:marRight w:val="0"/>
          <w:marTop w:val="0"/>
          <w:marBottom w:val="0"/>
          <w:divBdr>
            <w:top w:val="none" w:sz="0" w:space="0" w:color="auto"/>
            <w:left w:val="none" w:sz="0" w:space="0" w:color="auto"/>
            <w:bottom w:val="none" w:sz="0" w:space="0" w:color="auto"/>
            <w:right w:val="none" w:sz="0" w:space="0" w:color="auto"/>
          </w:divBdr>
        </w:div>
        <w:div w:id="1983191907">
          <w:marLeft w:val="0"/>
          <w:marRight w:val="0"/>
          <w:marTop w:val="0"/>
          <w:marBottom w:val="0"/>
          <w:divBdr>
            <w:top w:val="none" w:sz="0" w:space="0" w:color="auto"/>
            <w:left w:val="none" w:sz="0" w:space="0" w:color="auto"/>
            <w:bottom w:val="none" w:sz="0" w:space="0" w:color="auto"/>
            <w:right w:val="none" w:sz="0" w:space="0" w:color="auto"/>
          </w:divBdr>
        </w:div>
        <w:div w:id="681594481">
          <w:marLeft w:val="0"/>
          <w:marRight w:val="0"/>
          <w:marTop w:val="0"/>
          <w:marBottom w:val="0"/>
          <w:divBdr>
            <w:top w:val="none" w:sz="0" w:space="0" w:color="auto"/>
            <w:left w:val="none" w:sz="0" w:space="0" w:color="auto"/>
            <w:bottom w:val="none" w:sz="0" w:space="0" w:color="auto"/>
            <w:right w:val="none" w:sz="0" w:space="0" w:color="auto"/>
          </w:divBdr>
        </w:div>
        <w:div w:id="113986815">
          <w:marLeft w:val="0"/>
          <w:marRight w:val="0"/>
          <w:marTop w:val="0"/>
          <w:marBottom w:val="0"/>
          <w:divBdr>
            <w:top w:val="none" w:sz="0" w:space="0" w:color="auto"/>
            <w:left w:val="none" w:sz="0" w:space="0" w:color="auto"/>
            <w:bottom w:val="none" w:sz="0" w:space="0" w:color="auto"/>
            <w:right w:val="none" w:sz="0" w:space="0" w:color="auto"/>
          </w:divBdr>
        </w:div>
      </w:divsChild>
    </w:div>
    <w:div w:id="20878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is.H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ni.org/ECNI/media/ECNI/Publications/Delivering%20Equality/DMU/NIHRC-ECNI-Scope-of-Protocol-Working-Paper-December-2022.pdf" TargetMode="External"/><Relationship Id="rId3" Type="http://schemas.openxmlformats.org/officeDocument/2006/relationships/hyperlink" Target="https://eur-lex.europa.eu/legal-content/EN/TXT/?uri=celex%3A32000L0078" TargetMode="External"/><Relationship Id="rId7" Type="http://schemas.openxmlformats.org/officeDocument/2006/relationships/hyperlink" Target="https://eur-lex.europa.eu/legal-content/EN/TXT/?uri=celex%3A31979L0007" TargetMode="External"/><Relationship Id="rId2" Type="http://schemas.openxmlformats.org/officeDocument/2006/relationships/hyperlink" Target="https://eur-lex.europa.eu/legal-content/EN/TXT/?uri=celex%3A32000L0043" TargetMode="External"/><Relationship Id="rId1" Type="http://schemas.openxmlformats.org/officeDocument/2006/relationships/hyperlink" Target="https://www.gov.uk/government/publications/protocol-on-irelandnorthern-ireland-article-2" TargetMode="External"/><Relationship Id="rId6" Type="http://schemas.openxmlformats.org/officeDocument/2006/relationships/hyperlink" Target="https://eur-lex.europa.eu/legal-content/EN/TXT/?uri=celex%3A32010L0041" TargetMode="External"/><Relationship Id="rId5" Type="http://schemas.openxmlformats.org/officeDocument/2006/relationships/hyperlink" Target="https://eur-lex.europa.eu/legal-content/EN/TXT/?uri=celex%3A32006L0054" TargetMode="External"/><Relationship Id="rId4" Type="http://schemas.openxmlformats.org/officeDocument/2006/relationships/hyperlink" Target="https://eur-lex.europa.eu/legal-content/EN/TXT/?uri=celex%3A32004L0113" TargetMode="External"/><Relationship Id="rId9" Type="http://schemas.openxmlformats.org/officeDocument/2006/relationships/hyperlink" Target="https://www.equalityni.org/ECNI/media/ECNI/Publications/Delivering%20Equality/DMU/NIHRC-ECNI-Scope-of-Protocol-Working-Paper-Decemb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03ffd8-70ba-4949-891b-1d147639e9e4">
      <Terms xmlns="http://schemas.microsoft.com/office/infopath/2007/PartnerControls"/>
    </lcf76f155ced4ddcb4097134ff3c332f>
    <TaxCatchAll xmlns="38b2c85b-e954-425c-a9fe-d2e9404c50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8D35E93661DC47B2E463DBB1D08AF5" ma:contentTypeVersion="13" ma:contentTypeDescription="Create a new document." ma:contentTypeScope="" ma:versionID="e7aeadc71e171cad359dcce41f578a5a">
  <xsd:schema xmlns:xsd="http://www.w3.org/2001/XMLSchema" xmlns:xs="http://www.w3.org/2001/XMLSchema" xmlns:p="http://schemas.microsoft.com/office/2006/metadata/properties" xmlns:ns2="c003ffd8-70ba-4949-891b-1d147639e9e4" xmlns:ns3="38b2c85b-e954-425c-a9fe-d2e9404c5012" targetNamespace="http://schemas.microsoft.com/office/2006/metadata/properties" ma:root="true" ma:fieldsID="3995d93cc7fa308bb01fd1ab4296d837" ns2:_="" ns3:_="">
    <xsd:import namespace="c003ffd8-70ba-4949-891b-1d147639e9e4"/>
    <xsd:import namespace="38b2c85b-e954-425c-a9fe-d2e9404c5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3ffd8-70ba-4949-891b-1d147639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c85b-e954-425c-a9fe-d2e9404c5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cf6e34f-4125-4f14-a391-7e1d988a9488}" ma:internalName="TaxCatchAll" ma:showField="CatchAllData" ma:web="38b2c85b-e954-425c-a9fe-d2e9404c5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F9D46-4EF5-4228-A41C-4C99C924E1E0}">
  <ds:schemaRefs>
    <ds:schemaRef ds:uri="http://schemas.microsoft.com/sharepoint/v3/contenttype/forms"/>
  </ds:schemaRefs>
</ds:datastoreItem>
</file>

<file path=customXml/itemProps2.xml><?xml version="1.0" encoding="utf-8"?>
<ds:datastoreItem xmlns:ds="http://schemas.openxmlformats.org/officeDocument/2006/customXml" ds:itemID="{F3D89EF8-5E6C-46D0-B905-47151643B76E}">
  <ds:schemaRefs>
    <ds:schemaRef ds:uri="http://schemas.microsoft.com/office/2006/metadata/properties"/>
    <ds:schemaRef ds:uri="http://schemas.microsoft.com/office/infopath/2007/PartnerControls"/>
    <ds:schemaRef ds:uri="c003ffd8-70ba-4949-891b-1d147639e9e4"/>
    <ds:schemaRef ds:uri="38b2c85b-e954-425c-a9fe-d2e9404c5012"/>
  </ds:schemaRefs>
</ds:datastoreItem>
</file>

<file path=customXml/itemProps3.xml><?xml version="1.0" encoding="utf-8"?>
<ds:datastoreItem xmlns:ds="http://schemas.openxmlformats.org/officeDocument/2006/customXml" ds:itemID="{8935BFDE-60D7-4E4B-9E13-77BED3D66E21}">
  <ds:schemaRefs>
    <ds:schemaRef ds:uri="http://schemas.openxmlformats.org/officeDocument/2006/bibliography"/>
  </ds:schemaRefs>
</ds:datastoreItem>
</file>

<file path=customXml/itemProps4.xml><?xml version="1.0" encoding="utf-8"?>
<ds:datastoreItem xmlns:ds="http://schemas.openxmlformats.org/officeDocument/2006/customXml" ds:itemID="{BC5C0CDB-5846-4893-942E-B9328CC0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3ffd8-70ba-4949-891b-1d147639e9e4"/>
    <ds:schemaRef ds:uri="38b2c85b-e954-425c-a9fe-d2e9404c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20</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Ahmed</dc:creator>
  <cp:keywords/>
  <dc:description/>
  <cp:lastModifiedBy>Eilis Haughey</cp:lastModifiedBy>
  <cp:revision>460</cp:revision>
  <cp:lastPrinted>2023-11-22T17:33:00Z</cp:lastPrinted>
  <dcterms:created xsi:type="dcterms:W3CDTF">2023-11-14T12:42:00Z</dcterms:created>
  <dcterms:modified xsi:type="dcterms:W3CDTF">2023-11-22T17:33:00Z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0x010100D38D35E93661DC47B2E463DBB1D08AF5</vt:lpwstr>
  </property>
  <property fmtid="{D5CDD505-2E9C-101B-9397-08002B2CF9AE}" pid="3" name="MediaServiceImageTags">
    <vt:lpwstr/>
  </property>
</Properties>
</file>