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ED08" w14:textId="524C0EF8" w:rsidR="00593690" w:rsidRPr="004D47D9" w:rsidRDefault="00D61BE2" w:rsidP="00086E78">
      <w:pPr>
        <w:rPr>
          <w:rFonts w:ascii="Verdana" w:hAnsi="Verdana" w:cstheme="minorHAnsi"/>
          <w:sz w:val="24"/>
          <w:szCs w:val="24"/>
        </w:rPr>
      </w:pPr>
      <w:r w:rsidRPr="004D47D9">
        <w:rPr>
          <w:rFonts w:ascii="Verdana" w:hAnsi="Verdana" w:cstheme="minorHAnsi"/>
          <w:b/>
          <w:bCs/>
          <w:noProof/>
          <w:color w:val="734791"/>
          <w:lang w:eastAsia="en-GB"/>
        </w:rPr>
        <w:drawing>
          <wp:anchor distT="0" distB="0" distL="114300" distR="114300" simplePos="0" relativeHeight="251658240" behindDoc="1" locked="0" layoutInCell="1" allowOverlap="1" wp14:anchorId="375C5B8E" wp14:editId="4AE7217F">
            <wp:simplePos x="0" y="0"/>
            <wp:positionH relativeFrom="margin">
              <wp:align>center</wp:align>
            </wp:positionH>
            <wp:positionV relativeFrom="paragraph">
              <wp:posOffset>185978</wp:posOffset>
            </wp:positionV>
            <wp:extent cx="2908485" cy="3886623"/>
            <wp:effectExtent l="0" t="0" r="0" b="0"/>
            <wp:wrapSquare wrapText="bothSides"/>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485" cy="3886623"/>
                    </a:xfrm>
                    <a:prstGeom prst="rect">
                      <a:avLst/>
                    </a:prstGeom>
                    <a:noFill/>
                    <a:ln>
                      <a:noFill/>
                    </a:ln>
                  </pic:spPr>
                </pic:pic>
              </a:graphicData>
            </a:graphic>
          </wp:anchor>
        </w:drawing>
      </w:r>
    </w:p>
    <w:p w14:paraId="1B63726F" w14:textId="02780B09" w:rsidR="00E10AD2" w:rsidRPr="004D47D9" w:rsidRDefault="008A7AEE" w:rsidP="008A7AEE">
      <w:pPr>
        <w:pStyle w:val="BasicParagraph"/>
        <w:suppressAutoHyphens/>
        <w:jc w:val="left"/>
        <w:rPr>
          <w:rFonts w:ascii="Verdana" w:hAnsi="Verdana" w:cstheme="minorHAnsi"/>
          <w:b/>
          <w:bCs/>
          <w:color w:val="734791"/>
        </w:rPr>
      </w:pPr>
      <w:r>
        <w:rPr>
          <w:rFonts w:ascii="Verdana" w:hAnsi="Verdana" w:cstheme="minorHAnsi"/>
          <w:b/>
          <w:bCs/>
          <w:color w:val="734791"/>
        </w:rPr>
        <w:br w:type="textWrapping" w:clear="all"/>
      </w:r>
    </w:p>
    <w:p w14:paraId="5129CE00" w14:textId="77777777" w:rsidR="00E10AD2" w:rsidRPr="004D47D9" w:rsidRDefault="00E10AD2" w:rsidP="00E10AD2">
      <w:pPr>
        <w:pStyle w:val="BasicParagraph"/>
        <w:suppressAutoHyphens/>
        <w:jc w:val="center"/>
        <w:rPr>
          <w:rFonts w:ascii="Verdana" w:hAnsi="Verdana" w:cstheme="minorHAnsi"/>
          <w:b/>
          <w:bCs/>
          <w:color w:val="734791"/>
        </w:rPr>
      </w:pPr>
    </w:p>
    <w:p w14:paraId="28628207" w14:textId="77777777" w:rsidR="00095DD4" w:rsidRPr="004D47D9" w:rsidRDefault="00095DD4" w:rsidP="00E10AD2">
      <w:pPr>
        <w:pStyle w:val="BasicParagraph"/>
        <w:suppressAutoHyphens/>
        <w:jc w:val="center"/>
        <w:rPr>
          <w:rFonts w:ascii="Verdana" w:hAnsi="Verdana" w:cstheme="minorHAnsi"/>
          <w:b/>
          <w:bCs/>
          <w:color w:val="734791"/>
        </w:rPr>
      </w:pPr>
    </w:p>
    <w:p w14:paraId="603CFFD4" w14:textId="77777777" w:rsidR="00095DD4" w:rsidRPr="005C64F1" w:rsidRDefault="00095DD4" w:rsidP="00E10AD2">
      <w:pPr>
        <w:pStyle w:val="Default"/>
        <w:spacing w:line="288" w:lineRule="auto"/>
        <w:jc w:val="center"/>
        <w:rPr>
          <w:rFonts w:cstheme="minorHAnsi"/>
          <w:b/>
          <w:bCs/>
          <w:color w:val="77328A"/>
          <w:lang w:val="en-GB"/>
        </w:rPr>
      </w:pPr>
    </w:p>
    <w:p w14:paraId="1E48E014" w14:textId="763F263D" w:rsidR="00E10AD2" w:rsidRPr="005C64F1" w:rsidRDefault="006A5CF0" w:rsidP="00E10AD2">
      <w:pPr>
        <w:pStyle w:val="Default"/>
        <w:spacing w:line="288" w:lineRule="auto"/>
        <w:jc w:val="center"/>
        <w:rPr>
          <w:rFonts w:cstheme="minorHAnsi"/>
          <w:color w:val="77328A"/>
          <w:sz w:val="36"/>
          <w:szCs w:val="36"/>
        </w:rPr>
      </w:pPr>
      <w:r w:rsidRPr="005C64F1">
        <w:rPr>
          <w:rFonts w:cstheme="minorHAnsi"/>
          <w:b/>
          <w:bCs/>
          <w:color w:val="77328A"/>
          <w:sz w:val="36"/>
          <w:szCs w:val="36"/>
          <w:lang w:val="en-GB"/>
        </w:rPr>
        <w:t>NIHRC Briefing on the</w:t>
      </w:r>
      <w:r w:rsidR="00E26969" w:rsidRPr="005C64F1">
        <w:rPr>
          <w:rFonts w:cstheme="minorHAnsi"/>
          <w:b/>
          <w:bCs/>
          <w:color w:val="77328A"/>
          <w:sz w:val="36"/>
          <w:szCs w:val="36"/>
          <w:lang w:val="en-GB"/>
        </w:rPr>
        <w:t xml:space="preserve"> Data </w:t>
      </w:r>
      <w:r w:rsidR="002D1C36">
        <w:rPr>
          <w:rFonts w:cstheme="minorHAnsi"/>
          <w:b/>
          <w:bCs/>
          <w:color w:val="77328A"/>
          <w:sz w:val="36"/>
          <w:szCs w:val="36"/>
          <w:lang w:val="en-GB"/>
        </w:rPr>
        <w:t>(Use and Access)</w:t>
      </w:r>
      <w:r w:rsidR="00E26969" w:rsidRPr="005C64F1">
        <w:rPr>
          <w:rFonts w:cstheme="minorHAnsi"/>
          <w:b/>
          <w:bCs/>
          <w:color w:val="77328A"/>
          <w:sz w:val="36"/>
          <w:szCs w:val="36"/>
          <w:lang w:val="en-GB"/>
        </w:rPr>
        <w:t xml:space="preserve"> Bill</w:t>
      </w:r>
      <w:r w:rsidR="002D1C36">
        <w:rPr>
          <w:rFonts w:cstheme="minorHAnsi"/>
          <w:b/>
          <w:bCs/>
          <w:color w:val="77328A"/>
          <w:sz w:val="36"/>
          <w:szCs w:val="36"/>
          <w:lang w:val="en-GB"/>
        </w:rPr>
        <w:t xml:space="preserve"> [HL]</w:t>
      </w:r>
      <w:r w:rsidR="00E26969" w:rsidRPr="005C64F1">
        <w:rPr>
          <w:rFonts w:cstheme="minorHAnsi"/>
          <w:b/>
          <w:bCs/>
          <w:color w:val="77328A"/>
          <w:sz w:val="36"/>
          <w:szCs w:val="36"/>
          <w:lang w:val="en-GB"/>
        </w:rPr>
        <w:t xml:space="preserve"> </w:t>
      </w:r>
    </w:p>
    <w:p w14:paraId="6CC91117" w14:textId="77777777" w:rsidR="00E10AD2" w:rsidRPr="00CF2959" w:rsidRDefault="00E10AD2" w:rsidP="00E10AD2">
      <w:pPr>
        <w:pStyle w:val="Default"/>
        <w:spacing w:line="288" w:lineRule="auto"/>
        <w:jc w:val="center"/>
        <w:rPr>
          <w:rFonts w:cstheme="minorHAnsi"/>
          <w:color w:val="77328A"/>
        </w:rPr>
      </w:pPr>
    </w:p>
    <w:p w14:paraId="78A1978A" w14:textId="77777777" w:rsidR="00E10AD2" w:rsidRPr="004D47D9" w:rsidRDefault="00E10AD2" w:rsidP="00E10AD2">
      <w:pPr>
        <w:pStyle w:val="Default"/>
        <w:spacing w:line="288" w:lineRule="auto"/>
        <w:jc w:val="center"/>
        <w:rPr>
          <w:rFonts w:cstheme="minorHAnsi"/>
          <w:color w:val="232120"/>
        </w:rPr>
      </w:pPr>
    </w:p>
    <w:p w14:paraId="6A3F7075" w14:textId="77777777" w:rsidR="00E10AD2" w:rsidRPr="004D47D9" w:rsidRDefault="00E10AD2" w:rsidP="00E10AD2">
      <w:pPr>
        <w:pStyle w:val="Default"/>
        <w:spacing w:line="288" w:lineRule="auto"/>
        <w:jc w:val="center"/>
        <w:rPr>
          <w:rFonts w:cstheme="minorHAnsi"/>
          <w:color w:val="232120"/>
        </w:rPr>
      </w:pPr>
    </w:p>
    <w:p w14:paraId="1ECA24ED" w14:textId="77777777" w:rsidR="00E10AD2" w:rsidRPr="004D47D9" w:rsidRDefault="00E10AD2" w:rsidP="00E10AD2">
      <w:pPr>
        <w:pStyle w:val="Default"/>
        <w:spacing w:line="288" w:lineRule="auto"/>
        <w:jc w:val="center"/>
        <w:rPr>
          <w:rFonts w:cstheme="minorHAnsi"/>
          <w:color w:val="232120"/>
        </w:rPr>
      </w:pPr>
    </w:p>
    <w:p w14:paraId="57DE737B" w14:textId="77777777" w:rsidR="00095DD4" w:rsidRPr="004D47D9" w:rsidRDefault="00095DD4" w:rsidP="00E10AD2">
      <w:pPr>
        <w:pStyle w:val="Default"/>
        <w:spacing w:line="288" w:lineRule="auto"/>
        <w:jc w:val="center"/>
        <w:rPr>
          <w:rFonts w:cstheme="minorHAnsi"/>
          <w:color w:val="232120"/>
        </w:rPr>
      </w:pPr>
    </w:p>
    <w:p w14:paraId="22F9341C" w14:textId="77777777" w:rsidR="00095DD4" w:rsidRPr="004D47D9" w:rsidRDefault="00095DD4" w:rsidP="00E10AD2">
      <w:pPr>
        <w:pStyle w:val="Default"/>
        <w:spacing w:line="288" w:lineRule="auto"/>
        <w:jc w:val="center"/>
        <w:rPr>
          <w:rFonts w:cstheme="minorHAnsi"/>
          <w:color w:val="232120"/>
        </w:rPr>
      </w:pPr>
    </w:p>
    <w:p w14:paraId="2F9F739E" w14:textId="77777777" w:rsidR="00095DD4" w:rsidRPr="004D47D9" w:rsidRDefault="00095DD4" w:rsidP="00E10AD2">
      <w:pPr>
        <w:pStyle w:val="Default"/>
        <w:spacing w:line="288" w:lineRule="auto"/>
        <w:jc w:val="center"/>
        <w:rPr>
          <w:rFonts w:cstheme="minorHAnsi"/>
          <w:color w:val="232120"/>
        </w:rPr>
      </w:pPr>
    </w:p>
    <w:p w14:paraId="47DD011D" w14:textId="77777777" w:rsidR="00095DD4" w:rsidRPr="004D47D9" w:rsidRDefault="00095DD4" w:rsidP="00E10AD2">
      <w:pPr>
        <w:pStyle w:val="Default"/>
        <w:spacing w:line="288" w:lineRule="auto"/>
        <w:jc w:val="center"/>
        <w:rPr>
          <w:rFonts w:cstheme="minorHAnsi"/>
          <w:color w:val="232120"/>
        </w:rPr>
      </w:pPr>
    </w:p>
    <w:p w14:paraId="54735740" w14:textId="77777777" w:rsidR="00095DD4" w:rsidRPr="00CF2959" w:rsidRDefault="00095DD4" w:rsidP="00E10AD2">
      <w:pPr>
        <w:pStyle w:val="Default"/>
        <w:spacing w:line="288" w:lineRule="auto"/>
        <w:jc w:val="center"/>
        <w:rPr>
          <w:rFonts w:cstheme="minorHAnsi"/>
          <w:color w:val="77328A"/>
        </w:rPr>
      </w:pPr>
    </w:p>
    <w:p w14:paraId="4BF76B91" w14:textId="77777777" w:rsidR="00E10AD2" w:rsidRPr="002B1966" w:rsidRDefault="00E10AD2" w:rsidP="00E10AD2">
      <w:pPr>
        <w:pStyle w:val="Default"/>
        <w:spacing w:line="288" w:lineRule="auto"/>
        <w:jc w:val="center"/>
        <w:rPr>
          <w:rFonts w:cstheme="minorHAnsi"/>
          <w:color w:val="77380A"/>
        </w:rPr>
      </w:pPr>
    </w:p>
    <w:p w14:paraId="6DE680D9" w14:textId="257ACC5C" w:rsidR="00E10AD2" w:rsidRPr="00FF19F4" w:rsidRDefault="002D1C36" w:rsidP="00E10AD2">
      <w:pPr>
        <w:jc w:val="center"/>
        <w:rPr>
          <w:rFonts w:ascii="Verdana" w:hAnsi="Verdana" w:cstheme="minorHAnsi"/>
          <w:b/>
          <w:color w:val="77328A"/>
          <w:sz w:val="30"/>
          <w:szCs w:val="30"/>
        </w:rPr>
      </w:pPr>
      <w:r>
        <w:rPr>
          <w:rFonts w:ascii="Verdana" w:hAnsi="Verdana" w:cstheme="minorHAnsi"/>
          <w:b/>
          <w:color w:val="77328A"/>
          <w:sz w:val="30"/>
          <w:szCs w:val="30"/>
        </w:rPr>
        <w:t>Febru</w:t>
      </w:r>
      <w:r w:rsidR="00CF2959" w:rsidRPr="00FF19F4">
        <w:rPr>
          <w:rFonts w:ascii="Verdana" w:hAnsi="Verdana" w:cstheme="minorHAnsi"/>
          <w:b/>
          <w:color w:val="77328A"/>
          <w:sz w:val="30"/>
          <w:szCs w:val="30"/>
        </w:rPr>
        <w:t>ary</w:t>
      </w:r>
      <w:r w:rsidR="006A5CF0" w:rsidRPr="00FF19F4">
        <w:rPr>
          <w:rFonts w:ascii="Verdana" w:hAnsi="Verdana" w:cstheme="minorHAnsi"/>
          <w:b/>
          <w:color w:val="77328A"/>
          <w:sz w:val="30"/>
          <w:szCs w:val="30"/>
        </w:rPr>
        <w:t xml:space="preserve"> </w:t>
      </w:r>
      <w:r w:rsidR="00E10AD2" w:rsidRPr="00FF19F4">
        <w:rPr>
          <w:rFonts w:ascii="Verdana" w:hAnsi="Verdana" w:cstheme="minorHAnsi"/>
          <w:b/>
          <w:color w:val="77328A"/>
          <w:sz w:val="30"/>
          <w:szCs w:val="30"/>
        </w:rPr>
        <w:t>202</w:t>
      </w:r>
      <w:r w:rsidR="000A2DB3">
        <w:rPr>
          <w:rFonts w:ascii="Verdana" w:hAnsi="Verdana" w:cstheme="minorHAnsi"/>
          <w:b/>
          <w:color w:val="77328A"/>
          <w:sz w:val="30"/>
          <w:szCs w:val="30"/>
        </w:rPr>
        <w:t>5</w:t>
      </w:r>
    </w:p>
    <w:p w14:paraId="30AD9918" w14:textId="77777777" w:rsidR="009A4901" w:rsidRPr="00CF2959" w:rsidRDefault="00E10AD2" w:rsidP="00D104A0">
      <w:pPr>
        <w:pStyle w:val="NIHRC"/>
      </w:pPr>
      <w:r w:rsidRPr="00CF2959">
        <w:br w:type="page"/>
      </w:r>
    </w:p>
    <w:sdt>
      <w:sdtPr>
        <w:rPr>
          <w:rFonts w:asciiTheme="minorHAnsi" w:eastAsiaTheme="minorEastAsia" w:hAnsiTheme="minorHAnsi"/>
          <w:b w:val="0"/>
          <w:bCs w:val="0"/>
          <w:color w:val="auto"/>
          <w:sz w:val="24"/>
          <w:szCs w:val="24"/>
        </w:rPr>
        <w:id w:val="504181103"/>
        <w:docPartObj>
          <w:docPartGallery w:val="Table of Contents"/>
          <w:docPartUnique/>
        </w:docPartObj>
      </w:sdtPr>
      <w:sdtEndPr>
        <w:rPr>
          <w:rFonts w:ascii="Verdana" w:eastAsiaTheme="minorHAnsi" w:hAnsi="Verdana"/>
          <w:noProof/>
        </w:rPr>
      </w:sdtEndPr>
      <w:sdtContent>
        <w:p w14:paraId="051C8C24" w14:textId="294B6F83" w:rsidR="009A4901" w:rsidRPr="00D104A0" w:rsidRDefault="009A4901" w:rsidP="009A4901">
          <w:pPr>
            <w:pStyle w:val="Heading1"/>
            <w:numPr>
              <w:ilvl w:val="0"/>
              <w:numId w:val="0"/>
            </w:numPr>
            <w:ind w:left="720" w:hanging="720"/>
            <w:rPr>
              <w:rStyle w:val="NIHRCChar"/>
            </w:rPr>
          </w:pPr>
        </w:p>
        <w:p w14:paraId="3338E771" w14:textId="58BE54A1" w:rsidR="009A4901" w:rsidRPr="00977ABA" w:rsidRDefault="00D104A0" w:rsidP="00D104A0">
          <w:pPr>
            <w:pStyle w:val="NIHRC"/>
            <w:rPr>
              <w:b/>
              <w:bCs w:val="0"/>
              <w:color w:val="77328A"/>
              <w:szCs w:val="24"/>
              <w:lang w:val="en-US"/>
            </w:rPr>
          </w:pPr>
          <w:r w:rsidRPr="00977ABA">
            <w:rPr>
              <w:b/>
              <w:bCs w:val="0"/>
              <w:color w:val="77328A"/>
              <w:szCs w:val="24"/>
              <w:lang w:val="en-US"/>
            </w:rPr>
            <w:t>Table of Contents</w:t>
          </w:r>
        </w:p>
        <w:p w14:paraId="666F9C3B" w14:textId="77777777" w:rsidR="000969BF" w:rsidRDefault="000969BF">
          <w:pPr>
            <w:pStyle w:val="TOC2"/>
          </w:pPr>
        </w:p>
        <w:p w14:paraId="5641BD39" w14:textId="133A72B5" w:rsidR="009D0E39" w:rsidRPr="009D0E39" w:rsidRDefault="009A4901">
          <w:pPr>
            <w:pStyle w:val="TOC2"/>
            <w:rPr>
              <w:noProof/>
              <w:kern w:val="2"/>
              <w:lang w:eastAsia="en-GB"/>
              <w14:ligatures w14:val="standardContextual"/>
            </w:rPr>
          </w:pPr>
          <w:r w:rsidRPr="009D0E39">
            <w:fldChar w:fldCharType="begin"/>
          </w:r>
          <w:r w:rsidRPr="009D0E39">
            <w:instrText xml:space="preserve"> TOC \o "1-3" \h \z \u </w:instrText>
          </w:r>
          <w:r w:rsidRPr="009D0E39">
            <w:fldChar w:fldCharType="separate"/>
          </w:r>
          <w:hyperlink w:anchor="_Toc190093240" w:history="1">
            <w:r w:rsidR="009D0E39" w:rsidRPr="009D0E39">
              <w:rPr>
                <w:rStyle w:val="Hyperlink"/>
                <w:noProof/>
              </w:rPr>
              <w:t>Summary of Advice and Recommendations</w:t>
            </w:r>
            <w:r w:rsidR="009D0E39" w:rsidRPr="009D0E39">
              <w:rPr>
                <w:noProof/>
                <w:webHidden/>
              </w:rPr>
              <w:tab/>
            </w:r>
            <w:r w:rsidR="009D0E39" w:rsidRPr="009D0E39">
              <w:rPr>
                <w:noProof/>
                <w:webHidden/>
              </w:rPr>
              <w:fldChar w:fldCharType="begin"/>
            </w:r>
            <w:r w:rsidR="009D0E39" w:rsidRPr="009D0E39">
              <w:rPr>
                <w:noProof/>
                <w:webHidden/>
              </w:rPr>
              <w:instrText xml:space="preserve"> PAGEREF _Toc190093240 \h </w:instrText>
            </w:r>
            <w:r w:rsidR="009D0E39" w:rsidRPr="009D0E39">
              <w:rPr>
                <w:noProof/>
                <w:webHidden/>
              </w:rPr>
            </w:r>
            <w:r w:rsidR="009D0E39" w:rsidRPr="009D0E39">
              <w:rPr>
                <w:noProof/>
                <w:webHidden/>
              </w:rPr>
              <w:fldChar w:fldCharType="separate"/>
            </w:r>
            <w:r w:rsidR="00BA677A">
              <w:rPr>
                <w:noProof/>
                <w:webHidden/>
              </w:rPr>
              <w:t>3</w:t>
            </w:r>
            <w:r w:rsidR="009D0E39" w:rsidRPr="009D0E39">
              <w:rPr>
                <w:noProof/>
                <w:webHidden/>
              </w:rPr>
              <w:fldChar w:fldCharType="end"/>
            </w:r>
          </w:hyperlink>
        </w:p>
        <w:p w14:paraId="33052992" w14:textId="2DBE8FF6" w:rsidR="009D0E39" w:rsidRPr="009D0E39" w:rsidRDefault="009D0E39">
          <w:pPr>
            <w:pStyle w:val="TOC1"/>
            <w:tabs>
              <w:tab w:val="left" w:pos="720"/>
            </w:tabs>
            <w:rPr>
              <w:rFonts w:ascii="Verdana" w:eastAsiaTheme="minorEastAsia" w:hAnsi="Verdana"/>
              <w:noProof/>
              <w:sz w:val="24"/>
              <w:szCs w:val="24"/>
              <w:lang w:eastAsia="en-GB"/>
            </w:rPr>
          </w:pPr>
          <w:hyperlink w:anchor="_Toc190093241" w:history="1">
            <w:r w:rsidRPr="009D0E39">
              <w:rPr>
                <w:rStyle w:val="Hyperlink"/>
                <w:rFonts w:ascii="Verdana" w:hAnsi="Verdana"/>
                <w:noProof/>
                <w:sz w:val="24"/>
                <w:szCs w:val="24"/>
              </w:rPr>
              <w:t>1.0</w:t>
            </w:r>
            <w:r w:rsidRPr="009D0E39">
              <w:rPr>
                <w:rFonts w:ascii="Verdana" w:eastAsiaTheme="minorEastAsia" w:hAnsi="Verdana"/>
                <w:noProof/>
                <w:sz w:val="24"/>
                <w:szCs w:val="24"/>
                <w:lang w:eastAsia="en-GB"/>
              </w:rPr>
              <w:tab/>
            </w:r>
            <w:r w:rsidRPr="009D0E39">
              <w:rPr>
                <w:rStyle w:val="Hyperlink"/>
                <w:rFonts w:ascii="Verdana" w:hAnsi="Verdana"/>
                <w:noProof/>
                <w:sz w:val="24"/>
                <w:szCs w:val="24"/>
              </w:rPr>
              <w:t>Introduction</w:t>
            </w:r>
            <w:r w:rsidRPr="009D0E39">
              <w:rPr>
                <w:rFonts w:ascii="Verdana" w:hAnsi="Verdana"/>
                <w:noProof/>
                <w:webHidden/>
                <w:sz w:val="24"/>
                <w:szCs w:val="24"/>
              </w:rPr>
              <w:tab/>
            </w:r>
            <w:r w:rsidRPr="009D0E39">
              <w:rPr>
                <w:rFonts w:ascii="Verdana" w:hAnsi="Verdana"/>
                <w:noProof/>
                <w:webHidden/>
                <w:sz w:val="24"/>
                <w:szCs w:val="24"/>
              </w:rPr>
              <w:fldChar w:fldCharType="begin"/>
            </w:r>
            <w:r w:rsidRPr="009D0E39">
              <w:rPr>
                <w:rFonts w:ascii="Verdana" w:hAnsi="Verdana"/>
                <w:noProof/>
                <w:webHidden/>
                <w:sz w:val="24"/>
                <w:szCs w:val="24"/>
              </w:rPr>
              <w:instrText xml:space="preserve"> PAGEREF _Toc190093241 \h </w:instrText>
            </w:r>
            <w:r w:rsidRPr="009D0E39">
              <w:rPr>
                <w:rFonts w:ascii="Verdana" w:hAnsi="Verdana"/>
                <w:noProof/>
                <w:webHidden/>
                <w:sz w:val="24"/>
                <w:szCs w:val="24"/>
              </w:rPr>
            </w:r>
            <w:r w:rsidRPr="009D0E39">
              <w:rPr>
                <w:rFonts w:ascii="Verdana" w:hAnsi="Verdana"/>
                <w:noProof/>
                <w:webHidden/>
                <w:sz w:val="24"/>
                <w:szCs w:val="24"/>
              </w:rPr>
              <w:fldChar w:fldCharType="separate"/>
            </w:r>
            <w:r w:rsidR="00BA677A">
              <w:rPr>
                <w:rFonts w:ascii="Verdana" w:hAnsi="Verdana"/>
                <w:noProof/>
                <w:webHidden/>
                <w:sz w:val="24"/>
                <w:szCs w:val="24"/>
              </w:rPr>
              <w:t>6</w:t>
            </w:r>
            <w:r w:rsidRPr="009D0E39">
              <w:rPr>
                <w:rFonts w:ascii="Verdana" w:hAnsi="Verdana"/>
                <w:noProof/>
                <w:webHidden/>
                <w:sz w:val="24"/>
                <w:szCs w:val="24"/>
              </w:rPr>
              <w:fldChar w:fldCharType="end"/>
            </w:r>
          </w:hyperlink>
        </w:p>
        <w:p w14:paraId="68189529" w14:textId="26A25A65" w:rsidR="009D0E39" w:rsidRPr="009D0E39" w:rsidRDefault="009D0E39">
          <w:pPr>
            <w:pStyle w:val="TOC1"/>
            <w:tabs>
              <w:tab w:val="left" w:pos="720"/>
            </w:tabs>
            <w:rPr>
              <w:rFonts w:ascii="Verdana" w:eastAsiaTheme="minorEastAsia" w:hAnsi="Verdana"/>
              <w:noProof/>
              <w:sz w:val="24"/>
              <w:szCs w:val="24"/>
              <w:lang w:eastAsia="en-GB"/>
            </w:rPr>
          </w:pPr>
          <w:hyperlink w:anchor="_Toc190093242" w:history="1">
            <w:r w:rsidRPr="009D0E39">
              <w:rPr>
                <w:rStyle w:val="Hyperlink"/>
                <w:rFonts w:ascii="Verdana" w:hAnsi="Verdana"/>
                <w:noProof/>
                <w:sz w:val="24"/>
                <w:szCs w:val="24"/>
              </w:rPr>
              <w:t>2.0</w:t>
            </w:r>
            <w:r w:rsidRPr="009D0E39">
              <w:rPr>
                <w:rFonts w:ascii="Verdana" w:eastAsiaTheme="minorEastAsia" w:hAnsi="Verdana"/>
                <w:noProof/>
                <w:sz w:val="24"/>
                <w:szCs w:val="24"/>
                <w:lang w:eastAsia="en-GB"/>
              </w:rPr>
              <w:tab/>
            </w:r>
            <w:r w:rsidRPr="009D0E39">
              <w:rPr>
                <w:rStyle w:val="Hyperlink"/>
                <w:rFonts w:ascii="Verdana" w:hAnsi="Verdana"/>
                <w:noProof/>
                <w:sz w:val="24"/>
                <w:szCs w:val="24"/>
              </w:rPr>
              <w:t>Human Rights Framework</w:t>
            </w:r>
            <w:r w:rsidRPr="009D0E39">
              <w:rPr>
                <w:rFonts w:ascii="Verdana" w:hAnsi="Verdana"/>
                <w:noProof/>
                <w:webHidden/>
                <w:sz w:val="24"/>
                <w:szCs w:val="24"/>
              </w:rPr>
              <w:tab/>
            </w:r>
            <w:r w:rsidRPr="009D0E39">
              <w:rPr>
                <w:rFonts w:ascii="Verdana" w:hAnsi="Verdana"/>
                <w:noProof/>
                <w:webHidden/>
                <w:sz w:val="24"/>
                <w:szCs w:val="24"/>
              </w:rPr>
              <w:fldChar w:fldCharType="begin"/>
            </w:r>
            <w:r w:rsidRPr="009D0E39">
              <w:rPr>
                <w:rFonts w:ascii="Verdana" w:hAnsi="Verdana"/>
                <w:noProof/>
                <w:webHidden/>
                <w:sz w:val="24"/>
                <w:szCs w:val="24"/>
              </w:rPr>
              <w:instrText xml:space="preserve"> PAGEREF _Toc190093242 \h </w:instrText>
            </w:r>
            <w:r w:rsidRPr="009D0E39">
              <w:rPr>
                <w:rFonts w:ascii="Verdana" w:hAnsi="Verdana"/>
                <w:noProof/>
                <w:webHidden/>
                <w:sz w:val="24"/>
                <w:szCs w:val="24"/>
              </w:rPr>
            </w:r>
            <w:r w:rsidRPr="009D0E39">
              <w:rPr>
                <w:rFonts w:ascii="Verdana" w:hAnsi="Verdana"/>
                <w:noProof/>
                <w:webHidden/>
                <w:sz w:val="24"/>
                <w:szCs w:val="24"/>
              </w:rPr>
              <w:fldChar w:fldCharType="separate"/>
            </w:r>
            <w:r w:rsidR="00BA677A">
              <w:rPr>
                <w:rFonts w:ascii="Verdana" w:hAnsi="Verdana"/>
                <w:noProof/>
                <w:webHidden/>
                <w:sz w:val="24"/>
                <w:szCs w:val="24"/>
              </w:rPr>
              <w:t>8</w:t>
            </w:r>
            <w:r w:rsidRPr="009D0E39">
              <w:rPr>
                <w:rFonts w:ascii="Verdana" w:hAnsi="Verdana"/>
                <w:noProof/>
                <w:webHidden/>
                <w:sz w:val="24"/>
                <w:szCs w:val="24"/>
              </w:rPr>
              <w:fldChar w:fldCharType="end"/>
            </w:r>
          </w:hyperlink>
        </w:p>
        <w:p w14:paraId="121F3EE8" w14:textId="72960BFA" w:rsidR="009D0E39" w:rsidRPr="009D0E39" w:rsidRDefault="009D0E39">
          <w:pPr>
            <w:pStyle w:val="TOC2"/>
            <w:rPr>
              <w:noProof/>
              <w:kern w:val="2"/>
              <w:lang w:eastAsia="en-GB"/>
              <w14:ligatures w14:val="standardContextual"/>
            </w:rPr>
          </w:pPr>
          <w:hyperlink w:anchor="_Toc190093243" w:history="1">
            <w:r w:rsidRPr="009D0E39">
              <w:rPr>
                <w:rStyle w:val="Hyperlink"/>
                <w:noProof/>
              </w:rPr>
              <w:t>International and regional human rights standards</w:t>
            </w:r>
            <w:r w:rsidRPr="009D0E39">
              <w:rPr>
                <w:noProof/>
                <w:webHidden/>
              </w:rPr>
              <w:tab/>
            </w:r>
            <w:r w:rsidRPr="009D0E39">
              <w:rPr>
                <w:noProof/>
                <w:webHidden/>
              </w:rPr>
              <w:fldChar w:fldCharType="begin"/>
            </w:r>
            <w:r w:rsidRPr="009D0E39">
              <w:rPr>
                <w:noProof/>
                <w:webHidden/>
              </w:rPr>
              <w:instrText xml:space="preserve"> PAGEREF _Toc190093243 \h </w:instrText>
            </w:r>
            <w:r w:rsidRPr="009D0E39">
              <w:rPr>
                <w:noProof/>
                <w:webHidden/>
              </w:rPr>
            </w:r>
            <w:r w:rsidRPr="009D0E39">
              <w:rPr>
                <w:noProof/>
                <w:webHidden/>
              </w:rPr>
              <w:fldChar w:fldCharType="separate"/>
            </w:r>
            <w:r w:rsidR="00BA677A">
              <w:rPr>
                <w:noProof/>
                <w:webHidden/>
              </w:rPr>
              <w:t>8</w:t>
            </w:r>
            <w:r w:rsidRPr="009D0E39">
              <w:rPr>
                <w:noProof/>
                <w:webHidden/>
              </w:rPr>
              <w:fldChar w:fldCharType="end"/>
            </w:r>
          </w:hyperlink>
        </w:p>
        <w:p w14:paraId="53BD0B2B" w14:textId="6AE10E08" w:rsidR="009D0E39" w:rsidRPr="009D0E39" w:rsidRDefault="009D0E39">
          <w:pPr>
            <w:pStyle w:val="TOC2"/>
            <w:rPr>
              <w:noProof/>
              <w:kern w:val="2"/>
              <w:lang w:eastAsia="en-GB"/>
              <w14:ligatures w14:val="standardContextual"/>
            </w:rPr>
          </w:pPr>
          <w:hyperlink w:anchor="_Toc190093244" w:history="1">
            <w:r w:rsidRPr="009D0E39">
              <w:rPr>
                <w:rStyle w:val="Hyperlink"/>
                <w:noProof/>
              </w:rPr>
              <w:t>Article 2 of the Windsor Framework</w:t>
            </w:r>
            <w:r w:rsidRPr="009D0E39">
              <w:rPr>
                <w:noProof/>
                <w:webHidden/>
              </w:rPr>
              <w:tab/>
            </w:r>
            <w:r w:rsidRPr="009D0E39">
              <w:rPr>
                <w:noProof/>
                <w:webHidden/>
              </w:rPr>
              <w:fldChar w:fldCharType="begin"/>
            </w:r>
            <w:r w:rsidRPr="009D0E39">
              <w:rPr>
                <w:noProof/>
                <w:webHidden/>
              </w:rPr>
              <w:instrText xml:space="preserve"> PAGEREF _Toc190093244 \h </w:instrText>
            </w:r>
            <w:r w:rsidRPr="009D0E39">
              <w:rPr>
                <w:noProof/>
                <w:webHidden/>
              </w:rPr>
            </w:r>
            <w:r w:rsidRPr="009D0E39">
              <w:rPr>
                <w:noProof/>
                <w:webHidden/>
              </w:rPr>
              <w:fldChar w:fldCharType="separate"/>
            </w:r>
            <w:r w:rsidR="00BA677A">
              <w:rPr>
                <w:noProof/>
                <w:webHidden/>
              </w:rPr>
              <w:t>9</w:t>
            </w:r>
            <w:r w:rsidRPr="009D0E39">
              <w:rPr>
                <w:noProof/>
                <w:webHidden/>
              </w:rPr>
              <w:fldChar w:fldCharType="end"/>
            </w:r>
          </w:hyperlink>
        </w:p>
        <w:p w14:paraId="16625600" w14:textId="0F45AF58" w:rsidR="009D0E39" w:rsidRPr="009D0E39" w:rsidRDefault="009D0E39">
          <w:pPr>
            <w:pStyle w:val="TOC2"/>
            <w:rPr>
              <w:noProof/>
              <w:kern w:val="2"/>
              <w:lang w:eastAsia="en-GB"/>
              <w14:ligatures w14:val="standardContextual"/>
            </w:rPr>
          </w:pPr>
          <w:hyperlink w:anchor="_Toc190093245" w:history="1">
            <w:r w:rsidRPr="009D0E39">
              <w:rPr>
                <w:rStyle w:val="Hyperlink"/>
                <w:noProof/>
              </w:rPr>
              <w:t>EU Legal Framework for Data Protection</w:t>
            </w:r>
            <w:r w:rsidRPr="009D0E39">
              <w:rPr>
                <w:noProof/>
                <w:webHidden/>
              </w:rPr>
              <w:tab/>
            </w:r>
            <w:r w:rsidRPr="009D0E39">
              <w:rPr>
                <w:noProof/>
                <w:webHidden/>
              </w:rPr>
              <w:fldChar w:fldCharType="begin"/>
            </w:r>
            <w:r w:rsidRPr="009D0E39">
              <w:rPr>
                <w:noProof/>
                <w:webHidden/>
              </w:rPr>
              <w:instrText xml:space="preserve"> PAGEREF _Toc190093245 \h </w:instrText>
            </w:r>
            <w:r w:rsidRPr="009D0E39">
              <w:rPr>
                <w:noProof/>
                <w:webHidden/>
              </w:rPr>
            </w:r>
            <w:r w:rsidRPr="009D0E39">
              <w:rPr>
                <w:noProof/>
                <w:webHidden/>
              </w:rPr>
              <w:fldChar w:fldCharType="separate"/>
            </w:r>
            <w:r w:rsidR="00BA677A">
              <w:rPr>
                <w:noProof/>
                <w:webHidden/>
              </w:rPr>
              <w:t>11</w:t>
            </w:r>
            <w:r w:rsidRPr="009D0E39">
              <w:rPr>
                <w:noProof/>
                <w:webHidden/>
              </w:rPr>
              <w:fldChar w:fldCharType="end"/>
            </w:r>
          </w:hyperlink>
        </w:p>
        <w:p w14:paraId="558A0E9F" w14:textId="4AD07437" w:rsidR="009D0E39" w:rsidRPr="009D0E39" w:rsidRDefault="009D0E39">
          <w:pPr>
            <w:pStyle w:val="TOC1"/>
            <w:tabs>
              <w:tab w:val="left" w:pos="720"/>
            </w:tabs>
            <w:rPr>
              <w:rFonts w:ascii="Verdana" w:eastAsiaTheme="minorEastAsia" w:hAnsi="Verdana"/>
              <w:noProof/>
              <w:sz w:val="24"/>
              <w:szCs w:val="24"/>
              <w:lang w:eastAsia="en-GB"/>
            </w:rPr>
          </w:pPr>
          <w:hyperlink w:anchor="_Toc190093246" w:history="1">
            <w:r w:rsidRPr="009D0E39">
              <w:rPr>
                <w:rStyle w:val="Hyperlink"/>
                <w:rFonts w:ascii="Verdana" w:hAnsi="Verdana"/>
                <w:noProof/>
                <w:sz w:val="24"/>
                <w:szCs w:val="24"/>
              </w:rPr>
              <w:t>3.0</w:t>
            </w:r>
            <w:r w:rsidRPr="009D0E39">
              <w:rPr>
                <w:rFonts w:ascii="Verdana" w:eastAsiaTheme="minorEastAsia" w:hAnsi="Verdana"/>
                <w:noProof/>
                <w:sz w:val="24"/>
                <w:szCs w:val="24"/>
                <w:lang w:eastAsia="en-GB"/>
              </w:rPr>
              <w:tab/>
            </w:r>
            <w:r w:rsidRPr="009D0E39">
              <w:rPr>
                <w:rStyle w:val="Hyperlink"/>
                <w:rFonts w:ascii="Verdana" w:hAnsi="Verdana"/>
                <w:noProof/>
                <w:sz w:val="24"/>
                <w:szCs w:val="24"/>
              </w:rPr>
              <w:t>Data (Use and Access) Bill [HL]: Overview</w:t>
            </w:r>
            <w:r w:rsidRPr="009D0E39">
              <w:rPr>
                <w:rFonts w:ascii="Verdana" w:hAnsi="Verdana"/>
                <w:noProof/>
                <w:webHidden/>
                <w:sz w:val="24"/>
                <w:szCs w:val="24"/>
              </w:rPr>
              <w:tab/>
            </w:r>
            <w:r w:rsidRPr="009D0E39">
              <w:rPr>
                <w:rFonts w:ascii="Verdana" w:hAnsi="Verdana"/>
                <w:noProof/>
                <w:webHidden/>
                <w:sz w:val="24"/>
                <w:szCs w:val="24"/>
              </w:rPr>
              <w:fldChar w:fldCharType="begin"/>
            </w:r>
            <w:r w:rsidRPr="009D0E39">
              <w:rPr>
                <w:rFonts w:ascii="Verdana" w:hAnsi="Verdana"/>
                <w:noProof/>
                <w:webHidden/>
                <w:sz w:val="24"/>
                <w:szCs w:val="24"/>
              </w:rPr>
              <w:instrText xml:space="preserve"> PAGEREF _Toc190093246 \h </w:instrText>
            </w:r>
            <w:r w:rsidRPr="009D0E39">
              <w:rPr>
                <w:rFonts w:ascii="Verdana" w:hAnsi="Verdana"/>
                <w:noProof/>
                <w:webHidden/>
                <w:sz w:val="24"/>
                <w:szCs w:val="24"/>
              </w:rPr>
            </w:r>
            <w:r w:rsidRPr="009D0E39">
              <w:rPr>
                <w:rFonts w:ascii="Verdana" w:hAnsi="Verdana"/>
                <w:noProof/>
                <w:webHidden/>
                <w:sz w:val="24"/>
                <w:szCs w:val="24"/>
              </w:rPr>
              <w:fldChar w:fldCharType="separate"/>
            </w:r>
            <w:r w:rsidR="00BA677A">
              <w:rPr>
                <w:rFonts w:ascii="Verdana" w:hAnsi="Verdana"/>
                <w:noProof/>
                <w:webHidden/>
                <w:sz w:val="24"/>
                <w:szCs w:val="24"/>
              </w:rPr>
              <w:t>15</w:t>
            </w:r>
            <w:r w:rsidRPr="009D0E39">
              <w:rPr>
                <w:rFonts w:ascii="Verdana" w:hAnsi="Verdana"/>
                <w:noProof/>
                <w:webHidden/>
                <w:sz w:val="24"/>
                <w:szCs w:val="24"/>
              </w:rPr>
              <w:fldChar w:fldCharType="end"/>
            </w:r>
          </w:hyperlink>
        </w:p>
        <w:p w14:paraId="2C5FD4B0" w14:textId="45C4D3F9" w:rsidR="009D0E39" w:rsidRPr="009D0E39" w:rsidRDefault="009D0E39">
          <w:pPr>
            <w:pStyle w:val="TOC2"/>
            <w:rPr>
              <w:noProof/>
              <w:kern w:val="2"/>
              <w:lang w:eastAsia="en-GB"/>
              <w14:ligatures w14:val="standardContextual"/>
            </w:rPr>
          </w:pPr>
          <w:hyperlink w:anchor="_Toc190093247" w:history="1">
            <w:r w:rsidRPr="009D0E39">
              <w:rPr>
                <w:rStyle w:val="Hyperlink"/>
                <w:noProof/>
              </w:rPr>
              <w:t>Background to the Data (Use and Access) Bill [HL]</w:t>
            </w:r>
            <w:r w:rsidRPr="009D0E39">
              <w:rPr>
                <w:noProof/>
                <w:webHidden/>
              </w:rPr>
              <w:tab/>
            </w:r>
            <w:r w:rsidRPr="009D0E39">
              <w:rPr>
                <w:noProof/>
                <w:webHidden/>
              </w:rPr>
              <w:fldChar w:fldCharType="begin"/>
            </w:r>
            <w:r w:rsidRPr="009D0E39">
              <w:rPr>
                <w:noProof/>
                <w:webHidden/>
              </w:rPr>
              <w:instrText xml:space="preserve"> PAGEREF _Toc190093247 \h </w:instrText>
            </w:r>
            <w:r w:rsidRPr="009D0E39">
              <w:rPr>
                <w:noProof/>
                <w:webHidden/>
              </w:rPr>
            </w:r>
            <w:r w:rsidRPr="009D0E39">
              <w:rPr>
                <w:noProof/>
                <w:webHidden/>
              </w:rPr>
              <w:fldChar w:fldCharType="separate"/>
            </w:r>
            <w:r w:rsidR="00BA677A">
              <w:rPr>
                <w:noProof/>
                <w:webHidden/>
              </w:rPr>
              <w:t>15</w:t>
            </w:r>
            <w:r w:rsidRPr="009D0E39">
              <w:rPr>
                <w:noProof/>
                <w:webHidden/>
              </w:rPr>
              <w:fldChar w:fldCharType="end"/>
            </w:r>
          </w:hyperlink>
        </w:p>
        <w:p w14:paraId="736F1F21" w14:textId="746510B1" w:rsidR="009D0E39" w:rsidRPr="009D0E39" w:rsidRDefault="009D0E39">
          <w:pPr>
            <w:pStyle w:val="TOC2"/>
            <w:rPr>
              <w:noProof/>
              <w:kern w:val="2"/>
              <w:lang w:eastAsia="en-GB"/>
              <w14:ligatures w14:val="standardContextual"/>
            </w:rPr>
          </w:pPr>
          <w:hyperlink w:anchor="_Toc190093248" w:history="1">
            <w:r w:rsidRPr="009D0E39">
              <w:rPr>
                <w:rStyle w:val="Hyperlink"/>
                <w:noProof/>
              </w:rPr>
              <w:t>Changes to rights protections for data subjects</w:t>
            </w:r>
            <w:r w:rsidRPr="009D0E39">
              <w:rPr>
                <w:noProof/>
                <w:webHidden/>
              </w:rPr>
              <w:tab/>
            </w:r>
            <w:r w:rsidRPr="009D0E39">
              <w:rPr>
                <w:noProof/>
                <w:webHidden/>
              </w:rPr>
              <w:fldChar w:fldCharType="begin"/>
            </w:r>
            <w:r w:rsidRPr="009D0E39">
              <w:rPr>
                <w:noProof/>
                <w:webHidden/>
              </w:rPr>
              <w:instrText xml:space="preserve"> PAGEREF _Toc190093248 \h </w:instrText>
            </w:r>
            <w:r w:rsidRPr="009D0E39">
              <w:rPr>
                <w:noProof/>
                <w:webHidden/>
              </w:rPr>
            </w:r>
            <w:r w:rsidRPr="009D0E39">
              <w:rPr>
                <w:noProof/>
                <w:webHidden/>
              </w:rPr>
              <w:fldChar w:fldCharType="separate"/>
            </w:r>
            <w:r w:rsidR="00BA677A">
              <w:rPr>
                <w:noProof/>
                <w:webHidden/>
              </w:rPr>
              <w:t>16</w:t>
            </w:r>
            <w:r w:rsidRPr="009D0E39">
              <w:rPr>
                <w:noProof/>
                <w:webHidden/>
              </w:rPr>
              <w:fldChar w:fldCharType="end"/>
            </w:r>
          </w:hyperlink>
        </w:p>
        <w:p w14:paraId="090A21DD" w14:textId="42F74DBC" w:rsidR="009D0E39" w:rsidRPr="009D0E39" w:rsidRDefault="009D0E39">
          <w:pPr>
            <w:pStyle w:val="TOC1"/>
            <w:tabs>
              <w:tab w:val="left" w:pos="720"/>
            </w:tabs>
            <w:rPr>
              <w:rFonts w:ascii="Verdana" w:eastAsiaTheme="minorEastAsia" w:hAnsi="Verdana"/>
              <w:noProof/>
              <w:sz w:val="24"/>
              <w:szCs w:val="24"/>
              <w:lang w:eastAsia="en-GB"/>
            </w:rPr>
          </w:pPr>
          <w:hyperlink w:anchor="_Toc190093249" w:history="1">
            <w:r w:rsidRPr="009D0E39">
              <w:rPr>
                <w:rStyle w:val="Hyperlink"/>
                <w:rFonts w:ascii="Verdana" w:hAnsi="Verdana"/>
                <w:noProof/>
                <w:sz w:val="24"/>
                <w:szCs w:val="24"/>
              </w:rPr>
              <w:t>4.0</w:t>
            </w:r>
            <w:r w:rsidRPr="009D0E39">
              <w:rPr>
                <w:rFonts w:ascii="Verdana" w:eastAsiaTheme="minorEastAsia" w:hAnsi="Verdana"/>
                <w:noProof/>
                <w:sz w:val="24"/>
                <w:szCs w:val="24"/>
                <w:lang w:eastAsia="en-GB"/>
              </w:rPr>
              <w:tab/>
            </w:r>
            <w:r w:rsidRPr="009D0E39">
              <w:rPr>
                <w:rStyle w:val="Hyperlink"/>
                <w:rFonts w:ascii="Verdana" w:hAnsi="Verdana"/>
                <w:noProof/>
                <w:sz w:val="24"/>
                <w:szCs w:val="24"/>
              </w:rPr>
              <w:t>Automated Decision-Making: Clause 80</w:t>
            </w:r>
            <w:r w:rsidRPr="009D0E39">
              <w:rPr>
                <w:rFonts w:ascii="Verdana" w:hAnsi="Verdana"/>
                <w:noProof/>
                <w:webHidden/>
                <w:sz w:val="24"/>
                <w:szCs w:val="24"/>
              </w:rPr>
              <w:tab/>
            </w:r>
            <w:r w:rsidRPr="009D0E39">
              <w:rPr>
                <w:rFonts w:ascii="Verdana" w:hAnsi="Verdana"/>
                <w:noProof/>
                <w:webHidden/>
                <w:sz w:val="24"/>
                <w:szCs w:val="24"/>
              </w:rPr>
              <w:fldChar w:fldCharType="begin"/>
            </w:r>
            <w:r w:rsidRPr="009D0E39">
              <w:rPr>
                <w:rFonts w:ascii="Verdana" w:hAnsi="Verdana"/>
                <w:noProof/>
                <w:webHidden/>
                <w:sz w:val="24"/>
                <w:szCs w:val="24"/>
              </w:rPr>
              <w:instrText xml:space="preserve"> PAGEREF _Toc190093249 \h </w:instrText>
            </w:r>
            <w:r w:rsidRPr="009D0E39">
              <w:rPr>
                <w:rFonts w:ascii="Verdana" w:hAnsi="Verdana"/>
                <w:noProof/>
                <w:webHidden/>
                <w:sz w:val="24"/>
                <w:szCs w:val="24"/>
              </w:rPr>
            </w:r>
            <w:r w:rsidRPr="009D0E39">
              <w:rPr>
                <w:rFonts w:ascii="Verdana" w:hAnsi="Verdana"/>
                <w:noProof/>
                <w:webHidden/>
                <w:sz w:val="24"/>
                <w:szCs w:val="24"/>
              </w:rPr>
              <w:fldChar w:fldCharType="separate"/>
            </w:r>
            <w:r w:rsidR="00BA677A">
              <w:rPr>
                <w:rFonts w:ascii="Verdana" w:hAnsi="Verdana"/>
                <w:noProof/>
                <w:webHidden/>
                <w:sz w:val="24"/>
                <w:szCs w:val="24"/>
              </w:rPr>
              <w:t>18</w:t>
            </w:r>
            <w:r w:rsidRPr="009D0E39">
              <w:rPr>
                <w:rFonts w:ascii="Verdana" w:hAnsi="Verdana"/>
                <w:noProof/>
                <w:webHidden/>
                <w:sz w:val="24"/>
                <w:szCs w:val="24"/>
              </w:rPr>
              <w:fldChar w:fldCharType="end"/>
            </w:r>
          </w:hyperlink>
        </w:p>
        <w:p w14:paraId="64C1CBE9" w14:textId="2CC77D88" w:rsidR="009D0E39" w:rsidRPr="009D0E39" w:rsidRDefault="009D0E39">
          <w:pPr>
            <w:pStyle w:val="TOC2"/>
            <w:rPr>
              <w:noProof/>
              <w:kern w:val="2"/>
              <w:lang w:eastAsia="en-GB"/>
              <w14:ligatures w14:val="standardContextual"/>
            </w:rPr>
          </w:pPr>
          <w:hyperlink w:anchor="_Toc190093250" w:history="1">
            <w:r w:rsidRPr="009D0E39">
              <w:rPr>
                <w:rStyle w:val="Hyperlink"/>
                <w:noProof/>
              </w:rPr>
              <w:t>Powers of the Secretary of State</w:t>
            </w:r>
            <w:r w:rsidRPr="009D0E39">
              <w:rPr>
                <w:noProof/>
                <w:webHidden/>
              </w:rPr>
              <w:tab/>
            </w:r>
            <w:r w:rsidRPr="009D0E39">
              <w:rPr>
                <w:noProof/>
                <w:webHidden/>
              </w:rPr>
              <w:fldChar w:fldCharType="begin"/>
            </w:r>
            <w:r w:rsidRPr="009D0E39">
              <w:rPr>
                <w:noProof/>
                <w:webHidden/>
              </w:rPr>
              <w:instrText xml:space="preserve"> PAGEREF _Toc190093250 \h </w:instrText>
            </w:r>
            <w:r w:rsidRPr="009D0E39">
              <w:rPr>
                <w:noProof/>
                <w:webHidden/>
              </w:rPr>
            </w:r>
            <w:r w:rsidRPr="009D0E39">
              <w:rPr>
                <w:noProof/>
                <w:webHidden/>
              </w:rPr>
              <w:fldChar w:fldCharType="separate"/>
            </w:r>
            <w:r w:rsidR="00BA677A">
              <w:rPr>
                <w:noProof/>
                <w:webHidden/>
              </w:rPr>
              <w:t>22</w:t>
            </w:r>
            <w:r w:rsidRPr="009D0E39">
              <w:rPr>
                <w:noProof/>
                <w:webHidden/>
              </w:rPr>
              <w:fldChar w:fldCharType="end"/>
            </w:r>
          </w:hyperlink>
        </w:p>
        <w:p w14:paraId="79B8A56C" w14:textId="16E0818E" w:rsidR="009D0E39" w:rsidRPr="009D0E39" w:rsidRDefault="009D0E39">
          <w:pPr>
            <w:pStyle w:val="TOC1"/>
            <w:tabs>
              <w:tab w:val="left" w:pos="720"/>
            </w:tabs>
            <w:rPr>
              <w:rFonts w:ascii="Verdana" w:eastAsiaTheme="minorEastAsia" w:hAnsi="Verdana"/>
              <w:noProof/>
              <w:sz w:val="24"/>
              <w:szCs w:val="24"/>
              <w:lang w:eastAsia="en-GB"/>
            </w:rPr>
          </w:pPr>
          <w:hyperlink w:anchor="_Toc190093251" w:history="1">
            <w:r w:rsidRPr="009D0E39">
              <w:rPr>
                <w:rStyle w:val="Hyperlink"/>
                <w:rFonts w:ascii="Verdana" w:hAnsi="Verdana"/>
                <w:noProof/>
                <w:sz w:val="24"/>
                <w:szCs w:val="24"/>
              </w:rPr>
              <w:t>5.0</w:t>
            </w:r>
            <w:r w:rsidRPr="009D0E39">
              <w:rPr>
                <w:rFonts w:ascii="Verdana" w:eastAsiaTheme="minorEastAsia" w:hAnsi="Verdana"/>
                <w:noProof/>
                <w:sz w:val="24"/>
                <w:szCs w:val="24"/>
                <w:lang w:eastAsia="en-GB"/>
              </w:rPr>
              <w:tab/>
            </w:r>
            <w:r w:rsidRPr="009D0E39">
              <w:rPr>
                <w:rStyle w:val="Hyperlink"/>
                <w:rFonts w:ascii="Verdana" w:hAnsi="Verdana"/>
                <w:noProof/>
                <w:sz w:val="24"/>
                <w:szCs w:val="24"/>
              </w:rPr>
              <w:t>Transfer of data to third countries: Clause 84 and Schedule 7</w:t>
            </w:r>
            <w:r w:rsidRPr="009D0E39">
              <w:rPr>
                <w:rFonts w:ascii="Verdana" w:hAnsi="Verdana"/>
                <w:noProof/>
                <w:webHidden/>
                <w:sz w:val="24"/>
                <w:szCs w:val="24"/>
              </w:rPr>
              <w:tab/>
            </w:r>
            <w:r w:rsidRPr="009D0E39">
              <w:rPr>
                <w:rFonts w:ascii="Verdana" w:hAnsi="Verdana"/>
                <w:noProof/>
                <w:webHidden/>
                <w:sz w:val="24"/>
                <w:szCs w:val="24"/>
              </w:rPr>
              <w:fldChar w:fldCharType="begin"/>
            </w:r>
            <w:r w:rsidRPr="009D0E39">
              <w:rPr>
                <w:rFonts w:ascii="Verdana" w:hAnsi="Verdana"/>
                <w:noProof/>
                <w:webHidden/>
                <w:sz w:val="24"/>
                <w:szCs w:val="24"/>
              </w:rPr>
              <w:instrText xml:space="preserve"> PAGEREF _Toc190093251 \h </w:instrText>
            </w:r>
            <w:r w:rsidRPr="009D0E39">
              <w:rPr>
                <w:rFonts w:ascii="Verdana" w:hAnsi="Verdana"/>
                <w:noProof/>
                <w:webHidden/>
                <w:sz w:val="24"/>
                <w:szCs w:val="24"/>
              </w:rPr>
            </w:r>
            <w:r w:rsidRPr="009D0E39">
              <w:rPr>
                <w:rFonts w:ascii="Verdana" w:hAnsi="Verdana"/>
                <w:noProof/>
                <w:webHidden/>
                <w:sz w:val="24"/>
                <w:szCs w:val="24"/>
              </w:rPr>
              <w:fldChar w:fldCharType="separate"/>
            </w:r>
            <w:r w:rsidR="00BA677A">
              <w:rPr>
                <w:rFonts w:ascii="Verdana" w:hAnsi="Verdana"/>
                <w:noProof/>
                <w:webHidden/>
                <w:sz w:val="24"/>
                <w:szCs w:val="24"/>
              </w:rPr>
              <w:t>23</w:t>
            </w:r>
            <w:r w:rsidRPr="009D0E39">
              <w:rPr>
                <w:rFonts w:ascii="Verdana" w:hAnsi="Verdana"/>
                <w:noProof/>
                <w:webHidden/>
                <w:sz w:val="24"/>
                <w:szCs w:val="24"/>
              </w:rPr>
              <w:fldChar w:fldCharType="end"/>
            </w:r>
          </w:hyperlink>
        </w:p>
        <w:p w14:paraId="3BAF2322" w14:textId="76DDE777" w:rsidR="009D0E39" w:rsidRPr="009D0E39" w:rsidRDefault="009D0E39">
          <w:pPr>
            <w:pStyle w:val="TOC2"/>
            <w:rPr>
              <w:noProof/>
              <w:kern w:val="2"/>
              <w:lang w:eastAsia="en-GB"/>
              <w14:ligatures w14:val="standardContextual"/>
            </w:rPr>
          </w:pPr>
          <w:hyperlink w:anchor="_Toc190093252" w:history="1">
            <w:r w:rsidRPr="009D0E39">
              <w:rPr>
                <w:rStyle w:val="Hyperlink"/>
                <w:noProof/>
              </w:rPr>
              <w:t>Current standards</w:t>
            </w:r>
            <w:r w:rsidRPr="009D0E39">
              <w:rPr>
                <w:noProof/>
                <w:webHidden/>
              </w:rPr>
              <w:tab/>
            </w:r>
            <w:r w:rsidRPr="009D0E39">
              <w:rPr>
                <w:noProof/>
                <w:webHidden/>
              </w:rPr>
              <w:fldChar w:fldCharType="begin"/>
            </w:r>
            <w:r w:rsidRPr="009D0E39">
              <w:rPr>
                <w:noProof/>
                <w:webHidden/>
              </w:rPr>
              <w:instrText xml:space="preserve"> PAGEREF _Toc190093252 \h </w:instrText>
            </w:r>
            <w:r w:rsidRPr="009D0E39">
              <w:rPr>
                <w:noProof/>
                <w:webHidden/>
              </w:rPr>
            </w:r>
            <w:r w:rsidRPr="009D0E39">
              <w:rPr>
                <w:noProof/>
                <w:webHidden/>
              </w:rPr>
              <w:fldChar w:fldCharType="separate"/>
            </w:r>
            <w:r w:rsidR="00BA677A">
              <w:rPr>
                <w:noProof/>
                <w:webHidden/>
              </w:rPr>
              <w:t>24</w:t>
            </w:r>
            <w:r w:rsidRPr="009D0E39">
              <w:rPr>
                <w:noProof/>
                <w:webHidden/>
              </w:rPr>
              <w:fldChar w:fldCharType="end"/>
            </w:r>
          </w:hyperlink>
        </w:p>
        <w:p w14:paraId="48E3B5C7" w14:textId="05D76090" w:rsidR="009D0E39" w:rsidRPr="009D0E39" w:rsidRDefault="009D0E39">
          <w:pPr>
            <w:pStyle w:val="TOC2"/>
            <w:rPr>
              <w:noProof/>
              <w:kern w:val="2"/>
              <w:lang w:eastAsia="en-GB"/>
              <w14:ligatures w14:val="standardContextual"/>
            </w:rPr>
          </w:pPr>
          <w:hyperlink w:anchor="_Toc190093253" w:history="1">
            <w:r w:rsidRPr="009D0E39">
              <w:rPr>
                <w:rStyle w:val="Hyperlink"/>
                <w:noProof/>
              </w:rPr>
              <w:t>Proposed changes</w:t>
            </w:r>
            <w:r w:rsidRPr="009D0E39">
              <w:rPr>
                <w:noProof/>
                <w:webHidden/>
              </w:rPr>
              <w:tab/>
            </w:r>
            <w:r w:rsidRPr="009D0E39">
              <w:rPr>
                <w:noProof/>
                <w:webHidden/>
              </w:rPr>
              <w:fldChar w:fldCharType="begin"/>
            </w:r>
            <w:r w:rsidRPr="009D0E39">
              <w:rPr>
                <w:noProof/>
                <w:webHidden/>
              </w:rPr>
              <w:instrText xml:space="preserve"> PAGEREF _Toc190093253 \h </w:instrText>
            </w:r>
            <w:r w:rsidRPr="009D0E39">
              <w:rPr>
                <w:noProof/>
                <w:webHidden/>
              </w:rPr>
            </w:r>
            <w:r w:rsidRPr="009D0E39">
              <w:rPr>
                <w:noProof/>
                <w:webHidden/>
              </w:rPr>
              <w:fldChar w:fldCharType="separate"/>
            </w:r>
            <w:r w:rsidR="00BA677A">
              <w:rPr>
                <w:noProof/>
                <w:webHidden/>
              </w:rPr>
              <w:t>25</w:t>
            </w:r>
            <w:r w:rsidRPr="009D0E39">
              <w:rPr>
                <w:noProof/>
                <w:webHidden/>
              </w:rPr>
              <w:fldChar w:fldCharType="end"/>
            </w:r>
          </w:hyperlink>
        </w:p>
        <w:p w14:paraId="62C178BE" w14:textId="45D859E8" w:rsidR="009D0E39" w:rsidRPr="009D0E39" w:rsidRDefault="009D0E39">
          <w:pPr>
            <w:pStyle w:val="TOC1"/>
            <w:tabs>
              <w:tab w:val="left" w:pos="720"/>
            </w:tabs>
            <w:rPr>
              <w:rFonts w:ascii="Verdana" w:eastAsiaTheme="minorEastAsia" w:hAnsi="Verdana"/>
              <w:noProof/>
              <w:sz w:val="24"/>
              <w:szCs w:val="24"/>
              <w:lang w:eastAsia="en-GB"/>
            </w:rPr>
          </w:pPr>
          <w:hyperlink w:anchor="_Toc190093254" w:history="1">
            <w:r w:rsidRPr="009D0E39">
              <w:rPr>
                <w:rStyle w:val="Hyperlink"/>
                <w:rFonts w:ascii="Verdana" w:hAnsi="Verdana"/>
                <w:noProof/>
                <w:sz w:val="24"/>
                <w:szCs w:val="24"/>
              </w:rPr>
              <w:t>6.0</w:t>
            </w:r>
            <w:r w:rsidRPr="009D0E39">
              <w:rPr>
                <w:rFonts w:ascii="Verdana" w:eastAsiaTheme="minorEastAsia" w:hAnsi="Verdana"/>
                <w:noProof/>
                <w:sz w:val="24"/>
                <w:szCs w:val="24"/>
                <w:lang w:eastAsia="en-GB"/>
              </w:rPr>
              <w:tab/>
            </w:r>
            <w:r w:rsidRPr="009D0E39">
              <w:rPr>
                <w:rStyle w:val="Hyperlink"/>
                <w:rFonts w:ascii="Verdana" w:hAnsi="Verdana"/>
                <w:noProof/>
                <w:sz w:val="24"/>
                <w:szCs w:val="24"/>
              </w:rPr>
              <w:t>Processing of personal data for the purposes of research: Clauses 67, 70 and 71</w:t>
            </w:r>
            <w:r w:rsidRPr="009D0E39">
              <w:rPr>
                <w:rFonts w:ascii="Verdana" w:hAnsi="Verdana"/>
                <w:noProof/>
                <w:webHidden/>
                <w:sz w:val="24"/>
                <w:szCs w:val="24"/>
              </w:rPr>
              <w:tab/>
            </w:r>
            <w:r w:rsidRPr="009D0E39">
              <w:rPr>
                <w:rFonts w:ascii="Verdana" w:hAnsi="Verdana"/>
                <w:noProof/>
                <w:webHidden/>
                <w:sz w:val="24"/>
                <w:szCs w:val="24"/>
              </w:rPr>
              <w:fldChar w:fldCharType="begin"/>
            </w:r>
            <w:r w:rsidRPr="009D0E39">
              <w:rPr>
                <w:rFonts w:ascii="Verdana" w:hAnsi="Verdana"/>
                <w:noProof/>
                <w:webHidden/>
                <w:sz w:val="24"/>
                <w:szCs w:val="24"/>
              </w:rPr>
              <w:instrText xml:space="preserve"> PAGEREF _Toc190093254 \h </w:instrText>
            </w:r>
            <w:r w:rsidRPr="009D0E39">
              <w:rPr>
                <w:rFonts w:ascii="Verdana" w:hAnsi="Verdana"/>
                <w:noProof/>
                <w:webHidden/>
                <w:sz w:val="24"/>
                <w:szCs w:val="24"/>
              </w:rPr>
            </w:r>
            <w:r w:rsidRPr="009D0E39">
              <w:rPr>
                <w:rFonts w:ascii="Verdana" w:hAnsi="Verdana"/>
                <w:noProof/>
                <w:webHidden/>
                <w:sz w:val="24"/>
                <w:szCs w:val="24"/>
              </w:rPr>
              <w:fldChar w:fldCharType="separate"/>
            </w:r>
            <w:r w:rsidR="00BA677A">
              <w:rPr>
                <w:rFonts w:ascii="Verdana" w:hAnsi="Verdana"/>
                <w:noProof/>
                <w:webHidden/>
                <w:sz w:val="24"/>
                <w:szCs w:val="24"/>
              </w:rPr>
              <w:t>28</w:t>
            </w:r>
            <w:r w:rsidRPr="009D0E39">
              <w:rPr>
                <w:rFonts w:ascii="Verdana" w:hAnsi="Verdana"/>
                <w:noProof/>
                <w:webHidden/>
                <w:sz w:val="24"/>
                <w:szCs w:val="24"/>
              </w:rPr>
              <w:fldChar w:fldCharType="end"/>
            </w:r>
          </w:hyperlink>
        </w:p>
        <w:p w14:paraId="33420EFB" w14:textId="05A98F53" w:rsidR="009D0E39" w:rsidRPr="009D0E39" w:rsidRDefault="009D0E39">
          <w:pPr>
            <w:pStyle w:val="TOC2"/>
            <w:rPr>
              <w:noProof/>
              <w:kern w:val="2"/>
              <w:lang w:eastAsia="en-GB"/>
              <w14:ligatures w14:val="standardContextual"/>
            </w:rPr>
          </w:pPr>
          <w:hyperlink w:anchor="_Toc190093255" w:history="1">
            <w:r w:rsidRPr="009D0E39">
              <w:rPr>
                <w:rStyle w:val="Hyperlink"/>
                <w:noProof/>
              </w:rPr>
              <w:t>Current provisions</w:t>
            </w:r>
            <w:r w:rsidRPr="009D0E39">
              <w:rPr>
                <w:noProof/>
                <w:webHidden/>
              </w:rPr>
              <w:tab/>
            </w:r>
            <w:r w:rsidRPr="009D0E39">
              <w:rPr>
                <w:noProof/>
                <w:webHidden/>
              </w:rPr>
              <w:fldChar w:fldCharType="begin"/>
            </w:r>
            <w:r w:rsidRPr="009D0E39">
              <w:rPr>
                <w:noProof/>
                <w:webHidden/>
              </w:rPr>
              <w:instrText xml:space="preserve"> PAGEREF _Toc190093255 \h </w:instrText>
            </w:r>
            <w:r w:rsidRPr="009D0E39">
              <w:rPr>
                <w:noProof/>
                <w:webHidden/>
              </w:rPr>
            </w:r>
            <w:r w:rsidRPr="009D0E39">
              <w:rPr>
                <w:noProof/>
                <w:webHidden/>
              </w:rPr>
              <w:fldChar w:fldCharType="separate"/>
            </w:r>
            <w:r w:rsidR="00BA677A">
              <w:rPr>
                <w:noProof/>
                <w:webHidden/>
              </w:rPr>
              <w:t>29</w:t>
            </w:r>
            <w:r w:rsidRPr="009D0E39">
              <w:rPr>
                <w:noProof/>
                <w:webHidden/>
              </w:rPr>
              <w:fldChar w:fldCharType="end"/>
            </w:r>
          </w:hyperlink>
        </w:p>
        <w:p w14:paraId="084573A0" w14:textId="7F4F9A1D" w:rsidR="009D0E39" w:rsidRPr="009D0E39" w:rsidRDefault="009D0E39">
          <w:pPr>
            <w:pStyle w:val="TOC2"/>
            <w:rPr>
              <w:noProof/>
              <w:kern w:val="2"/>
              <w:lang w:eastAsia="en-GB"/>
              <w14:ligatures w14:val="standardContextual"/>
            </w:rPr>
          </w:pPr>
          <w:hyperlink w:anchor="_Toc190093256" w:history="1">
            <w:r w:rsidRPr="009D0E39">
              <w:rPr>
                <w:rStyle w:val="Hyperlink"/>
                <w:noProof/>
              </w:rPr>
              <w:t>Proposed changes</w:t>
            </w:r>
            <w:r w:rsidRPr="009D0E39">
              <w:rPr>
                <w:noProof/>
                <w:webHidden/>
              </w:rPr>
              <w:tab/>
            </w:r>
            <w:r w:rsidRPr="009D0E39">
              <w:rPr>
                <w:noProof/>
                <w:webHidden/>
              </w:rPr>
              <w:fldChar w:fldCharType="begin"/>
            </w:r>
            <w:r w:rsidRPr="009D0E39">
              <w:rPr>
                <w:noProof/>
                <w:webHidden/>
              </w:rPr>
              <w:instrText xml:space="preserve"> PAGEREF _Toc190093256 \h </w:instrText>
            </w:r>
            <w:r w:rsidRPr="009D0E39">
              <w:rPr>
                <w:noProof/>
                <w:webHidden/>
              </w:rPr>
            </w:r>
            <w:r w:rsidRPr="009D0E39">
              <w:rPr>
                <w:noProof/>
                <w:webHidden/>
              </w:rPr>
              <w:fldChar w:fldCharType="separate"/>
            </w:r>
            <w:r w:rsidR="00BA677A">
              <w:rPr>
                <w:noProof/>
                <w:webHidden/>
              </w:rPr>
              <w:t>29</w:t>
            </w:r>
            <w:r w:rsidRPr="009D0E39">
              <w:rPr>
                <w:noProof/>
                <w:webHidden/>
              </w:rPr>
              <w:fldChar w:fldCharType="end"/>
            </w:r>
          </w:hyperlink>
        </w:p>
        <w:p w14:paraId="6B717CB1" w14:textId="25365522" w:rsidR="009D0E39" w:rsidRPr="009D0E39" w:rsidRDefault="009D0E39">
          <w:pPr>
            <w:pStyle w:val="TOC1"/>
            <w:tabs>
              <w:tab w:val="left" w:pos="720"/>
            </w:tabs>
            <w:rPr>
              <w:rFonts w:ascii="Verdana" w:eastAsiaTheme="minorEastAsia" w:hAnsi="Verdana"/>
              <w:noProof/>
              <w:sz w:val="24"/>
              <w:szCs w:val="24"/>
              <w:lang w:eastAsia="en-GB"/>
            </w:rPr>
          </w:pPr>
          <w:hyperlink w:anchor="_Toc190093257" w:history="1">
            <w:r w:rsidRPr="009D0E39">
              <w:rPr>
                <w:rStyle w:val="Hyperlink"/>
                <w:rFonts w:ascii="Verdana" w:hAnsi="Verdana"/>
                <w:noProof/>
                <w:sz w:val="24"/>
                <w:szCs w:val="24"/>
              </w:rPr>
              <w:t>7.0</w:t>
            </w:r>
            <w:r w:rsidRPr="009D0E39">
              <w:rPr>
                <w:rFonts w:ascii="Verdana" w:eastAsiaTheme="minorEastAsia" w:hAnsi="Verdana"/>
                <w:noProof/>
                <w:sz w:val="24"/>
                <w:szCs w:val="24"/>
                <w:lang w:eastAsia="en-GB"/>
              </w:rPr>
              <w:tab/>
            </w:r>
            <w:r w:rsidRPr="009D0E39">
              <w:rPr>
                <w:rStyle w:val="Hyperlink"/>
                <w:rFonts w:ascii="Verdana" w:hAnsi="Verdana"/>
                <w:noProof/>
                <w:sz w:val="24"/>
                <w:szCs w:val="24"/>
              </w:rPr>
              <w:t>Additional concerns</w:t>
            </w:r>
            <w:r w:rsidRPr="009D0E39">
              <w:rPr>
                <w:rFonts w:ascii="Verdana" w:hAnsi="Verdana"/>
                <w:noProof/>
                <w:webHidden/>
                <w:sz w:val="24"/>
                <w:szCs w:val="24"/>
              </w:rPr>
              <w:tab/>
            </w:r>
            <w:r w:rsidRPr="009D0E39">
              <w:rPr>
                <w:rFonts w:ascii="Verdana" w:hAnsi="Verdana"/>
                <w:noProof/>
                <w:webHidden/>
                <w:sz w:val="24"/>
                <w:szCs w:val="24"/>
              </w:rPr>
              <w:fldChar w:fldCharType="begin"/>
            </w:r>
            <w:r w:rsidRPr="009D0E39">
              <w:rPr>
                <w:rFonts w:ascii="Verdana" w:hAnsi="Verdana"/>
                <w:noProof/>
                <w:webHidden/>
                <w:sz w:val="24"/>
                <w:szCs w:val="24"/>
              </w:rPr>
              <w:instrText xml:space="preserve"> PAGEREF _Toc190093257 \h </w:instrText>
            </w:r>
            <w:r w:rsidRPr="009D0E39">
              <w:rPr>
                <w:rFonts w:ascii="Verdana" w:hAnsi="Verdana"/>
                <w:noProof/>
                <w:webHidden/>
                <w:sz w:val="24"/>
                <w:szCs w:val="24"/>
              </w:rPr>
            </w:r>
            <w:r w:rsidRPr="009D0E39">
              <w:rPr>
                <w:rFonts w:ascii="Verdana" w:hAnsi="Verdana"/>
                <w:noProof/>
                <w:webHidden/>
                <w:sz w:val="24"/>
                <w:szCs w:val="24"/>
              </w:rPr>
              <w:fldChar w:fldCharType="separate"/>
            </w:r>
            <w:r w:rsidR="00BA677A">
              <w:rPr>
                <w:rFonts w:ascii="Verdana" w:hAnsi="Verdana"/>
                <w:noProof/>
                <w:webHidden/>
                <w:sz w:val="24"/>
                <w:szCs w:val="24"/>
              </w:rPr>
              <w:t>31</w:t>
            </w:r>
            <w:r w:rsidRPr="009D0E39">
              <w:rPr>
                <w:rFonts w:ascii="Verdana" w:hAnsi="Verdana"/>
                <w:noProof/>
                <w:webHidden/>
                <w:sz w:val="24"/>
                <w:szCs w:val="24"/>
              </w:rPr>
              <w:fldChar w:fldCharType="end"/>
            </w:r>
          </w:hyperlink>
        </w:p>
        <w:p w14:paraId="49B222A1" w14:textId="7BC97BA6" w:rsidR="009A4901" w:rsidRPr="00D104A0" w:rsidRDefault="009A4901" w:rsidP="009A4901">
          <w:pPr>
            <w:spacing w:after="0" w:line="288" w:lineRule="auto"/>
            <w:rPr>
              <w:rFonts w:ascii="Verdana" w:hAnsi="Verdana"/>
              <w:bCs/>
              <w:noProof/>
              <w:sz w:val="24"/>
              <w:szCs w:val="24"/>
            </w:rPr>
          </w:pPr>
          <w:r w:rsidRPr="009D0E39">
            <w:rPr>
              <w:rFonts w:ascii="Verdana" w:hAnsi="Verdana"/>
              <w:b/>
              <w:bCs/>
              <w:noProof/>
              <w:sz w:val="24"/>
              <w:szCs w:val="24"/>
            </w:rPr>
            <w:fldChar w:fldCharType="end"/>
          </w:r>
        </w:p>
      </w:sdtContent>
    </w:sdt>
    <w:p w14:paraId="40487925" w14:textId="51E74976" w:rsidR="00E10AD2" w:rsidRPr="004D47D9" w:rsidRDefault="00E10AD2" w:rsidP="00095DD4">
      <w:pPr>
        <w:rPr>
          <w:rFonts w:ascii="Verdana" w:eastAsiaTheme="majorEastAsia" w:hAnsi="Verdana" w:cstheme="minorHAnsi"/>
          <w:b/>
          <w:sz w:val="24"/>
          <w:szCs w:val="24"/>
        </w:rPr>
      </w:pPr>
    </w:p>
    <w:p w14:paraId="566A97FE" w14:textId="77777777" w:rsidR="009D0E39" w:rsidRDefault="009D0E39" w:rsidP="0045217D">
      <w:pPr>
        <w:pStyle w:val="Heading2"/>
      </w:pPr>
    </w:p>
    <w:p w14:paraId="41914306" w14:textId="77777777" w:rsidR="009D0E39" w:rsidRDefault="009D0E39" w:rsidP="0045217D">
      <w:pPr>
        <w:pStyle w:val="Heading2"/>
      </w:pPr>
    </w:p>
    <w:p w14:paraId="40DA9EDA" w14:textId="6DBA6F2E" w:rsidR="009D0E39" w:rsidRDefault="009D0E39" w:rsidP="009D0E39">
      <w:pPr>
        <w:pStyle w:val="Heading2"/>
        <w:tabs>
          <w:tab w:val="left" w:pos="3090"/>
        </w:tabs>
      </w:pPr>
      <w:r>
        <w:tab/>
      </w:r>
    </w:p>
    <w:p w14:paraId="2CB15FA5" w14:textId="4CF07C3A" w:rsidR="0050384E" w:rsidRPr="00E73C19" w:rsidRDefault="00E10AD2" w:rsidP="0045217D">
      <w:pPr>
        <w:pStyle w:val="Heading2"/>
        <w:rPr>
          <w:color w:val="77328A"/>
          <w:sz w:val="28"/>
          <w:szCs w:val="28"/>
        </w:rPr>
      </w:pPr>
      <w:r w:rsidRPr="004D47D9">
        <w:br w:type="page"/>
      </w:r>
      <w:bookmarkStart w:id="0" w:name="_Toc190093240"/>
      <w:r w:rsidR="00F13867" w:rsidRPr="00E73C19">
        <w:rPr>
          <w:color w:val="77328A"/>
          <w:sz w:val="28"/>
          <w:szCs w:val="28"/>
        </w:rPr>
        <w:lastRenderedPageBreak/>
        <w:t xml:space="preserve">Summary of </w:t>
      </w:r>
      <w:r w:rsidR="0059000D" w:rsidRPr="00E73C19">
        <w:rPr>
          <w:color w:val="77328A"/>
          <w:sz w:val="28"/>
          <w:szCs w:val="28"/>
        </w:rPr>
        <w:t>A</w:t>
      </w:r>
      <w:r w:rsidR="00FE5BEB" w:rsidRPr="00E73C19">
        <w:rPr>
          <w:color w:val="77328A"/>
          <w:sz w:val="28"/>
          <w:szCs w:val="28"/>
        </w:rPr>
        <w:t>dvice and</w:t>
      </w:r>
      <w:r w:rsidR="00F13867" w:rsidRPr="00E73C19">
        <w:rPr>
          <w:color w:val="77328A"/>
          <w:sz w:val="28"/>
          <w:szCs w:val="28"/>
        </w:rPr>
        <w:t xml:space="preserve"> </w:t>
      </w:r>
      <w:r w:rsidR="0059000D" w:rsidRPr="00E73C19">
        <w:rPr>
          <w:color w:val="77328A"/>
          <w:sz w:val="28"/>
          <w:szCs w:val="28"/>
        </w:rPr>
        <w:t>R</w:t>
      </w:r>
      <w:r w:rsidR="00F13867" w:rsidRPr="00E73C19">
        <w:rPr>
          <w:color w:val="77328A"/>
          <w:sz w:val="28"/>
          <w:szCs w:val="28"/>
        </w:rPr>
        <w:t>ecommendations</w:t>
      </w:r>
      <w:bookmarkEnd w:id="0"/>
    </w:p>
    <w:p w14:paraId="411890A5" w14:textId="77777777" w:rsidR="00220931" w:rsidRDefault="00220931" w:rsidP="00220931"/>
    <w:p w14:paraId="3978CA1F" w14:textId="09055965" w:rsidR="00220931" w:rsidRPr="00E46938" w:rsidRDefault="00220931" w:rsidP="00220931">
      <w:pPr>
        <w:rPr>
          <w:rFonts w:ascii="Verdana" w:hAnsi="Verdana"/>
          <w:sz w:val="24"/>
          <w:szCs w:val="24"/>
        </w:rPr>
      </w:pPr>
      <w:r w:rsidRPr="00E46938">
        <w:rPr>
          <w:rFonts w:ascii="Verdana" w:hAnsi="Verdana"/>
          <w:sz w:val="24"/>
          <w:szCs w:val="24"/>
        </w:rPr>
        <w:t>The NI Human Rights Commission</w:t>
      </w:r>
      <w:r w:rsidR="00E46938" w:rsidRPr="00E46938">
        <w:rPr>
          <w:rFonts w:ascii="Verdana" w:hAnsi="Verdana"/>
          <w:sz w:val="24"/>
          <w:szCs w:val="24"/>
        </w:rPr>
        <w:t>:</w:t>
      </w:r>
    </w:p>
    <w:p w14:paraId="4219094D" w14:textId="77777777" w:rsidR="00C01088" w:rsidRPr="00E65696" w:rsidRDefault="00C01088" w:rsidP="00C01088">
      <w:pPr>
        <w:spacing w:line="276" w:lineRule="auto"/>
        <w:rPr>
          <w:rFonts w:ascii="Verdana" w:hAnsi="Verdana"/>
          <w:b/>
          <w:sz w:val="24"/>
          <w:szCs w:val="24"/>
        </w:rPr>
      </w:pPr>
    </w:p>
    <w:p w14:paraId="0B4EEFA9" w14:textId="1FF8CD74" w:rsidR="00D772FF" w:rsidRPr="00E65696" w:rsidRDefault="0085671B" w:rsidP="00321BCC">
      <w:pPr>
        <w:spacing w:line="276" w:lineRule="auto"/>
        <w:ind w:left="720" w:hanging="720"/>
        <w:rPr>
          <w:rFonts w:ascii="Verdana" w:hAnsi="Verdana"/>
          <w:b/>
          <w:sz w:val="24"/>
          <w:szCs w:val="24"/>
        </w:rPr>
      </w:pPr>
      <w:r w:rsidRPr="00E65696">
        <w:rPr>
          <w:rFonts w:ascii="Verdana" w:hAnsi="Verdana"/>
          <w:b/>
          <w:sz w:val="24"/>
          <w:szCs w:val="24"/>
        </w:rPr>
        <w:t xml:space="preserve">2.9 </w:t>
      </w:r>
      <w:r w:rsidR="006C4456">
        <w:rPr>
          <w:rFonts w:ascii="Verdana" w:hAnsi="Verdana"/>
          <w:b/>
          <w:sz w:val="24"/>
          <w:szCs w:val="24"/>
        </w:rPr>
        <w:t xml:space="preserve">  </w:t>
      </w:r>
      <w:r w:rsidR="008F6F7A">
        <w:rPr>
          <w:rFonts w:ascii="Verdana" w:hAnsi="Verdana"/>
          <w:b/>
          <w:sz w:val="24"/>
          <w:szCs w:val="24"/>
        </w:rPr>
        <w:t xml:space="preserve">advises </w:t>
      </w:r>
      <w:r w:rsidRPr="00E65696">
        <w:rPr>
          <w:rFonts w:ascii="Verdana" w:hAnsi="Verdana"/>
          <w:b/>
          <w:sz w:val="24"/>
          <w:szCs w:val="24"/>
        </w:rPr>
        <w:t xml:space="preserve">that all EU law in force in NI on or before 31 December 2020 which underpins an ECHR right, falls within scope of the non-diminution commitment in Windsor Framework Article 2. </w:t>
      </w:r>
    </w:p>
    <w:p w14:paraId="0ABB0729" w14:textId="77777777" w:rsidR="00726FD3" w:rsidRPr="00E65696" w:rsidRDefault="00726FD3" w:rsidP="00321BCC">
      <w:pPr>
        <w:spacing w:line="276" w:lineRule="auto"/>
        <w:ind w:left="720" w:hanging="720"/>
        <w:rPr>
          <w:rFonts w:ascii="Verdana" w:hAnsi="Verdana"/>
          <w:b/>
          <w:sz w:val="24"/>
          <w:szCs w:val="24"/>
        </w:rPr>
      </w:pPr>
    </w:p>
    <w:p w14:paraId="7D309A36" w14:textId="32414DCC" w:rsidR="00726FD3" w:rsidRPr="00E65696" w:rsidRDefault="00726FD3" w:rsidP="00726FD3">
      <w:pPr>
        <w:spacing w:line="276" w:lineRule="auto"/>
        <w:ind w:left="720" w:hanging="720"/>
        <w:rPr>
          <w:rFonts w:ascii="Verdana" w:hAnsi="Verdana"/>
          <w:b/>
          <w:sz w:val="24"/>
          <w:szCs w:val="24"/>
        </w:rPr>
      </w:pPr>
      <w:r w:rsidRPr="00E65696">
        <w:rPr>
          <w:rFonts w:ascii="Verdana" w:hAnsi="Verdana"/>
          <w:b/>
          <w:sz w:val="24"/>
          <w:szCs w:val="24"/>
        </w:rPr>
        <w:t>2.</w:t>
      </w:r>
      <w:r>
        <w:rPr>
          <w:rFonts w:ascii="Verdana" w:hAnsi="Verdana"/>
          <w:b/>
          <w:sz w:val="24"/>
          <w:szCs w:val="24"/>
        </w:rPr>
        <w:t>10</w:t>
      </w:r>
      <w:r w:rsidRPr="00E65696">
        <w:rPr>
          <w:rFonts w:ascii="Verdana" w:hAnsi="Verdana"/>
          <w:b/>
          <w:sz w:val="24"/>
          <w:szCs w:val="24"/>
        </w:rPr>
        <w:t xml:space="preserve"> </w:t>
      </w:r>
      <w:r>
        <w:rPr>
          <w:rFonts w:ascii="Verdana" w:hAnsi="Verdana"/>
          <w:b/>
          <w:sz w:val="24"/>
          <w:szCs w:val="24"/>
        </w:rPr>
        <w:tab/>
        <w:t xml:space="preserve">advises </w:t>
      </w:r>
      <w:r w:rsidRPr="00E65696">
        <w:rPr>
          <w:rFonts w:ascii="Verdana" w:hAnsi="Verdana"/>
          <w:b/>
          <w:sz w:val="24"/>
          <w:szCs w:val="24"/>
        </w:rPr>
        <w:t>that, as a fundamental right, the right to personal data protection would fall within the scope of “civil rights” under the Belfast (Good Friday) Agreement. Further, as an essential element of the right to respect for private and family life in Article 8 ECHR, any right to personal data protection afforded by EU law, by which the UK was bound on 31 December 2020, falls within the scope of the non-diminution commitment in Windsor Framework Article 2.</w:t>
      </w:r>
    </w:p>
    <w:p w14:paraId="2B1818F3" w14:textId="77777777" w:rsidR="00C01088" w:rsidRPr="00E65696" w:rsidRDefault="00C01088" w:rsidP="00321BCC">
      <w:pPr>
        <w:spacing w:line="276" w:lineRule="auto"/>
        <w:ind w:left="720" w:hanging="720"/>
        <w:rPr>
          <w:rFonts w:ascii="Verdana" w:hAnsi="Verdana"/>
          <w:b/>
          <w:sz w:val="24"/>
          <w:szCs w:val="24"/>
        </w:rPr>
      </w:pPr>
    </w:p>
    <w:p w14:paraId="2133CDE8" w14:textId="6E685989" w:rsidR="0085671B" w:rsidRPr="00E65696" w:rsidRDefault="0085671B" w:rsidP="00327C2E">
      <w:pPr>
        <w:spacing w:line="276" w:lineRule="auto"/>
        <w:ind w:left="709" w:hanging="720"/>
        <w:rPr>
          <w:rFonts w:ascii="Verdana" w:hAnsi="Verdana"/>
          <w:b/>
          <w:sz w:val="24"/>
          <w:szCs w:val="24"/>
        </w:rPr>
      </w:pPr>
      <w:r w:rsidRPr="00E65696">
        <w:rPr>
          <w:rFonts w:ascii="Verdana" w:hAnsi="Verdana"/>
          <w:b/>
          <w:sz w:val="24"/>
          <w:szCs w:val="24"/>
        </w:rPr>
        <w:t>2.2</w:t>
      </w:r>
      <w:r w:rsidR="00D44FD4">
        <w:rPr>
          <w:rFonts w:ascii="Verdana" w:hAnsi="Verdana"/>
          <w:b/>
          <w:sz w:val="24"/>
          <w:szCs w:val="24"/>
        </w:rPr>
        <w:t>3</w:t>
      </w:r>
      <w:r w:rsidRPr="00E65696">
        <w:rPr>
          <w:rFonts w:ascii="Verdana" w:hAnsi="Verdana"/>
          <w:b/>
          <w:sz w:val="24"/>
          <w:szCs w:val="24"/>
        </w:rPr>
        <w:t xml:space="preserve"> </w:t>
      </w:r>
      <w:r w:rsidR="00327C2E">
        <w:rPr>
          <w:rFonts w:ascii="Verdana" w:hAnsi="Verdana"/>
          <w:b/>
          <w:sz w:val="24"/>
          <w:szCs w:val="24"/>
        </w:rPr>
        <w:tab/>
      </w:r>
      <w:r w:rsidR="00AB1F96" w:rsidRPr="00AB1F96">
        <w:rPr>
          <w:rFonts w:ascii="Verdana" w:hAnsi="Verdana"/>
          <w:b/>
          <w:sz w:val="24"/>
          <w:szCs w:val="24"/>
        </w:rPr>
        <w:t>recommends that Members enquire whether or to what extent compliance with Windsor Framework Article 2 was considered by the Secretary of State before introduction of the Bill and if he will provide a detailed, written assessment</w:t>
      </w:r>
      <w:r w:rsidRPr="00E65696">
        <w:rPr>
          <w:rFonts w:ascii="Verdana" w:hAnsi="Verdana"/>
          <w:b/>
          <w:sz w:val="24"/>
          <w:szCs w:val="24"/>
        </w:rPr>
        <w:t xml:space="preserve">. </w:t>
      </w:r>
    </w:p>
    <w:p w14:paraId="5272CAED" w14:textId="77777777" w:rsidR="00C01088" w:rsidRPr="00E65696" w:rsidRDefault="00C01088" w:rsidP="00C01088">
      <w:pPr>
        <w:spacing w:line="276" w:lineRule="auto"/>
        <w:rPr>
          <w:rFonts w:ascii="Verdana" w:hAnsi="Verdana"/>
          <w:b/>
          <w:sz w:val="24"/>
          <w:szCs w:val="24"/>
        </w:rPr>
      </w:pPr>
    </w:p>
    <w:p w14:paraId="76395D90" w14:textId="77777777" w:rsidR="00535947" w:rsidRPr="00535947" w:rsidRDefault="0085671B" w:rsidP="00535947">
      <w:pPr>
        <w:spacing w:line="276" w:lineRule="auto"/>
        <w:ind w:left="709" w:hanging="720"/>
        <w:rPr>
          <w:rFonts w:ascii="Verdana" w:hAnsi="Verdana"/>
          <w:b/>
          <w:sz w:val="24"/>
          <w:szCs w:val="24"/>
        </w:rPr>
      </w:pPr>
      <w:r w:rsidRPr="00E65696">
        <w:rPr>
          <w:rFonts w:ascii="Verdana" w:hAnsi="Verdana"/>
          <w:b/>
          <w:sz w:val="24"/>
          <w:szCs w:val="24"/>
        </w:rPr>
        <w:t>2.2</w:t>
      </w:r>
      <w:r w:rsidR="00EF44F8">
        <w:rPr>
          <w:rFonts w:ascii="Verdana" w:hAnsi="Verdana"/>
          <w:b/>
          <w:sz w:val="24"/>
          <w:szCs w:val="24"/>
        </w:rPr>
        <w:t>4</w:t>
      </w:r>
      <w:r w:rsidRPr="00E65696">
        <w:rPr>
          <w:rFonts w:ascii="Verdana" w:hAnsi="Verdana"/>
          <w:b/>
          <w:sz w:val="24"/>
          <w:szCs w:val="24"/>
        </w:rPr>
        <w:t xml:space="preserve"> </w:t>
      </w:r>
      <w:r w:rsidR="00327C2E">
        <w:rPr>
          <w:rFonts w:ascii="Verdana" w:hAnsi="Verdana"/>
          <w:b/>
          <w:sz w:val="24"/>
          <w:szCs w:val="24"/>
        </w:rPr>
        <w:tab/>
      </w:r>
      <w:r w:rsidR="00535947" w:rsidRPr="00535947">
        <w:rPr>
          <w:rFonts w:ascii="Verdana" w:hAnsi="Verdana"/>
          <w:b/>
          <w:sz w:val="24"/>
          <w:szCs w:val="24"/>
        </w:rPr>
        <w:t xml:space="preserve">recommends that Members enquire whether or to what extent the Secretary of State agrees with the advice of the Dedicated Mechanism that: </w:t>
      </w:r>
    </w:p>
    <w:p w14:paraId="11C75AD2" w14:textId="77777777" w:rsidR="00535947" w:rsidRPr="00535947" w:rsidRDefault="00535947" w:rsidP="00421ED3">
      <w:pPr>
        <w:spacing w:line="276" w:lineRule="auto"/>
        <w:ind w:left="1429" w:hanging="720"/>
        <w:rPr>
          <w:rFonts w:ascii="Verdana" w:hAnsi="Verdana"/>
          <w:b/>
          <w:sz w:val="24"/>
          <w:szCs w:val="24"/>
        </w:rPr>
      </w:pPr>
    </w:p>
    <w:p w14:paraId="27F3E75B" w14:textId="7C0842D0" w:rsidR="00535947" w:rsidRPr="00535947" w:rsidRDefault="00535947" w:rsidP="00421ED3">
      <w:pPr>
        <w:spacing w:line="276" w:lineRule="auto"/>
        <w:ind w:left="1429" w:hanging="720"/>
        <w:rPr>
          <w:rFonts w:ascii="Verdana" w:hAnsi="Verdana"/>
          <w:b/>
          <w:sz w:val="24"/>
          <w:szCs w:val="24"/>
        </w:rPr>
      </w:pPr>
      <w:r w:rsidRPr="00535947">
        <w:rPr>
          <w:rFonts w:ascii="Verdana" w:hAnsi="Verdana"/>
          <w:b/>
          <w:sz w:val="24"/>
          <w:szCs w:val="24"/>
        </w:rPr>
        <w:t>•</w:t>
      </w:r>
      <w:r w:rsidRPr="00535947">
        <w:rPr>
          <w:rFonts w:ascii="Verdana" w:hAnsi="Verdana"/>
          <w:b/>
          <w:sz w:val="24"/>
          <w:szCs w:val="24"/>
        </w:rPr>
        <w:tab/>
        <w:t xml:space="preserve">in line with the reasoning of the Court of Appeal in </w:t>
      </w:r>
      <w:r w:rsidRPr="00BC1CA6">
        <w:rPr>
          <w:rFonts w:ascii="Verdana" w:hAnsi="Verdana"/>
          <w:b/>
          <w:i/>
          <w:iCs/>
          <w:sz w:val="24"/>
          <w:szCs w:val="24"/>
        </w:rPr>
        <w:t>Dillon</w:t>
      </w:r>
      <w:r w:rsidRPr="00535947">
        <w:rPr>
          <w:rFonts w:ascii="Verdana" w:hAnsi="Verdana"/>
          <w:b/>
          <w:sz w:val="24"/>
          <w:szCs w:val="24"/>
        </w:rPr>
        <w:t>, the right to data protection falls within</w:t>
      </w:r>
      <w:r>
        <w:rPr>
          <w:rFonts w:ascii="Verdana" w:hAnsi="Verdana"/>
          <w:b/>
          <w:sz w:val="24"/>
          <w:szCs w:val="24"/>
        </w:rPr>
        <w:t xml:space="preserve"> </w:t>
      </w:r>
      <w:r w:rsidRPr="00535947">
        <w:rPr>
          <w:rFonts w:ascii="Verdana" w:hAnsi="Verdana"/>
          <w:b/>
          <w:sz w:val="24"/>
          <w:szCs w:val="24"/>
        </w:rPr>
        <w:t>‘civil rights’ and ECHR rights and therefore within the Rights, Safeguards and Equality of Opportunity chapter of the Belfast (Good Friday) Agreement;</w:t>
      </w:r>
    </w:p>
    <w:p w14:paraId="52FF6952" w14:textId="77777777" w:rsidR="00535947" w:rsidRPr="00535947" w:rsidRDefault="00535947" w:rsidP="00421ED3">
      <w:pPr>
        <w:spacing w:line="276" w:lineRule="auto"/>
        <w:ind w:left="1429" w:hanging="720"/>
        <w:rPr>
          <w:rFonts w:ascii="Verdana" w:hAnsi="Verdana"/>
          <w:b/>
          <w:sz w:val="24"/>
          <w:szCs w:val="24"/>
        </w:rPr>
      </w:pPr>
      <w:r w:rsidRPr="00535947">
        <w:rPr>
          <w:rFonts w:ascii="Verdana" w:hAnsi="Verdana"/>
          <w:b/>
          <w:sz w:val="24"/>
          <w:szCs w:val="24"/>
        </w:rPr>
        <w:t>•</w:t>
      </w:r>
      <w:r w:rsidRPr="00535947">
        <w:rPr>
          <w:rFonts w:ascii="Verdana" w:hAnsi="Verdana"/>
          <w:b/>
          <w:sz w:val="24"/>
          <w:szCs w:val="24"/>
        </w:rPr>
        <w:tab/>
        <w:t>EU law on data protection which was binding on the UK prior to its withdrawal from the EU, underpins the commitment to civil rights and the ECHR in the Belfast (Good Friday) Agreement;</w:t>
      </w:r>
    </w:p>
    <w:p w14:paraId="6C5B6222" w14:textId="7999A5A0" w:rsidR="00CA1E9D" w:rsidRDefault="00535947" w:rsidP="005000E0">
      <w:pPr>
        <w:spacing w:line="276" w:lineRule="auto"/>
        <w:ind w:left="1429" w:hanging="720"/>
        <w:rPr>
          <w:rFonts w:ascii="Verdana" w:hAnsi="Verdana"/>
          <w:b/>
          <w:sz w:val="24"/>
          <w:szCs w:val="24"/>
        </w:rPr>
      </w:pPr>
      <w:r w:rsidRPr="00535947">
        <w:rPr>
          <w:rFonts w:ascii="Verdana" w:hAnsi="Verdana"/>
          <w:b/>
          <w:sz w:val="24"/>
          <w:szCs w:val="24"/>
        </w:rPr>
        <w:t>•</w:t>
      </w:r>
      <w:r w:rsidRPr="00535947">
        <w:rPr>
          <w:rFonts w:ascii="Verdana" w:hAnsi="Verdana"/>
          <w:b/>
          <w:sz w:val="24"/>
          <w:szCs w:val="24"/>
        </w:rPr>
        <w:tab/>
        <w:t xml:space="preserve">by virtue of Windsor Framework Article 2, the Bill must not therefore diminish rights and safeguards in </w:t>
      </w:r>
      <w:r w:rsidRPr="00535947">
        <w:rPr>
          <w:rFonts w:ascii="Verdana" w:hAnsi="Verdana"/>
          <w:b/>
          <w:sz w:val="24"/>
          <w:szCs w:val="24"/>
        </w:rPr>
        <w:lastRenderedPageBreak/>
        <w:t>Northern Ireland below minimum standards set out in relevant EU data protection law, specifically EU GDPR, the EU E-Privacy Directive and the EU Data Protection and Law Enforcement Directive.</w:t>
      </w:r>
    </w:p>
    <w:p w14:paraId="657593EF" w14:textId="77777777" w:rsidR="00B736D2" w:rsidRDefault="00B736D2" w:rsidP="00CA1E9D">
      <w:pPr>
        <w:spacing w:line="276" w:lineRule="auto"/>
        <w:rPr>
          <w:rFonts w:ascii="Verdana" w:hAnsi="Verdana"/>
          <w:b/>
          <w:sz w:val="24"/>
          <w:szCs w:val="24"/>
        </w:rPr>
      </w:pPr>
    </w:p>
    <w:p w14:paraId="7EB7B9F0" w14:textId="2A12398E" w:rsidR="005000E0" w:rsidRDefault="005000E0" w:rsidP="005000E0">
      <w:pPr>
        <w:spacing w:line="276" w:lineRule="auto"/>
        <w:ind w:left="709" w:hanging="720"/>
        <w:rPr>
          <w:rFonts w:ascii="Verdana" w:hAnsi="Verdana"/>
          <w:b/>
          <w:sz w:val="24"/>
          <w:szCs w:val="24"/>
        </w:rPr>
      </w:pPr>
      <w:r w:rsidRPr="005000E0">
        <w:rPr>
          <w:rFonts w:ascii="Verdana" w:hAnsi="Verdana"/>
          <w:b/>
          <w:sz w:val="24"/>
          <w:szCs w:val="24"/>
        </w:rPr>
        <w:t>2.25  recommends that Members seek the Secretary of State’s   written assessment of compliance of the Bill’s provisions    with  minimum rights and safeguards contained in EU GDPR, the  EU  Data Protection Law Enforcement Directive and the EU E-Privacy Directive.</w:t>
      </w:r>
    </w:p>
    <w:p w14:paraId="5579DA8B" w14:textId="77777777" w:rsidR="005000E0" w:rsidRPr="005000E0" w:rsidRDefault="005000E0" w:rsidP="005000E0">
      <w:pPr>
        <w:spacing w:line="276" w:lineRule="auto"/>
        <w:rPr>
          <w:rFonts w:ascii="Verdana" w:hAnsi="Verdana"/>
          <w:b/>
          <w:sz w:val="24"/>
          <w:szCs w:val="24"/>
        </w:rPr>
      </w:pPr>
    </w:p>
    <w:p w14:paraId="4E626728" w14:textId="2BC7A95D" w:rsidR="0085671B" w:rsidRPr="00E65696" w:rsidRDefault="0085671B" w:rsidP="00327C2E">
      <w:pPr>
        <w:spacing w:line="276" w:lineRule="auto"/>
        <w:ind w:left="709" w:hanging="720"/>
        <w:rPr>
          <w:rFonts w:ascii="Verdana" w:hAnsi="Verdana"/>
          <w:b/>
          <w:sz w:val="24"/>
          <w:szCs w:val="24"/>
        </w:rPr>
      </w:pPr>
      <w:r w:rsidRPr="00E65696">
        <w:rPr>
          <w:rFonts w:ascii="Verdana" w:hAnsi="Verdana"/>
          <w:b/>
          <w:sz w:val="24"/>
          <w:szCs w:val="24"/>
        </w:rPr>
        <w:t xml:space="preserve">3.13 </w:t>
      </w:r>
      <w:r w:rsidR="00327C2E">
        <w:rPr>
          <w:rFonts w:ascii="Verdana" w:hAnsi="Verdana"/>
          <w:b/>
          <w:sz w:val="24"/>
          <w:szCs w:val="24"/>
        </w:rPr>
        <w:tab/>
      </w:r>
      <w:r w:rsidR="002F525A">
        <w:rPr>
          <w:rFonts w:ascii="Verdana" w:hAnsi="Verdana"/>
          <w:b/>
          <w:sz w:val="24"/>
          <w:szCs w:val="24"/>
        </w:rPr>
        <w:t>rec</w:t>
      </w:r>
      <w:r w:rsidR="007C4736">
        <w:rPr>
          <w:rFonts w:ascii="Verdana" w:hAnsi="Verdana"/>
          <w:b/>
          <w:sz w:val="24"/>
          <w:szCs w:val="24"/>
        </w:rPr>
        <w:t xml:space="preserve">ommends </w:t>
      </w:r>
      <w:r w:rsidRPr="00E65696">
        <w:rPr>
          <w:rFonts w:ascii="Verdana" w:hAnsi="Verdana"/>
          <w:b/>
          <w:sz w:val="24"/>
          <w:szCs w:val="24"/>
        </w:rPr>
        <w:t>that the Secretary of State amends the Human Rights Memorandum to the Bill to set out in detail an assessment of the compliance of the Bill with Windsor Framework Article 2, including all relevant EU data protection laws, which, by virtue of Windsor Framework Article 2, continue to set standards in NI.</w:t>
      </w:r>
    </w:p>
    <w:p w14:paraId="7EE56229" w14:textId="77777777" w:rsidR="00C01088" w:rsidRPr="00E65696" w:rsidRDefault="00C01088" w:rsidP="00C01088">
      <w:pPr>
        <w:spacing w:line="276" w:lineRule="auto"/>
        <w:rPr>
          <w:rFonts w:ascii="Verdana" w:hAnsi="Verdana"/>
          <w:b/>
          <w:sz w:val="24"/>
          <w:szCs w:val="24"/>
        </w:rPr>
      </w:pPr>
    </w:p>
    <w:p w14:paraId="609B238D" w14:textId="0FA054E2" w:rsidR="00C01088"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4.16</w:t>
      </w:r>
      <w:r w:rsidR="00D25EF1" w:rsidRPr="00E65696">
        <w:rPr>
          <w:rFonts w:ascii="Verdana" w:hAnsi="Verdana"/>
          <w:b/>
          <w:sz w:val="24"/>
          <w:szCs w:val="24"/>
        </w:rPr>
        <w:t xml:space="preserve"> </w:t>
      </w:r>
      <w:r w:rsidR="00327C2E">
        <w:rPr>
          <w:rFonts w:ascii="Verdana" w:hAnsi="Verdana"/>
          <w:b/>
          <w:sz w:val="24"/>
          <w:szCs w:val="24"/>
        </w:rPr>
        <w:tab/>
      </w:r>
      <w:r w:rsidR="004124EB">
        <w:rPr>
          <w:rFonts w:ascii="Verdana" w:hAnsi="Verdana"/>
          <w:b/>
          <w:sz w:val="24"/>
          <w:szCs w:val="24"/>
        </w:rPr>
        <w:t xml:space="preserve">recommends </w:t>
      </w:r>
      <w:r w:rsidR="00D25EF1" w:rsidRPr="00E65696">
        <w:rPr>
          <w:rFonts w:ascii="Verdana" w:hAnsi="Verdana"/>
          <w:b/>
          <w:sz w:val="24"/>
          <w:szCs w:val="24"/>
        </w:rPr>
        <w:t xml:space="preserve">that the Secretary of State reviews Clause </w:t>
      </w:r>
      <w:r w:rsidR="00963B46">
        <w:rPr>
          <w:rFonts w:ascii="Verdana" w:hAnsi="Verdana"/>
          <w:b/>
          <w:sz w:val="24"/>
          <w:szCs w:val="24"/>
        </w:rPr>
        <w:t>80</w:t>
      </w:r>
      <w:r w:rsidR="00D25EF1" w:rsidRPr="00E65696">
        <w:rPr>
          <w:rFonts w:ascii="Verdana" w:hAnsi="Verdana"/>
          <w:b/>
          <w:sz w:val="24"/>
          <w:szCs w:val="24"/>
        </w:rPr>
        <w:t xml:space="preserve">, proposed Articles 22A-22C, of the </w:t>
      </w:r>
      <w:r w:rsidR="00D25EF1" w:rsidRPr="00E65696" w:rsidDel="00963B46">
        <w:rPr>
          <w:rFonts w:ascii="Verdana" w:hAnsi="Verdana"/>
          <w:b/>
          <w:sz w:val="24"/>
          <w:szCs w:val="24"/>
        </w:rPr>
        <w:t xml:space="preserve">Data </w:t>
      </w:r>
      <w:r w:rsidR="00963B46">
        <w:rPr>
          <w:rFonts w:ascii="Verdana" w:hAnsi="Verdana"/>
          <w:b/>
          <w:sz w:val="24"/>
          <w:szCs w:val="24"/>
        </w:rPr>
        <w:t>(Use and Access) Bill [HL]</w:t>
      </w:r>
      <w:r w:rsidR="00D25EF1" w:rsidRPr="00E65696">
        <w:rPr>
          <w:rFonts w:ascii="Verdana" w:hAnsi="Verdana"/>
          <w:b/>
          <w:sz w:val="24"/>
          <w:szCs w:val="24"/>
        </w:rPr>
        <w:t xml:space="preserve"> and brings forward amendments as required to ensure no diminution of rights relating to automated decision-making under the UK GDPR.</w:t>
      </w:r>
    </w:p>
    <w:p w14:paraId="03516A57" w14:textId="77777777" w:rsidR="00C01088" w:rsidRPr="00E65696" w:rsidRDefault="00C01088" w:rsidP="00C01088">
      <w:pPr>
        <w:spacing w:line="276" w:lineRule="auto"/>
        <w:rPr>
          <w:rFonts w:ascii="Verdana" w:hAnsi="Verdana"/>
          <w:b/>
          <w:sz w:val="24"/>
          <w:szCs w:val="24"/>
        </w:rPr>
      </w:pPr>
    </w:p>
    <w:p w14:paraId="7709D095" w14:textId="36A25D1C" w:rsidR="0085671B"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4.2</w:t>
      </w:r>
      <w:r w:rsidR="003B3079">
        <w:rPr>
          <w:rFonts w:ascii="Verdana" w:hAnsi="Verdana"/>
          <w:b/>
          <w:sz w:val="24"/>
          <w:szCs w:val="24"/>
        </w:rPr>
        <w:t>0</w:t>
      </w:r>
      <w:r w:rsidRPr="00E65696">
        <w:rPr>
          <w:rFonts w:ascii="Verdana" w:hAnsi="Verdana"/>
          <w:b/>
          <w:sz w:val="24"/>
          <w:szCs w:val="24"/>
        </w:rPr>
        <w:t xml:space="preserve"> </w:t>
      </w:r>
      <w:r w:rsidR="00327C2E">
        <w:rPr>
          <w:rFonts w:ascii="Verdana" w:hAnsi="Verdana"/>
          <w:b/>
          <w:sz w:val="24"/>
          <w:szCs w:val="24"/>
        </w:rPr>
        <w:tab/>
      </w:r>
      <w:r w:rsidR="003B3079">
        <w:rPr>
          <w:rFonts w:ascii="Verdana" w:hAnsi="Verdana"/>
          <w:b/>
          <w:sz w:val="24"/>
          <w:szCs w:val="24"/>
        </w:rPr>
        <w:t xml:space="preserve">recommends </w:t>
      </w:r>
      <w:r w:rsidRPr="00E65696">
        <w:rPr>
          <w:rFonts w:ascii="Verdana" w:hAnsi="Verdana"/>
          <w:b/>
          <w:sz w:val="24"/>
          <w:szCs w:val="24"/>
        </w:rPr>
        <w:t xml:space="preserve">that the Secretary of State provides a written assurance on how access to cross-border services requiring the free-flow of data between the UK and the EU will be protected in light of Clause </w:t>
      </w:r>
      <w:r w:rsidR="009740C3">
        <w:rPr>
          <w:rFonts w:ascii="Verdana" w:hAnsi="Verdana"/>
          <w:b/>
          <w:sz w:val="24"/>
          <w:szCs w:val="24"/>
        </w:rPr>
        <w:t>80</w:t>
      </w:r>
      <w:r w:rsidR="009740C3" w:rsidRPr="00E65696">
        <w:rPr>
          <w:rFonts w:ascii="Verdana" w:hAnsi="Verdana"/>
          <w:b/>
          <w:sz w:val="24"/>
          <w:szCs w:val="24"/>
        </w:rPr>
        <w:t xml:space="preserve"> </w:t>
      </w:r>
      <w:r w:rsidRPr="00E65696">
        <w:rPr>
          <w:rFonts w:ascii="Verdana" w:hAnsi="Verdana"/>
          <w:b/>
          <w:sz w:val="24"/>
          <w:szCs w:val="24"/>
        </w:rPr>
        <w:t xml:space="preserve">of the Bill on automated decision-making.  </w:t>
      </w:r>
    </w:p>
    <w:p w14:paraId="10444A37" w14:textId="77777777" w:rsidR="00C01088" w:rsidRPr="00E65696" w:rsidRDefault="00C01088" w:rsidP="00C01088">
      <w:pPr>
        <w:spacing w:line="276" w:lineRule="auto"/>
        <w:rPr>
          <w:rFonts w:ascii="Verdana" w:hAnsi="Verdana"/>
          <w:b/>
          <w:sz w:val="24"/>
          <w:szCs w:val="24"/>
        </w:rPr>
      </w:pPr>
    </w:p>
    <w:p w14:paraId="646AE6DC" w14:textId="14304A51" w:rsidR="0085671B"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5.</w:t>
      </w:r>
      <w:r w:rsidR="003B3079">
        <w:rPr>
          <w:rFonts w:ascii="Verdana" w:hAnsi="Verdana"/>
          <w:b/>
          <w:sz w:val="24"/>
          <w:szCs w:val="24"/>
        </w:rPr>
        <w:t>19</w:t>
      </w:r>
      <w:r w:rsidRPr="00E65696">
        <w:rPr>
          <w:rFonts w:ascii="Verdana" w:hAnsi="Verdana"/>
          <w:b/>
          <w:sz w:val="24"/>
          <w:szCs w:val="24"/>
        </w:rPr>
        <w:t xml:space="preserve"> </w:t>
      </w:r>
      <w:r w:rsidR="00327C2E">
        <w:rPr>
          <w:rFonts w:ascii="Verdana" w:hAnsi="Verdana"/>
          <w:b/>
          <w:sz w:val="24"/>
          <w:szCs w:val="24"/>
        </w:rPr>
        <w:tab/>
      </w:r>
      <w:r w:rsidR="00C9006A">
        <w:rPr>
          <w:rFonts w:ascii="Verdana" w:hAnsi="Verdana"/>
          <w:b/>
          <w:sz w:val="24"/>
          <w:szCs w:val="24"/>
        </w:rPr>
        <w:t xml:space="preserve">recommends </w:t>
      </w:r>
      <w:r w:rsidRPr="00E65696">
        <w:rPr>
          <w:rFonts w:ascii="Verdana" w:hAnsi="Verdana"/>
          <w:b/>
          <w:sz w:val="24"/>
          <w:szCs w:val="24"/>
        </w:rPr>
        <w:t xml:space="preserve">that the Secretary of State reviews Schedule </w:t>
      </w:r>
      <w:r w:rsidR="009740C3">
        <w:rPr>
          <w:rFonts w:ascii="Verdana" w:hAnsi="Verdana"/>
          <w:b/>
          <w:sz w:val="24"/>
          <w:szCs w:val="24"/>
        </w:rPr>
        <w:t>7</w:t>
      </w:r>
      <w:r w:rsidR="009740C3" w:rsidRPr="00E65696">
        <w:rPr>
          <w:rFonts w:ascii="Verdana" w:hAnsi="Verdana"/>
          <w:b/>
          <w:sz w:val="24"/>
          <w:szCs w:val="24"/>
        </w:rPr>
        <w:t xml:space="preserve"> </w:t>
      </w:r>
      <w:r w:rsidRPr="00E65696">
        <w:rPr>
          <w:rFonts w:ascii="Verdana" w:hAnsi="Verdana"/>
          <w:b/>
          <w:sz w:val="24"/>
          <w:szCs w:val="24"/>
        </w:rPr>
        <w:t>of the Bill and brings forward amendments as required to ensure no diminution of rights in NI relating to data transfer to third countries, measured against relevant EU GDPR standards.</w:t>
      </w:r>
    </w:p>
    <w:p w14:paraId="729ACE5D" w14:textId="77777777" w:rsidR="00C01088" w:rsidRPr="00E65696" w:rsidRDefault="00C01088" w:rsidP="00C01088">
      <w:pPr>
        <w:spacing w:line="276" w:lineRule="auto"/>
        <w:rPr>
          <w:rFonts w:ascii="Verdana" w:hAnsi="Verdana"/>
          <w:b/>
          <w:sz w:val="24"/>
          <w:szCs w:val="24"/>
        </w:rPr>
      </w:pPr>
    </w:p>
    <w:p w14:paraId="4FB8C734" w14:textId="798F03A8" w:rsidR="0085671B" w:rsidRPr="00E65696" w:rsidRDefault="0085671B" w:rsidP="006C4456">
      <w:pPr>
        <w:spacing w:line="276" w:lineRule="auto"/>
        <w:ind w:left="720" w:hanging="720"/>
        <w:rPr>
          <w:rFonts w:ascii="Verdana" w:hAnsi="Verdana"/>
          <w:b/>
          <w:sz w:val="24"/>
          <w:szCs w:val="24"/>
        </w:rPr>
      </w:pPr>
      <w:r w:rsidRPr="00E65696">
        <w:rPr>
          <w:rFonts w:ascii="Verdana" w:hAnsi="Verdana"/>
          <w:b/>
          <w:sz w:val="24"/>
          <w:szCs w:val="24"/>
        </w:rPr>
        <w:t xml:space="preserve">6.10 </w:t>
      </w:r>
      <w:r w:rsidR="00327C2E">
        <w:rPr>
          <w:rFonts w:ascii="Verdana" w:hAnsi="Verdana"/>
          <w:b/>
          <w:sz w:val="24"/>
          <w:szCs w:val="24"/>
        </w:rPr>
        <w:tab/>
      </w:r>
      <w:r w:rsidR="00CC23F2">
        <w:rPr>
          <w:rFonts w:ascii="Verdana" w:hAnsi="Verdana"/>
          <w:b/>
          <w:sz w:val="24"/>
          <w:szCs w:val="24"/>
        </w:rPr>
        <w:t xml:space="preserve">recommends </w:t>
      </w:r>
      <w:r w:rsidRPr="00E65696">
        <w:rPr>
          <w:rFonts w:ascii="Verdana" w:hAnsi="Verdana"/>
          <w:b/>
          <w:sz w:val="24"/>
          <w:szCs w:val="24"/>
        </w:rPr>
        <w:t xml:space="preserve">that the Secretary of State reviews Clause </w:t>
      </w:r>
      <w:r w:rsidR="00E50D61">
        <w:rPr>
          <w:rFonts w:ascii="Verdana" w:hAnsi="Verdana"/>
          <w:b/>
          <w:sz w:val="24"/>
          <w:szCs w:val="24"/>
        </w:rPr>
        <w:t>6</w:t>
      </w:r>
      <w:r w:rsidR="00277563">
        <w:rPr>
          <w:rFonts w:ascii="Verdana" w:hAnsi="Verdana"/>
          <w:b/>
          <w:sz w:val="24"/>
          <w:szCs w:val="24"/>
        </w:rPr>
        <w:t>7</w:t>
      </w:r>
      <w:r w:rsidR="00E50D61" w:rsidRPr="00E65696">
        <w:rPr>
          <w:rFonts w:ascii="Verdana" w:hAnsi="Verdana"/>
          <w:b/>
          <w:sz w:val="24"/>
          <w:szCs w:val="24"/>
        </w:rPr>
        <w:t xml:space="preserve"> </w:t>
      </w:r>
      <w:r w:rsidRPr="00E65696">
        <w:rPr>
          <w:rFonts w:ascii="Verdana" w:hAnsi="Verdana"/>
          <w:b/>
          <w:sz w:val="24"/>
          <w:szCs w:val="24"/>
        </w:rPr>
        <w:t xml:space="preserve">and brings forward amendments as required to ensure no </w:t>
      </w:r>
      <w:r w:rsidRPr="00E65696">
        <w:rPr>
          <w:rFonts w:ascii="Verdana" w:hAnsi="Verdana"/>
          <w:b/>
          <w:sz w:val="24"/>
          <w:szCs w:val="24"/>
        </w:rPr>
        <w:lastRenderedPageBreak/>
        <w:t>diminution of rights in NI in relation to the processing of personal data for scientific purposes.</w:t>
      </w:r>
    </w:p>
    <w:p w14:paraId="3DEA65E8" w14:textId="77777777" w:rsidR="00C01088" w:rsidRPr="00E65696" w:rsidRDefault="00C01088" w:rsidP="00C01088">
      <w:pPr>
        <w:spacing w:line="276" w:lineRule="auto"/>
        <w:rPr>
          <w:rFonts w:ascii="Verdana" w:hAnsi="Verdana"/>
          <w:b/>
          <w:sz w:val="24"/>
          <w:szCs w:val="24"/>
        </w:rPr>
      </w:pPr>
    </w:p>
    <w:p w14:paraId="56BA007C" w14:textId="0AB3B3B8" w:rsidR="0085671B"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6.11</w:t>
      </w:r>
      <w:r w:rsidR="00327C2E">
        <w:rPr>
          <w:rFonts w:ascii="Verdana" w:hAnsi="Verdana"/>
          <w:b/>
          <w:sz w:val="24"/>
          <w:szCs w:val="24"/>
        </w:rPr>
        <w:tab/>
      </w:r>
      <w:r w:rsidR="00327C2E">
        <w:rPr>
          <w:rFonts w:ascii="Verdana" w:hAnsi="Verdana"/>
          <w:b/>
          <w:sz w:val="24"/>
          <w:szCs w:val="24"/>
        </w:rPr>
        <w:tab/>
      </w:r>
      <w:r w:rsidRPr="00E65696">
        <w:rPr>
          <w:rFonts w:ascii="Verdana" w:hAnsi="Verdana"/>
          <w:b/>
          <w:sz w:val="24"/>
          <w:szCs w:val="24"/>
        </w:rPr>
        <w:t xml:space="preserve">recommends that the Secretary of State reviews the provisions of Clause </w:t>
      </w:r>
      <w:r w:rsidR="00E83B35">
        <w:rPr>
          <w:rFonts w:ascii="Verdana" w:hAnsi="Verdana"/>
          <w:b/>
          <w:sz w:val="24"/>
          <w:szCs w:val="24"/>
        </w:rPr>
        <w:t>70</w:t>
      </w:r>
      <w:r w:rsidR="00E83B35" w:rsidRPr="00E65696">
        <w:rPr>
          <w:rFonts w:ascii="Verdana" w:hAnsi="Verdana"/>
          <w:b/>
          <w:sz w:val="24"/>
          <w:szCs w:val="24"/>
        </w:rPr>
        <w:t xml:space="preserve"> </w:t>
      </w:r>
      <w:r w:rsidRPr="00E65696">
        <w:rPr>
          <w:rFonts w:ascii="Verdana" w:hAnsi="Verdana"/>
          <w:b/>
          <w:sz w:val="24"/>
          <w:szCs w:val="24"/>
        </w:rPr>
        <w:t xml:space="preserve">of the Bill and brings forward amendments as required to avoid a divergence of data protection standards between the UK and the EU that might result in the free flow of data between the UK and the EU being compromised.       </w:t>
      </w:r>
    </w:p>
    <w:p w14:paraId="113C3FFD" w14:textId="77777777" w:rsidR="0085671B" w:rsidRPr="00E65696" w:rsidRDefault="0085671B" w:rsidP="0085671B">
      <w:pPr>
        <w:rPr>
          <w:b/>
          <w:strike/>
        </w:rPr>
      </w:pPr>
    </w:p>
    <w:p w14:paraId="0E083761" w14:textId="77777777" w:rsidR="0085671B" w:rsidRPr="00E65696" w:rsidRDefault="0085671B" w:rsidP="00D772FF">
      <w:pPr>
        <w:rPr>
          <w:b/>
          <w:strike/>
        </w:rPr>
      </w:pPr>
    </w:p>
    <w:p w14:paraId="246DA47F" w14:textId="77777777" w:rsidR="00635F3C" w:rsidRPr="00635F3C" w:rsidRDefault="00635F3C" w:rsidP="00635F3C">
      <w:pPr>
        <w:rPr>
          <w:b/>
          <w:bCs/>
        </w:rPr>
      </w:pPr>
    </w:p>
    <w:p w14:paraId="082CC7D2" w14:textId="77777777" w:rsidR="00F13867" w:rsidRPr="00E65696" w:rsidRDefault="00F13867" w:rsidP="00D70D03">
      <w:pPr>
        <w:rPr>
          <w:rFonts w:ascii="Verdana" w:hAnsi="Verdana"/>
          <w:b/>
        </w:rPr>
      </w:pPr>
    </w:p>
    <w:p w14:paraId="0E513DB5" w14:textId="77777777" w:rsidR="00D70D03" w:rsidRPr="004D47D9" w:rsidRDefault="00D70D03" w:rsidP="00D70D03">
      <w:pPr>
        <w:rPr>
          <w:rFonts w:ascii="Verdana" w:hAnsi="Verdana" w:cstheme="minorHAnsi"/>
          <w:b/>
          <w:bCs/>
          <w:color w:val="77328A"/>
          <w:sz w:val="24"/>
          <w:szCs w:val="24"/>
        </w:rPr>
      </w:pPr>
    </w:p>
    <w:p w14:paraId="56CE6CD2" w14:textId="77777777" w:rsidR="00FE5BEB" w:rsidRDefault="00FE5BEB">
      <w:pPr>
        <w:rPr>
          <w:rFonts w:ascii="Verdana" w:hAnsi="Verdana"/>
          <w:b/>
          <w:bCs/>
          <w:color w:val="77328A"/>
          <w:sz w:val="32"/>
          <w:szCs w:val="32"/>
        </w:rPr>
      </w:pPr>
      <w:r w:rsidRPr="00E65696">
        <w:rPr>
          <w:b/>
        </w:rPr>
        <w:br w:type="page"/>
      </w:r>
    </w:p>
    <w:p w14:paraId="6F6E50EE" w14:textId="043DED8A" w:rsidR="007110B9" w:rsidRPr="005C64F1" w:rsidRDefault="004041E1" w:rsidP="006166CE">
      <w:pPr>
        <w:pStyle w:val="Heading1"/>
      </w:pPr>
      <w:bookmarkStart w:id="1" w:name="_Toc190093241"/>
      <w:r w:rsidRPr="005C64F1">
        <w:lastRenderedPageBreak/>
        <w:t>Introduction</w:t>
      </w:r>
      <w:bookmarkEnd w:id="1"/>
      <w:r w:rsidRPr="005C64F1">
        <w:t xml:space="preserve"> </w:t>
      </w:r>
    </w:p>
    <w:p w14:paraId="04508B42" w14:textId="77777777" w:rsidR="00996C93" w:rsidRPr="004D47D9" w:rsidRDefault="00996C93" w:rsidP="00996C93">
      <w:pPr>
        <w:rPr>
          <w:rFonts w:ascii="Verdana" w:hAnsi="Verdana"/>
        </w:rPr>
      </w:pPr>
    </w:p>
    <w:p w14:paraId="7E7DFD5F" w14:textId="2866CD53" w:rsidR="006E7CDC" w:rsidRPr="006553FF" w:rsidRDefault="004041E1" w:rsidP="00C65097">
      <w:pPr>
        <w:pStyle w:val="ListParagraph"/>
        <w:numPr>
          <w:ilvl w:val="0"/>
          <w:numId w:val="25"/>
        </w:numPr>
      </w:pPr>
      <w:r w:rsidRPr="004D47D9">
        <w:t xml:space="preserve">The Northern Ireland Human Rights Commission (NIHRC), pursuant to section 69(1) of the Northern Ireland (NI) Act 1998, reviews the adequacy and effectiveness </w:t>
      </w:r>
      <w:r w:rsidRPr="006553FF">
        <w:t>of law and practice relating to the protection of human rights in NI.</w:t>
      </w:r>
      <w:r w:rsidR="000C5D4B" w:rsidRPr="006553FF">
        <w:rPr>
          <w:rStyle w:val="FootnoteReference"/>
        </w:rPr>
        <w:footnoteReference w:id="2"/>
      </w:r>
      <w:r w:rsidRPr="006553FF">
        <w:t xml:space="preserve"> </w:t>
      </w:r>
      <w:r w:rsidR="0021410C" w:rsidRPr="006553FF">
        <w:t xml:space="preserve">Pursuant to </w:t>
      </w:r>
      <w:r w:rsidR="00D84E06" w:rsidRPr="006553FF">
        <w:t>section 78A</w:t>
      </w:r>
      <w:r w:rsidR="001F4DE6" w:rsidRPr="006553FF">
        <w:t>(1)</w:t>
      </w:r>
      <w:r w:rsidR="00D84E06" w:rsidRPr="006553FF">
        <w:t xml:space="preserve"> of the NI Act 1998, the NIHRC is also </w:t>
      </w:r>
      <w:r w:rsidR="003511DF">
        <w:t>required</w:t>
      </w:r>
      <w:r w:rsidR="003511DF" w:rsidRPr="006553FF">
        <w:t xml:space="preserve"> </w:t>
      </w:r>
      <w:r w:rsidRPr="006553FF">
        <w:t xml:space="preserve">to monitor the implementation of Article 2(1) of the Windsor Framework, </w:t>
      </w:r>
      <w:r w:rsidR="0065666E">
        <w:t>t</w:t>
      </w:r>
      <w:r w:rsidR="003A0716">
        <w:t xml:space="preserve">he UK Government commitment </w:t>
      </w:r>
      <w:r w:rsidRPr="006553FF">
        <w:t>to ensure there is no diminution of rights protected in the ‘Rights, Safeguards and Equality of Opportunity’ chapter of the Belfast (Good Friday) Agreement 1998 as a result of the UK’s withdrawal from the</w:t>
      </w:r>
      <w:r w:rsidR="0055412C" w:rsidRPr="006553FF">
        <w:t xml:space="preserve"> European Union (</w:t>
      </w:r>
      <w:r w:rsidRPr="006553FF">
        <w:t>EU</w:t>
      </w:r>
      <w:r w:rsidR="0055412C" w:rsidRPr="006553FF">
        <w:t>)</w:t>
      </w:r>
      <w:r w:rsidRPr="006553FF">
        <w:t>.</w:t>
      </w:r>
      <w:r w:rsidR="00B16325" w:rsidRPr="006553FF">
        <w:rPr>
          <w:rStyle w:val="FootnoteReference"/>
        </w:rPr>
        <w:footnoteReference w:id="3"/>
      </w:r>
      <w:r w:rsidRPr="006553FF">
        <w:t xml:space="preserve"> </w:t>
      </w:r>
    </w:p>
    <w:p w14:paraId="17A0E41C" w14:textId="77777777" w:rsidR="006E7CDC" w:rsidRPr="006553FF" w:rsidRDefault="006E7CDC" w:rsidP="006E7CDC">
      <w:pPr>
        <w:pStyle w:val="ListParagraph"/>
        <w:numPr>
          <w:ilvl w:val="0"/>
          <w:numId w:val="0"/>
        </w:numPr>
        <w:ind w:left="720"/>
        <w:jc w:val="both"/>
      </w:pPr>
    </w:p>
    <w:p w14:paraId="53D21760" w14:textId="1D4D66BE" w:rsidR="00922D95" w:rsidRPr="006553FF" w:rsidRDefault="00726852" w:rsidP="00C65097">
      <w:pPr>
        <w:pStyle w:val="ListParagraph"/>
        <w:numPr>
          <w:ilvl w:val="0"/>
          <w:numId w:val="25"/>
        </w:numPr>
      </w:pPr>
      <w:r w:rsidRPr="006553FF">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6553FF">
        <w:t>CoE</w:t>
      </w:r>
      <w:proofErr w:type="spellEnd"/>
      <w:r w:rsidRPr="006553FF">
        <w:t xml:space="preserve">) and </w:t>
      </w:r>
      <w:r w:rsidR="00F029EE">
        <w:t xml:space="preserve">the </w:t>
      </w:r>
      <w:r w:rsidRPr="006553FF">
        <w:t>United Nations (UN).</w:t>
      </w:r>
      <w:r w:rsidR="000A0281" w:rsidRPr="006553FF">
        <w:t xml:space="preserve">  </w:t>
      </w:r>
      <w:r w:rsidR="00947D4E" w:rsidRPr="006553FF">
        <w:t xml:space="preserve">The right to </w:t>
      </w:r>
      <w:r w:rsidR="003E61AC" w:rsidRPr="006553FF">
        <w:t>one’s</w:t>
      </w:r>
      <w:r w:rsidR="00457EFC" w:rsidRPr="006553FF">
        <w:t xml:space="preserve"> personal </w:t>
      </w:r>
      <w:r w:rsidR="00922D95" w:rsidRPr="006553FF">
        <w:t xml:space="preserve">data </w:t>
      </w:r>
      <w:r w:rsidR="003E61AC" w:rsidRPr="006553FF">
        <w:t xml:space="preserve">being protected </w:t>
      </w:r>
      <w:r w:rsidR="00922D95" w:rsidRPr="006553FF">
        <w:t xml:space="preserve">is a recognised human right enshrined in international, </w:t>
      </w:r>
      <w:r w:rsidR="00042548" w:rsidRPr="006553FF">
        <w:t>regional,</w:t>
      </w:r>
      <w:r w:rsidR="00922D95" w:rsidRPr="006553FF">
        <w:t xml:space="preserve"> and domestic legislation. </w:t>
      </w:r>
      <w:r w:rsidR="00947D4E" w:rsidRPr="006553FF">
        <w:t xml:space="preserve"> </w:t>
      </w:r>
      <w:r w:rsidR="009E6542" w:rsidRPr="006553FF">
        <w:t>R</w:t>
      </w:r>
      <w:r w:rsidR="000A0281" w:rsidRPr="006553FF">
        <w:t xml:space="preserve">elevant regional and international treaties in </w:t>
      </w:r>
      <w:r w:rsidR="00922D95" w:rsidRPr="006553FF">
        <w:t>th</w:t>
      </w:r>
      <w:r w:rsidR="001A51FF" w:rsidRPr="006553FF">
        <w:t>is</w:t>
      </w:r>
      <w:r w:rsidR="000A0281" w:rsidRPr="006553FF">
        <w:t xml:space="preserve"> context include:</w:t>
      </w:r>
    </w:p>
    <w:p w14:paraId="584C0188" w14:textId="77777777" w:rsidR="00481ECA" w:rsidRPr="006553FF" w:rsidRDefault="00481ECA" w:rsidP="00481ECA">
      <w:pPr>
        <w:pStyle w:val="ListParagraph"/>
        <w:numPr>
          <w:ilvl w:val="0"/>
          <w:numId w:val="0"/>
        </w:numPr>
        <w:ind w:left="720"/>
      </w:pPr>
    </w:p>
    <w:p w14:paraId="536935E8" w14:textId="3019CD04" w:rsidR="00042548" w:rsidRPr="004D47D9" w:rsidRDefault="00042548" w:rsidP="00847A80">
      <w:pPr>
        <w:pStyle w:val="ListParagraph"/>
        <w:numPr>
          <w:ilvl w:val="0"/>
          <w:numId w:val="16"/>
        </w:numPr>
      </w:pPr>
      <w:r w:rsidRPr="006553FF">
        <w:t xml:space="preserve">Universal </w:t>
      </w:r>
      <w:r w:rsidR="00005226" w:rsidRPr="006553FF">
        <w:t>Declaration</w:t>
      </w:r>
      <w:r w:rsidRPr="006553FF">
        <w:t xml:space="preserve"> of Human</w:t>
      </w:r>
      <w:r w:rsidRPr="004D47D9">
        <w:t xml:space="preserve"> Rights</w:t>
      </w:r>
      <w:r w:rsidR="004F740D" w:rsidRPr="004D47D9">
        <w:t xml:space="preserve"> 1948</w:t>
      </w:r>
      <w:r w:rsidR="00BE2CD4" w:rsidRPr="004D47D9">
        <w:t xml:space="preserve"> (UDHR)</w:t>
      </w:r>
      <w:r w:rsidR="00B40B70">
        <w:t>;</w:t>
      </w:r>
      <w:r w:rsidR="00AD51A9" w:rsidRPr="004D47D9">
        <w:rPr>
          <w:rStyle w:val="FootnoteReference"/>
        </w:rPr>
        <w:footnoteReference w:id="4"/>
      </w:r>
    </w:p>
    <w:p w14:paraId="5434BB47" w14:textId="77777777" w:rsidR="00AD58D5" w:rsidRDefault="00B40B70" w:rsidP="00847A80">
      <w:pPr>
        <w:pStyle w:val="ListParagraph"/>
        <w:numPr>
          <w:ilvl w:val="0"/>
          <w:numId w:val="16"/>
        </w:numPr>
      </w:pPr>
      <w:r w:rsidRPr="004D47D9">
        <w:t>European Convention for the Protection of Human Rights and Fundamental Freedoms 1950 (ECHR)</w:t>
      </w:r>
      <w:r w:rsidR="00AD58D5">
        <w:t>;</w:t>
      </w:r>
      <w:r w:rsidRPr="004D47D9">
        <w:rPr>
          <w:rStyle w:val="FootnoteReference"/>
        </w:rPr>
        <w:footnoteReference w:id="5"/>
      </w:r>
    </w:p>
    <w:p w14:paraId="14ED8FEA" w14:textId="00A88968" w:rsidR="00042548" w:rsidRPr="004D47D9" w:rsidRDefault="00BE2CD4" w:rsidP="00847A80">
      <w:pPr>
        <w:pStyle w:val="ListParagraph"/>
        <w:numPr>
          <w:ilvl w:val="0"/>
          <w:numId w:val="16"/>
        </w:numPr>
      </w:pPr>
      <w:r w:rsidRPr="004D47D9">
        <w:t xml:space="preserve">UN </w:t>
      </w:r>
      <w:r w:rsidR="00042548" w:rsidRPr="004D47D9">
        <w:t>I</w:t>
      </w:r>
      <w:r w:rsidR="00330B6A" w:rsidRPr="004D47D9">
        <w:t>nternational Covenant on Civil and Political Rights</w:t>
      </w:r>
      <w:r w:rsidRPr="004D47D9">
        <w:t xml:space="preserve"> 1966 (</w:t>
      </w:r>
      <w:r w:rsidR="00AF7BDA" w:rsidRPr="004D47D9">
        <w:t xml:space="preserve">UN </w:t>
      </w:r>
      <w:r w:rsidRPr="004D47D9">
        <w:t>ICCPR)</w:t>
      </w:r>
      <w:r w:rsidR="00AD58D5">
        <w:t>;</w:t>
      </w:r>
      <w:r w:rsidR="003C0833" w:rsidRPr="004D47D9">
        <w:rPr>
          <w:rStyle w:val="FootnoteReference"/>
        </w:rPr>
        <w:footnoteReference w:id="6"/>
      </w:r>
    </w:p>
    <w:p w14:paraId="7C4F8044" w14:textId="53428AE1" w:rsidR="008C5052" w:rsidRPr="004D47D9" w:rsidRDefault="008C5052" w:rsidP="008C5052">
      <w:pPr>
        <w:pStyle w:val="ListParagraph"/>
        <w:numPr>
          <w:ilvl w:val="0"/>
          <w:numId w:val="16"/>
        </w:numPr>
      </w:pPr>
      <w:proofErr w:type="spellStart"/>
      <w:r>
        <w:t>CoE</w:t>
      </w:r>
      <w:proofErr w:type="spellEnd"/>
      <w:r w:rsidRPr="004D47D9">
        <w:t xml:space="preserve"> Convention for the Protection of Individuals with regard to Automatic Processing of Personal Data </w:t>
      </w:r>
      <w:r>
        <w:t xml:space="preserve">1981 </w:t>
      </w:r>
      <w:r w:rsidRPr="004D47D9">
        <w:t>(</w:t>
      </w:r>
      <w:proofErr w:type="spellStart"/>
      <w:r w:rsidRPr="004D47D9">
        <w:t>CoE</w:t>
      </w:r>
      <w:proofErr w:type="spellEnd"/>
      <w:r w:rsidRPr="004D47D9">
        <w:t xml:space="preserve"> Convention 108</w:t>
      </w:r>
      <w:r>
        <w:t>+</w:t>
      </w:r>
      <w:r w:rsidRPr="004D47D9">
        <w:t>)</w:t>
      </w:r>
      <w:r>
        <w:t>;</w:t>
      </w:r>
      <w:r w:rsidRPr="004D47D9">
        <w:rPr>
          <w:rStyle w:val="FootnoteReference"/>
        </w:rPr>
        <w:footnoteReference w:id="7"/>
      </w:r>
    </w:p>
    <w:p w14:paraId="301B014E" w14:textId="585DF5D3" w:rsidR="00330B6A" w:rsidRPr="004D47D9" w:rsidRDefault="00AF7BDA" w:rsidP="00847A80">
      <w:pPr>
        <w:pStyle w:val="ListParagraph"/>
        <w:numPr>
          <w:ilvl w:val="0"/>
          <w:numId w:val="16"/>
        </w:numPr>
      </w:pPr>
      <w:r w:rsidRPr="004D47D9">
        <w:t xml:space="preserve">UN </w:t>
      </w:r>
      <w:r w:rsidR="00E23004" w:rsidRPr="004D47D9">
        <w:t>Convention on the Rights of the Child</w:t>
      </w:r>
      <w:r w:rsidRPr="004D47D9">
        <w:t xml:space="preserve"> 1989 (UN CRC)</w:t>
      </w:r>
      <w:r w:rsidR="008C5052">
        <w:t>.</w:t>
      </w:r>
      <w:r w:rsidR="003C0833" w:rsidRPr="004D47D9">
        <w:rPr>
          <w:rStyle w:val="FootnoteReference"/>
        </w:rPr>
        <w:footnoteReference w:id="8"/>
      </w:r>
    </w:p>
    <w:p w14:paraId="42B5AC77" w14:textId="77777777" w:rsidR="006E7CDC" w:rsidRPr="004D47D9" w:rsidRDefault="006E7CDC" w:rsidP="008D3B6B">
      <w:pPr>
        <w:pStyle w:val="ListParagraph"/>
        <w:numPr>
          <w:ilvl w:val="0"/>
          <w:numId w:val="0"/>
        </w:numPr>
        <w:ind w:left="1440"/>
      </w:pPr>
    </w:p>
    <w:p w14:paraId="30AD3C84" w14:textId="571C645B" w:rsidR="006E7CDC" w:rsidRPr="004D47D9" w:rsidRDefault="000A0281" w:rsidP="00C65097">
      <w:pPr>
        <w:pStyle w:val="ListParagraph"/>
        <w:numPr>
          <w:ilvl w:val="0"/>
          <w:numId w:val="25"/>
        </w:numPr>
      </w:pPr>
      <w:r w:rsidRPr="004D47D9">
        <w:lastRenderedPageBreak/>
        <w:t xml:space="preserve">In addition to these treaty standards, the following </w:t>
      </w:r>
      <w:r w:rsidR="00236C58">
        <w:t>guideline</w:t>
      </w:r>
      <w:r w:rsidRPr="004D47D9">
        <w:t>s provide further guidance in respect of specific areas:</w:t>
      </w:r>
    </w:p>
    <w:p w14:paraId="24B64D39" w14:textId="77777777" w:rsidR="00153DBB" w:rsidRPr="004D47D9" w:rsidRDefault="00153DBB" w:rsidP="00153DBB">
      <w:pPr>
        <w:jc w:val="both"/>
        <w:rPr>
          <w:rFonts w:ascii="Verdana" w:hAnsi="Verdana"/>
        </w:rPr>
      </w:pPr>
    </w:p>
    <w:p w14:paraId="4EF1DF4B" w14:textId="18BBFD2F" w:rsidR="00153DBB" w:rsidRPr="00E45B90" w:rsidRDefault="0046338D" w:rsidP="005362BB">
      <w:pPr>
        <w:pStyle w:val="ListParagraph"/>
        <w:numPr>
          <w:ilvl w:val="0"/>
          <w:numId w:val="17"/>
        </w:numPr>
      </w:pPr>
      <w:proofErr w:type="spellStart"/>
      <w:r w:rsidRPr="00E45B90">
        <w:t>CoE</w:t>
      </w:r>
      <w:proofErr w:type="spellEnd"/>
      <w:r w:rsidR="00153DBB" w:rsidRPr="00E45B90">
        <w:t xml:space="preserve"> </w:t>
      </w:r>
      <w:r w:rsidR="00236C58" w:rsidRPr="00E45B90">
        <w:t xml:space="preserve">Committee of Ministers </w:t>
      </w:r>
      <w:r w:rsidR="00153DBB" w:rsidRPr="00E45B90">
        <w:t>Recommendation</w:t>
      </w:r>
      <w:r w:rsidR="005362BB">
        <w:t xml:space="preserve"> </w:t>
      </w:r>
      <w:r w:rsidR="00153DBB" w:rsidRPr="00E45B90">
        <w:t>No</w:t>
      </w:r>
      <w:r w:rsidR="005362BB">
        <w:t xml:space="preserve"> </w:t>
      </w:r>
      <w:r w:rsidR="00153DBB" w:rsidRPr="00E45B90">
        <w:t>R(99)5 for the protection of privacy on the Internet</w:t>
      </w:r>
      <w:r w:rsidR="00236C58" w:rsidRPr="00E45B90">
        <w:t xml:space="preserve"> 1999</w:t>
      </w:r>
      <w:r w:rsidR="00B31755" w:rsidRPr="00E45B90">
        <w:t>;</w:t>
      </w:r>
    </w:p>
    <w:p w14:paraId="34C7A26C" w14:textId="7F475D18" w:rsidR="00FD0B44" w:rsidRPr="00E45B90" w:rsidRDefault="00FD0B44" w:rsidP="00B31755">
      <w:pPr>
        <w:pStyle w:val="ListParagraph"/>
        <w:numPr>
          <w:ilvl w:val="0"/>
          <w:numId w:val="17"/>
        </w:numPr>
        <w:jc w:val="both"/>
      </w:pPr>
      <w:r w:rsidRPr="00E45B90">
        <w:t>UN General Assembly Resolution 69/166, ‘The right to privacy in the digital age’, 18 December 2014</w:t>
      </w:r>
      <w:r w:rsidR="00C9527E" w:rsidRPr="00E45B90">
        <w:t>.</w:t>
      </w:r>
    </w:p>
    <w:p w14:paraId="00F768B4" w14:textId="77777777" w:rsidR="006E7CDC" w:rsidRPr="004D47D9" w:rsidRDefault="006E7CDC" w:rsidP="006E7CDC">
      <w:pPr>
        <w:pStyle w:val="ListParagraph"/>
        <w:numPr>
          <w:ilvl w:val="0"/>
          <w:numId w:val="0"/>
        </w:numPr>
        <w:ind w:left="1440"/>
      </w:pPr>
    </w:p>
    <w:p w14:paraId="45C2DF24" w14:textId="721186D0" w:rsidR="008F0293" w:rsidRPr="006553FF" w:rsidRDefault="00AA5874" w:rsidP="00C65097">
      <w:pPr>
        <w:pStyle w:val="ListParagraph"/>
        <w:numPr>
          <w:ilvl w:val="0"/>
          <w:numId w:val="25"/>
        </w:numPr>
      </w:pPr>
      <w:r w:rsidRPr="004D47D9">
        <w:t>The NIHRC</w:t>
      </w:r>
      <w:r w:rsidR="00726852" w:rsidRPr="004D47D9">
        <w:t xml:space="preserve"> further </w:t>
      </w:r>
      <w:r w:rsidRPr="004D47D9">
        <w:t xml:space="preserve">advises on the UK Government’s commitment in </w:t>
      </w:r>
      <w:r w:rsidR="00956A3D" w:rsidRPr="004D47D9">
        <w:t>Article 2</w:t>
      </w:r>
      <w:r w:rsidR="00956A3D">
        <w:t xml:space="preserve"> of the </w:t>
      </w:r>
      <w:r w:rsidRPr="004D47D9">
        <w:t>Windsor Framework to ensure there is no diminution of rights, safeguards and equality of opportunity in the relevant section of the Belfast (Good Friday) Agreement as a result of the UK’s withdrawal from the EU. This is given effect in UK law by section 7A of the EU (Withdrawal) Act 2018.</w:t>
      </w:r>
      <w:r w:rsidR="004465C1" w:rsidRPr="004D47D9">
        <w:rPr>
          <w:rStyle w:val="FootnoteReference"/>
        </w:rPr>
        <w:footnoteReference w:id="9"/>
      </w:r>
      <w:r w:rsidRPr="004D47D9">
        <w:t xml:space="preserve"> </w:t>
      </w:r>
      <w:r w:rsidR="00DF3738" w:rsidRPr="004D47D9">
        <w:t>S</w:t>
      </w:r>
      <w:r w:rsidRPr="004D47D9">
        <w:t xml:space="preserve">ection 6 of the NI Act 1998 prohibits the NI Assembly from making any law which is incompatible </w:t>
      </w:r>
      <w:r w:rsidRPr="006553FF">
        <w:t xml:space="preserve">with Windsor Framework Article 2. Section 24 of the 1998 Act also requires all acts of NI Ministers and NI Departments to be compatible with </w:t>
      </w:r>
      <w:r w:rsidR="00C327EE" w:rsidRPr="00C327EE">
        <w:t>Windsor Framework Article 2</w:t>
      </w:r>
      <w:r w:rsidRPr="006553FF">
        <w:t xml:space="preserve">. </w:t>
      </w:r>
      <w:r w:rsidR="007B6FEB">
        <w:t>As explained in section 2</w:t>
      </w:r>
      <w:r w:rsidR="00D23813">
        <w:t xml:space="preserve"> of this </w:t>
      </w:r>
      <w:r w:rsidR="00286251">
        <w:t>briefing</w:t>
      </w:r>
      <w:r w:rsidR="007B6FEB">
        <w:t>, r</w:t>
      </w:r>
      <w:r w:rsidRPr="006553FF">
        <w:t>elevant EU measures in this context include:</w:t>
      </w:r>
      <w:r w:rsidR="008F0293" w:rsidRPr="006553FF">
        <w:t xml:space="preserve"> </w:t>
      </w:r>
    </w:p>
    <w:p w14:paraId="19ECA3B1" w14:textId="77777777" w:rsidR="002D7267" w:rsidRPr="006553FF" w:rsidRDefault="002D7267" w:rsidP="00F0344F">
      <w:pPr>
        <w:jc w:val="both"/>
        <w:rPr>
          <w:rFonts w:ascii="Verdana" w:hAnsi="Verdana"/>
        </w:rPr>
      </w:pPr>
    </w:p>
    <w:p w14:paraId="10B4FD55" w14:textId="6867C63D" w:rsidR="00BD7529" w:rsidRPr="006553FF" w:rsidRDefault="00BD7529" w:rsidP="00BD7529">
      <w:pPr>
        <w:pStyle w:val="ListParagraph"/>
        <w:numPr>
          <w:ilvl w:val="0"/>
          <w:numId w:val="18"/>
        </w:numPr>
        <w:jc w:val="both"/>
      </w:pPr>
      <w:r w:rsidRPr="006553FF">
        <w:t>EU E-</w:t>
      </w:r>
      <w:r w:rsidR="00C03E27">
        <w:t>P</w:t>
      </w:r>
      <w:r w:rsidRPr="006553FF">
        <w:t>rivacy Directive</w:t>
      </w:r>
      <w:r>
        <w:t>;</w:t>
      </w:r>
      <w:r w:rsidRPr="006553FF">
        <w:rPr>
          <w:rStyle w:val="FootnoteReference"/>
        </w:rPr>
        <w:footnoteReference w:id="10"/>
      </w:r>
    </w:p>
    <w:p w14:paraId="1520076A" w14:textId="38B0CD4E" w:rsidR="00263CCB" w:rsidRPr="006553FF" w:rsidRDefault="0046338D" w:rsidP="00811D31">
      <w:pPr>
        <w:pStyle w:val="ListParagraph"/>
        <w:numPr>
          <w:ilvl w:val="0"/>
          <w:numId w:val="18"/>
        </w:numPr>
        <w:jc w:val="both"/>
      </w:pPr>
      <w:r w:rsidRPr="006553FF">
        <w:t xml:space="preserve">EU </w:t>
      </w:r>
      <w:r w:rsidR="00C920A0" w:rsidRPr="006553FF">
        <w:t>General Data Protection Regulation</w:t>
      </w:r>
      <w:r w:rsidR="00DA678E">
        <w:t>;</w:t>
      </w:r>
      <w:r w:rsidR="002046C2" w:rsidRPr="006553FF">
        <w:rPr>
          <w:rStyle w:val="FootnoteReference"/>
        </w:rPr>
        <w:footnoteReference w:id="11"/>
      </w:r>
    </w:p>
    <w:p w14:paraId="2EF193A5" w14:textId="73C5A5F1" w:rsidR="00C920A0" w:rsidRPr="006553FF" w:rsidRDefault="0046338D" w:rsidP="00811D31">
      <w:pPr>
        <w:pStyle w:val="ListParagraph"/>
        <w:numPr>
          <w:ilvl w:val="0"/>
          <w:numId w:val="18"/>
        </w:numPr>
        <w:jc w:val="both"/>
      </w:pPr>
      <w:r w:rsidRPr="006553FF">
        <w:t xml:space="preserve">EU </w:t>
      </w:r>
      <w:r w:rsidR="0035319E" w:rsidRPr="006553FF">
        <w:t xml:space="preserve">Data </w:t>
      </w:r>
      <w:r w:rsidR="008E258A" w:rsidRPr="006553FF">
        <w:t>P</w:t>
      </w:r>
      <w:r w:rsidR="0035319E" w:rsidRPr="006553FF">
        <w:t xml:space="preserve">rotection </w:t>
      </w:r>
      <w:r w:rsidR="000E70DC" w:rsidRPr="006553FF">
        <w:t>Law Enforcement</w:t>
      </w:r>
      <w:r w:rsidR="008E258A" w:rsidRPr="006553FF">
        <w:t xml:space="preserve"> Directive</w:t>
      </w:r>
      <w:r w:rsidR="00DA678E">
        <w:t>;</w:t>
      </w:r>
      <w:r w:rsidR="00BF22DD" w:rsidRPr="006553FF">
        <w:rPr>
          <w:rStyle w:val="FootnoteReference"/>
        </w:rPr>
        <w:footnoteReference w:id="12"/>
      </w:r>
    </w:p>
    <w:p w14:paraId="53B9EF81" w14:textId="2DCA6F09" w:rsidR="00E56E13" w:rsidRPr="006553FF" w:rsidRDefault="0046338D" w:rsidP="00811D31">
      <w:pPr>
        <w:pStyle w:val="ListParagraph"/>
        <w:numPr>
          <w:ilvl w:val="0"/>
          <w:numId w:val="18"/>
        </w:numPr>
        <w:jc w:val="both"/>
      </w:pPr>
      <w:r w:rsidRPr="006553FF">
        <w:t xml:space="preserve">EU </w:t>
      </w:r>
      <w:r w:rsidR="002D7267" w:rsidRPr="006553FF">
        <w:t xml:space="preserve">Processing of </w:t>
      </w:r>
      <w:r w:rsidR="008E258A" w:rsidRPr="006553FF">
        <w:t>D</w:t>
      </w:r>
      <w:r w:rsidR="002D7267" w:rsidRPr="006553FF">
        <w:t xml:space="preserve">ata by </w:t>
      </w:r>
      <w:r w:rsidR="008E258A" w:rsidRPr="006553FF">
        <w:t>U</w:t>
      </w:r>
      <w:r w:rsidR="002D7267" w:rsidRPr="006553FF">
        <w:t xml:space="preserve">nion </w:t>
      </w:r>
      <w:r w:rsidR="008E258A" w:rsidRPr="006553FF">
        <w:t>I</w:t>
      </w:r>
      <w:r w:rsidR="002D7267" w:rsidRPr="006553FF">
        <w:t>nstitutions</w:t>
      </w:r>
      <w:r w:rsidR="008E258A" w:rsidRPr="006553FF">
        <w:t xml:space="preserve"> Regulation</w:t>
      </w:r>
      <w:r w:rsidR="00BD7529">
        <w:t>.</w:t>
      </w:r>
      <w:r w:rsidR="004D1F9E" w:rsidRPr="006553FF">
        <w:rPr>
          <w:rStyle w:val="FootnoteReference"/>
        </w:rPr>
        <w:footnoteReference w:id="13"/>
      </w:r>
    </w:p>
    <w:p w14:paraId="5FF731CE" w14:textId="77777777" w:rsidR="008F0293" w:rsidRPr="006553FF" w:rsidRDefault="008F0293" w:rsidP="008F0293">
      <w:pPr>
        <w:ind w:left="1440" w:hanging="720"/>
        <w:rPr>
          <w:rFonts w:ascii="Verdana" w:hAnsi="Verdana"/>
        </w:rPr>
      </w:pPr>
    </w:p>
    <w:p w14:paraId="185A6C0C" w14:textId="635D3F04" w:rsidR="00750F17" w:rsidRPr="006553FF" w:rsidRDefault="00750F17" w:rsidP="00C65097">
      <w:pPr>
        <w:pStyle w:val="ListParagraph"/>
        <w:numPr>
          <w:ilvl w:val="0"/>
          <w:numId w:val="25"/>
        </w:numPr>
      </w:pPr>
      <w:r w:rsidRPr="006553FF">
        <w:t xml:space="preserve">In accordance with </w:t>
      </w:r>
      <w:r w:rsidR="002513E9" w:rsidRPr="006553FF">
        <w:t>its</w:t>
      </w:r>
      <w:r w:rsidRPr="006553FF">
        <w:t xml:space="preserve"> functions, the NIHRC provides the following advice on the Data </w:t>
      </w:r>
      <w:r w:rsidR="00286251">
        <w:t>(Use and Access) Bill [HL]</w:t>
      </w:r>
      <w:r w:rsidRPr="006553FF">
        <w:t>.</w:t>
      </w:r>
      <w:r w:rsidR="00630281">
        <w:rPr>
          <w:rStyle w:val="FootnoteReference"/>
        </w:rPr>
        <w:footnoteReference w:id="14"/>
      </w:r>
      <w:r w:rsidR="00382850" w:rsidRPr="006553FF">
        <w:t xml:space="preserve">  </w:t>
      </w:r>
      <w:r w:rsidR="00414F53" w:rsidRPr="006553FF">
        <w:t xml:space="preserve">This submission will focus on particular areas of concern regarding the possibility of future divergence between the UK and the EU data protection standards that might result in a diminution of the </w:t>
      </w:r>
      <w:r w:rsidR="00414F53" w:rsidRPr="00B6067A">
        <w:t xml:space="preserve">relevant rights </w:t>
      </w:r>
      <w:r w:rsidR="00414F53" w:rsidRPr="00B6067A">
        <w:lastRenderedPageBreak/>
        <w:t xml:space="preserve">pursuant to Windsor Framework Article 2. </w:t>
      </w:r>
      <w:r w:rsidR="004C4F82" w:rsidRPr="00B6067A">
        <w:t xml:space="preserve">The NIHRC will continue to </w:t>
      </w:r>
      <w:r w:rsidR="00A97264" w:rsidRPr="00B6067A">
        <w:t>monitor</w:t>
      </w:r>
      <w:r w:rsidR="003A2CF9" w:rsidRPr="00B6067A">
        <w:t xml:space="preserve"> the implications of the cross-over between this Bill and other legislative developments</w:t>
      </w:r>
      <w:r w:rsidR="00C94E54" w:rsidRPr="00B6067A">
        <w:t>.</w:t>
      </w:r>
      <w:r w:rsidR="006B0019" w:rsidRPr="00B6067A">
        <w:t xml:space="preserve"> Currently we are </w:t>
      </w:r>
      <w:r w:rsidR="00124D59" w:rsidRPr="00B6067A">
        <w:t>aware of</w:t>
      </w:r>
      <w:r w:rsidR="006B0019" w:rsidRPr="00B6067A">
        <w:t xml:space="preserve"> The Data Protection (Fundamental Rights and Freedoms</w:t>
      </w:r>
      <w:r w:rsidR="00FB196F" w:rsidRPr="00B6067A">
        <w:t xml:space="preserve">) (Amendment) Regulations 2023 </w:t>
      </w:r>
      <w:r w:rsidR="003A2CF9" w:rsidRPr="00B6067A">
        <w:t>and will continue to explore any possible concerns arising.</w:t>
      </w:r>
      <w:r w:rsidR="003A2CF9">
        <w:t xml:space="preserve"> </w:t>
      </w:r>
      <w:r w:rsidR="00382850" w:rsidRPr="006553FF">
        <w:t xml:space="preserve">The NIHRC is willing </w:t>
      </w:r>
      <w:r w:rsidR="007B18B2" w:rsidRPr="006553FF">
        <w:t>to</w:t>
      </w:r>
      <w:r w:rsidR="007B18B2" w:rsidRPr="006553FF" w:rsidDel="005B4842">
        <w:t xml:space="preserve"> </w:t>
      </w:r>
      <w:r w:rsidR="00382850" w:rsidRPr="006553FF">
        <w:t xml:space="preserve">discuss this </w:t>
      </w:r>
      <w:r w:rsidR="007B18B2" w:rsidRPr="006553FF">
        <w:t xml:space="preserve">advice </w:t>
      </w:r>
      <w:r w:rsidR="00382850" w:rsidRPr="006553FF">
        <w:t xml:space="preserve">or to provide </w:t>
      </w:r>
      <w:r w:rsidR="005B4842">
        <w:t xml:space="preserve">further </w:t>
      </w:r>
      <w:r w:rsidR="00DB783A">
        <w:t>advice</w:t>
      </w:r>
      <w:r w:rsidR="00DB783A" w:rsidRPr="006553FF">
        <w:t xml:space="preserve"> </w:t>
      </w:r>
      <w:r w:rsidR="00382850" w:rsidRPr="006553FF">
        <w:t>on more specific elements.</w:t>
      </w:r>
    </w:p>
    <w:p w14:paraId="5FEFB936" w14:textId="77777777" w:rsidR="00750F17" w:rsidRPr="006553FF" w:rsidRDefault="00750F17" w:rsidP="00750F17">
      <w:pPr>
        <w:spacing w:after="0" w:line="288" w:lineRule="auto"/>
        <w:ind w:left="720" w:hanging="720"/>
        <w:rPr>
          <w:rFonts w:ascii="Verdana" w:hAnsi="Verdana"/>
        </w:rPr>
      </w:pPr>
    </w:p>
    <w:p w14:paraId="20328C00" w14:textId="7C97C652" w:rsidR="008F0293" w:rsidRPr="00935931" w:rsidRDefault="00D0453C" w:rsidP="008F0293">
      <w:pPr>
        <w:pStyle w:val="Heading1"/>
      </w:pPr>
      <w:bookmarkStart w:id="4" w:name="_Toc190093242"/>
      <w:r w:rsidRPr="006553FF">
        <w:t>Human Rights Framework</w:t>
      </w:r>
      <w:bookmarkEnd w:id="4"/>
      <w:r w:rsidRPr="006553FF">
        <w:t xml:space="preserve"> </w:t>
      </w:r>
    </w:p>
    <w:p w14:paraId="4EE9C730" w14:textId="77777777" w:rsidR="001D33B4" w:rsidRDefault="001D33B4" w:rsidP="008D33B5">
      <w:pPr>
        <w:pStyle w:val="NIHRC"/>
      </w:pPr>
    </w:p>
    <w:p w14:paraId="14E4DD3A" w14:textId="4BDBEB96" w:rsidR="00EE6A2D" w:rsidRPr="006553FF" w:rsidRDefault="00F15A45" w:rsidP="006166CE">
      <w:pPr>
        <w:pStyle w:val="Heading2"/>
      </w:pPr>
      <w:bookmarkStart w:id="5" w:name="_Toc190093243"/>
      <w:r w:rsidRPr="006553FF">
        <w:t>International and regional human rights standard</w:t>
      </w:r>
      <w:r w:rsidR="001F4F76" w:rsidRPr="006553FF">
        <w:t>s</w:t>
      </w:r>
      <w:bookmarkEnd w:id="5"/>
    </w:p>
    <w:p w14:paraId="5DFE1121" w14:textId="77777777" w:rsidR="008F0293" w:rsidRPr="006553FF" w:rsidRDefault="008F0293" w:rsidP="008F0293">
      <w:pPr>
        <w:rPr>
          <w:rFonts w:ascii="Verdana" w:hAnsi="Verdana"/>
          <w:i/>
          <w:iCs/>
          <w:sz w:val="24"/>
          <w:szCs w:val="24"/>
        </w:rPr>
      </w:pPr>
    </w:p>
    <w:p w14:paraId="581C73CF" w14:textId="636198ED" w:rsidR="00E84878" w:rsidRDefault="00FC3BD0" w:rsidP="00DC618D">
      <w:pPr>
        <w:pStyle w:val="ListParagraph"/>
      </w:pPr>
      <w:r w:rsidRPr="006553FF">
        <w:t>The p</w:t>
      </w:r>
      <w:r w:rsidR="00593690" w:rsidRPr="006553FF">
        <w:t>rotection of personal data is a fundamental human right a</w:t>
      </w:r>
      <w:r w:rsidRPr="006553FF">
        <w:t>nd</w:t>
      </w:r>
      <w:r w:rsidR="00593690" w:rsidRPr="006553FF">
        <w:t xml:space="preserve"> a key </w:t>
      </w:r>
      <w:r w:rsidR="00B82A3B" w:rsidRPr="006553FF">
        <w:t>component</w:t>
      </w:r>
      <w:r w:rsidR="00593690" w:rsidRPr="006553FF">
        <w:t xml:space="preserve"> </w:t>
      </w:r>
      <w:r w:rsidR="00356F85" w:rsidRPr="006553FF">
        <w:t xml:space="preserve">of </w:t>
      </w:r>
      <w:r w:rsidR="00593690" w:rsidRPr="006553FF">
        <w:t>the right to privacy. The right to privacy is enshrined in Article 12 of the</w:t>
      </w:r>
      <w:r w:rsidR="00712EB3">
        <w:t xml:space="preserve"> UDHR</w:t>
      </w:r>
      <w:r w:rsidR="00593690" w:rsidRPr="006553FF">
        <w:t xml:space="preserve"> </w:t>
      </w:r>
      <w:r w:rsidR="00580FA5" w:rsidRPr="006553FF">
        <w:t>(protection from arbitrary interference with privacy)</w:t>
      </w:r>
      <w:r w:rsidR="00D0624B" w:rsidRPr="006553FF">
        <w:t>.</w:t>
      </w:r>
      <w:r w:rsidR="008A5AB3" w:rsidRPr="006553FF">
        <w:rPr>
          <w:rStyle w:val="FootnoteReference"/>
        </w:rPr>
        <w:footnoteReference w:id="15"/>
      </w:r>
      <w:r w:rsidR="00D0624B" w:rsidRPr="006553FF">
        <w:t xml:space="preserve"> </w:t>
      </w:r>
      <w:r w:rsidR="00511E11" w:rsidRPr="006553FF">
        <w:t xml:space="preserve">Article 12 </w:t>
      </w:r>
      <w:r w:rsidR="00BF26A7" w:rsidRPr="006553FF">
        <w:t>stipulates</w:t>
      </w:r>
      <w:r w:rsidR="00511E11" w:rsidRPr="006553FF">
        <w:t xml:space="preserve"> that </w:t>
      </w:r>
      <w:r w:rsidR="00A61FBB" w:rsidRPr="006553FF">
        <w:t xml:space="preserve">everyone has the right to be protected from arbitrary interference with their privacy, family, home or </w:t>
      </w:r>
      <w:r w:rsidR="00BF26A7" w:rsidRPr="006553FF">
        <w:t xml:space="preserve">correspondence and from attacks to their honour and reputation. </w:t>
      </w:r>
      <w:r w:rsidR="00E112A0" w:rsidRPr="006553FF">
        <w:t xml:space="preserve">The right to </w:t>
      </w:r>
      <w:r w:rsidR="00BD5001" w:rsidRPr="006553FF">
        <w:t xml:space="preserve">privacy, which includes the right to data protection, </w:t>
      </w:r>
      <w:r w:rsidR="00E112A0" w:rsidRPr="006553FF">
        <w:t xml:space="preserve">is </w:t>
      </w:r>
      <w:r w:rsidR="00DC618D">
        <w:t xml:space="preserve">also </w:t>
      </w:r>
      <w:r w:rsidR="00E112A0" w:rsidRPr="006553FF">
        <w:t xml:space="preserve">enshrined </w:t>
      </w:r>
      <w:r w:rsidR="00BD5001" w:rsidRPr="006553FF">
        <w:t xml:space="preserve">in Article </w:t>
      </w:r>
      <w:r w:rsidR="0087100B" w:rsidRPr="006553FF">
        <w:t>1</w:t>
      </w:r>
      <w:r w:rsidR="00BD5001" w:rsidRPr="006553FF">
        <w:t>7 of the</w:t>
      </w:r>
      <w:r w:rsidR="00D31EEB" w:rsidRPr="006553FF">
        <w:t xml:space="preserve"> ICCPR (</w:t>
      </w:r>
      <w:r w:rsidR="00B47CAF" w:rsidRPr="006553FF">
        <w:t>protection from unlawful interference with privacy</w:t>
      </w:r>
      <w:r w:rsidR="00112121" w:rsidRPr="006553FF">
        <w:t>).</w:t>
      </w:r>
      <w:r w:rsidR="00112121" w:rsidRPr="006553FF">
        <w:rPr>
          <w:rStyle w:val="FootnoteReference"/>
        </w:rPr>
        <w:footnoteReference w:id="16"/>
      </w:r>
      <w:r w:rsidR="00BD5001" w:rsidRPr="006553FF">
        <w:t xml:space="preserve"> </w:t>
      </w:r>
    </w:p>
    <w:p w14:paraId="289C5083" w14:textId="77777777" w:rsidR="00DC618D" w:rsidRPr="006553FF" w:rsidRDefault="00DC618D" w:rsidP="00DC618D">
      <w:pPr>
        <w:pStyle w:val="ListParagraph"/>
        <w:numPr>
          <w:ilvl w:val="0"/>
          <w:numId w:val="0"/>
        </w:numPr>
        <w:ind w:left="720"/>
      </w:pPr>
    </w:p>
    <w:p w14:paraId="42B941C1" w14:textId="10BF1989" w:rsidR="00E84878" w:rsidRPr="006553FF" w:rsidRDefault="00E956F8" w:rsidP="00A07091">
      <w:pPr>
        <w:pStyle w:val="ListParagraph"/>
      </w:pPr>
      <w:r w:rsidRPr="006553FF">
        <w:t xml:space="preserve">The UN CRC </w:t>
      </w:r>
      <w:r w:rsidR="0038330F" w:rsidRPr="006553FF">
        <w:t xml:space="preserve">further </w:t>
      </w:r>
      <w:r w:rsidRPr="006553FF">
        <w:t>guarantees the same right to privacy, including protection of personal data, to children</w:t>
      </w:r>
      <w:r w:rsidR="00D6620B" w:rsidRPr="006553FF">
        <w:t>.</w:t>
      </w:r>
      <w:r w:rsidR="00D6620B" w:rsidRPr="006553FF">
        <w:rPr>
          <w:rStyle w:val="FootnoteReference"/>
        </w:rPr>
        <w:footnoteReference w:id="17"/>
      </w:r>
      <w:r w:rsidR="00D6620B" w:rsidRPr="006553FF">
        <w:t xml:space="preserve"> </w:t>
      </w:r>
      <w:r w:rsidR="00DF2A10" w:rsidRPr="006553FF">
        <w:t>Article</w:t>
      </w:r>
      <w:r w:rsidR="00DC618D">
        <w:t xml:space="preserve"> 16</w:t>
      </w:r>
      <w:r w:rsidR="00DF2A10" w:rsidRPr="006553FF">
        <w:t xml:space="preserve"> contains a </w:t>
      </w:r>
      <w:r w:rsidR="005F75E6" w:rsidRPr="006553FF">
        <w:t>commitment</w:t>
      </w:r>
      <w:r w:rsidR="00DF2A10" w:rsidRPr="006553FF">
        <w:t xml:space="preserve"> to</w:t>
      </w:r>
      <w:r w:rsidR="005F75E6" w:rsidRPr="006553FF">
        <w:t xml:space="preserve"> no </w:t>
      </w:r>
      <w:r w:rsidR="00F230B3" w:rsidRPr="006553FF">
        <w:t xml:space="preserve">child </w:t>
      </w:r>
      <w:r w:rsidR="005F75E6" w:rsidRPr="006553FF">
        <w:t>being</w:t>
      </w:r>
      <w:r w:rsidR="00F230B3" w:rsidRPr="006553FF">
        <w:t xml:space="preserve"> </w:t>
      </w:r>
      <w:r w:rsidR="00D6620B" w:rsidRPr="006553FF">
        <w:t>subjected</w:t>
      </w:r>
      <w:r w:rsidR="00F230B3" w:rsidRPr="006553FF">
        <w:t xml:space="preserve"> to arbitrary or unlawful interference with </w:t>
      </w:r>
      <w:r w:rsidR="000214E7" w:rsidRPr="006553FF">
        <w:t>their</w:t>
      </w:r>
      <w:r w:rsidR="00F230B3" w:rsidRPr="006553FF">
        <w:t xml:space="preserve"> privacy, family, home or </w:t>
      </w:r>
      <w:r w:rsidR="00D6620B" w:rsidRPr="006553FF">
        <w:t>correspondence</w:t>
      </w:r>
      <w:r w:rsidR="00F230B3" w:rsidRPr="006553FF">
        <w:t xml:space="preserve">, and </w:t>
      </w:r>
      <w:r w:rsidR="005F75E6" w:rsidRPr="006553FF">
        <w:t xml:space="preserve">guarantees </w:t>
      </w:r>
      <w:r w:rsidR="00F230B3" w:rsidRPr="006553FF">
        <w:t>all children</w:t>
      </w:r>
      <w:r w:rsidR="005F75E6" w:rsidRPr="006553FF">
        <w:t xml:space="preserve"> </w:t>
      </w:r>
      <w:r w:rsidR="00F230B3" w:rsidRPr="006553FF">
        <w:t xml:space="preserve">the right </w:t>
      </w:r>
      <w:r w:rsidR="00D6620B" w:rsidRPr="006553FF">
        <w:t>to</w:t>
      </w:r>
      <w:r w:rsidR="00F230B3" w:rsidRPr="006553FF">
        <w:t xml:space="preserve"> be protected </w:t>
      </w:r>
      <w:r w:rsidR="000214E7" w:rsidRPr="006553FF">
        <w:t>from</w:t>
      </w:r>
      <w:r w:rsidR="00F230B3" w:rsidRPr="006553FF">
        <w:t xml:space="preserve"> such interferences</w:t>
      </w:r>
      <w:r w:rsidR="00D6620B" w:rsidRPr="006553FF">
        <w:t xml:space="preserve"> or attacks. </w:t>
      </w:r>
    </w:p>
    <w:p w14:paraId="5CEAA233" w14:textId="77777777" w:rsidR="009A4901" w:rsidRPr="006553FF" w:rsidRDefault="009A4901" w:rsidP="00463691">
      <w:pPr>
        <w:pStyle w:val="ListParagraph"/>
        <w:numPr>
          <w:ilvl w:val="0"/>
          <w:numId w:val="0"/>
        </w:numPr>
        <w:jc w:val="both"/>
      </w:pPr>
    </w:p>
    <w:p w14:paraId="5F46ED18" w14:textId="23D30E2D" w:rsidR="00102C55" w:rsidRPr="006553FF" w:rsidRDefault="00E47F99" w:rsidP="00DC618D">
      <w:pPr>
        <w:pStyle w:val="ListParagraph"/>
      </w:pPr>
      <w:r w:rsidRPr="006553FF">
        <w:t>The right to data protection is al</w:t>
      </w:r>
      <w:r w:rsidR="004725E6" w:rsidRPr="006553FF">
        <w:t xml:space="preserve">so contained in </w:t>
      </w:r>
      <w:r w:rsidR="00580FA5" w:rsidRPr="006553FF">
        <w:t xml:space="preserve">Article 8 of the </w:t>
      </w:r>
      <w:r w:rsidR="00726852" w:rsidRPr="006553FF">
        <w:t xml:space="preserve">ECHR on the </w:t>
      </w:r>
      <w:r w:rsidR="00580FA5" w:rsidRPr="006553FF">
        <w:t>right to respect for private life.</w:t>
      </w:r>
      <w:r w:rsidR="00102C55" w:rsidRPr="006553FF">
        <w:rPr>
          <w:rStyle w:val="FootnoteReference"/>
        </w:rPr>
        <w:footnoteReference w:id="18"/>
      </w:r>
      <w:r w:rsidR="00F051CE" w:rsidRPr="006553FF">
        <w:rPr>
          <w:vertAlign w:val="superscript"/>
        </w:rPr>
        <w:t xml:space="preserve"> </w:t>
      </w:r>
      <w:r w:rsidR="00F051CE" w:rsidRPr="006553FF">
        <w:t xml:space="preserve">Article 8 </w:t>
      </w:r>
      <w:r w:rsidR="000902E8" w:rsidRPr="006553FF">
        <w:t>guarantees</w:t>
      </w:r>
      <w:r w:rsidR="00F051CE" w:rsidRPr="006553FF">
        <w:t xml:space="preserve"> all individual</w:t>
      </w:r>
      <w:r w:rsidR="005F75E6" w:rsidRPr="006553FF">
        <w:t>s</w:t>
      </w:r>
      <w:r w:rsidR="00F051CE" w:rsidRPr="006553FF">
        <w:t xml:space="preserve"> the right to </w:t>
      </w:r>
      <w:r w:rsidR="00A204E1">
        <w:t>respect for</w:t>
      </w:r>
      <w:r w:rsidR="00183219">
        <w:t xml:space="preserve"> </w:t>
      </w:r>
      <w:r w:rsidR="00F051CE" w:rsidRPr="006553FF">
        <w:t>their private and family life</w:t>
      </w:r>
      <w:r w:rsidR="00183219">
        <w:t>, their home and correspondence</w:t>
      </w:r>
      <w:r w:rsidR="00F051CE" w:rsidRPr="006553FF">
        <w:t xml:space="preserve">, as well as freedom from </w:t>
      </w:r>
      <w:r w:rsidR="000902E8" w:rsidRPr="006553FF">
        <w:t xml:space="preserve">interference by a public authority when exercising this right, except for a number of exceptions concerning public safety or the protection of the rights and freedoms of others. </w:t>
      </w:r>
    </w:p>
    <w:p w14:paraId="3F029D04" w14:textId="77777777" w:rsidR="00102C55" w:rsidRPr="006553FF" w:rsidRDefault="00102C55" w:rsidP="00102C55">
      <w:pPr>
        <w:pStyle w:val="ListParagraph"/>
        <w:numPr>
          <w:ilvl w:val="0"/>
          <w:numId w:val="0"/>
        </w:numPr>
        <w:ind w:left="1440"/>
      </w:pPr>
    </w:p>
    <w:p w14:paraId="26B3A431" w14:textId="42E4FFC5" w:rsidR="008F0293" w:rsidRPr="006553FF" w:rsidRDefault="00D10D02" w:rsidP="006F0A4B">
      <w:pPr>
        <w:pStyle w:val="ListParagraph"/>
      </w:pPr>
      <w:r w:rsidRPr="006553FF">
        <w:t xml:space="preserve">The </w:t>
      </w:r>
      <w:r w:rsidR="00561D41" w:rsidRPr="006553FF">
        <w:t xml:space="preserve">European </w:t>
      </w:r>
      <w:r w:rsidRPr="006553FF">
        <w:t xml:space="preserve">Court </w:t>
      </w:r>
      <w:r w:rsidR="00561D41" w:rsidRPr="006553FF">
        <w:t>of Human Rights (</w:t>
      </w:r>
      <w:r w:rsidR="00500F0C" w:rsidRPr="006553FF">
        <w:t>ECtHR</w:t>
      </w:r>
      <w:r w:rsidR="00561D41" w:rsidRPr="006553FF">
        <w:t xml:space="preserve">) has </w:t>
      </w:r>
      <w:r w:rsidR="005F75E6" w:rsidRPr="006553FF">
        <w:t xml:space="preserve">also </w:t>
      </w:r>
      <w:r w:rsidRPr="006553FF">
        <w:t xml:space="preserve">acknowledged that the protection of personal data is of fundamental importance to </w:t>
      </w:r>
      <w:r w:rsidR="00561D41" w:rsidRPr="006553FF">
        <w:t xml:space="preserve">the realisation of the right to </w:t>
      </w:r>
      <w:r w:rsidRPr="006553FF">
        <w:t>respect for private and family life, home and correspondence</w:t>
      </w:r>
      <w:r w:rsidR="00BB2B71" w:rsidRPr="006553FF">
        <w:t>,</w:t>
      </w:r>
      <w:r w:rsidRPr="006553FF">
        <w:t xml:space="preserve"> as guaranteed by Article 8 of the Convention</w:t>
      </w:r>
      <w:r w:rsidR="00561D41" w:rsidRPr="006553FF">
        <w:t>.</w:t>
      </w:r>
      <w:r w:rsidR="00561D41" w:rsidRPr="006553FF">
        <w:rPr>
          <w:rStyle w:val="FootnoteReference"/>
        </w:rPr>
        <w:footnoteReference w:id="19"/>
      </w:r>
      <w:r w:rsidR="0043314E" w:rsidRPr="006553FF">
        <w:t xml:space="preserve"> Further, the </w:t>
      </w:r>
      <w:r w:rsidR="00500F0C" w:rsidRPr="006553FF">
        <w:t>ECtHR</w:t>
      </w:r>
      <w:r w:rsidR="0043314E" w:rsidRPr="006553FF">
        <w:t xml:space="preserve"> has clari</w:t>
      </w:r>
      <w:r w:rsidR="00500F0C" w:rsidRPr="006553FF">
        <w:t>fied that “the mere storing of data relating to the private life of an individual amounts to an interference within the meaning of Article 8</w:t>
      </w:r>
      <w:r w:rsidR="00B96810">
        <w:t>”</w:t>
      </w:r>
      <w:r w:rsidR="00500F0C" w:rsidRPr="006553FF">
        <w:t xml:space="preserve"> of the ECHR.</w:t>
      </w:r>
      <w:r w:rsidR="00500F0C" w:rsidRPr="006553FF">
        <w:rPr>
          <w:rStyle w:val="FootnoteReference"/>
        </w:rPr>
        <w:footnoteReference w:id="20"/>
      </w:r>
    </w:p>
    <w:p w14:paraId="41B57E44" w14:textId="77777777" w:rsidR="00A34058" w:rsidRPr="006553FF" w:rsidRDefault="00A34058" w:rsidP="00463691">
      <w:pPr>
        <w:pStyle w:val="ListParagraph"/>
        <w:numPr>
          <w:ilvl w:val="0"/>
          <w:numId w:val="0"/>
        </w:numPr>
        <w:ind w:left="1440"/>
        <w:jc w:val="both"/>
      </w:pPr>
    </w:p>
    <w:p w14:paraId="6F1C8CC2" w14:textId="54FF99F3" w:rsidR="0008638B" w:rsidRDefault="008A5AB3" w:rsidP="006F0A4B">
      <w:pPr>
        <w:pStyle w:val="ListParagraph"/>
      </w:pPr>
      <w:r w:rsidRPr="006553FF">
        <w:t>T</w:t>
      </w:r>
      <w:r w:rsidR="0055412C" w:rsidRPr="006553FF">
        <w:t xml:space="preserve">he UK is also a signatory to the </w:t>
      </w:r>
      <w:proofErr w:type="spellStart"/>
      <w:r w:rsidR="008D33B5">
        <w:t>CoE</w:t>
      </w:r>
      <w:proofErr w:type="spellEnd"/>
      <w:r w:rsidR="0055412C" w:rsidRPr="006553FF">
        <w:t xml:space="preserve"> Convention for the Protection of Individuals with regard to Automatic Processing of Personal Data.</w:t>
      </w:r>
      <w:r w:rsidR="00065506" w:rsidRPr="006553FF">
        <w:rPr>
          <w:rStyle w:val="FootnoteReference"/>
        </w:rPr>
        <w:footnoteReference w:id="21"/>
      </w:r>
      <w:r w:rsidR="0055412C" w:rsidRPr="006553FF">
        <w:t xml:space="preserve"> </w:t>
      </w:r>
      <w:r w:rsidR="00277ECA" w:rsidRPr="006553FF">
        <w:t xml:space="preserve">Article 9 of the </w:t>
      </w:r>
      <w:r w:rsidR="0082505F" w:rsidRPr="006553FF">
        <w:t xml:space="preserve">Convention </w:t>
      </w:r>
      <w:r w:rsidR="00054F35" w:rsidRPr="006553FF">
        <w:t xml:space="preserve">provides for </w:t>
      </w:r>
      <w:r w:rsidR="001059F0" w:rsidRPr="006553FF">
        <w:t>the</w:t>
      </w:r>
      <w:r w:rsidR="005777B5" w:rsidRPr="006553FF">
        <w:t xml:space="preserve"> </w:t>
      </w:r>
      <w:r w:rsidR="001059F0" w:rsidRPr="006553FF">
        <w:t>rights of the data subject and in part</w:t>
      </w:r>
      <w:r w:rsidR="00766D8A" w:rsidRPr="006553FF">
        <w:t xml:space="preserve">icular </w:t>
      </w:r>
      <w:r w:rsidR="00871C72" w:rsidRPr="006553FF">
        <w:t>g</w:t>
      </w:r>
      <w:r w:rsidR="00FD3A79" w:rsidRPr="006553FF">
        <w:t>rant</w:t>
      </w:r>
      <w:r w:rsidR="00871C72" w:rsidRPr="006553FF">
        <w:t xml:space="preserve">s all individuals protection from </w:t>
      </w:r>
      <w:r w:rsidR="00766D8A" w:rsidRPr="006553FF">
        <w:t>being subjected to decisions made solely on the basis of automated data processing</w:t>
      </w:r>
      <w:r w:rsidR="007264D3" w:rsidRPr="006553FF">
        <w:t>.</w:t>
      </w:r>
      <w:r w:rsidR="007264D3" w:rsidRPr="006553FF">
        <w:rPr>
          <w:rStyle w:val="FootnoteReference"/>
        </w:rPr>
        <w:footnoteReference w:id="22"/>
      </w:r>
    </w:p>
    <w:p w14:paraId="73146811" w14:textId="77777777" w:rsidR="006F0A4B" w:rsidRDefault="006F0A4B" w:rsidP="006F0A4B">
      <w:pPr>
        <w:pStyle w:val="ListParagraph"/>
        <w:numPr>
          <w:ilvl w:val="0"/>
          <w:numId w:val="0"/>
        </w:numPr>
        <w:ind w:left="720"/>
      </w:pPr>
    </w:p>
    <w:p w14:paraId="5285AA04" w14:textId="77777777" w:rsidR="00440068" w:rsidRPr="006553FF" w:rsidRDefault="00440068" w:rsidP="00440068">
      <w:pPr>
        <w:pStyle w:val="Heading2"/>
      </w:pPr>
      <w:bookmarkStart w:id="6" w:name="_Toc190093244"/>
      <w:r w:rsidRPr="006553FF">
        <w:t>Article 2 of the Windsor Framework</w:t>
      </w:r>
      <w:bookmarkEnd w:id="6"/>
    </w:p>
    <w:p w14:paraId="6CD8378A" w14:textId="77777777" w:rsidR="00440068" w:rsidRPr="006553FF" w:rsidRDefault="00440068" w:rsidP="00440068">
      <w:pPr>
        <w:jc w:val="both"/>
        <w:rPr>
          <w:rFonts w:ascii="Verdana" w:hAnsi="Verdana"/>
        </w:rPr>
      </w:pPr>
    </w:p>
    <w:p w14:paraId="33CB4426" w14:textId="08DFDCF5" w:rsidR="00440068" w:rsidRPr="004D47D9" w:rsidRDefault="00440068" w:rsidP="00440068">
      <w:pPr>
        <w:pStyle w:val="ListParagraph"/>
      </w:pPr>
      <w:r w:rsidRPr="004D47D9">
        <w:t xml:space="preserve">Windsor Framework Article 2 requires the UK Government to ensure that no diminution of rights, safeguards and equality of opportunities contained in the relevant part of the Belfast (Good Friday) Agreement 1998 occurs as a result of the UK’s withdrawal from the EU. </w:t>
      </w:r>
      <w:r w:rsidR="00B55927">
        <w:t>Arising from Windsor Framework Article 2 and Article 13(</w:t>
      </w:r>
      <w:r w:rsidR="00A36ECE">
        <w:t>3</w:t>
      </w:r>
      <w:r w:rsidR="00B55927">
        <w:t>), there is</w:t>
      </w:r>
      <w:r w:rsidR="00F96B3E">
        <w:t xml:space="preserve"> also</w:t>
      </w:r>
      <w:r w:rsidRPr="004D47D9">
        <w:t xml:space="preserve"> an obligation to “keep pace” with any changes made by the EU to the six Equality Directives </w:t>
      </w:r>
      <w:r w:rsidR="00F96B3E">
        <w:t xml:space="preserve">listed in Annex 1 to the Windsor Framework, to the extent that such changes </w:t>
      </w:r>
      <w:r w:rsidRPr="004D47D9">
        <w:t>improve</w:t>
      </w:r>
      <w:r w:rsidRPr="004D47D9" w:rsidDel="005F21B0">
        <w:t xml:space="preserve"> </w:t>
      </w:r>
      <w:r w:rsidRPr="004D47D9">
        <w:t>minimum levels of protection.</w:t>
      </w:r>
      <w:r w:rsidRPr="004D47D9">
        <w:rPr>
          <w:rStyle w:val="FootnoteReference"/>
        </w:rPr>
        <w:footnoteReference w:id="23"/>
      </w:r>
    </w:p>
    <w:p w14:paraId="18023B00" w14:textId="77777777" w:rsidR="00440068" w:rsidRPr="004D47D9" w:rsidRDefault="00440068" w:rsidP="00440068">
      <w:pPr>
        <w:pStyle w:val="ListParagraph"/>
        <w:numPr>
          <w:ilvl w:val="0"/>
          <w:numId w:val="0"/>
        </w:numPr>
        <w:jc w:val="both"/>
      </w:pPr>
    </w:p>
    <w:p w14:paraId="6D27BA85" w14:textId="77777777" w:rsidR="007A0596" w:rsidRDefault="00440068" w:rsidP="006877AA">
      <w:pPr>
        <w:pStyle w:val="ListParagraph"/>
      </w:pPr>
      <w:r w:rsidRPr="004D47D9">
        <w:t>The Belfast (Good Friday) Agreement chapter entitled</w:t>
      </w:r>
      <w:r w:rsidR="00295D21">
        <w:t xml:space="preserve"> </w:t>
      </w:r>
      <w:r w:rsidR="00601D17">
        <w:t>‘Rights, Safeguards and Equality of Opportunity’ begins with a section on</w:t>
      </w:r>
      <w:r w:rsidRPr="004D47D9">
        <w:t xml:space="preserve"> </w:t>
      </w:r>
      <w:r w:rsidR="006D152B">
        <w:lastRenderedPageBreak/>
        <w:t>“</w:t>
      </w:r>
      <w:r w:rsidRPr="004D47D9">
        <w:t>Human Rights</w:t>
      </w:r>
      <w:r w:rsidR="006D152B">
        <w:t xml:space="preserve">” </w:t>
      </w:r>
      <w:r w:rsidRPr="004D47D9">
        <w:t>contain</w:t>
      </w:r>
      <w:r w:rsidR="00601D17">
        <w:t>ing</w:t>
      </w:r>
      <w:r w:rsidRPr="004D47D9">
        <w:t xml:space="preserve"> a general commitment to the “civil rights and religious liberties of everyone in the community” and a non-exhaustive list of rights “affirmed in particular”, as well as a commitment to the incorporation of the ECHR with direct access to the courts and remedies for breach. </w:t>
      </w:r>
    </w:p>
    <w:p w14:paraId="282B72A9" w14:textId="77777777" w:rsidR="007A0596" w:rsidRPr="007A0596" w:rsidRDefault="007A0596" w:rsidP="0041753B">
      <w:pPr>
        <w:pStyle w:val="ListParagraph"/>
        <w:numPr>
          <w:ilvl w:val="0"/>
          <w:numId w:val="0"/>
        </w:numPr>
        <w:ind w:left="720"/>
        <w:rPr>
          <w:rFonts w:cs="Calibri"/>
          <w:szCs w:val="28"/>
        </w:rPr>
      </w:pPr>
    </w:p>
    <w:p w14:paraId="21FB7D92" w14:textId="26E2D09A" w:rsidR="005838C3" w:rsidRDefault="008831F1" w:rsidP="006877AA">
      <w:pPr>
        <w:pStyle w:val="ListParagraph"/>
      </w:pPr>
      <w:bookmarkStart w:id="7" w:name="_Hlk190248184"/>
      <w:r w:rsidRPr="00F20032">
        <w:rPr>
          <w:rFonts w:cs="Calibri"/>
          <w:szCs w:val="28"/>
        </w:rPr>
        <w:t xml:space="preserve">In </w:t>
      </w:r>
      <w:r w:rsidRPr="00F20032">
        <w:rPr>
          <w:rFonts w:cs="Calibri"/>
          <w:i/>
          <w:iCs/>
          <w:szCs w:val="28"/>
        </w:rPr>
        <w:t>Dillon</w:t>
      </w:r>
      <w:r w:rsidR="00196EB3" w:rsidRPr="0041753B">
        <w:rPr>
          <w:rFonts w:cs="Calibri"/>
          <w:szCs w:val="28"/>
        </w:rPr>
        <w:t>,</w:t>
      </w:r>
      <w:r w:rsidRPr="00F20032">
        <w:rPr>
          <w:rFonts w:cs="Calibri"/>
          <w:szCs w:val="28"/>
        </w:rPr>
        <w:t xml:space="preserve"> the NI Court of Appeal </w:t>
      </w:r>
      <w:r w:rsidR="00805B36">
        <w:rPr>
          <w:rFonts w:cs="Calibri"/>
          <w:szCs w:val="28"/>
        </w:rPr>
        <w:t xml:space="preserve">found that this </w:t>
      </w:r>
      <w:r w:rsidR="00805B36" w:rsidRPr="00805B36">
        <w:rPr>
          <w:rFonts w:cs="Calibri"/>
          <w:szCs w:val="28"/>
        </w:rPr>
        <w:t xml:space="preserve">chapter </w:t>
      </w:r>
      <w:r w:rsidR="00805B36">
        <w:rPr>
          <w:rFonts w:cs="Calibri"/>
          <w:szCs w:val="28"/>
        </w:rPr>
        <w:t xml:space="preserve">of </w:t>
      </w:r>
      <w:r w:rsidR="00805B36" w:rsidRPr="00805B36">
        <w:rPr>
          <w:rFonts w:cs="Calibri"/>
          <w:szCs w:val="28"/>
        </w:rPr>
        <w:t>the Belfast (Good Friday) Agreement is not to be narrowly construed or regarded through the lens of the conflict but consists of a ‘broad suite of rights’ and extends ‘further than those rights specifically listed</w:t>
      </w:r>
      <w:r w:rsidR="00DC7B70">
        <w:rPr>
          <w:rFonts w:cs="Calibri"/>
          <w:szCs w:val="28"/>
        </w:rPr>
        <w:t>.</w:t>
      </w:r>
      <w:r w:rsidR="00805B36" w:rsidRPr="00805B36">
        <w:rPr>
          <w:rFonts w:cs="Calibri"/>
          <w:szCs w:val="28"/>
        </w:rPr>
        <w:t>’</w:t>
      </w:r>
      <w:r w:rsidR="0058153D" w:rsidRPr="0058153D">
        <w:rPr>
          <w:rStyle w:val="FootnoteReference"/>
          <w:rFonts w:cs="Calibri"/>
          <w:i/>
          <w:iCs/>
          <w:szCs w:val="28"/>
        </w:rPr>
        <w:t xml:space="preserve"> </w:t>
      </w:r>
      <w:r w:rsidR="0058153D" w:rsidRPr="00E8698A">
        <w:rPr>
          <w:rStyle w:val="FootnoteReference"/>
          <w:rFonts w:cs="Calibri"/>
          <w:szCs w:val="28"/>
        </w:rPr>
        <w:footnoteReference w:id="24"/>
      </w:r>
      <w:r w:rsidR="00196EB3">
        <w:rPr>
          <w:rFonts w:cs="Calibri"/>
          <w:szCs w:val="28"/>
        </w:rPr>
        <w:t xml:space="preserve"> </w:t>
      </w:r>
      <w:r w:rsidR="00DC7B70">
        <w:rPr>
          <w:rFonts w:cs="Calibri"/>
          <w:szCs w:val="28"/>
        </w:rPr>
        <w:t xml:space="preserve">It further held that </w:t>
      </w:r>
      <w:r w:rsidR="0060015B">
        <w:rPr>
          <w:rFonts w:cs="Calibri"/>
          <w:szCs w:val="28"/>
        </w:rPr>
        <w:t xml:space="preserve">the rights in question, </w:t>
      </w:r>
      <w:r w:rsidR="00042799" w:rsidRPr="00042799">
        <w:rPr>
          <w:rFonts w:cs="Calibri"/>
          <w:szCs w:val="28"/>
        </w:rPr>
        <w:t>victims’ rights</w:t>
      </w:r>
      <w:r w:rsidR="0060015B">
        <w:rPr>
          <w:rFonts w:cs="Calibri"/>
          <w:szCs w:val="28"/>
        </w:rPr>
        <w:t>,</w:t>
      </w:r>
      <w:r w:rsidR="00042799" w:rsidRPr="00042799">
        <w:rPr>
          <w:rFonts w:cs="Calibri"/>
          <w:szCs w:val="28"/>
        </w:rPr>
        <w:t xml:space="preserve"> fall within ‘civil rights</w:t>
      </w:r>
      <w:r w:rsidR="005A12C5">
        <w:rPr>
          <w:rFonts w:cs="Calibri"/>
          <w:szCs w:val="28"/>
        </w:rPr>
        <w:t>,</w:t>
      </w:r>
      <w:r w:rsidR="00042799" w:rsidRPr="00042799">
        <w:rPr>
          <w:rFonts w:cs="Calibri"/>
          <w:szCs w:val="28"/>
        </w:rPr>
        <w:t xml:space="preserve">’ are given effect by Articles 2, 3, 6 and 14 of the ECHR </w:t>
      </w:r>
      <w:r w:rsidR="00DC7B70">
        <w:rPr>
          <w:rFonts w:cs="Calibri"/>
          <w:szCs w:val="28"/>
        </w:rPr>
        <w:t xml:space="preserve">and underpinned by EU </w:t>
      </w:r>
      <w:r w:rsidR="00D17EB6">
        <w:rPr>
          <w:rFonts w:cs="Calibri"/>
          <w:szCs w:val="28"/>
        </w:rPr>
        <w:t>Victims Directive</w:t>
      </w:r>
      <w:r w:rsidR="00B06669">
        <w:rPr>
          <w:rFonts w:cs="Calibri"/>
          <w:szCs w:val="28"/>
        </w:rPr>
        <w:t>, which must be interpreted in line with the EU Charter of Fundamental Rights</w:t>
      </w:r>
      <w:r w:rsidR="00DC7B70">
        <w:rPr>
          <w:rFonts w:cs="Calibri"/>
          <w:szCs w:val="28"/>
        </w:rPr>
        <w:t>.</w:t>
      </w:r>
      <w:r w:rsidR="00E363A0" w:rsidRPr="00E8698A">
        <w:rPr>
          <w:rStyle w:val="FootnoteReference"/>
          <w:rFonts w:cs="Calibri"/>
          <w:szCs w:val="28"/>
        </w:rPr>
        <w:footnoteReference w:id="25"/>
      </w:r>
      <w:r w:rsidR="00DC7B70">
        <w:rPr>
          <w:rFonts w:cs="Calibri"/>
          <w:szCs w:val="28"/>
        </w:rPr>
        <w:t xml:space="preserve"> </w:t>
      </w:r>
      <w:r w:rsidR="00821A1A">
        <w:rPr>
          <w:rFonts w:cs="Calibri"/>
          <w:szCs w:val="28"/>
        </w:rPr>
        <w:t xml:space="preserve">This appears consistent with </w:t>
      </w:r>
      <w:r w:rsidR="00324F3F">
        <w:rPr>
          <w:rFonts w:cs="Calibri"/>
          <w:szCs w:val="28"/>
        </w:rPr>
        <w:t xml:space="preserve">published </w:t>
      </w:r>
      <w:r w:rsidR="00821A1A">
        <w:rPr>
          <w:rFonts w:cs="Calibri"/>
          <w:szCs w:val="28"/>
        </w:rPr>
        <w:t>analysis by the</w:t>
      </w:r>
      <w:r w:rsidR="00324F3F">
        <w:rPr>
          <w:rFonts w:cs="Calibri"/>
          <w:szCs w:val="28"/>
        </w:rPr>
        <w:t xml:space="preserve"> NIHRC and ECNI,</w:t>
      </w:r>
      <w:r w:rsidR="00821A1A">
        <w:rPr>
          <w:rFonts w:cs="Calibri"/>
          <w:szCs w:val="28"/>
        </w:rPr>
        <w:t xml:space="preserve"> </w:t>
      </w:r>
      <w:r w:rsidR="00440068">
        <w:t>that, r</w:t>
      </w:r>
      <w:r w:rsidR="00440068" w:rsidRPr="004D47D9">
        <w:t>ead in the context of the additional pledges on rights within this chapter, the commitment of the Belfast (Good Friday) Agreement signatories to the range of rights referenced within the chapter must be understood as embracing, as a minimum, those rights set out in the ECHR.</w:t>
      </w:r>
      <w:r w:rsidR="00440068" w:rsidRPr="004D47D9">
        <w:rPr>
          <w:rStyle w:val="FootnoteReference"/>
          <w:rFonts w:cstheme="minorHAnsi"/>
        </w:rPr>
        <w:footnoteReference w:id="26"/>
      </w:r>
      <w:bookmarkEnd w:id="7"/>
      <w:r w:rsidR="00440068" w:rsidRPr="004D47D9">
        <w:t xml:space="preserve"> </w:t>
      </w:r>
    </w:p>
    <w:p w14:paraId="480D0828" w14:textId="77777777" w:rsidR="005838C3" w:rsidRDefault="005838C3" w:rsidP="005838C3">
      <w:pPr>
        <w:pStyle w:val="ListParagraph"/>
        <w:numPr>
          <w:ilvl w:val="0"/>
          <w:numId w:val="0"/>
        </w:numPr>
        <w:ind w:left="720"/>
      </w:pPr>
    </w:p>
    <w:p w14:paraId="53C0BE6A" w14:textId="77777777" w:rsidR="00253BD9" w:rsidRPr="00774254" w:rsidRDefault="00253BD9" w:rsidP="00253BD9">
      <w:pPr>
        <w:pStyle w:val="ListParagraph"/>
        <w:rPr>
          <w:b/>
          <w:bCs/>
        </w:rPr>
      </w:pPr>
      <w:bookmarkStart w:id="8" w:name="_Hlk155804801"/>
      <w:r w:rsidRPr="00774254">
        <w:rPr>
          <w:b/>
          <w:bCs/>
        </w:rPr>
        <w:t xml:space="preserve">The NIHRC considers that all EU law in force in NI on or before 31 December 2020 which underpins an ECHR right, falls within scope of the non-diminution commitment in Windsor Framework Article 2. </w:t>
      </w:r>
    </w:p>
    <w:p w14:paraId="2455C87E" w14:textId="77777777" w:rsidR="00253BD9" w:rsidRDefault="00253BD9" w:rsidP="00253BD9">
      <w:pPr>
        <w:pStyle w:val="ListParagraph"/>
        <w:numPr>
          <w:ilvl w:val="0"/>
          <w:numId w:val="0"/>
        </w:numPr>
        <w:ind w:left="720"/>
      </w:pPr>
    </w:p>
    <w:p w14:paraId="289E36A2" w14:textId="1C603F5C" w:rsidR="00440068" w:rsidRPr="004D47D9" w:rsidRDefault="000A2CCE" w:rsidP="005838C3">
      <w:pPr>
        <w:pStyle w:val="ListParagraph"/>
      </w:pPr>
      <w:r w:rsidRPr="00774254">
        <w:rPr>
          <w:b/>
          <w:bCs/>
        </w:rPr>
        <w:t>The NIHRC considers that, a</w:t>
      </w:r>
      <w:r w:rsidR="006877AA" w:rsidRPr="00774254">
        <w:rPr>
          <w:b/>
          <w:bCs/>
        </w:rPr>
        <w:t>s a fundamental right, the right to personal data protection would fall within the scope of “civil rights” under the Belfast (Good Friday) Agreement. Further, as a</w:t>
      </w:r>
      <w:r w:rsidR="00951928" w:rsidRPr="00774254">
        <w:rPr>
          <w:b/>
          <w:bCs/>
        </w:rPr>
        <w:t>n essential element</w:t>
      </w:r>
      <w:r w:rsidR="006877AA" w:rsidRPr="00774254">
        <w:rPr>
          <w:b/>
          <w:bCs/>
        </w:rPr>
        <w:t xml:space="preserve"> of the right to respect for private and family life in Article 8 ECHR, any right to personal data protection afforded by EU law, </w:t>
      </w:r>
      <w:r w:rsidR="00C8516C" w:rsidRPr="00774254">
        <w:rPr>
          <w:b/>
          <w:bCs/>
        </w:rPr>
        <w:t xml:space="preserve">by </w:t>
      </w:r>
      <w:r w:rsidR="006877AA" w:rsidRPr="00774254">
        <w:rPr>
          <w:b/>
          <w:bCs/>
        </w:rPr>
        <w:t>which the UK was bound on 31 December 2020, falls within the scope of the non-diminution commitment in Windsor Framework Article 2.</w:t>
      </w:r>
    </w:p>
    <w:p w14:paraId="58A2B134" w14:textId="77777777" w:rsidR="00440068" w:rsidRPr="004D47D9" w:rsidRDefault="00440068" w:rsidP="00440068">
      <w:pPr>
        <w:pStyle w:val="ListParagraph"/>
        <w:numPr>
          <w:ilvl w:val="0"/>
          <w:numId w:val="0"/>
        </w:numPr>
        <w:ind w:left="1440"/>
      </w:pPr>
    </w:p>
    <w:bookmarkEnd w:id="8"/>
    <w:p w14:paraId="7474F540" w14:textId="6CEEFD37" w:rsidR="00440068" w:rsidRDefault="00440068" w:rsidP="00335373">
      <w:pPr>
        <w:pStyle w:val="ListParagraph"/>
      </w:pPr>
      <w:r w:rsidRPr="004D47D9">
        <w:lastRenderedPageBreak/>
        <w:t>The definition of EU law within the UK-EU Withdrawal Agreement includes the EU Treaties, which encompasses the EU Charter of Fundamental Rights.</w:t>
      </w:r>
      <w:r w:rsidRPr="004D47D9">
        <w:rPr>
          <w:rStyle w:val="FootnoteReference"/>
        </w:rPr>
        <w:footnoteReference w:id="27"/>
      </w:r>
      <w:r w:rsidRPr="004D47D9">
        <w:t xml:space="preserve"> </w:t>
      </w:r>
      <w:r w:rsidR="00FC446A">
        <w:t>UK Courts have recently confirmed the continu</w:t>
      </w:r>
      <w:r w:rsidR="00821FB1">
        <w:t>ing</w:t>
      </w:r>
      <w:r w:rsidR="00FC446A">
        <w:t xml:space="preserve"> relevance of the </w:t>
      </w:r>
      <w:r w:rsidR="00037775">
        <w:t>EU Charter of Fundamental Rights</w:t>
      </w:r>
      <w:r w:rsidR="00603522">
        <w:t xml:space="preserve"> for the interpretation of obligations arising under the UK</w:t>
      </w:r>
      <w:r w:rsidR="006D152B">
        <w:t>-</w:t>
      </w:r>
      <w:r w:rsidR="00603522">
        <w:t>EU Withdrawal Agreement</w:t>
      </w:r>
      <w:r w:rsidR="00037775">
        <w:t>.</w:t>
      </w:r>
      <w:r w:rsidR="00037775">
        <w:rPr>
          <w:rStyle w:val="FootnoteReference"/>
        </w:rPr>
        <w:footnoteReference w:id="28"/>
      </w:r>
      <w:r w:rsidRPr="004D47D9">
        <w:t xml:space="preserve"> </w:t>
      </w:r>
    </w:p>
    <w:p w14:paraId="52043164" w14:textId="77777777" w:rsidR="00C2392B" w:rsidRDefault="00C2392B" w:rsidP="008D33B5">
      <w:pPr>
        <w:pStyle w:val="NIHRC"/>
      </w:pPr>
    </w:p>
    <w:p w14:paraId="7A4EDAF8" w14:textId="3D1380A5" w:rsidR="00C2392B" w:rsidRPr="006553FF" w:rsidRDefault="00C2392B" w:rsidP="00C2392B">
      <w:pPr>
        <w:pStyle w:val="Heading2"/>
      </w:pPr>
      <w:bookmarkStart w:id="9" w:name="_Toc190093245"/>
      <w:r w:rsidRPr="006553FF">
        <w:t xml:space="preserve">EU </w:t>
      </w:r>
      <w:r w:rsidR="00A44437">
        <w:t xml:space="preserve">Legal Framework for </w:t>
      </w:r>
      <w:r w:rsidRPr="006553FF">
        <w:t>Data Protection</w:t>
      </w:r>
      <w:bookmarkEnd w:id="9"/>
      <w:r w:rsidRPr="006553FF">
        <w:t xml:space="preserve"> </w:t>
      </w:r>
    </w:p>
    <w:p w14:paraId="613F209E" w14:textId="77777777" w:rsidR="00891869" w:rsidRDefault="00891869" w:rsidP="00C2392B">
      <w:pPr>
        <w:ind w:left="720" w:hanging="720"/>
      </w:pPr>
    </w:p>
    <w:p w14:paraId="1B96E6AB" w14:textId="7346DE16" w:rsidR="00891869" w:rsidRDefault="00891869" w:rsidP="00891869">
      <w:pPr>
        <w:pStyle w:val="ListParagraph"/>
      </w:pPr>
      <w:r w:rsidRPr="006553FF">
        <w:t xml:space="preserve">The right to data protection is enshrined in Article 7 and Article 8 of the EU Charter of Fundamental Rights. Article 7 of the EU Charter of </w:t>
      </w:r>
      <w:r w:rsidR="001E1A6F">
        <w:t xml:space="preserve">Fundamental Rights </w:t>
      </w:r>
      <w:r w:rsidRPr="006553FF">
        <w:t>corresponds to Article 8</w:t>
      </w:r>
      <w:r w:rsidR="00FA2016">
        <w:t xml:space="preserve"> of the</w:t>
      </w:r>
      <w:r w:rsidRPr="006553FF">
        <w:t xml:space="preserve"> ECHR and guarantees the right to respect to private life, including correspondence, as well as protection from interference with these rights by a public authority except in limited circumstances. Article 8 of the EU Charter of Fundamental Rights guarantees everyone the right to protection of their personal data and </w:t>
      </w:r>
      <w:r w:rsidR="005607B2">
        <w:t>requires</w:t>
      </w:r>
      <w:r w:rsidR="005607B2" w:rsidRPr="006553FF">
        <w:t xml:space="preserve"> </w:t>
      </w:r>
      <w:r w:rsidRPr="006553FF">
        <w:t>that personal data must be processed fairly, for specified purposes and on the basis of consent or some other legitimate basis laid down by law.</w:t>
      </w:r>
      <w:r w:rsidRPr="006553FF">
        <w:rPr>
          <w:rStyle w:val="FootnoteReference"/>
        </w:rPr>
        <w:footnoteReference w:id="29"/>
      </w:r>
      <w:r w:rsidRPr="006553FF">
        <w:t xml:space="preserve"> </w:t>
      </w:r>
      <w:r w:rsidR="00DA7E0D">
        <w:t xml:space="preserve">All relevant EU data protection rules must be </w:t>
      </w:r>
      <w:r w:rsidR="00442076">
        <w:t>inter</w:t>
      </w:r>
      <w:r w:rsidR="00B93481">
        <w:t xml:space="preserve">preted in light of these obligations. </w:t>
      </w:r>
    </w:p>
    <w:p w14:paraId="7089C16C" w14:textId="77777777" w:rsidR="00891869" w:rsidRDefault="00891869" w:rsidP="00891869">
      <w:pPr>
        <w:pStyle w:val="ListParagraph"/>
        <w:numPr>
          <w:ilvl w:val="0"/>
          <w:numId w:val="0"/>
        </w:numPr>
        <w:ind w:left="720"/>
      </w:pPr>
    </w:p>
    <w:p w14:paraId="7D409965" w14:textId="77777777" w:rsidR="00B93481" w:rsidRDefault="00891869" w:rsidP="00B93481">
      <w:pPr>
        <w:pStyle w:val="ListParagraph"/>
      </w:pPr>
      <w:r>
        <w:t>The right to data protection is given effect in a number of EU measures</w:t>
      </w:r>
      <w:r w:rsidR="00BD67D5">
        <w:t>.</w:t>
      </w:r>
      <w:r>
        <w:t xml:space="preserve"> </w:t>
      </w:r>
      <w:r w:rsidR="00BD67D5" w:rsidRPr="006553FF">
        <w:t>The main EU law laying down rules for the protection of personal data is the EU General Data Protection Regulation (EU GDPR).</w:t>
      </w:r>
      <w:r w:rsidR="00BD67D5" w:rsidRPr="006553FF">
        <w:rPr>
          <w:rStyle w:val="FootnoteReference"/>
        </w:rPr>
        <w:footnoteReference w:id="30"/>
      </w:r>
      <w:r w:rsidR="00BD67D5" w:rsidRPr="006553FF">
        <w:t xml:space="preserve"> </w:t>
      </w:r>
      <w:r w:rsidR="00B93481">
        <w:t>The EU GDPR is clear that “the protection of natural persons in relation to the processing of personal data is a fundamental right”.</w:t>
      </w:r>
      <w:r w:rsidR="00B93481">
        <w:rPr>
          <w:rStyle w:val="FootnoteReference"/>
        </w:rPr>
        <w:footnoteReference w:id="31"/>
      </w:r>
    </w:p>
    <w:p w14:paraId="12C4B391" w14:textId="77777777" w:rsidR="00B93481" w:rsidRDefault="00B93481" w:rsidP="00B93481">
      <w:pPr>
        <w:pStyle w:val="ListParagraph"/>
        <w:numPr>
          <w:ilvl w:val="0"/>
          <w:numId w:val="0"/>
        </w:numPr>
        <w:ind w:left="720"/>
      </w:pPr>
    </w:p>
    <w:p w14:paraId="40A78BB6" w14:textId="3249BD4A" w:rsidR="00BD67D5" w:rsidRPr="006553FF" w:rsidRDefault="00BD67D5" w:rsidP="00BD67D5">
      <w:pPr>
        <w:pStyle w:val="ListParagraph"/>
      </w:pPr>
      <w:r>
        <w:t xml:space="preserve">The </w:t>
      </w:r>
      <w:r w:rsidRPr="006553FF">
        <w:t xml:space="preserve">EU GDPR sets out in detail the rights of data subjects (Chapter III); the obligations to protect fundamental rights placed on those processing personal data (Chapter IV); and the principles that </w:t>
      </w:r>
      <w:r w:rsidRPr="006553FF">
        <w:lastRenderedPageBreak/>
        <w:t>govern the handling of personal data (Chapter II), which include lawfulness, fairness and transparency.</w:t>
      </w:r>
      <w:r w:rsidRPr="006553FF">
        <w:rPr>
          <w:rStyle w:val="FootnoteReference"/>
        </w:rPr>
        <w:footnoteReference w:id="32"/>
      </w:r>
    </w:p>
    <w:p w14:paraId="76A794C3" w14:textId="77777777" w:rsidR="00BD67D5" w:rsidRPr="006553FF" w:rsidRDefault="00BD67D5" w:rsidP="00BD67D5">
      <w:pPr>
        <w:rPr>
          <w:rFonts w:ascii="Verdana" w:hAnsi="Verdana"/>
        </w:rPr>
      </w:pPr>
    </w:p>
    <w:p w14:paraId="5E0F3309" w14:textId="59BDCEE2" w:rsidR="00BD67D5" w:rsidRDefault="00BD67D5" w:rsidP="002E6E30">
      <w:pPr>
        <w:pStyle w:val="ListParagraph"/>
      </w:pPr>
      <w:r>
        <w:t xml:space="preserve">The </w:t>
      </w:r>
      <w:r w:rsidRPr="006553FF">
        <w:t>EU GDPR also outlines the duty of each Member State to provide for an independent supervisory authority responsible for monitoring the application of the Regulation (Chapter VI).  It sets out the means for ensuring the cooperation, consistency and mutual assistance between supervisory authorities in the EU tasked with protecting individuals’ personal data (Chapter VII).  EU GDPR also outlines the provisions for remedies, liability and penalties for breaches of the rules on data protection (Chapter VIII), among other provisions.</w:t>
      </w:r>
    </w:p>
    <w:p w14:paraId="1576A5A8" w14:textId="77777777" w:rsidR="00440068" w:rsidRPr="006553FF" w:rsidRDefault="00440068" w:rsidP="00B93481"/>
    <w:p w14:paraId="03BDD99A" w14:textId="6C8D1A95" w:rsidR="00440068" w:rsidRPr="006553FF" w:rsidRDefault="00440068" w:rsidP="002E6E30">
      <w:pPr>
        <w:pStyle w:val="ListParagraph"/>
      </w:pPr>
      <w:r w:rsidRPr="006553FF">
        <w:t>As a Regulation, the EU GDPR is a binding legislative act that must be applied in its entirety across the EU in all Member States. Regulations are directly applicable without the need for them to be incorporated in domestic law.</w:t>
      </w:r>
    </w:p>
    <w:p w14:paraId="2551ABEF" w14:textId="77777777" w:rsidR="00440068" w:rsidRPr="006553FF" w:rsidRDefault="00440068" w:rsidP="00440068">
      <w:pPr>
        <w:rPr>
          <w:rFonts w:ascii="Verdana" w:hAnsi="Verdana"/>
        </w:rPr>
      </w:pPr>
    </w:p>
    <w:p w14:paraId="2D729C41" w14:textId="001A740A" w:rsidR="00440068" w:rsidRPr="006553FF" w:rsidRDefault="00440068" w:rsidP="005838C3">
      <w:pPr>
        <w:pStyle w:val="ListParagraph"/>
      </w:pPr>
      <w:r w:rsidRPr="006553FF">
        <w:t xml:space="preserve">The UK further implemented </w:t>
      </w:r>
      <w:r w:rsidR="00503422">
        <w:t xml:space="preserve">the </w:t>
      </w:r>
      <w:r w:rsidRPr="006553FF">
        <w:t xml:space="preserve">EU GDPR in domestic law with the Data Protection Act 2018. Section 1(2) of the Data Protection Act 2018 states that most processing of data is governed by </w:t>
      </w:r>
      <w:r w:rsidR="00503422">
        <w:t xml:space="preserve">the </w:t>
      </w:r>
      <w:r w:rsidRPr="006553FF">
        <w:t>EU GDPR.</w:t>
      </w:r>
      <w:r w:rsidRPr="006553FF">
        <w:rPr>
          <w:rStyle w:val="FootnoteReference"/>
        </w:rPr>
        <w:footnoteReference w:id="33"/>
      </w:r>
      <w:r w:rsidRPr="006553FF">
        <w:t xml:space="preserve"> The UK High Court has confirmed that the UK GDPR is the retained version of the EU GDPR with amendments made to secure its political effectiveness,</w:t>
      </w:r>
      <w:r w:rsidRPr="006553FF">
        <w:rPr>
          <w:rStyle w:val="FootnoteReference"/>
        </w:rPr>
        <w:footnoteReference w:id="34"/>
      </w:r>
      <w:r w:rsidRPr="006553FF">
        <w:t xml:space="preserve"> read together with the Data Protection Act 2018.</w:t>
      </w:r>
      <w:r w:rsidRPr="006553FF">
        <w:rPr>
          <w:rStyle w:val="FootnoteReference"/>
        </w:rPr>
        <w:footnoteReference w:id="35"/>
      </w:r>
      <w:r w:rsidRPr="006553FF">
        <w:t xml:space="preserve"> </w:t>
      </w:r>
      <w:r w:rsidR="00EA3AE7">
        <w:t xml:space="preserve">Currently, </w:t>
      </w:r>
      <w:r w:rsidR="000A3AFF">
        <w:t xml:space="preserve">the </w:t>
      </w:r>
      <w:r w:rsidR="00EA3AE7">
        <w:t xml:space="preserve">UK GDPR aligns with the EU GDPR. </w:t>
      </w:r>
    </w:p>
    <w:p w14:paraId="7F86F857" w14:textId="77777777" w:rsidR="00935931" w:rsidRDefault="00935931" w:rsidP="00935931"/>
    <w:p w14:paraId="32777EF3" w14:textId="5ACEFD0F" w:rsidR="005838C3" w:rsidRDefault="005838C3" w:rsidP="005838C3">
      <w:pPr>
        <w:pStyle w:val="ListParagraph"/>
      </w:pPr>
      <w:r w:rsidRPr="006553FF">
        <w:t xml:space="preserve">The NIHRC </w:t>
      </w:r>
      <w:r>
        <w:t>considers</w:t>
      </w:r>
      <w:r w:rsidRPr="006553FF">
        <w:t xml:space="preserve"> that the EU GDPR fall</w:t>
      </w:r>
      <w:r w:rsidR="0045739D">
        <w:t>s</w:t>
      </w:r>
      <w:r w:rsidRPr="006553FF">
        <w:t xml:space="preserve"> within the scope of Windsor Framework Article 2 and any legislative proposal that seeks to amend the data protection regime in </w:t>
      </w:r>
      <w:r w:rsidR="00F67D8B">
        <w:t>Northern Ireland</w:t>
      </w:r>
      <w:r w:rsidRPr="006553FF">
        <w:t xml:space="preserve"> must comply with the principle of non-diminution under Windsor Framework Article 2.</w:t>
      </w:r>
      <w:r w:rsidRPr="006553FF">
        <w:rPr>
          <w:rStyle w:val="FootnoteReference"/>
        </w:rPr>
        <w:footnoteReference w:id="36"/>
      </w:r>
      <w:r w:rsidRPr="006553FF">
        <w:t xml:space="preserve"> </w:t>
      </w:r>
    </w:p>
    <w:p w14:paraId="53356711" w14:textId="77777777" w:rsidR="00B93481" w:rsidRPr="006553FF" w:rsidRDefault="00B93481" w:rsidP="00B93481">
      <w:pPr>
        <w:rPr>
          <w:rFonts w:ascii="Verdana" w:hAnsi="Verdana"/>
        </w:rPr>
      </w:pPr>
    </w:p>
    <w:p w14:paraId="719BB4F9" w14:textId="5ACD5260" w:rsidR="00440068" w:rsidRDefault="00B93481" w:rsidP="00072233">
      <w:pPr>
        <w:pStyle w:val="ListParagraph"/>
      </w:pPr>
      <w:r w:rsidRPr="006553FF">
        <w:lastRenderedPageBreak/>
        <w:t>Further to the EU GDPR, the EU has adopted additional laws that set out rules regarding the protection of personal data in specific contexts. These include the EU Data Protection Law Enforcement Directive,</w:t>
      </w:r>
      <w:r w:rsidRPr="006553FF">
        <w:rPr>
          <w:rStyle w:val="FootnoteReference"/>
        </w:rPr>
        <w:footnoteReference w:id="37"/>
      </w:r>
      <w:r w:rsidRPr="006553FF">
        <w:t xml:space="preserve"> the EU E-Privacy Directive</w:t>
      </w:r>
      <w:r w:rsidRPr="006553FF">
        <w:rPr>
          <w:rStyle w:val="FootnoteReference"/>
        </w:rPr>
        <w:footnoteReference w:id="38"/>
      </w:r>
      <w:r w:rsidRPr="006553FF">
        <w:t xml:space="preserve"> and rules regarding the processing of personal data by EU bodies and institutions.</w:t>
      </w:r>
      <w:r w:rsidRPr="006553FF">
        <w:rPr>
          <w:rStyle w:val="FootnoteReference"/>
        </w:rPr>
        <w:footnoteReference w:id="39"/>
      </w:r>
      <w:r w:rsidRPr="006553FF">
        <w:t xml:space="preserve"> </w:t>
      </w:r>
    </w:p>
    <w:p w14:paraId="7A933F37" w14:textId="77777777" w:rsidR="0079776E" w:rsidRDefault="0079776E" w:rsidP="0079776E">
      <w:pPr>
        <w:pStyle w:val="ListParagraph"/>
        <w:numPr>
          <w:ilvl w:val="0"/>
          <w:numId w:val="0"/>
        </w:numPr>
        <w:ind w:left="720"/>
      </w:pPr>
    </w:p>
    <w:p w14:paraId="36B5E15B" w14:textId="63160DD3" w:rsidR="0079776E" w:rsidRDefault="00A31CAC" w:rsidP="00072233">
      <w:pPr>
        <w:pStyle w:val="ListParagraph"/>
      </w:pPr>
      <w:r>
        <w:t>The EU E-Privacy Directiv</w:t>
      </w:r>
      <w:r w:rsidR="00B76457">
        <w:t xml:space="preserve">e </w:t>
      </w:r>
      <w:r w:rsidR="00EE5493" w:rsidRPr="00EE5493">
        <w:t xml:space="preserve">provides harmonisation </w:t>
      </w:r>
      <w:r w:rsidR="00EE5493">
        <w:t>across</w:t>
      </w:r>
      <w:r w:rsidR="00EE5493" w:rsidRPr="00EE5493">
        <w:t xml:space="preserve"> </w:t>
      </w:r>
      <w:r w:rsidR="00EE5493">
        <w:t xml:space="preserve">the EU </w:t>
      </w:r>
      <w:r w:rsidR="00EE5493" w:rsidRPr="00EE5493">
        <w:t xml:space="preserve">Member States </w:t>
      </w:r>
      <w:r w:rsidR="00EE5493">
        <w:t xml:space="preserve">in terms of the </w:t>
      </w:r>
      <w:r w:rsidR="00EE5493" w:rsidRPr="00EE5493">
        <w:t>require</w:t>
      </w:r>
      <w:r w:rsidR="00EE5493">
        <w:t>ment</w:t>
      </w:r>
      <w:r w:rsidR="00EE5493" w:rsidRPr="00EE5493">
        <w:t xml:space="preserve"> to ensure an equivalent level of protection of fundamental rights and freedoms, in particular the right to privacy and the right to confidentiality, with respect to the processing of personal data in the electronic communications sector</w:t>
      </w:r>
      <w:r w:rsidR="00EE5493">
        <w:t>.</w:t>
      </w:r>
      <w:r w:rsidR="00EE5493">
        <w:rPr>
          <w:rStyle w:val="FootnoteReference"/>
        </w:rPr>
        <w:footnoteReference w:id="40"/>
      </w:r>
      <w:r w:rsidR="00EE5493" w:rsidRPr="00EE5493">
        <w:t xml:space="preserve"> </w:t>
      </w:r>
      <w:r w:rsidR="00593BBA">
        <w:t>Alongside the EU GDPR, t</w:t>
      </w:r>
      <w:r w:rsidR="00B06811">
        <w:t xml:space="preserve">he </w:t>
      </w:r>
      <w:r w:rsidR="00593BBA">
        <w:t xml:space="preserve">E-Privacy </w:t>
      </w:r>
      <w:r w:rsidR="00B06811">
        <w:t xml:space="preserve">Directive </w:t>
      </w:r>
      <w:r w:rsidR="00593BBA">
        <w:t xml:space="preserve">protects the right to data protection </w:t>
      </w:r>
      <w:r w:rsidR="00B06811">
        <w:t xml:space="preserve">by </w:t>
      </w:r>
      <w:r w:rsidR="000E4278">
        <w:t xml:space="preserve">providing </w:t>
      </w:r>
      <w:r w:rsidR="0070322C">
        <w:t>rights</w:t>
      </w:r>
      <w:r w:rsidR="000E4278">
        <w:t xml:space="preserve"> holders </w:t>
      </w:r>
      <w:r w:rsidR="493A6B14">
        <w:t xml:space="preserve">with </w:t>
      </w:r>
      <w:r w:rsidR="000E4278">
        <w:t xml:space="preserve">specific privacy rights in the context of marketing calls, emails, </w:t>
      </w:r>
      <w:r w:rsidR="00593BBA">
        <w:t>cookies</w:t>
      </w:r>
      <w:r w:rsidR="000E4278">
        <w:t xml:space="preserve"> and similar </w:t>
      </w:r>
      <w:r w:rsidR="00593BBA">
        <w:t xml:space="preserve">technologies. </w:t>
      </w:r>
      <w:r w:rsidR="0017502A">
        <w:t xml:space="preserve">The UK transposed the obligations </w:t>
      </w:r>
      <w:r w:rsidR="006A7758">
        <w:t>via provisions including the Privacy and Electronic Communications (EC Directive) Regulations 2003</w:t>
      </w:r>
      <w:r w:rsidR="00B02131">
        <w:t xml:space="preserve">. </w:t>
      </w:r>
      <w:r w:rsidR="00401521">
        <w:t xml:space="preserve">As the </w:t>
      </w:r>
      <w:r w:rsidR="2B0C0BA0">
        <w:t>EU</w:t>
      </w:r>
      <w:r w:rsidR="00401521">
        <w:t xml:space="preserve"> E-Privacy Directive lays down rules for the protection of the fundamental right to privacy in specific contexts, the NIHRC considers it to fall within the relevant chapter of the </w:t>
      </w:r>
      <w:r w:rsidR="00774254">
        <w:t xml:space="preserve">Belfast (Good Friday) Agreement </w:t>
      </w:r>
      <w:r w:rsidR="00401521">
        <w:t xml:space="preserve">and therefore within scope of Windsor </w:t>
      </w:r>
      <w:r w:rsidR="00E731A8">
        <w:t>F</w:t>
      </w:r>
      <w:r w:rsidR="00401521">
        <w:t>ramework Article 2.</w:t>
      </w:r>
    </w:p>
    <w:p w14:paraId="0DCB6B1F" w14:textId="77777777" w:rsidR="005B1E3C" w:rsidRPr="006553FF" w:rsidRDefault="005B1E3C" w:rsidP="005B1E3C">
      <w:pPr>
        <w:pStyle w:val="ListParagraph"/>
        <w:numPr>
          <w:ilvl w:val="0"/>
          <w:numId w:val="0"/>
        </w:numPr>
        <w:ind w:left="720"/>
      </w:pPr>
    </w:p>
    <w:p w14:paraId="7D7ABA6D" w14:textId="50DCE0D2" w:rsidR="00440068" w:rsidRDefault="00440068" w:rsidP="00440068">
      <w:pPr>
        <w:pStyle w:val="ListParagraph"/>
      </w:pPr>
      <w:r w:rsidRPr="006553FF">
        <w:t xml:space="preserve">The EU Data Protection and Law Enforcement Directive lays down safeguards for the protection of personal data in the context of law enforcement that are without prejudice to any of the EU GDPR rules, but instead </w:t>
      </w:r>
      <w:r>
        <w:t>extend</w:t>
      </w:r>
      <w:r w:rsidR="0A38F86A">
        <w:t>s</w:t>
      </w:r>
      <w:r w:rsidRPr="006553FF">
        <w:t xml:space="preserve"> them to the field of law enforcement. The UK took additional steps to incorporate the EU Data Protection and Law Enforcement Directive into UK law via Part 3 of the Data </w:t>
      </w:r>
      <w:r w:rsidRPr="006553FF">
        <w:lastRenderedPageBreak/>
        <w:t>Protection Act 2018, which sets out rules on the processing of personal data for criminal law enforcement purposes.</w:t>
      </w:r>
    </w:p>
    <w:p w14:paraId="4B467925" w14:textId="77777777" w:rsidR="005B1E3C" w:rsidRDefault="005B1E3C" w:rsidP="005B1E3C">
      <w:pPr>
        <w:pStyle w:val="ListParagraph"/>
        <w:numPr>
          <w:ilvl w:val="0"/>
          <w:numId w:val="0"/>
        </w:numPr>
        <w:ind w:left="720"/>
      </w:pPr>
    </w:p>
    <w:p w14:paraId="43CC11F6" w14:textId="502EF8D6" w:rsidR="005B1E3C" w:rsidRDefault="000C2A4B" w:rsidP="005B1E3C">
      <w:pPr>
        <w:pStyle w:val="ListParagraph"/>
      </w:pPr>
      <w:r>
        <w:t>For capacity reasons, t</w:t>
      </w:r>
      <w:r w:rsidR="00703CDF" w:rsidRPr="00EF01DC">
        <w:t xml:space="preserve">his submission focuses on the </w:t>
      </w:r>
      <w:r w:rsidR="009873C9" w:rsidRPr="00EF01DC">
        <w:t xml:space="preserve">EU GDPR in particular and does not include analysis on the extent to which the </w:t>
      </w:r>
      <w:r w:rsidR="005F02F8" w:rsidRPr="005F02F8">
        <w:t xml:space="preserve">Data </w:t>
      </w:r>
      <w:r w:rsidR="00C26223">
        <w:t>(Use and Access) Bill [HL]</w:t>
      </w:r>
      <w:r w:rsidR="005F02F8" w:rsidRPr="005F02F8">
        <w:t xml:space="preserve"> </w:t>
      </w:r>
      <w:r w:rsidR="00EF01DC" w:rsidRPr="00EF01DC">
        <w:t xml:space="preserve">complies with data protection rules and safeguards for rights holders contained in the other EU measures outlined above. </w:t>
      </w:r>
    </w:p>
    <w:p w14:paraId="17E21DC4" w14:textId="77777777" w:rsidR="00F14A0C" w:rsidRDefault="00F14A0C" w:rsidP="00F14A0C">
      <w:pPr>
        <w:pStyle w:val="ListParagraph"/>
        <w:numPr>
          <w:ilvl w:val="0"/>
          <w:numId w:val="0"/>
        </w:numPr>
        <w:ind w:left="720"/>
      </w:pPr>
    </w:p>
    <w:p w14:paraId="4560548F" w14:textId="458643A5" w:rsidR="001A1B7A" w:rsidRDefault="00C264C4" w:rsidP="001F6F09">
      <w:pPr>
        <w:pStyle w:val="ListParagraph"/>
        <w:rPr>
          <w:b/>
          <w:bCs/>
        </w:rPr>
      </w:pPr>
      <w:bookmarkStart w:id="12" w:name="_Hlk152771084"/>
      <w:r>
        <w:rPr>
          <w:b/>
          <w:bCs/>
        </w:rPr>
        <w:t xml:space="preserve">The NIHRC recommends </w:t>
      </w:r>
      <w:r w:rsidR="001A1B7A">
        <w:rPr>
          <w:b/>
          <w:bCs/>
        </w:rPr>
        <w:t xml:space="preserve">that Members enquire </w:t>
      </w:r>
      <w:r>
        <w:rPr>
          <w:b/>
          <w:bCs/>
        </w:rPr>
        <w:t xml:space="preserve">whether or to what extent compliance with Windsor Framework Article 2 was considered by the Secretary of State before introduction of the Bill </w:t>
      </w:r>
      <w:r w:rsidR="00C12A6B">
        <w:rPr>
          <w:b/>
          <w:bCs/>
        </w:rPr>
        <w:t xml:space="preserve">and if he will provide a </w:t>
      </w:r>
      <w:r w:rsidR="00E07A76">
        <w:rPr>
          <w:b/>
          <w:bCs/>
        </w:rPr>
        <w:t>detailed</w:t>
      </w:r>
      <w:r w:rsidR="00374E0B">
        <w:rPr>
          <w:b/>
          <w:bCs/>
        </w:rPr>
        <w:t>,</w:t>
      </w:r>
      <w:r w:rsidR="00E07A76">
        <w:rPr>
          <w:b/>
          <w:bCs/>
        </w:rPr>
        <w:t xml:space="preserve"> written assessment.</w:t>
      </w:r>
    </w:p>
    <w:p w14:paraId="1B98BE74" w14:textId="77777777" w:rsidR="001A1B7A" w:rsidRPr="009A6E0B" w:rsidRDefault="001A1B7A" w:rsidP="009A6E0B">
      <w:pPr>
        <w:pStyle w:val="ListParagraph"/>
        <w:numPr>
          <w:ilvl w:val="0"/>
          <w:numId w:val="0"/>
        </w:numPr>
        <w:ind w:left="720"/>
        <w:rPr>
          <w:b/>
        </w:rPr>
      </w:pPr>
    </w:p>
    <w:p w14:paraId="30324CDA" w14:textId="318803D0" w:rsidR="004A1733" w:rsidRDefault="00752A3D" w:rsidP="001F6F09">
      <w:pPr>
        <w:pStyle w:val="ListParagraph"/>
        <w:rPr>
          <w:b/>
          <w:bCs/>
        </w:rPr>
      </w:pPr>
      <w:r>
        <w:rPr>
          <w:b/>
          <w:bCs/>
        </w:rPr>
        <w:t xml:space="preserve">The NIHRC recommends </w:t>
      </w:r>
      <w:r w:rsidR="004450EE">
        <w:rPr>
          <w:b/>
          <w:bCs/>
        </w:rPr>
        <w:t xml:space="preserve">that Members enquire </w:t>
      </w:r>
      <w:r w:rsidR="00FC3FA2">
        <w:rPr>
          <w:b/>
          <w:bCs/>
        </w:rPr>
        <w:t xml:space="preserve">whether or to what extent </w:t>
      </w:r>
      <w:r w:rsidR="00ED3F53">
        <w:rPr>
          <w:b/>
          <w:bCs/>
        </w:rPr>
        <w:t>the Secretary of State</w:t>
      </w:r>
      <w:r w:rsidR="005B275D">
        <w:rPr>
          <w:b/>
          <w:bCs/>
        </w:rPr>
        <w:t xml:space="preserve"> agrees with the advice of the </w:t>
      </w:r>
      <w:r w:rsidR="00C264C4">
        <w:rPr>
          <w:b/>
          <w:bCs/>
        </w:rPr>
        <w:t>Dedicated Mechanism that:</w:t>
      </w:r>
      <w:r>
        <w:rPr>
          <w:b/>
          <w:bCs/>
        </w:rPr>
        <w:t xml:space="preserve"> </w:t>
      </w:r>
    </w:p>
    <w:p w14:paraId="14BB1533" w14:textId="77777777" w:rsidR="004A1733" w:rsidRPr="009A6E0B" w:rsidRDefault="004A1733" w:rsidP="009A6E0B">
      <w:pPr>
        <w:pStyle w:val="ListParagraph"/>
        <w:numPr>
          <w:ilvl w:val="0"/>
          <w:numId w:val="0"/>
        </w:numPr>
        <w:ind w:left="720"/>
        <w:rPr>
          <w:b/>
        </w:rPr>
      </w:pPr>
    </w:p>
    <w:p w14:paraId="187AEF90" w14:textId="3FEA9FE4" w:rsidR="007B00BA" w:rsidRPr="009A6E0B" w:rsidRDefault="00265B25" w:rsidP="009A6E0B">
      <w:pPr>
        <w:pStyle w:val="ListParagraph"/>
        <w:numPr>
          <w:ilvl w:val="2"/>
          <w:numId w:val="26"/>
        </w:numPr>
        <w:ind w:left="1134"/>
        <w:rPr>
          <w:b/>
        </w:rPr>
      </w:pPr>
      <w:r>
        <w:rPr>
          <w:b/>
        </w:rPr>
        <w:t>in line with the reason</w:t>
      </w:r>
      <w:r w:rsidR="002801BD">
        <w:rPr>
          <w:b/>
        </w:rPr>
        <w:t xml:space="preserve">ing of the Court of Appeal in </w:t>
      </w:r>
      <w:r w:rsidR="002801BD" w:rsidRPr="002754E7">
        <w:rPr>
          <w:b/>
          <w:i/>
          <w:iCs/>
        </w:rPr>
        <w:t>Dillon</w:t>
      </w:r>
      <w:r w:rsidR="002801BD">
        <w:rPr>
          <w:b/>
        </w:rPr>
        <w:t xml:space="preserve">, </w:t>
      </w:r>
      <w:r w:rsidR="00BC200F" w:rsidRPr="002801BD">
        <w:rPr>
          <w:b/>
        </w:rPr>
        <w:t>the</w:t>
      </w:r>
      <w:r w:rsidR="00BC200F" w:rsidRPr="009A6E0B">
        <w:rPr>
          <w:b/>
        </w:rPr>
        <w:t xml:space="preserve"> right to data protection falls within ‘civil rights’ and</w:t>
      </w:r>
      <w:r w:rsidR="00933BFF">
        <w:rPr>
          <w:b/>
        </w:rPr>
        <w:t xml:space="preserve"> ECHR</w:t>
      </w:r>
      <w:r w:rsidR="008806B8">
        <w:rPr>
          <w:b/>
        </w:rPr>
        <w:t xml:space="preserve"> rights and</w:t>
      </w:r>
      <w:r w:rsidR="00BC200F" w:rsidRPr="009A6E0B">
        <w:rPr>
          <w:b/>
        </w:rPr>
        <w:t xml:space="preserve"> therefore within the Rights, Safeguards and Equality of Opportunity chapter of the Belfast (Good Friday) Agreement</w:t>
      </w:r>
      <w:r w:rsidR="00C34811">
        <w:rPr>
          <w:b/>
          <w:bCs/>
        </w:rPr>
        <w:t>;</w:t>
      </w:r>
    </w:p>
    <w:p w14:paraId="72818C3C" w14:textId="5C08F94F" w:rsidR="00BC200F" w:rsidRDefault="005D2F0B" w:rsidP="009A6E0B">
      <w:pPr>
        <w:pStyle w:val="ListParagraph"/>
        <w:numPr>
          <w:ilvl w:val="2"/>
          <w:numId w:val="26"/>
        </w:numPr>
        <w:ind w:left="1134"/>
        <w:rPr>
          <w:b/>
          <w:bCs/>
        </w:rPr>
      </w:pPr>
      <w:r>
        <w:rPr>
          <w:b/>
          <w:bCs/>
        </w:rPr>
        <w:t xml:space="preserve">EU law </w:t>
      </w:r>
      <w:r w:rsidR="00E07A76">
        <w:rPr>
          <w:b/>
          <w:bCs/>
        </w:rPr>
        <w:t xml:space="preserve">on </w:t>
      </w:r>
      <w:r>
        <w:rPr>
          <w:b/>
          <w:bCs/>
        </w:rPr>
        <w:t xml:space="preserve">data protection </w:t>
      </w:r>
      <w:r w:rsidR="00E07A76">
        <w:rPr>
          <w:b/>
          <w:bCs/>
        </w:rPr>
        <w:t>which was binding on the UK prior to its withdrawal from the EU</w:t>
      </w:r>
      <w:r w:rsidR="00EB3C17">
        <w:rPr>
          <w:b/>
          <w:bCs/>
        </w:rPr>
        <w:t>,</w:t>
      </w:r>
      <w:r w:rsidR="00E07A76">
        <w:rPr>
          <w:b/>
          <w:bCs/>
        </w:rPr>
        <w:t xml:space="preserve"> </w:t>
      </w:r>
      <w:r>
        <w:rPr>
          <w:b/>
          <w:bCs/>
        </w:rPr>
        <w:t xml:space="preserve">underpins </w:t>
      </w:r>
      <w:r w:rsidR="009C1D29">
        <w:rPr>
          <w:b/>
          <w:bCs/>
        </w:rPr>
        <w:t>the commitment to civil rights</w:t>
      </w:r>
      <w:r w:rsidR="00C429D3">
        <w:rPr>
          <w:b/>
          <w:bCs/>
        </w:rPr>
        <w:t xml:space="preserve"> and the ECHR </w:t>
      </w:r>
      <w:r w:rsidR="009C1D29">
        <w:rPr>
          <w:b/>
          <w:bCs/>
        </w:rPr>
        <w:t>in the Belfast (Good Friday) Agreement</w:t>
      </w:r>
      <w:r w:rsidR="001831C0">
        <w:rPr>
          <w:b/>
          <w:bCs/>
        </w:rPr>
        <w:t>;</w:t>
      </w:r>
    </w:p>
    <w:p w14:paraId="102222BF" w14:textId="5E90CC3D" w:rsidR="009C1D29" w:rsidRDefault="00FC3FC5" w:rsidP="009A6E0B">
      <w:pPr>
        <w:pStyle w:val="ListParagraph"/>
        <w:numPr>
          <w:ilvl w:val="2"/>
          <w:numId w:val="26"/>
        </w:numPr>
        <w:ind w:left="1134"/>
        <w:rPr>
          <w:b/>
          <w:bCs/>
        </w:rPr>
      </w:pPr>
      <w:r>
        <w:rPr>
          <w:b/>
          <w:bCs/>
        </w:rPr>
        <w:t>b</w:t>
      </w:r>
      <w:r w:rsidR="008F4A39">
        <w:rPr>
          <w:b/>
          <w:bCs/>
        </w:rPr>
        <w:t xml:space="preserve">y virtue of Windsor Framework Article 2, </w:t>
      </w:r>
      <w:r w:rsidR="00485CD2">
        <w:rPr>
          <w:b/>
          <w:bCs/>
        </w:rPr>
        <w:t xml:space="preserve">the Bill must not </w:t>
      </w:r>
      <w:r w:rsidR="00EB3C17">
        <w:rPr>
          <w:b/>
          <w:bCs/>
        </w:rPr>
        <w:t xml:space="preserve">therefore </w:t>
      </w:r>
      <w:r w:rsidR="00485CD2">
        <w:rPr>
          <w:b/>
          <w:bCs/>
        </w:rPr>
        <w:t xml:space="preserve">diminish rights and safeguards in Northern Ireland below minimum standards set out in </w:t>
      </w:r>
      <w:r w:rsidR="001831C0">
        <w:rPr>
          <w:b/>
          <w:bCs/>
        </w:rPr>
        <w:t xml:space="preserve">relevant </w:t>
      </w:r>
      <w:r w:rsidR="00485CD2">
        <w:rPr>
          <w:b/>
          <w:bCs/>
        </w:rPr>
        <w:t>EU data protection law</w:t>
      </w:r>
      <w:r w:rsidR="001831C0">
        <w:rPr>
          <w:b/>
          <w:bCs/>
        </w:rPr>
        <w:t>, specifically EU GDPR,</w:t>
      </w:r>
      <w:r w:rsidR="00887663">
        <w:rPr>
          <w:b/>
          <w:bCs/>
        </w:rPr>
        <w:t xml:space="preserve"> </w:t>
      </w:r>
      <w:r w:rsidR="00887663" w:rsidRPr="00973F04">
        <w:rPr>
          <w:b/>
          <w:bCs/>
        </w:rPr>
        <w:t>the EU E-Privacy Directive and the EU Data Protection and Law Enforcement Directive</w:t>
      </w:r>
      <w:r w:rsidR="00485CD2">
        <w:rPr>
          <w:b/>
          <w:bCs/>
        </w:rPr>
        <w:t>.</w:t>
      </w:r>
    </w:p>
    <w:p w14:paraId="4A2D9161" w14:textId="24483405" w:rsidR="00567E4F" w:rsidRPr="00AA4747" w:rsidRDefault="00567E4F" w:rsidP="00AA4747">
      <w:pPr>
        <w:rPr>
          <w:b/>
          <w:bCs/>
        </w:rPr>
      </w:pPr>
    </w:p>
    <w:p w14:paraId="62ED80E3" w14:textId="495DE18E" w:rsidR="001F6F09" w:rsidRPr="00973F04" w:rsidRDefault="00EE0EFE" w:rsidP="001F6F09">
      <w:pPr>
        <w:pStyle w:val="ListParagraph"/>
        <w:rPr>
          <w:b/>
          <w:bCs/>
        </w:rPr>
      </w:pPr>
      <w:r>
        <w:rPr>
          <w:b/>
          <w:bCs/>
        </w:rPr>
        <w:t xml:space="preserve">The NIHRC recommends </w:t>
      </w:r>
      <w:r w:rsidR="00481009">
        <w:rPr>
          <w:b/>
          <w:bCs/>
        </w:rPr>
        <w:t xml:space="preserve">that </w:t>
      </w:r>
      <w:r w:rsidR="00DB7C15">
        <w:rPr>
          <w:b/>
          <w:bCs/>
        </w:rPr>
        <w:t xml:space="preserve">Members seek </w:t>
      </w:r>
      <w:r w:rsidR="00481009">
        <w:rPr>
          <w:b/>
          <w:bCs/>
        </w:rPr>
        <w:t>the Secretary of State</w:t>
      </w:r>
      <w:r w:rsidR="00250B2C">
        <w:rPr>
          <w:b/>
          <w:bCs/>
        </w:rPr>
        <w:t>’s</w:t>
      </w:r>
      <w:r w:rsidR="001F6F09" w:rsidRPr="00973F04">
        <w:rPr>
          <w:b/>
          <w:bCs/>
        </w:rPr>
        <w:t xml:space="preserve"> </w:t>
      </w:r>
      <w:r w:rsidR="00DB7C15">
        <w:rPr>
          <w:b/>
          <w:bCs/>
        </w:rPr>
        <w:t xml:space="preserve">written </w:t>
      </w:r>
      <w:r w:rsidR="00250B2C">
        <w:rPr>
          <w:b/>
          <w:bCs/>
        </w:rPr>
        <w:t xml:space="preserve">assessment of </w:t>
      </w:r>
      <w:r w:rsidR="00647C0D">
        <w:rPr>
          <w:b/>
          <w:bCs/>
        </w:rPr>
        <w:t xml:space="preserve">compliance of the Bill’s provisions with minimum rights and safeguards </w:t>
      </w:r>
      <w:r w:rsidR="001F6F09" w:rsidRPr="00973F04">
        <w:rPr>
          <w:b/>
          <w:bCs/>
        </w:rPr>
        <w:t xml:space="preserve">contained in EU GDPR, the EU Data Protection Law Enforcement Directive and the EU E-Privacy Directive. </w:t>
      </w:r>
    </w:p>
    <w:bookmarkEnd w:id="12"/>
    <w:p w14:paraId="5F93CD65" w14:textId="11EEA62C" w:rsidR="523AB253" w:rsidRDefault="523AB253" w:rsidP="523AB253"/>
    <w:p w14:paraId="4798D442" w14:textId="46A687A1" w:rsidR="00EE2F96" w:rsidRPr="006553FF" w:rsidRDefault="003A58E4" w:rsidP="006166CE">
      <w:pPr>
        <w:pStyle w:val="Heading1"/>
      </w:pPr>
      <w:bookmarkStart w:id="13" w:name="_Toc190093246"/>
      <w:r w:rsidRPr="006553FF" w:rsidDel="00D16076">
        <w:t xml:space="preserve">Data </w:t>
      </w:r>
      <w:r w:rsidR="00D16076">
        <w:t>(Use and Access) Bill [HL]</w:t>
      </w:r>
      <w:r w:rsidR="008D3BBF">
        <w:t>: Overview</w:t>
      </w:r>
      <w:bookmarkEnd w:id="13"/>
      <w:r w:rsidR="00EE2F96" w:rsidRPr="006553FF">
        <w:t xml:space="preserve"> </w:t>
      </w:r>
    </w:p>
    <w:p w14:paraId="4CFE5BDC" w14:textId="77777777" w:rsidR="0036065A" w:rsidRPr="006553FF" w:rsidRDefault="0036065A" w:rsidP="0036065A">
      <w:pPr>
        <w:rPr>
          <w:rFonts w:ascii="Verdana" w:hAnsi="Verdana"/>
        </w:rPr>
      </w:pPr>
    </w:p>
    <w:p w14:paraId="34D3867E" w14:textId="59741341" w:rsidR="0036065A" w:rsidRPr="006553FF" w:rsidRDefault="00BC4D50" w:rsidP="003F484E">
      <w:pPr>
        <w:pStyle w:val="Heading2"/>
      </w:pPr>
      <w:bookmarkStart w:id="14" w:name="_Toc190093247"/>
      <w:r w:rsidRPr="006553FF">
        <w:t xml:space="preserve">Background to </w:t>
      </w:r>
      <w:r w:rsidR="003F484E" w:rsidRPr="006553FF">
        <w:t>the</w:t>
      </w:r>
      <w:r w:rsidRPr="006553FF">
        <w:t xml:space="preserve"> </w:t>
      </w:r>
      <w:r w:rsidR="003A58E4" w:rsidRPr="006553FF" w:rsidDel="00D16076">
        <w:t xml:space="preserve">Data </w:t>
      </w:r>
      <w:r w:rsidR="00D16076">
        <w:t>(Use and Access) Bill [HL]</w:t>
      </w:r>
      <w:bookmarkEnd w:id="14"/>
    </w:p>
    <w:p w14:paraId="465EC103" w14:textId="77777777" w:rsidR="0036065A" w:rsidRPr="006553FF" w:rsidRDefault="0036065A" w:rsidP="0036065A">
      <w:pPr>
        <w:rPr>
          <w:rFonts w:ascii="Verdana" w:hAnsi="Verdana"/>
        </w:rPr>
      </w:pPr>
    </w:p>
    <w:p w14:paraId="7EE3E5F0" w14:textId="77777777" w:rsidR="002D4525" w:rsidRDefault="002D4525" w:rsidP="002D4525">
      <w:pPr>
        <w:pStyle w:val="ListParagraph"/>
      </w:pPr>
      <w:r>
        <w:t xml:space="preserve">The </w:t>
      </w:r>
      <w:r w:rsidR="00C354FB">
        <w:t xml:space="preserve">two main pieces of legislation governing data protection in the UK are the UK </w:t>
      </w:r>
      <w:r w:rsidR="00A07354">
        <w:t xml:space="preserve">GDPR and the Data Protection Act 2018. The </w:t>
      </w:r>
      <w:r>
        <w:t xml:space="preserve">full name for </w:t>
      </w:r>
      <w:r w:rsidR="00DA0D4D">
        <w:t>“</w:t>
      </w:r>
      <w:r>
        <w:t>UK GDPR</w:t>
      </w:r>
      <w:r w:rsidR="00DA0D4D">
        <w:t>”</w:t>
      </w:r>
      <w:r>
        <w:t xml:space="preserve"> is </w:t>
      </w:r>
      <w:r w:rsidR="009512A8">
        <w:t>‘</w:t>
      </w:r>
      <w:r>
        <w:t>Regulation (EU) 2016/679 of the European Parliament and of the Council of 27 April 2016 on the protection of natural persons with regard to the processing of personal data and on the free movement of such data (United Kingdom General Data Protection Regulation)</w:t>
      </w:r>
      <w:r w:rsidR="009512A8">
        <w:t>’</w:t>
      </w:r>
      <w:r>
        <w:t>. While the abbreviated title was changed, the substance of the legislation and the protections it offers are largely unchanged to date.</w:t>
      </w:r>
    </w:p>
    <w:p w14:paraId="7A534FBC" w14:textId="77777777" w:rsidR="002D4525" w:rsidRDefault="002D4525" w:rsidP="002D4525">
      <w:pPr>
        <w:pStyle w:val="ListParagraph"/>
        <w:numPr>
          <w:ilvl w:val="0"/>
          <w:numId w:val="0"/>
        </w:numPr>
        <w:ind w:left="720"/>
      </w:pPr>
    </w:p>
    <w:p w14:paraId="59A1113B" w14:textId="77777777" w:rsidR="00267A4A" w:rsidRDefault="00D16076" w:rsidP="00E757B8">
      <w:pPr>
        <w:pStyle w:val="ListParagraph"/>
      </w:pPr>
      <w:r w:rsidRPr="0075089B">
        <w:t xml:space="preserve">The UK Government </w:t>
      </w:r>
      <w:r>
        <w:t>estimates that</w:t>
      </w:r>
      <w:r w:rsidRPr="0075089B">
        <w:t xml:space="preserve"> the </w:t>
      </w:r>
      <w:r w:rsidR="00491A8E">
        <w:t xml:space="preserve">Data (Use and Access) </w:t>
      </w:r>
      <w:r w:rsidRPr="0075089B">
        <w:t>Bill</w:t>
      </w:r>
      <w:r w:rsidR="00491A8E">
        <w:t xml:space="preserve"> [HL]</w:t>
      </w:r>
      <w:r w:rsidRPr="0075089B">
        <w:t xml:space="preserve"> </w:t>
      </w:r>
      <w:r>
        <w:t xml:space="preserve">will </w:t>
      </w:r>
      <w:r w:rsidRPr="0075089B">
        <w:t>bring an estimated £10 billion boost to the UK economy over 10</w:t>
      </w:r>
      <w:r w:rsidR="006231CC">
        <w:t xml:space="preserve"> </w:t>
      </w:r>
      <w:r w:rsidRPr="0075089B">
        <w:t>years.</w:t>
      </w:r>
      <w:r w:rsidRPr="0075089B">
        <w:rPr>
          <w:rStyle w:val="FootnoteReference"/>
        </w:rPr>
        <w:footnoteReference w:id="41"/>
      </w:r>
      <w:r w:rsidRPr="0075089B">
        <w:t xml:space="preserve"> The Bill aims to achieve this by ‘improving the way consumers, businesses and asset owners can safely share data to help workers </w:t>
      </w:r>
      <w:r w:rsidR="00FD5233" w:rsidRPr="0075089B">
        <w:t>and</w:t>
      </w:r>
      <w:r w:rsidRPr="0075089B">
        <w:t xml:space="preserve"> the public make more informed choices’.</w:t>
      </w:r>
      <w:r w:rsidRPr="0075089B">
        <w:rPr>
          <w:rStyle w:val="FootnoteReference"/>
        </w:rPr>
        <w:footnoteReference w:id="42"/>
      </w:r>
      <w:r w:rsidRPr="0075089B">
        <w:t xml:space="preserve"> </w:t>
      </w:r>
    </w:p>
    <w:p w14:paraId="131EEA57" w14:textId="77777777" w:rsidR="00267A4A" w:rsidRDefault="00267A4A" w:rsidP="00E757B8">
      <w:pPr>
        <w:pStyle w:val="ListParagraph"/>
        <w:numPr>
          <w:ilvl w:val="0"/>
          <w:numId w:val="0"/>
        </w:numPr>
        <w:ind w:left="720"/>
      </w:pPr>
    </w:p>
    <w:p w14:paraId="30591795" w14:textId="77777777" w:rsidR="00FD5233" w:rsidRDefault="00267A4A" w:rsidP="00E757B8">
      <w:pPr>
        <w:pStyle w:val="ListParagraph"/>
      </w:pPr>
      <w:r>
        <w:t>T</w:t>
      </w:r>
      <w:r w:rsidR="00FD5233" w:rsidRPr="0075089B">
        <w:t>he Data (Use and Access) Bill is a comprehensive and lengthy Bill. The Bill will allow for the secure sharing of customer data with authorised third-party providers, in order to provide services for the consumer or business (Part 1 (Access to Consumer Data and Business Data)).</w:t>
      </w:r>
      <w:r w:rsidR="00FD5233" w:rsidRPr="0075089B">
        <w:rPr>
          <w:rStyle w:val="FootnoteReference"/>
        </w:rPr>
        <w:footnoteReference w:id="43"/>
      </w:r>
      <w:r w:rsidR="00FD5233" w:rsidRPr="0075089B">
        <w:t xml:space="preserve"> In Part 2 (Digital Verification Services), the Bill establishes a legislative framework for the provision of digital verification services in the UK.</w:t>
      </w:r>
      <w:r w:rsidR="00FD5233" w:rsidRPr="0075089B">
        <w:rPr>
          <w:rStyle w:val="FootnoteReference"/>
        </w:rPr>
        <w:footnoteReference w:id="44"/>
      </w:r>
      <w:r w:rsidR="00FD5233" w:rsidRPr="0075089B">
        <w:t xml:space="preserve"> Part 3 of the Bill (National Underground Asset Register) </w:t>
      </w:r>
      <w:r w:rsidR="00FD5233">
        <w:t>provides a legislative framework to support the operation of the National Underground Asset Register by providing secure access to location data.</w:t>
      </w:r>
      <w:r w:rsidR="00FD5233">
        <w:rPr>
          <w:rStyle w:val="FootnoteReference"/>
        </w:rPr>
        <w:footnoteReference w:id="45"/>
      </w:r>
      <w:r w:rsidR="00FD5233">
        <w:t xml:space="preserve"> In Part 4 (Register of Births and Deaths) reforms the registry of Births and deaths in England and Wales.</w:t>
      </w:r>
      <w:r w:rsidR="00FD5233">
        <w:rPr>
          <w:rStyle w:val="FootnoteReference"/>
        </w:rPr>
        <w:footnoteReference w:id="46"/>
      </w:r>
      <w:r w:rsidR="00FD5233">
        <w:t xml:space="preserve"> Part 6 of the Bill concerns the Office of the </w:t>
      </w:r>
      <w:r w:rsidR="00FD5233">
        <w:lastRenderedPageBreak/>
        <w:t xml:space="preserve">Information Commissioner and Part 7 contains other provisions on the sue of and access to data. </w:t>
      </w:r>
    </w:p>
    <w:p w14:paraId="64EA6FF1" w14:textId="77777777" w:rsidR="00FD5233" w:rsidRDefault="00FD5233" w:rsidP="00E757B8">
      <w:pPr>
        <w:pStyle w:val="ListParagraph"/>
        <w:numPr>
          <w:ilvl w:val="0"/>
          <w:numId w:val="0"/>
        </w:numPr>
        <w:ind w:left="720"/>
      </w:pPr>
    </w:p>
    <w:p w14:paraId="59EEE731" w14:textId="77777777" w:rsidR="00FD5233" w:rsidRPr="0075089B" w:rsidRDefault="00FD5233" w:rsidP="00E757B8">
      <w:pPr>
        <w:pStyle w:val="ListParagraph"/>
      </w:pPr>
      <w:r>
        <w:t>In relation to data protection and privacy, the Bill provides targeted reforms to the UK’s data protection framework, whilst seeking clarity on exiting legislation seen as impeding the safe development and use of new technologies.</w:t>
      </w:r>
      <w:r>
        <w:rPr>
          <w:rStyle w:val="FootnoteReference"/>
        </w:rPr>
        <w:footnoteReference w:id="47"/>
      </w:r>
      <w:r>
        <w:t xml:space="preserve"> The Bill seeks to improve law enforcement efficiency, remove unnecessary complexity and process, and reduce differences across the data protection regimes.</w:t>
      </w:r>
      <w:r>
        <w:rPr>
          <w:rStyle w:val="FootnoteReference"/>
        </w:rPr>
        <w:footnoteReference w:id="48"/>
      </w:r>
      <w:r>
        <w:t xml:space="preserve"> </w:t>
      </w:r>
    </w:p>
    <w:p w14:paraId="3D283584" w14:textId="77777777" w:rsidR="007D35AC" w:rsidRPr="006553FF" w:rsidRDefault="007D35AC" w:rsidP="007D35AC">
      <w:pPr>
        <w:pStyle w:val="ListParagraph"/>
        <w:numPr>
          <w:ilvl w:val="0"/>
          <w:numId w:val="0"/>
        </w:numPr>
        <w:ind w:left="720"/>
      </w:pPr>
    </w:p>
    <w:p w14:paraId="417CCB0E" w14:textId="513784CF" w:rsidR="00A6322E" w:rsidRDefault="003363CF" w:rsidP="00350B05">
      <w:pPr>
        <w:pStyle w:val="ListParagraph"/>
      </w:pPr>
      <w:r w:rsidRPr="006553FF">
        <w:t xml:space="preserve">In light of the breadth of the Bill, the </w:t>
      </w:r>
      <w:r w:rsidR="007D35AC" w:rsidRPr="006553FF">
        <w:t xml:space="preserve">focus of this submission </w:t>
      </w:r>
      <w:r w:rsidRPr="006553FF">
        <w:t xml:space="preserve">is on </w:t>
      </w:r>
      <w:r w:rsidR="007D35AC" w:rsidRPr="006553FF">
        <w:t>the pro</w:t>
      </w:r>
      <w:r w:rsidR="00F75C43">
        <w:t>po</w:t>
      </w:r>
      <w:r w:rsidR="007D35AC" w:rsidRPr="006553FF">
        <w:t xml:space="preserve">sed changes to the data </w:t>
      </w:r>
      <w:r w:rsidR="00EB371B" w:rsidRPr="006553FF">
        <w:t>protection legal framework in the UK</w:t>
      </w:r>
      <w:r w:rsidR="00322981" w:rsidRPr="006553FF">
        <w:t xml:space="preserve"> contained in </w:t>
      </w:r>
      <w:r w:rsidR="008B42F4" w:rsidRPr="008B42F4">
        <w:t>Part 5 of the Bill (Data Protection and Privacy)</w:t>
      </w:r>
      <w:r w:rsidR="00DF7BB6" w:rsidRPr="006553FF">
        <w:t>, in particular</w:t>
      </w:r>
      <w:r w:rsidR="00E32B05">
        <w:t xml:space="preserve"> the rules and safeguards on automated decision-making</w:t>
      </w:r>
      <w:r w:rsidR="002B7852">
        <w:t>;</w:t>
      </w:r>
      <w:r w:rsidR="00E32B05">
        <w:t xml:space="preserve"> onward transfers of data to third countries and </w:t>
      </w:r>
      <w:r w:rsidR="002B7852">
        <w:t>international organisations; and</w:t>
      </w:r>
      <w:r w:rsidR="00424AD5">
        <w:t xml:space="preserve"> the processing of personal data for the purposes of research.</w:t>
      </w:r>
    </w:p>
    <w:p w14:paraId="44381198" w14:textId="77777777" w:rsidR="00424AD5" w:rsidRPr="006553FF" w:rsidRDefault="00424AD5" w:rsidP="00424AD5"/>
    <w:p w14:paraId="101D2930" w14:textId="447F6F56" w:rsidR="00A6322E" w:rsidRPr="006553FF" w:rsidRDefault="00A6322E" w:rsidP="00A6322E">
      <w:pPr>
        <w:pStyle w:val="Heading2"/>
      </w:pPr>
      <w:bookmarkStart w:id="16" w:name="_Toc190093248"/>
      <w:r w:rsidRPr="006553FF">
        <w:t xml:space="preserve">Changes to </w:t>
      </w:r>
      <w:r w:rsidR="00C47BCB" w:rsidRPr="006553FF">
        <w:t xml:space="preserve">rights protections </w:t>
      </w:r>
      <w:r w:rsidR="00C47BCB">
        <w:t xml:space="preserve">for </w:t>
      </w:r>
      <w:r w:rsidRPr="006553FF">
        <w:t>data subjects</w:t>
      </w:r>
      <w:bookmarkEnd w:id="16"/>
      <w:r w:rsidRPr="006553FF">
        <w:t xml:space="preserve"> </w:t>
      </w:r>
    </w:p>
    <w:p w14:paraId="7544B138" w14:textId="77777777" w:rsidR="00A6322E" w:rsidRPr="006553FF" w:rsidRDefault="00A6322E" w:rsidP="00A6322E">
      <w:pPr>
        <w:rPr>
          <w:rFonts w:ascii="Verdana" w:hAnsi="Verdana"/>
        </w:rPr>
      </w:pPr>
    </w:p>
    <w:p w14:paraId="2A559BB9" w14:textId="4A12F327" w:rsidR="004E258D" w:rsidRPr="006553FF" w:rsidRDefault="00322981" w:rsidP="00FE4FD2">
      <w:pPr>
        <w:pStyle w:val="ListParagraph"/>
      </w:pPr>
      <w:r w:rsidRPr="006553FF">
        <w:t xml:space="preserve">In </w:t>
      </w:r>
      <w:r w:rsidR="008B42F4" w:rsidRPr="008B42F4">
        <w:t>Part 5 of the Bill (Data Protection and Privacy</w:t>
      </w:r>
      <w:r w:rsidRPr="006553FF" w:rsidDel="008B42F4">
        <w:t>)</w:t>
      </w:r>
      <w:r w:rsidR="00DF7BB6" w:rsidRPr="006553FF">
        <w:t xml:space="preserve">, the </w:t>
      </w:r>
      <w:r w:rsidRPr="006553FF">
        <w:t>Bill proposes changes to the UK GDPR</w:t>
      </w:r>
      <w:r w:rsidR="00E437D6">
        <w:t>, which currently aligns with the EU GDPR,</w:t>
      </w:r>
      <w:r w:rsidRPr="006553FF">
        <w:t xml:space="preserve"> and to the Data Protection Act 2018</w:t>
      </w:r>
      <w:r w:rsidR="0008180B">
        <w:t>.</w:t>
      </w:r>
    </w:p>
    <w:p w14:paraId="4B613AA5" w14:textId="77777777" w:rsidR="00FE4FD2" w:rsidRPr="006553FF" w:rsidRDefault="00FE4FD2" w:rsidP="00FE4FD2">
      <w:pPr>
        <w:pStyle w:val="ListParagraph"/>
        <w:numPr>
          <w:ilvl w:val="0"/>
          <w:numId w:val="0"/>
        </w:numPr>
        <w:ind w:left="720"/>
      </w:pPr>
    </w:p>
    <w:p w14:paraId="3C9E027F" w14:textId="0F51D1BA" w:rsidR="005D5C9B" w:rsidRPr="006553FF" w:rsidRDefault="00FE4FD2" w:rsidP="0049699F">
      <w:pPr>
        <w:pStyle w:val="ListParagraph"/>
        <w:numPr>
          <w:ilvl w:val="0"/>
          <w:numId w:val="0"/>
        </w:numPr>
        <w:ind w:left="720"/>
      </w:pPr>
      <w:r w:rsidRPr="006553FF">
        <w:t xml:space="preserve">The amendments to </w:t>
      </w:r>
      <w:r w:rsidR="000A3AFF">
        <w:t xml:space="preserve">the </w:t>
      </w:r>
      <w:r w:rsidRPr="006553FF">
        <w:t xml:space="preserve">UK GDPR that the Bill proposes concern the rules </w:t>
      </w:r>
      <w:r w:rsidR="00D73075" w:rsidRPr="006553FF">
        <w:t xml:space="preserve">around </w:t>
      </w:r>
      <w:r w:rsidR="00F85683" w:rsidRPr="006553FF">
        <w:t xml:space="preserve">how researchers can use </w:t>
      </w:r>
      <w:r w:rsidR="00552B03" w:rsidRPr="006553FF">
        <w:t xml:space="preserve">online </w:t>
      </w:r>
      <w:r w:rsidR="00F85683" w:rsidRPr="006553FF">
        <w:t xml:space="preserve">personal data </w:t>
      </w:r>
      <w:r w:rsidR="00552B03" w:rsidRPr="006553FF">
        <w:t>for their work</w:t>
      </w:r>
      <w:r w:rsidR="00F85683" w:rsidRPr="006553FF">
        <w:t>;</w:t>
      </w:r>
      <w:r w:rsidR="00AA5533">
        <w:rPr>
          <w:rStyle w:val="FootnoteReference"/>
        </w:rPr>
        <w:footnoteReference w:id="49"/>
      </w:r>
      <w:r w:rsidR="00F85683" w:rsidRPr="006553FF">
        <w:t xml:space="preserve"> </w:t>
      </w:r>
      <w:r w:rsidR="0049699F">
        <w:t xml:space="preserve">and </w:t>
      </w:r>
      <w:r w:rsidR="00552B03" w:rsidRPr="006553FF">
        <w:t xml:space="preserve">the rules on how organisations </w:t>
      </w:r>
      <w:r w:rsidR="00823516" w:rsidRPr="006553FF">
        <w:t xml:space="preserve">must demonstrate they are </w:t>
      </w:r>
      <w:r w:rsidR="001C264D" w:rsidRPr="006553FF">
        <w:t xml:space="preserve">complying with </w:t>
      </w:r>
      <w:r w:rsidR="00693B96">
        <w:t>data protection principles under</w:t>
      </w:r>
      <w:r w:rsidR="001C264D" w:rsidRPr="006553FF">
        <w:t xml:space="preserve"> </w:t>
      </w:r>
      <w:r w:rsidR="000A3AFF">
        <w:t xml:space="preserve">the </w:t>
      </w:r>
      <w:r w:rsidR="001C264D" w:rsidRPr="006553FF">
        <w:t>UK GDPR</w:t>
      </w:r>
      <w:r w:rsidR="0049699F">
        <w:t>.</w:t>
      </w:r>
      <w:r w:rsidR="00281C94">
        <w:rPr>
          <w:rStyle w:val="FootnoteReference"/>
        </w:rPr>
        <w:footnoteReference w:id="50"/>
      </w:r>
      <w:r w:rsidR="00593604" w:rsidRPr="006553FF">
        <w:t xml:space="preserve"> </w:t>
      </w:r>
    </w:p>
    <w:p w14:paraId="450BD261" w14:textId="77777777" w:rsidR="0020035E" w:rsidRPr="006553FF" w:rsidRDefault="0020035E" w:rsidP="0049699F">
      <w:pPr>
        <w:pStyle w:val="ListParagraph"/>
        <w:numPr>
          <w:ilvl w:val="0"/>
          <w:numId w:val="0"/>
        </w:numPr>
        <w:ind w:left="720"/>
      </w:pPr>
    </w:p>
    <w:p w14:paraId="3E542CBD" w14:textId="72652A72" w:rsidR="005B5AD9" w:rsidRDefault="005D5C9B">
      <w:pPr>
        <w:pStyle w:val="ListParagraph"/>
      </w:pPr>
      <w:r w:rsidRPr="006553FF">
        <w:t xml:space="preserve">The Bill is also proposing amendments to Part 3 and 4 of the Data Protection Act 2018, which </w:t>
      </w:r>
      <w:r w:rsidR="001A39D2">
        <w:t xml:space="preserve">further </w:t>
      </w:r>
      <w:r w:rsidR="005B5AD9">
        <w:t>enforced the EU GDPR in UK domestic law</w:t>
      </w:r>
      <w:r w:rsidRPr="006553FF">
        <w:t xml:space="preserve">. </w:t>
      </w:r>
      <w:r w:rsidR="00FF0168" w:rsidRPr="006553FF">
        <w:t xml:space="preserve">These </w:t>
      </w:r>
      <w:r w:rsidR="0095543A" w:rsidRPr="006553FF">
        <w:t>amendments</w:t>
      </w:r>
      <w:r w:rsidR="00FF0168" w:rsidRPr="006553FF">
        <w:t xml:space="preserve"> concern the rules </w:t>
      </w:r>
      <w:r w:rsidR="356B64AE" w:rsidRPr="006553FF">
        <w:t>on</w:t>
      </w:r>
      <w:r w:rsidR="00FF0168" w:rsidRPr="006553FF">
        <w:t xml:space="preserve"> </w:t>
      </w:r>
      <w:r w:rsidR="00825884">
        <w:t>law</w:t>
      </w:r>
      <w:r w:rsidR="00363AF5">
        <w:t xml:space="preserve"> enforcement processing and intelligence service processing.</w:t>
      </w:r>
      <w:r w:rsidR="00363AF5">
        <w:rPr>
          <w:rStyle w:val="FootnoteReference"/>
        </w:rPr>
        <w:footnoteReference w:id="51"/>
      </w:r>
      <w:r w:rsidR="00363AF5">
        <w:t xml:space="preserve"> </w:t>
      </w:r>
    </w:p>
    <w:p w14:paraId="0FE2B944" w14:textId="77777777" w:rsidR="00F51748" w:rsidRPr="006553FF" w:rsidRDefault="00F51748" w:rsidP="007B66FB">
      <w:pPr>
        <w:rPr>
          <w:rFonts w:ascii="Verdana" w:hAnsi="Verdana"/>
        </w:rPr>
      </w:pPr>
    </w:p>
    <w:p w14:paraId="5E13CAED" w14:textId="27981B16" w:rsidR="0036065A" w:rsidRPr="006553FF" w:rsidRDefault="00E473AF" w:rsidP="0036065A">
      <w:pPr>
        <w:pStyle w:val="ListParagraph"/>
      </w:pPr>
      <w:r>
        <w:lastRenderedPageBreak/>
        <w:t xml:space="preserve">Under </w:t>
      </w:r>
      <w:r w:rsidR="000A3AFF">
        <w:t xml:space="preserve">the </w:t>
      </w:r>
      <w:r>
        <w:t xml:space="preserve">UK GDPR, </w:t>
      </w:r>
      <w:r w:rsidR="00A703EC">
        <w:t xml:space="preserve">rights holders have the </w:t>
      </w:r>
      <w:r w:rsidR="00A134A7" w:rsidRPr="006553FF">
        <w:t>right</w:t>
      </w:r>
      <w:r w:rsidR="00B30998" w:rsidRPr="006553FF">
        <w:t xml:space="preserve"> to</w:t>
      </w:r>
      <w:r w:rsidR="0036065A" w:rsidRPr="006553FF">
        <w:t xml:space="preserve"> </w:t>
      </w:r>
      <w:r w:rsidR="00A703EC" w:rsidRPr="006553FF">
        <w:t>access information</w:t>
      </w:r>
      <w:r w:rsidR="0036065A" w:rsidRPr="006553FF">
        <w:t xml:space="preserve"> about their personal data (Section 2</w:t>
      </w:r>
      <w:r w:rsidR="000A3AFF">
        <w:t>,</w:t>
      </w:r>
      <w:r w:rsidR="00B30998" w:rsidRPr="006553FF">
        <w:t xml:space="preserve"> UK GDPR</w:t>
      </w:r>
      <w:r w:rsidR="0036065A" w:rsidRPr="006553FF">
        <w:t>)</w:t>
      </w:r>
      <w:r w:rsidR="00A703EC">
        <w:t>.</w:t>
      </w:r>
      <w:r w:rsidR="0036065A" w:rsidRPr="006553FF">
        <w:t xml:space="preserve"> </w:t>
      </w:r>
      <w:r w:rsidR="00A703EC">
        <w:t xml:space="preserve">Rights holders also have </w:t>
      </w:r>
      <w:r w:rsidR="0036065A" w:rsidRPr="006553FF">
        <w:t>the right</w:t>
      </w:r>
      <w:r w:rsidR="00A703EC">
        <w:t xml:space="preserve"> </w:t>
      </w:r>
      <w:r w:rsidR="0036065A" w:rsidRPr="006553FF">
        <w:t xml:space="preserve">to rectification and erasure </w:t>
      </w:r>
      <w:r w:rsidR="00E40811" w:rsidRPr="006553FF">
        <w:t>of any inaccurate personal data or any personal data they would like to be “forgotten”</w:t>
      </w:r>
      <w:r w:rsidR="00CF01C2" w:rsidRPr="006553FF">
        <w:t xml:space="preserve">, </w:t>
      </w:r>
      <w:r w:rsidR="00167A94" w:rsidRPr="006553FF">
        <w:t>in other words</w:t>
      </w:r>
      <w:r w:rsidR="00CF01C2" w:rsidRPr="006553FF">
        <w:t xml:space="preserve"> no longer available online</w:t>
      </w:r>
      <w:r w:rsidR="00167A94" w:rsidRPr="006553FF">
        <w:t xml:space="preserve"> </w:t>
      </w:r>
      <w:r w:rsidR="0036065A" w:rsidRPr="006553FF">
        <w:t>(Section 3</w:t>
      </w:r>
      <w:r w:rsidR="000A3AFF">
        <w:t>,</w:t>
      </w:r>
      <w:r w:rsidR="00A56722" w:rsidRPr="006553FF">
        <w:t xml:space="preserve"> UK GDPR</w:t>
      </w:r>
      <w:r w:rsidR="0036065A" w:rsidRPr="006553FF">
        <w:t>)</w:t>
      </w:r>
      <w:r w:rsidR="00A703EC">
        <w:t xml:space="preserve">. Rights holders </w:t>
      </w:r>
      <w:r w:rsidR="007517DA">
        <w:t>can also avail of</w:t>
      </w:r>
      <w:r w:rsidR="0036065A" w:rsidRPr="006553FF">
        <w:t xml:space="preserve"> th</w:t>
      </w:r>
      <w:r w:rsidR="00CF01C2" w:rsidRPr="006553FF">
        <w:t>e</w:t>
      </w:r>
      <w:r w:rsidR="00A134A7" w:rsidRPr="006553FF">
        <w:t xml:space="preserve"> right to be</w:t>
      </w:r>
      <w:r w:rsidR="0036065A" w:rsidRPr="006553FF">
        <w:t xml:space="preserve"> protected from </w:t>
      </w:r>
      <w:r w:rsidR="00CF01C2" w:rsidRPr="006553FF">
        <w:t>the impact of decisions made solely by</w:t>
      </w:r>
      <w:r w:rsidR="00A134A7" w:rsidRPr="006553FF">
        <w:t xml:space="preserve"> the</w:t>
      </w:r>
      <w:r w:rsidR="00CF01C2" w:rsidRPr="006553FF">
        <w:t xml:space="preserve"> </w:t>
      </w:r>
      <w:r w:rsidR="00EC486D" w:rsidRPr="006553FF">
        <w:t xml:space="preserve">automated </w:t>
      </w:r>
      <w:r w:rsidR="00A134A7" w:rsidRPr="006553FF">
        <w:t>processing of their data</w:t>
      </w:r>
      <w:r w:rsidR="00B95659" w:rsidRPr="006553FF">
        <w:t xml:space="preserve"> </w:t>
      </w:r>
      <w:r w:rsidR="0036065A" w:rsidRPr="006553FF">
        <w:t>(Section 4</w:t>
      </w:r>
      <w:r w:rsidR="000A3AFF">
        <w:t>,</w:t>
      </w:r>
      <w:r w:rsidR="00167A94" w:rsidRPr="006553FF">
        <w:t xml:space="preserve"> UK</w:t>
      </w:r>
      <w:r w:rsidR="00A134A7" w:rsidRPr="006553FF">
        <w:t xml:space="preserve"> </w:t>
      </w:r>
      <w:r w:rsidR="00167A94" w:rsidRPr="006553FF">
        <w:t>GDP</w:t>
      </w:r>
      <w:r w:rsidR="00A134A7" w:rsidRPr="006553FF">
        <w:t>R</w:t>
      </w:r>
      <w:r w:rsidR="0036065A" w:rsidRPr="006553FF">
        <w:t>)</w:t>
      </w:r>
      <w:r w:rsidR="007517DA">
        <w:t xml:space="preserve">. All the </w:t>
      </w:r>
      <w:r w:rsidR="002A43B2">
        <w:t xml:space="preserve">rules put in place to </w:t>
      </w:r>
      <w:r w:rsidR="003F6D49">
        <w:t xml:space="preserve">protect </w:t>
      </w:r>
      <w:r w:rsidR="00A06804">
        <w:t>individuals’ rights</w:t>
      </w:r>
      <w:r w:rsidR="007517DA">
        <w:t xml:space="preserve"> </w:t>
      </w:r>
      <w:r w:rsidR="002A43B2">
        <w:t xml:space="preserve">can only be deviated from under </w:t>
      </w:r>
      <w:r w:rsidR="0036065A" w:rsidRPr="006553FF">
        <w:t>permitted restrictions (Section 5</w:t>
      </w:r>
      <w:r w:rsidR="000A3AFF">
        <w:t>,</w:t>
      </w:r>
      <w:r w:rsidR="00167A94" w:rsidRPr="006553FF">
        <w:t xml:space="preserve"> UK GDPR</w:t>
      </w:r>
      <w:r w:rsidR="0036065A" w:rsidRPr="006553FF">
        <w:t xml:space="preserve">). </w:t>
      </w:r>
    </w:p>
    <w:p w14:paraId="16A89B9A" w14:textId="77777777" w:rsidR="009A4901" w:rsidRPr="006553FF" w:rsidRDefault="009A4901" w:rsidP="00463691">
      <w:pPr>
        <w:pStyle w:val="ListParagraph"/>
        <w:numPr>
          <w:ilvl w:val="0"/>
          <w:numId w:val="0"/>
        </w:numPr>
      </w:pPr>
    </w:p>
    <w:p w14:paraId="7E885A0A" w14:textId="6BA24B74" w:rsidR="00BD7934" w:rsidRPr="006553FF" w:rsidRDefault="000500B9" w:rsidP="005504E7">
      <w:pPr>
        <w:pStyle w:val="ListParagraph"/>
      </w:pPr>
      <w:r w:rsidRPr="006553FF">
        <w:t xml:space="preserve">This submission will provide examples of where the NIHRC has concerns that </w:t>
      </w:r>
      <w:r w:rsidR="00D203A2">
        <w:t>rights relating to</w:t>
      </w:r>
      <w:r w:rsidRPr="006553FF">
        <w:t xml:space="preserve"> data protection might be weakened if the Bill should pass in its current form.</w:t>
      </w:r>
      <w:r w:rsidR="00684BA5">
        <w:t xml:space="preserve"> As outlined in </w:t>
      </w:r>
      <w:r w:rsidR="00DA6BD5">
        <w:t>section 2</w:t>
      </w:r>
      <w:r w:rsidR="003523F5">
        <w:t xml:space="preserve"> of this briefing</w:t>
      </w:r>
      <w:r w:rsidR="00DA6BD5">
        <w:t xml:space="preserve">, the </w:t>
      </w:r>
      <w:r w:rsidR="00964D9B">
        <w:t xml:space="preserve">NIHRC considers that </w:t>
      </w:r>
      <w:r w:rsidR="003A3699">
        <w:t xml:space="preserve">a diminution of </w:t>
      </w:r>
      <w:r w:rsidR="009123E4">
        <w:t>fundamental right</w:t>
      </w:r>
      <w:r w:rsidR="00A46233">
        <w:t xml:space="preserve">s in this area </w:t>
      </w:r>
      <w:r w:rsidR="003A33B8">
        <w:t>may</w:t>
      </w:r>
      <w:r w:rsidR="00A46233">
        <w:t xml:space="preserve"> breach the UK Government’s international treaty commitment </w:t>
      </w:r>
      <w:r w:rsidR="00A616A2">
        <w:t xml:space="preserve">in </w:t>
      </w:r>
      <w:r w:rsidR="003523F5">
        <w:t xml:space="preserve">Windsor Framework </w:t>
      </w:r>
      <w:r w:rsidR="00A46233">
        <w:t>Article 2.</w:t>
      </w:r>
    </w:p>
    <w:p w14:paraId="26A4897A" w14:textId="77777777" w:rsidR="00026CB0" w:rsidRPr="006553FF" w:rsidRDefault="00026CB0" w:rsidP="005504E7"/>
    <w:p w14:paraId="18059850" w14:textId="3D3C8707" w:rsidR="005947EF" w:rsidRPr="006553FF" w:rsidRDefault="007D3815" w:rsidP="005947EF">
      <w:pPr>
        <w:pStyle w:val="ListParagraph"/>
      </w:pPr>
      <w:r w:rsidRPr="006553FF">
        <w:t>In addition,</w:t>
      </w:r>
      <w:r w:rsidR="007E21FE" w:rsidRPr="006553FF">
        <w:t xml:space="preserve"> consideration must be given to how the </w:t>
      </w:r>
      <w:r w:rsidR="005504E7" w:rsidRPr="005504E7" w:rsidDel="00A01A50">
        <w:t xml:space="preserve">Data </w:t>
      </w:r>
      <w:r w:rsidR="00A01A50">
        <w:t xml:space="preserve">(Use and Access) Bill [HL] </w:t>
      </w:r>
      <w:r w:rsidR="007E21FE" w:rsidRPr="006553FF">
        <w:t xml:space="preserve">might impact the data adequacy agreements between the UK and the EU. </w:t>
      </w:r>
      <w:r w:rsidR="00026CB0" w:rsidRPr="006553FF">
        <w:t xml:space="preserve">After </w:t>
      </w:r>
      <w:r w:rsidR="0D748B0E" w:rsidRPr="006553FF">
        <w:t>the</w:t>
      </w:r>
      <w:r w:rsidR="00026CB0" w:rsidRPr="006553FF">
        <w:t xml:space="preserve"> UK’s exit from the EU, the free flow of data between the EU and the UK is currently made possible by the power of two data adequacy decisions by the EU which recognise the “essentially equivalent level of protection” in the UK and the EU.</w:t>
      </w:r>
      <w:r w:rsidR="00026CB0" w:rsidRPr="310B9804">
        <w:rPr>
          <w:rStyle w:val="FootnoteReference"/>
        </w:rPr>
        <w:footnoteReference w:id="52"/>
      </w:r>
      <w:r w:rsidR="00026CB0" w:rsidRPr="006553FF">
        <w:t xml:space="preserve"> The data adequacy </w:t>
      </w:r>
      <w:r w:rsidRPr="006553FF">
        <w:t xml:space="preserve">decisions </w:t>
      </w:r>
      <w:r w:rsidR="00026CB0" w:rsidRPr="006553FF">
        <w:t>are respectively under the EU GDPR</w:t>
      </w:r>
      <w:r w:rsidR="00026CB0" w:rsidRPr="310B9804">
        <w:rPr>
          <w:rStyle w:val="FootnoteReference"/>
        </w:rPr>
        <w:footnoteReference w:id="53"/>
      </w:r>
      <w:r w:rsidR="00026CB0" w:rsidRPr="006553FF">
        <w:t xml:space="preserve"> and under the </w:t>
      </w:r>
      <w:r w:rsidR="00970950" w:rsidRPr="006553FF">
        <w:t xml:space="preserve">EU Data Protection </w:t>
      </w:r>
      <w:r w:rsidR="00026CB0" w:rsidRPr="006553FF">
        <w:t>Law Enforcement Directive.</w:t>
      </w:r>
      <w:r w:rsidR="00026CB0" w:rsidRPr="310B9804">
        <w:rPr>
          <w:rStyle w:val="FootnoteReference"/>
        </w:rPr>
        <w:footnoteReference w:id="54"/>
      </w:r>
      <w:r w:rsidR="00026CB0" w:rsidRPr="006553FF">
        <w:t xml:space="preserve"> </w:t>
      </w:r>
    </w:p>
    <w:p w14:paraId="216712F8" w14:textId="77777777" w:rsidR="005947EF" w:rsidRPr="006553FF" w:rsidRDefault="005947EF" w:rsidP="00970DFA">
      <w:pPr>
        <w:pStyle w:val="ListParagraph"/>
        <w:numPr>
          <w:ilvl w:val="0"/>
          <w:numId w:val="0"/>
        </w:numPr>
        <w:ind w:left="720"/>
      </w:pPr>
    </w:p>
    <w:p w14:paraId="4F66FA1B" w14:textId="2B406375" w:rsidR="00711278" w:rsidRDefault="005947EF" w:rsidP="006B1313">
      <w:pPr>
        <w:pStyle w:val="ListParagraph"/>
      </w:pPr>
      <w:r w:rsidRPr="006553FF">
        <w:t xml:space="preserve">The data adequacy </w:t>
      </w:r>
      <w:r w:rsidR="00E80C91" w:rsidRPr="006553FF">
        <w:t xml:space="preserve">decisions </w:t>
      </w:r>
      <w:r w:rsidRPr="006553FF">
        <w:t xml:space="preserve">are vital for ensuring that data can continue to flow freely between the </w:t>
      </w:r>
      <w:r w:rsidR="00360F61" w:rsidRPr="006553FF">
        <w:t>UK</w:t>
      </w:r>
      <w:r w:rsidRPr="006553FF">
        <w:t xml:space="preserve"> and the EU</w:t>
      </w:r>
      <w:r w:rsidR="00E80C91" w:rsidRPr="006553FF">
        <w:t>.</w:t>
      </w:r>
      <w:r w:rsidR="005504E7">
        <w:t xml:space="preserve"> </w:t>
      </w:r>
      <w:r w:rsidR="00E80C91" w:rsidRPr="006553FF">
        <w:t xml:space="preserve">This is particularly </w:t>
      </w:r>
      <w:r w:rsidRPr="006553FF">
        <w:t>important</w:t>
      </w:r>
      <w:r w:rsidR="00E80C91" w:rsidRPr="006553FF">
        <w:t xml:space="preserve"> for data flows</w:t>
      </w:r>
      <w:r w:rsidRPr="006553FF">
        <w:t xml:space="preserve"> between NI and Ireland, for the purposes of </w:t>
      </w:r>
      <w:r w:rsidR="00E86CF1" w:rsidRPr="006553FF">
        <w:t>facilitating</w:t>
      </w:r>
      <w:r w:rsidR="00360F61" w:rsidRPr="006553FF">
        <w:t xml:space="preserve"> </w:t>
      </w:r>
      <w:r w:rsidRPr="006553FF">
        <w:t xml:space="preserve">the cross-border </w:t>
      </w:r>
      <w:r w:rsidR="00360F61" w:rsidRPr="006553FF">
        <w:t>aspects of health, education, justice, policing, tourism</w:t>
      </w:r>
      <w:r w:rsidR="00E80C91" w:rsidRPr="006553FF">
        <w:t xml:space="preserve"> and </w:t>
      </w:r>
      <w:r w:rsidR="00970DFA" w:rsidRPr="006553FF">
        <w:t>environmental</w:t>
      </w:r>
      <w:r w:rsidR="00E86CF1" w:rsidRPr="006553FF">
        <w:t xml:space="preserve"> protection</w:t>
      </w:r>
      <w:r w:rsidR="00E80C91" w:rsidRPr="006553FF">
        <w:t xml:space="preserve"> </w:t>
      </w:r>
      <w:r w:rsidR="00E86CF1" w:rsidRPr="006553FF">
        <w:lastRenderedPageBreak/>
        <w:t>on the island of Ireland.</w:t>
      </w:r>
      <w:r w:rsidR="00FB5B1E" w:rsidRPr="006553FF">
        <w:rPr>
          <w:rStyle w:val="FootnoteReference"/>
        </w:rPr>
        <w:footnoteReference w:id="55"/>
      </w:r>
      <w:r w:rsidR="00E86CF1" w:rsidRPr="006553FF">
        <w:t xml:space="preserve"> </w:t>
      </w:r>
      <w:r w:rsidR="001C40A3" w:rsidRPr="006553FF">
        <w:t>This submission will provide examples of where the NIHRC has concerns that the Bill might result in such divergences.</w:t>
      </w:r>
    </w:p>
    <w:p w14:paraId="3C95B5B3" w14:textId="77777777" w:rsidR="00711278" w:rsidRDefault="00711278" w:rsidP="00711278">
      <w:pPr>
        <w:pStyle w:val="ListParagraph"/>
        <w:numPr>
          <w:ilvl w:val="0"/>
          <w:numId w:val="0"/>
        </w:numPr>
        <w:ind w:left="720"/>
      </w:pPr>
    </w:p>
    <w:p w14:paraId="30CD4B61" w14:textId="3E83BC9B" w:rsidR="002E6E30" w:rsidRDefault="00711278" w:rsidP="002E6E30">
      <w:pPr>
        <w:pStyle w:val="ListParagraph"/>
      </w:pPr>
      <w:r w:rsidRPr="006553FF">
        <w:t xml:space="preserve">Although the UK Government has prepared a Human Rights Memorandum on the Bill’s compliance with the ECHR, the NIHRC is </w:t>
      </w:r>
      <w:r w:rsidR="00863D92">
        <w:t xml:space="preserve">continues to recommend </w:t>
      </w:r>
      <w:r w:rsidRPr="006553FF">
        <w:t xml:space="preserve">that consideration of compliance with Windsor Framework Article 2 </w:t>
      </w:r>
      <w:r w:rsidR="00863D92">
        <w:t xml:space="preserve">be included in </w:t>
      </w:r>
      <w:r w:rsidR="00B11247">
        <w:t>such memoranda</w:t>
      </w:r>
      <w:r w:rsidRPr="006553FF">
        <w:t>.</w:t>
      </w:r>
      <w:r w:rsidRPr="006553FF">
        <w:rPr>
          <w:rStyle w:val="FootnoteReference"/>
        </w:rPr>
        <w:footnoteReference w:id="56"/>
      </w:r>
      <w:r w:rsidRPr="006553FF">
        <w:t xml:space="preserve"> </w:t>
      </w:r>
      <w:bookmarkStart w:id="19" w:name="_Hlk152771147"/>
    </w:p>
    <w:p w14:paraId="4ED195F0" w14:textId="77777777" w:rsidR="002E6E30" w:rsidRPr="002E6E30" w:rsidRDefault="002E6E30" w:rsidP="002E6E30">
      <w:pPr>
        <w:pStyle w:val="ListParagraph"/>
        <w:numPr>
          <w:ilvl w:val="0"/>
          <w:numId w:val="0"/>
        </w:numPr>
        <w:ind w:left="720"/>
        <w:rPr>
          <w:b/>
          <w:bCs/>
        </w:rPr>
      </w:pPr>
    </w:p>
    <w:p w14:paraId="7117209F" w14:textId="7628999F" w:rsidR="009A4901" w:rsidRPr="002E6E30" w:rsidRDefault="002E6E30" w:rsidP="002E6E30">
      <w:pPr>
        <w:pStyle w:val="ListParagraph"/>
      </w:pPr>
      <w:r>
        <w:rPr>
          <w:b/>
          <w:bCs/>
        </w:rPr>
        <w:t>T</w:t>
      </w:r>
      <w:r w:rsidR="006C63E4" w:rsidRPr="002E6E30">
        <w:rPr>
          <w:b/>
          <w:bCs/>
        </w:rPr>
        <w:t xml:space="preserve">he NIHRC recommends that the </w:t>
      </w:r>
      <w:r w:rsidR="000043AE" w:rsidRPr="002E6E30">
        <w:rPr>
          <w:b/>
          <w:bCs/>
        </w:rPr>
        <w:t>Secretary of State</w:t>
      </w:r>
      <w:r w:rsidR="006C63E4" w:rsidRPr="002E6E30">
        <w:rPr>
          <w:b/>
          <w:bCs/>
        </w:rPr>
        <w:t xml:space="preserve"> </w:t>
      </w:r>
      <w:r w:rsidR="00B65D85" w:rsidRPr="002E6E30">
        <w:rPr>
          <w:b/>
          <w:bCs/>
        </w:rPr>
        <w:t>amends</w:t>
      </w:r>
      <w:r w:rsidR="0005520A" w:rsidRPr="002E6E30">
        <w:rPr>
          <w:b/>
          <w:bCs/>
        </w:rPr>
        <w:t xml:space="preserve"> </w:t>
      </w:r>
      <w:r w:rsidR="006C63E4" w:rsidRPr="002E6E30">
        <w:rPr>
          <w:b/>
          <w:bCs/>
        </w:rPr>
        <w:t xml:space="preserve">the Human Rights Memorandum to the Bill to set out in detail an assessment of </w:t>
      </w:r>
      <w:r w:rsidR="000043AE" w:rsidRPr="002E6E30">
        <w:rPr>
          <w:b/>
          <w:bCs/>
        </w:rPr>
        <w:t>the compliance</w:t>
      </w:r>
      <w:r w:rsidR="006C63E4" w:rsidRPr="002E6E30">
        <w:rPr>
          <w:b/>
          <w:bCs/>
        </w:rPr>
        <w:t xml:space="preserve"> of the Bill with </w:t>
      </w:r>
      <w:r w:rsidR="00BB04E4" w:rsidRPr="002E6E30">
        <w:rPr>
          <w:b/>
          <w:bCs/>
        </w:rPr>
        <w:t xml:space="preserve">Windsor Framework </w:t>
      </w:r>
      <w:r w:rsidR="006C63E4" w:rsidRPr="002E6E30">
        <w:rPr>
          <w:b/>
          <w:bCs/>
        </w:rPr>
        <w:t>Article 2</w:t>
      </w:r>
      <w:r w:rsidR="00CC49D6" w:rsidRPr="002E6E30">
        <w:rPr>
          <w:b/>
          <w:bCs/>
        </w:rPr>
        <w:t xml:space="preserve">, including </w:t>
      </w:r>
      <w:r w:rsidR="00CE40E5" w:rsidRPr="002E6E30">
        <w:rPr>
          <w:b/>
          <w:bCs/>
        </w:rPr>
        <w:t xml:space="preserve">all </w:t>
      </w:r>
      <w:r w:rsidR="00CC49D6" w:rsidRPr="002E6E30">
        <w:rPr>
          <w:b/>
          <w:bCs/>
        </w:rPr>
        <w:t xml:space="preserve">relevant </w:t>
      </w:r>
      <w:r w:rsidR="00CE40E5" w:rsidRPr="002E6E30">
        <w:rPr>
          <w:b/>
          <w:bCs/>
        </w:rPr>
        <w:t>EU data protection laws</w:t>
      </w:r>
      <w:r w:rsidR="00CD7EDE" w:rsidRPr="002E6E30">
        <w:rPr>
          <w:b/>
          <w:bCs/>
        </w:rPr>
        <w:t>, which</w:t>
      </w:r>
      <w:r w:rsidR="00B265A1" w:rsidRPr="002E6E30">
        <w:rPr>
          <w:b/>
          <w:bCs/>
        </w:rPr>
        <w:t>, by virtue of Windsor Framework Article 2,</w:t>
      </w:r>
      <w:r w:rsidR="00CD7EDE" w:rsidRPr="002E6E30">
        <w:rPr>
          <w:b/>
          <w:bCs/>
        </w:rPr>
        <w:t xml:space="preserve"> continue to </w:t>
      </w:r>
      <w:r w:rsidR="00546F02" w:rsidRPr="002E6E30">
        <w:rPr>
          <w:b/>
          <w:bCs/>
        </w:rPr>
        <w:t xml:space="preserve">set standards in </w:t>
      </w:r>
      <w:r w:rsidR="00CD7EDE" w:rsidRPr="002E6E30">
        <w:rPr>
          <w:b/>
          <w:bCs/>
        </w:rPr>
        <w:t>NI</w:t>
      </w:r>
      <w:r w:rsidR="006C63E4" w:rsidRPr="002E6E30">
        <w:rPr>
          <w:b/>
          <w:bCs/>
        </w:rPr>
        <w:t>.</w:t>
      </w:r>
    </w:p>
    <w:bookmarkEnd w:id="19"/>
    <w:p w14:paraId="131E9331" w14:textId="32B86D61" w:rsidR="008A65C3" w:rsidRDefault="008A65C3">
      <w:pPr>
        <w:rPr>
          <w:rFonts w:ascii="Verdana" w:hAnsi="Verdana"/>
          <w:b/>
          <w:bCs/>
          <w:color w:val="77328A"/>
          <w:sz w:val="32"/>
          <w:szCs w:val="32"/>
        </w:rPr>
      </w:pPr>
    </w:p>
    <w:p w14:paraId="73377CF7" w14:textId="53F9E473" w:rsidR="006B1313" w:rsidRPr="006B1313" w:rsidRDefault="000043AE" w:rsidP="0041753B">
      <w:pPr>
        <w:pStyle w:val="Heading1"/>
      </w:pPr>
      <w:bookmarkStart w:id="20" w:name="_Toc190093249"/>
      <w:r w:rsidRPr="006553FF">
        <w:t xml:space="preserve">Automated </w:t>
      </w:r>
      <w:r w:rsidR="00807406">
        <w:t>D</w:t>
      </w:r>
      <w:r w:rsidRPr="006553FF">
        <w:t>ecision</w:t>
      </w:r>
      <w:r w:rsidR="00807406">
        <w:t>-M</w:t>
      </w:r>
      <w:r w:rsidRPr="006553FF">
        <w:t>aking</w:t>
      </w:r>
      <w:r w:rsidR="004D6ECE">
        <w:t xml:space="preserve">: Clause </w:t>
      </w:r>
      <w:r w:rsidR="00DA0F22">
        <w:t>80</w:t>
      </w:r>
      <w:bookmarkEnd w:id="20"/>
    </w:p>
    <w:p w14:paraId="293F3C77" w14:textId="77777777" w:rsidR="00E757B8" w:rsidRPr="00E757B8" w:rsidRDefault="00E757B8" w:rsidP="00E757B8"/>
    <w:p w14:paraId="58C34060" w14:textId="33138264" w:rsidR="003B5C63" w:rsidRDefault="009D7AA0" w:rsidP="009F45EA">
      <w:pPr>
        <w:pStyle w:val="ListParagraph"/>
      </w:pPr>
      <w:r w:rsidRPr="006553FF">
        <w:t xml:space="preserve">Automated decision-making is </w:t>
      </w:r>
      <w:r w:rsidR="001867AE" w:rsidRPr="006553FF">
        <w:t xml:space="preserve">the process of making a decision </w:t>
      </w:r>
      <w:r w:rsidR="00F401C8" w:rsidRPr="006553FF">
        <w:t>solely</w:t>
      </w:r>
      <w:r w:rsidR="001867AE" w:rsidRPr="006553FF">
        <w:t xml:space="preserve"> by automated </w:t>
      </w:r>
      <w:r w:rsidR="00371F9B" w:rsidRPr="006553FF">
        <w:t>means, without any human involvement.</w:t>
      </w:r>
      <w:r w:rsidR="00E24EC8" w:rsidRPr="006553FF">
        <w:rPr>
          <w:rStyle w:val="FootnoteReference"/>
        </w:rPr>
        <w:footnoteReference w:id="57"/>
      </w:r>
      <w:r w:rsidR="00371F9B" w:rsidRPr="006553FF">
        <w:t xml:space="preserve"> Such decisions can be based on </w:t>
      </w:r>
      <w:r w:rsidR="004E0952" w:rsidRPr="006553FF">
        <w:t>factual</w:t>
      </w:r>
      <w:r w:rsidR="00371F9B" w:rsidRPr="006553FF">
        <w:t xml:space="preserve"> data about a data subject, as well </w:t>
      </w:r>
      <w:r w:rsidR="0013441D" w:rsidRPr="006553FF">
        <w:t xml:space="preserve">as </w:t>
      </w:r>
      <w:r w:rsidR="004E0952" w:rsidRPr="006553FF">
        <w:t xml:space="preserve">on </w:t>
      </w:r>
      <w:r w:rsidR="00371F9B" w:rsidRPr="006553FF">
        <w:t>d</w:t>
      </w:r>
      <w:r w:rsidR="004E0952" w:rsidRPr="006553FF">
        <w:t>ata from digital</w:t>
      </w:r>
      <w:r w:rsidR="00AA41BA" w:rsidRPr="006553FF">
        <w:t>ly</w:t>
      </w:r>
      <w:r w:rsidR="004E0952" w:rsidRPr="006553FF">
        <w:t xml:space="preserve"> created profiles of data subjects. The process of creating a digital profile of a data subject is called </w:t>
      </w:r>
      <w:r w:rsidR="00D94677">
        <w:t>“</w:t>
      </w:r>
      <w:r w:rsidR="004E0952" w:rsidRPr="006553FF">
        <w:t>profiling</w:t>
      </w:r>
      <w:r w:rsidR="00D94677">
        <w:t>”</w:t>
      </w:r>
      <w:r w:rsidR="004E0952" w:rsidRPr="006553FF">
        <w:t>.</w:t>
      </w:r>
      <w:r w:rsidR="007F07C5" w:rsidRPr="006553FF">
        <w:rPr>
          <w:rStyle w:val="FootnoteReference"/>
        </w:rPr>
        <w:footnoteReference w:id="58"/>
      </w:r>
      <w:r w:rsidR="004E0952" w:rsidRPr="006553FF">
        <w:t xml:space="preserve"> Profiling is </w:t>
      </w:r>
      <w:r w:rsidR="000D0567" w:rsidRPr="006553FF">
        <w:t xml:space="preserve">the </w:t>
      </w:r>
      <w:r w:rsidR="00DB3E0C" w:rsidRPr="006553FF">
        <w:t xml:space="preserve">automated </w:t>
      </w:r>
      <w:r w:rsidR="000D0567" w:rsidRPr="006553FF">
        <w:t>processing</w:t>
      </w:r>
      <w:r w:rsidR="00DB3E0C" w:rsidRPr="006553FF">
        <w:t xml:space="preserve"> of </w:t>
      </w:r>
      <w:r w:rsidR="00AA41BA" w:rsidRPr="006553FF">
        <w:t xml:space="preserve">personal </w:t>
      </w:r>
      <w:r w:rsidR="00DB3E0C" w:rsidRPr="006553FF">
        <w:t>data</w:t>
      </w:r>
      <w:r w:rsidR="003F3E95" w:rsidRPr="006553FF">
        <w:t xml:space="preserve"> (personal data like internet searches histories, buying habits, lifestyle and behavioural data</w:t>
      </w:r>
      <w:r w:rsidR="00CB4CAD" w:rsidRPr="006553FF">
        <w:t>, etc</w:t>
      </w:r>
      <w:r w:rsidR="003F3E95" w:rsidRPr="006553FF">
        <w:t>)</w:t>
      </w:r>
      <w:r w:rsidR="00BB04E4" w:rsidRPr="006553FF">
        <w:t>.</w:t>
      </w:r>
      <w:r w:rsidR="0013441D" w:rsidRPr="006553FF">
        <w:t xml:space="preserve"> </w:t>
      </w:r>
      <w:r w:rsidR="00BB04E4" w:rsidRPr="006553FF">
        <w:t xml:space="preserve">This </w:t>
      </w:r>
      <w:r w:rsidR="0013441D" w:rsidRPr="006553FF">
        <w:t>is then</w:t>
      </w:r>
      <w:r w:rsidR="00FA6D7D" w:rsidRPr="006553FF">
        <w:t xml:space="preserve"> </w:t>
      </w:r>
      <w:r w:rsidR="003F3E95" w:rsidRPr="006553FF">
        <w:t xml:space="preserve">used </w:t>
      </w:r>
      <w:r w:rsidR="00FA6D7D" w:rsidRPr="006553FF">
        <w:t xml:space="preserve">to evaluate certain aspects </w:t>
      </w:r>
      <w:r w:rsidR="0034140D" w:rsidRPr="006553FF">
        <w:t>of</w:t>
      </w:r>
      <w:r w:rsidR="00FA6D7D" w:rsidRPr="006553FF">
        <w:t xml:space="preserve"> an </w:t>
      </w:r>
      <w:r w:rsidR="0034140D" w:rsidRPr="006553FF">
        <w:t>individual’s</w:t>
      </w:r>
      <w:r w:rsidR="00FA6D7D" w:rsidRPr="006553FF">
        <w:t xml:space="preserve"> personality</w:t>
      </w:r>
      <w:r w:rsidR="006B72E3" w:rsidRPr="006553FF">
        <w:t xml:space="preserve"> or to make </w:t>
      </w:r>
      <w:r w:rsidR="0013441D" w:rsidRPr="006553FF">
        <w:t>predictions</w:t>
      </w:r>
      <w:r w:rsidR="006B72E3" w:rsidRPr="006553FF">
        <w:t xml:space="preserve"> </w:t>
      </w:r>
      <w:r w:rsidR="006B72E3" w:rsidRPr="006553FF">
        <w:lastRenderedPageBreak/>
        <w:t>and decisions about them (for example</w:t>
      </w:r>
      <w:r w:rsidR="009F45EA" w:rsidRPr="006553FF">
        <w:t>,</w:t>
      </w:r>
      <w:r w:rsidR="006B72E3" w:rsidRPr="006553FF">
        <w:t xml:space="preserve"> to </w:t>
      </w:r>
      <w:r w:rsidR="009F45EA" w:rsidRPr="006553FF">
        <w:t>analyse</w:t>
      </w:r>
      <w:r w:rsidR="006B72E3" w:rsidRPr="006553FF">
        <w:t xml:space="preserve"> </w:t>
      </w:r>
      <w:r w:rsidR="009F45EA" w:rsidRPr="006553FF">
        <w:t xml:space="preserve">or </w:t>
      </w:r>
      <w:r w:rsidR="0013441D" w:rsidRPr="006553FF">
        <w:t>predict</w:t>
      </w:r>
      <w:r w:rsidR="009F45EA" w:rsidRPr="006553FF">
        <w:t xml:space="preserve"> a</w:t>
      </w:r>
      <w:r w:rsidR="0013441D" w:rsidRPr="006553FF">
        <w:t xml:space="preserve">n </w:t>
      </w:r>
      <w:r w:rsidR="00CB164E" w:rsidRPr="006553FF">
        <w:t>individual’s</w:t>
      </w:r>
      <w:r w:rsidR="009F45EA" w:rsidRPr="006553FF">
        <w:t xml:space="preserve"> </w:t>
      </w:r>
      <w:r w:rsidR="00CB164E" w:rsidRPr="006553FF">
        <w:t>performance at work, economic situation</w:t>
      </w:r>
      <w:r w:rsidR="008B53F0" w:rsidRPr="006553FF">
        <w:t xml:space="preserve"> or</w:t>
      </w:r>
      <w:r w:rsidR="00CB164E" w:rsidRPr="006553FF">
        <w:t xml:space="preserve"> health).</w:t>
      </w:r>
      <w:r w:rsidR="00CB164E" w:rsidRPr="006553FF">
        <w:rPr>
          <w:rStyle w:val="FootnoteReference"/>
        </w:rPr>
        <w:footnoteReference w:id="59"/>
      </w:r>
    </w:p>
    <w:p w14:paraId="7420F7EA" w14:textId="77777777" w:rsidR="003C69BE" w:rsidRPr="006553FF" w:rsidRDefault="003C69BE" w:rsidP="003C69BE">
      <w:pPr>
        <w:pStyle w:val="ListParagraph"/>
        <w:numPr>
          <w:ilvl w:val="0"/>
          <w:numId w:val="0"/>
        </w:numPr>
        <w:ind w:left="720"/>
      </w:pPr>
    </w:p>
    <w:p w14:paraId="49028C27" w14:textId="46DE1DE5" w:rsidR="003C69BE" w:rsidRPr="006553FF" w:rsidRDefault="003C69BE" w:rsidP="003C69BE">
      <w:pPr>
        <w:pStyle w:val="ListParagraph"/>
      </w:pPr>
      <w:r>
        <w:t xml:space="preserve">Automated decision-making can have a real and detrimental effect on the rights and experiences of rights holders. </w:t>
      </w:r>
      <w:r w:rsidR="00C560ED">
        <w:t xml:space="preserve">A </w:t>
      </w:r>
      <w:r w:rsidRPr="006553FF">
        <w:t xml:space="preserve">recent report on the cross-border transfer of personal data on the island </w:t>
      </w:r>
      <w:r w:rsidR="00DB065E">
        <w:t xml:space="preserve">of Ireland </w:t>
      </w:r>
      <w:r w:rsidRPr="006553FF">
        <w:t>highlight</w:t>
      </w:r>
      <w:r w:rsidR="00DB065E">
        <w:t>ed</w:t>
      </w:r>
      <w:r w:rsidRPr="006553FF">
        <w:t xml:space="preserve"> an example of such </w:t>
      </w:r>
      <w:r w:rsidR="00DB065E">
        <w:t>impact</w:t>
      </w:r>
      <w:r w:rsidRPr="006553FF">
        <w:t>: the A-level grading algorithm scandal.</w:t>
      </w:r>
      <w:r w:rsidRPr="006553FF">
        <w:rPr>
          <w:rStyle w:val="FootnoteReference"/>
        </w:rPr>
        <w:footnoteReference w:id="60"/>
      </w:r>
      <w:r w:rsidRPr="006553FF">
        <w:t xml:space="preserve"> In 2020, A-level grades were determined in a problematic way by an algorithm, resulting in 40% of students receiving lower grades than what they anticipated. The data processed by the algorithm when deciding what grade to award was not sensitive personal data. It was based on historic academic performances of the schools and the school rankings of the students. Yet, the decision had a profound negative effect on the students whose grades were lower than the predictions.</w:t>
      </w:r>
      <w:r w:rsidRPr="006553FF">
        <w:rPr>
          <w:rStyle w:val="FootnoteReference"/>
        </w:rPr>
        <w:footnoteReference w:id="61"/>
      </w:r>
      <w:r w:rsidRPr="006553FF">
        <w:t xml:space="preserve"> </w:t>
      </w:r>
    </w:p>
    <w:p w14:paraId="7490989B" w14:textId="77777777" w:rsidR="00125ABB" w:rsidRPr="006553FF" w:rsidRDefault="00125ABB" w:rsidP="00125ABB">
      <w:pPr>
        <w:rPr>
          <w:rFonts w:ascii="Verdana" w:hAnsi="Verdana"/>
        </w:rPr>
      </w:pPr>
    </w:p>
    <w:p w14:paraId="60B87E38" w14:textId="0002C678" w:rsidR="00B5429A" w:rsidRPr="006553FF" w:rsidRDefault="00125ABB" w:rsidP="006B1313">
      <w:pPr>
        <w:pStyle w:val="ListParagraph"/>
      </w:pPr>
      <w:r w:rsidRPr="006553FF">
        <w:t xml:space="preserve">The provisions </w:t>
      </w:r>
      <w:r w:rsidR="00D078D1">
        <w:t>protecting</w:t>
      </w:r>
      <w:r w:rsidR="00E976EC">
        <w:t xml:space="preserve"> rights holders from </w:t>
      </w:r>
      <w:r w:rsidRPr="006553FF">
        <w:t xml:space="preserve">automated decision-making in the UK GDPR currently mirror the EU GDPR. The European Data Protection Board, which is the independent </w:t>
      </w:r>
      <w:r w:rsidR="008B53F0" w:rsidRPr="006553FF">
        <w:t xml:space="preserve">EU </w:t>
      </w:r>
      <w:r w:rsidRPr="006553FF">
        <w:t>body overseeing the consistent application of</w:t>
      </w:r>
      <w:r w:rsidR="008B53F0" w:rsidRPr="006553FF">
        <w:t xml:space="preserve"> EU</w:t>
      </w:r>
      <w:r w:rsidRPr="006553FF">
        <w:t xml:space="preserve"> GDPR throughout the EU, has noted in their Opinion on the EU Commission </w:t>
      </w:r>
      <w:r w:rsidR="005E551A">
        <w:t>data</w:t>
      </w:r>
      <w:r w:rsidR="005E551A" w:rsidRPr="006553FF">
        <w:t xml:space="preserve"> </w:t>
      </w:r>
      <w:r w:rsidRPr="006553FF">
        <w:t xml:space="preserve">adequacy decision between the UK and EU that this is one of the areas where there is currently a </w:t>
      </w:r>
      <w:r w:rsidR="00B939D8">
        <w:t>“</w:t>
      </w:r>
      <w:r w:rsidRPr="006553FF">
        <w:t>strong alignment</w:t>
      </w:r>
      <w:r w:rsidR="00B939D8">
        <w:t xml:space="preserve">” </w:t>
      </w:r>
      <w:r w:rsidRPr="006553FF">
        <w:t>between the two regimes.</w:t>
      </w:r>
      <w:r w:rsidRPr="006553FF">
        <w:rPr>
          <w:rStyle w:val="FootnoteReference"/>
          <w:rFonts w:cstheme="minorHAnsi"/>
        </w:rPr>
        <w:footnoteReference w:id="62"/>
      </w:r>
      <w:r w:rsidR="006B1313">
        <w:t xml:space="preserve"> </w:t>
      </w:r>
    </w:p>
    <w:p w14:paraId="11464900" w14:textId="77777777" w:rsidR="00990FC5" w:rsidRPr="006553FF" w:rsidRDefault="00990FC5" w:rsidP="00990FC5">
      <w:pPr>
        <w:pStyle w:val="ListParagraph"/>
        <w:numPr>
          <w:ilvl w:val="0"/>
          <w:numId w:val="0"/>
        </w:numPr>
        <w:ind w:left="720"/>
      </w:pPr>
    </w:p>
    <w:p w14:paraId="7C49C096" w14:textId="03F6D381" w:rsidR="00A07A36" w:rsidRPr="006553FF" w:rsidRDefault="007218DD" w:rsidP="00AA2A78">
      <w:pPr>
        <w:pStyle w:val="ListParagraph"/>
      </w:pPr>
      <w:r w:rsidRPr="006553FF">
        <w:t>Article 22(1)</w:t>
      </w:r>
      <w:r w:rsidR="00A20256">
        <w:t xml:space="preserve">, </w:t>
      </w:r>
      <w:r w:rsidRPr="006553FF">
        <w:t>UK GDPR</w:t>
      </w:r>
      <w:r w:rsidR="00807406">
        <w:t xml:space="preserve">, which currently aligns with </w:t>
      </w:r>
      <w:r w:rsidR="00B939D8">
        <w:t xml:space="preserve">the </w:t>
      </w:r>
      <w:r w:rsidR="00807406">
        <w:t>EU GDPR,</w:t>
      </w:r>
      <w:r w:rsidRPr="006553FF">
        <w:t xml:space="preserve"> </w:t>
      </w:r>
      <w:r w:rsidR="0085632D">
        <w:t>recognises the right of a</w:t>
      </w:r>
      <w:r w:rsidRPr="006553FF">
        <w:t xml:space="preserve"> data subject </w:t>
      </w:r>
      <w:r w:rsidR="00196042">
        <w:t xml:space="preserve">not to be subject to a decision based solely on </w:t>
      </w:r>
      <w:r w:rsidRPr="006553FF">
        <w:t xml:space="preserve">automated </w:t>
      </w:r>
      <w:r w:rsidR="00196042">
        <w:t>processing</w:t>
      </w:r>
      <w:r w:rsidRPr="006553FF">
        <w:t>,</w:t>
      </w:r>
      <w:r w:rsidR="0011794F" w:rsidRPr="006553FF">
        <w:t xml:space="preserve"> including profiling, which </w:t>
      </w:r>
      <w:r w:rsidR="002E2C44" w:rsidRPr="006553FF">
        <w:t xml:space="preserve">produces a legal effect concerning the data subject </w:t>
      </w:r>
      <w:r w:rsidR="00AF65CB" w:rsidRPr="006553FF">
        <w:t xml:space="preserve">or has a </w:t>
      </w:r>
      <w:r w:rsidR="000F1849" w:rsidRPr="006553FF">
        <w:t>similarly</w:t>
      </w:r>
      <w:r w:rsidR="00AF65CB" w:rsidRPr="006553FF">
        <w:t xml:space="preserve"> significant effect on the data subject.</w:t>
      </w:r>
      <w:r w:rsidR="007D0081" w:rsidRPr="006553FF">
        <w:rPr>
          <w:rStyle w:val="FootnoteReference"/>
        </w:rPr>
        <w:footnoteReference w:id="63"/>
      </w:r>
      <w:r w:rsidR="00AF65CB" w:rsidRPr="006553FF">
        <w:t xml:space="preserve"> </w:t>
      </w:r>
    </w:p>
    <w:p w14:paraId="346E2D22" w14:textId="77777777" w:rsidR="00A07A36" w:rsidRPr="006553FF" w:rsidRDefault="00A07A36" w:rsidP="00B029CF">
      <w:pPr>
        <w:pStyle w:val="ListParagraph"/>
        <w:numPr>
          <w:ilvl w:val="0"/>
          <w:numId w:val="0"/>
        </w:numPr>
        <w:ind w:left="720"/>
      </w:pPr>
    </w:p>
    <w:p w14:paraId="587185DD" w14:textId="3EE0FC57" w:rsidR="007D0081" w:rsidRPr="006553FF" w:rsidRDefault="00382F84" w:rsidP="00AA2A78">
      <w:pPr>
        <w:pStyle w:val="ListParagraph"/>
      </w:pPr>
      <w:r>
        <w:lastRenderedPageBreak/>
        <w:t>T</w:t>
      </w:r>
      <w:r w:rsidR="00503AE5" w:rsidRPr="006553FF">
        <w:t>hree ex</w:t>
      </w:r>
      <w:r>
        <w:t>emp</w:t>
      </w:r>
      <w:r w:rsidR="00503AE5" w:rsidRPr="006553FF">
        <w:t xml:space="preserve">tions </w:t>
      </w:r>
      <w:r>
        <w:t>are set out in</w:t>
      </w:r>
      <w:r w:rsidR="00C41308">
        <w:t xml:space="preserve"> Article 22(2)</w:t>
      </w:r>
      <w:r w:rsidR="000F2871">
        <w:t>,</w:t>
      </w:r>
      <w:r w:rsidR="007324F3">
        <w:t xml:space="preserve"> first</w:t>
      </w:r>
      <w:r w:rsidR="000F2871">
        <w:t>ly</w:t>
      </w:r>
      <w:r w:rsidR="00C41308">
        <w:t xml:space="preserve"> </w:t>
      </w:r>
      <w:r w:rsidR="00C60940">
        <w:t>in relation to a</w:t>
      </w:r>
      <w:r w:rsidR="007D0081" w:rsidRPr="006553FF">
        <w:t xml:space="preserve"> decision necessary for a contract between the data subject and the data controller</w:t>
      </w:r>
      <w:r w:rsidR="004E672D">
        <w:t xml:space="preserve">. </w:t>
      </w:r>
      <w:r w:rsidR="00E87447">
        <w:t>Second, a</w:t>
      </w:r>
      <w:r w:rsidR="004E672D">
        <w:t xml:space="preserve"> decision based </w:t>
      </w:r>
      <w:r w:rsidR="00CE0E41">
        <w:t>solely</w:t>
      </w:r>
      <w:r w:rsidR="004E672D">
        <w:t xml:space="preserve"> on automated </w:t>
      </w:r>
      <w:r w:rsidR="00CE0E41">
        <w:t>processing of data</w:t>
      </w:r>
      <w:r w:rsidR="004E672D">
        <w:t xml:space="preserve"> </w:t>
      </w:r>
      <w:r w:rsidR="00CE6307">
        <w:t xml:space="preserve">can also be permitted </w:t>
      </w:r>
      <w:r w:rsidR="007D0081" w:rsidRPr="006553FF">
        <w:t>if the decision is allowed by law</w:t>
      </w:r>
      <w:r w:rsidR="00141913" w:rsidRPr="006553FF">
        <w:t xml:space="preserve">, </w:t>
      </w:r>
      <w:r w:rsidR="00CE6307">
        <w:t xml:space="preserve">as long as it </w:t>
      </w:r>
      <w:r w:rsidR="004A78A7">
        <w:t xml:space="preserve">is </w:t>
      </w:r>
      <w:r w:rsidR="00CE6307">
        <w:t>still in</w:t>
      </w:r>
      <w:r w:rsidR="00322499" w:rsidRPr="006553FF">
        <w:t xml:space="preserve"> </w:t>
      </w:r>
      <w:r w:rsidR="00A07A36" w:rsidRPr="006553FF">
        <w:t>accordance</w:t>
      </w:r>
      <w:r w:rsidR="00322499" w:rsidRPr="006553FF">
        <w:t xml:space="preserve"> with the safeguards </w:t>
      </w:r>
      <w:r w:rsidR="00A07A36" w:rsidRPr="006553FF">
        <w:t>laid</w:t>
      </w:r>
      <w:r w:rsidR="00322499" w:rsidRPr="006553FF">
        <w:t xml:space="preserve"> down </w:t>
      </w:r>
      <w:r w:rsidR="00DD494B">
        <w:t>in</w:t>
      </w:r>
      <w:r w:rsidR="00DD494B" w:rsidRPr="006553FF">
        <w:t xml:space="preserve"> </w:t>
      </w:r>
      <w:r w:rsidR="00322499" w:rsidRPr="006553FF">
        <w:t>law to protect data subjects’ rights, freedoms and legitimate interests</w:t>
      </w:r>
      <w:r w:rsidR="00CE6307">
        <w:t>.</w:t>
      </w:r>
      <w:r w:rsidR="00322499" w:rsidRPr="006553FF">
        <w:t xml:space="preserve"> </w:t>
      </w:r>
      <w:r w:rsidR="00F90C37">
        <w:t>The third exemption is for decisions based on</w:t>
      </w:r>
      <w:r w:rsidR="00292205" w:rsidRPr="006553FF">
        <w:t xml:space="preserve"> </w:t>
      </w:r>
      <w:r w:rsidR="007D0081" w:rsidRPr="006553FF">
        <w:t>the explicit consent of the data subject.</w:t>
      </w:r>
      <w:r w:rsidR="00A8619F" w:rsidRPr="006553FF">
        <w:rPr>
          <w:rStyle w:val="FootnoteReference"/>
        </w:rPr>
        <w:footnoteReference w:id="64"/>
      </w:r>
      <w:r w:rsidR="007D0081" w:rsidRPr="006553FF">
        <w:t xml:space="preserve"> Where </w:t>
      </w:r>
      <w:r w:rsidR="00CE0E41">
        <w:t>one of these</w:t>
      </w:r>
      <w:r w:rsidR="007D0081" w:rsidRPr="006553FF">
        <w:t xml:space="preserve"> exemption</w:t>
      </w:r>
      <w:r w:rsidR="00CE0E41">
        <w:t>s</w:t>
      </w:r>
      <w:r w:rsidR="007D0081" w:rsidRPr="006553FF">
        <w:t xml:space="preserve"> is </w:t>
      </w:r>
      <w:r w:rsidR="00CE1603">
        <w:t>utilised</w:t>
      </w:r>
      <w:r w:rsidR="007D0081" w:rsidRPr="006553FF">
        <w:t xml:space="preserve">, the data controller is still under </w:t>
      </w:r>
      <w:r w:rsidR="009E0709">
        <w:t xml:space="preserve">a </w:t>
      </w:r>
      <w:r w:rsidR="007D0081" w:rsidRPr="006553FF">
        <w:t>duty to adopt measures to safeguard the rights and freedoms of the data subject.</w:t>
      </w:r>
      <w:r w:rsidR="007D0081" w:rsidRPr="006553FF">
        <w:rPr>
          <w:rStyle w:val="FootnoteReference"/>
        </w:rPr>
        <w:footnoteReference w:id="65"/>
      </w:r>
    </w:p>
    <w:p w14:paraId="16295258" w14:textId="77777777" w:rsidR="007D0081" w:rsidRPr="006553FF" w:rsidRDefault="007D0081" w:rsidP="00AA2A78">
      <w:pPr>
        <w:pStyle w:val="ListParagraph"/>
        <w:numPr>
          <w:ilvl w:val="0"/>
          <w:numId w:val="0"/>
        </w:numPr>
        <w:ind w:left="720"/>
      </w:pPr>
    </w:p>
    <w:p w14:paraId="22453685" w14:textId="77777777" w:rsidR="00EF15DA" w:rsidRDefault="008B53F0" w:rsidP="00EF15DA">
      <w:pPr>
        <w:pStyle w:val="ListParagraph"/>
      </w:pPr>
      <w:r w:rsidRPr="006553FF">
        <w:t xml:space="preserve">The </w:t>
      </w:r>
      <w:r w:rsidR="003D0FB0" w:rsidRPr="006553FF">
        <w:t xml:space="preserve">UK GDPR </w:t>
      </w:r>
      <w:r w:rsidRPr="006553FF">
        <w:t xml:space="preserve">currently </w:t>
      </w:r>
      <w:r w:rsidR="003D0FB0" w:rsidRPr="006553FF">
        <w:t>protects individuals from automated decision-</w:t>
      </w:r>
      <w:r w:rsidR="007D0081" w:rsidRPr="006553FF">
        <w:t>making</w:t>
      </w:r>
      <w:r w:rsidR="003D0FB0" w:rsidRPr="006553FF">
        <w:t xml:space="preserve"> based on all types of data</w:t>
      </w:r>
      <w:r w:rsidR="007D0081" w:rsidRPr="006553FF">
        <w:t>, not just personal or sensitive data.</w:t>
      </w:r>
    </w:p>
    <w:p w14:paraId="54495213" w14:textId="77777777" w:rsidR="00EF15DA" w:rsidRDefault="00EF15DA" w:rsidP="002E6E30">
      <w:pPr>
        <w:pStyle w:val="ListParagraph"/>
        <w:numPr>
          <w:ilvl w:val="0"/>
          <w:numId w:val="0"/>
        </w:numPr>
        <w:ind w:left="720"/>
      </w:pPr>
    </w:p>
    <w:p w14:paraId="00115CB6" w14:textId="2DBD8A35" w:rsidR="00E33316" w:rsidRDefault="00B444E8" w:rsidP="002E6E30">
      <w:pPr>
        <w:pStyle w:val="ListParagraph"/>
      </w:pPr>
      <w:r w:rsidRPr="006553FF">
        <w:t>Clause</w:t>
      </w:r>
      <w:r w:rsidRPr="006553FF" w:rsidDel="00836DC9">
        <w:t xml:space="preserve"> </w:t>
      </w:r>
      <w:r w:rsidR="00836DC9">
        <w:t>80</w:t>
      </w:r>
      <w:r w:rsidR="00836DC9" w:rsidRPr="006553FF">
        <w:t xml:space="preserve"> </w:t>
      </w:r>
      <w:r w:rsidRPr="006553FF">
        <w:t xml:space="preserve">of the Bill (Automated decision-making) is </w:t>
      </w:r>
      <w:r w:rsidR="00FD4A70">
        <w:t>intended</w:t>
      </w:r>
      <w:r w:rsidR="00FD4A70" w:rsidRPr="006553FF">
        <w:t xml:space="preserve"> </w:t>
      </w:r>
      <w:r w:rsidRPr="006553FF">
        <w:t>to replace Article 22</w:t>
      </w:r>
      <w:r w:rsidR="00A20256">
        <w:t xml:space="preserve">, </w:t>
      </w:r>
      <w:r w:rsidR="009553C8" w:rsidRPr="006553FF">
        <w:t xml:space="preserve">UK </w:t>
      </w:r>
      <w:r w:rsidRPr="006553FF">
        <w:t xml:space="preserve">GDPR with new proposed articles 22A-22D which will amend the rules on </w:t>
      </w:r>
      <w:r w:rsidR="00D21E1E" w:rsidRPr="006553FF">
        <w:t>automated decision-making</w:t>
      </w:r>
      <w:r w:rsidR="008B53F0" w:rsidRPr="006553FF">
        <w:t xml:space="preserve">. </w:t>
      </w:r>
    </w:p>
    <w:p w14:paraId="1664FA83" w14:textId="77777777" w:rsidR="00EF15DA" w:rsidRDefault="00EF15DA" w:rsidP="002E6E30">
      <w:pPr>
        <w:pStyle w:val="NIHRC"/>
      </w:pPr>
    </w:p>
    <w:p w14:paraId="6DC9E2C4" w14:textId="1E6143E9" w:rsidR="00874D19" w:rsidRDefault="007C5A64" w:rsidP="00367C8F">
      <w:pPr>
        <w:pStyle w:val="ListParagraph"/>
      </w:pPr>
      <w:r w:rsidRPr="004D47D9">
        <w:t xml:space="preserve">Article </w:t>
      </w:r>
      <w:r w:rsidR="00874D19">
        <w:t>4 (definitions)</w:t>
      </w:r>
      <w:r w:rsidR="00A20256">
        <w:t xml:space="preserve">, </w:t>
      </w:r>
      <w:r w:rsidR="00980382" w:rsidRPr="004D47D9">
        <w:t>UK GDPR</w:t>
      </w:r>
      <w:r w:rsidR="00EA48BD" w:rsidRPr="00EA48BD">
        <w:t xml:space="preserve"> </w:t>
      </w:r>
      <w:r w:rsidR="00EA48BD">
        <w:t xml:space="preserve">currently aligns with </w:t>
      </w:r>
      <w:r w:rsidR="00991D20">
        <w:t xml:space="preserve">the </w:t>
      </w:r>
      <w:r w:rsidR="00EA48BD">
        <w:t>EU GDPR and</w:t>
      </w:r>
      <w:r w:rsidR="00980382" w:rsidRPr="004D47D9">
        <w:t xml:space="preserve"> defines personal data </w:t>
      </w:r>
      <w:r w:rsidR="00C40E78">
        <w:t xml:space="preserve">as </w:t>
      </w:r>
      <w:r w:rsidR="00C40E78" w:rsidRPr="00C40E78">
        <w:t>any information relating to an identified or identifiable natural person</w:t>
      </w:r>
      <w:r w:rsidR="00C40E78">
        <w:t>.</w:t>
      </w:r>
      <w:r w:rsidR="00C40E78">
        <w:rPr>
          <w:rStyle w:val="FootnoteReference"/>
        </w:rPr>
        <w:footnoteReference w:id="66"/>
      </w:r>
      <w:r w:rsidR="00C40E78">
        <w:t xml:space="preserve"> </w:t>
      </w:r>
    </w:p>
    <w:p w14:paraId="52E55A75" w14:textId="77777777" w:rsidR="00C40E78" w:rsidRDefault="00C40E78" w:rsidP="00C40E78">
      <w:pPr>
        <w:pStyle w:val="ListParagraph"/>
        <w:numPr>
          <w:ilvl w:val="0"/>
          <w:numId w:val="0"/>
        </w:numPr>
        <w:ind w:left="720"/>
      </w:pPr>
    </w:p>
    <w:p w14:paraId="56508E3D" w14:textId="0A74E694" w:rsidR="007C5A64" w:rsidRPr="004D47D9" w:rsidRDefault="007076DC" w:rsidP="00367C8F">
      <w:pPr>
        <w:pStyle w:val="ListParagraph"/>
      </w:pPr>
      <w:r>
        <w:t xml:space="preserve">The </w:t>
      </w:r>
      <w:r w:rsidR="00C40E78">
        <w:t xml:space="preserve">UK GDPR and </w:t>
      </w:r>
      <w:r>
        <w:t xml:space="preserve">the </w:t>
      </w:r>
      <w:r w:rsidR="00C40E78">
        <w:t>EU GDPR further align in the</w:t>
      </w:r>
      <w:r w:rsidR="009C6DB8">
        <w:t xml:space="preserve">ir definition of special categories of personal data. These special categories of personal data are </w:t>
      </w:r>
      <w:r w:rsidR="007C5A64" w:rsidRPr="004D47D9">
        <w:t xml:space="preserve">data </w:t>
      </w:r>
      <w:r w:rsidR="00980382" w:rsidRPr="004D47D9">
        <w:t xml:space="preserve">that </w:t>
      </w:r>
      <w:r w:rsidR="007C5A64" w:rsidRPr="004D47D9">
        <w:t>reveals racial or ethnic origin, political opinions, religious or philosophical beliefs, trade union membership, genetic data and biometric data for the purpose of uniquely identifying a natural person, health data and data concerning a person’s sex life or sexual orientation</w:t>
      </w:r>
      <w:r w:rsidR="00473598">
        <w:t>. Where such categories of personal data are engaged,</w:t>
      </w:r>
      <w:r w:rsidR="007C5A64" w:rsidRPr="004D47D9">
        <w:t xml:space="preserve"> prohibitions on processing apply.</w:t>
      </w:r>
      <w:r w:rsidR="007C5A64" w:rsidRPr="004D47D9">
        <w:rPr>
          <w:rStyle w:val="FootnoteReference"/>
        </w:rPr>
        <w:footnoteReference w:id="67"/>
      </w:r>
      <w:r w:rsidR="007C5A64" w:rsidRPr="004D47D9">
        <w:t xml:space="preserve"> </w:t>
      </w:r>
    </w:p>
    <w:p w14:paraId="67E13A82" w14:textId="77777777" w:rsidR="00367C8F" w:rsidRPr="004D47D9" w:rsidRDefault="00367C8F" w:rsidP="00367C8F">
      <w:pPr>
        <w:pStyle w:val="ListParagraph"/>
        <w:numPr>
          <w:ilvl w:val="0"/>
          <w:numId w:val="0"/>
        </w:numPr>
        <w:ind w:left="720"/>
        <w:rPr>
          <w:highlight w:val="yellow"/>
        </w:rPr>
      </w:pPr>
    </w:p>
    <w:p w14:paraId="338996BF" w14:textId="6DCFD176" w:rsidR="00367C8F" w:rsidRPr="006553FF" w:rsidRDefault="00EA48BD" w:rsidP="001C16F7">
      <w:pPr>
        <w:pStyle w:val="ListParagraph"/>
      </w:pPr>
      <w:r>
        <w:t xml:space="preserve">Currently, </w:t>
      </w:r>
      <w:r w:rsidR="004D15E1">
        <w:t xml:space="preserve">the </w:t>
      </w:r>
      <w:r w:rsidR="00D72468" w:rsidRPr="004D47D9">
        <w:t>UK GDPR</w:t>
      </w:r>
      <w:r w:rsidR="004D15E1">
        <w:t>, aligned with the EU GDPR,</w:t>
      </w:r>
      <w:r w:rsidR="00D72468" w:rsidRPr="004D47D9">
        <w:t xml:space="preserve"> prohibit</w:t>
      </w:r>
      <w:r w:rsidR="004D15E1">
        <w:t>s</w:t>
      </w:r>
      <w:r w:rsidR="00D72468" w:rsidRPr="004D47D9">
        <w:t xml:space="preserve"> the </w:t>
      </w:r>
      <w:r w:rsidR="00CE2907" w:rsidRPr="004D47D9">
        <w:t xml:space="preserve">processing of </w:t>
      </w:r>
      <w:r w:rsidR="004D15E1">
        <w:t>special categories of</w:t>
      </w:r>
      <w:r w:rsidR="00214769" w:rsidRPr="004D47D9">
        <w:t xml:space="preserve"> </w:t>
      </w:r>
      <w:r w:rsidR="00214769" w:rsidRPr="006553FF">
        <w:t>personal data, unless one of the exceptions applies.</w:t>
      </w:r>
      <w:r w:rsidR="00C35F4A" w:rsidRPr="006553FF">
        <w:rPr>
          <w:rStyle w:val="FootnoteReference"/>
        </w:rPr>
        <w:footnoteReference w:id="68"/>
      </w:r>
      <w:r w:rsidR="00214769" w:rsidRPr="006553FF">
        <w:t xml:space="preserve"> </w:t>
      </w:r>
      <w:r w:rsidR="007C5A64" w:rsidRPr="006553FF">
        <w:t>Article 9</w:t>
      </w:r>
      <w:r w:rsidR="00A20256">
        <w:t xml:space="preserve">, </w:t>
      </w:r>
      <w:r w:rsidR="00980382" w:rsidRPr="006553FF">
        <w:t xml:space="preserve">UK </w:t>
      </w:r>
      <w:r w:rsidR="007C5A64" w:rsidRPr="006553FF">
        <w:t>GDPR also contains a number of exceptions to the general rule of prohibiting the processing of special categories of personal data</w:t>
      </w:r>
      <w:r w:rsidR="00334DF7" w:rsidRPr="006553FF">
        <w:t>, including</w:t>
      </w:r>
      <w:r w:rsidR="007C5A64" w:rsidRPr="006553FF">
        <w:t xml:space="preserve"> if the data subject has given explicit consent for the processing of personal data</w:t>
      </w:r>
      <w:r w:rsidR="00334DF7" w:rsidRPr="006553FF">
        <w:t>;</w:t>
      </w:r>
      <w:r w:rsidR="007C5A64" w:rsidRPr="006553FF">
        <w:rPr>
          <w:rStyle w:val="FootnoteReference"/>
        </w:rPr>
        <w:footnoteReference w:id="69"/>
      </w:r>
      <w:r w:rsidR="007C5A64" w:rsidRPr="006553FF">
        <w:t xml:space="preserve"> or if the processing is needed for reasons of substantial public interest.</w:t>
      </w:r>
      <w:r w:rsidR="007C5A64" w:rsidRPr="006553FF">
        <w:rPr>
          <w:rStyle w:val="FootnoteReference"/>
        </w:rPr>
        <w:footnoteReference w:id="70"/>
      </w:r>
      <w:r w:rsidR="007C5A64" w:rsidRPr="006553FF">
        <w:t xml:space="preserve"> In addition, processing of special categories of data has to be legitimate, proportionate and mindful of data subjects’ fundamental rights and interests.</w:t>
      </w:r>
      <w:r w:rsidR="007C5A64" w:rsidRPr="006553FF">
        <w:rPr>
          <w:rStyle w:val="FootnoteReference"/>
        </w:rPr>
        <w:footnoteReference w:id="71"/>
      </w:r>
      <w:r w:rsidR="007C5A64" w:rsidRPr="006553FF">
        <w:t xml:space="preserve"> </w:t>
      </w:r>
    </w:p>
    <w:p w14:paraId="585F4E4C" w14:textId="77777777" w:rsidR="004E061B" w:rsidRPr="006553FF" w:rsidRDefault="004E061B" w:rsidP="00367C8F">
      <w:pPr>
        <w:pStyle w:val="ListParagraph"/>
        <w:numPr>
          <w:ilvl w:val="0"/>
          <w:numId w:val="0"/>
        </w:numPr>
        <w:ind w:left="720"/>
      </w:pPr>
    </w:p>
    <w:p w14:paraId="69758800" w14:textId="331ECF95" w:rsidR="00E350C1" w:rsidRDefault="005D063A" w:rsidP="00367C8F">
      <w:pPr>
        <w:pStyle w:val="ListParagraph"/>
      </w:pPr>
      <w:r w:rsidRPr="006553FF">
        <w:t xml:space="preserve">The </w:t>
      </w:r>
      <w:r w:rsidR="0079024A">
        <w:t>Data (Use and Access) Bill [HL]</w:t>
      </w:r>
      <w:r w:rsidR="005C45FE" w:rsidRPr="006553FF">
        <w:t xml:space="preserve"> proposes a significant change to the </w:t>
      </w:r>
      <w:r w:rsidR="00313BD0">
        <w:t xml:space="preserve">current </w:t>
      </w:r>
      <w:r w:rsidR="00D20387" w:rsidRPr="006553FF">
        <w:t>protection from automated</w:t>
      </w:r>
      <w:r w:rsidR="00294B50" w:rsidRPr="006553FF">
        <w:t xml:space="preserve"> </w:t>
      </w:r>
      <w:r w:rsidR="00D20387" w:rsidRPr="006553FF">
        <w:t>decision-making</w:t>
      </w:r>
      <w:r w:rsidR="00D0147C">
        <w:t>.</w:t>
      </w:r>
      <w:r w:rsidR="00610A28">
        <w:t xml:space="preserve"> </w:t>
      </w:r>
      <w:r w:rsidR="00D0147C" w:rsidRPr="006553FF">
        <w:t>Clause</w:t>
      </w:r>
      <w:r w:rsidR="00D0147C" w:rsidRPr="006553FF" w:rsidDel="004E1BD2">
        <w:t xml:space="preserve"> </w:t>
      </w:r>
      <w:r w:rsidR="004E1BD2">
        <w:t>80</w:t>
      </w:r>
      <w:r w:rsidR="004E1BD2" w:rsidRPr="006553FF">
        <w:t xml:space="preserve"> </w:t>
      </w:r>
      <w:r w:rsidR="00D0147C" w:rsidRPr="006553FF">
        <w:t xml:space="preserve">of the Bill (Automated decision-making) is </w:t>
      </w:r>
      <w:r w:rsidR="00D0147C">
        <w:t>intended</w:t>
      </w:r>
      <w:r w:rsidR="00D0147C" w:rsidRPr="006553FF">
        <w:t xml:space="preserve"> to replace Article 22</w:t>
      </w:r>
      <w:r w:rsidR="00D0147C">
        <w:t xml:space="preserve">, </w:t>
      </w:r>
      <w:r w:rsidR="00D0147C" w:rsidRPr="006553FF">
        <w:t xml:space="preserve">UK GDPR with new proposed articles 22A-22D </w:t>
      </w:r>
      <w:r w:rsidR="00D8071F">
        <w:t>and will</w:t>
      </w:r>
      <w:r w:rsidR="00610A28">
        <w:t xml:space="preserve"> allow fully automated </w:t>
      </w:r>
      <w:r w:rsidR="00A52365">
        <w:t xml:space="preserve">decision-making based on the </w:t>
      </w:r>
      <w:r w:rsidR="00610A28">
        <w:t xml:space="preserve">processing of the broader category of personal data. Automated decision-making based on the </w:t>
      </w:r>
      <w:r w:rsidR="00E350C1">
        <w:t>narrower</w:t>
      </w:r>
      <w:r w:rsidR="00610A28">
        <w:t xml:space="preserve"> </w:t>
      </w:r>
      <w:r w:rsidR="00E350C1">
        <w:t>special categories</w:t>
      </w:r>
      <w:r w:rsidR="00610A28">
        <w:t xml:space="preserve"> of </w:t>
      </w:r>
      <w:r w:rsidR="00E350C1">
        <w:t xml:space="preserve">personal data is still </w:t>
      </w:r>
      <w:r w:rsidR="008200AF">
        <w:t>restricted</w:t>
      </w:r>
      <w:r w:rsidR="00E350C1">
        <w:t>.</w:t>
      </w:r>
      <w:r w:rsidR="00610A28">
        <w:t xml:space="preserve"> </w:t>
      </w:r>
      <w:r w:rsidR="00E350C1">
        <w:t xml:space="preserve">By contrast, the EU GDPR prohibits automated decision-making, unless one of the permissible exceptions is engaged, without making a distinction between the broader personal data and the narrower special category of personal data. </w:t>
      </w:r>
    </w:p>
    <w:p w14:paraId="438FBEBC" w14:textId="77777777" w:rsidR="00BE2E30" w:rsidRDefault="00BE2E30" w:rsidP="00E757B8">
      <w:pPr>
        <w:pStyle w:val="ListParagraph"/>
        <w:numPr>
          <w:ilvl w:val="0"/>
          <w:numId w:val="0"/>
        </w:numPr>
        <w:ind w:left="720"/>
      </w:pPr>
    </w:p>
    <w:p w14:paraId="536E90BF" w14:textId="352E3710" w:rsidR="00EF6285" w:rsidRDefault="00895D95" w:rsidP="00E757B8">
      <w:pPr>
        <w:pStyle w:val="ListParagraph"/>
      </w:pPr>
      <w:r w:rsidRPr="006553FF">
        <w:t>P</w:t>
      </w:r>
      <w:r w:rsidR="004E061B" w:rsidRPr="006553FF">
        <w:t xml:space="preserve">roposed Article 22B </w:t>
      </w:r>
      <w:r w:rsidRPr="006553FF">
        <w:t>retains some safeguards</w:t>
      </w:r>
      <w:r w:rsidR="00E82F06" w:rsidRPr="006553FF">
        <w:t xml:space="preserve"> which align with </w:t>
      </w:r>
      <w:r w:rsidR="00F6408A">
        <w:t xml:space="preserve">the </w:t>
      </w:r>
      <w:r w:rsidR="00E82F06" w:rsidRPr="006553FF">
        <w:t xml:space="preserve">EU </w:t>
      </w:r>
      <w:r w:rsidR="00843F40" w:rsidRPr="006553FF">
        <w:t xml:space="preserve">GDPR </w:t>
      </w:r>
      <w:r w:rsidR="00843F40">
        <w:t>safeguards</w:t>
      </w:r>
      <w:r w:rsidR="008A6228">
        <w:t xml:space="preserve"> </w:t>
      </w:r>
      <w:r w:rsidR="00053ABC">
        <w:t xml:space="preserve">regarding </w:t>
      </w:r>
      <w:r w:rsidR="008A6228">
        <w:t xml:space="preserve">automated decision-making. For example, the protection </w:t>
      </w:r>
      <w:r w:rsidR="002B4F7F">
        <w:t xml:space="preserve">from </w:t>
      </w:r>
      <w:r w:rsidR="004E061B" w:rsidRPr="006553FF">
        <w:t xml:space="preserve">significant decisions based entirely or partially on </w:t>
      </w:r>
      <w:r w:rsidR="00290B2D">
        <w:t>processing</w:t>
      </w:r>
      <w:r w:rsidR="004E061B" w:rsidRPr="006553FF">
        <w:t xml:space="preserve"> special categories of personal data </w:t>
      </w:r>
      <w:r w:rsidR="00B125CB">
        <w:t xml:space="preserve">can </w:t>
      </w:r>
      <w:r w:rsidR="002B4F7F">
        <w:t xml:space="preserve">still only be made </w:t>
      </w:r>
      <w:r w:rsidR="00FE439F">
        <w:t xml:space="preserve">if </w:t>
      </w:r>
      <w:r w:rsidR="00065EFD">
        <w:t xml:space="preserve">one of two conditions is met, the first </w:t>
      </w:r>
      <w:r w:rsidR="00D8267E">
        <w:t xml:space="preserve">condition </w:t>
      </w:r>
      <w:r w:rsidR="00065EFD">
        <w:t>being that</w:t>
      </w:r>
      <w:r w:rsidR="00FE439F">
        <w:t xml:space="preserve"> the individual has given explicit consent</w:t>
      </w:r>
      <w:r w:rsidR="001E0001">
        <w:t xml:space="preserve"> and second </w:t>
      </w:r>
      <w:r w:rsidR="00D8267E">
        <w:t xml:space="preserve">condition being </w:t>
      </w:r>
      <w:r w:rsidR="001E0001">
        <w:t xml:space="preserve">that it is necessary for a contract between the data </w:t>
      </w:r>
      <w:r w:rsidR="001E0001">
        <w:lastRenderedPageBreak/>
        <w:t>subject and controller or that it is required or authorised by law</w:t>
      </w:r>
      <w:r w:rsidR="002B4F7F">
        <w:t>.</w:t>
      </w:r>
      <w:r w:rsidR="004E061B" w:rsidRPr="006553FF">
        <w:rPr>
          <w:rStyle w:val="FootnoteReference"/>
        </w:rPr>
        <w:footnoteReference w:id="72"/>
      </w:r>
      <w:r w:rsidR="004E061B" w:rsidRPr="006553FF">
        <w:t xml:space="preserve"> </w:t>
      </w:r>
      <w:r w:rsidRPr="006553FF">
        <w:t xml:space="preserve">These exceptions </w:t>
      </w:r>
      <w:r w:rsidR="00610699" w:rsidRPr="006553FF">
        <w:t xml:space="preserve">are in alignment with the current safeguards offered by </w:t>
      </w:r>
      <w:r w:rsidR="00EF6285">
        <w:t>the EU</w:t>
      </w:r>
      <w:r w:rsidR="00610699" w:rsidRPr="006553FF">
        <w:t xml:space="preserve"> GDPR. </w:t>
      </w:r>
      <w:r w:rsidR="00AE0AB7" w:rsidRPr="00E22FB9">
        <w:t>Additionally, the Bill in new Article 22D(4) (Further provisions about automated decision-making) retains a safeguard by protecting new Article 22C (safeguards for automated decision-making) from being amended by Regulations under new Article 22D.</w:t>
      </w:r>
      <w:r w:rsidR="00AE0AB7">
        <w:t xml:space="preserve"> </w:t>
      </w:r>
    </w:p>
    <w:p w14:paraId="53B3C5EE" w14:textId="77777777" w:rsidR="00EF6285" w:rsidRDefault="00EF6285" w:rsidP="00EF6285">
      <w:pPr>
        <w:pStyle w:val="ListParagraph"/>
        <w:numPr>
          <w:ilvl w:val="0"/>
          <w:numId w:val="0"/>
        </w:numPr>
        <w:ind w:left="720"/>
      </w:pPr>
    </w:p>
    <w:p w14:paraId="78CEFEA4" w14:textId="26B1EE80" w:rsidR="00EF6285" w:rsidRPr="006553FF" w:rsidRDefault="00EF6285" w:rsidP="00EF6285">
      <w:pPr>
        <w:pStyle w:val="ListParagraph"/>
      </w:pPr>
      <w:r>
        <w:t>However, b</w:t>
      </w:r>
      <w:r w:rsidRPr="00EF6285">
        <w:t xml:space="preserve">y limiting the </w:t>
      </w:r>
      <w:r w:rsidR="00B125CB">
        <w:t xml:space="preserve">general </w:t>
      </w:r>
      <w:r w:rsidRPr="00EF6285">
        <w:t xml:space="preserve">prohibition of automated decision-making only </w:t>
      </w:r>
      <w:r>
        <w:t>to</w:t>
      </w:r>
      <w:r w:rsidRPr="00EF6285">
        <w:t xml:space="preserve"> the more narrowly defined special categories of personal data, the </w:t>
      </w:r>
      <w:r>
        <w:t xml:space="preserve">Data </w:t>
      </w:r>
      <w:r w:rsidR="002E077F">
        <w:t>(Use and Access) Bill [HL]</w:t>
      </w:r>
      <w:r w:rsidRPr="00EF6285">
        <w:t xml:space="preserve"> essentially limits some of the </w:t>
      </w:r>
      <w:r w:rsidR="008F33F2">
        <w:t xml:space="preserve">important </w:t>
      </w:r>
      <w:r w:rsidRPr="00EF6285">
        <w:t xml:space="preserve">protections data subjects currently enjoy, </w:t>
      </w:r>
      <w:r w:rsidR="000305E2">
        <w:t>albeit</w:t>
      </w:r>
      <w:r w:rsidRPr="00EF6285">
        <w:t xml:space="preserve"> retaining some of the safeguards.  </w:t>
      </w:r>
    </w:p>
    <w:p w14:paraId="31C386E5" w14:textId="77777777" w:rsidR="00E33316" w:rsidRPr="006553FF" w:rsidRDefault="00E33316" w:rsidP="006C37AA">
      <w:pPr>
        <w:pStyle w:val="ListParagraph"/>
        <w:numPr>
          <w:ilvl w:val="0"/>
          <w:numId w:val="0"/>
        </w:numPr>
        <w:ind w:left="720"/>
      </w:pPr>
    </w:p>
    <w:p w14:paraId="4397688F" w14:textId="0E1B4A31" w:rsidR="00E33316" w:rsidRPr="006553FF" w:rsidRDefault="00E33316" w:rsidP="00E33316">
      <w:pPr>
        <w:pStyle w:val="ListParagraph"/>
      </w:pPr>
      <w:r w:rsidRPr="006553FF">
        <w:t xml:space="preserve">Special category data is a narrow category of </w:t>
      </w:r>
      <w:r w:rsidR="00DD7AD0">
        <w:t>personal data</w:t>
      </w:r>
      <w:r w:rsidRPr="006553FF">
        <w:t xml:space="preserve"> about the data subject. </w:t>
      </w:r>
      <w:r w:rsidR="00DD7AD0">
        <w:t xml:space="preserve">Decisions based </w:t>
      </w:r>
      <w:r w:rsidR="00954A1F">
        <w:t>exclusively by automated processing of o</w:t>
      </w:r>
      <w:r w:rsidRPr="006553FF">
        <w:t xml:space="preserve">ther types of </w:t>
      </w:r>
      <w:r w:rsidR="00954A1F">
        <w:t xml:space="preserve">personal </w:t>
      </w:r>
      <w:r w:rsidRPr="006553FF">
        <w:t xml:space="preserve">data, which </w:t>
      </w:r>
      <w:r w:rsidR="00DD7AD0">
        <w:t xml:space="preserve">are not considered special </w:t>
      </w:r>
      <w:r w:rsidR="00954A1F">
        <w:t>categories</w:t>
      </w:r>
      <w:r w:rsidR="00DD7AD0">
        <w:t xml:space="preserve"> </w:t>
      </w:r>
      <w:r w:rsidR="00954A1F">
        <w:t>o</w:t>
      </w:r>
      <w:r w:rsidR="00DD7AD0">
        <w:t xml:space="preserve">f </w:t>
      </w:r>
      <w:r w:rsidR="00954A1F">
        <w:t>personal</w:t>
      </w:r>
      <w:r w:rsidR="00DD7AD0">
        <w:t xml:space="preserve"> data the same way a person’s race or sexual orientation would be,</w:t>
      </w:r>
      <w:r w:rsidRPr="006553FF">
        <w:t xml:space="preserve"> could still have significant effects on the data </w:t>
      </w:r>
      <w:r w:rsidR="00954A1F">
        <w:t>holder</w:t>
      </w:r>
      <w:r w:rsidRPr="006553FF">
        <w:t xml:space="preserve">, hence why automated decision-making is generally prohibited by the GDPR. </w:t>
      </w:r>
    </w:p>
    <w:p w14:paraId="1324BEB6" w14:textId="77777777" w:rsidR="00E33316" w:rsidRPr="006553FF" w:rsidRDefault="00E33316" w:rsidP="006C37AA"/>
    <w:p w14:paraId="3822FFFE" w14:textId="08952845" w:rsidR="00E33316" w:rsidRDefault="00E33316" w:rsidP="00E33316">
      <w:pPr>
        <w:pStyle w:val="ListParagraph"/>
      </w:pPr>
      <w:r w:rsidRPr="006553FF">
        <w:t xml:space="preserve">Limiting the protection from automated decision-making only to the processing of sensitive personal data is a weakening of the current standard of data subject rights protection and therefore engages the no diminution of rights commitment under Windsor Framework Article 2.  </w:t>
      </w:r>
    </w:p>
    <w:p w14:paraId="378A325B" w14:textId="77777777" w:rsidR="00791A93" w:rsidRPr="006553FF" w:rsidRDefault="00791A93" w:rsidP="00791A93">
      <w:pPr>
        <w:pStyle w:val="ListParagraph"/>
        <w:numPr>
          <w:ilvl w:val="0"/>
          <w:numId w:val="0"/>
        </w:numPr>
        <w:ind w:left="720"/>
        <w:rPr>
          <w:rFonts w:cstheme="minorHAnsi"/>
          <w:b/>
        </w:rPr>
      </w:pPr>
    </w:p>
    <w:p w14:paraId="710BF8D5" w14:textId="34D3D63C" w:rsidR="00704161" w:rsidRPr="00704161" w:rsidRDefault="00791A93" w:rsidP="00704161">
      <w:pPr>
        <w:pStyle w:val="ListParagraph"/>
        <w:rPr>
          <w:b/>
          <w:bCs/>
        </w:rPr>
      </w:pPr>
      <w:bookmarkStart w:id="22" w:name="_Hlk155804905"/>
      <w:r w:rsidRPr="00704161">
        <w:rPr>
          <w:b/>
          <w:bCs/>
        </w:rPr>
        <w:t xml:space="preserve">The NIHRC recommends that the Secretary of State </w:t>
      </w:r>
      <w:r w:rsidR="00C667C7">
        <w:rPr>
          <w:b/>
          <w:bCs/>
        </w:rPr>
        <w:t>reviews</w:t>
      </w:r>
      <w:r w:rsidR="00AF57CA" w:rsidRPr="00704161">
        <w:rPr>
          <w:b/>
          <w:bCs/>
        </w:rPr>
        <w:t xml:space="preserve"> </w:t>
      </w:r>
      <w:r w:rsidR="008353E0">
        <w:rPr>
          <w:b/>
          <w:bCs/>
        </w:rPr>
        <w:t xml:space="preserve">Clause </w:t>
      </w:r>
      <w:r w:rsidR="00384558">
        <w:rPr>
          <w:b/>
          <w:bCs/>
        </w:rPr>
        <w:t>80</w:t>
      </w:r>
      <w:r w:rsidR="00AF57CA" w:rsidRPr="00704161">
        <w:rPr>
          <w:b/>
          <w:bCs/>
        </w:rPr>
        <w:t xml:space="preserve"> proposed Articles 22A-22</w:t>
      </w:r>
      <w:r w:rsidR="00B10BD1">
        <w:rPr>
          <w:b/>
          <w:bCs/>
        </w:rPr>
        <w:t>C</w:t>
      </w:r>
      <w:r w:rsidR="00A919EC">
        <w:rPr>
          <w:b/>
          <w:bCs/>
        </w:rPr>
        <w:t>,</w:t>
      </w:r>
      <w:r w:rsidR="00AF57CA" w:rsidRPr="00704161">
        <w:rPr>
          <w:b/>
          <w:bCs/>
        </w:rPr>
        <w:t xml:space="preserve"> of the Data </w:t>
      </w:r>
      <w:r w:rsidR="00384558">
        <w:rPr>
          <w:b/>
          <w:bCs/>
        </w:rPr>
        <w:t>(Use and Access) Bill</w:t>
      </w:r>
      <w:r w:rsidR="00C667C7">
        <w:rPr>
          <w:b/>
          <w:bCs/>
        </w:rPr>
        <w:t xml:space="preserve"> </w:t>
      </w:r>
      <w:r w:rsidR="00580972">
        <w:rPr>
          <w:b/>
          <w:bCs/>
        </w:rPr>
        <w:t xml:space="preserve">[HL] </w:t>
      </w:r>
      <w:r w:rsidR="00C667C7">
        <w:rPr>
          <w:b/>
          <w:bCs/>
        </w:rPr>
        <w:t xml:space="preserve">and brings forward amendments as required to ensure no diminution </w:t>
      </w:r>
      <w:r w:rsidR="00D25EF1">
        <w:rPr>
          <w:b/>
          <w:bCs/>
        </w:rPr>
        <w:t>of</w:t>
      </w:r>
      <w:r w:rsidR="005A08DE">
        <w:rPr>
          <w:b/>
          <w:bCs/>
        </w:rPr>
        <w:t xml:space="preserve"> rights </w:t>
      </w:r>
      <w:r w:rsidR="00EA26AD">
        <w:rPr>
          <w:b/>
          <w:bCs/>
        </w:rPr>
        <w:t>relating to automated decision-making</w:t>
      </w:r>
      <w:r w:rsidR="00321AF2">
        <w:rPr>
          <w:b/>
          <w:bCs/>
        </w:rPr>
        <w:t xml:space="preserve"> under </w:t>
      </w:r>
      <w:r w:rsidR="00D25EF1">
        <w:rPr>
          <w:b/>
          <w:bCs/>
        </w:rPr>
        <w:t xml:space="preserve">the </w:t>
      </w:r>
      <w:r w:rsidR="00321AF2">
        <w:rPr>
          <w:b/>
          <w:bCs/>
        </w:rPr>
        <w:t>UK GDPR</w:t>
      </w:r>
      <w:bookmarkStart w:id="23" w:name="_Hlk152685491"/>
      <w:r w:rsidR="00704161" w:rsidRPr="00704161">
        <w:rPr>
          <w:b/>
          <w:bCs/>
        </w:rPr>
        <w:t xml:space="preserve">. </w:t>
      </w:r>
    </w:p>
    <w:bookmarkEnd w:id="22"/>
    <w:bookmarkEnd w:id="23"/>
    <w:p w14:paraId="63A91186" w14:textId="77777777" w:rsidR="00E33316" w:rsidRPr="00502630" w:rsidRDefault="00E33316" w:rsidP="00502630">
      <w:pPr>
        <w:pStyle w:val="ListParagraph"/>
        <w:numPr>
          <w:ilvl w:val="0"/>
          <w:numId w:val="0"/>
        </w:numPr>
        <w:ind w:left="720"/>
        <w:rPr>
          <w:b/>
        </w:rPr>
      </w:pPr>
    </w:p>
    <w:p w14:paraId="5B7A064A" w14:textId="77777777" w:rsidR="00E33316" w:rsidRPr="006553FF" w:rsidRDefault="00E33316" w:rsidP="00E33316">
      <w:pPr>
        <w:pStyle w:val="Heading2"/>
      </w:pPr>
      <w:bookmarkStart w:id="24" w:name="_Toc190093250"/>
      <w:r w:rsidRPr="006553FF">
        <w:t>Powers of the Secretary of State</w:t>
      </w:r>
      <w:bookmarkEnd w:id="24"/>
      <w:r w:rsidRPr="006553FF">
        <w:t xml:space="preserve"> </w:t>
      </w:r>
    </w:p>
    <w:p w14:paraId="4C18AA81" w14:textId="77777777" w:rsidR="00E33316" w:rsidRPr="00502630" w:rsidRDefault="00E33316" w:rsidP="00502630">
      <w:pPr>
        <w:pStyle w:val="ListParagraph"/>
        <w:numPr>
          <w:ilvl w:val="0"/>
          <w:numId w:val="0"/>
        </w:numPr>
        <w:ind w:left="720"/>
        <w:rPr>
          <w:b/>
        </w:rPr>
      </w:pPr>
    </w:p>
    <w:p w14:paraId="60365FBC" w14:textId="62A401C0" w:rsidR="009A4901" w:rsidRPr="00502630" w:rsidRDefault="0045440D" w:rsidP="00502630">
      <w:pPr>
        <w:pStyle w:val="ListParagraph"/>
        <w:rPr>
          <w:b/>
        </w:rPr>
      </w:pPr>
      <w:r>
        <w:t xml:space="preserve">Article 22D </w:t>
      </w:r>
      <w:r w:rsidR="0041393D">
        <w:t xml:space="preserve">would </w:t>
      </w:r>
      <w:r w:rsidR="0041393D" w:rsidRPr="006553FF">
        <w:t xml:space="preserve">grant the Secretary of State a wide margin of appreciation </w:t>
      </w:r>
      <w:r w:rsidR="00CF5F6C">
        <w:t>relating to automated decision-making</w:t>
      </w:r>
      <w:r w:rsidR="00B11E5E">
        <w:t>, including the</w:t>
      </w:r>
      <w:r w:rsidR="001204AE" w:rsidRPr="006553FF">
        <w:t xml:space="preserve"> </w:t>
      </w:r>
      <w:r w:rsidR="001204AE" w:rsidRPr="006553FF">
        <w:lastRenderedPageBreak/>
        <w:t xml:space="preserve">power to deem by regulations whether or not a decision </w:t>
      </w:r>
      <w:r w:rsidR="009F1E7E" w:rsidRPr="006553FF">
        <w:t>with an effect on the data subject</w:t>
      </w:r>
      <w:r w:rsidR="001204AE" w:rsidRPr="006553FF">
        <w:t xml:space="preserve"> been made solely </w:t>
      </w:r>
      <w:r w:rsidR="00615512" w:rsidRPr="006553FF">
        <w:t>by</w:t>
      </w:r>
      <w:r w:rsidR="001204AE" w:rsidRPr="006553FF">
        <w:t xml:space="preserve"> automated </w:t>
      </w:r>
      <w:r w:rsidR="00615512" w:rsidRPr="006553FF">
        <w:t>means</w:t>
      </w:r>
      <w:r w:rsidR="001F2781" w:rsidRPr="006553FF">
        <w:t xml:space="preserve"> or</w:t>
      </w:r>
      <w:r w:rsidR="00615512" w:rsidRPr="006553FF">
        <w:t xml:space="preserve"> if it</w:t>
      </w:r>
      <w:r w:rsidR="001F2781" w:rsidRPr="006553FF">
        <w:t xml:space="preserve"> has had </w:t>
      </w:r>
      <w:r w:rsidR="00615512" w:rsidRPr="006553FF">
        <w:t>human involvement</w:t>
      </w:r>
      <w:r w:rsidR="001204AE" w:rsidRPr="006553FF">
        <w:t>.</w:t>
      </w:r>
      <w:r w:rsidR="001204AE" w:rsidRPr="006553FF">
        <w:rPr>
          <w:rStyle w:val="FootnoteReference"/>
        </w:rPr>
        <w:footnoteReference w:id="73"/>
      </w:r>
      <w:r w:rsidR="001204AE" w:rsidRPr="006553FF">
        <w:t xml:space="preserve"> The Secretary of State can also determine if a decision has had a</w:t>
      </w:r>
      <w:r w:rsidR="007350D7">
        <w:t>n effect on</w:t>
      </w:r>
      <w:r w:rsidR="00615512" w:rsidRPr="006553FF">
        <w:t xml:space="preserve"> the data subject </w:t>
      </w:r>
      <w:r w:rsidR="00902B9A">
        <w:t>which is similarly significant to a legal effect</w:t>
      </w:r>
      <w:r w:rsidR="001204AE" w:rsidRPr="006553FF">
        <w:t>.</w:t>
      </w:r>
      <w:r w:rsidR="001204AE" w:rsidRPr="006553FF">
        <w:rPr>
          <w:rStyle w:val="FootnoteReference"/>
        </w:rPr>
        <w:footnoteReference w:id="74"/>
      </w:r>
      <w:r w:rsidR="001204AE" w:rsidRPr="006553FF">
        <w:t xml:space="preserve"> </w:t>
      </w:r>
    </w:p>
    <w:p w14:paraId="1F18A499" w14:textId="77777777" w:rsidR="00E22FB9" w:rsidRPr="00236AEF" w:rsidRDefault="00E22FB9" w:rsidP="00236AEF">
      <w:pPr>
        <w:pStyle w:val="ListParagraph"/>
        <w:numPr>
          <w:ilvl w:val="0"/>
          <w:numId w:val="0"/>
        </w:numPr>
        <w:rPr>
          <w:kern w:val="0"/>
          <w14:ligatures w14:val="none"/>
        </w:rPr>
      </w:pPr>
    </w:p>
    <w:p w14:paraId="120AE125" w14:textId="5467AA4C" w:rsidR="00CF5F6C" w:rsidRPr="00A919EC" w:rsidRDefault="00CF5F6C" w:rsidP="00045D49">
      <w:pPr>
        <w:pStyle w:val="ListParagraph"/>
        <w:rPr>
          <w:kern w:val="0"/>
          <w14:ligatures w14:val="none"/>
        </w:rPr>
      </w:pPr>
      <w:r>
        <w:t>Further to the issue outlined above, t</w:t>
      </w:r>
      <w:r w:rsidRPr="006553FF">
        <w:t xml:space="preserve">he NIHRC is concerned </w:t>
      </w:r>
      <w:r>
        <w:t>that</w:t>
      </w:r>
      <w:r w:rsidRPr="006553FF">
        <w:t xml:space="preserve"> the effect of proposed Article 22D </w:t>
      </w:r>
      <w:r>
        <w:t>may be to</w:t>
      </w:r>
      <w:r w:rsidRPr="006553FF">
        <w:t xml:space="preserve"> further weaken the safeguards for data subjects contained in Article 22</w:t>
      </w:r>
      <w:r>
        <w:t xml:space="preserve">, </w:t>
      </w:r>
      <w:r w:rsidRPr="006553FF">
        <w:t>UK GDPR</w:t>
      </w:r>
      <w:r>
        <w:t>, currently aligned with the EU GDPR</w:t>
      </w:r>
      <w:r w:rsidRPr="006553FF">
        <w:t>.</w:t>
      </w:r>
      <w:r w:rsidR="00B11E5E">
        <w:t xml:space="preserve"> </w:t>
      </w:r>
    </w:p>
    <w:p w14:paraId="466BFFE3" w14:textId="77777777" w:rsidR="00CF5F6C" w:rsidRPr="00A919EC" w:rsidRDefault="00CF5F6C" w:rsidP="00A919EC">
      <w:pPr>
        <w:pStyle w:val="ListParagraph"/>
        <w:numPr>
          <w:ilvl w:val="0"/>
          <w:numId w:val="0"/>
        </w:numPr>
        <w:ind w:left="720"/>
        <w:rPr>
          <w:kern w:val="0"/>
          <w14:ligatures w14:val="none"/>
        </w:rPr>
      </w:pPr>
    </w:p>
    <w:p w14:paraId="03E3248F" w14:textId="6A6CFA23" w:rsidR="00D42812" w:rsidRPr="00A919EC" w:rsidRDefault="008B127F" w:rsidP="00D42812">
      <w:pPr>
        <w:pStyle w:val="ListParagraph"/>
        <w:rPr>
          <w:kern w:val="0"/>
          <w14:ligatures w14:val="none"/>
        </w:rPr>
      </w:pPr>
      <w:r>
        <w:rPr>
          <w:kern w:val="0"/>
          <w14:ligatures w14:val="none"/>
        </w:rPr>
        <w:t>In addition</w:t>
      </w:r>
      <w:r w:rsidR="00785335" w:rsidRPr="006553FF">
        <w:rPr>
          <w:kern w:val="0"/>
          <w14:ligatures w14:val="none"/>
        </w:rPr>
        <w:t>, t</w:t>
      </w:r>
      <w:r w:rsidR="00BD4897" w:rsidRPr="006553FF">
        <w:rPr>
          <w:kern w:val="0"/>
          <w14:ligatures w14:val="none"/>
        </w:rPr>
        <w:t xml:space="preserve">he NIHRC </w:t>
      </w:r>
      <w:r w:rsidR="00D07B54" w:rsidRPr="006553FF">
        <w:rPr>
          <w:kern w:val="0"/>
          <w14:ligatures w14:val="none"/>
        </w:rPr>
        <w:t xml:space="preserve">is concerned that </w:t>
      </w:r>
      <w:r w:rsidR="00BD4897" w:rsidRPr="006553FF">
        <w:rPr>
          <w:kern w:val="0"/>
          <w14:ligatures w14:val="none"/>
        </w:rPr>
        <w:t xml:space="preserve">the </w:t>
      </w:r>
      <w:r w:rsidR="0055468C">
        <w:rPr>
          <w:kern w:val="0"/>
          <w14:ligatures w14:val="none"/>
        </w:rPr>
        <w:t xml:space="preserve">resulting </w:t>
      </w:r>
      <w:r w:rsidR="00BD4897" w:rsidRPr="006553FF">
        <w:rPr>
          <w:kern w:val="0"/>
          <w14:ligatures w14:val="none"/>
        </w:rPr>
        <w:t xml:space="preserve">divergence </w:t>
      </w:r>
      <w:r>
        <w:rPr>
          <w:kern w:val="0"/>
          <w14:ligatures w14:val="none"/>
        </w:rPr>
        <w:t>in</w:t>
      </w:r>
      <w:r w:rsidRPr="006553FF">
        <w:rPr>
          <w:kern w:val="0"/>
          <w14:ligatures w14:val="none"/>
        </w:rPr>
        <w:t xml:space="preserve"> </w:t>
      </w:r>
      <w:r w:rsidR="00BD4897" w:rsidRPr="006553FF">
        <w:rPr>
          <w:kern w:val="0"/>
          <w14:ligatures w14:val="none"/>
        </w:rPr>
        <w:t xml:space="preserve">levels of protection </w:t>
      </w:r>
      <w:r w:rsidR="00011354" w:rsidRPr="006553FF">
        <w:rPr>
          <w:kern w:val="0"/>
          <w14:ligatures w14:val="none"/>
        </w:rPr>
        <w:t>from automated decision-making</w:t>
      </w:r>
      <w:r w:rsidR="00F227F7">
        <w:rPr>
          <w:kern w:val="0"/>
          <w14:ligatures w14:val="none"/>
        </w:rPr>
        <w:t>,</w:t>
      </w:r>
      <w:r w:rsidR="00011354" w:rsidRPr="006553FF">
        <w:rPr>
          <w:kern w:val="0"/>
          <w14:ligatures w14:val="none"/>
        </w:rPr>
        <w:t xml:space="preserve"> </w:t>
      </w:r>
      <w:r w:rsidR="00BD4897" w:rsidRPr="006553FF">
        <w:rPr>
          <w:kern w:val="0"/>
          <w14:ligatures w14:val="none"/>
        </w:rPr>
        <w:t>between the UK and the EU</w:t>
      </w:r>
      <w:r w:rsidR="00F227F7">
        <w:rPr>
          <w:kern w:val="0"/>
          <w14:ligatures w14:val="none"/>
        </w:rPr>
        <w:t>,</w:t>
      </w:r>
      <w:r w:rsidR="00BD4897" w:rsidRPr="006553FF">
        <w:rPr>
          <w:kern w:val="0"/>
          <w14:ligatures w14:val="none"/>
        </w:rPr>
        <w:t xml:space="preserve"> </w:t>
      </w:r>
      <w:r w:rsidR="00011354" w:rsidRPr="006553FF">
        <w:rPr>
          <w:kern w:val="0"/>
          <w14:ligatures w14:val="none"/>
        </w:rPr>
        <w:t>may put pressure on the current data adequacy agreement between the UK and the EU</w:t>
      </w:r>
      <w:r w:rsidR="006B4336">
        <w:rPr>
          <w:kern w:val="0"/>
          <w14:ligatures w14:val="none"/>
        </w:rPr>
        <w:t>.</w:t>
      </w:r>
      <w:r w:rsidR="00011354" w:rsidRPr="006553FF">
        <w:rPr>
          <w:kern w:val="0"/>
          <w14:ligatures w14:val="none"/>
        </w:rPr>
        <w:t xml:space="preserve"> </w:t>
      </w:r>
      <w:r w:rsidR="006B4336">
        <w:rPr>
          <w:kern w:val="0"/>
          <w14:ligatures w14:val="none"/>
        </w:rPr>
        <w:t>This</w:t>
      </w:r>
      <w:r w:rsidR="006B4336" w:rsidRPr="006553FF">
        <w:rPr>
          <w:kern w:val="0"/>
          <w14:ligatures w14:val="none"/>
        </w:rPr>
        <w:t xml:space="preserve"> </w:t>
      </w:r>
      <w:r w:rsidR="00011354" w:rsidRPr="006553FF">
        <w:rPr>
          <w:kern w:val="0"/>
          <w14:ligatures w14:val="none"/>
        </w:rPr>
        <w:t xml:space="preserve">in turn </w:t>
      </w:r>
      <w:r w:rsidR="006B4336">
        <w:rPr>
          <w:kern w:val="0"/>
          <w14:ligatures w14:val="none"/>
        </w:rPr>
        <w:t>c</w:t>
      </w:r>
      <w:r w:rsidR="006B4336" w:rsidRPr="006553FF">
        <w:rPr>
          <w:kern w:val="0"/>
          <w14:ligatures w14:val="none"/>
        </w:rPr>
        <w:t xml:space="preserve">ould </w:t>
      </w:r>
      <w:r w:rsidR="00011354" w:rsidRPr="006553FF">
        <w:rPr>
          <w:kern w:val="0"/>
          <w14:ligatures w14:val="none"/>
        </w:rPr>
        <w:t xml:space="preserve">have a detrimental effect on NI in </w:t>
      </w:r>
      <w:r w:rsidR="006B35BD" w:rsidRPr="006553FF">
        <w:rPr>
          <w:kern w:val="0"/>
          <w14:ligatures w14:val="none"/>
        </w:rPr>
        <w:t>particular</w:t>
      </w:r>
      <w:r w:rsidR="00011354" w:rsidRPr="006553FF">
        <w:rPr>
          <w:kern w:val="0"/>
          <w14:ligatures w14:val="none"/>
        </w:rPr>
        <w:t xml:space="preserve">, as </w:t>
      </w:r>
      <w:r w:rsidR="00D72AD4">
        <w:rPr>
          <w:kern w:val="0"/>
          <w14:ligatures w14:val="none"/>
        </w:rPr>
        <w:t>the enjoyment of some rights</w:t>
      </w:r>
      <w:r w:rsidR="00D8598B">
        <w:rPr>
          <w:kern w:val="0"/>
          <w14:ligatures w14:val="none"/>
        </w:rPr>
        <w:t>, such as access to all-island healthcare</w:t>
      </w:r>
      <w:r w:rsidR="009B4027">
        <w:rPr>
          <w:kern w:val="0"/>
          <w14:ligatures w14:val="none"/>
        </w:rPr>
        <w:t>,</w:t>
      </w:r>
      <w:r w:rsidR="006B35BD" w:rsidRPr="006553FF">
        <w:rPr>
          <w:kern w:val="0"/>
          <w14:ligatures w14:val="none"/>
        </w:rPr>
        <w:t xml:space="preserve"> is facilitated by the ability to share data freely</w:t>
      </w:r>
      <w:r w:rsidR="00741838">
        <w:rPr>
          <w:kern w:val="0"/>
          <w14:ligatures w14:val="none"/>
        </w:rPr>
        <w:t xml:space="preserve"> on a North-South basis</w:t>
      </w:r>
      <w:r w:rsidR="006B35BD" w:rsidRPr="006553FF">
        <w:rPr>
          <w:kern w:val="0"/>
          <w14:ligatures w14:val="none"/>
        </w:rPr>
        <w:t xml:space="preserve">. </w:t>
      </w:r>
    </w:p>
    <w:p w14:paraId="2A9A65E3" w14:textId="77777777" w:rsidR="001C16F7" w:rsidRPr="00A37CCC" w:rsidRDefault="001C16F7" w:rsidP="00A37CCC">
      <w:pPr>
        <w:rPr>
          <w:rFonts w:cstheme="minorHAnsi"/>
          <w:b/>
        </w:rPr>
      </w:pPr>
      <w:bookmarkStart w:id="25" w:name="_Hlk155804924"/>
    </w:p>
    <w:p w14:paraId="1368CEB3" w14:textId="44004FBA" w:rsidR="00855D77" w:rsidRPr="006553FF" w:rsidRDefault="00D25E7B" w:rsidP="00367C8F">
      <w:pPr>
        <w:pStyle w:val="ListParagraph"/>
        <w:rPr>
          <w:rFonts w:cstheme="minorHAnsi"/>
          <w:b/>
        </w:rPr>
      </w:pPr>
      <w:r w:rsidRPr="006553FF">
        <w:rPr>
          <w:b/>
          <w:kern w:val="0"/>
          <w14:ligatures w14:val="none"/>
        </w:rPr>
        <w:t xml:space="preserve">The NIHRC recommends that the Secretary of State </w:t>
      </w:r>
      <w:r w:rsidR="006C2D99">
        <w:rPr>
          <w:b/>
          <w:kern w:val="0"/>
          <w14:ligatures w14:val="none"/>
        </w:rPr>
        <w:t xml:space="preserve">provides a written assurance on how </w:t>
      </w:r>
      <w:r w:rsidR="00D5281F">
        <w:rPr>
          <w:b/>
          <w:kern w:val="0"/>
          <w14:ligatures w14:val="none"/>
        </w:rPr>
        <w:t>access to cross-border services</w:t>
      </w:r>
      <w:r w:rsidR="00B22CA7">
        <w:rPr>
          <w:b/>
          <w:kern w:val="0"/>
          <w14:ligatures w14:val="none"/>
        </w:rPr>
        <w:t xml:space="preserve"> </w:t>
      </w:r>
      <w:r w:rsidR="00D5281F">
        <w:rPr>
          <w:b/>
          <w:kern w:val="0"/>
          <w14:ligatures w14:val="none"/>
        </w:rPr>
        <w:t xml:space="preserve">requiring the </w:t>
      </w:r>
      <w:r w:rsidR="001D5CCA">
        <w:rPr>
          <w:b/>
          <w:kern w:val="0"/>
          <w14:ligatures w14:val="none"/>
        </w:rPr>
        <w:t>free-flow of data</w:t>
      </w:r>
      <w:r w:rsidR="00271F56">
        <w:rPr>
          <w:b/>
          <w:kern w:val="0"/>
          <w14:ligatures w14:val="none"/>
        </w:rPr>
        <w:t xml:space="preserve"> between the UK and the</w:t>
      </w:r>
      <w:r w:rsidR="006C2D99">
        <w:rPr>
          <w:b/>
          <w:kern w:val="0"/>
          <w14:ligatures w14:val="none"/>
        </w:rPr>
        <w:t xml:space="preserve"> </w:t>
      </w:r>
      <w:r w:rsidR="00DD1DA5">
        <w:rPr>
          <w:b/>
          <w:kern w:val="0"/>
          <w14:ligatures w14:val="none"/>
        </w:rPr>
        <w:t>EU</w:t>
      </w:r>
      <w:r w:rsidR="00486550" w:rsidRPr="006553FF">
        <w:rPr>
          <w:b/>
          <w:kern w:val="0"/>
          <w14:ligatures w14:val="none"/>
        </w:rPr>
        <w:t xml:space="preserve"> </w:t>
      </w:r>
      <w:r w:rsidR="001D5CCA">
        <w:rPr>
          <w:b/>
          <w:kern w:val="0"/>
          <w14:ligatures w14:val="none"/>
        </w:rPr>
        <w:t xml:space="preserve">will be </w:t>
      </w:r>
      <w:r w:rsidR="006C2D99">
        <w:rPr>
          <w:b/>
          <w:kern w:val="0"/>
          <w14:ligatures w14:val="none"/>
        </w:rPr>
        <w:t>protected</w:t>
      </w:r>
      <w:r w:rsidR="00486550" w:rsidRPr="006553FF">
        <w:rPr>
          <w:b/>
          <w:kern w:val="0"/>
          <w14:ligatures w14:val="none"/>
        </w:rPr>
        <w:t xml:space="preserve"> </w:t>
      </w:r>
      <w:r w:rsidR="00DD1DA5">
        <w:rPr>
          <w:b/>
          <w:kern w:val="0"/>
          <w14:ligatures w14:val="none"/>
        </w:rPr>
        <w:t xml:space="preserve">in light of </w:t>
      </w:r>
      <w:r w:rsidRPr="006553FF">
        <w:rPr>
          <w:b/>
          <w:kern w:val="0"/>
          <w14:ligatures w14:val="none"/>
        </w:rPr>
        <w:t xml:space="preserve">Clause </w:t>
      </w:r>
      <w:r w:rsidR="00236AEF">
        <w:rPr>
          <w:b/>
          <w:kern w:val="0"/>
          <w14:ligatures w14:val="none"/>
        </w:rPr>
        <w:t xml:space="preserve">80 </w:t>
      </w:r>
      <w:r w:rsidRPr="006553FF">
        <w:rPr>
          <w:b/>
          <w:kern w:val="0"/>
          <w14:ligatures w14:val="none"/>
        </w:rPr>
        <w:t xml:space="preserve">of the Bill </w:t>
      </w:r>
      <w:r w:rsidR="00486550" w:rsidRPr="006553FF">
        <w:rPr>
          <w:b/>
          <w:kern w:val="0"/>
          <w14:ligatures w14:val="none"/>
        </w:rPr>
        <w:t>on automated deci</w:t>
      </w:r>
      <w:r w:rsidR="00CA42AB" w:rsidRPr="006553FF">
        <w:rPr>
          <w:b/>
          <w:kern w:val="0"/>
          <w14:ligatures w14:val="none"/>
        </w:rPr>
        <w:t>sion-making</w:t>
      </w:r>
      <w:r w:rsidR="00D90429" w:rsidRPr="006553FF">
        <w:rPr>
          <w:b/>
          <w:kern w:val="0"/>
          <w14:ligatures w14:val="none"/>
        </w:rPr>
        <w:t xml:space="preserve">. </w:t>
      </w:r>
      <w:r w:rsidR="002F0CFD" w:rsidRPr="006553FF">
        <w:rPr>
          <w:b/>
          <w:kern w:val="0"/>
          <w14:ligatures w14:val="none"/>
        </w:rPr>
        <w:t xml:space="preserve"> </w:t>
      </w:r>
    </w:p>
    <w:bookmarkEnd w:id="25"/>
    <w:p w14:paraId="0BB57314" w14:textId="4AB663D5" w:rsidR="00A37505" w:rsidRPr="006553FF" w:rsidRDefault="00A37505" w:rsidP="009B2F1F">
      <w:pPr>
        <w:ind w:left="720"/>
        <w:contextualSpacing/>
        <w:jc w:val="both"/>
        <w:rPr>
          <w:rFonts w:ascii="Verdana" w:hAnsi="Verdana" w:cstheme="minorHAnsi"/>
          <w:b/>
          <w:sz w:val="24"/>
          <w:szCs w:val="24"/>
        </w:rPr>
      </w:pPr>
    </w:p>
    <w:p w14:paraId="24D99CE2" w14:textId="2317ABFC" w:rsidR="00855D77" w:rsidRPr="004D47D9" w:rsidRDefault="00A37505" w:rsidP="00724935">
      <w:pPr>
        <w:pStyle w:val="Heading1"/>
      </w:pPr>
      <w:bookmarkStart w:id="26" w:name="_Toc190093251"/>
      <w:r w:rsidRPr="004D47D9">
        <w:t>Transfer of data to third countries</w:t>
      </w:r>
      <w:r w:rsidR="004D6ECE">
        <w:t xml:space="preserve">: Clause </w:t>
      </w:r>
      <w:r w:rsidR="002C5FC4">
        <w:t>8</w:t>
      </w:r>
      <w:r w:rsidR="00C11AB6">
        <w:t>5</w:t>
      </w:r>
      <w:r w:rsidR="002C5FC4">
        <w:t xml:space="preserve"> </w:t>
      </w:r>
      <w:r w:rsidR="00BB1D84">
        <w:t>and</w:t>
      </w:r>
      <w:r w:rsidR="004D6ECE">
        <w:t xml:space="preserve"> Schedule </w:t>
      </w:r>
      <w:r w:rsidR="002C5FC4">
        <w:t>7</w:t>
      </w:r>
      <w:bookmarkEnd w:id="26"/>
    </w:p>
    <w:p w14:paraId="5FA40496" w14:textId="77777777" w:rsidR="001F3184" w:rsidRPr="0008638B" w:rsidRDefault="001F3184" w:rsidP="00D01D9D">
      <w:pPr>
        <w:rPr>
          <w:highlight w:val="yellow"/>
        </w:rPr>
      </w:pPr>
    </w:p>
    <w:p w14:paraId="1B842BA0" w14:textId="6AFA4139" w:rsidR="00090F31" w:rsidRPr="006553FF" w:rsidRDefault="007E4845" w:rsidP="00D01D9D">
      <w:pPr>
        <w:pStyle w:val="ListParagraph"/>
      </w:pPr>
      <w:r w:rsidRPr="004D47D9">
        <w:t xml:space="preserve">The rules on the transfer of personal data to third countries is at the core of the data protection regimes in both the EU and the UK. </w:t>
      </w:r>
      <w:r w:rsidR="00770C45" w:rsidRPr="004D47D9">
        <w:t>Currently the two regimes are in substance identical.</w:t>
      </w:r>
      <w:r w:rsidR="00770C45" w:rsidRPr="004D47D9">
        <w:rPr>
          <w:rStyle w:val="FootnoteReference"/>
        </w:rPr>
        <w:footnoteReference w:id="75"/>
      </w:r>
      <w:r w:rsidR="005268AE" w:rsidRPr="004D47D9">
        <w:t xml:space="preserve"> </w:t>
      </w:r>
      <w:r w:rsidR="001328E0" w:rsidRPr="004D47D9">
        <w:t xml:space="preserve">A key condition of the continuation of the data adequacy agreement </w:t>
      </w:r>
      <w:r w:rsidR="001328E0" w:rsidRPr="006553FF">
        <w:t xml:space="preserve">between </w:t>
      </w:r>
      <w:r w:rsidR="00AD1E95" w:rsidRPr="006553FF">
        <w:t>t</w:t>
      </w:r>
      <w:r w:rsidR="005268AE" w:rsidRPr="006553FF">
        <w:t xml:space="preserve">he UK </w:t>
      </w:r>
      <w:r w:rsidR="00AD1E95" w:rsidRPr="006553FF">
        <w:t xml:space="preserve">and the EU is the UK </w:t>
      </w:r>
      <w:r w:rsidR="00D926CA" w:rsidRPr="006553FF">
        <w:t>continuing to uphold</w:t>
      </w:r>
      <w:r w:rsidR="005268AE" w:rsidRPr="006553FF">
        <w:t xml:space="preserve"> the </w:t>
      </w:r>
      <w:r w:rsidR="00AD1E95" w:rsidRPr="006553FF">
        <w:lastRenderedPageBreak/>
        <w:t xml:space="preserve">current </w:t>
      </w:r>
      <w:r w:rsidR="006C0CD6" w:rsidRPr="006553FF">
        <w:t xml:space="preserve">UK GDPR </w:t>
      </w:r>
      <w:r w:rsidR="00D926CA" w:rsidRPr="006553FF">
        <w:t>standards</w:t>
      </w:r>
      <w:r w:rsidR="005268AE" w:rsidRPr="006553FF">
        <w:t xml:space="preserve"> on</w:t>
      </w:r>
      <w:r w:rsidR="00D926CA" w:rsidRPr="006553FF">
        <w:t xml:space="preserve"> international</w:t>
      </w:r>
      <w:r w:rsidR="005268AE" w:rsidRPr="006553FF">
        <w:t xml:space="preserve"> transfer of </w:t>
      </w:r>
      <w:r w:rsidR="00426C15" w:rsidRPr="006553FF">
        <w:t xml:space="preserve">personal </w:t>
      </w:r>
      <w:r w:rsidR="0008638B" w:rsidRPr="006553FF">
        <w:t>data.</w:t>
      </w:r>
      <w:r w:rsidR="00AD58B2" w:rsidRPr="006553FF">
        <w:rPr>
          <w:rStyle w:val="FootnoteReference"/>
        </w:rPr>
        <w:footnoteReference w:id="76"/>
      </w:r>
    </w:p>
    <w:p w14:paraId="388A53A5" w14:textId="77777777" w:rsidR="00090F31" w:rsidRPr="006553FF" w:rsidRDefault="00090F31" w:rsidP="00D01D9D">
      <w:pPr>
        <w:pStyle w:val="ListParagraph"/>
        <w:numPr>
          <w:ilvl w:val="0"/>
          <w:numId w:val="0"/>
        </w:numPr>
        <w:ind w:left="720"/>
      </w:pPr>
    </w:p>
    <w:p w14:paraId="6A2240AC" w14:textId="4C750EB9" w:rsidR="004A5D85" w:rsidRPr="006553FF" w:rsidRDefault="00090F31" w:rsidP="00D01D9D">
      <w:pPr>
        <w:pStyle w:val="ListParagraph"/>
      </w:pPr>
      <w:r w:rsidRPr="006553FF">
        <w:t xml:space="preserve">The </w:t>
      </w:r>
      <w:r w:rsidR="00EA3319" w:rsidRPr="006553FF">
        <w:t xml:space="preserve">European Data Protection Board has noted in their opinion on the adequacy agreement between the UK and the EU that </w:t>
      </w:r>
      <w:r w:rsidR="00084467" w:rsidRPr="006553FF">
        <w:t xml:space="preserve">in order for the </w:t>
      </w:r>
      <w:r w:rsidR="00327C09" w:rsidRPr="006553FF">
        <w:t>adequacy agreement to continue the UK and the EU must offer the same level of protection</w:t>
      </w:r>
      <w:r w:rsidR="001821C1" w:rsidRPr="006553FF">
        <w:t xml:space="preserve"> to data users. </w:t>
      </w:r>
      <w:r w:rsidR="00577CF3" w:rsidRPr="006553FF">
        <w:t>Therefore,</w:t>
      </w:r>
      <w:r w:rsidR="001821C1" w:rsidRPr="006553FF">
        <w:t xml:space="preserve"> both</w:t>
      </w:r>
      <w:r w:rsidR="00F21B1C" w:rsidRPr="006553FF">
        <w:t xml:space="preserve"> </w:t>
      </w:r>
      <w:r w:rsidR="00084467" w:rsidRPr="006553FF">
        <w:t xml:space="preserve">the UK’s legislation </w:t>
      </w:r>
      <w:r w:rsidR="00F21B1C" w:rsidRPr="006553FF">
        <w:t xml:space="preserve">on processing data </w:t>
      </w:r>
      <w:r w:rsidR="001821C1" w:rsidRPr="006553FF">
        <w:t xml:space="preserve">that has been </w:t>
      </w:r>
      <w:r w:rsidR="00F21B1C" w:rsidRPr="006553FF">
        <w:t>transferred to the UK</w:t>
      </w:r>
      <w:r w:rsidR="001821C1" w:rsidRPr="006553FF">
        <w:t xml:space="preserve"> and the UK legislation on onward transfers of data to third countries must be “essentially equivalent” to that of the EU.</w:t>
      </w:r>
      <w:r w:rsidR="001821C1" w:rsidRPr="006553FF">
        <w:rPr>
          <w:rStyle w:val="FootnoteReference"/>
        </w:rPr>
        <w:footnoteReference w:id="77"/>
      </w:r>
      <w:r w:rsidR="001821C1" w:rsidRPr="006553FF">
        <w:t xml:space="preserve"> </w:t>
      </w:r>
    </w:p>
    <w:p w14:paraId="0C0BAFD7" w14:textId="77777777" w:rsidR="00780564" w:rsidRPr="006553FF" w:rsidRDefault="00780564" w:rsidP="00D01D9D">
      <w:pPr>
        <w:pStyle w:val="ListParagraph"/>
        <w:numPr>
          <w:ilvl w:val="0"/>
          <w:numId w:val="0"/>
        </w:numPr>
        <w:ind w:left="720"/>
      </w:pPr>
    </w:p>
    <w:p w14:paraId="4DE41482" w14:textId="059112E8" w:rsidR="003C77E6" w:rsidRPr="006553FF" w:rsidRDefault="00A04E48" w:rsidP="00D01D9D">
      <w:pPr>
        <w:pStyle w:val="ListParagraph"/>
      </w:pPr>
      <w:r w:rsidRPr="006553FF">
        <w:t xml:space="preserve">The </w:t>
      </w:r>
      <w:r w:rsidR="007C14BC">
        <w:t>Data (Use and Access) Bill [HL</w:t>
      </w:r>
      <w:r w:rsidR="002B1351">
        <w:t>]</w:t>
      </w:r>
      <w:r w:rsidRPr="006553FF">
        <w:t xml:space="preserve"> proposes changes to the current regulation of onward transfers of data to third countries that could have implications for both data subjects’ rights and for the adequacy agreements currently in place between the UK and the EU. </w:t>
      </w:r>
    </w:p>
    <w:p w14:paraId="56C6AECF" w14:textId="77777777" w:rsidR="00367C8F" w:rsidRPr="006553FF" w:rsidRDefault="00367C8F" w:rsidP="00577CF3">
      <w:pPr>
        <w:pStyle w:val="NIHRC"/>
      </w:pPr>
    </w:p>
    <w:p w14:paraId="3B59DF91" w14:textId="4DBC8EB3" w:rsidR="009A4901" w:rsidRPr="006553FF" w:rsidRDefault="00CF1024" w:rsidP="00982DF7">
      <w:pPr>
        <w:pStyle w:val="Heading2"/>
      </w:pPr>
      <w:bookmarkStart w:id="27" w:name="_Toc190093252"/>
      <w:r w:rsidRPr="006553FF">
        <w:t>Current standards</w:t>
      </w:r>
      <w:bookmarkEnd w:id="27"/>
      <w:r w:rsidRPr="006553FF">
        <w:t xml:space="preserve"> </w:t>
      </w:r>
    </w:p>
    <w:p w14:paraId="58D69E48" w14:textId="77777777" w:rsidR="0029232A" w:rsidRPr="006553FF" w:rsidRDefault="0029232A" w:rsidP="00367C8F">
      <w:pPr>
        <w:jc w:val="both"/>
        <w:rPr>
          <w:rFonts w:ascii="Verdana" w:hAnsi="Verdana"/>
        </w:rPr>
      </w:pPr>
    </w:p>
    <w:p w14:paraId="6F27212A" w14:textId="22BDEB85" w:rsidR="009247B4" w:rsidRPr="006553FF" w:rsidRDefault="000E4B26" w:rsidP="00D01D9D">
      <w:pPr>
        <w:pStyle w:val="ListParagraph"/>
      </w:pPr>
      <w:r w:rsidRPr="006553FF">
        <w:t xml:space="preserve">The transfer of data to third countries and </w:t>
      </w:r>
      <w:r w:rsidR="00333FE2" w:rsidRPr="006553FF">
        <w:t xml:space="preserve">international </w:t>
      </w:r>
      <w:r w:rsidRPr="006553FF">
        <w:t xml:space="preserve">organisations is governed by Chapter V of </w:t>
      </w:r>
      <w:r w:rsidR="00062145">
        <w:t xml:space="preserve">the </w:t>
      </w:r>
      <w:r w:rsidRPr="006553FF">
        <w:t>UK GDPR</w:t>
      </w:r>
      <w:r w:rsidR="002F045C" w:rsidRPr="006553FF">
        <w:t xml:space="preserve">, which is currently aligned with </w:t>
      </w:r>
      <w:r w:rsidR="00A20256">
        <w:t xml:space="preserve">the </w:t>
      </w:r>
      <w:r w:rsidR="002F045C" w:rsidRPr="006553FF">
        <w:t>EU GDPR</w:t>
      </w:r>
      <w:r w:rsidR="001E792A" w:rsidRPr="006553FF">
        <w:t>.</w:t>
      </w:r>
      <w:r w:rsidR="002F045C" w:rsidRPr="006553FF">
        <w:rPr>
          <w:rStyle w:val="FootnoteReference"/>
        </w:rPr>
        <w:footnoteReference w:id="78"/>
      </w:r>
      <w:r w:rsidR="001E792A" w:rsidRPr="006553FF">
        <w:t xml:space="preserve"> </w:t>
      </w:r>
      <w:r w:rsidR="00A150BF" w:rsidRPr="006553FF">
        <w:t>Article 44</w:t>
      </w:r>
      <w:r w:rsidR="00A20256">
        <w:t>,</w:t>
      </w:r>
      <w:r w:rsidR="00062145">
        <w:t xml:space="preserve"> </w:t>
      </w:r>
      <w:r w:rsidR="00A150BF" w:rsidRPr="006553FF">
        <w:t xml:space="preserve">UK GDPR is the main provision which </w:t>
      </w:r>
      <w:r w:rsidR="002A5B66">
        <w:t>provides for</w:t>
      </w:r>
      <w:r w:rsidR="00A150BF" w:rsidRPr="006553FF">
        <w:t xml:space="preserve"> transfers of </w:t>
      </w:r>
      <w:r w:rsidR="00E849BF" w:rsidRPr="006553FF">
        <w:t>personal</w:t>
      </w:r>
      <w:r w:rsidR="00A150BF" w:rsidRPr="006553FF">
        <w:t xml:space="preserve"> dat</w:t>
      </w:r>
      <w:r w:rsidR="00E849BF" w:rsidRPr="006553FF">
        <w:t xml:space="preserve">a to take place only </w:t>
      </w:r>
      <w:r w:rsidR="00FB5309" w:rsidRPr="006553FF">
        <w:t xml:space="preserve">if </w:t>
      </w:r>
      <w:r w:rsidR="00917781" w:rsidRPr="006553FF">
        <w:t xml:space="preserve">the </w:t>
      </w:r>
      <w:r w:rsidR="00FB5309" w:rsidRPr="006553FF">
        <w:t xml:space="preserve">conditions laid down in </w:t>
      </w:r>
      <w:r w:rsidR="00062145">
        <w:t xml:space="preserve">the </w:t>
      </w:r>
      <w:r w:rsidR="00FB5309" w:rsidRPr="006553FF">
        <w:t>UK GD</w:t>
      </w:r>
      <w:r w:rsidR="00917781" w:rsidRPr="006553FF">
        <w:t>P</w:t>
      </w:r>
      <w:r w:rsidR="00FB5309" w:rsidRPr="006553FF">
        <w:t xml:space="preserve">R </w:t>
      </w:r>
      <w:r w:rsidR="00917781" w:rsidRPr="006553FF">
        <w:t>for the</w:t>
      </w:r>
      <w:r w:rsidR="00FB5309" w:rsidRPr="006553FF">
        <w:t xml:space="preserve"> protect</w:t>
      </w:r>
      <w:r w:rsidR="00917781" w:rsidRPr="006553FF">
        <w:t>ion of</w:t>
      </w:r>
      <w:r w:rsidR="00FB5309" w:rsidRPr="006553FF">
        <w:t xml:space="preserve"> the rights of data subjects are complied with.</w:t>
      </w:r>
      <w:r w:rsidR="00A1434E" w:rsidRPr="006553FF">
        <w:rPr>
          <w:rStyle w:val="FootnoteReference"/>
        </w:rPr>
        <w:footnoteReference w:id="79"/>
      </w:r>
      <w:r w:rsidR="00FB5309" w:rsidRPr="006553FF">
        <w:t xml:space="preserve"> </w:t>
      </w:r>
      <w:r w:rsidR="00577CF3" w:rsidRPr="006553FF">
        <w:t xml:space="preserve"> Article 6</w:t>
      </w:r>
      <w:r w:rsidR="00A20256">
        <w:t xml:space="preserve">, </w:t>
      </w:r>
      <w:r w:rsidR="00577CF3" w:rsidRPr="006553FF">
        <w:t>UK GDPR sets out rules for the lawful processing of data, and Article 9</w:t>
      </w:r>
      <w:r w:rsidR="00A20256">
        <w:t>,</w:t>
      </w:r>
      <w:r w:rsidR="00062145">
        <w:t xml:space="preserve"> UK GDPR </w:t>
      </w:r>
      <w:r w:rsidR="00577CF3" w:rsidRPr="006553FF">
        <w:t>prohibits special categories of sensitive personal data from being processed.</w:t>
      </w:r>
    </w:p>
    <w:p w14:paraId="768CC133" w14:textId="77777777" w:rsidR="009247B4" w:rsidRPr="006553FF" w:rsidRDefault="009247B4" w:rsidP="00D01D9D">
      <w:pPr>
        <w:pStyle w:val="ListParagraph"/>
        <w:numPr>
          <w:ilvl w:val="0"/>
          <w:numId w:val="0"/>
        </w:numPr>
        <w:ind w:left="720"/>
      </w:pPr>
    </w:p>
    <w:p w14:paraId="593E0072" w14:textId="00EAEDD5" w:rsidR="001E792A" w:rsidRPr="006553FF" w:rsidRDefault="002F045C" w:rsidP="00D01D9D">
      <w:pPr>
        <w:pStyle w:val="ListParagraph"/>
      </w:pPr>
      <w:r w:rsidRPr="006553FF">
        <w:t xml:space="preserve">Currently </w:t>
      </w:r>
      <w:r w:rsidR="00333FE2" w:rsidRPr="006553FF">
        <w:t>Article 45</w:t>
      </w:r>
      <w:r w:rsidR="00A20256">
        <w:t xml:space="preserve">, </w:t>
      </w:r>
      <w:r w:rsidR="008402EF" w:rsidRPr="006553FF">
        <w:t xml:space="preserve">UK </w:t>
      </w:r>
      <w:r w:rsidR="009247B4" w:rsidRPr="006553FF">
        <w:t>GDPR allows</w:t>
      </w:r>
      <w:r w:rsidR="00333FE2" w:rsidRPr="006553FF">
        <w:t xml:space="preserve"> for transfers of personal data to third countries and international organisations to take place without </w:t>
      </w:r>
      <w:r w:rsidR="00600D8D" w:rsidRPr="006553FF">
        <w:t xml:space="preserve">specific </w:t>
      </w:r>
      <w:r w:rsidR="00A1434E" w:rsidRPr="006553FF">
        <w:t>authorisation if</w:t>
      </w:r>
      <w:r w:rsidR="008402EF" w:rsidRPr="006553FF">
        <w:t xml:space="preserve"> the transfer is based o</w:t>
      </w:r>
      <w:r w:rsidR="00A709EF" w:rsidRPr="006553FF">
        <w:t>n</w:t>
      </w:r>
      <w:r w:rsidR="008402EF" w:rsidRPr="006553FF">
        <w:t xml:space="preserve"> adequacy</w:t>
      </w:r>
      <w:r w:rsidR="00A709EF" w:rsidRPr="006553FF">
        <w:t xml:space="preserve"> </w:t>
      </w:r>
      <w:r w:rsidR="00A709EF" w:rsidRPr="006553FF">
        <w:lastRenderedPageBreak/>
        <w:t>regulations</w:t>
      </w:r>
      <w:r w:rsidR="00E3057E" w:rsidRPr="006553FF">
        <w:t xml:space="preserve"> (in other words, </w:t>
      </w:r>
      <w:r w:rsidR="000972FC" w:rsidRPr="006553FF">
        <w:t xml:space="preserve">an adequacy </w:t>
      </w:r>
      <w:r w:rsidRPr="006553FF">
        <w:t xml:space="preserve">decision </w:t>
      </w:r>
      <w:r w:rsidR="00D01D9D">
        <w:t xml:space="preserve">by the Government </w:t>
      </w:r>
      <w:r w:rsidR="000972FC" w:rsidRPr="006553FF">
        <w:t xml:space="preserve">to share data with a third country or international </w:t>
      </w:r>
      <w:r w:rsidR="001A6556" w:rsidRPr="006553FF">
        <w:t>organisation</w:t>
      </w:r>
      <w:r w:rsidR="000972FC" w:rsidRPr="006553FF">
        <w:t xml:space="preserve"> which is </w:t>
      </w:r>
      <w:r w:rsidR="001A6556" w:rsidRPr="006553FF">
        <w:t>deemed</w:t>
      </w:r>
      <w:r w:rsidR="000972FC" w:rsidRPr="006553FF">
        <w:t xml:space="preserve"> to have the same </w:t>
      </w:r>
      <w:r w:rsidR="001A6556" w:rsidRPr="006553FF">
        <w:t>style</w:t>
      </w:r>
      <w:r w:rsidR="000972FC" w:rsidRPr="006553FF">
        <w:t xml:space="preserve"> of data protection as the </w:t>
      </w:r>
      <w:r w:rsidR="001A6556" w:rsidRPr="006553FF">
        <w:t>U</w:t>
      </w:r>
      <w:r w:rsidR="000972FC" w:rsidRPr="006553FF">
        <w:t xml:space="preserve">K). </w:t>
      </w:r>
      <w:r w:rsidR="00E3057E" w:rsidRPr="006553FF">
        <w:t xml:space="preserve">When assessing </w:t>
      </w:r>
      <w:r w:rsidR="00D36EA9" w:rsidRPr="006553FF">
        <w:t xml:space="preserve">the adequacy of </w:t>
      </w:r>
      <w:r w:rsidR="009247B4" w:rsidRPr="006553FF">
        <w:t>t</w:t>
      </w:r>
      <w:r w:rsidR="00D36EA9" w:rsidRPr="006553FF">
        <w:t xml:space="preserve">he level of </w:t>
      </w:r>
      <w:r w:rsidR="00004FFB" w:rsidRPr="006553FF">
        <w:t xml:space="preserve">data </w:t>
      </w:r>
      <w:r w:rsidR="00D36EA9" w:rsidRPr="006553FF">
        <w:t xml:space="preserve">protection in the third country or international </w:t>
      </w:r>
      <w:r w:rsidR="009247B4" w:rsidRPr="006553FF">
        <w:t>organisation</w:t>
      </w:r>
      <w:r w:rsidR="006A3C84" w:rsidRPr="006553FF">
        <w:t xml:space="preserve"> for the purposes of </w:t>
      </w:r>
      <w:r w:rsidRPr="006553FF">
        <w:t xml:space="preserve">making </w:t>
      </w:r>
      <w:r w:rsidR="006A3C84" w:rsidRPr="006553FF">
        <w:t xml:space="preserve">an adequacy </w:t>
      </w:r>
      <w:r w:rsidRPr="006553FF">
        <w:t>decision</w:t>
      </w:r>
      <w:r w:rsidR="00D36EA9" w:rsidRPr="006553FF">
        <w:t xml:space="preserve">, the Secretary of State </w:t>
      </w:r>
      <w:r w:rsidR="009247B4" w:rsidRPr="006553FF">
        <w:t>must</w:t>
      </w:r>
      <w:r w:rsidR="00D36EA9" w:rsidRPr="006553FF">
        <w:t xml:space="preserve"> take in</w:t>
      </w:r>
      <w:r w:rsidRPr="006553FF">
        <w:t>to</w:t>
      </w:r>
      <w:r w:rsidR="00D36EA9" w:rsidRPr="006553FF">
        <w:t xml:space="preserve"> </w:t>
      </w:r>
      <w:r w:rsidR="009247B4" w:rsidRPr="006553FF">
        <w:t>consideration</w:t>
      </w:r>
      <w:r w:rsidR="00D36EA9" w:rsidRPr="006553FF">
        <w:t xml:space="preserve"> </w:t>
      </w:r>
      <w:r w:rsidR="00C075F9" w:rsidRPr="006553FF">
        <w:t>“the rule of law, respect for human rights and fundamental freedoms”, among other elements, in the third country.</w:t>
      </w:r>
      <w:r w:rsidR="00C075F9" w:rsidRPr="006553FF">
        <w:rPr>
          <w:rStyle w:val="FootnoteReference"/>
        </w:rPr>
        <w:footnoteReference w:id="80"/>
      </w:r>
      <w:r w:rsidR="00C075F9" w:rsidRPr="006553FF">
        <w:t xml:space="preserve"> </w:t>
      </w:r>
    </w:p>
    <w:p w14:paraId="6576E852" w14:textId="77777777" w:rsidR="00845423" w:rsidRPr="006553FF" w:rsidRDefault="00845423" w:rsidP="00845423">
      <w:pPr>
        <w:pStyle w:val="ListParagraph"/>
        <w:numPr>
          <w:ilvl w:val="0"/>
          <w:numId w:val="0"/>
        </w:numPr>
        <w:ind w:left="720"/>
      </w:pPr>
    </w:p>
    <w:p w14:paraId="162A07B8" w14:textId="29720E48" w:rsidR="00845423" w:rsidRPr="006553FF" w:rsidRDefault="00845423" w:rsidP="00B800C3">
      <w:pPr>
        <w:pStyle w:val="ListParagraph"/>
      </w:pPr>
      <w:r w:rsidRPr="006553FF">
        <w:t xml:space="preserve">When the transfer of data to a third country or an international organisation happens </w:t>
      </w:r>
      <w:r w:rsidR="00004FFB" w:rsidRPr="006553FF">
        <w:t>without</w:t>
      </w:r>
      <w:r w:rsidRPr="006553FF">
        <w:t xml:space="preserve"> an adequacy </w:t>
      </w:r>
      <w:r w:rsidR="002F045C" w:rsidRPr="006553FF">
        <w:t xml:space="preserve">decision </w:t>
      </w:r>
      <w:r w:rsidRPr="006553FF">
        <w:t xml:space="preserve">in place, </w:t>
      </w:r>
      <w:r w:rsidR="00004FFB" w:rsidRPr="006553FF">
        <w:t xml:space="preserve">data can </w:t>
      </w:r>
      <w:r w:rsidR="00FE04F7" w:rsidRPr="006553FF">
        <w:t xml:space="preserve">only </w:t>
      </w:r>
      <w:r w:rsidR="00004FFB" w:rsidRPr="006553FF">
        <w:t xml:space="preserve">be shared if </w:t>
      </w:r>
      <w:r w:rsidR="00DB47BA" w:rsidRPr="006553FF">
        <w:t>appropriate safeguards</w:t>
      </w:r>
      <w:r w:rsidR="00C96AE1" w:rsidRPr="006553FF">
        <w:t xml:space="preserve"> of data subjects’ rights are put in place </w:t>
      </w:r>
      <w:r w:rsidR="00FE04F7" w:rsidRPr="006553FF">
        <w:t>and if</w:t>
      </w:r>
      <w:r w:rsidR="00C96AE1" w:rsidRPr="006553FF">
        <w:t xml:space="preserve"> </w:t>
      </w:r>
      <w:r w:rsidR="00DB47BA" w:rsidRPr="006553FF">
        <w:t xml:space="preserve">effective legal remedies for data subjects are </w:t>
      </w:r>
      <w:r w:rsidR="00B800C3" w:rsidRPr="006553FF">
        <w:t xml:space="preserve">made </w:t>
      </w:r>
      <w:r w:rsidR="00DB47BA" w:rsidRPr="006553FF">
        <w:t>available.</w:t>
      </w:r>
      <w:r w:rsidR="00B800C3" w:rsidRPr="006553FF">
        <w:rPr>
          <w:rStyle w:val="FootnoteReference"/>
        </w:rPr>
        <w:footnoteReference w:id="81"/>
      </w:r>
    </w:p>
    <w:p w14:paraId="77E718FD" w14:textId="77777777" w:rsidR="00DB21F8" w:rsidRPr="006553FF" w:rsidRDefault="00DB21F8" w:rsidP="00DB21F8">
      <w:pPr>
        <w:pStyle w:val="ListParagraph"/>
        <w:numPr>
          <w:ilvl w:val="0"/>
          <w:numId w:val="0"/>
        </w:numPr>
        <w:ind w:left="720"/>
      </w:pPr>
    </w:p>
    <w:p w14:paraId="052858E6" w14:textId="49A6E6F1" w:rsidR="00DB21F8" w:rsidRPr="006553FF" w:rsidRDefault="00DB21F8" w:rsidP="00D01D9D">
      <w:pPr>
        <w:pStyle w:val="ListParagraph"/>
      </w:pPr>
      <w:r w:rsidRPr="006553FF">
        <w:t xml:space="preserve">Article 49 </w:t>
      </w:r>
      <w:r w:rsidR="002F045C" w:rsidRPr="006553FF">
        <w:t xml:space="preserve">currently </w:t>
      </w:r>
      <w:r w:rsidRPr="006553FF">
        <w:t xml:space="preserve">contains </w:t>
      </w:r>
      <w:r w:rsidR="003E1FC5" w:rsidRPr="006553FF">
        <w:t>derogations</w:t>
      </w:r>
      <w:r w:rsidRPr="006553FF">
        <w:t xml:space="preserve"> from these rules for specific situations, which would allow the transfer of data to third countries </w:t>
      </w:r>
      <w:r w:rsidR="003E1FC5" w:rsidRPr="006553FF">
        <w:t xml:space="preserve">or international organisations </w:t>
      </w:r>
      <w:r w:rsidR="001E71B3" w:rsidRPr="006553FF">
        <w:t xml:space="preserve">to take place </w:t>
      </w:r>
      <w:r w:rsidRPr="006553FF">
        <w:t xml:space="preserve">without </w:t>
      </w:r>
      <w:r w:rsidR="00243B9E" w:rsidRPr="006553FF">
        <w:t xml:space="preserve">an adequacy </w:t>
      </w:r>
      <w:r w:rsidR="002F045C" w:rsidRPr="006553FF">
        <w:t xml:space="preserve">decision </w:t>
      </w:r>
      <w:r w:rsidR="00243B9E" w:rsidRPr="006553FF">
        <w:t>under Article 45</w:t>
      </w:r>
      <w:r w:rsidR="0063379D">
        <w:t>,</w:t>
      </w:r>
      <w:r w:rsidR="00A20256">
        <w:t xml:space="preserve"> </w:t>
      </w:r>
      <w:r w:rsidR="004E6764" w:rsidRPr="006553FF">
        <w:t>UK GDPR</w:t>
      </w:r>
      <w:r w:rsidR="001E71B3" w:rsidRPr="006553FF">
        <w:t>,</w:t>
      </w:r>
      <w:r w:rsidR="004E6764" w:rsidRPr="006553FF">
        <w:t xml:space="preserve"> </w:t>
      </w:r>
      <w:r w:rsidR="001E71B3" w:rsidRPr="006553FF">
        <w:t>and</w:t>
      </w:r>
      <w:r w:rsidR="00243B9E" w:rsidRPr="006553FF">
        <w:t xml:space="preserve"> without the </w:t>
      </w:r>
      <w:r w:rsidR="004E6764" w:rsidRPr="006553FF">
        <w:t>safeguards pursuant to Article 46</w:t>
      </w:r>
      <w:r w:rsidR="002F045C" w:rsidRPr="006553FF">
        <w:t>,</w:t>
      </w:r>
      <w:r w:rsidR="004E6764" w:rsidRPr="006553FF">
        <w:t xml:space="preserve"> UK GDPR. </w:t>
      </w:r>
      <w:r w:rsidR="00C02AC4" w:rsidRPr="006553FF">
        <w:t>Article</w:t>
      </w:r>
      <w:r w:rsidR="00982D42" w:rsidRPr="006553FF">
        <w:t xml:space="preserve"> 49 </w:t>
      </w:r>
      <w:r w:rsidR="00C02AC4" w:rsidRPr="006553FF">
        <w:t>f</w:t>
      </w:r>
      <w:r w:rsidR="00982D42" w:rsidRPr="006553FF">
        <w:t xml:space="preserve">urther allows for onward transfers of data even if </w:t>
      </w:r>
      <w:r w:rsidR="00E34BCD" w:rsidRPr="006553FF">
        <w:t xml:space="preserve">none of </w:t>
      </w:r>
      <w:r w:rsidR="00982D42" w:rsidRPr="006553FF">
        <w:t>the derogation</w:t>
      </w:r>
      <w:r w:rsidR="00E34BCD" w:rsidRPr="006553FF">
        <w:t>s</w:t>
      </w:r>
      <w:r w:rsidR="00982D42" w:rsidRPr="006553FF">
        <w:t xml:space="preserve"> </w:t>
      </w:r>
      <w:r w:rsidR="00C02AC4" w:rsidRPr="006553FF">
        <w:t>for specific situations are applicable</w:t>
      </w:r>
      <w:r w:rsidR="00B4194C">
        <w:t>, subject to a range of conditions</w:t>
      </w:r>
      <w:r w:rsidR="00E34BCD" w:rsidRPr="006553FF">
        <w:t>.</w:t>
      </w:r>
      <w:r w:rsidR="00E34BCD" w:rsidRPr="006553FF">
        <w:rPr>
          <w:rStyle w:val="FootnoteReference"/>
        </w:rPr>
        <w:footnoteReference w:id="82"/>
      </w:r>
      <w:r w:rsidR="00E34BCD" w:rsidRPr="006553FF">
        <w:t xml:space="preserve"> </w:t>
      </w:r>
    </w:p>
    <w:p w14:paraId="447F2B42" w14:textId="77777777" w:rsidR="00531AC0" w:rsidRPr="006553FF" w:rsidRDefault="00531AC0" w:rsidP="004D47D9">
      <w:pPr>
        <w:pStyle w:val="ListParagraph"/>
        <w:numPr>
          <w:ilvl w:val="0"/>
          <w:numId w:val="0"/>
        </w:numPr>
        <w:ind w:left="720"/>
      </w:pPr>
    </w:p>
    <w:p w14:paraId="104A0B45" w14:textId="341BB640" w:rsidR="00724935" w:rsidRPr="006553FF" w:rsidRDefault="00531AC0" w:rsidP="001C16F7">
      <w:pPr>
        <w:pStyle w:val="ListParagraph"/>
      </w:pPr>
      <w:r w:rsidRPr="006553FF">
        <w:t>Article 18</w:t>
      </w:r>
      <w:r w:rsidR="001C6D21">
        <w:t>(1) and (2)</w:t>
      </w:r>
      <w:r w:rsidRPr="006553FF">
        <w:t xml:space="preserve"> of the Data Protection Act 2018</w:t>
      </w:r>
      <w:r w:rsidR="00010F22" w:rsidRPr="006553FF">
        <w:t xml:space="preserve"> </w:t>
      </w:r>
      <w:r w:rsidR="005532B9">
        <w:t>em</w:t>
      </w:r>
      <w:r w:rsidR="00010F22" w:rsidRPr="006553FF">
        <w:t xml:space="preserve">powers the </w:t>
      </w:r>
      <w:r w:rsidR="00677CD5" w:rsidRPr="006553FF">
        <w:t>Secretary</w:t>
      </w:r>
      <w:r w:rsidR="00010F22" w:rsidRPr="006553FF">
        <w:t xml:space="preserve"> of State to </w:t>
      </w:r>
      <w:r w:rsidR="00677CD5" w:rsidRPr="006553FF">
        <w:t xml:space="preserve">specify by regulation, the circumstances in which data can be transferred to third counties or international organisations under Articles </w:t>
      </w:r>
      <w:r w:rsidR="001405A7">
        <w:t xml:space="preserve">45 and </w:t>
      </w:r>
      <w:r w:rsidR="00677CD5" w:rsidRPr="006553FF">
        <w:t>49</w:t>
      </w:r>
      <w:r w:rsidR="00940A60">
        <w:t>,</w:t>
      </w:r>
      <w:r w:rsidR="00677CD5" w:rsidRPr="006553FF">
        <w:t xml:space="preserve"> UK GDPR</w:t>
      </w:r>
      <w:r w:rsidR="003B301D">
        <w:t xml:space="preserve">, subject to the safeguards </w:t>
      </w:r>
      <w:r w:rsidR="00271CE2">
        <w:t xml:space="preserve">referenced </w:t>
      </w:r>
      <w:r w:rsidR="003B301D">
        <w:t>above</w:t>
      </w:r>
      <w:r w:rsidR="00677CD5" w:rsidRPr="006553FF">
        <w:t xml:space="preserve">. </w:t>
      </w:r>
    </w:p>
    <w:p w14:paraId="1467B738" w14:textId="77777777" w:rsidR="00982DF7" w:rsidRPr="006553FF" w:rsidRDefault="00982DF7" w:rsidP="00982DF7">
      <w:pPr>
        <w:jc w:val="both"/>
        <w:rPr>
          <w:rFonts w:ascii="Verdana" w:hAnsi="Verdana"/>
        </w:rPr>
      </w:pPr>
    </w:p>
    <w:p w14:paraId="0CA29B51" w14:textId="1A3CFCD2" w:rsidR="00330FDC" w:rsidRPr="006553FF" w:rsidRDefault="00982DF7" w:rsidP="00982DF7">
      <w:pPr>
        <w:pStyle w:val="Heading2"/>
      </w:pPr>
      <w:bookmarkStart w:id="29" w:name="_Toc190093253"/>
      <w:r w:rsidRPr="006553FF">
        <w:t>Proposed changes</w:t>
      </w:r>
      <w:bookmarkEnd w:id="29"/>
    </w:p>
    <w:p w14:paraId="76FEEDFE" w14:textId="77777777" w:rsidR="00982DF7" w:rsidRPr="006553FF" w:rsidRDefault="00982DF7" w:rsidP="00982DF7">
      <w:pPr>
        <w:rPr>
          <w:rFonts w:ascii="Verdana" w:hAnsi="Verdana"/>
        </w:rPr>
      </w:pPr>
    </w:p>
    <w:p w14:paraId="03B5F55A" w14:textId="1717A7E3" w:rsidR="009A4901" w:rsidRPr="006553FF" w:rsidRDefault="00BA1824" w:rsidP="002E6E30">
      <w:pPr>
        <w:pStyle w:val="ListParagraph"/>
      </w:pPr>
      <w:r w:rsidRPr="006553FF">
        <w:lastRenderedPageBreak/>
        <w:t xml:space="preserve">The </w:t>
      </w:r>
      <w:r w:rsidR="002B1351">
        <w:t xml:space="preserve">Data (Use and Access) </w:t>
      </w:r>
      <w:r w:rsidRPr="006553FF">
        <w:t>Bill</w:t>
      </w:r>
      <w:r w:rsidR="002B1351">
        <w:t xml:space="preserve"> [HL]</w:t>
      </w:r>
      <w:r w:rsidRPr="006553FF">
        <w:t xml:space="preserve"> seeks to make changes to</w:t>
      </w:r>
      <w:r w:rsidR="001F3DE8" w:rsidRPr="006553FF">
        <w:t xml:space="preserve"> the legal framework on onward transfers of d</w:t>
      </w:r>
      <w:r w:rsidR="006B6AB1" w:rsidRPr="006553FF">
        <w:t>a</w:t>
      </w:r>
      <w:r w:rsidR="001F3DE8" w:rsidRPr="006553FF">
        <w:t>ta</w:t>
      </w:r>
      <w:r w:rsidRPr="006553FF">
        <w:t xml:space="preserve">. </w:t>
      </w:r>
      <w:r w:rsidR="00BC27F8">
        <w:t>Clause</w:t>
      </w:r>
      <w:r w:rsidR="004E64C2" w:rsidDel="002B1351">
        <w:t xml:space="preserve"> </w:t>
      </w:r>
      <w:r w:rsidR="002B1351">
        <w:t>8</w:t>
      </w:r>
      <w:r w:rsidR="00BA6C3C">
        <w:t>5</w:t>
      </w:r>
      <w:r w:rsidR="002B1351">
        <w:t xml:space="preserve"> </w:t>
      </w:r>
      <w:r w:rsidR="004E64C2">
        <w:t xml:space="preserve">and </w:t>
      </w:r>
      <w:r w:rsidR="00F776A9" w:rsidRPr="006553FF">
        <w:t xml:space="preserve">Schedule </w:t>
      </w:r>
      <w:r w:rsidR="002B1351">
        <w:t>7</w:t>
      </w:r>
      <w:r w:rsidR="002B1351" w:rsidRPr="006553FF">
        <w:t xml:space="preserve"> </w:t>
      </w:r>
      <w:r w:rsidR="00F776A9" w:rsidRPr="006553FF">
        <w:t>of the Bill (</w:t>
      </w:r>
      <w:r w:rsidR="00D93B7F" w:rsidRPr="00D93B7F">
        <w:t>Transfers of personal data to third countries etc: general processing</w:t>
      </w:r>
      <w:r w:rsidR="00F776A9" w:rsidRPr="006553FF">
        <w:t xml:space="preserve">) </w:t>
      </w:r>
      <w:r w:rsidR="00705B57">
        <w:t>replace</w:t>
      </w:r>
      <w:r w:rsidR="00CE79CA">
        <w:t xml:space="preserve"> and amend provisions in Chapter </w:t>
      </w:r>
      <w:r w:rsidR="00973BAD">
        <w:t>5</w:t>
      </w:r>
      <w:r w:rsidR="007635EA" w:rsidRPr="006553FF">
        <w:t xml:space="preserve">, </w:t>
      </w:r>
      <w:r w:rsidR="00876B29" w:rsidRPr="006553FF">
        <w:t>UK GDPR</w:t>
      </w:r>
      <w:r w:rsidR="00B943A9">
        <w:t>,</w:t>
      </w:r>
      <w:r w:rsidR="00F211BF" w:rsidRPr="006553FF">
        <w:t xml:space="preserve"> </w:t>
      </w:r>
      <w:r w:rsidR="00AA79C0" w:rsidRPr="006553FF">
        <w:t>concern</w:t>
      </w:r>
      <w:r w:rsidR="003231EB">
        <w:t>ing</w:t>
      </w:r>
      <w:r w:rsidR="00AA79C0" w:rsidRPr="006553FF">
        <w:t xml:space="preserve"> </w:t>
      </w:r>
      <w:r w:rsidR="002532E4" w:rsidRPr="006553FF">
        <w:t>the</w:t>
      </w:r>
      <w:r w:rsidR="00A370A1" w:rsidRPr="006553FF">
        <w:t xml:space="preserve"> </w:t>
      </w:r>
      <w:r w:rsidR="00A61D1F" w:rsidRPr="006553FF">
        <w:t xml:space="preserve">general principles </w:t>
      </w:r>
      <w:r w:rsidR="00C71D3E" w:rsidRPr="006553FF">
        <w:t>for transfers, the approval of transfers by regulation and a data protection test</w:t>
      </w:r>
      <w:r w:rsidR="001B20B1" w:rsidRPr="006553FF">
        <w:t xml:space="preserve"> to safeguard the rights of the data subject. </w:t>
      </w:r>
    </w:p>
    <w:p w14:paraId="2473CDCC" w14:textId="77777777" w:rsidR="0077281D" w:rsidRPr="006553FF" w:rsidRDefault="0077281D" w:rsidP="0077281D">
      <w:pPr>
        <w:pStyle w:val="ListParagraph"/>
        <w:numPr>
          <w:ilvl w:val="0"/>
          <w:numId w:val="0"/>
        </w:numPr>
        <w:ind w:left="720"/>
      </w:pPr>
    </w:p>
    <w:p w14:paraId="2FE5E5DA" w14:textId="1E48D82A" w:rsidR="00055F30" w:rsidRDefault="00996171" w:rsidP="002E6E30">
      <w:pPr>
        <w:pStyle w:val="ListParagraph"/>
      </w:pPr>
      <w:r w:rsidRPr="006553FF">
        <w:t xml:space="preserve">Whilst </w:t>
      </w:r>
      <w:r w:rsidR="00DA5017" w:rsidRPr="006553FF">
        <w:t xml:space="preserve">the current </w:t>
      </w:r>
      <w:r w:rsidR="00A370A1" w:rsidRPr="006553FF">
        <w:t xml:space="preserve">UK GDPR </w:t>
      </w:r>
      <w:r w:rsidRPr="006553FF">
        <w:t>provisions</w:t>
      </w:r>
      <w:r w:rsidR="00DA5017" w:rsidRPr="006553FF">
        <w:t xml:space="preserve"> </w:t>
      </w:r>
      <w:r w:rsidRPr="006553FF">
        <w:t xml:space="preserve">on onward transfers of </w:t>
      </w:r>
      <w:r w:rsidR="00FE3A22" w:rsidRPr="006553FF">
        <w:t>data</w:t>
      </w:r>
      <w:r w:rsidRPr="006553FF">
        <w:t xml:space="preserve"> under Articles 4</w:t>
      </w:r>
      <w:r w:rsidR="00DA6021" w:rsidRPr="006553FF">
        <w:t>6 (appropriate safeguards)</w:t>
      </w:r>
      <w:r w:rsidRPr="006553FF">
        <w:t xml:space="preserve"> and 4</w:t>
      </w:r>
      <w:r w:rsidR="00FE3A22" w:rsidRPr="006553FF">
        <w:t>9</w:t>
      </w:r>
      <w:r w:rsidR="00DA6021" w:rsidRPr="006553FF">
        <w:t xml:space="preserve"> (derogations)</w:t>
      </w:r>
      <w:r w:rsidRPr="006553FF">
        <w:t xml:space="preserve"> of UK GDPR will </w:t>
      </w:r>
      <w:r w:rsidR="00DA6021" w:rsidRPr="006553FF">
        <w:t>remain</w:t>
      </w:r>
      <w:r w:rsidRPr="006553FF">
        <w:t xml:space="preserve"> </w:t>
      </w:r>
      <w:r w:rsidR="00DA6021" w:rsidRPr="006553FF">
        <w:t>largely</w:t>
      </w:r>
      <w:r w:rsidRPr="006553FF">
        <w:t xml:space="preserve"> the same, </w:t>
      </w:r>
      <w:r w:rsidR="00BF3966">
        <w:t xml:space="preserve">Schedule </w:t>
      </w:r>
      <w:r w:rsidR="00973BAD">
        <w:t xml:space="preserve">7 </w:t>
      </w:r>
      <w:r w:rsidR="00BF3966">
        <w:t xml:space="preserve">replaces </w:t>
      </w:r>
      <w:r w:rsidR="00DA6021" w:rsidRPr="006553FF">
        <w:t>the provisions under Article 45 (adequacy</w:t>
      </w:r>
      <w:r w:rsidR="001D304D" w:rsidRPr="006553FF">
        <w:t xml:space="preserve"> </w:t>
      </w:r>
      <w:r w:rsidR="00124A1B" w:rsidRPr="006553FF">
        <w:t>agreements</w:t>
      </w:r>
      <w:r w:rsidR="00DA6021" w:rsidRPr="006553FF">
        <w:t xml:space="preserve">) with </w:t>
      </w:r>
      <w:r w:rsidR="00FE3A22" w:rsidRPr="006553FF">
        <w:t>new Article</w:t>
      </w:r>
      <w:r w:rsidR="00CF01D7">
        <w:t>s</w:t>
      </w:r>
      <w:r w:rsidR="00FE3A22" w:rsidRPr="006553FF">
        <w:t xml:space="preserve"> 45</w:t>
      </w:r>
      <w:r w:rsidR="00DA6021" w:rsidRPr="006553FF">
        <w:t xml:space="preserve">A </w:t>
      </w:r>
      <w:r w:rsidR="00CF01D7">
        <w:t xml:space="preserve">and 45B </w:t>
      </w:r>
      <w:r w:rsidR="00DA6021" w:rsidRPr="006553FF">
        <w:t xml:space="preserve">that </w:t>
      </w:r>
      <w:r w:rsidR="00F2610F" w:rsidRPr="006553FF">
        <w:t>appear to</w:t>
      </w:r>
      <w:r w:rsidR="00DA6021" w:rsidRPr="006553FF">
        <w:t xml:space="preserve"> </w:t>
      </w:r>
      <w:r w:rsidR="005D4B1B" w:rsidRPr="006553FF">
        <w:t>grant the Secretary of State wide</w:t>
      </w:r>
      <w:r w:rsidR="00124A1B" w:rsidRPr="006553FF">
        <w:t>r</w:t>
      </w:r>
      <w:r w:rsidR="005D4B1B" w:rsidRPr="006553FF">
        <w:t xml:space="preserve"> discretion</w:t>
      </w:r>
      <w:r w:rsidR="00517D9D">
        <w:t xml:space="preserve">, </w:t>
      </w:r>
      <w:r w:rsidR="005D4B1B" w:rsidRPr="006553FF">
        <w:t xml:space="preserve">in </w:t>
      </w:r>
      <w:r w:rsidR="00D0293E" w:rsidRPr="006553FF">
        <w:t>deciding w</w:t>
      </w:r>
      <w:r w:rsidR="0015198F" w:rsidRPr="006553FF">
        <w:t>hether transfers of personal data</w:t>
      </w:r>
      <w:r w:rsidR="00984C86">
        <w:t xml:space="preserve"> </w:t>
      </w:r>
      <w:r w:rsidR="00517D9D">
        <w:t>can take place</w:t>
      </w:r>
      <w:r w:rsidR="00F2610F" w:rsidRPr="006553FF">
        <w:t>.</w:t>
      </w:r>
      <w:r w:rsidR="004E10CD" w:rsidRPr="006553FF">
        <w:rPr>
          <w:rStyle w:val="FootnoteReference"/>
        </w:rPr>
        <w:footnoteReference w:id="83"/>
      </w:r>
      <w:r w:rsidR="00F2610F" w:rsidRPr="006553FF">
        <w:t xml:space="preserve"> </w:t>
      </w:r>
    </w:p>
    <w:p w14:paraId="21AF9C1C" w14:textId="77777777" w:rsidR="001C16F7" w:rsidRPr="006553FF" w:rsidRDefault="001C16F7" w:rsidP="001C16F7">
      <w:pPr>
        <w:pStyle w:val="ListParagraph"/>
        <w:numPr>
          <w:ilvl w:val="0"/>
          <w:numId w:val="0"/>
        </w:numPr>
        <w:ind w:left="720"/>
      </w:pPr>
    </w:p>
    <w:p w14:paraId="5B2F2FDE" w14:textId="642B1CFF" w:rsidR="000D2DFD" w:rsidRDefault="00D07B54" w:rsidP="002E6E30">
      <w:pPr>
        <w:pStyle w:val="ListParagraph"/>
      </w:pPr>
      <w:r w:rsidRPr="006553FF">
        <w:t xml:space="preserve">Proposed </w:t>
      </w:r>
      <w:r w:rsidR="00FD60B0" w:rsidRPr="006553FF">
        <w:t xml:space="preserve">Article </w:t>
      </w:r>
      <w:r w:rsidR="0024105F" w:rsidRPr="006553FF">
        <w:t>45</w:t>
      </w:r>
      <w:r w:rsidR="0063425E" w:rsidRPr="006553FF">
        <w:t>A</w:t>
      </w:r>
      <w:r w:rsidR="00465700" w:rsidRPr="006553FF">
        <w:t>(1) allows the Secretary of State to approve by regulations transfers of data to third countries and international organisations. Article 45A(2)</w:t>
      </w:r>
      <w:r w:rsidR="00747AA2">
        <w:t>,</w:t>
      </w:r>
      <w:r w:rsidR="00465700" w:rsidRPr="006553FF">
        <w:t xml:space="preserve"> however</w:t>
      </w:r>
      <w:r w:rsidR="00747AA2">
        <w:t>,</w:t>
      </w:r>
      <w:r w:rsidR="00465700" w:rsidRPr="006553FF">
        <w:t xml:space="preserve"> also</w:t>
      </w:r>
      <w:r w:rsidR="0024105F" w:rsidRPr="006553FF">
        <w:t xml:space="preserve"> </w:t>
      </w:r>
      <w:r w:rsidR="00F11414" w:rsidRPr="006553FF">
        <w:t xml:space="preserve">requires </w:t>
      </w:r>
      <w:r w:rsidR="00433FD7" w:rsidRPr="006553FF">
        <w:t xml:space="preserve">the Secretary of State </w:t>
      </w:r>
      <w:r w:rsidR="00F11414" w:rsidRPr="006553FF">
        <w:t xml:space="preserve">to abide by </w:t>
      </w:r>
      <w:r w:rsidR="00177AF9">
        <w:t>the</w:t>
      </w:r>
      <w:r w:rsidR="00F11414" w:rsidRPr="006553FF">
        <w:t xml:space="preserve"> test </w:t>
      </w:r>
      <w:r w:rsidR="00177AF9">
        <w:t>in new Article 45B</w:t>
      </w:r>
      <w:r w:rsidR="00F11414" w:rsidRPr="006553FF">
        <w:t xml:space="preserve"> </w:t>
      </w:r>
      <w:r w:rsidR="00EB17F5" w:rsidRPr="006553FF">
        <w:t>to determine</w:t>
      </w:r>
      <w:r w:rsidR="0094718C" w:rsidRPr="006553FF">
        <w:t xml:space="preserve"> whether </w:t>
      </w:r>
      <w:r w:rsidR="00EB17F5" w:rsidRPr="006553FF">
        <w:t xml:space="preserve">the third country or international </w:t>
      </w:r>
      <w:r w:rsidR="0024105F" w:rsidRPr="006553FF">
        <w:t>organisation</w:t>
      </w:r>
      <w:r w:rsidR="00EB17F5" w:rsidRPr="006553FF">
        <w:t xml:space="preserve"> that </w:t>
      </w:r>
      <w:r w:rsidR="0024105F" w:rsidRPr="006553FF">
        <w:t>data is to be transferred to provides an adequate level of protection of data subjects</w:t>
      </w:r>
      <w:r w:rsidR="00C6407A">
        <w:t>’</w:t>
      </w:r>
      <w:r w:rsidR="0024105F" w:rsidRPr="006553FF">
        <w:t xml:space="preserve"> rights.</w:t>
      </w:r>
      <w:r w:rsidR="007103E1" w:rsidRPr="006553FF">
        <w:rPr>
          <w:rStyle w:val="FootnoteReference"/>
        </w:rPr>
        <w:footnoteReference w:id="84"/>
      </w:r>
    </w:p>
    <w:p w14:paraId="41982BA9" w14:textId="77777777" w:rsidR="002E6E30" w:rsidRDefault="002E6E30" w:rsidP="002E6E30">
      <w:pPr>
        <w:pStyle w:val="ListParagraph"/>
        <w:numPr>
          <w:ilvl w:val="0"/>
          <w:numId w:val="0"/>
        </w:numPr>
        <w:ind w:left="720"/>
      </w:pPr>
    </w:p>
    <w:p w14:paraId="30EC2E41" w14:textId="196DB6B6" w:rsidR="00316AA7" w:rsidRDefault="00067EBB" w:rsidP="002E6E30">
      <w:pPr>
        <w:pStyle w:val="ListParagraph"/>
      </w:pPr>
      <w:r>
        <w:t>New Article 45</w:t>
      </w:r>
      <w:r w:rsidR="00CE75C1">
        <w:t>B</w:t>
      </w:r>
      <w:r w:rsidR="00995685">
        <w:t xml:space="preserve"> states that the data protection test would be met for transfers </w:t>
      </w:r>
      <w:r w:rsidR="007F178C">
        <w:t>if the standard of the protection provided</w:t>
      </w:r>
      <w:r w:rsidR="000D2DFD">
        <w:t xml:space="preserve"> </w:t>
      </w:r>
      <w:r w:rsidR="001F1ECB">
        <w:t>“</w:t>
      </w:r>
      <w:r w:rsidR="007F178C">
        <w:t>is not materially lower</w:t>
      </w:r>
      <w:r w:rsidR="001F1ECB">
        <w:t>” in the third country (or the international organisation</w:t>
      </w:r>
      <w:r w:rsidR="00455819">
        <w:t>)</w:t>
      </w:r>
      <w:r w:rsidR="007F178C">
        <w:t xml:space="preserve"> than the standard of the protection provided</w:t>
      </w:r>
      <w:r w:rsidR="00FC3B7E">
        <w:t xml:space="preserve"> under </w:t>
      </w:r>
      <w:r w:rsidR="00455819">
        <w:t>relevant UK law</w:t>
      </w:r>
      <w:r w:rsidR="000B3809">
        <w:t xml:space="preserve"> and sets out a </w:t>
      </w:r>
      <w:r w:rsidR="0057526A">
        <w:t>non-exhaustive list of factors to be considered</w:t>
      </w:r>
      <w:r w:rsidR="00455819">
        <w:t xml:space="preserve">. </w:t>
      </w:r>
      <w:r w:rsidR="00653A22">
        <w:t xml:space="preserve">Under current provisions, the powers </w:t>
      </w:r>
      <w:r w:rsidR="0057526A">
        <w:t>a</w:t>
      </w:r>
      <w:r w:rsidR="00653A22">
        <w:t>re subject to the conditions in Article 45</w:t>
      </w:r>
      <w:r w:rsidR="00316AA7">
        <w:t xml:space="preserve"> being met</w:t>
      </w:r>
      <w:r w:rsidR="0057526A">
        <w:t>,</w:t>
      </w:r>
      <w:r w:rsidR="002079FF">
        <w:t xml:space="preserve"> a</w:t>
      </w:r>
      <w:r w:rsidR="000E3B97">
        <w:t>s well as a</w:t>
      </w:r>
      <w:r w:rsidR="002079FF">
        <w:t xml:space="preserve"> </w:t>
      </w:r>
      <w:r w:rsidR="003260E0">
        <w:t>periodic review</w:t>
      </w:r>
      <w:r w:rsidR="00B63CE4">
        <w:t xml:space="preserve"> of </w:t>
      </w:r>
      <w:r w:rsidR="008A1719">
        <w:t xml:space="preserve">the </w:t>
      </w:r>
      <w:r w:rsidR="00B63CE4">
        <w:t>protection</w:t>
      </w:r>
      <w:r w:rsidR="008A1719">
        <w:t>s</w:t>
      </w:r>
      <w:r w:rsidR="00316AA7">
        <w:t>.</w:t>
      </w:r>
      <w:r w:rsidR="00F40BE2">
        <w:rPr>
          <w:rStyle w:val="FootnoteReference"/>
        </w:rPr>
        <w:footnoteReference w:id="85"/>
      </w:r>
      <w:r w:rsidR="00316AA7">
        <w:t xml:space="preserve"> </w:t>
      </w:r>
    </w:p>
    <w:p w14:paraId="6D449585" w14:textId="77777777" w:rsidR="00316AA7" w:rsidRDefault="00316AA7" w:rsidP="002E6E30">
      <w:pPr>
        <w:pStyle w:val="ListParagraph"/>
        <w:numPr>
          <w:ilvl w:val="0"/>
          <w:numId w:val="0"/>
        </w:numPr>
        <w:ind w:left="720"/>
        <w:jc w:val="both"/>
      </w:pPr>
    </w:p>
    <w:p w14:paraId="209CF4FD" w14:textId="632859F8" w:rsidR="00183F08" w:rsidRPr="006553FF" w:rsidRDefault="008D452F" w:rsidP="002E6E30">
      <w:pPr>
        <w:pStyle w:val="ListParagraph"/>
      </w:pPr>
      <w:r>
        <w:t xml:space="preserve">In </w:t>
      </w:r>
      <w:r w:rsidR="00671301">
        <w:t>exercising these powers</w:t>
      </w:r>
      <w:r>
        <w:t>, b</w:t>
      </w:r>
      <w:r w:rsidR="005F73E4" w:rsidRPr="006553FF">
        <w:t xml:space="preserve">oth the test contained in </w:t>
      </w:r>
      <w:r w:rsidR="00517D9D">
        <w:t xml:space="preserve">current </w:t>
      </w:r>
      <w:r w:rsidR="005F73E4" w:rsidRPr="006553FF">
        <w:t>Article 45</w:t>
      </w:r>
      <w:r w:rsidR="003168BF" w:rsidRPr="006553FF">
        <w:t>,</w:t>
      </w:r>
      <w:r w:rsidR="005F73E4" w:rsidRPr="006553FF">
        <w:t xml:space="preserve"> UK GDPR</w:t>
      </w:r>
      <w:r w:rsidR="007A497A">
        <w:t>,</w:t>
      </w:r>
      <w:r w:rsidR="005F73E4" w:rsidRPr="006553FF">
        <w:t xml:space="preserve"> and the </w:t>
      </w:r>
      <w:r w:rsidR="005038D5">
        <w:t>new</w:t>
      </w:r>
      <w:r w:rsidR="005F73E4" w:rsidRPr="006553FF">
        <w:t xml:space="preserve"> test in proposed Article 45B</w:t>
      </w:r>
      <w:r w:rsidR="00ED6CF5" w:rsidRPr="006553FF">
        <w:t xml:space="preserve"> </w:t>
      </w:r>
      <w:r w:rsidR="002E7398">
        <w:t xml:space="preserve">of </w:t>
      </w:r>
      <w:r w:rsidR="002E7398">
        <w:lastRenderedPageBreak/>
        <w:t xml:space="preserve">the Bill </w:t>
      </w:r>
      <w:r w:rsidR="00ED6CF5" w:rsidRPr="006553FF">
        <w:t xml:space="preserve">require the Secretary of </w:t>
      </w:r>
      <w:r w:rsidR="00EA714A" w:rsidRPr="006553FF">
        <w:t>State</w:t>
      </w:r>
      <w:r w:rsidR="00ED6CF5" w:rsidRPr="006553FF">
        <w:t xml:space="preserve"> to </w:t>
      </w:r>
      <w:r w:rsidR="007C2712" w:rsidRPr="006553FF">
        <w:t>take</w:t>
      </w:r>
      <w:r w:rsidR="00ED6CF5" w:rsidRPr="006553FF">
        <w:t xml:space="preserve"> in</w:t>
      </w:r>
      <w:r w:rsidR="005038D5">
        <w:t>to</w:t>
      </w:r>
      <w:r w:rsidR="00ED6CF5" w:rsidRPr="006553FF">
        <w:t xml:space="preserve"> </w:t>
      </w:r>
      <w:r w:rsidR="007C2712" w:rsidRPr="006553FF">
        <w:t>consideration</w:t>
      </w:r>
      <w:r w:rsidR="00ED6CF5" w:rsidRPr="006553FF">
        <w:t xml:space="preserve"> the rule of </w:t>
      </w:r>
      <w:r w:rsidR="007C2712" w:rsidRPr="006553FF">
        <w:t>law</w:t>
      </w:r>
      <w:r w:rsidR="004F39DE" w:rsidRPr="006553FF">
        <w:t xml:space="preserve"> and</w:t>
      </w:r>
      <w:r w:rsidR="00ED6CF5" w:rsidRPr="006553FF">
        <w:t xml:space="preserve"> respect for human rights</w:t>
      </w:r>
      <w:r w:rsidR="004F39DE" w:rsidRPr="006553FF">
        <w:t xml:space="preserve"> in the third country or organisation; the existence</w:t>
      </w:r>
      <w:r w:rsidR="00AF4DF7" w:rsidRPr="006553FF">
        <w:t xml:space="preserve"> of</w:t>
      </w:r>
      <w:r w:rsidR="007C2712" w:rsidRPr="006553FF">
        <w:t xml:space="preserve"> data protection rules,</w:t>
      </w:r>
      <w:r w:rsidR="00AF4DF7" w:rsidRPr="006553FF">
        <w:t xml:space="preserve"> including rules on onward transfers; </w:t>
      </w:r>
      <w:r w:rsidR="004F39DE" w:rsidRPr="006553FF">
        <w:t xml:space="preserve">the existence of an </w:t>
      </w:r>
      <w:r w:rsidR="00AF4DF7" w:rsidRPr="006553FF">
        <w:t xml:space="preserve">authority responsible for </w:t>
      </w:r>
      <w:r w:rsidR="00EA714A" w:rsidRPr="006553FF">
        <w:t xml:space="preserve">protecting the rights of data subjects with </w:t>
      </w:r>
      <w:r w:rsidR="007C2712" w:rsidRPr="006553FF">
        <w:t>adequate enforcement powers</w:t>
      </w:r>
      <w:r w:rsidR="00EA714A" w:rsidRPr="006553FF">
        <w:t>; the relevant international obligations</w:t>
      </w:r>
      <w:r w:rsidR="008900DF" w:rsidRPr="006553FF">
        <w:t xml:space="preserve"> of the country or organisation; and </w:t>
      </w:r>
      <w:r w:rsidR="00183F08" w:rsidRPr="006553FF">
        <w:t xml:space="preserve">other relevant legislative frameworks put in place. </w:t>
      </w:r>
    </w:p>
    <w:p w14:paraId="35279CBB" w14:textId="77777777" w:rsidR="00183F08" w:rsidRPr="006553FF" w:rsidRDefault="00183F08" w:rsidP="00C11186">
      <w:pPr>
        <w:pStyle w:val="ListParagraph"/>
        <w:numPr>
          <w:ilvl w:val="0"/>
          <w:numId w:val="0"/>
        </w:numPr>
        <w:ind w:left="720"/>
      </w:pPr>
    </w:p>
    <w:p w14:paraId="5F01F0BC" w14:textId="33C8579A" w:rsidR="006171E4" w:rsidRPr="006553FF" w:rsidRDefault="00183F08" w:rsidP="00C11186">
      <w:pPr>
        <w:pStyle w:val="ListParagraph"/>
      </w:pPr>
      <w:r w:rsidRPr="006553FF">
        <w:t xml:space="preserve">What is missing from Article 45B </w:t>
      </w:r>
      <w:r w:rsidR="00E55974" w:rsidRPr="006553FF">
        <w:t xml:space="preserve">is the </w:t>
      </w:r>
      <w:r w:rsidR="00D40D31" w:rsidRPr="006553FF">
        <w:t>consideration</w:t>
      </w:r>
      <w:r w:rsidR="00E55974" w:rsidRPr="006553FF">
        <w:t xml:space="preserve"> of </w:t>
      </w:r>
      <w:r w:rsidR="0088062A" w:rsidRPr="006553FF">
        <w:t>“</w:t>
      </w:r>
      <w:r w:rsidR="00E55974" w:rsidRPr="006553FF">
        <w:t>relevant legislation</w:t>
      </w:r>
      <w:r w:rsidR="00F3047C" w:rsidRPr="006553FF">
        <w:t>, both general and sectoral, including concerning public security, defence, national security and criminal law</w:t>
      </w:r>
      <w:r w:rsidR="0088062A" w:rsidRPr="006553FF">
        <w:t>”</w:t>
      </w:r>
      <w:r w:rsidR="00E55974" w:rsidRPr="006553FF">
        <w:t xml:space="preserve"> in the third country or </w:t>
      </w:r>
      <w:r w:rsidR="00D40D31" w:rsidRPr="006553FF">
        <w:t>organisation</w:t>
      </w:r>
      <w:r w:rsidR="0078148D">
        <w:t>;</w:t>
      </w:r>
      <w:r w:rsidR="00E55974" w:rsidRPr="006553FF">
        <w:t xml:space="preserve"> how </w:t>
      </w:r>
      <w:r w:rsidR="00E55974" w:rsidRPr="006C37AA">
        <w:t xml:space="preserve">public authorities can access personal </w:t>
      </w:r>
      <w:r w:rsidR="00D40D31" w:rsidRPr="006C37AA">
        <w:t>data</w:t>
      </w:r>
      <w:r w:rsidR="00C17FB3">
        <w:t>;</w:t>
      </w:r>
      <w:r w:rsidR="002F3CF8" w:rsidRPr="006553FF">
        <w:t xml:space="preserve"> and how this legislation has been implemented</w:t>
      </w:r>
      <w:r w:rsidR="004E0D4B">
        <w:t xml:space="preserve"> including case-law</w:t>
      </w:r>
      <w:r w:rsidR="002F3CF8" w:rsidRPr="006553FF">
        <w:t>.</w:t>
      </w:r>
      <w:r w:rsidR="0088062A" w:rsidRPr="006553FF">
        <w:rPr>
          <w:rStyle w:val="FootnoteReference"/>
        </w:rPr>
        <w:footnoteReference w:id="86"/>
      </w:r>
      <w:r w:rsidR="009D05A0">
        <w:t xml:space="preserve"> New Article 45B also </w:t>
      </w:r>
      <w:r w:rsidR="00B25D30">
        <w:t>provides for additional consideration of “the constitution, traditions and culture of the country or organisation”</w:t>
      </w:r>
      <w:r w:rsidR="00C662F3">
        <w:t>.</w:t>
      </w:r>
      <w:r w:rsidR="000A7A87" w:rsidRPr="006553FF">
        <w:t xml:space="preserve"> </w:t>
      </w:r>
    </w:p>
    <w:p w14:paraId="687D4891" w14:textId="77777777" w:rsidR="006171E4" w:rsidRPr="006553FF" w:rsidRDefault="006171E4" w:rsidP="00C11186">
      <w:pPr>
        <w:pStyle w:val="ListParagraph"/>
        <w:numPr>
          <w:ilvl w:val="0"/>
          <w:numId w:val="0"/>
        </w:numPr>
        <w:ind w:left="720"/>
      </w:pPr>
    </w:p>
    <w:p w14:paraId="3A53E93F" w14:textId="52FCDD03" w:rsidR="00C25386" w:rsidRDefault="000A7A87" w:rsidP="00C11186">
      <w:pPr>
        <w:pStyle w:val="ListParagraph"/>
      </w:pPr>
      <w:r w:rsidRPr="006553FF">
        <w:t xml:space="preserve">Furthermore, the requirement to </w:t>
      </w:r>
      <w:r w:rsidR="004C5869">
        <w:t>take into account</w:t>
      </w:r>
      <w:r w:rsidR="00917254">
        <w:t xml:space="preserve"> of</w:t>
      </w:r>
      <w:r w:rsidR="00C25386">
        <w:t>:</w:t>
      </w:r>
    </w:p>
    <w:p w14:paraId="6DA84BF3" w14:textId="3A8E8E91" w:rsidR="002649A8" w:rsidRDefault="004C5869" w:rsidP="00D94677">
      <w:pPr>
        <w:pStyle w:val="ListParagraph"/>
        <w:numPr>
          <w:ilvl w:val="1"/>
          <w:numId w:val="0"/>
        </w:numPr>
        <w:ind w:left="1440" w:right="873"/>
      </w:pPr>
      <w:r>
        <w:t>“</w:t>
      </w:r>
      <w:r w:rsidR="000A7A87" w:rsidRPr="006553FF">
        <w:t xml:space="preserve">the existence </w:t>
      </w:r>
      <w:r>
        <w:t xml:space="preserve">and </w:t>
      </w:r>
      <w:r w:rsidRPr="002649A8">
        <w:rPr>
          <w:i/>
          <w:iCs/>
        </w:rPr>
        <w:t>effective functioning</w:t>
      </w:r>
      <w:r w:rsidR="002649A8" w:rsidRPr="002649A8">
        <w:rPr>
          <w:rStyle w:val="FootnoteReference"/>
        </w:rPr>
        <w:footnoteReference w:id="87"/>
      </w:r>
      <w:r>
        <w:t xml:space="preserve"> </w:t>
      </w:r>
      <w:r w:rsidR="000A7A87" w:rsidRPr="006553FF">
        <w:t xml:space="preserve">of </w:t>
      </w:r>
      <w:r w:rsidR="00FF53BA">
        <w:t>one or more</w:t>
      </w:r>
      <w:r w:rsidR="00FF53BA" w:rsidRPr="006553FF">
        <w:t xml:space="preserve"> </w:t>
      </w:r>
      <w:r w:rsidR="000A7A87" w:rsidRPr="4BB72796">
        <w:rPr>
          <w:i/>
          <w:iCs/>
        </w:rPr>
        <w:t>independent</w:t>
      </w:r>
      <w:r w:rsidR="000A7A87" w:rsidRPr="006553FF">
        <w:t xml:space="preserve"> </w:t>
      </w:r>
      <w:r w:rsidR="00BA4605" w:rsidRPr="006553FF">
        <w:t>supervisory authorit</w:t>
      </w:r>
      <w:r w:rsidR="00FF53BA">
        <w:t>ies</w:t>
      </w:r>
      <w:r w:rsidR="006171E4" w:rsidRPr="006553FF">
        <w:t xml:space="preserve"> </w:t>
      </w:r>
      <w:r w:rsidR="00BA4605" w:rsidRPr="006553FF">
        <w:t>in the third country or to which an international organisation is subject, with responsibility for ensuring and enforcing compliance with the data protection rules</w:t>
      </w:r>
      <w:r w:rsidR="00C31C22">
        <w:t xml:space="preserve">, including </w:t>
      </w:r>
      <w:r w:rsidR="00C31C22" w:rsidRPr="002649A8">
        <w:rPr>
          <w:i/>
          <w:iCs/>
        </w:rPr>
        <w:t xml:space="preserve">adequate </w:t>
      </w:r>
      <w:r w:rsidR="004563BA" w:rsidRPr="002649A8">
        <w:rPr>
          <w:i/>
          <w:iCs/>
        </w:rPr>
        <w:t>enforcement rules</w:t>
      </w:r>
      <w:r w:rsidR="006171E4" w:rsidRPr="00C662F3">
        <w:t>”</w:t>
      </w:r>
      <w:r w:rsidR="002649A8" w:rsidRPr="00C662F3">
        <w:t>,</w:t>
      </w:r>
      <w:r w:rsidR="002649A8" w:rsidRPr="002649A8">
        <w:t xml:space="preserve"> </w:t>
      </w:r>
    </w:p>
    <w:p w14:paraId="736116E5" w14:textId="3A36A34D" w:rsidR="0085671B" w:rsidRDefault="00661F3D" w:rsidP="002649A8">
      <w:pPr>
        <w:pStyle w:val="ListParagraph"/>
        <w:numPr>
          <w:ilvl w:val="0"/>
          <w:numId w:val="0"/>
        </w:numPr>
        <w:ind w:left="720"/>
      </w:pPr>
      <w:r>
        <w:t>is re</w:t>
      </w:r>
      <w:r w:rsidR="00C25138">
        <w:t>placed with a duty</w:t>
      </w:r>
      <w:r w:rsidR="00EA60E3" w:rsidRPr="006553FF">
        <w:t xml:space="preserve"> </w:t>
      </w:r>
      <w:r w:rsidR="006C2274">
        <w:t xml:space="preserve">to </w:t>
      </w:r>
      <w:r w:rsidR="00EA60E3" w:rsidRPr="006553FF">
        <w:t>consider</w:t>
      </w:r>
      <w:r w:rsidR="0085671B">
        <w:t xml:space="preserve">: </w:t>
      </w:r>
    </w:p>
    <w:p w14:paraId="6CBD8DE8" w14:textId="6D525397" w:rsidR="00486EE2" w:rsidRPr="006553FF" w:rsidRDefault="009E1277" w:rsidP="0085671B">
      <w:pPr>
        <w:pStyle w:val="ListParagraph"/>
        <w:numPr>
          <w:ilvl w:val="1"/>
          <w:numId w:val="0"/>
        </w:numPr>
        <w:ind w:left="1440"/>
      </w:pPr>
      <w:r>
        <w:t>“</w:t>
      </w:r>
      <w:r w:rsidR="00EA60E3" w:rsidRPr="006553FF">
        <w:t xml:space="preserve">the existence, and powers, of </w:t>
      </w:r>
      <w:r w:rsidR="00EA60E3" w:rsidRPr="006553FF">
        <w:rPr>
          <w:i/>
          <w:iCs/>
        </w:rPr>
        <w:t>an authority</w:t>
      </w:r>
      <w:r w:rsidR="00EA60E3" w:rsidRPr="006553FF">
        <w:t xml:space="preserve"> responsible for enforcing the protection of data subjects with regard to the processing of personal data</w:t>
      </w:r>
      <w:r w:rsidR="00EE1816">
        <w:t>”</w:t>
      </w:r>
      <w:r w:rsidR="006C2274">
        <w:t xml:space="preserve"> and “arrangements for </w:t>
      </w:r>
      <w:r w:rsidR="00EA442B">
        <w:t>judicial and non-judicial redress</w:t>
      </w:r>
      <w:r w:rsidR="0085671B">
        <w:t>”</w:t>
      </w:r>
      <w:r w:rsidR="00EA442B">
        <w:t>.</w:t>
      </w:r>
      <w:r w:rsidR="00181A64" w:rsidRPr="006553FF">
        <w:rPr>
          <w:rStyle w:val="FootnoteReference"/>
        </w:rPr>
        <w:footnoteReference w:id="88"/>
      </w:r>
      <w:r w:rsidR="00316789">
        <w:t xml:space="preserve"> (Emphasis added.)</w:t>
      </w:r>
    </w:p>
    <w:p w14:paraId="5E89ADA7" w14:textId="77777777" w:rsidR="00486EE2" w:rsidRPr="006553FF" w:rsidRDefault="00486EE2" w:rsidP="00C11186">
      <w:pPr>
        <w:rPr>
          <w:rFonts w:ascii="Verdana" w:hAnsi="Verdana"/>
        </w:rPr>
      </w:pPr>
    </w:p>
    <w:p w14:paraId="509C9C0A" w14:textId="28DE0F6F" w:rsidR="001C16F7" w:rsidRPr="006553FF" w:rsidRDefault="00D20E0B" w:rsidP="00C11186">
      <w:pPr>
        <w:pStyle w:val="ListParagraph"/>
      </w:pPr>
      <w:r w:rsidRPr="006553FF">
        <w:t xml:space="preserve">The NIHRC is concerned that the proposed Article 45B test </w:t>
      </w:r>
      <w:r w:rsidR="005B11C4" w:rsidRPr="006553FF">
        <w:t xml:space="preserve">could potentially </w:t>
      </w:r>
      <w:r w:rsidR="007C4C76" w:rsidRPr="006553FF">
        <w:t>l</w:t>
      </w:r>
      <w:r w:rsidR="00CF6A13" w:rsidRPr="006553FF">
        <w:t xml:space="preserve">ower data </w:t>
      </w:r>
      <w:r w:rsidR="00A179BD" w:rsidRPr="006553FF">
        <w:t>protection</w:t>
      </w:r>
      <w:r w:rsidR="00CF6A13" w:rsidRPr="006553FF">
        <w:t xml:space="preserve"> </w:t>
      </w:r>
      <w:r w:rsidR="00A179BD" w:rsidRPr="006553FF">
        <w:t>standards</w:t>
      </w:r>
      <w:r w:rsidR="00CF6A13" w:rsidRPr="006553FF">
        <w:t xml:space="preserve"> by requiring less rigorous </w:t>
      </w:r>
      <w:r w:rsidR="00A179BD" w:rsidRPr="006553FF">
        <w:t>considerations</w:t>
      </w:r>
      <w:r w:rsidR="00CF6A13" w:rsidRPr="006553FF">
        <w:t xml:space="preserve"> than th</w:t>
      </w:r>
      <w:r w:rsidR="005B11C4" w:rsidRPr="006553FF">
        <w:t>e</w:t>
      </w:r>
      <w:r w:rsidR="00CF6A13" w:rsidRPr="006553FF">
        <w:t xml:space="preserve"> ones currently </w:t>
      </w:r>
      <w:r w:rsidR="003471AE">
        <w:t>provided by</w:t>
      </w:r>
      <w:r w:rsidR="00CF6A13" w:rsidRPr="006553FF">
        <w:t xml:space="preserve"> the UK GDPR</w:t>
      </w:r>
      <w:r w:rsidR="00C363A8" w:rsidRPr="006553FF">
        <w:t xml:space="preserve"> and could pull it out of alignment with </w:t>
      </w:r>
      <w:r w:rsidR="00141C28">
        <w:t xml:space="preserve">the </w:t>
      </w:r>
      <w:r w:rsidR="00C363A8" w:rsidRPr="006553FF">
        <w:t>EU GDPR</w:t>
      </w:r>
      <w:r w:rsidR="00CF6A13" w:rsidRPr="006553FF">
        <w:t xml:space="preserve">. In </w:t>
      </w:r>
      <w:r w:rsidR="00A179BD" w:rsidRPr="006553FF">
        <w:t>particular</w:t>
      </w:r>
      <w:r w:rsidR="005B11C4" w:rsidRPr="006553FF">
        <w:t>,</w:t>
      </w:r>
      <w:r w:rsidR="00A179BD" w:rsidRPr="006553FF">
        <w:t xml:space="preserve"> </w:t>
      </w:r>
      <w:r w:rsidR="00CF6A13" w:rsidRPr="006553FF">
        <w:t xml:space="preserve">the </w:t>
      </w:r>
      <w:r w:rsidR="00A179BD" w:rsidRPr="006553FF">
        <w:t>lack</w:t>
      </w:r>
      <w:r w:rsidR="00CF6A13" w:rsidRPr="006553FF">
        <w:t xml:space="preserve"> </w:t>
      </w:r>
      <w:r w:rsidR="005B11C4" w:rsidRPr="006553FF">
        <w:t>of</w:t>
      </w:r>
      <w:r w:rsidR="00CF6A13" w:rsidRPr="006553FF">
        <w:t xml:space="preserve"> </w:t>
      </w:r>
      <w:r w:rsidR="00A179BD" w:rsidRPr="006553FF">
        <w:t>consideration</w:t>
      </w:r>
      <w:r w:rsidR="00CF6A13" w:rsidRPr="006553FF">
        <w:t xml:space="preserve"> o</w:t>
      </w:r>
      <w:r w:rsidR="005B11C4" w:rsidRPr="006553FF">
        <w:t>f</w:t>
      </w:r>
      <w:r w:rsidR="00CF6A13" w:rsidRPr="006553FF">
        <w:t xml:space="preserve"> how public </w:t>
      </w:r>
      <w:r w:rsidR="00A179BD" w:rsidRPr="006553FF">
        <w:t>authorities</w:t>
      </w:r>
      <w:r w:rsidR="00CF6A13" w:rsidRPr="006553FF">
        <w:t xml:space="preserve"> in a </w:t>
      </w:r>
      <w:r w:rsidR="00CF6A13" w:rsidRPr="006553FF">
        <w:lastRenderedPageBreak/>
        <w:t xml:space="preserve">third country would </w:t>
      </w:r>
      <w:r w:rsidR="00A179BD" w:rsidRPr="006553FF">
        <w:t>access personal and potentially sensitive data.</w:t>
      </w:r>
      <w:r w:rsidR="005B11C4" w:rsidRPr="006553FF">
        <w:t xml:space="preserve"> This may allow for data subjects</w:t>
      </w:r>
      <w:r w:rsidR="002A6E88">
        <w:t>’</w:t>
      </w:r>
      <w:r w:rsidR="005B11C4" w:rsidRPr="006553FF">
        <w:t xml:space="preserve"> rights to privacy </w:t>
      </w:r>
      <w:r w:rsidR="002D68E4">
        <w:t>to be</w:t>
      </w:r>
      <w:r w:rsidR="002D68E4" w:rsidRPr="006553FF">
        <w:t xml:space="preserve"> </w:t>
      </w:r>
      <w:r w:rsidR="005B11C4" w:rsidRPr="006553FF">
        <w:t>compromised</w:t>
      </w:r>
      <w:r w:rsidR="003168BF" w:rsidRPr="006553FF">
        <w:t xml:space="preserve">, without adequate safeguards in place and opportunities </w:t>
      </w:r>
      <w:r w:rsidR="002D68E4">
        <w:t xml:space="preserve">for </w:t>
      </w:r>
      <w:r w:rsidR="00C42D29" w:rsidRPr="006553FF">
        <w:t xml:space="preserve">independent enforcement and </w:t>
      </w:r>
      <w:r w:rsidR="003168BF" w:rsidRPr="006553FF">
        <w:t>redress</w:t>
      </w:r>
      <w:r w:rsidR="005B11C4" w:rsidRPr="006553FF">
        <w:t xml:space="preserve">. </w:t>
      </w:r>
    </w:p>
    <w:p w14:paraId="61E0FFC5" w14:textId="77777777" w:rsidR="001C16F7" w:rsidRPr="006553FF" w:rsidRDefault="001C16F7" w:rsidP="00C11186">
      <w:pPr>
        <w:pStyle w:val="ListParagraph"/>
        <w:numPr>
          <w:ilvl w:val="0"/>
          <w:numId w:val="0"/>
        </w:numPr>
        <w:ind w:left="720"/>
      </w:pPr>
    </w:p>
    <w:p w14:paraId="1A22DFEB" w14:textId="7E312D5E" w:rsidR="001C16F7" w:rsidRPr="006553FF" w:rsidRDefault="00A179BD" w:rsidP="00C11186">
      <w:pPr>
        <w:pStyle w:val="ListParagraph"/>
      </w:pPr>
      <w:r w:rsidRPr="006553FF">
        <w:t xml:space="preserve">This gives </w:t>
      </w:r>
      <w:r w:rsidR="002D44E8">
        <w:t>rise to</w:t>
      </w:r>
      <w:r w:rsidRPr="006553FF">
        <w:t xml:space="preserve"> further concerns </w:t>
      </w:r>
      <w:r w:rsidR="00C94E65" w:rsidRPr="006553FF">
        <w:t xml:space="preserve">about </w:t>
      </w:r>
      <w:r w:rsidR="00663105" w:rsidRPr="006553FF">
        <w:t xml:space="preserve">the </w:t>
      </w:r>
      <w:r w:rsidR="00275A0E" w:rsidRPr="006553FF">
        <w:t xml:space="preserve">proposed </w:t>
      </w:r>
      <w:r w:rsidR="002C6525" w:rsidRPr="006553FF">
        <w:t>UK</w:t>
      </w:r>
      <w:r w:rsidR="00663105" w:rsidRPr="006553FF">
        <w:t xml:space="preserve"> </w:t>
      </w:r>
      <w:r w:rsidR="00275A0E" w:rsidRPr="006553FF">
        <w:t>rules on</w:t>
      </w:r>
      <w:r w:rsidR="00663105" w:rsidRPr="006553FF">
        <w:t xml:space="preserve"> sharing personal data with third countries</w:t>
      </w:r>
      <w:r w:rsidR="00F253A8">
        <w:t>.</w:t>
      </w:r>
      <w:r w:rsidR="00663105" w:rsidRPr="006553FF">
        <w:t xml:space="preserve"> </w:t>
      </w:r>
      <w:r w:rsidR="009201A1" w:rsidRPr="006553FF">
        <w:t xml:space="preserve">For example, </w:t>
      </w:r>
      <w:r w:rsidR="00C42D29" w:rsidRPr="006553FF">
        <w:t xml:space="preserve">the NIHRC is </w:t>
      </w:r>
      <w:r w:rsidR="009201A1" w:rsidRPr="006553FF">
        <w:t xml:space="preserve">concerned about the possibility of the </w:t>
      </w:r>
      <w:r w:rsidR="00663105" w:rsidRPr="006553FF">
        <w:t xml:space="preserve">Secretary of State </w:t>
      </w:r>
      <w:r w:rsidR="00F958DC" w:rsidRPr="006553FF">
        <w:t>deciding that</w:t>
      </w:r>
      <w:r w:rsidR="00293F9F" w:rsidRPr="006553FF">
        <w:t xml:space="preserve"> </w:t>
      </w:r>
      <w:r w:rsidR="009201A1" w:rsidRPr="006553FF">
        <w:t xml:space="preserve">a </w:t>
      </w:r>
      <w:r w:rsidR="00293F9F" w:rsidRPr="006553FF">
        <w:t>third country</w:t>
      </w:r>
      <w:r w:rsidR="002F4157" w:rsidRPr="006553FF">
        <w:t xml:space="preserve"> </w:t>
      </w:r>
      <w:r w:rsidR="009201A1" w:rsidRPr="006553FF">
        <w:t>offer</w:t>
      </w:r>
      <w:r w:rsidR="00213AC2" w:rsidRPr="006553FF">
        <w:t>s</w:t>
      </w:r>
      <w:r w:rsidR="009201A1" w:rsidRPr="006553FF">
        <w:t xml:space="preserve"> an </w:t>
      </w:r>
      <w:r w:rsidR="00C42D29" w:rsidRPr="006553FF">
        <w:t>adequate</w:t>
      </w:r>
      <w:r w:rsidR="009201A1" w:rsidRPr="006553FF">
        <w:t xml:space="preserve"> standard of data protec</w:t>
      </w:r>
      <w:r w:rsidR="00F958DC" w:rsidRPr="006553FF">
        <w:t xml:space="preserve">tion </w:t>
      </w:r>
      <w:r w:rsidR="00213AC2" w:rsidRPr="006553FF">
        <w:t xml:space="preserve">in the </w:t>
      </w:r>
      <w:r w:rsidR="001F2007" w:rsidRPr="006553FF">
        <w:t>context</w:t>
      </w:r>
      <w:r w:rsidR="00213AC2" w:rsidRPr="006553FF">
        <w:t xml:space="preserve"> of sending asylum </w:t>
      </w:r>
      <w:r w:rsidR="001F2007" w:rsidRPr="006553FF">
        <w:t>seekers</w:t>
      </w:r>
      <w:r w:rsidR="00213AC2" w:rsidRPr="006553FF">
        <w:t xml:space="preserve"> and r</w:t>
      </w:r>
      <w:r w:rsidR="001F2007" w:rsidRPr="006553FF">
        <w:t>e</w:t>
      </w:r>
      <w:r w:rsidR="00213AC2" w:rsidRPr="006553FF">
        <w:t xml:space="preserve">fugees to this country as part of the </w:t>
      </w:r>
      <w:r w:rsidR="00D01B8F">
        <w:t xml:space="preserve">future laws on immigration proposed by the Labour government, in a manner similar to the </w:t>
      </w:r>
      <w:r w:rsidR="001F2007" w:rsidRPr="006553FF">
        <w:t>immigration rules contained in the Illegal Migration Act</w:t>
      </w:r>
      <w:r w:rsidR="00F253A8">
        <w:t xml:space="preserve"> 2023</w:t>
      </w:r>
      <w:r w:rsidR="001F2007" w:rsidRPr="006553FF">
        <w:t>.</w:t>
      </w:r>
      <w:r w:rsidR="00D01B8F">
        <w:rPr>
          <w:rStyle w:val="FootnoteReference"/>
        </w:rPr>
        <w:footnoteReference w:id="89"/>
      </w:r>
      <w:r w:rsidR="002F4157" w:rsidRPr="006553FF">
        <w:t xml:space="preserve"> </w:t>
      </w:r>
    </w:p>
    <w:p w14:paraId="46F50261" w14:textId="77777777" w:rsidR="001C16F7" w:rsidRPr="006553FF" w:rsidRDefault="001C16F7" w:rsidP="00C11186">
      <w:pPr>
        <w:pStyle w:val="ListParagraph"/>
        <w:numPr>
          <w:ilvl w:val="0"/>
          <w:numId w:val="0"/>
        </w:numPr>
        <w:ind w:left="720"/>
      </w:pPr>
    </w:p>
    <w:p w14:paraId="7050FB5C" w14:textId="47602275" w:rsidR="00DE0D33" w:rsidRDefault="00DE0D33" w:rsidP="0080088E">
      <w:pPr>
        <w:pStyle w:val="ListParagraph"/>
      </w:pPr>
      <w:r w:rsidRPr="006553FF">
        <w:t xml:space="preserve">The </w:t>
      </w:r>
      <w:r w:rsidR="00D0431D" w:rsidRPr="006553FF">
        <w:t xml:space="preserve">High Court </w:t>
      </w:r>
      <w:r w:rsidR="009E3D37">
        <w:t xml:space="preserve">in NI </w:t>
      </w:r>
      <w:r w:rsidR="00D0431D" w:rsidRPr="006553FF">
        <w:t xml:space="preserve">has recently confirmed that </w:t>
      </w:r>
      <w:r w:rsidR="00A108D1" w:rsidRPr="006553FF">
        <w:t>refugees</w:t>
      </w:r>
      <w:r w:rsidRPr="006553FF">
        <w:t xml:space="preserve"> and asylum </w:t>
      </w:r>
      <w:r w:rsidR="00A108D1" w:rsidRPr="006553FF">
        <w:t>seekers</w:t>
      </w:r>
      <w:r w:rsidRPr="006553FF">
        <w:t xml:space="preserve"> fall </w:t>
      </w:r>
      <w:r w:rsidR="002804C9">
        <w:t xml:space="preserve">within </w:t>
      </w:r>
      <w:r w:rsidRPr="006553FF">
        <w:t xml:space="preserve">the </w:t>
      </w:r>
      <w:r w:rsidR="002804C9">
        <w:t xml:space="preserve">protection </w:t>
      </w:r>
      <w:r w:rsidRPr="006553FF">
        <w:t xml:space="preserve">of </w:t>
      </w:r>
      <w:r w:rsidR="00A108D1" w:rsidRPr="006553FF">
        <w:t>Windsor</w:t>
      </w:r>
      <w:r w:rsidRPr="006553FF">
        <w:t xml:space="preserve"> </w:t>
      </w:r>
      <w:r w:rsidR="00A108D1" w:rsidRPr="006553FF">
        <w:t>Framework</w:t>
      </w:r>
      <w:r w:rsidR="00F50706" w:rsidRPr="006553FF">
        <w:t xml:space="preserve"> Article 2</w:t>
      </w:r>
      <w:r w:rsidRPr="006553FF">
        <w:t>.</w:t>
      </w:r>
      <w:r w:rsidR="00A108D1" w:rsidRPr="006553FF">
        <w:rPr>
          <w:rStyle w:val="FootnoteReference"/>
        </w:rPr>
        <w:footnoteReference w:id="90"/>
      </w:r>
      <w:r w:rsidRPr="006553FF">
        <w:t xml:space="preserve"> </w:t>
      </w:r>
      <w:r w:rsidR="00835E0C">
        <w:t xml:space="preserve">For the reasons set out in section 2, </w:t>
      </w:r>
      <w:r w:rsidR="00962FF9">
        <w:t>above,</w:t>
      </w:r>
      <w:r w:rsidRPr="006553FF">
        <w:t xml:space="preserve"> </w:t>
      </w:r>
      <w:r w:rsidR="00CB59A4" w:rsidRPr="00CB59A4">
        <w:t xml:space="preserve">any transfer of personal data to a third country which reduces safeguards could potentially diminish data protection rights contrary to </w:t>
      </w:r>
      <w:r w:rsidR="00CB59A4">
        <w:t xml:space="preserve">the commitment to no diminution of rights under </w:t>
      </w:r>
      <w:r w:rsidR="00CB59A4" w:rsidRPr="00CB59A4">
        <w:t>W</w:t>
      </w:r>
      <w:r w:rsidR="00CB59A4">
        <w:t xml:space="preserve">indsor </w:t>
      </w:r>
      <w:r w:rsidR="00CB59A4" w:rsidRPr="00CB59A4">
        <w:t>F</w:t>
      </w:r>
      <w:r w:rsidR="00CB59A4">
        <w:t xml:space="preserve">ramework </w:t>
      </w:r>
      <w:r w:rsidR="00CB59A4" w:rsidRPr="00CB59A4">
        <w:t>A</w:t>
      </w:r>
      <w:r w:rsidR="00CB59A4">
        <w:t xml:space="preserve">rticle </w:t>
      </w:r>
      <w:r w:rsidR="00CB59A4" w:rsidRPr="00CB59A4">
        <w:t>2.</w:t>
      </w:r>
    </w:p>
    <w:p w14:paraId="28A9A435" w14:textId="77777777" w:rsidR="00724935" w:rsidRPr="006553FF" w:rsidRDefault="00724935" w:rsidP="0080088E">
      <w:pPr>
        <w:pStyle w:val="ListParagraph"/>
        <w:numPr>
          <w:ilvl w:val="0"/>
          <w:numId w:val="0"/>
        </w:numPr>
        <w:rPr>
          <w:b/>
          <w:bCs/>
        </w:rPr>
      </w:pPr>
    </w:p>
    <w:p w14:paraId="073A97D3" w14:textId="47B31CCA" w:rsidR="008F1756" w:rsidRPr="008F1756" w:rsidRDefault="007000FF" w:rsidP="0080088E">
      <w:pPr>
        <w:pStyle w:val="ListParagraph"/>
        <w:rPr>
          <w:b/>
          <w:bCs/>
        </w:rPr>
      </w:pPr>
      <w:bookmarkStart w:id="31" w:name="_Hlk152770410"/>
      <w:bookmarkStart w:id="32" w:name="_Hlk155804961"/>
      <w:r w:rsidRPr="006553FF">
        <w:rPr>
          <w:b/>
          <w:bCs/>
        </w:rPr>
        <w:t xml:space="preserve">The NIHRC recommends that </w:t>
      </w:r>
      <w:r w:rsidR="005D7DB5">
        <w:rPr>
          <w:b/>
          <w:bCs/>
        </w:rPr>
        <w:t>the Secretary of State reviews</w:t>
      </w:r>
      <w:r w:rsidRPr="006553FF">
        <w:rPr>
          <w:b/>
          <w:bCs/>
        </w:rPr>
        <w:t xml:space="preserve"> Schedule </w:t>
      </w:r>
      <w:r w:rsidR="00A63437">
        <w:rPr>
          <w:b/>
          <w:bCs/>
        </w:rPr>
        <w:t>7</w:t>
      </w:r>
      <w:r w:rsidR="00A63437" w:rsidRPr="006553FF">
        <w:rPr>
          <w:b/>
          <w:bCs/>
        </w:rPr>
        <w:t xml:space="preserve"> </w:t>
      </w:r>
      <w:r w:rsidRPr="006553FF">
        <w:rPr>
          <w:b/>
          <w:bCs/>
        </w:rPr>
        <w:t xml:space="preserve">of the Bill </w:t>
      </w:r>
      <w:r w:rsidR="005D7DB5">
        <w:rPr>
          <w:b/>
          <w:bCs/>
        </w:rPr>
        <w:t>and brings forward amendments as required</w:t>
      </w:r>
      <w:r w:rsidR="00463DD9">
        <w:rPr>
          <w:b/>
          <w:bCs/>
        </w:rPr>
        <w:t xml:space="preserve"> to ensure </w:t>
      </w:r>
      <w:r w:rsidR="00797314">
        <w:rPr>
          <w:b/>
          <w:bCs/>
        </w:rPr>
        <w:t xml:space="preserve">no diminution of rights </w:t>
      </w:r>
      <w:r w:rsidR="0025491D">
        <w:rPr>
          <w:b/>
          <w:bCs/>
        </w:rPr>
        <w:t xml:space="preserve">in NI </w:t>
      </w:r>
      <w:r w:rsidR="00B92B13">
        <w:rPr>
          <w:b/>
          <w:bCs/>
        </w:rPr>
        <w:t>relating to data transfer to third countries</w:t>
      </w:r>
      <w:r w:rsidR="00022DC5">
        <w:rPr>
          <w:b/>
          <w:bCs/>
        </w:rPr>
        <w:t>,</w:t>
      </w:r>
      <w:r w:rsidR="00B92B13">
        <w:rPr>
          <w:b/>
          <w:bCs/>
        </w:rPr>
        <w:t xml:space="preserve"> </w:t>
      </w:r>
      <w:r w:rsidR="00022DC5">
        <w:rPr>
          <w:b/>
          <w:bCs/>
        </w:rPr>
        <w:t>measured against</w:t>
      </w:r>
      <w:r w:rsidR="00463DD9">
        <w:rPr>
          <w:b/>
          <w:bCs/>
        </w:rPr>
        <w:t xml:space="preserve"> relevant EU GDPR </w:t>
      </w:r>
      <w:r w:rsidR="00F13867">
        <w:rPr>
          <w:b/>
          <w:bCs/>
        </w:rPr>
        <w:t>s</w:t>
      </w:r>
      <w:r w:rsidR="00463DD9">
        <w:rPr>
          <w:b/>
          <w:bCs/>
        </w:rPr>
        <w:t>tandards</w:t>
      </w:r>
      <w:r w:rsidRPr="006553FF">
        <w:rPr>
          <w:b/>
          <w:bCs/>
        </w:rPr>
        <w:t>.</w:t>
      </w:r>
      <w:bookmarkEnd w:id="31"/>
    </w:p>
    <w:bookmarkEnd w:id="32"/>
    <w:p w14:paraId="35BFB620" w14:textId="77777777" w:rsidR="009B2F1F" w:rsidRPr="0080088E" w:rsidRDefault="009B2F1F" w:rsidP="0080088E">
      <w:pPr>
        <w:rPr>
          <w:b/>
        </w:rPr>
      </w:pPr>
    </w:p>
    <w:p w14:paraId="4ACF8694" w14:textId="2B2F1F8D" w:rsidR="008A1843" w:rsidRPr="00502630" w:rsidRDefault="0059480C" w:rsidP="002B54CA">
      <w:pPr>
        <w:pStyle w:val="Heading1"/>
      </w:pPr>
      <w:bookmarkStart w:id="33" w:name="_Toc190093254"/>
      <w:r w:rsidRPr="006553FF">
        <w:t>P</w:t>
      </w:r>
      <w:r w:rsidR="00061C98" w:rsidRPr="006553FF">
        <w:t xml:space="preserve">rocessing of personal data </w:t>
      </w:r>
      <w:r w:rsidR="000238C9" w:rsidRPr="006553FF">
        <w:t>for the purposes of research</w:t>
      </w:r>
      <w:r w:rsidR="00C4625A">
        <w:t xml:space="preserve">: </w:t>
      </w:r>
      <w:r w:rsidR="00C4625A" w:rsidRPr="00502630">
        <w:t xml:space="preserve">Clauses </w:t>
      </w:r>
      <w:r w:rsidR="00555E8B" w:rsidRPr="00502630">
        <w:t>67</w:t>
      </w:r>
      <w:r w:rsidR="00C4625A" w:rsidRPr="00502630">
        <w:t xml:space="preserve">, </w:t>
      </w:r>
      <w:r w:rsidR="00942561" w:rsidRPr="00502630">
        <w:t>70</w:t>
      </w:r>
      <w:r w:rsidR="00C4625A" w:rsidRPr="00502630">
        <w:t xml:space="preserve"> and </w:t>
      </w:r>
      <w:r w:rsidR="00942561" w:rsidRPr="00502630">
        <w:t>71</w:t>
      </w:r>
      <w:bookmarkEnd w:id="33"/>
    </w:p>
    <w:p w14:paraId="1DAE8079" w14:textId="2C059FE2" w:rsidR="00F47623" w:rsidRPr="006553FF" w:rsidRDefault="0099701C" w:rsidP="003A2177">
      <w:pPr>
        <w:pStyle w:val="ListParagraph"/>
        <w:spacing w:before="240"/>
      </w:pPr>
      <w:r w:rsidRPr="006553FF">
        <w:t>The Bil</w:t>
      </w:r>
      <w:r w:rsidR="00D85198" w:rsidRPr="006553FF">
        <w:t>l</w:t>
      </w:r>
      <w:r w:rsidRPr="006553FF">
        <w:t xml:space="preserve"> </w:t>
      </w:r>
      <w:r w:rsidR="000238C9" w:rsidRPr="006553FF">
        <w:t>proposes change</w:t>
      </w:r>
      <w:r w:rsidR="00C60AFC" w:rsidRPr="006553FF">
        <w:t>s</w:t>
      </w:r>
      <w:r w:rsidRPr="006553FF">
        <w:t xml:space="preserve"> to the </w:t>
      </w:r>
      <w:r w:rsidR="000238C9" w:rsidRPr="006553FF">
        <w:t xml:space="preserve">circumstances when personal data can lawfully be collected and processed for the purpose of research </w:t>
      </w:r>
      <w:r w:rsidR="00BD39F8">
        <w:t xml:space="preserve">under </w:t>
      </w:r>
      <w:r w:rsidR="006928DC" w:rsidRPr="006553FF">
        <w:t>the UK GDPR</w:t>
      </w:r>
      <w:r w:rsidR="009F6912">
        <w:t xml:space="preserve">, </w:t>
      </w:r>
      <w:r w:rsidR="00BD39F8">
        <w:t xml:space="preserve">which currently </w:t>
      </w:r>
      <w:r w:rsidR="009F6912">
        <w:t>align</w:t>
      </w:r>
      <w:r w:rsidR="00BD39F8">
        <w:t>s</w:t>
      </w:r>
      <w:r w:rsidR="009F6912">
        <w:t xml:space="preserve"> with EU GDPR</w:t>
      </w:r>
      <w:r w:rsidRPr="006553FF">
        <w:t xml:space="preserve">. </w:t>
      </w:r>
      <w:r w:rsidR="007A22DF" w:rsidRPr="006553FF">
        <w:t xml:space="preserve">The NIHRC </w:t>
      </w:r>
      <w:r w:rsidR="0080088E">
        <w:t>has concerns</w:t>
      </w:r>
      <w:r w:rsidR="00415A2E" w:rsidRPr="006553FF">
        <w:t xml:space="preserve"> that</w:t>
      </w:r>
      <w:r w:rsidR="00B754BB" w:rsidRPr="006553FF">
        <w:t xml:space="preserve"> th</w:t>
      </w:r>
      <w:r w:rsidR="000238C9" w:rsidRPr="006553FF">
        <w:t>is</w:t>
      </w:r>
      <w:r w:rsidRPr="006553FF">
        <w:t xml:space="preserve"> </w:t>
      </w:r>
      <w:r w:rsidR="006928DC" w:rsidRPr="006553FF">
        <w:t xml:space="preserve">change to </w:t>
      </w:r>
      <w:r w:rsidR="000238C9" w:rsidRPr="006553FF">
        <w:t xml:space="preserve">a </w:t>
      </w:r>
      <w:r w:rsidR="006928DC" w:rsidRPr="006553FF">
        <w:t>key definition</w:t>
      </w:r>
      <w:r w:rsidR="000238C9" w:rsidRPr="006553FF">
        <w:t xml:space="preserve"> and a </w:t>
      </w:r>
      <w:r w:rsidR="000238C9" w:rsidRPr="006553FF">
        <w:lastRenderedPageBreak/>
        <w:t xml:space="preserve">corresponding safeguard </w:t>
      </w:r>
      <w:r w:rsidR="00445DEA" w:rsidRPr="006553FF">
        <w:t xml:space="preserve">of the personal data of data subjects </w:t>
      </w:r>
      <w:r w:rsidR="007656C1">
        <w:t>may diminish rights contrary to Windsor Framework Article 2</w:t>
      </w:r>
      <w:r w:rsidR="00445DEA" w:rsidRPr="006553FF">
        <w:t xml:space="preserve">. </w:t>
      </w:r>
      <w:r w:rsidR="006928DC" w:rsidRPr="006553FF">
        <w:t xml:space="preserve"> </w:t>
      </w:r>
    </w:p>
    <w:p w14:paraId="538A273A" w14:textId="77777777" w:rsidR="00F47623" w:rsidRPr="006553FF" w:rsidRDefault="00F47623" w:rsidP="0080088E">
      <w:pPr>
        <w:rPr>
          <w:rFonts w:ascii="Verdana" w:hAnsi="Verdana"/>
        </w:rPr>
      </w:pPr>
    </w:p>
    <w:p w14:paraId="399FAE58" w14:textId="779802EE" w:rsidR="00F47623" w:rsidRPr="006553FF" w:rsidRDefault="00F47623" w:rsidP="0080088E">
      <w:pPr>
        <w:pStyle w:val="Heading2"/>
      </w:pPr>
      <w:bookmarkStart w:id="34" w:name="_Toc190093255"/>
      <w:r w:rsidRPr="006553FF">
        <w:t>Current provisions</w:t>
      </w:r>
      <w:bookmarkEnd w:id="34"/>
    </w:p>
    <w:p w14:paraId="61750E61" w14:textId="77777777" w:rsidR="001B6DBC" w:rsidRPr="006553FF" w:rsidRDefault="001B6DBC" w:rsidP="0080088E">
      <w:pPr>
        <w:rPr>
          <w:rFonts w:ascii="Verdana" w:hAnsi="Verdana"/>
        </w:rPr>
      </w:pPr>
    </w:p>
    <w:p w14:paraId="2FE4F82D" w14:textId="7472A24C" w:rsidR="00102A87" w:rsidRPr="004D3D2F" w:rsidRDefault="00C60AFC" w:rsidP="002E6E30">
      <w:pPr>
        <w:pStyle w:val="ListParagraph"/>
        <w:spacing w:after="240"/>
      </w:pPr>
      <w:r w:rsidRPr="006553FF">
        <w:t xml:space="preserve">Currently </w:t>
      </w:r>
      <w:r w:rsidR="005802AF" w:rsidRPr="006553FF">
        <w:t>Article 4</w:t>
      </w:r>
      <w:r w:rsidR="00737EA3">
        <w:t xml:space="preserve">, </w:t>
      </w:r>
      <w:r w:rsidR="00B2679B" w:rsidRPr="006553FF">
        <w:t xml:space="preserve">UK </w:t>
      </w:r>
      <w:r w:rsidR="005802AF" w:rsidRPr="006553FF">
        <w:t xml:space="preserve">GDPR </w:t>
      </w:r>
      <w:r w:rsidR="0019396D" w:rsidRPr="006553FF">
        <w:t xml:space="preserve">provides </w:t>
      </w:r>
      <w:r w:rsidR="0001592A" w:rsidRPr="006553FF">
        <w:t xml:space="preserve">key </w:t>
      </w:r>
      <w:r w:rsidR="0019396D" w:rsidRPr="006553FF">
        <w:t>definition</w:t>
      </w:r>
      <w:r w:rsidR="00B2679B" w:rsidRPr="006553FF">
        <w:t>s</w:t>
      </w:r>
      <w:r w:rsidR="0019396D" w:rsidRPr="006553FF">
        <w:t xml:space="preserve"> </w:t>
      </w:r>
      <w:r w:rsidR="0001592A" w:rsidRPr="006553FF">
        <w:t xml:space="preserve">regarding data protection, including a definition of personal data and a definition of </w:t>
      </w:r>
      <w:r w:rsidR="00A2075C" w:rsidRPr="006553FF">
        <w:t>processing of personal data for research purposes</w:t>
      </w:r>
      <w:r w:rsidR="00415A2E" w:rsidRPr="006553FF">
        <w:t>.</w:t>
      </w:r>
      <w:r w:rsidR="002D55BE" w:rsidRPr="006553FF">
        <w:rPr>
          <w:rStyle w:val="FootnoteReference"/>
        </w:rPr>
        <w:footnoteReference w:id="91"/>
      </w:r>
      <w:r w:rsidR="002D55BE" w:rsidRPr="006553FF">
        <w:t xml:space="preserve"> </w:t>
      </w:r>
      <w:r w:rsidR="003E0D0F" w:rsidRPr="006553FF">
        <w:t>Article 5</w:t>
      </w:r>
      <w:r w:rsidRPr="006553FF">
        <w:t xml:space="preserve">, </w:t>
      </w:r>
      <w:r w:rsidR="00B2679B" w:rsidRPr="006553FF">
        <w:t xml:space="preserve">UK </w:t>
      </w:r>
      <w:r w:rsidR="003E0D0F" w:rsidRPr="006553FF">
        <w:t xml:space="preserve">GDPR </w:t>
      </w:r>
      <w:r w:rsidR="00E01BB4" w:rsidRPr="006553FF">
        <w:t>contains the principles for the lawful processing of personal data</w:t>
      </w:r>
      <w:r w:rsidR="008B2936" w:rsidRPr="006553FF">
        <w:t>, including for the purposes of scientific research</w:t>
      </w:r>
      <w:r w:rsidR="00E01BB4" w:rsidRPr="006553FF">
        <w:t>.</w:t>
      </w:r>
      <w:r w:rsidR="00F24D06" w:rsidRPr="006553FF">
        <w:rPr>
          <w:rStyle w:val="FootnoteReference"/>
        </w:rPr>
        <w:footnoteReference w:id="92"/>
      </w:r>
      <w:r w:rsidR="00E01BB4" w:rsidRPr="006553FF">
        <w:t xml:space="preserve"> </w:t>
      </w:r>
      <w:r w:rsidR="00BE5E79" w:rsidRPr="006553FF">
        <w:t>Article 9</w:t>
      </w:r>
      <w:r w:rsidR="00A339CD">
        <w:t xml:space="preserve">, </w:t>
      </w:r>
      <w:r w:rsidR="00BE5E79" w:rsidRPr="006553FF">
        <w:t xml:space="preserve">UK GDPR further provides </w:t>
      </w:r>
      <w:r w:rsidR="005A2668" w:rsidRPr="006553FF">
        <w:t>the rules for processing special categories of personal data. UK GDPR</w:t>
      </w:r>
      <w:r w:rsidR="00A339CD">
        <w:t>, which aligns with the EU GDPR,</w:t>
      </w:r>
      <w:r w:rsidR="005A2668" w:rsidRPr="006553FF">
        <w:t xml:space="preserve"> generally </w:t>
      </w:r>
      <w:r w:rsidR="00F47623" w:rsidRPr="006553FF">
        <w:t>prohibits</w:t>
      </w:r>
      <w:r w:rsidR="005A2668" w:rsidRPr="006553FF">
        <w:t xml:space="preserve"> the processing of </w:t>
      </w:r>
      <w:r w:rsidR="00F47623" w:rsidRPr="006553FF">
        <w:t>special</w:t>
      </w:r>
      <w:r w:rsidR="005A2668" w:rsidRPr="006553FF">
        <w:t xml:space="preserve"> categories of personal data, </w:t>
      </w:r>
      <w:r w:rsidR="00D1313B">
        <w:t xml:space="preserve">subject to specified </w:t>
      </w:r>
      <w:r w:rsidR="005848CD">
        <w:t>exemptions includ</w:t>
      </w:r>
      <w:r w:rsidR="00F337C8">
        <w:t>ing</w:t>
      </w:r>
      <w:r w:rsidR="005848CD">
        <w:t xml:space="preserve"> where </w:t>
      </w:r>
      <w:r w:rsidR="005A2668" w:rsidRPr="006553FF">
        <w:t xml:space="preserve">the processing is necessary for achieving </w:t>
      </w:r>
      <w:r w:rsidR="00CD5E57" w:rsidRPr="006553FF">
        <w:t xml:space="preserve">purposes in the public interest, </w:t>
      </w:r>
      <w:r w:rsidR="00F47623" w:rsidRPr="006553FF">
        <w:t>scientific</w:t>
      </w:r>
      <w:r w:rsidR="00CD5E57" w:rsidRPr="006553FF">
        <w:t xml:space="preserve"> or historic research purposes or statistical purposes.</w:t>
      </w:r>
      <w:r w:rsidR="00CD5E57" w:rsidRPr="006553FF">
        <w:rPr>
          <w:rStyle w:val="FootnoteReference"/>
        </w:rPr>
        <w:footnoteReference w:id="93"/>
      </w:r>
      <w:r w:rsidR="00CD5E57" w:rsidRPr="006553FF">
        <w:t xml:space="preserve"> </w:t>
      </w:r>
    </w:p>
    <w:p w14:paraId="4DC2CE2F" w14:textId="06C1C143" w:rsidR="00102A87" w:rsidRPr="006553FF" w:rsidRDefault="00102A87" w:rsidP="0080088E">
      <w:pPr>
        <w:pStyle w:val="Heading2"/>
      </w:pPr>
      <w:bookmarkStart w:id="37" w:name="_Toc190093256"/>
      <w:r w:rsidRPr="006553FF">
        <w:t>Proposed changes</w:t>
      </w:r>
      <w:bookmarkEnd w:id="37"/>
      <w:r w:rsidRPr="006553FF">
        <w:t xml:space="preserve"> </w:t>
      </w:r>
    </w:p>
    <w:p w14:paraId="750AF607" w14:textId="77777777" w:rsidR="009A4901" w:rsidRPr="006553FF" w:rsidRDefault="009A4901" w:rsidP="0080088E">
      <w:pPr>
        <w:pStyle w:val="ListParagraph"/>
        <w:numPr>
          <w:ilvl w:val="0"/>
          <w:numId w:val="0"/>
        </w:numPr>
      </w:pPr>
    </w:p>
    <w:p w14:paraId="16B784D2" w14:textId="5F3CD0F0" w:rsidR="00764E66" w:rsidRPr="00E22FB9" w:rsidRDefault="00690482" w:rsidP="00764E66">
      <w:pPr>
        <w:pStyle w:val="ListParagraph"/>
      </w:pPr>
      <w:r w:rsidRPr="00E22FB9">
        <w:t xml:space="preserve">Clause </w:t>
      </w:r>
      <w:r w:rsidR="00FD52C5" w:rsidRPr="00E22FB9">
        <w:t>67</w:t>
      </w:r>
      <w:r w:rsidR="00335A78">
        <w:t xml:space="preserve"> </w:t>
      </w:r>
      <w:r w:rsidR="00F24D06" w:rsidRPr="00E22FB9">
        <w:t xml:space="preserve">of the </w:t>
      </w:r>
      <w:r w:rsidR="00AC58FD" w:rsidRPr="00E22FB9">
        <w:t>Data (Use and Access) Bill</w:t>
      </w:r>
      <w:r w:rsidR="00F24D06" w:rsidRPr="00E22FB9">
        <w:t xml:space="preserve"> </w:t>
      </w:r>
      <w:r w:rsidR="00A126C2" w:rsidRPr="00E22FB9">
        <w:t>(Meaning of research and statistical purposes) adds a definition</w:t>
      </w:r>
      <w:r w:rsidR="00D1539C" w:rsidRPr="00E22FB9">
        <w:t xml:space="preserve"> </w:t>
      </w:r>
      <w:r w:rsidR="006A2402" w:rsidRPr="00E22FB9">
        <w:t xml:space="preserve">of </w:t>
      </w:r>
      <w:r w:rsidR="0051511D" w:rsidRPr="00E22FB9">
        <w:t xml:space="preserve">scientific </w:t>
      </w:r>
      <w:r w:rsidR="006A2402" w:rsidRPr="00E22FB9">
        <w:t>research</w:t>
      </w:r>
      <w:r w:rsidR="003779D5" w:rsidRPr="00E22FB9">
        <w:t xml:space="preserve"> </w:t>
      </w:r>
      <w:r w:rsidR="00A126C2" w:rsidRPr="00E22FB9">
        <w:t xml:space="preserve">to the definitions </w:t>
      </w:r>
      <w:r w:rsidR="00275E0D" w:rsidRPr="00E22FB9">
        <w:t xml:space="preserve">provided by Article 4, </w:t>
      </w:r>
      <w:r w:rsidR="003779D5" w:rsidRPr="00E22FB9">
        <w:t>UK GDPR (</w:t>
      </w:r>
      <w:r w:rsidR="00A126C2" w:rsidRPr="00E22FB9">
        <w:t>D</w:t>
      </w:r>
      <w:r w:rsidR="003779D5" w:rsidRPr="00E22FB9">
        <w:t>efinitions)</w:t>
      </w:r>
      <w:r w:rsidR="00D1539C" w:rsidRPr="00E22FB9">
        <w:t>.</w:t>
      </w:r>
      <w:r w:rsidR="0051511D" w:rsidRPr="00E22FB9">
        <w:t xml:space="preserve"> </w:t>
      </w:r>
      <w:r w:rsidR="00A126C2" w:rsidRPr="00E22FB9">
        <w:t>The Bill defines “</w:t>
      </w:r>
      <w:r w:rsidR="006E5FFB" w:rsidRPr="00E22FB9">
        <w:t>scientific research</w:t>
      </w:r>
      <w:r w:rsidR="00A126C2" w:rsidRPr="00E22FB9">
        <w:t xml:space="preserve">” as </w:t>
      </w:r>
      <w:r w:rsidR="006E5FFB" w:rsidRPr="00E22FB9">
        <w:t>“</w:t>
      </w:r>
      <w:r w:rsidR="00D3032B" w:rsidRPr="00E22FB9">
        <w:t xml:space="preserve">any research that can reasonably be described as scientific, whether </w:t>
      </w:r>
      <w:r w:rsidR="007717CD" w:rsidRPr="00E22FB9">
        <w:t>publicly</w:t>
      </w:r>
      <w:r w:rsidR="00D3032B" w:rsidRPr="00E22FB9">
        <w:t xml:space="preserve"> or privately funded</w:t>
      </w:r>
      <w:r w:rsidR="007717CD" w:rsidRPr="00E22FB9">
        <w:t xml:space="preserve"> and whether carried out as a commercial or non-commercial</w:t>
      </w:r>
      <w:r w:rsidR="00D5482B" w:rsidRPr="00E22FB9">
        <w:t xml:space="preserve"> activity</w:t>
      </w:r>
      <w:r w:rsidR="00937114" w:rsidRPr="00E22FB9">
        <w:t>”</w:t>
      </w:r>
      <w:r w:rsidR="00131E03" w:rsidRPr="00E22FB9">
        <w:t xml:space="preserve"> and includes a public interest </w:t>
      </w:r>
      <w:r w:rsidR="007B1601" w:rsidRPr="00E22FB9">
        <w:t>test</w:t>
      </w:r>
      <w:r w:rsidR="00F85A7D" w:rsidRPr="00E22FB9">
        <w:t xml:space="preserve"> as regards research in the area of public health</w:t>
      </w:r>
      <w:r w:rsidR="007717CD" w:rsidRPr="00E22FB9">
        <w:t>.</w:t>
      </w:r>
      <w:r w:rsidR="00D1539C" w:rsidRPr="00E22FB9">
        <w:rPr>
          <w:rStyle w:val="FootnoteReference"/>
          <w:rFonts w:cstheme="minorHAnsi"/>
        </w:rPr>
        <w:footnoteReference w:id="94"/>
      </w:r>
    </w:p>
    <w:p w14:paraId="51F014DC" w14:textId="77777777" w:rsidR="00764E66" w:rsidRDefault="00764E66" w:rsidP="00764E66">
      <w:pPr>
        <w:pStyle w:val="ListParagraph"/>
        <w:numPr>
          <w:ilvl w:val="0"/>
          <w:numId w:val="0"/>
        </w:numPr>
        <w:ind w:left="720"/>
      </w:pPr>
    </w:p>
    <w:p w14:paraId="02550995" w14:textId="0724E6D5" w:rsidR="00D5482B" w:rsidRDefault="00764E66" w:rsidP="00417C8F">
      <w:pPr>
        <w:pStyle w:val="ListParagraph"/>
      </w:pPr>
      <w:r>
        <w:t xml:space="preserve">The UK GDPR, which is currently aligned with the EU GDPR, allows for the </w:t>
      </w:r>
      <w:r w:rsidR="0023091E">
        <w:t>l</w:t>
      </w:r>
      <w:r>
        <w:t>awful processing of both personal data</w:t>
      </w:r>
      <w:r>
        <w:rPr>
          <w:rStyle w:val="FootnoteReference"/>
        </w:rPr>
        <w:footnoteReference w:id="95"/>
      </w:r>
      <w:r>
        <w:t xml:space="preserve"> and special </w:t>
      </w:r>
      <w:r>
        <w:lastRenderedPageBreak/>
        <w:t>categories of personal data</w:t>
      </w:r>
      <w:r w:rsidR="00F33870">
        <w:rPr>
          <w:rStyle w:val="FootnoteReference"/>
        </w:rPr>
        <w:footnoteReference w:id="96"/>
      </w:r>
      <w:r>
        <w:t xml:space="preserve"> for </w:t>
      </w:r>
      <w:r w:rsidR="00312565" w:rsidRPr="00312565">
        <w:t>specified, explicit and legitimate purposes</w:t>
      </w:r>
      <w:r w:rsidR="00312565">
        <w:t>, including</w:t>
      </w:r>
      <w:r>
        <w:t xml:space="preserve"> scientific research</w:t>
      </w:r>
      <w:r w:rsidR="00F33870">
        <w:t>, provided that safeguards are put in place</w:t>
      </w:r>
      <w:r w:rsidR="008D7023">
        <w:t xml:space="preserve">. These safeguards include </w:t>
      </w:r>
      <w:r w:rsidR="004813A7">
        <w:t xml:space="preserve">proportionality, </w:t>
      </w:r>
      <w:r w:rsidR="00417C8F">
        <w:t>respect for the right to data protection and the provision of suitable and specific measures to safeguard rights.</w:t>
      </w:r>
      <w:r>
        <w:rPr>
          <w:rStyle w:val="FootnoteReference"/>
        </w:rPr>
        <w:footnoteReference w:id="97"/>
      </w:r>
      <w:r>
        <w:t xml:space="preserve"> </w:t>
      </w:r>
    </w:p>
    <w:p w14:paraId="7A2EAC10" w14:textId="77777777" w:rsidR="00D5482B" w:rsidRDefault="00D5482B" w:rsidP="00D5482B">
      <w:pPr>
        <w:pStyle w:val="ListParagraph"/>
        <w:numPr>
          <w:ilvl w:val="0"/>
          <w:numId w:val="0"/>
        </w:numPr>
        <w:ind w:left="720"/>
      </w:pPr>
    </w:p>
    <w:p w14:paraId="60B3FEF7" w14:textId="1623C339" w:rsidR="008B3481" w:rsidRPr="004D47D9" w:rsidRDefault="00D5482B" w:rsidP="00D5482B">
      <w:pPr>
        <w:pStyle w:val="ListParagraph"/>
      </w:pPr>
      <w:r>
        <w:t>T</w:t>
      </w:r>
      <w:r w:rsidR="003C08F4" w:rsidRPr="004D47D9">
        <w:t xml:space="preserve">he NIHRC is concerned about </w:t>
      </w:r>
      <w:r w:rsidR="005A3352">
        <w:t xml:space="preserve">this wide definition </w:t>
      </w:r>
      <w:r w:rsidR="00E22905">
        <w:t xml:space="preserve">allowing for personal data and special categories of personal data </w:t>
      </w:r>
      <w:r w:rsidR="009E3D37">
        <w:t xml:space="preserve">to be </w:t>
      </w:r>
      <w:r w:rsidR="00E22905">
        <w:t>processed for research purposes which the UK GDPR, aligned with the EU GDPR</w:t>
      </w:r>
      <w:r w:rsidR="00764E66">
        <w:t xml:space="preserve">, </w:t>
      </w:r>
      <w:r w:rsidR="00E22905">
        <w:t xml:space="preserve">would not have permitted before. This gives grounds for concern that this is a </w:t>
      </w:r>
      <w:r w:rsidR="003C08F4" w:rsidRPr="004D47D9">
        <w:t xml:space="preserve">weakening of the current safeguards on the processing of personal data </w:t>
      </w:r>
      <w:r w:rsidR="006C66F6">
        <w:t>embedded</w:t>
      </w:r>
      <w:r w:rsidR="007C4FF6">
        <w:t xml:space="preserve"> in</w:t>
      </w:r>
      <w:r w:rsidR="00E055B9">
        <w:t xml:space="preserve"> </w:t>
      </w:r>
      <w:r w:rsidR="003C08F4" w:rsidRPr="004D47D9">
        <w:t>UK GDPR</w:t>
      </w:r>
      <w:r w:rsidR="00E22905">
        <w:t>, aligned with the EU GDPR</w:t>
      </w:r>
      <w:r w:rsidR="003C08F4" w:rsidRPr="004D47D9">
        <w:t xml:space="preserve">. </w:t>
      </w:r>
    </w:p>
    <w:p w14:paraId="0BB259A8" w14:textId="77777777" w:rsidR="009A4901" w:rsidRPr="004D47D9" w:rsidRDefault="009A4901" w:rsidP="0080088E">
      <w:pPr>
        <w:pStyle w:val="ListParagraph"/>
        <w:numPr>
          <w:ilvl w:val="0"/>
          <w:numId w:val="0"/>
        </w:numPr>
      </w:pPr>
    </w:p>
    <w:p w14:paraId="154C360F" w14:textId="4133779A" w:rsidR="003C08F4" w:rsidRPr="006553FF" w:rsidRDefault="00061C98" w:rsidP="0080088E">
      <w:pPr>
        <w:pStyle w:val="ListParagraph"/>
      </w:pPr>
      <w:r w:rsidRPr="004D47D9">
        <w:t xml:space="preserve">The </w:t>
      </w:r>
      <w:r w:rsidR="00DA6555">
        <w:t>Data (Use and Access) Bill [HL]</w:t>
      </w:r>
      <w:r w:rsidR="001B5453" w:rsidRPr="004D47D9">
        <w:t xml:space="preserve"> proposes further amendments to the lawful processing of data rules</w:t>
      </w:r>
      <w:r w:rsidR="00811366">
        <w:t xml:space="preserve"> that grant the Secretary of State wide powers</w:t>
      </w:r>
      <w:r w:rsidR="001B5453" w:rsidRPr="004D47D9">
        <w:t>.</w:t>
      </w:r>
      <w:r w:rsidR="00221003">
        <w:t xml:space="preserve"> Under Article 6</w:t>
      </w:r>
      <w:r w:rsidR="00385450">
        <w:t>(1)(f)</w:t>
      </w:r>
      <w:r w:rsidR="00221003">
        <w:t xml:space="preserve">, UK GDPR, which is aligned with EU GDPR, </w:t>
      </w:r>
      <w:r w:rsidR="00385450">
        <w:t>the processing of personal data is lawful if it is necessary fo</w:t>
      </w:r>
      <w:r w:rsidR="002E6735">
        <w:t xml:space="preserve">r the purposes of legitimate interests. </w:t>
      </w:r>
      <w:r w:rsidR="001B5453" w:rsidRPr="004D47D9">
        <w:t xml:space="preserve"> </w:t>
      </w:r>
      <w:r w:rsidR="002E6735">
        <w:t>Clause</w:t>
      </w:r>
      <w:r w:rsidR="00484335" w:rsidRPr="004D47D9">
        <w:t xml:space="preserve"> </w:t>
      </w:r>
      <w:r w:rsidR="00DA6555">
        <w:t>70</w:t>
      </w:r>
      <w:r w:rsidR="00DA6555" w:rsidRPr="004D47D9">
        <w:t xml:space="preserve"> </w:t>
      </w:r>
      <w:r w:rsidR="00484335" w:rsidRPr="004D47D9">
        <w:t xml:space="preserve">of the </w:t>
      </w:r>
      <w:r w:rsidR="00DA6555">
        <w:t xml:space="preserve">Data (Use and Access) Bill [HL] </w:t>
      </w:r>
      <w:r w:rsidR="00426C97">
        <w:t>(Lawfulness of processing)</w:t>
      </w:r>
      <w:r w:rsidR="00484335" w:rsidRPr="004D47D9">
        <w:t xml:space="preserve"> adds a new provision to </w:t>
      </w:r>
      <w:r w:rsidR="00241F09" w:rsidRPr="004D47D9">
        <w:t>Article 6</w:t>
      </w:r>
      <w:r w:rsidR="001373E4">
        <w:t>,</w:t>
      </w:r>
      <w:r w:rsidR="00241F09" w:rsidRPr="004D47D9">
        <w:t xml:space="preserve"> </w:t>
      </w:r>
      <w:r w:rsidR="00484335" w:rsidRPr="004D47D9">
        <w:t xml:space="preserve">UK </w:t>
      </w:r>
      <w:r w:rsidR="00484335" w:rsidRPr="006553FF">
        <w:t>GDPR</w:t>
      </w:r>
      <w:r w:rsidR="00E123B2" w:rsidRPr="006553FF">
        <w:t xml:space="preserve"> </w:t>
      </w:r>
      <w:r w:rsidR="00E14B6E" w:rsidRPr="006553FF">
        <w:t xml:space="preserve">which </w:t>
      </w:r>
      <w:r w:rsidR="001471F2" w:rsidRPr="006553FF">
        <w:t xml:space="preserve">allows the Secretary of State to </w:t>
      </w:r>
      <w:r w:rsidR="005444FC" w:rsidRPr="006553FF">
        <w:t xml:space="preserve">amend by regulation </w:t>
      </w:r>
      <w:r w:rsidR="007F3898" w:rsidRPr="006553FF">
        <w:t xml:space="preserve">the </w:t>
      </w:r>
      <w:r w:rsidR="00BC2C41" w:rsidRPr="006553FF">
        <w:t>list</w:t>
      </w:r>
      <w:r w:rsidR="007F3898" w:rsidRPr="006553FF">
        <w:t xml:space="preserve"> of</w:t>
      </w:r>
      <w:r w:rsidR="00BC2C41" w:rsidRPr="006553FF">
        <w:t xml:space="preserve"> the legitimate interests that justify the collection and processing of personal data.</w:t>
      </w:r>
      <w:r w:rsidR="00957527" w:rsidRPr="006553FF">
        <w:rPr>
          <w:rStyle w:val="FootnoteReference"/>
          <w:rFonts w:cstheme="minorHAnsi"/>
        </w:rPr>
        <w:footnoteReference w:id="98"/>
      </w:r>
      <w:r w:rsidR="00E14B6E" w:rsidRPr="006553FF">
        <w:t xml:space="preserve"> </w:t>
      </w:r>
    </w:p>
    <w:p w14:paraId="27C29460" w14:textId="77777777" w:rsidR="003C08F4" w:rsidRPr="006553FF" w:rsidRDefault="003C08F4" w:rsidP="00DE25AA"/>
    <w:p w14:paraId="66C8EA2F" w14:textId="77777777" w:rsidR="00BC350D" w:rsidRDefault="00D77390" w:rsidP="00DE25AA">
      <w:pPr>
        <w:pStyle w:val="ListParagraph"/>
      </w:pPr>
      <w:r w:rsidRPr="006553FF">
        <w:t>The NIHRC</w:t>
      </w:r>
      <w:r w:rsidR="003C08F4" w:rsidRPr="006553FF">
        <w:t xml:space="preserve"> welcome</w:t>
      </w:r>
      <w:r w:rsidRPr="006553FF">
        <w:t>s</w:t>
      </w:r>
      <w:r w:rsidR="003C08F4" w:rsidRPr="006553FF">
        <w:t xml:space="preserve"> the maintaining of some safeguards, such as the requirement for the Secretary of State to </w:t>
      </w:r>
      <w:r w:rsidR="00C21D2D" w:rsidRPr="006553FF">
        <w:t>hav</w:t>
      </w:r>
      <w:r w:rsidR="003C08F4" w:rsidRPr="006553FF">
        <w:t>e</w:t>
      </w:r>
      <w:r w:rsidR="00C21D2D" w:rsidRPr="006553FF">
        <w:t xml:space="preserve"> regard to the interests and fundamental rights and freedoms of the data subject</w:t>
      </w:r>
      <w:r w:rsidR="00EB503C" w:rsidRPr="006553FF">
        <w:t xml:space="preserve"> </w:t>
      </w:r>
      <w:r w:rsidR="0082148A" w:rsidRPr="006553FF">
        <w:t xml:space="preserve">and </w:t>
      </w:r>
      <w:r w:rsidR="003C08F4" w:rsidRPr="006553FF">
        <w:t>to</w:t>
      </w:r>
      <w:r w:rsidR="0082148A" w:rsidRPr="006553FF">
        <w:t xml:space="preserve"> </w:t>
      </w:r>
      <w:r w:rsidR="00D6676F" w:rsidRPr="006553FF">
        <w:t>provide</w:t>
      </w:r>
      <w:r w:rsidR="0082148A" w:rsidRPr="006553FF">
        <w:t xml:space="preserve"> special </w:t>
      </w:r>
      <w:r w:rsidR="00D6676F" w:rsidRPr="006553FF">
        <w:t>protections</w:t>
      </w:r>
      <w:r w:rsidR="0082148A" w:rsidRPr="006553FF">
        <w:t xml:space="preserve"> for </w:t>
      </w:r>
      <w:r w:rsidR="00D6676F" w:rsidRPr="006553FF">
        <w:t>children’s personal data</w:t>
      </w:r>
      <w:r w:rsidRPr="006553FF">
        <w:t>. The NIHRC is nevertheless</w:t>
      </w:r>
      <w:r w:rsidR="003C08F4" w:rsidRPr="006553FF">
        <w:t xml:space="preserve"> concerned that these safeguards are </w:t>
      </w:r>
      <w:r w:rsidR="001E3940" w:rsidRPr="006553FF">
        <w:t>not as robust as the ones currently provided by the UK GDPR</w:t>
      </w:r>
      <w:r w:rsidR="00D6676F" w:rsidRPr="006553FF">
        <w:t xml:space="preserve">. </w:t>
      </w:r>
      <w:r w:rsidR="001C047B" w:rsidRPr="006553FF">
        <w:t xml:space="preserve">The proposed </w:t>
      </w:r>
      <w:r w:rsidR="00F82165" w:rsidRPr="006553FF">
        <w:t>provisions</w:t>
      </w:r>
      <w:r w:rsidR="001C047B" w:rsidRPr="006553FF">
        <w:t xml:space="preserve"> grant the Secretary of State</w:t>
      </w:r>
      <w:r w:rsidR="001E3940" w:rsidRPr="006553FF">
        <w:t xml:space="preserve"> a </w:t>
      </w:r>
      <w:r w:rsidR="00F82165" w:rsidRPr="006553FF">
        <w:t xml:space="preserve">wide power to determine whether data processing has been lawful. </w:t>
      </w:r>
    </w:p>
    <w:p w14:paraId="44CCF081" w14:textId="77777777" w:rsidR="00BC350D" w:rsidRDefault="00BC350D" w:rsidP="00DE25AA">
      <w:pPr>
        <w:pStyle w:val="ListParagraph"/>
        <w:numPr>
          <w:ilvl w:val="0"/>
          <w:numId w:val="0"/>
        </w:numPr>
        <w:ind w:left="720"/>
      </w:pPr>
    </w:p>
    <w:p w14:paraId="20ACC8D8" w14:textId="4D5F0DCC" w:rsidR="00C21D2D" w:rsidRPr="006553FF" w:rsidRDefault="00B61216" w:rsidP="00DE25AA">
      <w:pPr>
        <w:pStyle w:val="ListParagraph"/>
      </w:pPr>
      <w:r>
        <w:t xml:space="preserve">NI continues to be bound by the </w:t>
      </w:r>
      <w:r w:rsidR="00F52121">
        <w:t xml:space="preserve">standards </w:t>
      </w:r>
      <w:r w:rsidR="00705C3A">
        <w:t>set</w:t>
      </w:r>
      <w:r w:rsidR="00F440F3">
        <w:t xml:space="preserve"> in the EU GDPR, </w:t>
      </w:r>
      <w:r w:rsidR="00BC350D">
        <w:t xml:space="preserve">therefore we have a concern that the wide powers granted to the </w:t>
      </w:r>
      <w:r w:rsidR="00BC350D">
        <w:lastRenderedPageBreak/>
        <w:t xml:space="preserve">Secretary of State </w:t>
      </w:r>
      <w:r w:rsidR="001E3940" w:rsidRPr="006553FF">
        <w:t xml:space="preserve">in relation to the processing of personal data for the purposes of </w:t>
      </w:r>
      <w:r w:rsidR="00096495">
        <w:t xml:space="preserve">scientific </w:t>
      </w:r>
      <w:r w:rsidR="001E3940" w:rsidRPr="006553FF">
        <w:t>research</w:t>
      </w:r>
      <w:r w:rsidR="00096495">
        <w:t xml:space="preserve">, or when necessary for </w:t>
      </w:r>
      <w:r>
        <w:t xml:space="preserve">the purposes of a legitimate interest, </w:t>
      </w:r>
      <w:r w:rsidR="001E3940" w:rsidRPr="006553FF">
        <w:t xml:space="preserve">might </w:t>
      </w:r>
      <w:r w:rsidR="00BC350D">
        <w:t>be used in a way that causes a diminution of data protection rights contrary to the commitment under Windsor Framework Article 2</w:t>
      </w:r>
      <w:r w:rsidR="001E3940" w:rsidRPr="006553FF">
        <w:t xml:space="preserve">. </w:t>
      </w:r>
    </w:p>
    <w:p w14:paraId="071065D1" w14:textId="77777777" w:rsidR="009A4901" w:rsidRPr="006553FF" w:rsidRDefault="009A4901" w:rsidP="00DE25AA">
      <w:pPr>
        <w:pStyle w:val="ListParagraph"/>
        <w:numPr>
          <w:ilvl w:val="0"/>
          <w:numId w:val="0"/>
        </w:numPr>
      </w:pPr>
    </w:p>
    <w:p w14:paraId="1B6BCCCC" w14:textId="5FBE9901" w:rsidR="00DE25AA" w:rsidRDefault="00232207" w:rsidP="00DE25AA">
      <w:pPr>
        <w:pStyle w:val="ListParagraph"/>
      </w:pPr>
      <w:r w:rsidRPr="006553FF">
        <w:t xml:space="preserve">In addition, </w:t>
      </w:r>
      <w:r w:rsidR="00491727" w:rsidRPr="006553FF">
        <w:t xml:space="preserve">Article </w:t>
      </w:r>
      <w:r w:rsidR="006F1283" w:rsidRPr="006553FF">
        <w:t>5</w:t>
      </w:r>
      <w:r w:rsidR="00D77390" w:rsidRPr="006553FF">
        <w:t>,</w:t>
      </w:r>
      <w:r w:rsidR="004465AC" w:rsidRPr="006553FF">
        <w:t xml:space="preserve"> UK GDPR</w:t>
      </w:r>
      <w:r w:rsidR="006F1283" w:rsidRPr="006553FF">
        <w:t xml:space="preserve"> </w:t>
      </w:r>
      <w:r w:rsidR="00F15631" w:rsidRPr="006553FF">
        <w:t xml:space="preserve">currently </w:t>
      </w:r>
      <w:r w:rsidR="006F1283" w:rsidRPr="006553FF">
        <w:t xml:space="preserve">stipulates that further processing of personal data would be considered </w:t>
      </w:r>
      <w:r w:rsidR="00FF3AB2" w:rsidRPr="006553FF">
        <w:t>lawful</w:t>
      </w:r>
      <w:r w:rsidR="006F1283" w:rsidRPr="006553FF">
        <w:t xml:space="preserve"> if it is done for </w:t>
      </w:r>
      <w:r w:rsidR="00937114" w:rsidRPr="006553FF">
        <w:t>“</w:t>
      </w:r>
      <w:r w:rsidR="00FF3AB2" w:rsidRPr="006553FF">
        <w:t>archiving purposes in the public interest, scientific or historical research</w:t>
      </w:r>
      <w:r w:rsidR="005D1A09">
        <w:t xml:space="preserve"> purposes</w:t>
      </w:r>
      <w:r w:rsidR="00937114" w:rsidRPr="006553FF">
        <w:t>”</w:t>
      </w:r>
      <w:r w:rsidR="00FF3AB2" w:rsidRPr="006553FF">
        <w:t>.</w:t>
      </w:r>
      <w:r w:rsidR="00FF3AB2" w:rsidRPr="006553FF">
        <w:rPr>
          <w:rStyle w:val="FootnoteReference"/>
          <w:rFonts w:cstheme="minorHAnsi"/>
        </w:rPr>
        <w:footnoteReference w:id="99"/>
      </w:r>
      <w:r w:rsidR="00FF3AB2" w:rsidRPr="006553FF">
        <w:t xml:space="preserve"> </w:t>
      </w:r>
      <w:r w:rsidR="003F758D">
        <w:t>Clause</w:t>
      </w:r>
      <w:r w:rsidR="003F758D" w:rsidDel="00347533">
        <w:t xml:space="preserve"> </w:t>
      </w:r>
      <w:r w:rsidR="00347533">
        <w:t xml:space="preserve">71 </w:t>
      </w:r>
      <w:r w:rsidR="002C0AF1">
        <w:t xml:space="preserve">(The purpose limitation) </w:t>
      </w:r>
      <w:r w:rsidR="003F758D">
        <w:t>of t</w:t>
      </w:r>
      <w:r w:rsidR="00316646" w:rsidRPr="006553FF">
        <w:t xml:space="preserve">he </w:t>
      </w:r>
      <w:r w:rsidR="00C33581" w:rsidDel="00347533">
        <w:t xml:space="preserve">Data </w:t>
      </w:r>
      <w:r w:rsidR="00347533">
        <w:t>(Use and Access) Bill [HL]</w:t>
      </w:r>
      <w:r w:rsidR="00316646" w:rsidRPr="006553FF">
        <w:t xml:space="preserve"> proposes a new Article 8A which allows for the lawful </w:t>
      </w:r>
      <w:r w:rsidR="0004145D" w:rsidRPr="006553FF">
        <w:t>further processing of personal data</w:t>
      </w:r>
      <w:r w:rsidR="00BC350D">
        <w:t>,</w:t>
      </w:r>
      <w:r w:rsidR="0004145D" w:rsidRPr="006553FF">
        <w:t xml:space="preserve"> as long as it meets a </w:t>
      </w:r>
      <w:r w:rsidR="00E93A77" w:rsidRPr="006553FF">
        <w:t>condition</w:t>
      </w:r>
      <w:r w:rsidR="0004145D" w:rsidRPr="006553FF">
        <w:t xml:space="preserve"> under Annex 2 of </w:t>
      </w:r>
      <w:r w:rsidR="009B0E0C" w:rsidRPr="006553FF">
        <w:t>the Bill</w:t>
      </w:r>
      <w:r w:rsidR="00F15631" w:rsidRPr="006553FF">
        <w:t xml:space="preserve">, which may be </w:t>
      </w:r>
      <w:r w:rsidR="000857E8" w:rsidRPr="006553FF">
        <w:t>amend</w:t>
      </w:r>
      <w:r w:rsidR="00F15631" w:rsidRPr="006553FF">
        <w:t>ed</w:t>
      </w:r>
      <w:r w:rsidR="000857E8" w:rsidRPr="006553FF">
        <w:t xml:space="preserve"> by regulation </w:t>
      </w:r>
      <w:r w:rsidR="00F15631" w:rsidRPr="006553FF">
        <w:t xml:space="preserve">to </w:t>
      </w:r>
      <w:r w:rsidR="005153E7" w:rsidRPr="006553FF">
        <w:t>add or omit provisions that allow for the lawful further processing of personal data.</w:t>
      </w:r>
      <w:r w:rsidR="004F418C" w:rsidRPr="006553FF">
        <w:t xml:space="preserve"> </w:t>
      </w:r>
    </w:p>
    <w:p w14:paraId="0E23ED7C" w14:textId="77777777" w:rsidR="00DE25AA" w:rsidRPr="00DE25AA" w:rsidRDefault="00DE25AA" w:rsidP="00DE25AA">
      <w:pPr>
        <w:rPr>
          <w:b/>
          <w:bCs/>
        </w:rPr>
      </w:pPr>
    </w:p>
    <w:p w14:paraId="742BBC82" w14:textId="799AEAC4" w:rsidR="001C16F7" w:rsidRPr="00DE25AA" w:rsidRDefault="004465AC" w:rsidP="00DE25AA">
      <w:pPr>
        <w:pStyle w:val="ListParagraph"/>
      </w:pPr>
      <w:r w:rsidRPr="00DE25AA">
        <w:rPr>
          <w:b/>
          <w:bCs/>
        </w:rPr>
        <w:t xml:space="preserve">The NIHRC recommends that the Secretary of State </w:t>
      </w:r>
      <w:r w:rsidR="00105316">
        <w:rPr>
          <w:b/>
          <w:bCs/>
        </w:rPr>
        <w:t xml:space="preserve">reviews Clause </w:t>
      </w:r>
      <w:r w:rsidR="002C0AF1">
        <w:rPr>
          <w:b/>
          <w:bCs/>
        </w:rPr>
        <w:t>67</w:t>
      </w:r>
      <w:r w:rsidR="005E7E53">
        <w:rPr>
          <w:b/>
          <w:bCs/>
        </w:rPr>
        <w:t xml:space="preserve"> </w:t>
      </w:r>
      <w:r w:rsidR="00105316">
        <w:rPr>
          <w:b/>
          <w:bCs/>
        </w:rPr>
        <w:t xml:space="preserve">and brings forward amendments as required </w:t>
      </w:r>
      <w:r w:rsidR="00771741" w:rsidRPr="00DE25AA">
        <w:rPr>
          <w:b/>
          <w:bCs/>
        </w:rPr>
        <w:t xml:space="preserve">to ensure </w:t>
      </w:r>
      <w:r w:rsidR="00105316">
        <w:rPr>
          <w:b/>
          <w:bCs/>
        </w:rPr>
        <w:t xml:space="preserve">no diminution of rights </w:t>
      </w:r>
      <w:r w:rsidR="00B07C21">
        <w:rPr>
          <w:b/>
          <w:bCs/>
        </w:rPr>
        <w:t xml:space="preserve">in NI </w:t>
      </w:r>
      <w:r w:rsidR="007D631F">
        <w:rPr>
          <w:b/>
          <w:bCs/>
        </w:rPr>
        <w:t xml:space="preserve">in relation to the processing of </w:t>
      </w:r>
      <w:r w:rsidR="0088733C">
        <w:rPr>
          <w:b/>
          <w:bCs/>
        </w:rPr>
        <w:t>personal data for scientific purposes</w:t>
      </w:r>
      <w:r w:rsidR="00771741" w:rsidRPr="00DE25AA">
        <w:rPr>
          <w:b/>
          <w:bCs/>
        </w:rPr>
        <w:t>.</w:t>
      </w:r>
    </w:p>
    <w:p w14:paraId="0D570CD0" w14:textId="77777777" w:rsidR="001C16F7" w:rsidRPr="006553FF" w:rsidRDefault="001C16F7" w:rsidP="00DE25AA">
      <w:pPr>
        <w:pStyle w:val="ListParagraph"/>
        <w:numPr>
          <w:ilvl w:val="0"/>
          <w:numId w:val="0"/>
        </w:numPr>
        <w:ind w:left="720"/>
        <w:rPr>
          <w:b/>
          <w:bCs/>
        </w:rPr>
      </w:pPr>
    </w:p>
    <w:p w14:paraId="03230DD1" w14:textId="1D395A57" w:rsidR="00AA5874" w:rsidRPr="00D86B9C" w:rsidRDefault="004465AC" w:rsidP="00DE25AA">
      <w:pPr>
        <w:pStyle w:val="ListParagraph"/>
        <w:rPr>
          <w:b/>
          <w:bCs/>
        </w:rPr>
      </w:pPr>
      <w:r w:rsidRPr="006553FF">
        <w:rPr>
          <w:b/>
          <w:bCs/>
        </w:rPr>
        <w:t xml:space="preserve">The NIHRC recommends that the Secretary of State </w:t>
      </w:r>
      <w:r w:rsidR="00B07C21">
        <w:rPr>
          <w:b/>
          <w:bCs/>
        </w:rPr>
        <w:t>reviews</w:t>
      </w:r>
      <w:r w:rsidR="002649A8">
        <w:rPr>
          <w:b/>
          <w:bCs/>
        </w:rPr>
        <w:t xml:space="preserve"> </w:t>
      </w:r>
      <w:r w:rsidRPr="006553FF">
        <w:rPr>
          <w:b/>
          <w:bCs/>
        </w:rPr>
        <w:t xml:space="preserve">the provisions of Clause </w:t>
      </w:r>
      <w:r w:rsidR="005E7E53">
        <w:rPr>
          <w:b/>
          <w:bCs/>
        </w:rPr>
        <w:t>70</w:t>
      </w:r>
      <w:r w:rsidR="005E7E53" w:rsidRPr="006553FF">
        <w:rPr>
          <w:b/>
          <w:bCs/>
        </w:rPr>
        <w:t xml:space="preserve"> </w:t>
      </w:r>
      <w:r w:rsidRPr="006553FF">
        <w:rPr>
          <w:b/>
          <w:bCs/>
        </w:rPr>
        <w:t xml:space="preserve">of the Bill </w:t>
      </w:r>
      <w:r w:rsidR="00964726">
        <w:rPr>
          <w:b/>
          <w:bCs/>
        </w:rPr>
        <w:t xml:space="preserve">and brings forward amendments as required to </w:t>
      </w:r>
      <w:r w:rsidRPr="00D86B9C">
        <w:rPr>
          <w:b/>
          <w:bCs/>
        </w:rPr>
        <w:t xml:space="preserve">avoid a divergence of data protection standards between the UK and the EU that might result in the free flow of data between the UK and the EU being compromised.       </w:t>
      </w:r>
    </w:p>
    <w:p w14:paraId="0915F419" w14:textId="77777777" w:rsidR="004465AC" w:rsidRPr="006553FF" w:rsidRDefault="004465AC" w:rsidP="001C16F7">
      <w:pPr>
        <w:rPr>
          <w:rFonts w:ascii="Verdana" w:hAnsi="Verdana"/>
        </w:rPr>
      </w:pPr>
    </w:p>
    <w:p w14:paraId="2675A344" w14:textId="4EEB650E" w:rsidR="00E65C7D" w:rsidRDefault="00E65C7D" w:rsidP="009A4901">
      <w:pPr>
        <w:pStyle w:val="Heading1"/>
      </w:pPr>
      <w:bookmarkStart w:id="40" w:name="_Toc190093257"/>
      <w:r w:rsidRPr="006553FF">
        <w:t>Additional concerns</w:t>
      </w:r>
      <w:bookmarkEnd w:id="40"/>
    </w:p>
    <w:p w14:paraId="451D6CE7" w14:textId="77777777" w:rsidR="0085671B" w:rsidRPr="0085671B" w:rsidRDefault="0085671B" w:rsidP="0085671B"/>
    <w:p w14:paraId="51BA11D6" w14:textId="69A5E86A" w:rsidR="00CF63CD" w:rsidRPr="0041753B" w:rsidRDefault="002F71A1" w:rsidP="00DE25AA">
      <w:pPr>
        <w:pStyle w:val="ListParagraph"/>
      </w:pPr>
      <w:r w:rsidRPr="0041753B">
        <w:t xml:space="preserve">In addition to the concerns outlined above, </w:t>
      </w:r>
      <w:r w:rsidR="00F15631" w:rsidRPr="0041753B">
        <w:t>the NIHRC is</w:t>
      </w:r>
      <w:r w:rsidRPr="0041753B">
        <w:t xml:space="preserve"> </w:t>
      </w:r>
      <w:r w:rsidR="00C97406" w:rsidRPr="0041753B">
        <w:t>considering other potential diminutions</w:t>
      </w:r>
      <w:r w:rsidR="00375E02" w:rsidRPr="0041753B">
        <w:t xml:space="preserve"> of</w:t>
      </w:r>
      <w:r w:rsidRPr="0041753B">
        <w:t xml:space="preserve"> data </w:t>
      </w:r>
      <w:r w:rsidR="004C4C93" w:rsidRPr="0041753B">
        <w:t>protection</w:t>
      </w:r>
      <w:r w:rsidRPr="0041753B">
        <w:t xml:space="preserve"> rights</w:t>
      </w:r>
      <w:r w:rsidR="00F15631" w:rsidRPr="0041753B">
        <w:t xml:space="preserve"> contrary </w:t>
      </w:r>
      <w:r w:rsidR="004C4C93" w:rsidRPr="0041753B">
        <w:t xml:space="preserve">to </w:t>
      </w:r>
      <w:r w:rsidR="00375E02" w:rsidRPr="0041753B">
        <w:t>minimum standards required by</w:t>
      </w:r>
      <w:r w:rsidR="00D86B9C" w:rsidRPr="0041753B">
        <w:t xml:space="preserve"> </w:t>
      </w:r>
      <w:r w:rsidR="009B7153" w:rsidRPr="0041753B">
        <w:t xml:space="preserve">the </w:t>
      </w:r>
      <w:r w:rsidR="00FF1FCB" w:rsidRPr="0041753B">
        <w:t>EU GDPR</w:t>
      </w:r>
      <w:r w:rsidR="00530044" w:rsidRPr="0041753B">
        <w:t>. For example</w:t>
      </w:r>
      <w:r w:rsidR="00FF1FCB" w:rsidRPr="0041753B">
        <w:t xml:space="preserve">, </w:t>
      </w:r>
      <w:r w:rsidR="000E107F" w:rsidRPr="0041753B">
        <w:t xml:space="preserve">the </w:t>
      </w:r>
      <w:r w:rsidR="005A5589" w:rsidRPr="0041753B">
        <w:t xml:space="preserve">possibility for the data controller to extend </w:t>
      </w:r>
      <w:r w:rsidR="009405AB" w:rsidRPr="0041753B">
        <w:t xml:space="preserve">the allowed period for responses to data </w:t>
      </w:r>
      <w:r w:rsidR="00991B25" w:rsidRPr="0041753B">
        <w:t>requests</w:t>
      </w:r>
      <w:r w:rsidR="009405AB" w:rsidRPr="0041753B">
        <w:t xml:space="preserve"> by </w:t>
      </w:r>
      <w:r w:rsidR="00991B25" w:rsidRPr="0041753B">
        <w:t>asking for</w:t>
      </w:r>
      <w:r w:rsidR="009405AB" w:rsidRPr="0041753B">
        <w:t xml:space="preserve"> further information</w:t>
      </w:r>
      <w:r w:rsidR="00467A46" w:rsidRPr="0041753B">
        <w:t xml:space="preserve"> (</w:t>
      </w:r>
      <w:r w:rsidR="00FC37EC" w:rsidRPr="0041753B">
        <w:t xml:space="preserve">Clause </w:t>
      </w:r>
      <w:r w:rsidR="00FC37EC" w:rsidRPr="0041753B">
        <w:lastRenderedPageBreak/>
        <w:t>76</w:t>
      </w:r>
      <w:r w:rsidR="00467A46" w:rsidRPr="0041753B">
        <w:t>)</w:t>
      </w:r>
      <w:r w:rsidR="002F4BE7" w:rsidRPr="0041753B">
        <w:t xml:space="preserve">, might result in a weakening of data subjects’ rights which </w:t>
      </w:r>
      <w:r w:rsidR="00F15631" w:rsidRPr="0041753B">
        <w:t xml:space="preserve">may </w:t>
      </w:r>
      <w:r w:rsidR="002F4BE7" w:rsidRPr="0041753B">
        <w:t xml:space="preserve">be incompatible with </w:t>
      </w:r>
      <w:r w:rsidR="00FF1FCB" w:rsidRPr="0041753B">
        <w:t xml:space="preserve">Windsor Framework </w:t>
      </w:r>
      <w:r w:rsidR="002F4BE7" w:rsidRPr="0041753B">
        <w:t xml:space="preserve">Article 2. </w:t>
      </w:r>
    </w:p>
    <w:p w14:paraId="4ABBC3F4" w14:textId="77777777" w:rsidR="00D25AB4" w:rsidRPr="0041753B" w:rsidRDefault="00D25AB4" w:rsidP="00DE25AA">
      <w:pPr>
        <w:pStyle w:val="ListParagraph"/>
        <w:numPr>
          <w:ilvl w:val="0"/>
          <w:numId w:val="0"/>
        </w:numPr>
      </w:pPr>
    </w:p>
    <w:p w14:paraId="204FA47D" w14:textId="77F702E0" w:rsidR="00E80258" w:rsidRPr="0041753B" w:rsidRDefault="00E80258" w:rsidP="00DE25AA">
      <w:pPr>
        <w:pStyle w:val="ListParagraph"/>
      </w:pPr>
      <w:r w:rsidRPr="0041753B">
        <w:t>NIHRC is also concerned about the cumulative effect of Clause 74 (</w:t>
      </w:r>
      <w:r w:rsidR="00E93996" w:rsidRPr="0041753B">
        <w:t>Processing of special categories of personal data); Clause 75 (</w:t>
      </w:r>
      <w:r w:rsidR="00427494" w:rsidRPr="0041753B">
        <w:t xml:space="preserve">Fees and reasons for responses to data subjects’ </w:t>
      </w:r>
      <w:r w:rsidR="005B7BBF" w:rsidRPr="0041753B">
        <w:t>requests about law enforcement processing); Clause 78 (Searches in respons</w:t>
      </w:r>
      <w:r w:rsidR="00FF2E70" w:rsidRPr="0041753B">
        <w:t xml:space="preserve">e to data subjects’ </w:t>
      </w:r>
      <w:r w:rsidR="0067427C" w:rsidRPr="0041753B">
        <w:t xml:space="preserve">requests); </w:t>
      </w:r>
      <w:r w:rsidR="00543A38" w:rsidRPr="0041753B">
        <w:t>Clauses 12</w:t>
      </w:r>
      <w:r w:rsidR="00C15302">
        <w:t>6</w:t>
      </w:r>
      <w:r w:rsidR="00543A38" w:rsidRPr="0041753B">
        <w:t>-12</w:t>
      </w:r>
      <w:r w:rsidR="00C15302">
        <w:t>8</w:t>
      </w:r>
      <w:r w:rsidR="00543A38" w:rsidRPr="0041753B">
        <w:t xml:space="preserve"> (Retention of biometric data)</w:t>
      </w:r>
      <w:r w:rsidR="00B35CCD" w:rsidRPr="0041753B">
        <w:t>; and Clauses 1</w:t>
      </w:r>
      <w:r w:rsidR="00ED271C">
        <w:t>30</w:t>
      </w:r>
      <w:r w:rsidR="00B35CCD" w:rsidRPr="0041753B">
        <w:t>-1</w:t>
      </w:r>
      <w:r w:rsidR="00ED271C">
        <w:t>31</w:t>
      </w:r>
      <w:r w:rsidR="00B35CCD" w:rsidRPr="0041753B">
        <w:t xml:space="preserve"> (concerning EU </w:t>
      </w:r>
      <w:r w:rsidR="007D6AD0" w:rsidRPr="0041753B">
        <w:t xml:space="preserve">standards and conformity assessment). These clauses may </w:t>
      </w:r>
      <w:r w:rsidR="00ED33F5" w:rsidRPr="0041753B">
        <w:t xml:space="preserve">give grounds for concern about less strict rules for the assessment </w:t>
      </w:r>
      <w:r w:rsidR="00095C74" w:rsidRPr="0041753B">
        <w:t>of the risks pose</w:t>
      </w:r>
      <w:r w:rsidR="006D0CD6">
        <w:t>d</w:t>
      </w:r>
      <w:r w:rsidR="00095C74" w:rsidRPr="0041753B">
        <w:t xml:space="preserve"> to data subjects’ rights if they result is </w:t>
      </w:r>
      <w:r w:rsidR="00B571A0" w:rsidRPr="0041753B">
        <w:t xml:space="preserve">setting standards below those currently required by the UK GDPR and therefore in breach of the commitment to no diminution of rights under Windsor Framework Article 2. </w:t>
      </w:r>
    </w:p>
    <w:p w14:paraId="63966243" w14:textId="77777777" w:rsidR="005153E7" w:rsidRDefault="005153E7" w:rsidP="002B54CA">
      <w:pPr>
        <w:jc w:val="both"/>
        <w:rPr>
          <w:rFonts w:ascii="Verdana" w:hAnsi="Verdana" w:cstheme="minorHAnsi"/>
          <w:sz w:val="24"/>
          <w:szCs w:val="24"/>
        </w:rPr>
      </w:pPr>
    </w:p>
    <w:p w14:paraId="725BF55A" w14:textId="77777777" w:rsidR="006553FF" w:rsidRDefault="006553FF" w:rsidP="002B54CA">
      <w:pPr>
        <w:jc w:val="both"/>
        <w:rPr>
          <w:rFonts w:ascii="Verdana" w:hAnsi="Verdana" w:cstheme="minorHAnsi"/>
          <w:sz w:val="24"/>
          <w:szCs w:val="24"/>
        </w:rPr>
      </w:pPr>
    </w:p>
    <w:p w14:paraId="08A543E7" w14:textId="77777777" w:rsidR="006553FF" w:rsidRDefault="006553FF" w:rsidP="006553FF">
      <w:pPr>
        <w:pStyle w:val="BasicParagraph"/>
        <w:suppressAutoHyphens/>
        <w:jc w:val="center"/>
        <w:rPr>
          <w:rFonts w:ascii="Verdana" w:hAnsi="Verdana" w:cs="Arial"/>
          <w:b/>
          <w:bCs/>
          <w:color w:val="77328A"/>
          <w:sz w:val="36"/>
          <w:szCs w:val="36"/>
        </w:rPr>
      </w:pPr>
    </w:p>
    <w:p w14:paraId="770DF320" w14:textId="77777777" w:rsidR="006553FF" w:rsidRDefault="006553FF" w:rsidP="006553FF">
      <w:pPr>
        <w:pStyle w:val="BasicParagraph"/>
        <w:suppressAutoHyphens/>
        <w:jc w:val="center"/>
        <w:rPr>
          <w:rFonts w:ascii="Verdana" w:hAnsi="Verdana" w:cs="Arial"/>
          <w:b/>
          <w:bCs/>
          <w:color w:val="77328A"/>
          <w:sz w:val="36"/>
          <w:szCs w:val="36"/>
        </w:rPr>
      </w:pPr>
    </w:p>
    <w:p w14:paraId="0117BB88" w14:textId="77777777" w:rsidR="006553FF" w:rsidRDefault="006553FF" w:rsidP="006553FF">
      <w:pPr>
        <w:pStyle w:val="BasicParagraph"/>
        <w:suppressAutoHyphens/>
        <w:jc w:val="center"/>
        <w:rPr>
          <w:rFonts w:ascii="Verdana" w:hAnsi="Verdana" w:cs="Arial"/>
          <w:b/>
          <w:bCs/>
          <w:color w:val="77328A"/>
          <w:sz w:val="36"/>
          <w:szCs w:val="36"/>
        </w:rPr>
      </w:pPr>
    </w:p>
    <w:p w14:paraId="2E248B91" w14:textId="77777777" w:rsidR="006553FF" w:rsidRDefault="006553FF" w:rsidP="006553FF">
      <w:pPr>
        <w:pStyle w:val="BasicParagraph"/>
        <w:suppressAutoHyphens/>
        <w:jc w:val="center"/>
        <w:rPr>
          <w:rFonts w:ascii="Verdana" w:hAnsi="Verdana" w:cs="Arial"/>
          <w:b/>
          <w:bCs/>
          <w:color w:val="77328A"/>
          <w:sz w:val="36"/>
          <w:szCs w:val="36"/>
        </w:rPr>
      </w:pPr>
    </w:p>
    <w:p w14:paraId="7DF13592" w14:textId="77777777" w:rsidR="006553FF" w:rsidRDefault="006553FF" w:rsidP="006553FF">
      <w:pPr>
        <w:pStyle w:val="BasicParagraph"/>
        <w:suppressAutoHyphens/>
        <w:jc w:val="center"/>
        <w:rPr>
          <w:rFonts w:ascii="Verdana" w:hAnsi="Verdana" w:cs="Arial"/>
          <w:b/>
          <w:bCs/>
          <w:color w:val="77328A"/>
          <w:sz w:val="36"/>
          <w:szCs w:val="36"/>
        </w:rPr>
      </w:pPr>
    </w:p>
    <w:p w14:paraId="22110857" w14:textId="77777777" w:rsidR="00035F2E" w:rsidRDefault="00035F2E" w:rsidP="00035F2E">
      <w:pPr>
        <w:pStyle w:val="BasicParagraph"/>
        <w:suppressAutoHyphens/>
        <w:rPr>
          <w:rFonts w:ascii="Verdana" w:hAnsi="Verdana" w:cs="Arial"/>
          <w:b/>
          <w:bCs/>
          <w:color w:val="77328A"/>
          <w:sz w:val="36"/>
          <w:szCs w:val="36"/>
        </w:rPr>
      </w:pPr>
    </w:p>
    <w:p w14:paraId="40B896E1" w14:textId="77777777" w:rsidR="00035F2E" w:rsidRDefault="00035F2E" w:rsidP="00035F2E">
      <w:pPr>
        <w:pStyle w:val="BasicParagraph"/>
        <w:suppressAutoHyphens/>
        <w:rPr>
          <w:rFonts w:ascii="Verdana" w:hAnsi="Verdana" w:cs="Arial"/>
          <w:b/>
          <w:bCs/>
          <w:color w:val="77328A"/>
          <w:sz w:val="36"/>
          <w:szCs w:val="36"/>
        </w:rPr>
      </w:pPr>
    </w:p>
    <w:p w14:paraId="7816E5C1" w14:textId="77777777" w:rsidR="00035F2E" w:rsidRDefault="00035F2E" w:rsidP="00035F2E">
      <w:pPr>
        <w:pStyle w:val="BasicParagraph"/>
        <w:suppressAutoHyphens/>
        <w:rPr>
          <w:rFonts w:ascii="Verdana" w:hAnsi="Verdana" w:cs="Arial"/>
          <w:b/>
          <w:bCs/>
          <w:color w:val="77328A"/>
          <w:sz w:val="36"/>
          <w:szCs w:val="36"/>
        </w:rPr>
      </w:pPr>
    </w:p>
    <w:p w14:paraId="436447B4" w14:textId="77777777" w:rsidR="00035F2E" w:rsidRDefault="00035F2E" w:rsidP="00035F2E">
      <w:pPr>
        <w:pStyle w:val="BasicParagraph"/>
        <w:suppressAutoHyphens/>
        <w:rPr>
          <w:rFonts w:ascii="Verdana" w:hAnsi="Verdana" w:cs="Arial"/>
          <w:b/>
          <w:bCs/>
          <w:color w:val="77328A"/>
          <w:sz w:val="36"/>
          <w:szCs w:val="36"/>
        </w:rPr>
      </w:pPr>
    </w:p>
    <w:p w14:paraId="79A6E367" w14:textId="77777777" w:rsidR="00035F2E" w:rsidRDefault="00035F2E" w:rsidP="00035F2E">
      <w:pPr>
        <w:pStyle w:val="BasicParagraph"/>
        <w:suppressAutoHyphens/>
        <w:rPr>
          <w:rFonts w:ascii="Verdana" w:hAnsi="Verdana" w:cs="Arial"/>
          <w:b/>
          <w:bCs/>
          <w:color w:val="77328A"/>
          <w:sz w:val="36"/>
          <w:szCs w:val="36"/>
        </w:rPr>
      </w:pPr>
    </w:p>
    <w:p w14:paraId="23789F88" w14:textId="77777777" w:rsidR="00035F2E" w:rsidRDefault="00035F2E" w:rsidP="00035F2E">
      <w:pPr>
        <w:pStyle w:val="BasicParagraph"/>
        <w:suppressAutoHyphens/>
        <w:rPr>
          <w:rFonts w:ascii="Verdana" w:hAnsi="Verdana" w:cs="Arial"/>
          <w:b/>
          <w:bCs/>
          <w:color w:val="77328A"/>
          <w:sz w:val="36"/>
          <w:szCs w:val="36"/>
        </w:rPr>
      </w:pPr>
    </w:p>
    <w:p w14:paraId="03737DF9" w14:textId="77777777" w:rsidR="00035F2E" w:rsidRDefault="00035F2E" w:rsidP="00035F2E">
      <w:pPr>
        <w:pStyle w:val="BasicParagraph"/>
        <w:suppressAutoHyphens/>
        <w:rPr>
          <w:rFonts w:ascii="Verdana" w:hAnsi="Verdana" w:cs="Arial"/>
          <w:b/>
          <w:bCs/>
          <w:color w:val="77328A"/>
          <w:sz w:val="36"/>
          <w:szCs w:val="36"/>
        </w:rPr>
      </w:pPr>
    </w:p>
    <w:p w14:paraId="6A674ACA" w14:textId="77777777" w:rsidR="00035F2E" w:rsidRDefault="00035F2E" w:rsidP="00035F2E">
      <w:pPr>
        <w:pStyle w:val="BasicParagraph"/>
        <w:suppressAutoHyphens/>
        <w:rPr>
          <w:rFonts w:ascii="Verdana" w:hAnsi="Verdana" w:cs="Arial"/>
          <w:b/>
          <w:bCs/>
          <w:color w:val="77328A"/>
          <w:sz w:val="36"/>
          <w:szCs w:val="36"/>
        </w:rPr>
      </w:pPr>
    </w:p>
    <w:p w14:paraId="19B12A16" w14:textId="77777777" w:rsidR="00035F2E" w:rsidRDefault="00035F2E" w:rsidP="00035F2E">
      <w:pPr>
        <w:pStyle w:val="BasicParagraph"/>
        <w:suppressAutoHyphens/>
        <w:rPr>
          <w:rFonts w:ascii="Verdana" w:hAnsi="Verdana" w:cs="Arial"/>
          <w:b/>
          <w:bCs/>
          <w:color w:val="77328A"/>
          <w:sz w:val="36"/>
          <w:szCs w:val="36"/>
        </w:rPr>
      </w:pPr>
    </w:p>
    <w:p w14:paraId="4CCE4D9A" w14:textId="77777777" w:rsidR="006553FF" w:rsidRPr="006553FF" w:rsidRDefault="006553FF" w:rsidP="00035F2E">
      <w:pPr>
        <w:pStyle w:val="BasicParagraph"/>
        <w:suppressAutoHyphens/>
        <w:rPr>
          <w:rFonts w:ascii="Verdana" w:hAnsi="Verdana" w:cs="Arial"/>
          <w:b/>
          <w:bCs/>
          <w:color w:val="77328A"/>
          <w:sz w:val="36"/>
          <w:szCs w:val="36"/>
        </w:rPr>
      </w:pPr>
    </w:p>
    <w:p w14:paraId="2CBFDFC3" w14:textId="77777777" w:rsidR="00F57FEB" w:rsidRDefault="00F57FEB" w:rsidP="006553FF">
      <w:pPr>
        <w:pStyle w:val="BasicParagraph"/>
        <w:suppressAutoHyphens/>
        <w:jc w:val="center"/>
        <w:rPr>
          <w:rFonts w:ascii="Verdana" w:hAnsi="Verdana" w:cs="Arial"/>
          <w:b/>
          <w:bCs/>
          <w:color w:val="77328A"/>
          <w:sz w:val="36"/>
          <w:szCs w:val="36"/>
        </w:rPr>
      </w:pPr>
    </w:p>
    <w:p w14:paraId="604849B4" w14:textId="77777777" w:rsidR="00F57FEB" w:rsidRDefault="00F57FEB" w:rsidP="006553FF">
      <w:pPr>
        <w:pStyle w:val="BasicParagraph"/>
        <w:suppressAutoHyphens/>
        <w:jc w:val="center"/>
        <w:rPr>
          <w:rFonts w:ascii="Verdana" w:hAnsi="Verdana" w:cs="Arial"/>
          <w:b/>
          <w:bCs/>
          <w:color w:val="77328A"/>
          <w:sz w:val="36"/>
          <w:szCs w:val="36"/>
        </w:rPr>
      </w:pPr>
    </w:p>
    <w:p w14:paraId="53CCCFD5" w14:textId="77777777" w:rsidR="00F57FEB" w:rsidRDefault="00F57FEB" w:rsidP="006553FF">
      <w:pPr>
        <w:pStyle w:val="BasicParagraph"/>
        <w:suppressAutoHyphens/>
        <w:jc w:val="center"/>
        <w:rPr>
          <w:rFonts w:ascii="Verdana" w:hAnsi="Verdana" w:cs="Arial"/>
          <w:b/>
          <w:bCs/>
          <w:color w:val="77328A"/>
          <w:sz w:val="36"/>
          <w:szCs w:val="36"/>
        </w:rPr>
      </w:pPr>
    </w:p>
    <w:p w14:paraId="11916A02" w14:textId="77777777" w:rsidR="00F57FEB" w:rsidRDefault="00F57FEB" w:rsidP="006553FF">
      <w:pPr>
        <w:pStyle w:val="BasicParagraph"/>
        <w:suppressAutoHyphens/>
        <w:jc w:val="center"/>
        <w:rPr>
          <w:rFonts w:ascii="Verdana" w:hAnsi="Verdana" w:cs="Arial"/>
          <w:b/>
          <w:bCs/>
          <w:color w:val="77328A"/>
          <w:sz w:val="36"/>
          <w:szCs w:val="36"/>
        </w:rPr>
      </w:pPr>
    </w:p>
    <w:p w14:paraId="1D076ADA" w14:textId="77777777" w:rsidR="00F57FEB" w:rsidRDefault="00F57FEB" w:rsidP="006553FF">
      <w:pPr>
        <w:pStyle w:val="BasicParagraph"/>
        <w:suppressAutoHyphens/>
        <w:jc w:val="center"/>
        <w:rPr>
          <w:rFonts w:ascii="Verdana" w:hAnsi="Verdana" w:cs="Arial"/>
          <w:b/>
          <w:bCs/>
          <w:color w:val="77328A"/>
          <w:sz w:val="36"/>
          <w:szCs w:val="36"/>
        </w:rPr>
      </w:pPr>
    </w:p>
    <w:p w14:paraId="14924B27" w14:textId="77777777" w:rsidR="00F57FEB" w:rsidRDefault="00F57FEB" w:rsidP="006553FF">
      <w:pPr>
        <w:pStyle w:val="BasicParagraph"/>
        <w:suppressAutoHyphens/>
        <w:jc w:val="center"/>
        <w:rPr>
          <w:rFonts w:ascii="Verdana" w:hAnsi="Verdana" w:cs="Arial"/>
          <w:b/>
          <w:bCs/>
          <w:color w:val="77328A"/>
          <w:sz w:val="36"/>
          <w:szCs w:val="36"/>
        </w:rPr>
      </w:pPr>
    </w:p>
    <w:p w14:paraId="523B0585" w14:textId="77777777" w:rsidR="00F57FEB" w:rsidRDefault="00F57FEB" w:rsidP="006553FF">
      <w:pPr>
        <w:pStyle w:val="BasicParagraph"/>
        <w:suppressAutoHyphens/>
        <w:jc w:val="center"/>
        <w:rPr>
          <w:rFonts w:ascii="Verdana" w:hAnsi="Verdana" w:cs="Arial"/>
          <w:b/>
          <w:bCs/>
          <w:color w:val="77328A"/>
          <w:sz w:val="36"/>
          <w:szCs w:val="36"/>
        </w:rPr>
      </w:pPr>
    </w:p>
    <w:p w14:paraId="35A737AE" w14:textId="77777777" w:rsidR="00F57FEB" w:rsidRDefault="00F57FEB" w:rsidP="006553FF">
      <w:pPr>
        <w:pStyle w:val="BasicParagraph"/>
        <w:suppressAutoHyphens/>
        <w:jc w:val="center"/>
        <w:rPr>
          <w:rFonts w:ascii="Verdana" w:hAnsi="Verdana" w:cs="Arial"/>
          <w:b/>
          <w:bCs/>
          <w:color w:val="77328A"/>
          <w:sz w:val="36"/>
          <w:szCs w:val="36"/>
        </w:rPr>
      </w:pPr>
    </w:p>
    <w:p w14:paraId="5D48C0C1" w14:textId="77777777" w:rsidR="00F57FEB" w:rsidRDefault="00F57FEB" w:rsidP="006553FF">
      <w:pPr>
        <w:pStyle w:val="BasicParagraph"/>
        <w:suppressAutoHyphens/>
        <w:jc w:val="center"/>
        <w:rPr>
          <w:rFonts w:ascii="Verdana" w:hAnsi="Verdana" w:cs="Arial"/>
          <w:b/>
          <w:bCs/>
          <w:color w:val="77328A"/>
          <w:sz w:val="36"/>
          <w:szCs w:val="36"/>
        </w:rPr>
      </w:pPr>
    </w:p>
    <w:p w14:paraId="472ABBE0" w14:textId="6B0FEECB" w:rsidR="006553FF" w:rsidRPr="006553FF" w:rsidRDefault="006553FF" w:rsidP="006553FF">
      <w:pPr>
        <w:pStyle w:val="BasicParagraph"/>
        <w:suppressAutoHyphens/>
        <w:jc w:val="center"/>
        <w:rPr>
          <w:rFonts w:ascii="Verdana" w:hAnsi="Verdana" w:cs="Arial"/>
          <w:b/>
          <w:bCs/>
          <w:color w:val="77328A"/>
          <w:sz w:val="36"/>
          <w:szCs w:val="36"/>
        </w:rPr>
      </w:pPr>
      <w:r w:rsidRPr="006553FF">
        <w:rPr>
          <w:rFonts w:ascii="Verdana" w:hAnsi="Verdana" w:cs="Arial"/>
          <w:b/>
          <w:bCs/>
          <w:color w:val="77328A"/>
          <w:sz w:val="36"/>
          <w:szCs w:val="36"/>
        </w:rPr>
        <w:t xml:space="preserve">Contact us </w:t>
      </w:r>
    </w:p>
    <w:p w14:paraId="4D765ABD" w14:textId="77777777" w:rsidR="006553FF" w:rsidRPr="006553FF" w:rsidRDefault="006553FF" w:rsidP="006553FF">
      <w:pPr>
        <w:pStyle w:val="BasicParagraph"/>
        <w:suppressAutoHyphens/>
        <w:jc w:val="center"/>
        <w:rPr>
          <w:rFonts w:ascii="Verdana" w:hAnsi="Verdana" w:cs="Arial"/>
          <w:b/>
          <w:bCs/>
          <w:color w:val="77328A"/>
          <w:sz w:val="36"/>
          <w:szCs w:val="36"/>
        </w:rPr>
      </w:pPr>
    </w:p>
    <w:p w14:paraId="5083E0BF" w14:textId="77777777" w:rsidR="006553FF" w:rsidRPr="006553FF" w:rsidRDefault="006553FF" w:rsidP="006553FF">
      <w:pPr>
        <w:pStyle w:val="BasicParagraph"/>
        <w:suppressAutoHyphens/>
        <w:jc w:val="center"/>
        <w:rPr>
          <w:rFonts w:ascii="Verdana" w:hAnsi="Verdana" w:cs="Arial"/>
          <w:b/>
          <w:color w:val="77328A"/>
          <w:sz w:val="36"/>
          <w:szCs w:val="36"/>
        </w:rPr>
      </w:pPr>
    </w:p>
    <w:p w14:paraId="56632818" w14:textId="718F228B" w:rsidR="006553FF" w:rsidRPr="006553FF" w:rsidRDefault="006553FF" w:rsidP="006553FF">
      <w:pPr>
        <w:jc w:val="center"/>
        <w:rPr>
          <w:rFonts w:ascii="Verdana" w:hAnsi="Verdana" w:cs="Arial"/>
          <w:b/>
          <w:color w:val="232120"/>
          <w:sz w:val="30"/>
          <w:szCs w:val="30"/>
        </w:rPr>
      </w:pPr>
      <w:r w:rsidRPr="006553FF">
        <w:rPr>
          <w:rFonts w:ascii="Verdana" w:hAnsi="Verdana" w:cs="Arial"/>
          <w:b/>
          <w:color w:val="232120"/>
          <w:sz w:val="30"/>
          <w:szCs w:val="30"/>
        </w:rPr>
        <w:t xml:space="preserve">Any queries: </w:t>
      </w:r>
      <w:r w:rsidRPr="006553FF">
        <w:rPr>
          <w:rStyle w:val="Hyperlink"/>
          <w:rFonts w:ascii="Verdana" w:hAnsi="Verdana" w:cs="Arial"/>
          <w:b/>
          <w:sz w:val="30"/>
          <w:szCs w:val="30"/>
        </w:rPr>
        <w:t>Eilis.Haughey@nihrc.org</w:t>
      </w:r>
    </w:p>
    <w:p w14:paraId="3505FA42" w14:textId="77777777" w:rsidR="006553FF" w:rsidRPr="006553FF" w:rsidRDefault="006553FF" w:rsidP="006553FF">
      <w:pPr>
        <w:jc w:val="center"/>
        <w:rPr>
          <w:rFonts w:ascii="Verdana" w:hAnsi="Verdana" w:cs="Arial"/>
          <w:b/>
          <w:color w:val="232120"/>
          <w:sz w:val="30"/>
          <w:szCs w:val="30"/>
        </w:rPr>
      </w:pPr>
    </w:p>
    <w:p w14:paraId="415E9223" w14:textId="77777777" w:rsidR="006553FF" w:rsidRPr="006553FF" w:rsidRDefault="006553FF" w:rsidP="006553FF">
      <w:pPr>
        <w:jc w:val="center"/>
        <w:rPr>
          <w:rFonts w:ascii="Verdana" w:hAnsi="Verdana" w:cs="Arial"/>
          <w:b/>
          <w:color w:val="232120"/>
          <w:sz w:val="30"/>
          <w:szCs w:val="30"/>
        </w:rPr>
      </w:pPr>
    </w:p>
    <w:p w14:paraId="64193296" w14:textId="77777777" w:rsidR="006553FF" w:rsidRPr="006553FF" w:rsidRDefault="006553FF" w:rsidP="006553FF">
      <w:pPr>
        <w:jc w:val="center"/>
        <w:rPr>
          <w:rFonts w:ascii="Verdana" w:hAnsi="Verdana" w:cs="Arial"/>
          <w:color w:val="232120"/>
          <w:sz w:val="28"/>
          <w:szCs w:val="28"/>
        </w:rPr>
      </w:pPr>
      <w:hyperlink r:id="rId9" w:history="1">
        <w:r w:rsidRPr="006553FF">
          <w:rPr>
            <w:rStyle w:val="Hyperlink"/>
            <w:rFonts w:ascii="Verdana" w:hAnsi="Verdana" w:cs="Arial"/>
            <w:color w:val="232120"/>
            <w:sz w:val="28"/>
            <w:szCs w:val="28"/>
            <w:lang w:val="en-US"/>
          </w:rPr>
          <w:t>www.nihrc.org</w:t>
        </w:r>
      </w:hyperlink>
      <w:r w:rsidRPr="006553FF">
        <w:rPr>
          <w:rFonts w:ascii="Verdana" w:hAnsi="Verdana" w:cs="Arial"/>
          <w:color w:val="232120"/>
          <w:sz w:val="28"/>
          <w:szCs w:val="28"/>
          <w:lang w:val="en-US"/>
        </w:rPr>
        <w:t xml:space="preserve">  |  </w:t>
      </w:r>
      <w:hyperlink r:id="rId10" w:history="1">
        <w:r w:rsidRPr="006553FF">
          <w:rPr>
            <w:rStyle w:val="Hyperlink"/>
            <w:rFonts w:ascii="Verdana" w:hAnsi="Verdana" w:cs="Arial"/>
            <w:color w:val="232120"/>
            <w:sz w:val="28"/>
            <w:szCs w:val="28"/>
            <w:lang w:val="en-US"/>
          </w:rPr>
          <w:t>info@nihrc.org</w:t>
        </w:r>
      </w:hyperlink>
      <w:r w:rsidRPr="006553FF">
        <w:rPr>
          <w:rFonts w:ascii="Verdana" w:hAnsi="Verdana" w:cs="Arial"/>
          <w:color w:val="232120"/>
          <w:sz w:val="28"/>
          <w:szCs w:val="28"/>
          <w:lang w:val="en-US"/>
        </w:rPr>
        <w:t xml:space="preserve">  |  +44 (0)28 9024 3987</w:t>
      </w:r>
    </w:p>
    <w:p w14:paraId="35B69795" w14:textId="77777777" w:rsidR="006553FF" w:rsidRPr="006553FF" w:rsidRDefault="006553FF" w:rsidP="006553FF">
      <w:pPr>
        <w:jc w:val="center"/>
        <w:rPr>
          <w:rFonts w:ascii="Verdana" w:hAnsi="Verdana" w:cs="Arial"/>
          <w:color w:val="232120"/>
          <w:sz w:val="28"/>
          <w:szCs w:val="28"/>
        </w:rPr>
      </w:pPr>
      <w:r w:rsidRPr="006553FF">
        <w:rPr>
          <w:rFonts w:ascii="Verdana" w:hAnsi="Verdana" w:cs="Arial"/>
          <w:color w:val="232120"/>
          <w:sz w:val="28"/>
          <w:szCs w:val="28"/>
          <w:lang w:val="en-US"/>
        </w:rPr>
        <w:t>4</w:t>
      </w:r>
      <w:r w:rsidRPr="006553FF">
        <w:rPr>
          <w:rFonts w:ascii="Verdana" w:hAnsi="Verdana" w:cs="Arial"/>
          <w:color w:val="232120"/>
          <w:sz w:val="28"/>
          <w:szCs w:val="28"/>
          <w:vertAlign w:val="superscript"/>
          <w:lang w:val="en-US"/>
        </w:rPr>
        <w:t>th</w:t>
      </w:r>
      <w:r w:rsidRPr="006553FF">
        <w:rPr>
          <w:rFonts w:ascii="Verdana" w:hAnsi="Verdana" w:cs="Arial"/>
          <w:color w:val="232120"/>
          <w:sz w:val="28"/>
          <w:szCs w:val="28"/>
          <w:lang w:val="en-US"/>
        </w:rPr>
        <w:t xml:space="preserve"> Floor, Alfred House, 19-21 Alfred Street, Belfast, BT2 8ED</w:t>
      </w:r>
    </w:p>
    <w:p w14:paraId="38E208F8" w14:textId="77777777" w:rsidR="006553FF" w:rsidRPr="006553FF" w:rsidRDefault="006553FF" w:rsidP="006553FF">
      <w:pPr>
        <w:jc w:val="center"/>
        <w:rPr>
          <w:rFonts w:ascii="Verdana" w:hAnsi="Verdana" w:cs="Arial"/>
          <w:b/>
          <w:color w:val="232120"/>
          <w:sz w:val="28"/>
          <w:szCs w:val="28"/>
        </w:rPr>
      </w:pPr>
    </w:p>
    <w:p w14:paraId="527EE3C4" w14:textId="77777777" w:rsidR="006553FF" w:rsidRPr="00331C61" w:rsidRDefault="006553FF" w:rsidP="006553FF">
      <w:pPr>
        <w:jc w:val="center"/>
        <w:rPr>
          <w:rFonts w:cs="Arial"/>
          <w:color w:val="232120"/>
          <w:sz w:val="20"/>
          <w:szCs w:val="20"/>
        </w:rPr>
      </w:pPr>
    </w:p>
    <w:p w14:paraId="68F4AF97" w14:textId="77777777" w:rsidR="006553FF" w:rsidRPr="00331C61" w:rsidRDefault="006553FF" w:rsidP="006553FF">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0E012872" wp14:editId="5D79692A">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7549B0A" w14:textId="77777777" w:rsidR="006553FF" w:rsidRPr="004D47D9" w:rsidRDefault="006553FF" w:rsidP="002B54CA">
      <w:pPr>
        <w:jc w:val="both"/>
        <w:rPr>
          <w:rFonts w:ascii="Verdana" w:hAnsi="Verdana" w:cstheme="minorHAnsi"/>
          <w:sz w:val="24"/>
          <w:szCs w:val="24"/>
        </w:rPr>
      </w:pPr>
    </w:p>
    <w:p w14:paraId="68CECBCD" w14:textId="7A43333A" w:rsidR="00232207" w:rsidRPr="004D47D9" w:rsidRDefault="00232207" w:rsidP="00F81FE1">
      <w:pPr>
        <w:pStyle w:val="Heading3"/>
      </w:pPr>
    </w:p>
    <w:sectPr w:rsidR="00232207" w:rsidRPr="004D47D9" w:rsidSect="007B0F97">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C451" w14:textId="77777777" w:rsidR="008648AB" w:rsidRDefault="008648AB" w:rsidP="006C63E4">
      <w:pPr>
        <w:spacing w:after="0"/>
      </w:pPr>
      <w:r>
        <w:separator/>
      </w:r>
    </w:p>
  </w:endnote>
  <w:endnote w:type="continuationSeparator" w:id="0">
    <w:p w14:paraId="374FAC68" w14:textId="77777777" w:rsidR="008648AB" w:rsidRDefault="008648AB" w:rsidP="006C63E4">
      <w:pPr>
        <w:spacing w:after="0"/>
      </w:pPr>
      <w:r>
        <w:continuationSeparator/>
      </w:r>
    </w:p>
  </w:endnote>
  <w:endnote w:type="continuationNotice" w:id="1">
    <w:p w14:paraId="3E2FBEF2" w14:textId="77777777" w:rsidR="008648AB" w:rsidRDefault="008648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395089"/>
      <w:docPartObj>
        <w:docPartGallery w:val="Page Numbers (Bottom of Page)"/>
        <w:docPartUnique/>
      </w:docPartObj>
    </w:sdtPr>
    <w:sdtEndPr>
      <w:rPr>
        <w:noProof/>
      </w:rPr>
    </w:sdtEndPr>
    <w:sdtContent>
      <w:p w14:paraId="4AB69A77" w14:textId="621E078E" w:rsidR="002A29D1" w:rsidRDefault="002A29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56363" w14:textId="77777777" w:rsidR="002A29D1" w:rsidRDefault="002A2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D466" w14:textId="77777777" w:rsidR="008648AB" w:rsidRDefault="008648AB" w:rsidP="006C63E4">
      <w:pPr>
        <w:spacing w:after="0"/>
      </w:pPr>
      <w:r>
        <w:separator/>
      </w:r>
    </w:p>
  </w:footnote>
  <w:footnote w:type="continuationSeparator" w:id="0">
    <w:p w14:paraId="433510E1" w14:textId="77777777" w:rsidR="008648AB" w:rsidRDefault="008648AB" w:rsidP="006C63E4">
      <w:pPr>
        <w:spacing w:after="0"/>
      </w:pPr>
      <w:r>
        <w:continuationSeparator/>
      </w:r>
    </w:p>
  </w:footnote>
  <w:footnote w:type="continuationNotice" w:id="1">
    <w:p w14:paraId="46FBD1B4" w14:textId="77777777" w:rsidR="008648AB" w:rsidRDefault="008648AB">
      <w:pPr>
        <w:spacing w:after="0"/>
      </w:pPr>
    </w:p>
  </w:footnote>
  <w:footnote w:id="2">
    <w:p w14:paraId="57232D42" w14:textId="47A63FA3" w:rsidR="000C5D4B" w:rsidRPr="0044702F" w:rsidRDefault="000C5D4B">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Northern Ireland (NI) Act 1998.</w:t>
      </w:r>
    </w:p>
  </w:footnote>
  <w:footnote w:id="3">
    <w:p w14:paraId="75065482" w14:textId="0222C6DD" w:rsidR="00B16325" w:rsidRPr="0044702F" w:rsidRDefault="00B16325" w:rsidP="00E963D4">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w:t>
      </w:r>
      <w:r w:rsidR="00E963D4" w:rsidRPr="0044702F">
        <w:rPr>
          <w:rFonts w:ascii="Verdana" w:hAnsi="Verdana"/>
          <w:color w:val="77328A"/>
          <w:sz w:val="16"/>
          <w:szCs w:val="16"/>
        </w:rPr>
        <w:t>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4">
    <w:p w14:paraId="0F636030" w14:textId="3082B95C" w:rsidR="00AD51A9" w:rsidRPr="0044702F" w:rsidRDefault="00AD51A9">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1951.</w:t>
      </w:r>
    </w:p>
  </w:footnote>
  <w:footnote w:id="5">
    <w:p w14:paraId="2D30593F" w14:textId="77777777" w:rsidR="00B40B70" w:rsidRPr="0044702F" w:rsidRDefault="00B40B70" w:rsidP="00B40B70">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1951.</w:t>
      </w:r>
    </w:p>
  </w:footnote>
  <w:footnote w:id="6">
    <w:p w14:paraId="2388D86F" w14:textId="6F724749" w:rsidR="003C0833" w:rsidRPr="0044702F" w:rsidRDefault="003C0833">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1976.</w:t>
      </w:r>
    </w:p>
  </w:footnote>
  <w:footnote w:id="7">
    <w:p w14:paraId="303FDF1A" w14:textId="77777777" w:rsidR="008C5052" w:rsidRPr="0044702F" w:rsidRDefault="008C5052" w:rsidP="008C5052">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1987. </w:t>
      </w:r>
    </w:p>
  </w:footnote>
  <w:footnote w:id="8">
    <w:p w14:paraId="4CA4C229" w14:textId="133E0BDE" w:rsidR="003C0833" w:rsidRPr="0066052A" w:rsidRDefault="003C0833">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1979.</w:t>
      </w:r>
    </w:p>
  </w:footnote>
  <w:footnote w:id="9">
    <w:p w14:paraId="69AEE59B" w14:textId="59811BE2" w:rsidR="004465C1" w:rsidRPr="00625CA5" w:rsidRDefault="004465C1">
      <w:pPr>
        <w:pStyle w:val="FootnoteText"/>
        <w:rPr>
          <w:rFonts w:ascii="Verdana" w:hAnsi="Verdana"/>
          <w:color w:val="77328A"/>
          <w:sz w:val="16"/>
          <w:szCs w:val="16"/>
        </w:rPr>
      </w:pPr>
      <w:r w:rsidRPr="00625CA5">
        <w:rPr>
          <w:rStyle w:val="FootnoteReference"/>
          <w:rFonts w:ascii="Verdana" w:hAnsi="Verdana"/>
          <w:color w:val="77328A"/>
          <w:sz w:val="16"/>
          <w:szCs w:val="16"/>
        </w:rPr>
        <w:footnoteRef/>
      </w:r>
      <w:r w:rsidRPr="00625CA5">
        <w:rPr>
          <w:rFonts w:ascii="Verdana" w:hAnsi="Verdana"/>
          <w:color w:val="77328A"/>
          <w:sz w:val="16"/>
          <w:szCs w:val="16"/>
        </w:rPr>
        <w:t xml:space="preserve"> </w:t>
      </w:r>
      <w:r w:rsidR="00F80D17" w:rsidRPr="00625CA5">
        <w:rPr>
          <w:rFonts w:ascii="Verdana" w:hAnsi="Verdana"/>
          <w:color w:val="77328A"/>
          <w:sz w:val="16"/>
          <w:szCs w:val="16"/>
        </w:rPr>
        <w:t xml:space="preserve">European Union (Withdrawal) Act 2018. </w:t>
      </w:r>
    </w:p>
  </w:footnote>
  <w:footnote w:id="10">
    <w:p w14:paraId="0A67584F" w14:textId="77777777" w:rsidR="00BD7529" w:rsidRPr="00625CA5" w:rsidRDefault="00BD7529" w:rsidP="00BD7529">
      <w:pPr>
        <w:pStyle w:val="FootnoteText"/>
        <w:rPr>
          <w:rFonts w:ascii="Verdana" w:hAnsi="Verdana"/>
          <w:color w:val="77328A"/>
          <w:sz w:val="16"/>
          <w:szCs w:val="16"/>
        </w:rPr>
      </w:pPr>
      <w:r w:rsidRPr="00625CA5">
        <w:rPr>
          <w:rStyle w:val="FootnoteReference"/>
          <w:rFonts w:ascii="Verdana" w:hAnsi="Verdana"/>
          <w:color w:val="77328A"/>
          <w:sz w:val="16"/>
          <w:szCs w:val="16"/>
        </w:rPr>
        <w:footnoteRef/>
      </w:r>
      <w:r w:rsidRPr="00625CA5">
        <w:rPr>
          <w:rFonts w:ascii="Verdana" w:hAnsi="Verdana"/>
          <w:color w:val="77328A"/>
          <w:sz w:val="16"/>
          <w:szCs w:val="16"/>
        </w:rPr>
        <w:t xml:space="preserve"> </w:t>
      </w:r>
      <w:bookmarkStart w:id="2" w:name="_Hlk150176875"/>
      <w:r w:rsidRPr="00625CA5">
        <w:rPr>
          <w:rFonts w:ascii="Verdana" w:hAnsi="Verdana"/>
          <w:color w:val="77328A"/>
          <w:sz w:val="16"/>
          <w:szCs w:val="16"/>
        </w:rPr>
        <w:fldChar w:fldCharType="begin"/>
      </w:r>
      <w:r w:rsidRPr="00625CA5">
        <w:rPr>
          <w:rFonts w:ascii="Verdana" w:hAnsi="Verdana"/>
          <w:color w:val="77328A"/>
          <w:sz w:val="16"/>
          <w:szCs w:val="16"/>
        </w:rPr>
        <w:instrText>HYPERLINK "https://eur-lex.europa.eu/LexUriServ/LexUriServ.do?uri=OJ:L:2009:337:0011:0036:en:PDF"</w:instrText>
      </w:r>
      <w:r w:rsidRPr="00625CA5">
        <w:rPr>
          <w:rFonts w:ascii="Verdana" w:hAnsi="Verdana"/>
          <w:color w:val="77328A"/>
          <w:sz w:val="16"/>
          <w:szCs w:val="16"/>
        </w:rPr>
      </w:r>
      <w:r w:rsidRPr="00625CA5">
        <w:rPr>
          <w:rFonts w:ascii="Verdana" w:hAnsi="Verdana"/>
          <w:color w:val="77328A"/>
          <w:sz w:val="16"/>
          <w:szCs w:val="16"/>
        </w:rPr>
        <w:fldChar w:fldCharType="separate"/>
      </w:r>
      <w:r w:rsidRPr="00625CA5">
        <w:rPr>
          <w:rStyle w:val="Hyperlink"/>
          <w:rFonts w:ascii="Verdana" w:hAnsi="Verdana"/>
          <w:color w:val="77328A"/>
          <w:sz w:val="16"/>
          <w:szCs w:val="16"/>
          <w:u w:val="none"/>
        </w:rPr>
        <w:t>Directive 2009/136/EC</w:t>
      </w:r>
      <w:r w:rsidRPr="00625CA5">
        <w:rPr>
          <w:rFonts w:ascii="Verdana" w:hAnsi="Verdana"/>
          <w:color w:val="77328A"/>
          <w:sz w:val="16"/>
          <w:szCs w:val="16"/>
        </w:rPr>
        <w:fldChar w:fldCharType="end"/>
      </w:r>
      <w:r w:rsidRPr="00625CA5">
        <w:rPr>
          <w:rFonts w:ascii="Verdana" w:hAnsi="Verdana"/>
          <w:color w:val="77328A"/>
          <w:sz w:val="16"/>
          <w:szCs w:val="16"/>
        </w:rPr>
        <w:t>,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 25 November 2009.</w:t>
      </w:r>
      <w:bookmarkEnd w:id="2"/>
    </w:p>
  </w:footnote>
  <w:footnote w:id="11">
    <w:p w14:paraId="31E82C04" w14:textId="0659294F" w:rsidR="002046C2" w:rsidRPr="00625CA5" w:rsidRDefault="002046C2">
      <w:pPr>
        <w:pStyle w:val="FootnoteText"/>
        <w:rPr>
          <w:rFonts w:ascii="Verdana" w:hAnsi="Verdana"/>
          <w:color w:val="77328A"/>
          <w:sz w:val="16"/>
          <w:szCs w:val="16"/>
        </w:rPr>
      </w:pPr>
      <w:r w:rsidRPr="00625CA5">
        <w:rPr>
          <w:rStyle w:val="FootnoteReference"/>
          <w:rFonts w:ascii="Verdana" w:hAnsi="Verdana"/>
          <w:color w:val="77328A"/>
          <w:sz w:val="16"/>
          <w:szCs w:val="16"/>
        </w:rPr>
        <w:footnoteRef/>
      </w:r>
      <w:r w:rsidRPr="00625CA5">
        <w:rPr>
          <w:rFonts w:ascii="Verdana" w:hAnsi="Verdana"/>
          <w:color w:val="77328A"/>
          <w:sz w:val="16"/>
          <w:szCs w:val="16"/>
        </w:rPr>
        <w:t xml:space="preserve"> </w:t>
      </w:r>
      <w:hyperlink r:id="rId1" w:history="1">
        <w:r w:rsidRPr="00625CA5">
          <w:rPr>
            <w:rStyle w:val="Hyperlink"/>
            <w:rFonts w:ascii="Verdana" w:hAnsi="Verdana"/>
            <w:color w:val="77328A"/>
            <w:sz w:val="16"/>
            <w:szCs w:val="16"/>
            <w:u w:val="none"/>
          </w:rPr>
          <w:t>Regulation 2016/679</w:t>
        </w:r>
      </w:hyperlink>
      <w:r w:rsidR="0046338D" w:rsidRPr="00625CA5">
        <w:rPr>
          <w:rStyle w:val="Hyperlink"/>
          <w:rFonts w:ascii="Verdana" w:hAnsi="Verdana"/>
          <w:color w:val="77328A"/>
          <w:sz w:val="16"/>
          <w:szCs w:val="16"/>
          <w:u w:val="none"/>
        </w:rPr>
        <w:t>/EU</w:t>
      </w:r>
      <w:r w:rsidR="00B220A8" w:rsidRPr="00625CA5">
        <w:rPr>
          <w:rFonts w:ascii="Verdana" w:hAnsi="Verdana"/>
          <w:color w:val="77328A"/>
          <w:sz w:val="16"/>
          <w:szCs w:val="16"/>
        </w:rPr>
        <w:t>, ‘</w:t>
      </w:r>
      <w:r w:rsidR="00495F25" w:rsidRPr="00625CA5">
        <w:rPr>
          <w:rFonts w:ascii="Verdana" w:hAnsi="Verdana"/>
          <w:color w:val="77328A"/>
          <w:sz w:val="16"/>
          <w:szCs w:val="16"/>
        </w:rPr>
        <w:t>Protection of natural persons with regard to the processing of personal data and on the free movement of such data</w:t>
      </w:r>
      <w:r w:rsidR="00A577D2" w:rsidRPr="00625CA5">
        <w:rPr>
          <w:rFonts w:ascii="Verdana" w:hAnsi="Verdana"/>
          <w:color w:val="77328A"/>
          <w:sz w:val="16"/>
          <w:szCs w:val="16"/>
        </w:rPr>
        <w:t xml:space="preserve"> (EU GDPR)</w:t>
      </w:r>
      <w:r w:rsidR="00495F25" w:rsidRPr="00625CA5">
        <w:rPr>
          <w:rFonts w:ascii="Verdana" w:hAnsi="Verdana"/>
          <w:color w:val="77328A"/>
          <w:sz w:val="16"/>
          <w:szCs w:val="16"/>
        </w:rPr>
        <w:t>’</w:t>
      </w:r>
      <w:r w:rsidR="002467A6" w:rsidRPr="00625CA5">
        <w:rPr>
          <w:rFonts w:ascii="Verdana" w:hAnsi="Verdana"/>
          <w:color w:val="77328A"/>
          <w:sz w:val="16"/>
          <w:szCs w:val="16"/>
        </w:rPr>
        <w:t>, 27 April 2016.</w:t>
      </w:r>
    </w:p>
  </w:footnote>
  <w:footnote w:id="12">
    <w:p w14:paraId="652DE8D9" w14:textId="2DC893B1" w:rsidR="00BF22DD" w:rsidRPr="00625CA5" w:rsidRDefault="00BF22DD" w:rsidP="00BF22DD">
      <w:pPr>
        <w:pStyle w:val="FootnoteText"/>
        <w:rPr>
          <w:rFonts w:ascii="Verdana" w:hAnsi="Verdana"/>
          <w:color w:val="77328A"/>
          <w:sz w:val="16"/>
          <w:szCs w:val="16"/>
        </w:rPr>
      </w:pPr>
      <w:r w:rsidRPr="00625CA5">
        <w:rPr>
          <w:rStyle w:val="FootnoteReference"/>
          <w:rFonts w:ascii="Verdana" w:hAnsi="Verdana"/>
          <w:color w:val="77328A"/>
          <w:sz w:val="16"/>
          <w:szCs w:val="16"/>
        </w:rPr>
        <w:footnoteRef/>
      </w:r>
      <w:r w:rsidRPr="00625CA5">
        <w:rPr>
          <w:rFonts w:ascii="Verdana" w:hAnsi="Verdana"/>
          <w:color w:val="77328A"/>
          <w:sz w:val="16"/>
          <w:szCs w:val="16"/>
        </w:rPr>
        <w:t xml:space="preserve"> </w:t>
      </w:r>
      <w:hyperlink r:id="rId2" w:history="1">
        <w:r w:rsidRPr="00625CA5">
          <w:rPr>
            <w:rStyle w:val="Hyperlink"/>
            <w:rFonts w:ascii="Verdana" w:hAnsi="Verdana"/>
            <w:color w:val="77328A"/>
            <w:sz w:val="16"/>
            <w:szCs w:val="16"/>
            <w:u w:val="none"/>
          </w:rPr>
          <w:t>Directive 2016/680</w:t>
        </w:r>
      </w:hyperlink>
      <w:r w:rsidR="00BA53E1" w:rsidRPr="00625CA5">
        <w:rPr>
          <w:rStyle w:val="Hyperlink"/>
          <w:rFonts w:ascii="Verdana" w:hAnsi="Verdana"/>
          <w:color w:val="77328A"/>
          <w:sz w:val="16"/>
          <w:szCs w:val="16"/>
          <w:u w:val="none"/>
        </w:rPr>
        <w:t>/EU</w:t>
      </w:r>
      <w:r w:rsidR="00F30E74" w:rsidRPr="00625CA5">
        <w:rPr>
          <w:rFonts w:ascii="Verdana" w:hAnsi="Verdana"/>
          <w:color w:val="77328A"/>
          <w:sz w:val="16"/>
          <w:szCs w:val="16"/>
        </w:rPr>
        <w:t>,</w:t>
      </w:r>
      <w:r w:rsidRPr="00625CA5">
        <w:rPr>
          <w:rFonts w:ascii="Verdana" w:hAnsi="Verdana"/>
          <w:color w:val="77328A"/>
          <w:sz w:val="16"/>
          <w:szCs w:val="16"/>
        </w:rPr>
        <w:t xml:space="preserve"> ‘Protection of natural persons with regard to the processing of personal data by competent authorities for the purposes of the prevention, investigation, detection or prosecution of </w:t>
      </w:r>
      <w:r w:rsidR="00A75DAE" w:rsidRPr="00625CA5">
        <w:rPr>
          <w:rFonts w:ascii="Verdana" w:hAnsi="Verdana"/>
          <w:color w:val="77328A"/>
          <w:sz w:val="16"/>
          <w:szCs w:val="16"/>
        </w:rPr>
        <w:t>criminal offences</w:t>
      </w:r>
      <w:r w:rsidRPr="00625CA5">
        <w:rPr>
          <w:rFonts w:ascii="Verdana" w:hAnsi="Verdana"/>
          <w:color w:val="77328A"/>
          <w:sz w:val="16"/>
          <w:szCs w:val="16"/>
        </w:rPr>
        <w:t xml:space="preserve"> or the execution of criminal penalties, and on the free movement of such data’,</w:t>
      </w:r>
      <w:r w:rsidR="00F30E74" w:rsidRPr="00625CA5">
        <w:rPr>
          <w:rFonts w:ascii="Verdana" w:hAnsi="Verdana"/>
          <w:color w:val="77328A"/>
          <w:sz w:val="16"/>
          <w:szCs w:val="16"/>
        </w:rPr>
        <w:t xml:space="preserve"> 27 April 2016. </w:t>
      </w:r>
    </w:p>
  </w:footnote>
  <w:footnote w:id="13">
    <w:p w14:paraId="7BE47072" w14:textId="2E57F084" w:rsidR="004D1F9E" w:rsidRPr="00625CA5" w:rsidRDefault="004D1F9E">
      <w:pPr>
        <w:pStyle w:val="FootnoteText"/>
        <w:rPr>
          <w:rFonts w:ascii="Verdana" w:hAnsi="Verdana"/>
          <w:color w:val="77328A"/>
          <w:sz w:val="16"/>
          <w:szCs w:val="16"/>
        </w:rPr>
      </w:pPr>
      <w:r w:rsidRPr="00625CA5">
        <w:rPr>
          <w:rStyle w:val="FootnoteReference"/>
          <w:rFonts w:ascii="Verdana" w:hAnsi="Verdana"/>
          <w:color w:val="77328A"/>
          <w:sz w:val="16"/>
          <w:szCs w:val="16"/>
        </w:rPr>
        <w:footnoteRef/>
      </w:r>
      <w:r w:rsidRPr="00625CA5">
        <w:rPr>
          <w:rFonts w:ascii="Verdana" w:hAnsi="Verdana"/>
          <w:color w:val="77328A"/>
          <w:sz w:val="16"/>
          <w:szCs w:val="16"/>
        </w:rPr>
        <w:t xml:space="preserve"> </w:t>
      </w:r>
      <w:bookmarkStart w:id="3" w:name="_Hlk150176912"/>
      <w:r w:rsidRPr="00625CA5">
        <w:fldChar w:fldCharType="begin"/>
      </w:r>
      <w:r w:rsidRPr="00625CA5">
        <w:rPr>
          <w:rFonts w:ascii="Verdana" w:hAnsi="Verdana"/>
          <w:color w:val="77328A"/>
          <w:sz w:val="16"/>
          <w:szCs w:val="16"/>
        </w:rPr>
        <w:instrText>HYPERLINK "https://eur-lex.europa.eu/legal-content/EN/TXT/?uri=celex%3A32018R1725"</w:instrText>
      </w:r>
      <w:r w:rsidRPr="00625CA5">
        <w:fldChar w:fldCharType="separate"/>
      </w:r>
      <w:r w:rsidRPr="00625CA5">
        <w:rPr>
          <w:rStyle w:val="Hyperlink"/>
          <w:rFonts w:ascii="Verdana" w:hAnsi="Verdana"/>
          <w:color w:val="77328A"/>
          <w:sz w:val="16"/>
          <w:szCs w:val="16"/>
          <w:u w:val="none"/>
        </w:rPr>
        <w:t>Regulation 2018/1725</w:t>
      </w:r>
      <w:r w:rsidRPr="00625CA5">
        <w:rPr>
          <w:rStyle w:val="Hyperlink"/>
          <w:rFonts w:ascii="Verdana" w:hAnsi="Verdana"/>
          <w:color w:val="77328A"/>
          <w:sz w:val="16"/>
          <w:szCs w:val="16"/>
          <w:u w:val="none"/>
        </w:rPr>
        <w:fldChar w:fldCharType="end"/>
      </w:r>
      <w:r w:rsidR="00BA53E1" w:rsidRPr="00625CA5">
        <w:rPr>
          <w:rStyle w:val="Hyperlink"/>
          <w:rFonts w:ascii="Verdana" w:hAnsi="Verdana"/>
          <w:color w:val="77328A"/>
          <w:sz w:val="16"/>
          <w:szCs w:val="16"/>
          <w:u w:val="none"/>
        </w:rPr>
        <w:t>/EU</w:t>
      </w:r>
      <w:r w:rsidRPr="00625CA5">
        <w:rPr>
          <w:rFonts w:ascii="Verdana" w:hAnsi="Verdana"/>
          <w:color w:val="77328A"/>
          <w:sz w:val="16"/>
          <w:szCs w:val="16"/>
        </w:rPr>
        <w:t>, ‘</w:t>
      </w:r>
      <w:r w:rsidR="00A75DAE" w:rsidRPr="00625CA5">
        <w:rPr>
          <w:rFonts w:ascii="Verdana" w:hAnsi="Verdana"/>
          <w:color w:val="77328A"/>
          <w:sz w:val="16"/>
          <w:szCs w:val="16"/>
        </w:rPr>
        <w:t>Protection of natural persons with regard to the processing of personal data by the Union institutions, bodies, offices and agencies and on the free movement of such data’, 23 October 2018.</w:t>
      </w:r>
      <w:bookmarkEnd w:id="3"/>
      <w:r w:rsidR="00A75DAE" w:rsidRPr="00625CA5">
        <w:rPr>
          <w:rFonts w:ascii="Verdana" w:hAnsi="Verdana"/>
          <w:color w:val="77328A"/>
          <w:sz w:val="16"/>
          <w:szCs w:val="16"/>
        </w:rPr>
        <w:t xml:space="preserve"> </w:t>
      </w:r>
    </w:p>
  </w:footnote>
  <w:footnote w:id="14">
    <w:p w14:paraId="695A8ADD" w14:textId="6AE45D16" w:rsidR="00630281" w:rsidRPr="00E77A95" w:rsidRDefault="00630281">
      <w:pPr>
        <w:pStyle w:val="FootnoteText"/>
        <w:rPr>
          <w:color w:val="77328A"/>
        </w:rPr>
      </w:pPr>
      <w:r w:rsidRPr="00625CA5">
        <w:rPr>
          <w:rStyle w:val="FootnoteReference"/>
          <w:rFonts w:ascii="Verdana" w:hAnsi="Verdana"/>
          <w:color w:val="77328A"/>
          <w:sz w:val="16"/>
          <w:szCs w:val="16"/>
        </w:rPr>
        <w:footnoteRef/>
      </w:r>
      <w:r w:rsidRPr="00625CA5">
        <w:rPr>
          <w:rFonts w:ascii="Verdana" w:hAnsi="Verdana"/>
          <w:color w:val="77328A"/>
          <w:sz w:val="16"/>
          <w:szCs w:val="16"/>
        </w:rPr>
        <w:t xml:space="preserve"> </w:t>
      </w:r>
      <w:r w:rsidR="00E95007" w:rsidRPr="00625CA5">
        <w:rPr>
          <w:rFonts w:ascii="Verdana" w:hAnsi="Verdana"/>
          <w:color w:val="77328A"/>
          <w:sz w:val="16"/>
          <w:szCs w:val="16"/>
        </w:rPr>
        <w:t>Bill 179 2024-25 (as brought from the Lords).</w:t>
      </w:r>
    </w:p>
  </w:footnote>
  <w:footnote w:id="15">
    <w:p w14:paraId="527C5CE9" w14:textId="4CB69CA2" w:rsidR="008A5AB3" w:rsidRPr="0066052A" w:rsidRDefault="008A5AB3">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C63C5A" w:rsidRPr="0066052A">
        <w:rPr>
          <w:rFonts w:ascii="Verdana" w:hAnsi="Verdana"/>
          <w:color w:val="77328A"/>
          <w:sz w:val="16"/>
          <w:szCs w:val="16"/>
        </w:rPr>
        <w:t xml:space="preserve">Article 12, </w:t>
      </w:r>
      <w:r w:rsidR="00726852" w:rsidRPr="0066052A">
        <w:rPr>
          <w:rFonts w:ascii="Verdana" w:hAnsi="Verdana"/>
          <w:color w:val="77328A"/>
          <w:sz w:val="16"/>
          <w:szCs w:val="16"/>
        </w:rPr>
        <w:t xml:space="preserve">UN </w:t>
      </w:r>
      <w:r w:rsidRPr="0066052A">
        <w:rPr>
          <w:rFonts w:ascii="Verdana" w:hAnsi="Verdana"/>
          <w:color w:val="77328A"/>
          <w:sz w:val="16"/>
          <w:szCs w:val="16"/>
        </w:rPr>
        <w:t>Declaration on Human Rights</w:t>
      </w:r>
      <w:r w:rsidR="00015401" w:rsidRPr="0066052A">
        <w:rPr>
          <w:rFonts w:ascii="Verdana" w:hAnsi="Verdana"/>
          <w:color w:val="77328A"/>
          <w:sz w:val="16"/>
          <w:szCs w:val="16"/>
        </w:rPr>
        <w:t xml:space="preserve"> 1948. </w:t>
      </w:r>
    </w:p>
  </w:footnote>
  <w:footnote w:id="16">
    <w:p w14:paraId="6E4B1D22" w14:textId="6CB72DD0" w:rsidR="00112121" w:rsidRPr="0066052A" w:rsidRDefault="00112121">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015401" w:rsidRPr="0066052A">
        <w:rPr>
          <w:rFonts w:ascii="Verdana" w:hAnsi="Verdana"/>
          <w:color w:val="77328A"/>
          <w:sz w:val="16"/>
          <w:szCs w:val="16"/>
        </w:rPr>
        <w:t xml:space="preserve">Article 17, </w:t>
      </w:r>
      <w:r w:rsidR="00D6620B" w:rsidRPr="0066052A">
        <w:rPr>
          <w:rFonts w:ascii="Verdana" w:hAnsi="Verdana"/>
          <w:color w:val="77328A"/>
          <w:sz w:val="16"/>
          <w:szCs w:val="16"/>
        </w:rPr>
        <w:t xml:space="preserve">UN </w:t>
      </w:r>
      <w:r w:rsidR="00015401" w:rsidRPr="0066052A">
        <w:rPr>
          <w:rFonts w:ascii="Verdana" w:hAnsi="Verdana"/>
          <w:color w:val="77328A"/>
          <w:sz w:val="16"/>
          <w:szCs w:val="16"/>
        </w:rPr>
        <w:t>International Co</w:t>
      </w:r>
      <w:r w:rsidR="008177F1" w:rsidRPr="0066052A">
        <w:rPr>
          <w:rFonts w:ascii="Verdana" w:hAnsi="Verdana"/>
          <w:color w:val="77328A"/>
          <w:sz w:val="16"/>
          <w:szCs w:val="16"/>
        </w:rPr>
        <w:t>venant</w:t>
      </w:r>
      <w:r w:rsidR="00015401" w:rsidRPr="0066052A">
        <w:rPr>
          <w:rFonts w:ascii="Verdana" w:hAnsi="Verdana"/>
          <w:color w:val="77328A"/>
          <w:sz w:val="16"/>
          <w:szCs w:val="16"/>
        </w:rPr>
        <w:t xml:space="preserve"> on Civil and Political Rights </w:t>
      </w:r>
      <w:r w:rsidR="008177F1" w:rsidRPr="0066052A">
        <w:rPr>
          <w:rFonts w:ascii="Verdana" w:hAnsi="Verdana"/>
          <w:color w:val="77328A"/>
          <w:sz w:val="16"/>
          <w:szCs w:val="16"/>
        </w:rPr>
        <w:t xml:space="preserve">1976. </w:t>
      </w:r>
    </w:p>
  </w:footnote>
  <w:footnote w:id="17">
    <w:p w14:paraId="4AA33908" w14:textId="646379A0" w:rsidR="00D6620B" w:rsidRPr="0066052A" w:rsidRDefault="00D6620B">
      <w:pPr>
        <w:pStyle w:val="FootnoteText"/>
        <w:rPr>
          <w:rFonts w:ascii="Verdana" w:hAnsi="Verdana"/>
          <w:color w:val="77328A"/>
          <w:sz w:val="16"/>
          <w:szCs w:val="16"/>
          <w:highlight w:val="green"/>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16, UN Convention on the Rights of the Child 1989</w:t>
      </w:r>
      <w:r w:rsidR="000214E7" w:rsidRPr="0066052A">
        <w:rPr>
          <w:rFonts w:ascii="Verdana" w:hAnsi="Verdana"/>
          <w:color w:val="77328A"/>
          <w:sz w:val="16"/>
          <w:szCs w:val="16"/>
        </w:rPr>
        <w:t>.</w:t>
      </w:r>
    </w:p>
  </w:footnote>
  <w:footnote w:id="18">
    <w:p w14:paraId="5147746C" w14:textId="0070EEA9" w:rsidR="00102C55" w:rsidRPr="0066052A" w:rsidRDefault="00102C55">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614B6A" w:rsidRPr="0066052A">
        <w:rPr>
          <w:rFonts w:ascii="Verdana" w:hAnsi="Verdana"/>
          <w:color w:val="77328A"/>
          <w:sz w:val="16"/>
          <w:szCs w:val="16"/>
        </w:rPr>
        <w:t xml:space="preserve">Article 8, </w:t>
      </w:r>
      <w:r w:rsidR="006712DD" w:rsidRPr="0066052A">
        <w:rPr>
          <w:rFonts w:ascii="Verdana" w:hAnsi="Verdana"/>
          <w:color w:val="77328A"/>
          <w:sz w:val="16"/>
          <w:szCs w:val="16"/>
        </w:rPr>
        <w:t xml:space="preserve">European </w:t>
      </w:r>
      <w:r w:rsidR="007826EE" w:rsidRPr="0066052A">
        <w:rPr>
          <w:rFonts w:ascii="Verdana" w:hAnsi="Verdana"/>
          <w:color w:val="77328A"/>
          <w:sz w:val="16"/>
          <w:szCs w:val="16"/>
        </w:rPr>
        <w:t xml:space="preserve">Convention of Human Rights 1950. </w:t>
      </w:r>
    </w:p>
  </w:footnote>
  <w:footnote w:id="19">
    <w:p w14:paraId="2F09FE4F" w14:textId="67ECE10D" w:rsidR="00561D41" w:rsidRPr="004C0D81" w:rsidRDefault="00561D41">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w:t>
      </w:r>
      <w:r w:rsidR="00422672" w:rsidRPr="004C0D81">
        <w:rPr>
          <w:rFonts w:ascii="Verdana" w:hAnsi="Verdana"/>
          <w:i/>
          <w:iCs/>
          <w:color w:val="77328A"/>
          <w:sz w:val="16"/>
          <w:szCs w:val="16"/>
        </w:rPr>
        <w:t>Satakunnan Markkinapörssi Oy and Satamedia Oy v Finland</w:t>
      </w:r>
      <w:r w:rsidR="00422672" w:rsidRPr="004C0D81">
        <w:rPr>
          <w:rFonts w:ascii="Verdana" w:hAnsi="Verdana"/>
          <w:color w:val="77328A"/>
          <w:sz w:val="16"/>
          <w:szCs w:val="16"/>
        </w:rPr>
        <w:t xml:space="preserve"> </w:t>
      </w:r>
      <w:r w:rsidR="00726852" w:rsidRPr="004C0D81">
        <w:rPr>
          <w:rFonts w:ascii="Verdana" w:hAnsi="Verdana" w:cstheme="minorHAnsi"/>
          <w:color w:val="77328A"/>
          <w:sz w:val="16"/>
          <w:szCs w:val="16"/>
        </w:rPr>
        <w:t>(2015) ECHR 713</w:t>
      </w:r>
      <w:r w:rsidR="0050134A" w:rsidRPr="004C0D81">
        <w:rPr>
          <w:rFonts w:ascii="Verdana" w:hAnsi="Verdana"/>
          <w:color w:val="77328A"/>
          <w:sz w:val="16"/>
          <w:szCs w:val="16"/>
        </w:rPr>
        <w:t>,</w:t>
      </w:r>
      <w:r w:rsidR="00726852" w:rsidRPr="004C0D81">
        <w:rPr>
          <w:rFonts w:ascii="Verdana" w:hAnsi="Verdana"/>
          <w:color w:val="77328A"/>
          <w:sz w:val="16"/>
          <w:szCs w:val="16"/>
        </w:rPr>
        <w:t xml:space="preserve"> </w:t>
      </w:r>
      <w:r w:rsidR="001F1780" w:rsidRPr="004C0D81">
        <w:rPr>
          <w:rFonts w:ascii="Verdana" w:hAnsi="Verdana"/>
          <w:color w:val="77328A"/>
          <w:sz w:val="16"/>
          <w:szCs w:val="16"/>
        </w:rPr>
        <w:t xml:space="preserve">at </w:t>
      </w:r>
      <w:r w:rsidR="00726852" w:rsidRPr="004C0D81">
        <w:rPr>
          <w:rFonts w:ascii="Verdana" w:hAnsi="Verdana"/>
          <w:color w:val="77328A"/>
          <w:sz w:val="16"/>
          <w:szCs w:val="16"/>
        </w:rPr>
        <w:t>para</w:t>
      </w:r>
      <w:r w:rsidR="000F3B6C" w:rsidRPr="004C0D81">
        <w:rPr>
          <w:rFonts w:ascii="Verdana" w:hAnsi="Verdana"/>
          <w:color w:val="77328A"/>
          <w:sz w:val="16"/>
          <w:szCs w:val="16"/>
        </w:rPr>
        <w:t xml:space="preserve"> 137. </w:t>
      </w:r>
    </w:p>
  </w:footnote>
  <w:footnote w:id="20">
    <w:p w14:paraId="04963275" w14:textId="4D1B7B70" w:rsidR="00500F0C" w:rsidRPr="004C0D81" w:rsidRDefault="00500F0C" w:rsidP="00B320A5">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w:t>
      </w:r>
      <w:r w:rsidR="00B320A5" w:rsidRPr="004C0D81">
        <w:rPr>
          <w:rFonts w:ascii="Verdana" w:hAnsi="Verdana"/>
          <w:i/>
          <w:iCs/>
          <w:color w:val="77328A"/>
          <w:sz w:val="16"/>
          <w:szCs w:val="16"/>
        </w:rPr>
        <w:t xml:space="preserve">S and Mapers v </w:t>
      </w:r>
      <w:r w:rsidR="000556EB" w:rsidRPr="004C0D81">
        <w:rPr>
          <w:rFonts w:ascii="Verdana" w:hAnsi="Verdana"/>
          <w:i/>
          <w:iCs/>
          <w:color w:val="77328A"/>
          <w:sz w:val="16"/>
          <w:szCs w:val="16"/>
        </w:rPr>
        <w:t>UK</w:t>
      </w:r>
      <w:r w:rsidR="00B320A5" w:rsidRPr="004C0D81">
        <w:rPr>
          <w:rFonts w:ascii="Verdana" w:hAnsi="Verdana"/>
          <w:color w:val="77328A"/>
          <w:sz w:val="16"/>
          <w:szCs w:val="16"/>
        </w:rPr>
        <w:t xml:space="preserve"> </w:t>
      </w:r>
      <w:r w:rsidR="006F0A4B" w:rsidRPr="004C0D81">
        <w:rPr>
          <w:rFonts w:ascii="Verdana" w:hAnsi="Verdana"/>
          <w:color w:val="77328A"/>
          <w:sz w:val="16"/>
          <w:szCs w:val="16"/>
        </w:rPr>
        <w:t xml:space="preserve">(2008) </w:t>
      </w:r>
      <w:r w:rsidR="00B320A5" w:rsidRPr="004C0D81">
        <w:rPr>
          <w:rFonts w:ascii="Verdana" w:hAnsi="Verdana"/>
          <w:color w:val="77328A"/>
          <w:sz w:val="16"/>
          <w:szCs w:val="16"/>
        </w:rPr>
        <w:t>App No 30562/04</w:t>
      </w:r>
      <w:r w:rsidR="006712DD" w:rsidRPr="004C0D81">
        <w:rPr>
          <w:rFonts w:ascii="Verdana" w:hAnsi="Verdana"/>
          <w:color w:val="77328A"/>
          <w:sz w:val="16"/>
          <w:szCs w:val="16"/>
        </w:rPr>
        <w:t xml:space="preserve"> and </w:t>
      </w:r>
      <w:r w:rsidR="00B320A5" w:rsidRPr="004C0D81">
        <w:rPr>
          <w:rFonts w:ascii="Verdana" w:hAnsi="Verdana"/>
          <w:color w:val="77328A"/>
          <w:sz w:val="16"/>
          <w:szCs w:val="16"/>
        </w:rPr>
        <w:t>30566/04</w:t>
      </w:r>
      <w:r w:rsidR="006712DD" w:rsidRPr="004C0D81">
        <w:rPr>
          <w:rFonts w:ascii="Verdana" w:hAnsi="Verdana"/>
          <w:color w:val="77328A"/>
          <w:sz w:val="16"/>
          <w:szCs w:val="16"/>
        </w:rPr>
        <w:t xml:space="preserve">, </w:t>
      </w:r>
      <w:r w:rsidR="00C12799" w:rsidRPr="004C0D81">
        <w:rPr>
          <w:rFonts w:ascii="Verdana" w:hAnsi="Verdana"/>
          <w:color w:val="77328A"/>
          <w:sz w:val="16"/>
          <w:szCs w:val="16"/>
        </w:rPr>
        <w:t xml:space="preserve">at </w:t>
      </w:r>
      <w:r w:rsidR="001F1780" w:rsidRPr="004C0D81">
        <w:rPr>
          <w:rFonts w:ascii="Verdana" w:hAnsi="Verdana"/>
          <w:color w:val="77328A"/>
          <w:sz w:val="16"/>
          <w:szCs w:val="16"/>
        </w:rPr>
        <w:t xml:space="preserve">para </w:t>
      </w:r>
      <w:r w:rsidR="00C12799" w:rsidRPr="004C0D81">
        <w:rPr>
          <w:rFonts w:ascii="Verdana" w:hAnsi="Verdana"/>
          <w:color w:val="77328A"/>
          <w:sz w:val="16"/>
          <w:szCs w:val="16"/>
        </w:rPr>
        <w:t xml:space="preserve">67. </w:t>
      </w:r>
    </w:p>
  </w:footnote>
  <w:footnote w:id="21">
    <w:p w14:paraId="4C827D29" w14:textId="5F1D6F4C" w:rsidR="00065506" w:rsidRPr="004C0D81" w:rsidRDefault="00065506" w:rsidP="00065506">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w:t>
      </w:r>
      <w:r w:rsidR="000556EB" w:rsidRPr="004C0D81">
        <w:rPr>
          <w:rFonts w:ascii="Verdana" w:hAnsi="Verdana"/>
          <w:color w:val="77328A"/>
          <w:sz w:val="16"/>
          <w:szCs w:val="16"/>
        </w:rPr>
        <w:t>CoE</w:t>
      </w:r>
      <w:r w:rsidR="00711C5C" w:rsidRPr="004C0D81">
        <w:rPr>
          <w:rFonts w:ascii="Verdana" w:hAnsi="Verdana"/>
          <w:color w:val="77328A"/>
          <w:sz w:val="16"/>
          <w:szCs w:val="16"/>
        </w:rPr>
        <w:t xml:space="preserve"> Convention </w:t>
      </w:r>
      <w:r w:rsidRPr="004C0D81">
        <w:rPr>
          <w:rFonts w:ascii="Verdana" w:hAnsi="Verdana"/>
          <w:color w:val="77328A"/>
          <w:sz w:val="16"/>
          <w:szCs w:val="16"/>
        </w:rPr>
        <w:t>for the Protection of Individuals with Regard to the Processing of Personal Data</w:t>
      </w:r>
      <w:r w:rsidR="00FE48AF" w:rsidRPr="004C0D81">
        <w:rPr>
          <w:rFonts w:ascii="Verdana" w:hAnsi="Verdana"/>
          <w:color w:val="77328A"/>
          <w:sz w:val="16"/>
          <w:szCs w:val="16"/>
        </w:rPr>
        <w:t xml:space="preserve"> 1981.</w:t>
      </w:r>
    </w:p>
  </w:footnote>
  <w:footnote w:id="22">
    <w:p w14:paraId="00F03154" w14:textId="0743B11F" w:rsidR="007264D3" w:rsidRPr="004C0D81" w:rsidRDefault="007264D3">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Article 9</w:t>
      </w:r>
      <w:r w:rsidR="0082505F" w:rsidRPr="004C0D81">
        <w:rPr>
          <w:rFonts w:ascii="Verdana" w:hAnsi="Verdana"/>
          <w:color w:val="77328A"/>
          <w:sz w:val="16"/>
          <w:szCs w:val="16"/>
        </w:rPr>
        <w:t xml:space="preserve">, </w:t>
      </w:r>
      <w:r w:rsidR="006D3642" w:rsidRPr="004C0D81">
        <w:rPr>
          <w:rFonts w:ascii="Verdana" w:hAnsi="Verdana"/>
          <w:color w:val="77328A"/>
          <w:sz w:val="16"/>
          <w:szCs w:val="16"/>
        </w:rPr>
        <w:t>CoE</w:t>
      </w:r>
      <w:r w:rsidR="00EF4CBE" w:rsidRPr="004C0D81">
        <w:rPr>
          <w:rFonts w:ascii="Verdana" w:hAnsi="Verdana"/>
          <w:color w:val="77328A"/>
          <w:sz w:val="16"/>
          <w:szCs w:val="16"/>
        </w:rPr>
        <w:t xml:space="preserve"> Convention </w:t>
      </w:r>
      <w:r w:rsidR="003A271F" w:rsidRPr="004C0D81">
        <w:rPr>
          <w:rFonts w:ascii="Verdana" w:hAnsi="Verdana"/>
          <w:color w:val="77328A"/>
          <w:sz w:val="16"/>
          <w:szCs w:val="16"/>
        </w:rPr>
        <w:t>for the Protection of Individuals with regard to Automatic Processing of Personal Data</w:t>
      </w:r>
      <w:r w:rsidR="00C502CD" w:rsidRPr="004C0D81">
        <w:rPr>
          <w:rFonts w:ascii="Verdana" w:hAnsi="Verdana"/>
          <w:color w:val="77328A"/>
          <w:sz w:val="16"/>
          <w:szCs w:val="16"/>
        </w:rPr>
        <w:t xml:space="preserve"> 1981. </w:t>
      </w:r>
    </w:p>
  </w:footnote>
  <w:footnote w:id="23">
    <w:p w14:paraId="62654736" w14:textId="75385EAB" w:rsidR="00440068" w:rsidRPr="0066052A" w:rsidRDefault="00440068" w:rsidP="00440068">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4">
    <w:p w14:paraId="723D4D27" w14:textId="1717C26D" w:rsidR="0058153D" w:rsidRPr="00625CA5" w:rsidRDefault="0058153D" w:rsidP="0058153D">
      <w:pPr>
        <w:pStyle w:val="FootnoteText"/>
        <w:rPr>
          <w:rFonts w:ascii="Verdana" w:hAnsi="Verdana" w:cstheme="minorHAnsi"/>
          <w:color w:val="77328A"/>
          <w:sz w:val="16"/>
          <w:szCs w:val="16"/>
        </w:rPr>
      </w:pPr>
      <w:r w:rsidRPr="00625CA5">
        <w:rPr>
          <w:rStyle w:val="FootnoteReference"/>
          <w:rFonts w:ascii="Verdana" w:hAnsi="Verdana" w:cstheme="minorHAnsi"/>
          <w:color w:val="77328A"/>
          <w:sz w:val="16"/>
          <w:szCs w:val="16"/>
        </w:rPr>
        <w:footnoteRef/>
      </w:r>
      <w:r w:rsidRPr="00625CA5">
        <w:rPr>
          <w:rFonts w:ascii="Verdana" w:hAnsi="Verdana" w:cstheme="minorHAnsi"/>
          <w:color w:val="77328A"/>
          <w:sz w:val="16"/>
          <w:szCs w:val="16"/>
        </w:rPr>
        <w:t xml:space="preserve"> </w:t>
      </w:r>
      <w:hyperlink r:id="rId3" w:history="1">
        <w:r w:rsidRPr="00625CA5">
          <w:rPr>
            <w:rStyle w:val="Hyperlink"/>
            <w:rFonts w:ascii="Verdana" w:hAnsi="Verdana" w:cstheme="minorHAnsi"/>
            <w:i/>
            <w:color w:val="77328A"/>
            <w:sz w:val="16"/>
            <w:szCs w:val="16"/>
            <w:u w:val="none"/>
          </w:rPr>
          <w:t>Dillon &amp; Ors v SSNI</w:t>
        </w:r>
        <w:r w:rsidRPr="00625CA5">
          <w:rPr>
            <w:rStyle w:val="Hyperlink"/>
            <w:rFonts w:ascii="Verdana" w:hAnsi="Verdana" w:cstheme="minorHAnsi"/>
            <w:color w:val="77328A"/>
            <w:sz w:val="16"/>
            <w:szCs w:val="16"/>
            <w:u w:val="none"/>
          </w:rPr>
          <w:t xml:space="preserve"> [2024] NICA 59</w:t>
        </w:r>
      </w:hyperlink>
      <w:r w:rsidR="00B67423" w:rsidRPr="00625CA5">
        <w:rPr>
          <w:rStyle w:val="Hyperlink"/>
          <w:rFonts w:ascii="Verdana" w:hAnsi="Verdana" w:cstheme="minorHAnsi"/>
          <w:color w:val="77328A"/>
          <w:sz w:val="16"/>
          <w:szCs w:val="16"/>
          <w:u w:val="none"/>
        </w:rPr>
        <w:t xml:space="preserve"> at [115].</w:t>
      </w:r>
    </w:p>
  </w:footnote>
  <w:footnote w:id="25">
    <w:p w14:paraId="02D81542" w14:textId="05235E14" w:rsidR="00E363A0" w:rsidRPr="00625CA5" w:rsidRDefault="00E363A0" w:rsidP="00E363A0">
      <w:pPr>
        <w:pStyle w:val="FootnoteText"/>
        <w:rPr>
          <w:rFonts w:ascii="Verdana" w:hAnsi="Verdana" w:cstheme="minorHAnsi"/>
          <w:sz w:val="16"/>
          <w:szCs w:val="16"/>
        </w:rPr>
      </w:pPr>
      <w:r w:rsidRPr="00625CA5">
        <w:rPr>
          <w:rStyle w:val="FootnoteReference"/>
          <w:rFonts w:ascii="Verdana" w:hAnsi="Verdana" w:cstheme="minorHAnsi"/>
          <w:color w:val="77328A"/>
          <w:sz w:val="16"/>
          <w:szCs w:val="16"/>
        </w:rPr>
        <w:footnoteRef/>
      </w:r>
      <w:r w:rsidRPr="00625CA5">
        <w:rPr>
          <w:rFonts w:ascii="Verdana" w:hAnsi="Verdana" w:cstheme="minorHAnsi"/>
          <w:color w:val="77328A"/>
          <w:sz w:val="16"/>
          <w:szCs w:val="16"/>
        </w:rPr>
        <w:t xml:space="preserve"> </w:t>
      </w:r>
      <w:hyperlink r:id="rId4" w:history="1">
        <w:r w:rsidRPr="00625CA5">
          <w:rPr>
            <w:rStyle w:val="Hyperlink"/>
            <w:rFonts w:ascii="Verdana" w:hAnsi="Verdana" w:cstheme="minorHAnsi"/>
            <w:i/>
            <w:color w:val="77328A"/>
            <w:sz w:val="16"/>
            <w:szCs w:val="16"/>
            <w:u w:val="none"/>
          </w:rPr>
          <w:t>Dillon &amp; Ors v SSNI</w:t>
        </w:r>
        <w:r w:rsidRPr="00625CA5">
          <w:rPr>
            <w:rStyle w:val="Hyperlink"/>
            <w:rFonts w:ascii="Verdana" w:hAnsi="Verdana" w:cstheme="minorHAnsi"/>
            <w:color w:val="77328A"/>
            <w:sz w:val="16"/>
            <w:szCs w:val="16"/>
            <w:u w:val="none"/>
          </w:rPr>
          <w:t xml:space="preserve"> [2024] NICA 59</w:t>
        </w:r>
      </w:hyperlink>
      <w:r w:rsidR="00B06669" w:rsidRPr="00625CA5">
        <w:rPr>
          <w:rStyle w:val="Hyperlink"/>
          <w:rFonts w:ascii="Verdana" w:hAnsi="Verdana" w:cstheme="minorHAnsi"/>
          <w:color w:val="77328A"/>
          <w:sz w:val="16"/>
          <w:szCs w:val="16"/>
          <w:u w:val="none"/>
        </w:rPr>
        <w:t xml:space="preserve"> at [117]</w:t>
      </w:r>
      <w:r w:rsidR="001804A8" w:rsidRPr="00625CA5">
        <w:rPr>
          <w:rStyle w:val="Hyperlink"/>
          <w:rFonts w:ascii="Verdana" w:hAnsi="Verdana" w:cstheme="minorHAnsi"/>
          <w:color w:val="77328A"/>
          <w:sz w:val="16"/>
          <w:szCs w:val="16"/>
          <w:u w:val="none"/>
        </w:rPr>
        <w:t>, [121], [126].</w:t>
      </w:r>
    </w:p>
  </w:footnote>
  <w:footnote w:id="26">
    <w:p w14:paraId="6269DCAC" w14:textId="77777777" w:rsidR="00440068" w:rsidRPr="007A3FFE" w:rsidRDefault="00440068" w:rsidP="00440068">
      <w:pPr>
        <w:pStyle w:val="FootnoteText"/>
        <w:rPr>
          <w:rFonts w:ascii="Verdana" w:hAnsi="Verdana"/>
          <w:color w:val="77328A"/>
          <w:sz w:val="16"/>
          <w:szCs w:val="16"/>
        </w:rPr>
      </w:pPr>
      <w:r w:rsidRPr="00625CA5">
        <w:rPr>
          <w:rStyle w:val="FootnoteReference"/>
          <w:rFonts w:ascii="Verdana" w:hAnsi="Verdana"/>
          <w:color w:val="77328A"/>
          <w:sz w:val="16"/>
          <w:szCs w:val="16"/>
        </w:rPr>
        <w:footnoteRef/>
      </w:r>
      <w:r w:rsidRPr="00625CA5">
        <w:rPr>
          <w:rFonts w:ascii="Verdana" w:hAnsi="Verdana"/>
          <w:color w:val="77328A"/>
          <w:sz w:val="16"/>
          <w:szCs w:val="16"/>
        </w:rPr>
        <w:t xml:space="preserve"> NI Human Rights Commission and Equality Commission for NI, ‘Working Paper: The Scope of Article 2(1) of the Ireland/Northern Ireland Protocol’ (NIHRC and ECNI, 2022).</w:t>
      </w:r>
    </w:p>
  </w:footnote>
  <w:footnote w:id="27">
    <w:p w14:paraId="1243AE92" w14:textId="77777777" w:rsidR="00440068" w:rsidRPr="007A3FFE" w:rsidRDefault="00440068" w:rsidP="00440068">
      <w:pPr>
        <w:pStyle w:val="FootnoteText"/>
        <w:rPr>
          <w:rFonts w:ascii="Verdana" w:hAnsi="Verdana"/>
          <w:color w:val="77328A"/>
          <w:sz w:val="16"/>
          <w:szCs w:val="16"/>
          <w:highlight w:val="green"/>
        </w:rPr>
      </w:pPr>
      <w:r w:rsidRPr="007A3FFE">
        <w:rPr>
          <w:rStyle w:val="FootnoteReference"/>
          <w:rFonts w:ascii="Verdana" w:hAnsi="Verdana"/>
          <w:color w:val="77328A"/>
          <w:sz w:val="16"/>
          <w:szCs w:val="16"/>
        </w:rPr>
        <w:footnoteRef/>
      </w:r>
      <w:r w:rsidRPr="007A3FFE">
        <w:rPr>
          <w:rFonts w:ascii="Verdana" w:hAnsi="Verdana"/>
          <w:color w:val="77328A"/>
          <w:sz w:val="16"/>
          <w:szCs w:val="16"/>
        </w:rPr>
        <w:t xml:space="preserve"> Article 2(a)(i), UK-EU Withdrawal Agreement.</w:t>
      </w:r>
    </w:p>
  </w:footnote>
  <w:footnote w:id="28">
    <w:p w14:paraId="39AF5801" w14:textId="7E7880F1" w:rsidR="00EA748E" w:rsidRPr="007A3FFE" w:rsidRDefault="00037775" w:rsidP="00EA748E">
      <w:pPr>
        <w:pStyle w:val="FootnoteText"/>
        <w:rPr>
          <w:rFonts w:ascii="Verdana" w:hAnsi="Verdana"/>
          <w:i/>
          <w:iCs/>
          <w:color w:val="77328A"/>
          <w:sz w:val="16"/>
          <w:szCs w:val="16"/>
        </w:rPr>
      </w:pPr>
      <w:r w:rsidRPr="007A3FFE">
        <w:rPr>
          <w:rStyle w:val="FootnoteReference"/>
          <w:rFonts w:ascii="Verdana" w:hAnsi="Verdana"/>
          <w:color w:val="77328A"/>
          <w:sz w:val="16"/>
          <w:szCs w:val="16"/>
        </w:rPr>
        <w:footnoteRef/>
      </w:r>
      <w:r w:rsidRPr="007A3FFE">
        <w:rPr>
          <w:rFonts w:ascii="Verdana" w:hAnsi="Verdana"/>
          <w:color w:val="77328A"/>
          <w:sz w:val="16"/>
          <w:szCs w:val="16"/>
        </w:rPr>
        <w:t xml:space="preserve"> See </w:t>
      </w:r>
      <w:r w:rsidR="000A7174" w:rsidRPr="007A3FFE">
        <w:rPr>
          <w:rFonts w:ascii="Verdana" w:hAnsi="Verdana"/>
          <w:i/>
          <w:iCs/>
          <w:color w:val="77328A"/>
          <w:sz w:val="16"/>
          <w:szCs w:val="16"/>
        </w:rPr>
        <w:t xml:space="preserve">Angesom's (Aman) Application and </w:t>
      </w:r>
      <w:r w:rsidR="008A7AEE" w:rsidRPr="007A3FFE">
        <w:rPr>
          <w:rFonts w:ascii="Verdana" w:hAnsi="Verdana"/>
          <w:i/>
          <w:iCs/>
          <w:color w:val="77328A"/>
          <w:sz w:val="16"/>
          <w:szCs w:val="16"/>
        </w:rPr>
        <w:t>in</w:t>
      </w:r>
      <w:r w:rsidR="000A7174" w:rsidRPr="007A3FFE">
        <w:rPr>
          <w:rFonts w:ascii="Verdana" w:hAnsi="Verdana"/>
          <w:i/>
          <w:iCs/>
          <w:color w:val="77328A"/>
          <w:sz w:val="16"/>
          <w:szCs w:val="16"/>
        </w:rPr>
        <w:t xml:space="preserve"> the matter of a decision by the Secretary of State for the Home Department and the Human Rights Commission and the Equality Commission Intervening</w:t>
      </w:r>
      <w:r w:rsidR="007F3FA7" w:rsidRPr="007A3FFE">
        <w:rPr>
          <w:rFonts w:ascii="Verdana" w:hAnsi="Verdana"/>
          <w:color w:val="77328A"/>
          <w:sz w:val="16"/>
          <w:szCs w:val="16"/>
        </w:rPr>
        <w:t xml:space="preserve"> </w:t>
      </w:r>
      <w:r w:rsidR="000A7174" w:rsidRPr="007A3FFE">
        <w:rPr>
          <w:rFonts w:ascii="Verdana" w:hAnsi="Verdana"/>
          <w:color w:val="77328A"/>
          <w:sz w:val="16"/>
          <w:szCs w:val="16"/>
        </w:rPr>
        <w:t>[2023] NIKB 102</w:t>
      </w:r>
      <w:r w:rsidR="00EA748E" w:rsidRPr="007A3FFE">
        <w:rPr>
          <w:rFonts w:ascii="Verdana" w:hAnsi="Verdana"/>
          <w:color w:val="77328A"/>
          <w:sz w:val="16"/>
          <w:szCs w:val="16"/>
        </w:rPr>
        <w:t xml:space="preserve">; and </w:t>
      </w:r>
      <w:r w:rsidR="00EA748E" w:rsidRPr="007A3FFE">
        <w:rPr>
          <w:rFonts w:ascii="Verdana" w:hAnsi="Verdana"/>
          <w:i/>
          <w:iCs/>
          <w:color w:val="77328A"/>
          <w:sz w:val="16"/>
          <w:szCs w:val="16"/>
        </w:rPr>
        <w:t>Secretary of State for Work and Pensions</w:t>
      </w:r>
      <w:r w:rsidR="00124EC7" w:rsidRPr="007A3FFE">
        <w:rPr>
          <w:rFonts w:ascii="Verdana" w:hAnsi="Verdana"/>
          <w:i/>
          <w:iCs/>
          <w:color w:val="77328A"/>
          <w:sz w:val="16"/>
          <w:szCs w:val="16"/>
        </w:rPr>
        <w:t xml:space="preserve"> </w:t>
      </w:r>
      <w:r w:rsidR="00EA748E" w:rsidRPr="007A3FFE">
        <w:rPr>
          <w:rFonts w:ascii="Verdana" w:hAnsi="Verdana"/>
          <w:i/>
          <w:iCs/>
          <w:color w:val="77328A"/>
          <w:sz w:val="16"/>
          <w:szCs w:val="16"/>
        </w:rPr>
        <w:t>and</w:t>
      </w:r>
      <w:r w:rsidR="00124EC7" w:rsidRPr="007A3FFE">
        <w:rPr>
          <w:rFonts w:ascii="Verdana" w:hAnsi="Verdana"/>
          <w:i/>
          <w:iCs/>
          <w:color w:val="77328A"/>
          <w:sz w:val="16"/>
          <w:szCs w:val="16"/>
        </w:rPr>
        <w:t xml:space="preserve"> </w:t>
      </w:r>
      <w:r w:rsidR="00EA748E" w:rsidRPr="007A3FFE">
        <w:rPr>
          <w:rFonts w:ascii="Verdana" w:hAnsi="Verdana"/>
          <w:i/>
          <w:iCs/>
          <w:color w:val="77328A"/>
          <w:sz w:val="16"/>
          <w:szCs w:val="16"/>
        </w:rPr>
        <w:t>AT</w:t>
      </w:r>
      <w:r w:rsidR="00124EC7" w:rsidRPr="007A3FFE">
        <w:rPr>
          <w:rFonts w:ascii="Verdana" w:hAnsi="Verdana"/>
          <w:i/>
          <w:iCs/>
          <w:color w:val="77328A"/>
          <w:sz w:val="16"/>
          <w:szCs w:val="16"/>
        </w:rPr>
        <w:t xml:space="preserve"> and </w:t>
      </w:r>
      <w:r w:rsidR="00EA748E" w:rsidRPr="007A3FFE">
        <w:rPr>
          <w:rFonts w:ascii="Verdana" w:hAnsi="Verdana"/>
          <w:i/>
          <w:iCs/>
          <w:color w:val="77328A"/>
          <w:sz w:val="16"/>
          <w:szCs w:val="16"/>
        </w:rPr>
        <w:t>Advice on Individual Rights in Europe (AIRE) Centre</w:t>
      </w:r>
    </w:p>
    <w:p w14:paraId="5DF1D9F4" w14:textId="5D14BB24" w:rsidR="00037775" w:rsidRPr="007A3FFE" w:rsidRDefault="00124EC7" w:rsidP="00EA748E">
      <w:pPr>
        <w:pStyle w:val="FootnoteText"/>
        <w:rPr>
          <w:rFonts w:ascii="Verdana" w:hAnsi="Verdana"/>
          <w:color w:val="77328A"/>
          <w:sz w:val="16"/>
          <w:szCs w:val="16"/>
        </w:rPr>
      </w:pPr>
      <w:r w:rsidRPr="007A3FFE">
        <w:rPr>
          <w:rFonts w:ascii="Verdana" w:hAnsi="Verdana"/>
          <w:i/>
          <w:iCs/>
          <w:color w:val="77328A"/>
          <w:sz w:val="16"/>
          <w:szCs w:val="16"/>
        </w:rPr>
        <w:t>and</w:t>
      </w:r>
      <w:r w:rsidR="00EA748E" w:rsidRPr="007A3FFE">
        <w:rPr>
          <w:rFonts w:ascii="Verdana" w:hAnsi="Verdana"/>
          <w:i/>
          <w:iCs/>
          <w:color w:val="77328A"/>
          <w:sz w:val="16"/>
          <w:szCs w:val="16"/>
        </w:rPr>
        <w:t xml:space="preserve"> Independent Monitoring Authority for the Citizens' Rights Agreements</w:t>
      </w:r>
      <w:r w:rsidRPr="007A3FFE">
        <w:rPr>
          <w:rFonts w:ascii="Verdana" w:hAnsi="Verdana"/>
          <w:i/>
          <w:iCs/>
          <w:color w:val="77328A"/>
          <w:sz w:val="16"/>
          <w:szCs w:val="16"/>
        </w:rPr>
        <w:t xml:space="preserve"> intervening</w:t>
      </w:r>
      <w:r w:rsidRPr="007A3FFE">
        <w:rPr>
          <w:rFonts w:ascii="Verdana" w:hAnsi="Verdana"/>
          <w:color w:val="77328A"/>
          <w:sz w:val="16"/>
          <w:szCs w:val="16"/>
        </w:rPr>
        <w:t xml:space="preserve"> [202</w:t>
      </w:r>
      <w:r w:rsidR="00E64D4E" w:rsidRPr="007A3FFE">
        <w:rPr>
          <w:rFonts w:ascii="Verdana" w:hAnsi="Verdana"/>
          <w:color w:val="77328A"/>
          <w:sz w:val="16"/>
          <w:szCs w:val="16"/>
        </w:rPr>
        <w:t xml:space="preserve">2] UKUT 330 (ACC). </w:t>
      </w:r>
    </w:p>
  </w:footnote>
  <w:footnote w:id="29">
    <w:p w14:paraId="37AB09BE" w14:textId="77777777" w:rsidR="00891869" w:rsidRPr="00F328EF" w:rsidRDefault="00891869" w:rsidP="00891869">
      <w:pPr>
        <w:pStyle w:val="FootnoteText"/>
        <w:rPr>
          <w:rFonts w:ascii="Verdana" w:hAnsi="Verdana"/>
          <w:color w:val="77328A"/>
          <w:sz w:val="16"/>
          <w:szCs w:val="16"/>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Article 8(2), EU Charter of Fundamental Rights 2009.</w:t>
      </w:r>
    </w:p>
  </w:footnote>
  <w:footnote w:id="30">
    <w:p w14:paraId="5B0CE28D" w14:textId="78CF3C42" w:rsidR="00BD67D5" w:rsidRPr="00F328EF" w:rsidRDefault="00BD67D5" w:rsidP="00BD67D5">
      <w:pPr>
        <w:pStyle w:val="FootnoteText"/>
        <w:rPr>
          <w:rFonts w:ascii="Verdana" w:hAnsi="Verdana"/>
          <w:color w:val="77328A"/>
          <w:sz w:val="16"/>
          <w:szCs w:val="16"/>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w:t>
      </w:r>
      <w:bookmarkStart w:id="10" w:name="_Hlk150175395"/>
      <w:r w:rsidRPr="00F328EF">
        <w:rPr>
          <w:rFonts w:ascii="Verdana" w:hAnsi="Verdana"/>
          <w:color w:val="77328A"/>
          <w:sz w:val="16"/>
          <w:szCs w:val="16"/>
        </w:rPr>
        <w:t xml:space="preserve">Regulation 2016/679/EU, ‘Regulation of the of the European Parliament and of the Council on the protection of natural persons with regard to the processing of personal data and on the free movement of such data’, 27 April 2016. </w:t>
      </w:r>
      <w:bookmarkEnd w:id="10"/>
    </w:p>
  </w:footnote>
  <w:footnote w:id="31">
    <w:p w14:paraId="51EF94A0" w14:textId="77777777" w:rsidR="00B93481" w:rsidRPr="00F328EF" w:rsidRDefault="00B93481" w:rsidP="00B93481">
      <w:pPr>
        <w:pStyle w:val="FootnoteText"/>
        <w:rPr>
          <w:color w:val="77328A"/>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Recital 1, Regulation 2016/679/EU, ‘Regulation of the European Parliament and Council on the protection of natural persons with regard to the processing of personal data and on the free movement of such data’, 27 April 2016.</w:t>
      </w:r>
    </w:p>
  </w:footnote>
  <w:footnote w:id="32">
    <w:p w14:paraId="185C1151" w14:textId="4147B07B" w:rsidR="00BD67D5" w:rsidRPr="0066052A" w:rsidRDefault="00BD67D5" w:rsidP="00BD67D5">
      <w:pPr>
        <w:pStyle w:val="FootnoteText"/>
        <w:rPr>
          <w:rFonts w:ascii="Verdana" w:hAnsi="Verdana"/>
          <w:color w:val="77328A"/>
          <w:sz w:val="16"/>
          <w:szCs w:val="16"/>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Recital 39, Regulation 2016/679/EU, ‘Regulation of the of the European Parliament and of the Council on the protection of natural persons with regard to the processing of personal data and on the free movement of such data’, 27 April 2016.</w:t>
      </w:r>
    </w:p>
  </w:footnote>
  <w:footnote w:id="33">
    <w:p w14:paraId="498CC2B9" w14:textId="77777777" w:rsidR="00440068" w:rsidRPr="009B13F7" w:rsidRDefault="00440068" w:rsidP="00440068">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Section 3(10), Data Protection Act 2018.</w:t>
      </w:r>
    </w:p>
  </w:footnote>
  <w:footnote w:id="34">
    <w:p w14:paraId="38170913" w14:textId="77777777" w:rsidR="00440068" w:rsidRPr="009B13F7" w:rsidRDefault="00440068" w:rsidP="00440068">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Data Protection, Privacy and Electronic Communications (Amendments, etc) (EU Exit) Regulations 2019 (SI 2019/419).</w:t>
      </w:r>
    </w:p>
  </w:footnote>
  <w:footnote w:id="35">
    <w:p w14:paraId="66C3FDE2" w14:textId="77777777" w:rsidR="00440068" w:rsidRPr="009B13F7" w:rsidRDefault="00440068" w:rsidP="00440068">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w:t>
      </w:r>
      <w:r w:rsidRPr="009B13F7">
        <w:rPr>
          <w:rFonts w:ascii="Verdana" w:hAnsi="Verdana"/>
          <w:i/>
          <w:iCs/>
          <w:color w:val="77328A"/>
          <w:sz w:val="16"/>
          <w:szCs w:val="16"/>
        </w:rPr>
        <w:t>The3million &amp; Open Rights Group v Secretary of State for the Home Department</w:t>
      </w:r>
      <w:r w:rsidRPr="009B13F7">
        <w:rPr>
          <w:rFonts w:ascii="Verdana" w:hAnsi="Verdana"/>
          <w:color w:val="77328A"/>
          <w:sz w:val="16"/>
          <w:szCs w:val="16"/>
        </w:rPr>
        <w:t xml:space="preserve"> [2023] EWHC 713 (Admin), at para 9. </w:t>
      </w:r>
    </w:p>
  </w:footnote>
  <w:footnote w:id="36">
    <w:p w14:paraId="2D4E0C11" w14:textId="77777777" w:rsidR="005838C3" w:rsidRPr="009B13F7" w:rsidRDefault="005838C3" w:rsidP="005838C3">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NI Human Rights Commission and Equality Commission for NI, ‘Working Paper: The Scope of Article 2(1) of the Ireland/Northern Ireland Protocol’ (NIHRC and ECNI, 2022), at 55 and at 61. </w:t>
      </w:r>
    </w:p>
  </w:footnote>
  <w:footnote w:id="37">
    <w:p w14:paraId="55C8BE77" w14:textId="77777777" w:rsidR="00B93481" w:rsidRPr="00EB2755" w:rsidRDefault="00B93481" w:rsidP="00B93481">
      <w:pPr>
        <w:pStyle w:val="FootnoteText"/>
        <w:rPr>
          <w:rFonts w:ascii="Verdana" w:hAnsi="Verdana"/>
          <w:color w:val="77328A"/>
          <w:sz w:val="16"/>
          <w:szCs w:val="16"/>
        </w:rPr>
      </w:pPr>
      <w:r w:rsidRPr="00EB2755">
        <w:rPr>
          <w:rStyle w:val="FootnoteReference"/>
          <w:rFonts w:ascii="Verdana" w:hAnsi="Verdana"/>
          <w:color w:val="77328A"/>
          <w:sz w:val="16"/>
          <w:szCs w:val="16"/>
        </w:rPr>
        <w:footnoteRef/>
      </w:r>
      <w:r w:rsidRPr="00EB2755">
        <w:rPr>
          <w:rFonts w:ascii="Verdana" w:hAnsi="Verdana"/>
          <w:color w:val="77328A"/>
          <w:sz w:val="16"/>
          <w:szCs w:val="16"/>
        </w:rPr>
        <w:t xml:space="preserve"> Directive 2016/680/EU, ‘Regulation of the of the European Parliament and of the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w:t>
      </w:r>
    </w:p>
  </w:footnote>
  <w:footnote w:id="38">
    <w:p w14:paraId="113FC40F" w14:textId="77777777" w:rsidR="00B93481" w:rsidRPr="00EB2755" w:rsidRDefault="00B93481" w:rsidP="00B93481">
      <w:pPr>
        <w:pStyle w:val="FootnoteText"/>
        <w:rPr>
          <w:rFonts w:ascii="Verdana" w:hAnsi="Verdana"/>
          <w:color w:val="77328A"/>
          <w:sz w:val="16"/>
          <w:szCs w:val="16"/>
        </w:rPr>
      </w:pPr>
      <w:r w:rsidRPr="00EB2755">
        <w:rPr>
          <w:rStyle w:val="FootnoteReference"/>
          <w:rFonts w:ascii="Verdana" w:hAnsi="Verdana"/>
          <w:color w:val="77328A"/>
          <w:sz w:val="16"/>
          <w:szCs w:val="16"/>
        </w:rPr>
        <w:footnoteRef/>
      </w:r>
      <w:r w:rsidRPr="00EB2755">
        <w:rPr>
          <w:rFonts w:ascii="Verdana" w:hAnsi="Verdana"/>
          <w:color w:val="77328A"/>
          <w:sz w:val="16"/>
          <w:szCs w:val="16"/>
        </w:rPr>
        <w:t xml:space="preserve"> </w:t>
      </w:r>
      <w:bookmarkStart w:id="11" w:name="_Hlk152677597"/>
      <w:r w:rsidRPr="00EB2755">
        <w:fldChar w:fldCharType="begin"/>
      </w:r>
      <w:r w:rsidRPr="00EB2755">
        <w:rPr>
          <w:rFonts w:ascii="Verdana" w:hAnsi="Verdana"/>
          <w:color w:val="77328A"/>
          <w:sz w:val="16"/>
          <w:szCs w:val="16"/>
        </w:rPr>
        <w:instrText>HYPERLINK "https://eur-lex.europa.eu/LexUriServ/LexUriServ.do?uri=OJ:L:2009:337:0011:0036:en:PDF"</w:instrText>
      </w:r>
      <w:r w:rsidRPr="00EB2755">
        <w:fldChar w:fldCharType="separate"/>
      </w:r>
      <w:r w:rsidRPr="00EB2755">
        <w:rPr>
          <w:rStyle w:val="Hyperlink"/>
          <w:rFonts w:ascii="Verdana" w:hAnsi="Verdana"/>
          <w:color w:val="77328A"/>
          <w:sz w:val="16"/>
          <w:szCs w:val="16"/>
          <w:u w:val="none"/>
        </w:rPr>
        <w:t>Directive 2009/136/EC</w:t>
      </w:r>
      <w:r w:rsidRPr="00EB2755">
        <w:rPr>
          <w:rStyle w:val="Hyperlink"/>
          <w:rFonts w:ascii="Verdana" w:hAnsi="Verdana"/>
          <w:color w:val="77328A"/>
          <w:sz w:val="16"/>
          <w:szCs w:val="16"/>
          <w:u w:val="none"/>
        </w:rPr>
        <w:fldChar w:fldCharType="end"/>
      </w:r>
      <w:r w:rsidRPr="00EB2755">
        <w:rPr>
          <w:rStyle w:val="Hyperlink"/>
          <w:rFonts w:ascii="Verdana" w:hAnsi="Verdana"/>
          <w:color w:val="77328A"/>
          <w:sz w:val="16"/>
          <w:szCs w:val="16"/>
          <w:u w:val="none"/>
        </w:rPr>
        <w:t>, ‘Directive</w:t>
      </w:r>
      <w:r w:rsidRPr="00EB2755">
        <w:rPr>
          <w:rFonts w:ascii="Verdana" w:hAnsi="Verdana"/>
          <w:color w:val="77328A"/>
          <w:sz w:val="16"/>
          <w:szCs w:val="16"/>
        </w:rPr>
        <w:t xml:space="preserve"> of the European Parliament and of the Council amending Directive 2002/22/EC on universal service and users’ rights relating to electronic communications networks and services, Directive 2002/58/EC concerning the processing of personal data and the protection of privacy in the electronic communications sector and Regulation (EC) 2006/2004 on cooperation between national authorities responsible for the enforcement of consumer protection laws’, 25 November 2009.</w:t>
      </w:r>
    </w:p>
    <w:bookmarkEnd w:id="11"/>
  </w:footnote>
  <w:footnote w:id="39">
    <w:p w14:paraId="56512B58" w14:textId="77777777" w:rsidR="00B93481" w:rsidRPr="00EB2755" w:rsidRDefault="00B93481" w:rsidP="00B93481">
      <w:pPr>
        <w:pStyle w:val="FootnoteText"/>
        <w:rPr>
          <w:rFonts w:ascii="Verdana" w:hAnsi="Verdana"/>
          <w:color w:val="77328A"/>
          <w:sz w:val="16"/>
          <w:szCs w:val="16"/>
        </w:rPr>
      </w:pPr>
      <w:r w:rsidRPr="00EB2755">
        <w:rPr>
          <w:rStyle w:val="FootnoteReference"/>
          <w:rFonts w:ascii="Verdana" w:hAnsi="Verdana"/>
          <w:color w:val="77328A"/>
          <w:sz w:val="16"/>
          <w:szCs w:val="16"/>
        </w:rPr>
        <w:footnoteRef/>
      </w:r>
      <w:r w:rsidRPr="00EB2755">
        <w:rPr>
          <w:rFonts w:ascii="Verdana" w:hAnsi="Verdana"/>
          <w:color w:val="77328A"/>
          <w:sz w:val="16"/>
          <w:szCs w:val="16"/>
        </w:rPr>
        <w:t xml:space="preserve"> Regulation 2018/1725/EU, ‘Regulation of the of the European Parliament and of the Council on the protection of natural persons with regard to the processing of personal data by the Union institutions, bodies, offices and agencies and on the free movement of such data’, 23 October 2018.</w:t>
      </w:r>
    </w:p>
  </w:footnote>
  <w:footnote w:id="40">
    <w:p w14:paraId="20B7FD6A" w14:textId="70E4A3E4" w:rsidR="00EE5493" w:rsidRPr="00EE5493" w:rsidRDefault="00EE5493">
      <w:pPr>
        <w:pStyle w:val="FootnoteText"/>
        <w:rPr>
          <w:rFonts w:ascii="Verdana" w:hAnsi="Verdana"/>
          <w:color w:val="77328A"/>
          <w:sz w:val="16"/>
          <w:szCs w:val="16"/>
        </w:rPr>
      </w:pPr>
      <w:r w:rsidRPr="00EB2755">
        <w:rPr>
          <w:rStyle w:val="FootnoteReference"/>
          <w:rFonts w:ascii="Verdana" w:hAnsi="Verdana"/>
          <w:color w:val="77328A"/>
          <w:sz w:val="16"/>
          <w:szCs w:val="16"/>
        </w:rPr>
        <w:footnoteRef/>
      </w:r>
      <w:r w:rsidRPr="00EB2755">
        <w:rPr>
          <w:rFonts w:ascii="Verdana" w:hAnsi="Verdana"/>
          <w:color w:val="77328A"/>
          <w:sz w:val="16"/>
          <w:szCs w:val="16"/>
        </w:rPr>
        <w:t xml:space="preserve"> Recital 51, Directive 2009/136/EC, ‘Directive of the European Parliament and of the Council amending Directive 2002/22/EC on universal service and users’ rights relating to electronic communications networks and services, Directive 2002/58/EC concerning the processing of personal data and the protection of privacy in the electronic communications sector and Regulation (EC) 2006/2004 on cooperation between national authorities responsible for the enforcement of consumer protection laws’, 25 November 2009.</w:t>
      </w:r>
    </w:p>
  </w:footnote>
  <w:footnote w:id="41">
    <w:p w14:paraId="4C40FE21" w14:textId="77777777" w:rsidR="00D16076" w:rsidRPr="004C066F" w:rsidRDefault="00D16076" w:rsidP="00D16076">
      <w:pPr>
        <w:pStyle w:val="FootnoteText"/>
        <w:rPr>
          <w:rFonts w:ascii="Verdana" w:hAnsi="Verdana"/>
          <w:color w:val="77328A"/>
          <w:sz w:val="16"/>
          <w:szCs w:val="16"/>
        </w:rPr>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Department of Science, Innovation and Technology. ‘Data (Use and Access) Bill factsheet: growing the economy’ (DSIT, 2024).</w:t>
      </w:r>
    </w:p>
  </w:footnote>
  <w:footnote w:id="42">
    <w:p w14:paraId="746213EC" w14:textId="2D568066" w:rsidR="00D16076" w:rsidRPr="004C066F" w:rsidRDefault="00D16076" w:rsidP="00D16076">
      <w:pPr>
        <w:pStyle w:val="FootnoteText"/>
        <w:rPr>
          <w:rFonts w:ascii="Verdana" w:hAnsi="Verdana"/>
          <w:color w:val="77328A"/>
          <w:sz w:val="16"/>
          <w:szCs w:val="16"/>
        </w:rPr>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w:t>
      </w:r>
      <w:bookmarkStart w:id="15" w:name="_Hlk190355442"/>
      <w:r w:rsidR="00B869B6">
        <w:rPr>
          <w:rFonts w:ascii="Verdana" w:hAnsi="Verdana"/>
          <w:color w:val="77328A"/>
          <w:sz w:val="16"/>
          <w:szCs w:val="16"/>
        </w:rPr>
        <w:t>Ibid</w:t>
      </w:r>
      <w:r w:rsidRPr="004C066F">
        <w:rPr>
          <w:rFonts w:ascii="Verdana" w:hAnsi="Verdana"/>
          <w:color w:val="77328A"/>
          <w:sz w:val="16"/>
          <w:szCs w:val="16"/>
        </w:rPr>
        <w:t>.</w:t>
      </w:r>
      <w:bookmarkEnd w:id="15"/>
    </w:p>
  </w:footnote>
  <w:footnote w:id="43">
    <w:p w14:paraId="6FEE20A7" w14:textId="5E95FE8D" w:rsidR="00FD5233" w:rsidRPr="004C066F" w:rsidRDefault="00FD5233" w:rsidP="00FD5233">
      <w:pPr>
        <w:pStyle w:val="FootnoteText"/>
        <w:rPr>
          <w:rFonts w:ascii="Verdana" w:hAnsi="Verdana"/>
          <w:color w:val="77328A"/>
          <w:sz w:val="16"/>
          <w:szCs w:val="16"/>
        </w:rPr>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w:t>
      </w:r>
      <w:r w:rsidR="00B869B6">
        <w:rPr>
          <w:rFonts w:ascii="Verdana" w:hAnsi="Verdana"/>
          <w:color w:val="77328A"/>
          <w:sz w:val="16"/>
          <w:szCs w:val="16"/>
        </w:rPr>
        <w:t>Ibid</w:t>
      </w:r>
      <w:r w:rsidRPr="004C066F">
        <w:rPr>
          <w:rFonts w:ascii="Verdana" w:hAnsi="Verdana"/>
          <w:color w:val="77328A"/>
          <w:sz w:val="16"/>
          <w:szCs w:val="16"/>
        </w:rPr>
        <w:t xml:space="preserve">. </w:t>
      </w:r>
    </w:p>
  </w:footnote>
  <w:footnote w:id="44">
    <w:p w14:paraId="1D679796" w14:textId="2D0A56B6" w:rsidR="00FD5233" w:rsidRPr="004C066F" w:rsidRDefault="00FD5233" w:rsidP="00FD5233">
      <w:pPr>
        <w:pStyle w:val="FootnoteText"/>
        <w:rPr>
          <w:rFonts w:ascii="Verdana" w:hAnsi="Verdana"/>
          <w:color w:val="77328A"/>
          <w:sz w:val="16"/>
          <w:szCs w:val="16"/>
        </w:rPr>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w:t>
      </w:r>
      <w:r w:rsidR="00B869B6">
        <w:rPr>
          <w:rFonts w:ascii="Verdana" w:hAnsi="Verdana"/>
          <w:color w:val="77328A"/>
          <w:sz w:val="16"/>
          <w:szCs w:val="16"/>
        </w:rPr>
        <w:t>Ibid</w:t>
      </w:r>
      <w:r w:rsidRPr="004C066F">
        <w:rPr>
          <w:rFonts w:ascii="Verdana" w:hAnsi="Verdana"/>
          <w:color w:val="77328A"/>
          <w:sz w:val="16"/>
          <w:szCs w:val="16"/>
        </w:rPr>
        <w:t>.</w:t>
      </w:r>
    </w:p>
  </w:footnote>
  <w:footnote w:id="45">
    <w:p w14:paraId="2A2F2525" w14:textId="64F2B7F2" w:rsidR="00FD5233" w:rsidRPr="004C066F" w:rsidRDefault="00FD5233" w:rsidP="00FD5233">
      <w:pPr>
        <w:pStyle w:val="FootnoteText"/>
        <w:rPr>
          <w:rFonts w:ascii="Verdana" w:hAnsi="Verdana"/>
          <w:color w:val="77328A"/>
          <w:sz w:val="16"/>
          <w:szCs w:val="16"/>
        </w:rPr>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w:t>
      </w:r>
      <w:r w:rsidR="00B869B6">
        <w:rPr>
          <w:rFonts w:ascii="Verdana" w:hAnsi="Verdana"/>
          <w:color w:val="77328A"/>
          <w:sz w:val="16"/>
          <w:szCs w:val="16"/>
        </w:rPr>
        <w:t>Ibid</w:t>
      </w:r>
      <w:r w:rsidRPr="004C066F">
        <w:rPr>
          <w:rFonts w:ascii="Verdana" w:hAnsi="Verdana"/>
          <w:color w:val="77328A"/>
          <w:sz w:val="16"/>
          <w:szCs w:val="16"/>
        </w:rPr>
        <w:t xml:space="preserve">. </w:t>
      </w:r>
    </w:p>
  </w:footnote>
  <w:footnote w:id="46">
    <w:p w14:paraId="6DB0B323" w14:textId="1551DA40" w:rsidR="00FD5233" w:rsidRPr="004C066F" w:rsidRDefault="00FD5233" w:rsidP="00FD5233">
      <w:pPr>
        <w:pStyle w:val="FootnoteText"/>
        <w:rPr>
          <w:rFonts w:ascii="Verdana" w:hAnsi="Verdana"/>
          <w:color w:val="77328A"/>
          <w:sz w:val="16"/>
          <w:szCs w:val="16"/>
        </w:rPr>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w:t>
      </w:r>
      <w:r w:rsidR="00B869B6">
        <w:rPr>
          <w:rFonts w:ascii="Verdana" w:hAnsi="Verdana"/>
          <w:color w:val="77328A"/>
          <w:sz w:val="16"/>
          <w:szCs w:val="16"/>
        </w:rPr>
        <w:t>Ibid</w:t>
      </w:r>
      <w:r w:rsidRPr="004C066F">
        <w:rPr>
          <w:rFonts w:ascii="Verdana" w:hAnsi="Verdana"/>
          <w:color w:val="77328A"/>
          <w:sz w:val="16"/>
          <w:szCs w:val="16"/>
        </w:rPr>
        <w:t>.</w:t>
      </w:r>
    </w:p>
  </w:footnote>
  <w:footnote w:id="47">
    <w:p w14:paraId="2ED5367C" w14:textId="609DB04F" w:rsidR="00FD5233" w:rsidRDefault="00FD5233" w:rsidP="00FD5233">
      <w:pPr>
        <w:pStyle w:val="FootnoteText"/>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w:t>
      </w:r>
      <w:r w:rsidR="00B869B6">
        <w:rPr>
          <w:rFonts w:ascii="Verdana" w:hAnsi="Verdana"/>
          <w:color w:val="77328A"/>
          <w:sz w:val="16"/>
          <w:szCs w:val="16"/>
        </w:rPr>
        <w:t>Ibid</w:t>
      </w:r>
      <w:r w:rsidR="00B869B6" w:rsidRPr="004C066F">
        <w:rPr>
          <w:rFonts w:ascii="Verdana" w:hAnsi="Verdana"/>
          <w:color w:val="77328A"/>
          <w:sz w:val="16"/>
          <w:szCs w:val="16"/>
        </w:rPr>
        <w:t>.</w:t>
      </w:r>
    </w:p>
  </w:footnote>
  <w:footnote w:id="48">
    <w:p w14:paraId="4497F4C2" w14:textId="338B64B8" w:rsidR="00FD5233" w:rsidRPr="004C066F" w:rsidRDefault="00FD5233" w:rsidP="00FD5233">
      <w:pPr>
        <w:pStyle w:val="FootnoteText"/>
        <w:rPr>
          <w:rFonts w:ascii="Verdana" w:hAnsi="Verdana"/>
          <w:sz w:val="16"/>
          <w:szCs w:val="16"/>
        </w:rPr>
      </w:pPr>
      <w:r w:rsidRPr="004C066F">
        <w:rPr>
          <w:rStyle w:val="FootnoteReference"/>
          <w:rFonts w:ascii="Verdana" w:hAnsi="Verdana"/>
          <w:color w:val="77328A"/>
          <w:sz w:val="16"/>
          <w:szCs w:val="16"/>
        </w:rPr>
        <w:footnoteRef/>
      </w:r>
      <w:r w:rsidRPr="004C066F">
        <w:rPr>
          <w:rFonts w:ascii="Verdana" w:hAnsi="Verdana"/>
          <w:color w:val="77328A"/>
          <w:sz w:val="16"/>
          <w:szCs w:val="16"/>
        </w:rPr>
        <w:t xml:space="preserve"> </w:t>
      </w:r>
      <w:r w:rsidR="00B869B6">
        <w:rPr>
          <w:rFonts w:ascii="Verdana" w:hAnsi="Verdana"/>
          <w:color w:val="77328A"/>
          <w:sz w:val="16"/>
          <w:szCs w:val="16"/>
        </w:rPr>
        <w:t>Ibid</w:t>
      </w:r>
      <w:r w:rsidR="00B869B6" w:rsidRPr="004C066F">
        <w:rPr>
          <w:rFonts w:ascii="Verdana" w:hAnsi="Verdana"/>
          <w:color w:val="77328A"/>
          <w:sz w:val="16"/>
          <w:szCs w:val="16"/>
        </w:rPr>
        <w:t>.</w:t>
      </w:r>
    </w:p>
  </w:footnote>
  <w:footnote w:id="49">
    <w:p w14:paraId="7C657F34" w14:textId="72E054BE" w:rsidR="00AA5533" w:rsidRPr="0042491F" w:rsidRDefault="00AA5533">
      <w:pPr>
        <w:pStyle w:val="FootnoteText"/>
        <w:rPr>
          <w:rFonts w:ascii="Verdana" w:hAnsi="Verdana"/>
          <w:color w:val="77328A"/>
          <w:sz w:val="16"/>
          <w:szCs w:val="16"/>
        </w:rPr>
      </w:pPr>
      <w:r w:rsidRPr="0042491F">
        <w:rPr>
          <w:rStyle w:val="FootnoteReference"/>
          <w:rFonts w:ascii="Verdana" w:hAnsi="Verdana"/>
          <w:color w:val="77328A"/>
          <w:sz w:val="16"/>
          <w:szCs w:val="16"/>
        </w:rPr>
        <w:footnoteRef/>
      </w:r>
      <w:r w:rsidRPr="0042491F">
        <w:rPr>
          <w:rFonts w:ascii="Verdana" w:hAnsi="Verdana"/>
          <w:color w:val="77328A"/>
          <w:sz w:val="16"/>
          <w:szCs w:val="16"/>
        </w:rPr>
        <w:t xml:space="preserve"> </w:t>
      </w:r>
      <w:r w:rsidR="00330440" w:rsidRPr="0042491F">
        <w:rPr>
          <w:rFonts w:ascii="Verdana" w:hAnsi="Verdana"/>
          <w:color w:val="77328A"/>
          <w:sz w:val="16"/>
          <w:szCs w:val="16"/>
        </w:rPr>
        <w:t xml:space="preserve">Clause </w:t>
      </w:r>
      <w:r w:rsidR="004E0CDB">
        <w:rPr>
          <w:rFonts w:ascii="Verdana" w:hAnsi="Verdana"/>
          <w:color w:val="77328A"/>
          <w:sz w:val="16"/>
          <w:szCs w:val="16"/>
        </w:rPr>
        <w:t>67</w:t>
      </w:r>
      <w:r w:rsidR="00330440" w:rsidRPr="0042491F">
        <w:rPr>
          <w:rFonts w:ascii="Verdana" w:hAnsi="Verdana"/>
          <w:color w:val="77328A"/>
          <w:sz w:val="16"/>
          <w:szCs w:val="16"/>
        </w:rPr>
        <w:t xml:space="preserve"> (Meaning of </w:t>
      </w:r>
      <w:r w:rsidR="00281C94" w:rsidRPr="0042491F">
        <w:rPr>
          <w:rFonts w:ascii="Verdana" w:hAnsi="Verdana"/>
          <w:color w:val="77328A"/>
          <w:sz w:val="16"/>
          <w:szCs w:val="16"/>
        </w:rPr>
        <w:t xml:space="preserve">research and statistical purposes), </w:t>
      </w:r>
      <w:r w:rsidR="00281C94" w:rsidRPr="0042491F" w:rsidDel="004E0CDB">
        <w:rPr>
          <w:rFonts w:ascii="Verdana" w:hAnsi="Verdana"/>
          <w:color w:val="77328A"/>
          <w:sz w:val="16"/>
          <w:szCs w:val="16"/>
        </w:rPr>
        <w:t xml:space="preserve">Data </w:t>
      </w:r>
      <w:r w:rsidR="004E0CDB">
        <w:rPr>
          <w:rFonts w:ascii="Verdana" w:hAnsi="Verdana"/>
          <w:color w:val="77328A"/>
          <w:sz w:val="16"/>
          <w:szCs w:val="16"/>
        </w:rPr>
        <w:t>(Use and Access) Bill [HL].</w:t>
      </w:r>
      <w:r w:rsidR="00281C94" w:rsidRPr="0042491F">
        <w:rPr>
          <w:rFonts w:ascii="Verdana" w:hAnsi="Verdana"/>
          <w:color w:val="77328A"/>
          <w:sz w:val="16"/>
          <w:szCs w:val="16"/>
        </w:rPr>
        <w:t xml:space="preserve"> </w:t>
      </w:r>
    </w:p>
  </w:footnote>
  <w:footnote w:id="50">
    <w:p w14:paraId="3370CF8B" w14:textId="52C940D1" w:rsidR="00281C94" w:rsidRPr="0042491F" w:rsidRDefault="00281C94">
      <w:pPr>
        <w:pStyle w:val="FootnoteText"/>
        <w:rPr>
          <w:rFonts w:ascii="Verdana" w:hAnsi="Verdana"/>
          <w:color w:val="77328A"/>
          <w:sz w:val="16"/>
          <w:szCs w:val="16"/>
        </w:rPr>
      </w:pPr>
      <w:r w:rsidRPr="0042491F">
        <w:rPr>
          <w:rStyle w:val="FootnoteReference"/>
          <w:rFonts w:ascii="Verdana" w:hAnsi="Verdana"/>
          <w:color w:val="77328A"/>
          <w:sz w:val="16"/>
          <w:szCs w:val="16"/>
        </w:rPr>
        <w:footnoteRef/>
      </w:r>
      <w:r w:rsidRPr="0042491F">
        <w:rPr>
          <w:rFonts w:ascii="Verdana" w:hAnsi="Verdana"/>
          <w:color w:val="77328A"/>
          <w:sz w:val="16"/>
          <w:szCs w:val="16"/>
        </w:rPr>
        <w:t xml:space="preserve"> </w:t>
      </w:r>
      <w:bookmarkStart w:id="17" w:name="_Hlk152679679"/>
      <w:r w:rsidR="007D4516" w:rsidRPr="0042491F">
        <w:rPr>
          <w:rFonts w:ascii="Verdana" w:hAnsi="Verdana"/>
          <w:color w:val="77328A"/>
          <w:sz w:val="16"/>
          <w:szCs w:val="16"/>
        </w:rPr>
        <w:t xml:space="preserve">Clause </w:t>
      </w:r>
      <w:r w:rsidR="00F547E6">
        <w:rPr>
          <w:rFonts w:ascii="Verdana" w:hAnsi="Verdana"/>
          <w:color w:val="77328A"/>
          <w:sz w:val="16"/>
          <w:szCs w:val="16"/>
        </w:rPr>
        <w:t>70</w:t>
      </w:r>
      <w:r w:rsidR="00F547E6" w:rsidRPr="0042491F">
        <w:rPr>
          <w:rFonts w:ascii="Verdana" w:hAnsi="Verdana"/>
          <w:color w:val="77328A"/>
          <w:sz w:val="16"/>
          <w:szCs w:val="16"/>
        </w:rPr>
        <w:t xml:space="preserve"> </w:t>
      </w:r>
      <w:r w:rsidR="007D4516" w:rsidRPr="0042491F">
        <w:rPr>
          <w:rFonts w:ascii="Verdana" w:hAnsi="Verdana"/>
          <w:color w:val="77328A"/>
          <w:sz w:val="16"/>
          <w:szCs w:val="16"/>
        </w:rPr>
        <w:t xml:space="preserve">(Lawfulness of processing) and Clause </w:t>
      </w:r>
      <w:r w:rsidR="00F547E6">
        <w:rPr>
          <w:rFonts w:ascii="Verdana" w:hAnsi="Verdana"/>
          <w:color w:val="77328A"/>
          <w:sz w:val="16"/>
          <w:szCs w:val="16"/>
        </w:rPr>
        <w:t>71</w:t>
      </w:r>
      <w:r w:rsidR="007D4516" w:rsidRPr="0042491F">
        <w:rPr>
          <w:rFonts w:ascii="Verdana" w:hAnsi="Verdana"/>
          <w:color w:val="77328A"/>
          <w:sz w:val="16"/>
          <w:szCs w:val="16"/>
        </w:rPr>
        <w:t xml:space="preserve"> (The purpose limitation), </w:t>
      </w:r>
      <w:r w:rsidR="00F547E6">
        <w:rPr>
          <w:rFonts w:ascii="Verdana" w:hAnsi="Verdana"/>
          <w:color w:val="77328A"/>
          <w:sz w:val="16"/>
          <w:szCs w:val="16"/>
        </w:rPr>
        <w:t>Data (Use and Access) Bill [HL].</w:t>
      </w:r>
      <w:r w:rsidR="007D4516" w:rsidRPr="0042491F">
        <w:rPr>
          <w:rFonts w:ascii="Verdana" w:hAnsi="Verdana"/>
          <w:color w:val="77328A"/>
          <w:sz w:val="16"/>
          <w:szCs w:val="16"/>
        </w:rPr>
        <w:t xml:space="preserve"> </w:t>
      </w:r>
      <w:bookmarkEnd w:id="17"/>
    </w:p>
  </w:footnote>
  <w:footnote w:id="51">
    <w:p w14:paraId="598E0F49" w14:textId="0E37D8BF" w:rsidR="00363AF5" w:rsidRDefault="00363AF5">
      <w:pPr>
        <w:pStyle w:val="FootnoteText"/>
      </w:pPr>
      <w:r w:rsidRPr="00D84D51">
        <w:rPr>
          <w:rStyle w:val="FootnoteReference"/>
          <w:rFonts w:ascii="Verdana" w:hAnsi="Verdana"/>
          <w:color w:val="77328A"/>
          <w:sz w:val="16"/>
          <w:szCs w:val="16"/>
        </w:rPr>
        <w:footnoteRef/>
      </w:r>
      <w:r w:rsidRPr="00D84D51">
        <w:rPr>
          <w:rFonts w:ascii="Verdana" w:hAnsi="Verdana"/>
          <w:color w:val="77328A"/>
          <w:sz w:val="16"/>
          <w:szCs w:val="16"/>
        </w:rPr>
        <w:t xml:space="preserve"> </w:t>
      </w:r>
      <w:r w:rsidR="00163227">
        <w:rPr>
          <w:rFonts w:ascii="Verdana" w:hAnsi="Verdana"/>
          <w:color w:val="77328A"/>
          <w:sz w:val="16"/>
          <w:szCs w:val="16"/>
        </w:rPr>
        <w:t xml:space="preserve">Clause </w:t>
      </w:r>
      <w:r w:rsidR="00E42E88">
        <w:rPr>
          <w:rFonts w:ascii="Verdana" w:hAnsi="Verdana"/>
          <w:color w:val="77328A"/>
          <w:sz w:val="16"/>
          <w:szCs w:val="16"/>
        </w:rPr>
        <w:t xml:space="preserve">83 </w:t>
      </w:r>
      <w:r w:rsidR="00163227">
        <w:rPr>
          <w:rFonts w:ascii="Verdana" w:hAnsi="Verdana"/>
          <w:color w:val="77328A"/>
          <w:sz w:val="16"/>
          <w:szCs w:val="16"/>
        </w:rPr>
        <w:t>(</w:t>
      </w:r>
      <w:r w:rsidR="00CE4E2A">
        <w:rPr>
          <w:rFonts w:ascii="Verdana" w:hAnsi="Verdana"/>
          <w:color w:val="77328A"/>
          <w:sz w:val="16"/>
          <w:szCs w:val="16"/>
        </w:rPr>
        <w:t>L</w:t>
      </w:r>
      <w:r w:rsidR="00163227">
        <w:rPr>
          <w:rFonts w:ascii="Verdana" w:hAnsi="Verdana"/>
          <w:color w:val="77328A"/>
          <w:sz w:val="16"/>
          <w:szCs w:val="16"/>
        </w:rPr>
        <w:t xml:space="preserve">aw enforcement </w:t>
      </w:r>
      <w:r w:rsidR="002B3926">
        <w:rPr>
          <w:rFonts w:ascii="Verdana" w:hAnsi="Verdana"/>
          <w:color w:val="77328A"/>
          <w:sz w:val="16"/>
          <w:szCs w:val="16"/>
        </w:rPr>
        <w:t>processing</w:t>
      </w:r>
      <w:r w:rsidR="00163227">
        <w:rPr>
          <w:rFonts w:ascii="Verdana" w:hAnsi="Verdana"/>
          <w:color w:val="77328A"/>
          <w:sz w:val="16"/>
          <w:szCs w:val="16"/>
        </w:rPr>
        <w:t xml:space="preserve"> and codes of conduct)</w:t>
      </w:r>
      <w:r w:rsidR="002B3926">
        <w:rPr>
          <w:rFonts w:ascii="Verdana" w:hAnsi="Verdana"/>
          <w:color w:val="77328A"/>
          <w:sz w:val="16"/>
          <w:szCs w:val="16"/>
        </w:rPr>
        <w:t xml:space="preserve"> </w:t>
      </w:r>
      <w:r w:rsidR="00CE4E2A">
        <w:rPr>
          <w:rFonts w:ascii="Verdana" w:hAnsi="Verdana"/>
          <w:color w:val="77328A"/>
          <w:sz w:val="16"/>
          <w:szCs w:val="16"/>
        </w:rPr>
        <w:t xml:space="preserve">and Clause </w:t>
      </w:r>
      <w:r w:rsidR="00ED1B7B">
        <w:rPr>
          <w:rFonts w:ascii="Verdana" w:hAnsi="Verdana"/>
          <w:color w:val="77328A"/>
          <w:sz w:val="16"/>
          <w:szCs w:val="16"/>
        </w:rPr>
        <w:t>88</w:t>
      </w:r>
      <w:r w:rsidR="00CE4E2A">
        <w:rPr>
          <w:rFonts w:ascii="Verdana" w:hAnsi="Verdana"/>
          <w:color w:val="77328A"/>
          <w:sz w:val="16"/>
          <w:szCs w:val="16"/>
        </w:rPr>
        <w:t xml:space="preserve"> (Joint processing by intelligence services and competent authorities), </w:t>
      </w:r>
      <w:r w:rsidR="00CE4E2A" w:rsidDel="00ED1B7B">
        <w:rPr>
          <w:rFonts w:ascii="Verdana" w:hAnsi="Verdana"/>
          <w:color w:val="77328A"/>
          <w:sz w:val="16"/>
          <w:szCs w:val="16"/>
        </w:rPr>
        <w:t xml:space="preserve">Data </w:t>
      </w:r>
      <w:r w:rsidR="00ED1B7B">
        <w:rPr>
          <w:rFonts w:ascii="Verdana" w:hAnsi="Verdana"/>
          <w:color w:val="77328A"/>
          <w:sz w:val="16"/>
          <w:szCs w:val="16"/>
        </w:rPr>
        <w:t>(Use and Access) Bill [HL]</w:t>
      </w:r>
      <w:r w:rsidR="00CE4E2A">
        <w:rPr>
          <w:rFonts w:ascii="Verdana" w:hAnsi="Verdana"/>
          <w:color w:val="77328A"/>
          <w:sz w:val="16"/>
          <w:szCs w:val="16"/>
        </w:rPr>
        <w:t xml:space="preserve">. </w:t>
      </w:r>
    </w:p>
  </w:footnote>
  <w:footnote w:id="52">
    <w:p w14:paraId="6CCDA9D6" w14:textId="2F54C2A7" w:rsidR="00026CB0" w:rsidRPr="0066052A" w:rsidRDefault="00026CB0" w:rsidP="00026CB0">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EU Commission </w:t>
      </w:r>
      <w:r w:rsidR="00E80C91" w:rsidRPr="0066052A">
        <w:rPr>
          <w:rFonts w:ascii="Verdana" w:hAnsi="Verdana"/>
          <w:color w:val="77328A"/>
          <w:sz w:val="16"/>
          <w:szCs w:val="16"/>
        </w:rPr>
        <w:t>‘</w:t>
      </w:r>
      <w:r w:rsidRPr="0066052A">
        <w:rPr>
          <w:rFonts w:ascii="Verdana" w:hAnsi="Verdana"/>
          <w:color w:val="77328A"/>
          <w:sz w:val="16"/>
          <w:szCs w:val="16"/>
        </w:rPr>
        <w:t>Press Release</w:t>
      </w:r>
      <w:r w:rsidR="00E80C91" w:rsidRPr="0066052A">
        <w:rPr>
          <w:rFonts w:ascii="Verdana" w:hAnsi="Verdana"/>
          <w:color w:val="77328A"/>
          <w:sz w:val="16"/>
          <w:szCs w:val="16"/>
        </w:rPr>
        <w:t xml:space="preserve">: </w:t>
      </w:r>
      <w:r w:rsidRPr="0066052A">
        <w:rPr>
          <w:rFonts w:ascii="Verdana" w:hAnsi="Verdana"/>
          <w:color w:val="77328A"/>
          <w:sz w:val="16"/>
          <w:szCs w:val="16"/>
        </w:rPr>
        <w:t xml:space="preserve">Data protection: Commission adopts adequacy decisions for the UK’, 28 June 2021. </w:t>
      </w:r>
    </w:p>
  </w:footnote>
  <w:footnote w:id="53">
    <w:p w14:paraId="28F9632A" w14:textId="12A6B65E" w:rsidR="00026CB0" w:rsidRPr="0066052A" w:rsidRDefault="00026CB0" w:rsidP="00026CB0">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bookmarkStart w:id="18" w:name="_Hlk147742984"/>
      <w:r w:rsidRPr="0066052A">
        <w:rPr>
          <w:rFonts w:ascii="Verdana" w:hAnsi="Verdana"/>
          <w:color w:val="77328A"/>
          <w:sz w:val="16"/>
          <w:szCs w:val="16"/>
        </w:rPr>
        <w:t>Commission Implementing Decision</w:t>
      </w:r>
      <w:bookmarkEnd w:id="18"/>
      <w:r w:rsidRPr="0066052A">
        <w:rPr>
          <w:rFonts w:ascii="Verdana" w:hAnsi="Verdana"/>
          <w:color w:val="77328A"/>
          <w:sz w:val="16"/>
          <w:szCs w:val="16"/>
        </w:rPr>
        <w:t xml:space="preserve"> </w:t>
      </w:r>
      <w:r w:rsidR="00E80C91" w:rsidRPr="0066052A">
        <w:rPr>
          <w:rFonts w:ascii="Verdana" w:hAnsi="Verdana"/>
          <w:color w:val="77328A"/>
          <w:sz w:val="16"/>
          <w:szCs w:val="16"/>
        </w:rPr>
        <w:t xml:space="preserve">(EU) 2021/1772, </w:t>
      </w:r>
      <w:r w:rsidRPr="0066052A">
        <w:rPr>
          <w:rFonts w:ascii="Verdana" w:hAnsi="Verdana"/>
          <w:color w:val="77328A"/>
          <w:sz w:val="16"/>
          <w:szCs w:val="16"/>
        </w:rPr>
        <w:t>pursuant to Regulation (EU) 2016/679 of the European Parliament and of the Council on the adequate protection of personal data by the United Kingdom</w:t>
      </w:r>
      <w:r w:rsidR="00E80C91" w:rsidRPr="0066052A">
        <w:rPr>
          <w:rFonts w:ascii="Verdana" w:hAnsi="Verdana"/>
          <w:color w:val="77328A"/>
          <w:sz w:val="16"/>
          <w:szCs w:val="16"/>
        </w:rPr>
        <w:t>, 28 June 2021</w:t>
      </w:r>
      <w:r w:rsidRPr="0066052A">
        <w:rPr>
          <w:rFonts w:ascii="Verdana" w:hAnsi="Verdana"/>
          <w:color w:val="77328A"/>
          <w:sz w:val="16"/>
          <w:szCs w:val="16"/>
        </w:rPr>
        <w:t xml:space="preserve">. </w:t>
      </w:r>
    </w:p>
  </w:footnote>
  <w:footnote w:id="54">
    <w:p w14:paraId="025E15CF" w14:textId="2A3C0730" w:rsidR="00026CB0" w:rsidRPr="0066052A" w:rsidRDefault="00026CB0" w:rsidP="00026CB0">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Commission Implementing Decision </w:t>
      </w:r>
      <w:r w:rsidR="00E80C91" w:rsidRPr="0066052A">
        <w:rPr>
          <w:rFonts w:ascii="Verdana" w:hAnsi="Verdana"/>
          <w:color w:val="77328A"/>
          <w:sz w:val="16"/>
          <w:szCs w:val="16"/>
        </w:rPr>
        <w:t xml:space="preserve">(EU) 2021/1773, </w:t>
      </w:r>
      <w:r w:rsidRPr="0066052A">
        <w:rPr>
          <w:rFonts w:ascii="Verdana" w:hAnsi="Verdana"/>
          <w:color w:val="77328A"/>
          <w:sz w:val="16"/>
          <w:szCs w:val="16"/>
        </w:rPr>
        <w:t>pursuant to Directive (EU) 2016/680 of the European Parliament and of the Council on the adequate protection of personal data by the United Kingdom</w:t>
      </w:r>
      <w:r w:rsidR="00E80C91" w:rsidRPr="0066052A">
        <w:rPr>
          <w:rFonts w:ascii="Verdana" w:hAnsi="Verdana"/>
          <w:color w:val="77328A"/>
          <w:sz w:val="16"/>
          <w:szCs w:val="16"/>
        </w:rPr>
        <w:t>, 28 June 2021</w:t>
      </w:r>
      <w:r w:rsidRPr="0066052A">
        <w:rPr>
          <w:rFonts w:ascii="Verdana" w:hAnsi="Verdana"/>
          <w:color w:val="77328A"/>
          <w:sz w:val="16"/>
          <w:szCs w:val="16"/>
        </w:rPr>
        <w:t xml:space="preserve">. </w:t>
      </w:r>
    </w:p>
  </w:footnote>
  <w:footnote w:id="55">
    <w:p w14:paraId="7E5222CF" w14:textId="5BEC7741" w:rsidR="00FB5B1E" w:rsidRPr="0066052A" w:rsidRDefault="00FB5B1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The NIHRC has commissioned several research projects that describe the </w:t>
      </w:r>
      <w:r w:rsidR="00FA219A" w:rsidRPr="0066052A">
        <w:rPr>
          <w:rFonts w:ascii="Verdana" w:hAnsi="Verdana"/>
          <w:color w:val="77328A"/>
          <w:sz w:val="16"/>
          <w:szCs w:val="16"/>
        </w:rPr>
        <w:t xml:space="preserve">challenges and complexities of shared </w:t>
      </w:r>
      <w:r w:rsidR="001C0523" w:rsidRPr="0066052A">
        <w:rPr>
          <w:rFonts w:ascii="Verdana" w:hAnsi="Verdana"/>
          <w:color w:val="77328A"/>
          <w:sz w:val="16"/>
          <w:szCs w:val="16"/>
        </w:rPr>
        <w:t xml:space="preserve">services, facilities and resources on the island of Ireland for health, justice and </w:t>
      </w:r>
      <w:r w:rsidR="00B20206" w:rsidRPr="0066052A">
        <w:rPr>
          <w:rFonts w:ascii="Verdana" w:hAnsi="Verdana"/>
          <w:color w:val="77328A"/>
          <w:sz w:val="16"/>
          <w:szCs w:val="16"/>
        </w:rPr>
        <w:t>workers’</w:t>
      </w:r>
      <w:r w:rsidR="001C0523" w:rsidRPr="0066052A">
        <w:rPr>
          <w:rFonts w:ascii="Verdana" w:hAnsi="Verdana"/>
          <w:color w:val="77328A"/>
          <w:sz w:val="16"/>
          <w:szCs w:val="16"/>
        </w:rPr>
        <w:t xml:space="preserve"> rights, among other issues, The fre</w:t>
      </w:r>
      <w:r w:rsidR="00B20206" w:rsidRPr="0066052A">
        <w:rPr>
          <w:rFonts w:ascii="Verdana" w:hAnsi="Verdana"/>
          <w:color w:val="77328A"/>
          <w:sz w:val="16"/>
          <w:szCs w:val="16"/>
        </w:rPr>
        <w:t>e</w:t>
      </w:r>
      <w:r w:rsidR="001C0523" w:rsidRPr="0066052A">
        <w:rPr>
          <w:rFonts w:ascii="Verdana" w:hAnsi="Verdana"/>
          <w:color w:val="77328A"/>
          <w:sz w:val="16"/>
          <w:szCs w:val="16"/>
        </w:rPr>
        <w:t xml:space="preserve"> flow of data is a key condition </w:t>
      </w:r>
      <w:r w:rsidR="00B20206" w:rsidRPr="0066052A">
        <w:rPr>
          <w:rFonts w:ascii="Verdana" w:hAnsi="Verdana"/>
          <w:color w:val="77328A"/>
          <w:sz w:val="16"/>
          <w:szCs w:val="16"/>
        </w:rPr>
        <w:t xml:space="preserve">underpinning the all-island aspects of life in NI. See </w:t>
      </w:r>
      <w:r w:rsidR="00824942" w:rsidRPr="0066052A">
        <w:rPr>
          <w:rFonts w:ascii="Verdana" w:hAnsi="Verdana"/>
          <w:color w:val="77328A"/>
          <w:sz w:val="16"/>
          <w:szCs w:val="16"/>
        </w:rPr>
        <w:t>NIHRC, ‘Brexit and the Implications for Justice Co-operation</w:t>
      </w:r>
      <w:r w:rsidR="00BB04E4" w:rsidRPr="0066052A">
        <w:rPr>
          <w:rFonts w:ascii="Verdana" w:hAnsi="Verdana"/>
          <w:color w:val="77328A"/>
          <w:sz w:val="16"/>
          <w:szCs w:val="16"/>
        </w:rPr>
        <w:t>’</w:t>
      </w:r>
      <w:r w:rsidR="001C0523" w:rsidRPr="0066052A">
        <w:rPr>
          <w:rFonts w:ascii="Verdana" w:hAnsi="Verdana"/>
          <w:color w:val="77328A"/>
          <w:sz w:val="16"/>
          <w:szCs w:val="16"/>
        </w:rPr>
        <w:t xml:space="preserve"> </w:t>
      </w:r>
      <w:r w:rsidR="00DD68C9" w:rsidRPr="0066052A">
        <w:rPr>
          <w:rFonts w:ascii="Verdana" w:hAnsi="Verdana"/>
          <w:color w:val="77328A"/>
          <w:sz w:val="16"/>
          <w:szCs w:val="16"/>
        </w:rPr>
        <w:t>(</w:t>
      </w:r>
      <w:r w:rsidR="00BF6958" w:rsidRPr="0066052A">
        <w:rPr>
          <w:rFonts w:ascii="Verdana" w:hAnsi="Verdana"/>
          <w:color w:val="77328A"/>
          <w:sz w:val="16"/>
          <w:szCs w:val="16"/>
        </w:rPr>
        <w:t>NIHRC, 2019); Tamara Hervey, ‘Brexit, Health and its potential impact on Article 2 of the Ireland/Northern Ireland Protocol</w:t>
      </w:r>
      <w:r w:rsidR="00BB04E4" w:rsidRPr="0066052A">
        <w:rPr>
          <w:rFonts w:ascii="Verdana" w:hAnsi="Verdana"/>
          <w:color w:val="77328A"/>
          <w:sz w:val="16"/>
          <w:szCs w:val="16"/>
        </w:rPr>
        <w:t>’</w:t>
      </w:r>
      <w:r w:rsidR="00BF6958" w:rsidRPr="0066052A">
        <w:rPr>
          <w:rFonts w:ascii="Verdana" w:hAnsi="Verdana"/>
          <w:color w:val="77328A"/>
          <w:sz w:val="16"/>
          <w:szCs w:val="16"/>
        </w:rPr>
        <w:t xml:space="preserve"> (NIHRC, 2022); </w:t>
      </w:r>
      <w:r w:rsidR="00327FC3" w:rsidRPr="0066052A">
        <w:rPr>
          <w:rFonts w:ascii="Verdana" w:hAnsi="Verdana"/>
          <w:color w:val="77328A"/>
          <w:sz w:val="16"/>
          <w:szCs w:val="16"/>
        </w:rPr>
        <w:t xml:space="preserve">Sylvia de Mars and Charolotte O’Brien, ‘Frontier workers and their Families: Rights after Brexit’ (NIHRC, 2023). </w:t>
      </w:r>
    </w:p>
  </w:footnote>
  <w:footnote w:id="56">
    <w:p w14:paraId="2D9CF7B1" w14:textId="72FEBC6B" w:rsidR="00711278" w:rsidRPr="0066052A" w:rsidRDefault="00711278" w:rsidP="00711278">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Pr="00930234">
        <w:rPr>
          <w:rFonts w:ascii="Verdana" w:hAnsi="Verdana"/>
          <w:color w:val="77328A"/>
          <w:sz w:val="16"/>
          <w:szCs w:val="16"/>
        </w:rPr>
        <w:t xml:space="preserve">Department of Science, Innovation and Technology, </w:t>
      </w:r>
      <w:r w:rsidR="009E7F78" w:rsidRPr="00E22CBD">
        <w:rPr>
          <w:rFonts w:ascii="Verdana" w:hAnsi="Verdana"/>
          <w:color w:val="77328A"/>
          <w:sz w:val="16"/>
          <w:szCs w:val="16"/>
        </w:rPr>
        <w:t xml:space="preserve">the Home Office, the Department for Business and Trade, HM Treasury and the Department of Health and Social Care </w:t>
      </w:r>
      <w:r w:rsidRPr="00930234">
        <w:rPr>
          <w:rFonts w:ascii="Verdana" w:hAnsi="Verdana"/>
          <w:color w:val="77328A"/>
          <w:sz w:val="16"/>
          <w:szCs w:val="16"/>
        </w:rPr>
        <w:t xml:space="preserve">‘Policy Paper: </w:t>
      </w:r>
      <w:r w:rsidRPr="00930234" w:rsidDel="00930234">
        <w:rPr>
          <w:rFonts w:ascii="Verdana" w:hAnsi="Verdana"/>
          <w:color w:val="77328A"/>
          <w:sz w:val="16"/>
          <w:szCs w:val="16"/>
        </w:rPr>
        <w:t xml:space="preserve">Data </w:t>
      </w:r>
      <w:r w:rsidR="00930234" w:rsidRPr="00E22CBD">
        <w:rPr>
          <w:rFonts w:ascii="Verdana" w:hAnsi="Verdana"/>
          <w:color w:val="77328A"/>
          <w:sz w:val="16"/>
          <w:szCs w:val="16"/>
        </w:rPr>
        <w:t>(Use and Access) Bill</w:t>
      </w:r>
      <w:r w:rsidRPr="00930234">
        <w:rPr>
          <w:rFonts w:ascii="Verdana" w:hAnsi="Verdana"/>
          <w:color w:val="77328A"/>
          <w:sz w:val="16"/>
          <w:szCs w:val="16"/>
        </w:rPr>
        <w:t>: European Convention on Human Rights Memorandum’ (DSIT, 202</w:t>
      </w:r>
      <w:r w:rsidR="00930234" w:rsidRPr="00E22CBD">
        <w:rPr>
          <w:rFonts w:ascii="Verdana" w:hAnsi="Verdana"/>
          <w:color w:val="77328A"/>
          <w:sz w:val="16"/>
          <w:szCs w:val="16"/>
        </w:rPr>
        <w:t>4</w:t>
      </w:r>
      <w:r w:rsidRPr="00930234">
        <w:rPr>
          <w:rFonts w:ascii="Verdana" w:hAnsi="Verdana"/>
          <w:color w:val="77328A"/>
          <w:sz w:val="16"/>
          <w:szCs w:val="16"/>
        </w:rPr>
        <w:t>).</w:t>
      </w:r>
      <w:r w:rsidRPr="0066052A">
        <w:rPr>
          <w:rFonts w:ascii="Verdana" w:hAnsi="Verdana"/>
          <w:color w:val="77328A"/>
          <w:sz w:val="16"/>
          <w:szCs w:val="16"/>
        </w:rPr>
        <w:t xml:space="preserve"> </w:t>
      </w:r>
    </w:p>
  </w:footnote>
  <w:footnote w:id="57">
    <w:p w14:paraId="27404422" w14:textId="4E148EED" w:rsidR="00E24EC8" w:rsidRPr="0066052A" w:rsidRDefault="00E24EC8" w:rsidP="00BB04E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BC43B1" w:rsidRPr="0066052A">
        <w:rPr>
          <w:rFonts w:ascii="Verdana" w:hAnsi="Verdana"/>
          <w:color w:val="77328A"/>
          <w:sz w:val="16"/>
          <w:szCs w:val="16"/>
        </w:rPr>
        <w:t xml:space="preserve">EU </w:t>
      </w:r>
      <w:r w:rsidRPr="0066052A">
        <w:rPr>
          <w:rFonts w:ascii="Verdana" w:hAnsi="Verdana"/>
          <w:color w:val="77328A"/>
          <w:sz w:val="16"/>
          <w:szCs w:val="16"/>
        </w:rPr>
        <w:t xml:space="preserve">GDPR provides a </w:t>
      </w:r>
      <w:r w:rsidR="00BC43B1" w:rsidRPr="0066052A">
        <w:rPr>
          <w:rFonts w:ascii="Verdana" w:hAnsi="Verdana"/>
          <w:color w:val="77328A"/>
          <w:sz w:val="16"/>
          <w:szCs w:val="16"/>
        </w:rPr>
        <w:t>definition</w:t>
      </w:r>
      <w:r w:rsidRPr="0066052A">
        <w:rPr>
          <w:rFonts w:ascii="Verdana" w:hAnsi="Verdana"/>
          <w:color w:val="77328A"/>
          <w:sz w:val="16"/>
          <w:szCs w:val="16"/>
        </w:rPr>
        <w:t xml:space="preserve"> of automated decision-making in Article 22 </w:t>
      </w:r>
      <w:r w:rsidR="00BC43B1" w:rsidRPr="0066052A">
        <w:rPr>
          <w:rFonts w:ascii="Verdana" w:hAnsi="Verdana"/>
          <w:color w:val="77328A"/>
          <w:sz w:val="16"/>
          <w:szCs w:val="16"/>
        </w:rPr>
        <w:t>(Automated individual decision-making, including profiling). See Article 22</w:t>
      </w:r>
      <w:r w:rsidR="007F07C5" w:rsidRPr="0066052A">
        <w:rPr>
          <w:rFonts w:ascii="Verdana" w:hAnsi="Verdana"/>
          <w:color w:val="77328A"/>
          <w:sz w:val="16"/>
          <w:szCs w:val="16"/>
        </w:rPr>
        <w:t>(1)</w:t>
      </w:r>
      <w:r w:rsidR="00BC43B1" w:rsidRPr="0066052A">
        <w:rPr>
          <w:rFonts w:ascii="Verdana" w:hAnsi="Verdana"/>
          <w:color w:val="77328A"/>
          <w:sz w:val="16"/>
          <w:szCs w:val="16"/>
        </w:rPr>
        <w:t xml:space="preserve">, </w:t>
      </w:r>
      <w:r w:rsidR="00BB04E4" w:rsidRPr="0066052A">
        <w:rPr>
          <w:rFonts w:ascii="Verdana" w:hAnsi="Verdana"/>
          <w:color w:val="77328A"/>
          <w:sz w:val="16"/>
          <w:szCs w:val="16"/>
        </w:rPr>
        <w:t>Regulation 2016/679/EU, ‘Protection of natural persons with regard to the processing of personal data and on the free movement of such data (EU GDPR)’, 27 April 2016</w:t>
      </w:r>
      <w:r w:rsidR="007F07C5" w:rsidRPr="0066052A">
        <w:rPr>
          <w:rFonts w:ascii="Verdana" w:hAnsi="Verdana"/>
          <w:color w:val="77328A"/>
          <w:sz w:val="16"/>
          <w:szCs w:val="16"/>
        </w:rPr>
        <w:t>.</w:t>
      </w:r>
    </w:p>
  </w:footnote>
  <w:footnote w:id="58">
    <w:p w14:paraId="0E87798A" w14:textId="05BBF045" w:rsidR="007F07C5" w:rsidRPr="0066052A" w:rsidRDefault="007F07C5" w:rsidP="007F07C5">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EU GDPR provides a definition of profiling in Article 4</w:t>
      </w:r>
      <w:r w:rsidR="00E917C1" w:rsidRPr="0066052A">
        <w:rPr>
          <w:rFonts w:ascii="Verdana" w:hAnsi="Verdana"/>
          <w:color w:val="77328A"/>
          <w:sz w:val="16"/>
          <w:szCs w:val="16"/>
        </w:rPr>
        <w:t xml:space="preserve"> </w:t>
      </w:r>
      <w:r w:rsidRPr="0066052A">
        <w:rPr>
          <w:rFonts w:ascii="Verdana" w:hAnsi="Verdana"/>
          <w:color w:val="77328A"/>
          <w:sz w:val="16"/>
          <w:szCs w:val="16"/>
        </w:rPr>
        <w:t>(Definitions</w:t>
      </w:r>
      <w:r w:rsidR="00E917C1" w:rsidRPr="0066052A">
        <w:rPr>
          <w:rFonts w:ascii="Verdana" w:hAnsi="Verdana"/>
          <w:color w:val="77328A"/>
          <w:sz w:val="16"/>
          <w:szCs w:val="16"/>
        </w:rPr>
        <w:t>)</w:t>
      </w:r>
      <w:r w:rsidRPr="0066052A">
        <w:rPr>
          <w:rFonts w:ascii="Verdana" w:hAnsi="Verdana"/>
          <w:color w:val="77328A"/>
          <w:sz w:val="16"/>
          <w:szCs w:val="16"/>
        </w:rPr>
        <w:t>. See Article 4</w:t>
      </w:r>
      <w:r w:rsidR="00E917C1" w:rsidRPr="0066052A">
        <w:rPr>
          <w:rFonts w:ascii="Verdana" w:hAnsi="Verdana"/>
          <w:color w:val="77328A"/>
          <w:sz w:val="16"/>
          <w:szCs w:val="16"/>
        </w:rPr>
        <w:t>(4)</w:t>
      </w:r>
      <w:r w:rsidRPr="0066052A">
        <w:rPr>
          <w:rFonts w:ascii="Verdana" w:hAnsi="Verdana"/>
          <w:color w:val="77328A"/>
          <w:sz w:val="16"/>
          <w:szCs w:val="16"/>
        </w:rPr>
        <w:t xml:space="preserve">, </w:t>
      </w:r>
      <w:r w:rsidR="00BB04E4" w:rsidRPr="0066052A">
        <w:rPr>
          <w:rFonts w:ascii="Verdana" w:hAnsi="Verdana"/>
          <w:color w:val="77328A"/>
          <w:sz w:val="16"/>
          <w:szCs w:val="16"/>
        </w:rPr>
        <w:t>Regulation 2016/679/EU, ‘Protection of natural persons with regard to the processing of personal data and on the free movement of such data (EU GDPR)’, 27 April 2016</w:t>
      </w:r>
      <w:r w:rsidRPr="0066052A">
        <w:rPr>
          <w:rFonts w:ascii="Verdana" w:hAnsi="Verdana"/>
          <w:color w:val="77328A"/>
          <w:sz w:val="16"/>
          <w:szCs w:val="16"/>
        </w:rPr>
        <w:t>.</w:t>
      </w:r>
    </w:p>
  </w:footnote>
  <w:footnote w:id="59">
    <w:p w14:paraId="2FEC71A7" w14:textId="44970CD9" w:rsidR="00CB164E" w:rsidRPr="00E87447" w:rsidRDefault="00CB164E">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w:t>
      </w:r>
      <w:r w:rsidR="00E37411" w:rsidRPr="00E87447">
        <w:rPr>
          <w:rFonts w:ascii="Verdana" w:hAnsi="Verdana"/>
          <w:color w:val="77328A"/>
          <w:sz w:val="16"/>
          <w:szCs w:val="16"/>
        </w:rPr>
        <w:t>Information Commissioner’s Office</w:t>
      </w:r>
      <w:r w:rsidR="00CB4CAD" w:rsidRPr="00E87447">
        <w:rPr>
          <w:rFonts w:ascii="Verdana" w:hAnsi="Verdana"/>
          <w:color w:val="77328A"/>
          <w:sz w:val="16"/>
          <w:szCs w:val="16"/>
        </w:rPr>
        <w:t xml:space="preserve">, available at https://ico.org.uk/for-organisations/uk-gdpr-guidance-and-resources/individual-rights/automated-decision-making-and-profiling/what-is-automated-individual-decision-making-and-profiling/ </w:t>
      </w:r>
    </w:p>
  </w:footnote>
  <w:footnote w:id="60">
    <w:p w14:paraId="2E783DA8" w14:textId="72A30B70" w:rsidR="003C69BE" w:rsidRPr="00E87447" w:rsidRDefault="003C69BE" w:rsidP="003C69BE">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Orla Lynskey, Maria Helen Murphy and Katherine Nolan, ‘Understanding the risks to cross border transfer of personal data: EU-UK Data Adequacy’ (LSA and MU, 2023), at 75.  </w:t>
      </w:r>
    </w:p>
  </w:footnote>
  <w:footnote w:id="61">
    <w:p w14:paraId="55E22A66" w14:textId="6D319D66" w:rsidR="003C69BE" w:rsidRPr="00E87447" w:rsidRDefault="003C69BE" w:rsidP="003C69BE">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w:t>
      </w:r>
      <w:r w:rsidR="003523F5" w:rsidRPr="00E87447">
        <w:rPr>
          <w:rFonts w:ascii="Verdana" w:hAnsi="Verdana"/>
          <w:color w:val="77328A"/>
          <w:sz w:val="16"/>
          <w:szCs w:val="16"/>
        </w:rPr>
        <w:t xml:space="preserve">Daan Kolkman, </w:t>
      </w:r>
      <w:r w:rsidRPr="00E87447">
        <w:rPr>
          <w:rFonts w:ascii="Verdana" w:hAnsi="Verdana"/>
          <w:color w:val="77328A"/>
          <w:sz w:val="16"/>
          <w:szCs w:val="16"/>
        </w:rPr>
        <w:t>‘What the world can learn from the UK’s A-level grading fiasco’</w:t>
      </w:r>
      <w:r w:rsidR="00E46643" w:rsidRPr="00E87447">
        <w:rPr>
          <w:rFonts w:ascii="Verdana" w:hAnsi="Verdana"/>
          <w:color w:val="77328A"/>
          <w:sz w:val="16"/>
          <w:szCs w:val="16"/>
        </w:rPr>
        <w:t>,</w:t>
      </w:r>
      <w:r w:rsidRPr="00E87447">
        <w:rPr>
          <w:rFonts w:ascii="Verdana" w:hAnsi="Verdana"/>
          <w:color w:val="77328A"/>
          <w:sz w:val="16"/>
          <w:szCs w:val="16"/>
        </w:rPr>
        <w:t xml:space="preserve"> </w:t>
      </w:r>
      <w:r w:rsidRPr="00E87447">
        <w:rPr>
          <w:rFonts w:ascii="Verdana" w:hAnsi="Verdana"/>
          <w:i/>
          <w:iCs/>
          <w:color w:val="77328A"/>
          <w:sz w:val="16"/>
          <w:szCs w:val="16"/>
        </w:rPr>
        <w:t>London School of Economics blog</w:t>
      </w:r>
      <w:r w:rsidRPr="00E87447">
        <w:rPr>
          <w:rFonts w:ascii="Verdana" w:hAnsi="Verdana"/>
          <w:color w:val="77328A"/>
          <w:sz w:val="16"/>
          <w:szCs w:val="16"/>
        </w:rPr>
        <w:t xml:space="preserve">, </w:t>
      </w:r>
      <w:r w:rsidR="00E976EC" w:rsidRPr="00E87447">
        <w:rPr>
          <w:rFonts w:ascii="Verdana" w:hAnsi="Verdana"/>
          <w:color w:val="77328A"/>
          <w:sz w:val="16"/>
          <w:szCs w:val="16"/>
        </w:rPr>
        <w:t xml:space="preserve">26 August </w:t>
      </w:r>
      <w:r w:rsidRPr="00E87447">
        <w:rPr>
          <w:rFonts w:ascii="Verdana" w:hAnsi="Verdana"/>
          <w:color w:val="77328A"/>
          <w:sz w:val="16"/>
          <w:szCs w:val="16"/>
        </w:rPr>
        <w:t>2020</w:t>
      </w:r>
      <w:r w:rsidR="003523F5" w:rsidRPr="00E87447">
        <w:rPr>
          <w:rFonts w:ascii="Verdana" w:hAnsi="Verdana"/>
          <w:color w:val="77328A"/>
          <w:sz w:val="16"/>
          <w:szCs w:val="16"/>
        </w:rPr>
        <w:t>.</w:t>
      </w:r>
    </w:p>
  </w:footnote>
  <w:footnote w:id="62">
    <w:p w14:paraId="16B8BDAB" w14:textId="77777777" w:rsidR="00125ABB" w:rsidRPr="00E87447" w:rsidRDefault="00125ABB" w:rsidP="00125ABB">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European Data Protection Board, ‘Opinion 14/2021 regarding the European Commission Draft Implementing Decision pursuant to Regulation (EU) 2016/679 on the adequate protection of personal data in </w:t>
      </w:r>
    </w:p>
    <w:p w14:paraId="4850F3D4" w14:textId="15FD3633" w:rsidR="00125ABB" w:rsidRPr="00E87447" w:rsidRDefault="00125ABB" w:rsidP="00125ABB">
      <w:pPr>
        <w:pStyle w:val="FootnoteText"/>
        <w:rPr>
          <w:rFonts w:ascii="Verdana" w:hAnsi="Verdana"/>
          <w:color w:val="77328A"/>
          <w:sz w:val="16"/>
          <w:szCs w:val="16"/>
        </w:rPr>
      </w:pPr>
      <w:r w:rsidRPr="00E87447">
        <w:rPr>
          <w:rFonts w:ascii="Verdana" w:hAnsi="Verdana"/>
          <w:color w:val="77328A"/>
          <w:sz w:val="16"/>
          <w:szCs w:val="16"/>
        </w:rPr>
        <w:t xml:space="preserve">the </w:t>
      </w:r>
      <w:r w:rsidR="008B53F0" w:rsidRPr="00E87447">
        <w:rPr>
          <w:rFonts w:ascii="Verdana" w:hAnsi="Verdana"/>
          <w:color w:val="77328A"/>
          <w:sz w:val="16"/>
          <w:szCs w:val="16"/>
        </w:rPr>
        <w:t>UK</w:t>
      </w:r>
      <w:r w:rsidRPr="00E87447">
        <w:rPr>
          <w:rFonts w:ascii="Verdana" w:hAnsi="Verdana"/>
          <w:color w:val="77328A"/>
          <w:sz w:val="16"/>
          <w:szCs w:val="16"/>
        </w:rPr>
        <w:t xml:space="preserve">’ (EDPS, 2021), at para 8. </w:t>
      </w:r>
    </w:p>
  </w:footnote>
  <w:footnote w:id="63">
    <w:p w14:paraId="5CB35AD9" w14:textId="662F98F6" w:rsidR="007D0081" w:rsidRPr="0066052A" w:rsidRDefault="007D0081">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Article 22</w:t>
      </w:r>
      <w:r w:rsidR="00A8619F" w:rsidRPr="00E87447">
        <w:rPr>
          <w:rFonts w:ascii="Verdana" w:hAnsi="Verdana"/>
          <w:color w:val="77328A"/>
          <w:sz w:val="16"/>
          <w:szCs w:val="16"/>
        </w:rPr>
        <w:t xml:space="preserve"> (1)</w:t>
      </w:r>
      <w:r w:rsidRPr="00E87447">
        <w:rPr>
          <w:rFonts w:ascii="Verdana" w:hAnsi="Verdana"/>
          <w:color w:val="77328A"/>
          <w:sz w:val="16"/>
          <w:szCs w:val="16"/>
        </w:rPr>
        <w:t>, Regulation 2016/679/EU, ‘Regulation of the European Parliament and Council on the protection of natural persons with regard to the processing of personal data and on the free movement of such data’, 27 April 2016.</w:t>
      </w:r>
    </w:p>
  </w:footnote>
  <w:footnote w:id="64">
    <w:p w14:paraId="7182B8AB" w14:textId="7BDD03A1" w:rsidR="00A8619F" w:rsidRPr="009B1331" w:rsidRDefault="00A8619F">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w:t>
      </w:r>
      <w:r w:rsidR="00CE0E41" w:rsidRPr="009B1331">
        <w:rPr>
          <w:rFonts w:ascii="Verdana" w:hAnsi="Verdana"/>
          <w:color w:val="77328A"/>
          <w:sz w:val="16"/>
          <w:szCs w:val="16"/>
        </w:rPr>
        <w:t xml:space="preserve">All the exemptions are under </w:t>
      </w:r>
      <w:r w:rsidRPr="009B1331">
        <w:rPr>
          <w:rFonts w:ascii="Verdana" w:hAnsi="Verdana"/>
          <w:color w:val="77328A"/>
          <w:sz w:val="16"/>
          <w:szCs w:val="16"/>
        </w:rPr>
        <w:t>Article 22(2), Regulation 2016/679/EU, ‘Regulation of the European Parliament and Council on the protection of natural persons with regard to the processing of personal data and on the free movement of such data’, 27 April 2016.</w:t>
      </w:r>
    </w:p>
  </w:footnote>
  <w:footnote w:id="65">
    <w:p w14:paraId="20D73F76" w14:textId="77777777" w:rsidR="007D0081" w:rsidRPr="009B1331" w:rsidRDefault="007D0081" w:rsidP="007D0081">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Article 22(3), Regulation 2016/679/EU, ‘Regulation of the European Parliament and Council on the protection of natural persons with regard to the processing of personal data and on the free movement of such data’, 27 April 2016.</w:t>
      </w:r>
    </w:p>
  </w:footnote>
  <w:footnote w:id="66">
    <w:p w14:paraId="45EB4975" w14:textId="49DF2054" w:rsidR="00C40E78" w:rsidRPr="009B1331" w:rsidRDefault="00C40E78">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Article 4 (1), Regulation 2016/679/EU, ‘Regulation of the European Parliament and Council on the protection of natural persons with regard to the processing of personal data and on the free movement of such data (EU GDPR)’, 27 April 2016.</w:t>
      </w:r>
    </w:p>
  </w:footnote>
  <w:footnote w:id="67">
    <w:p w14:paraId="5714AB58" w14:textId="150E3BEE" w:rsidR="007C5A64" w:rsidRPr="0066052A" w:rsidRDefault="007C5A64" w:rsidP="007C5A64">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Article 9(1), </w:t>
      </w:r>
      <w:bookmarkStart w:id="21" w:name="_Hlk152683019"/>
      <w:r w:rsidRPr="009B1331">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w:t>
      </w:r>
      <w:r w:rsidR="00C43A06" w:rsidRPr="009B1331">
        <w:rPr>
          <w:rFonts w:ascii="Verdana" w:hAnsi="Verdana"/>
          <w:color w:val="77328A"/>
          <w:sz w:val="16"/>
          <w:szCs w:val="16"/>
        </w:rPr>
        <w:t xml:space="preserve"> (EU GDPR)</w:t>
      </w:r>
      <w:r w:rsidRPr="009B1331">
        <w:rPr>
          <w:rFonts w:ascii="Verdana" w:hAnsi="Verdana"/>
          <w:color w:val="77328A"/>
          <w:sz w:val="16"/>
          <w:szCs w:val="16"/>
        </w:rPr>
        <w:t>’, 27 April 2016.</w:t>
      </w:r>
      <w:bookmarkEnd w:id="21"/>
    </w:p>
  </w:footnote>
  <w:footnote w:id="68">
    <w:p w14:paraId="4494C2C4" w14:textId="5E1DD2DB" w:rsidR="00C35F4A" w:rsidRPr="0066052A" w:rsidRDefault="00C35F4A">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9(1),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69">
    <w:p w14:paraId="4EFE3F6F" w14:textId="23D11237" w:rsidR="007C5A64" w:rsidRPr="0066052A" w:rsidRDefault="007C5A64" w:rsidP="007C5A6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9(2)(a),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70">
    <w:p w14:paraId="0AD477D1" w14:textId="22B981B9" w:rsidR="007C5A64" w:rsidRPr="0066052A" w:rsidRDefault="007C5A64" w:rsidP="007C5A6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9(2)(g),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71">
    <w:p w14:paraId="14055562" w14:textId="7BDA0780" w:rsidR="007C5A64" w:rsidRPr="0066052A" w:rsidRDefault="007C5A64" w:rsidP="007C5A6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Recital 39,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72">
    <w:p w14:paraId="21C68E5B" w14:textId="67304282" w:rsidR="004E061B" w:rsidRPr="0066052A" w:rsidRDefault="004E061B" w:rsidP="004E061B">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New</w:t>
      </w:r>
      <w:r w:rsidR="00EA48BD" w:rsidRPr="0066052A">
        <w:rPr>
          <w:rFonts w:ascii="Verdana" w:hAnsi="Verdana"/>
          <w:color w:val="77328A"/>
          <w:sz w:val="16"/>
          <w:szCs w:val="16"/>
        </w:rPr>
        <w:t xml:space="preserve"> Article 22B(2)</w:t>
      </w:r>
      <w:r w:rsidR="008E721C">
        <w:rPr>
          <w:rFonts w:ascii="Verdana" w:hAnsi="Verdana"/>
          <w:color w:val="77328A"/>
          <w:sz w:val="16"/>
          <w:szCs w:val="16"/>
        </w:rPr>
        <w:t xml:space="preserve"> and (3</w:t>
      </w:r>
      <w:r w:rsidR="00EA48BD" w:rsidRPr="0066052A">
        <w:rPr>
          <w:rFonts w:ascii="Verdana" w:hAnsi="Verdana"/>
          <w:color w:val="77328A"/>
          <w:sz w:val="16"/>
          <w:szCs w:val="16"/>
        </w:rPr>
        <w:t xml:space="preserve">), in Clause </w:t>
      </w:r>
      <w:r w:rsidR="00B53E75">
        <w:rPr>
          <w:rFonts w:ascii="Verdana" w:hAnsi="Verdana"/>
          <w:color w:val="77328A"/>
          <w:sz w:val="16"/>
          <w:szCs w:val="16"/>
        </w:rPr>
        <w:t>80</w:t>
      </w:r>
      <w:r w:rsidR="00EA48BD" w:rsidRPr="0066052A">
        <w:rPr>
          <w:rFonts w:ascii="Verdana" w:hAnsi="Verdana"/>
          <w:color w:val="77328A"/>
          <w:sz w:val="16"/>
          <w:szCs w:val="16"/>
        </w:rPr>
        <w:t xml:space="preserve">, </w:t>
      </w:r>
      <w:r w:rsidR="00EA48BD" w:rsidRPr="0066052A" w:rsidDel="00B53E75">
        <w:rPr>
          <w:rFonts w:ascii="Verdana" w:hAnsi="Verdana"/>
          <w:color w:val="77328A"/>
          <w:sz w:val="16"/>
          <w:szCs w:val="16"/>
        </w:rPr>
        <w:t xml:space="preserve">Data </w:t>
      </w:r>
      <w:r w:rsidR="00B53E75">
        <w:rPr>
          <w:rFonts w:ascii="Verdana" w:hAnsi="Verdana"/>
          <w:color w:val="77328A"/>
          <w:sz w:val="16"/>
          <w:szCs w:val="16"/>
        </w:rPr>
        <w:t xml:space="preserve">(Use and Access) Bill </w:t>
      </w:r>
      <w:r w:rsidR="000F2C3F">
        <w:rPr>
          <w:rFonts w:ascii="Verdana" w:hAnsi="Verdana"/>
          <w:color w:val="77328A"/>
          <w:sz w:val="16"/>
          <w:szCs w:val="16"/>
        </w:rPr>
        <w:t xml:space="preserve">[HL]. </w:t>
      </w:r>
    </w:p>
  </w:footnote>
  <w:footnote w:id="73">
    <w:p w14:paraId="74B69016" w14:textId="293C2EE7" w:rsidR="001204AE" w:rsidRPr="0066052A" w:rsidRDefault="001204AE" w:rsidP="001204A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New</w:t>
      </w:r>
      <w:r w:rsidR="00E82F06" w:rsidRPr="0066052A">
        <w:rPr>
          <w:rFonts w:ascii="Verdana" w:hAnsi="Verdana"/>
          <w:color w:val="77328A"/>
          <w:sz w:val="16"/>
          <w:szCs w:val="16"/>
        </w:rPr>
        <w:t xml:space="preserve"> </w:t>
      </w:r>
      <w:r w:rsidR="00EA48BD" w:rsidRPr="0066052A">
        <w:rPr>
          <w:rFonts w:ascii="Verdana" w:hAnsi="Verdana"/>
          <w:color w:val="77328A"/>
          <w:sz w:val="16"/>
          <w:szCs w:val="16"/>
        </w:rPr>
        <w:t xml:space="preserve">Article </w:t>
      </w:r>
      <w:r w:rsidRPr="0066052A">
        <w:rPr>
          <w:rFonts w:ascii="Verdana" w:hAnsi="Verdana"/>
          <w:color w:val="77328A"/>
          <w:sz w:val="16"/>
          <w:szCs w:val="16"/>
        </w:rPr>
        <w:t xml:space="preserve">22D(1), </w:t>
      </w:r>
      <w:r w:rsidR="00876B29" w:rsidRPr="0066052A">
        <w:rPr>
          <w:rFonts w:ascii="Verdana" w:hAnsi="Verdana"/>
          <w:color w:val="77328A"/>
          <w:sz w:val="16"/>
          <w:szCs w:val="16"/>
        </w:rPr>
        <w:t xml:space="preserve">in </w:t>
      </w:r>
      <w:r w:rsidR="00EA48BD" w:rsidRPr="0066052A">
        <w:rPr>
          <w:rFonts w:ascii="Verdana" w:hAnsi="Verdana"/>
          <w:color w:val="77328A"/>
          <w:sz w:val="16"/>
          <w:szCs w:val="16"/>
        </w:rPr>
        <w:t xml:space="preserve">Clause </w:t>
      </w:r>
      <w:r w:rsidR="00236AEF">
        <w:rPr>
          <w:rFonts w:ascii="Verdana" w:hAnsi="Verdana"/>
          <w:color w:val="77328A"/>
          <w:sz w:val="16"/>
          <w:szCs w:val="16"/>
        </w:rPr>
        <w:t>80</w:t>
      </w:r>
      <w:r w:rsidR="00EA48BD" w:rsidRPr="0066052A">
        <w:rPr>
          <w:rFonts w:ascii="Verdana" w:hAnsi="Verdana"/>
          <w:color w:val="77328A"/>
          <w:sz w:val="16"/>
          <w:szCs w:val="16"/>
        </w:rPr>
        <w:t xml:space="preserve">, </w:t>
      </w:r>
      <w:r w:rsidR="00EA48BD" w:rsidRPr="0066052A" w:rsidDel="00236AEF">
        <w:rPr>
          <w:rFonts w:ascii="Verdana" w:hAnsi="Verdana"/>
          <w:color w:val="77328A"/>
          <w:sz w:val="16"/>
          <w:szCs w:val="16"/>
        </w:rPr>
        <w:t xml:space="preserve">Data </w:t>
      </w:r>
      <w:r w:rsidR="00236AEF">
        <w:rPr>
          <w:rFonts w:ascii="Verdana" w:hAnsi="Verdana"/>
          <w:color w:val="77328A"/>
          <w:sz w:val="16"/>
          <w:szCs w:val="16"/>
        </w:rPr>
        <w:t>(Use and Access) Bill [HL]</w:t>
      </w:r>
      <w:r w:rsidRPr="0066052A">
        <w:rPr>
          <w:rFonts w:ascii="Verdana" w:hAnsi="Verdana"/>
          <w:color w:val="77328A"/>
          <w:sz w:val="16"/>
          <w:szCs w:val="16"/>
        </w:rPr>
        <w:t>.</w:t>
      </w:r>
    </w:p>
  </w:footnote>
  <w:footnote w:id="74">
    <w:p w14:paraId="1AC28ABD" w14:textId="6C070F80" w:rsidR="001204AE" w:rsidRPr="0066052A" w:rsidRDefault="001204AE" w:rsidP="001204A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 xml:space="preserve">New </w:t>
      </w:r>
      <w:r w:rsidR="00EA48BD" w:rsidRPr="0066052A">
        <w:rPr>
          <w:rFonts w:ascii="Verdana" w:hAnsi="Verdana"/>
          <w:color w:val="77328A"/>
          <w:sz w:val="16"/>
          <w:szCs w:val="16"/>
        </w:rPr>
        <w:t xml:space="preserve">Article </w:t>
      </w:r>
      <w:r w:rsidRPr="0066052A">
        <w:rPr>
          <w:rFonts w:ascii="Verdana" w:hAnsi="Verdana"/>
          <w:color w:val="77328A"/>
          <w:sz w:val="16"/>
          <w:szCs w:val="16"/>
        </w:rPr>
        <w:t xml:space="preserve">22D(2), </w:t>
      </w:r>
      <w:r w:rsidR="00876B29" w:rsidRPr="0066052A">
        <w:rPr>
          <w:rFonts w:ascii="Verdana" w:hAnsi="Verdana"/>
          <w:color w:val="77328A"/>
          <w:sz w:val="16"/>
          <w:szCs w:val="16"/>
        </w:rPr>
        <w:t xml:space="preserve">in </w:t>
      </w:r>
      <w:r w:rsidR="00EA48BD" w:rsidRPr="0066052A">
        <w:rPr>
          <w:rFonts w:ascii="Verdana" w:hAnsi="Verdana"/>
          <w:color w:val="77328A"/>
          <w:sz w:val="16"/>
          <w:szCs w:val="16"/>
        </w:rPr>
        <w:t xml:space="preserve">Clause </w:t>
      </w:r>
      <w:r w:rsidR="00236AEF">
        <w:rPr>
          <w:rFonts w:ascii="Verdana" w:hAnsi="Verdana"/>
          <w:color w:val="77328A"/>
          <w:sz w:val="16"/>
          <w:szCs w:val="16"/>
        </w:rPr>
        <w:t>80</w:t>
      </w:r>
      <w:r w:rsidR="00EA48BD" w:rsidRPr="0066052A">
        <w:rPr>
          <w:rFonts w:ascii="Verdana" w:hAnsi="Verdana"/>
          <w:color w:val="77328A"/>
          <w:sz w:val="16"/>
          <w:szCs w:val="16"/>
        </w:rPr>
        <w:t xml:space="preserve">, </w:t>
      </w:r>
      <w:r w:rsidR="00EA48BD" w:rsidRPr="0066052A" w:rsidDel="00236AEF">
        <w:rPr>
          <w:rFonts w:ascii="Verdana" w:hAnsi="Verdana"/>
          <w:color w:val="77328A"/>
          <w:sz w:val="16"/>
          <w:szCs w:val="16"/>
        </w:rPr>
        <w:t xml:space="preserve">Data </w:t>
      </w:r>
      <w:r w:rsidR="00236AEF">
        <w:rPr>
          <w:rFonts w:ascii="Verdana" w:hAnsi="Verdana"/>
          <w:color w:val="77328A"/>
          <w:sz w:val="16"/>
          <w:szCs w:val="16"/>
        </w:rPr>
        <w:t>(Use and Access) Bill [HL]</w:t>
      </w:r>
      <w:r w:rsidRPr="0066052A">
        <w:rPr>
          <w:rFonts w:ascii="Verdana" w:hAnsi="Verdana"/>
          <w:color w:val="77328A"/>
          <w:sz w:val="16"/>
          <w:szCs w:val="16"/>
        </w:rPr>
        <w:t>.</w:t>
      </w:r>
    </w:p>
  </w:footnote>
  <w:footnote w:id="75">
    <w:p w14:paraId="7CCA6A81" w14:textId="13F7B511" w:rsidR="00770C45" w:rsidRPr="0066052A" w:rsidRDefault="00770C45" w:rsidP="0098406A">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577CF3" w:rsidRPr="0066052A">
        <w:rPr>
          <w:rFonts w:ascii="Verdana" w:hAnsi="Verdana"/>
          <w:color w:val="77328A"/>
          <w:sz w:val="16"/>
          <w:szCs w:val="16"/>
        </w:rPr>
        <w:t>Commission Implementing Decision (EU) 2021/1772, pursuant to Regulation (EU) 2016/679 of the European Parliament and of the Council on the adequate protection of personal data by the United Kingdom, 28 June 2021</w:t>
      </w:r>
      <w:r w:rsidR="0098406A" w:rsidRPr="0066052A">
        <w:rPr>
          <w:rFonts w:ascii="Verdana" w:hAnsi="Verdana"/>
          <w:color w:val="77328A"/>
          <w:sz w:val="16"/>
          <w:szCs w:val="16"/>
        </w:rPr>
        <w:t>, at p</w:t>
      </w:r>
      <w:r w:rsidR="00ED1259" w:rsidRPr="0066052A">
        <w:rPr>
          <w:rFonts w:ascii="Verdana" w:hAnsi="Verdana"/>
          <w:color w:val="77328A"/>
          <w:sz w:val="16"/>
          <w:szCs w:val="16"/>
        </w:rPr>
        <w:t>ara 75</w:t>
      </w:r>
      <w:r w:rsidR="0098406A" w:rsidRPr="0066052A">
        <w:rPr>
          <w:rFonts w:ascii="Verdana" w:hAnsi="Verdana"/>
          <w:color w:val="77328A"/>
          <w:sz w:val="16"/>
          <w:szCs w:val="16"/>
        </w:rPr>
        <w:t>.</w:t>
      </w:r>
      <w:r w:rsidR="00ED1259" w:rsidRPr="0066052A">
        <w:rPr>
          <w:rFonts w:ascii="Verdana" w:hAnsi="Verdana"/>
          <w:color w:val="77328A"/>
          <w:sz w:val="16"/>
          <w:szCs w:val="16"/>
        </w:rPr>
        <w:t xml:space="preserve"> </w:t>
      </w:r>
    </w:p>
  </w:footnote>
  <w:footnote w:id="76">
    <w:p w14:paraId="19ED613D" w14:textId="20EA08BF" w:rsidR="00AD58B2" w:rsidRPr="0066052A" w:rsidRDefault="00AD58B2">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577CF3" w:rsidRPr="0066052A">
        <w:rPr>
          <w:rFonts w:ascii="Verdana" w:hAnsi="Verdana"/>
          <w:color w:val="77328A"/>
          <w:sz w:val="16"/>
          <w:szCs w:val="16"/>
        </w:rPr>
        <w:t>Commission Implementing Decision (EU) 2021/1772, pursuant to Regulation (EU) 2016/679 of the European Parliament and of the Council on the adequate protection of personal data by the United Kingdom, 28 June 2021</w:t>
      </w:r>
      <w:r w:rsidR="0098406A" w:rsidRPr="0066052A">
        <w:rPr>
          <w:rFonts w:ascii="Verdana" w:hAnsi="Verdana"/>
          <w:color w:val="77328A"/>
          <w:sz w:val="16"/>
          <w:szCs w:val="16"/>
        </w:rPr>
        <w:t>, at p</w:t>
      </w:r>
      <w:r w:rsidRPr="0066052A">
        <w:rPr>
          <w:rFonts w:ascii="Verdana" w:hAnsi="Verdana"/>
          <w:color w:val="77328A"/>
          <w:sz w:val="16"/>
          <w:szCs w:val="16"/>
        </w:rPr>
        <w:t xml:space="preserve">ara </w:t>
      </w:r>
      <w:r w:rsidR="00C33F23" w:rsidRPr="0066052A">
        <w:rPr>
          <w:rFonts w:ascii="Verdana" w:hAnsi="Verdana"/>
          <w:color w:val="77328A"/>
          <w:sz w:val="16"/>
          <w:szCs w:val="16"/>
        </w:rPr>
        <w:t>74</w:t>
      </w:r>
      <w:r w:rsidRPr="0066052A">
        <w:rPr>
          <w:rFonts w:ascii="Verdana" w:hAnsi="Verdana"/>
          <w:color w:val="77328A"/>
          <w:sz w:val="16"/>
          <w:szCs w:val="16"/>
        </w:rPr>
        <w:t xml:space="preserve">. </w:t>
      </w:r>
    </w:p>
  </w:footnote>
  <w:footnote w:id="77">
    <w:p w14:paraId="061987F5" w14:textId="77777777" w:rsidR="001821C1" w:rsidRPr="0066052A" w:rsidRDefault="001821C1" w:rsidP="001821C1">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European Data Protection Board, ‘Opinion 14/2021 regarding the European Commission Draft </w:t>
      </w:r>
    </w:p>
    <w:p w14:paraId="7A447C11" w14:textId="1C817568" w:rsidR="001821C1" w:rsidRPr="0066052A" w:rsidRDefault="001821C1" w:rsidP="001821C1">
      <w:pPr>
        <w:pStyle w:val="FootnoteText"/>
        <w:rPr>
          <w:rFonts w:ascii="Verdana" w:hAnsi="Verdana"/>
          <w:color w:val="77328A"/>
          <w:sz w:val="16"/>
          <w:szCs w:val="16"/>
        </w:rPr>
      </w:pPr>
      <w:r w:rsidRPr="0066052A">
        <w:rPr>
          <w:rFonts w:ascii="Verdana" w:hAnsi="Verdana"/>
          <w:color w:val="77328A"/>
          <w:sz w:val="16"/>
          <w:szCs w:val="16"/>
        </w:rPr>
        <w:t>Implementing Decision pursuant to Regulation (EU) 2016/679 on the adequate protection of personal data in the United Kingdom’ (EDPB, 2021), at para 15.</w:t>
      </w:r>
    </w:p>
  </w:footnote>
  <w:footnote w:id="78">
    <w:p w14:paraId="334E4FA8" w14:textId="23C42936" w:rsidR="002F045C" w:rsidRPr="0066052A" w:rsidRDefault="002F045C" w:rsidP="002F045C">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Articles 44-49, Regulation 2016/679/EU, ‘Regulation of the European Parliament and Council on the protection of natural persons with regard to the processing of personal data and on the free movement of such data’, 27 April 2016. </w:t>
      </w:r>
    </w:p>
  </w:footnote>
  <w:footnote w:id="79">
    <w:p w14:paraId="39230979" w14:textId="4D5E4A5F" w:rsidR="00A1434E" w:rsidRPr="0066052A" w:rsidRDefault="00A1434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44, Regulation 2016/679/EU, ‘Regulation of the European Parliament and Council on the protection of natural persons with regard to the processing of personal data and on the free movement of such data’, 27 April 2016. </w:t>
      </w:r>
    </w:p>
  </w:footnote>
  <w:footnote w:id="80">
    <w:p w14:paraId="42243682" w14:textId="2CB2BDEC" w:rsidR="00C075F9" w:rsidRPr="0066052A" w:rsidRDefault="00C075F9">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bookmarkStart w:id="28" w:name="_Hlk150868205"/>
      <w:r w:rsidR="00B24C79" w:rsidRPr="0066052A">
        <w:rPr>
          <w:rFonts w:ascii="Verdana" w:hAnsi="Verdana"/>
          <w:color w:val="77328A"/>
          <w:sz w:val="16"/>
          <w:szCs w:val="16"/>
        </w:rPr>
        <w:t>Article 45(2), Regulation 2016/679/EU, ‘Regulation of the European Parliament and Council on the protection of natural persons with regard to the processing of personal data and on the free movement of such data</w:t>
      </w:r>
      <w:r w:rsidR="007635EA" w:rsidRPr="0066052A">
        <w:rPr>
          <w:rFonts w:ascii="Verdana" w:hAnsi="Verdana"/>
          <w:color w:val="77328A"/>
          <w:sz w:val="16"/>
          <w:szCs w:val="16"/>
        </w:rPr>
        <w:t xml:space="preserve"> (</w:t>
      </w:r>
      <w:r w:rsidR="00C5209F">
        <w:rPr>
          <w:rFonts w:ascii="Verdana" w:hAnsi="Verdana"/>
          <w:color w:val="77328A"/>
          <w:sz w:val="16"/>
          <w:szCs w:val="16"/>
        </w:rPr>
        <w:t>UK</w:t>
      </w:r>
      <w:r w:rsidR="007635EA" w:rsidRPr="0066052A">
        <w:rPr>
          <w:rFonts w:ascii="Verdana" w:hAnsi="Verdana"/>
          <w:color w:val="77328A"/>
          <w:sz w:val="16"/>
          <w:szCs w:val="16"/>
        </w:rPr>
        <w:t xml:space="preserve"> GDPR)</w:t>
      </w:r>
      <w:r w:rsidR="00B24C79" w:rsidRPr="0066052A">
        <w:rPr>
          <w:rFonts w:ascii="Verdana" w:hAnsi="Verdana"/>
          <w:color w:val="77328A"/>
          <w:sz w:val="16"/>
          <w:szCs w:val="16"/>
        </w:rPr>
        <w:t>’, 27 April 2016.</w:t>
      </w:r>
      <w:bookmarkEnd w:id="28"/>
    </w:p>
  </w:footnote>
  <w:footnote w:id="81">
    <w:p w14:paraId="0874213B" w14:textId="746D05BE" w:rsidR="00B800C3" w:rsidRPr="0066052A" w:rsidRDefault="00B800C3">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46, Regulation 2016/679/EU, ‘Regulation of the European Parliament and Council on the protection of natural persons with regard to the processing of personal data and on the free movement of such data</w:t>
      </w:r>
      <w:r w:rsidR="007635EA" w:rsidRPr="0066052A">
        <w:rPr>
          <w:rFonts w:ascii="Verdana" w:hAnsi="Verdana"/>
          <w:color w:val="77328A"/>
          <w:sz w:val="16"/>
          <w:szCs w:val="16"/>
        </w:rPr>
        <w:t xml:space="preserve"> (</w:t>
      </w:r>
      <w:r w:rsidR="00B14D91">
        <w:rPr>
          <w:rFonts w:ascii="Verdana" w:hAnsi="Verdana"/>
          <w:color w:val="77328A"/>
          <w:sz w:val="16"/>
          <w:szCs w:val="16"/>
        </w:rPr>
        <w:t>UK</w:t>
      </w:r>
      <w:r w:rsidR="007635EA" w:rsidRPr="0066052A">
        <w:rPr>
          <w:rFonts w:ascii="Verdana" w:hAnsi="Verdana"/>
          <w:color w:val="77328A"/>
          <w:sz w:val="16"/>
          <w:szCs w:val="16"/>
        </w:rPr>
        <w:t xml:space="preserve"> GDPR)</w:t>
      </w:r>
      <w:r w:rsidRPr="0066052A">
        <w:rPr>
          <w:rFonts w:ascii="Verdana" w:hAnsi="Verdana"/>
          <w:color w:val="77328A"/>
          <w:sz w:val="16"/>
          <w:szCs w:val="16"/>
        </w:rPr>
        <w:t>’, 27 April 2016.</w:t>
      </w:r>
    </w:p>
  </w:footnote>
  <w:footnote w:id="82">
    <w:p w14:paraId="36C52429" w14:textId="6547F1EE" w:rsidR="00E34BCD" w:rsidRPr="0066052A" w:rsidRDefault="00E34BCD">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49</w:t>
      </w:r>
      <w:r w:rsidR="007F5FC0" w:rsidRPr="0066052A">
        <w:rPr>
          <w:rFonts w:ascii="Verdana" w:hAnsi="Verdana"/>
          <w:color w:val="77328A"/>
          <w:sz w:val="16"/>
          <w:szCs w:val="16"/>
        </w:rPr>
        <w:t>(1)</w:t>
      </w:r>
      <w:r w:rsidRPr="0066052A">
        <w:rPr>
          <w:rFonts w:ascii="Verdana" w:hAnsi="Verdana"/>
          <w:color w:val="77328A"/>
          <w:sz w:val="16"/>
          <w:szCs w:val="16"/>
        </w:rPr>
        <w:t>, Regulation 2016/679/EU, ‘Regulation of the European Parliament and Council on the protection of natural persons with regard to the processing of personal data and on the free movement of such data</w:t>
      </w:r>
      <w:r w:rsidR="007635EA" w:rsidRPr="0066052A">
        <w:rPr>
          <w:rFonts w:ascii="Verdana" w:hAnsi="Verdana"/>
          <w:color w:val="77328A"/>
          <w:sz w:val="16"/>
          <w:szCs w:val="16"/>
        </w:rPr>
        <w:t xml:space="preserve"> (</w:t>
      </w:r>
      <w:r w:rsidR="00C5209F">
        <w:rPr>
          <w:rFonts w:ascii="Verdana" w:hAnsi="Verdana"/>
          <w:color w:val="77328A"/>
          <w:sz w:val="16"/>
          <w:szCs w:val="16"/>
        </w:rPr>
        <w:t>UK</w:t>
      </w:r>
      <w:r w:rsidR="007635EA" w:rsidRPr="0066052A">
        <w:rPr>
          <w:rFonts w:ascii="Verdana" w:hAnsi="Verdana"/>
          <w:color w:val="77328A"/>
          <w:sz w:val="16"/>
          <w:szCs w:val="16"/>
        </w:rPr>
        <w:t xml:space="preserve"> GDPR)</w:t>
      </w:r>
      <w:r w:rsidRPr="0066052A">
        <w:rPr>
          <w:rFonts w:ascii="Verdana" w:hAnsi="Verdana"/>
          <w:color w:val="77328A"/>
          <w:sz w:val="16"/>
          <w:szCs w:val="16"/>
        </w:rPr>
        <w:t>’, 27 April 2016.</w:t>
      </w:r>
    </w:p>
  </w:footnote>
  <w:footnote w:id="83">
    <w:p w14:paraId="1785F637" w14:textId="7083C594" w:rsidR="004E10CD" w:rsidRPr="0066052A" w:rsidRDefault="004E10CD">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New</w:t>
      </w:r>
      <w:r w:rsidRPr="0066052A">
        <w:rPr>
          <w:rFonts w:ascii="Verdana" w:hAnsi="Verdana"/>
          <w:color w:val="77328A"/>
          <w:sz w:val="16"/>
          <w:szCs w:val="16"/>
        </w:rPr>
        <w:t xml:space="preserve"> Article</w:t>
      </w:r>
      <w:r w:rsidR="00A8132A">
        <w:rPr>
          <w:rFonts w:ascii="Verdana" w:hAnsi="Verdana"/>
          <w:color w:val="77328A"/>
          <w:sz w:val="16"/>
          <w:szCs w:val="16"/>
        </w:rPr>
        <w:t>s</w:t>
      </w:r>
      <w:r w:rsidRPr="0066052A">
        <w:rPr>
          <w:rFonts w:ascii="Verdana" w:hAnsi="Verdana"/>
          <w:color w:val="77328A"/>
          <w:sz w:val="16"/>
          <w:szCs w:val="16"/>
        </w:rPr>
        <w:t xml:space="preserve"> 45A</w:t>
      </w:r>
      <w:r w:rsidR="00A8132A">
        <w:rPr>
          <w:rFonts w:ascii="Verdana" w:hAnsi="Verdana"/>
          <w:color w:val="77328A"/>
          <w:sz w:val="16"/>
          <w:szCs w:val="16"/>
        </w:rPr>
        <w:t xml:space="preserve"> and 45B</w:t>
      </w:r>
      <w:r w:rsidR="00876B29" w:rsidRPr="0066052A">
        <w:rPr>
          <w:rFonts w:ascii="Verdana" w:hAnsi="Verdana"/>
          <w:color w:val="77328A"/>
          <w:sz w:val="16"/>
          <w:szCs w:val="16"/>
        </w:rPr>
        <w:t xml:space="preserve">, in Schedule </w:t>
      </w:r>
      <w:r w:rsidR="002A3789">
        <w:rPr>
          <w:rFonts w:ascii="Verdana" w:hAnsi="Verdana"/>
          <w:color w:val="77328A"/>
          <w:sz w:val="16"/>
          <w:szCs w:val="16"/>
        </w:rPr>
        <w:t>7</w:t>
      </w:r>
      <w:r w:rsidR="00095416" w:rsidRPr="0066052A">
        <w:rPr>
          <w:rFonts w:ascii="Verdana" w:hAnsi="Verdana"/>
          <w:color w:val="77328A"/>
          <w:sz w:val="16"/>
          <w:szCs w:val="16"/>
        </w:rPr>
        <w:t xml:space="preserve">, Data </w:t>
      </w:r>
      <w:r w:rsidR="002A3789">
        <w:rPr>
          <w:rFonts w:ascii="Verdana" w:hAnsi="Verdana"/>
          <w:color w:val="77328A"/>
          <w:sz w:val="16"/>
          <w:szCs w:val="16"/>
        </w:rPr>
        <w:t>(Use and Access) Bill [HL]</w:t>
      </w:r>
      <w:r w:rsidR="00095416" w:rsidRPr="0066052A">
        <w:rPr>
          <w:rFonts w:ascii="Verdana" w:hAnsi="Verdana"/>
          <w:color w:val="77328A"/>
          <w:sz w:val="16"/>
          <w:szCs w:val="16"/>
        </w:rPr>
        <w:t>.</w:t>
      </w:r>
    </w:p>
  </w:footnote>
  <w:footnote w:id="84">
    <w:p w14:paraId="20D799EA" w14:textId="3D43FD1E" w:rsidR="007103E1" w:rsidRPr="0066052A" w:rsidRDefault="007103E1">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45, Regulation 2016/679/EU, ‘Regulation of the European Parliament and Council on the protection of natural persons with regard to the processing of personal data and on the free movement of such data’, 27 April 2016.</w:t>
      </w:r>
    </w:p>
  </w:footnote>
  <w:footnote w:id="85">
    <w:p w14:paraId="72176DEF" w14:textId="239400A2" w:rsidR="00F40BE2" w:rsidRPr="00B61415" w:rsidRDefault="00F40BE2">
      <w:pPr>
        <w:pStyle w:val="FootnoteText"/>
        <w:rPr>
          <w:rFonts w:ascii="Verdana" w:hAnsi="Verdana"/>
          <w:color w:val="77328A"/>
          <w:sz w:val="16"/>
          <w:szCs w:val="16"/>
        </w:rPr>
      </w:pPr>
      <w:r w:rsidRPr="00B61415">
        <w:rPr>
          <w:rFonts w:ascii="Verdana" w:hAnsi="Verdana"/>
          <w:color w:val="77328A"/>
          <w:sz w:val="16"/>
          <w:szCs w:val="16"/>
          <w:vertAlign w:val="superscript"/>
        </w:rPr>
        <w:footnoteRef/>
      </w:r>
      <w:r w:rsidRPr="00B61415">
        <w:rPr>
          <w:rFonts w:ascii="Verdana" w:hAnsi="Verdana"/>
          <w:color w:val="77328A"/>
          <w:sz w:val="16"/>
          <w:szCs w:val="16"/>
          <w:vertAlign w:val="superscript"/>
        </w:rPr>
        <w:t xml:space="preserve"> </w:t>
      </w:r>
      <w:r w:rsidRPr="00B61415">
        <w:rPr>
          <w:rFonts w:ascii="Verdana" w:hAnsi="Verdana"/>
          <w:color w:val="77328A"/>
          <w:sz w:val="16"/>
          <w:szCs w:val="16"/>
        </w:rPr>
        <w:t xml:space="preserve">See </w:t>
      </w:r>
      <w:r w:rsidR="00724DB9" w:rsidRPr="00B61415">
        <w:rPr>
          <w:rFonts w:ascii="Verdana" w:hAnsi="Verdana"/>
          <w:color w:val="77328A"/>
          <w:sz w:val="16"/>
          <w:szCs w:val="16"/>
        </w:rPr>
        <w:t>section</w:t>
      </w:r>
      <w:r w:rsidR="00724DB9">
        <w:rPr>
          <w:rFonts w:ascii="Verdana" w:hAnsi="Verdana"/>
          <w:color w:val="77328A"/>
          <w:sz w:val="16"/>
          <w:szCs w:val="16"/>
        </w:rPr>
        <w:t>s</w:t>
      </w:r>
      <w:r w:rsidR="00724DB9" w:rsidRPr="00B61415">
        <w:rPr>
          <w:rFonts w:ascii="Verdana" w:hAnsi="Verdana"/>
          <w:color w:val="77328A"/>
          <w:sz w:val="16"/>
          <w:szCs w:val="16"/>
        </w:rPr>
        <w:t xml:space="preserve"> 17A and 17B</w:t>
      </w:r>
      <w:r w:rsidR="00724DB9">
        <w:rPr>
          <w:rFonts w:ascii="Verdana" w:hAnsi="Verdana"/>
          <w:color w:val="77328A"/>
          <w:sz w:val="16"/>
          <w:szCs w:val="16"/>
        </w:rPr>
        <w:t>,</w:t>
      </w:r>
      <w:r w:rsidR="00724DB9" w:rsidRPr="00B61415">
        <w:rPr>
          <w:rFonts w:ascii="Verdana" w:hAnsi="Verdana"/>
          <w:color w:val="77328A"/>
          <w:sz w:val="16"/>
          <w:szCs w:val="16"/>
        </w:rPr>
        <w:t xml:space="preserve"> </w:t>
      </w:r>
      <w:r w:rsidRPr="00B61415">
        <w:rPr>
          <w:rFonts w:ascii="Verdana" w:hAnsi="Verdana"/>
          <w:color w:val="77328A"/>
          <w:sz w:val="16"/>
          <w:szCs w:val="16"/>
        </w:rPr>
        <w:t>Data Protection Act 2018 for Secretary of State’s powers and duties in this regard.</w:t>
      </w:r>
    </w:p>
  </w:footnote>
  <w:footnote w:id="86">
    <w:p w14:paraId="08BD5B19" w14:textId="121F6D82" w:rsidR="0088062A" w:rsidRPr="00661F3D" w:rsidRDefault="0088062A">
      <w:pPr>
        <w:pStyle w:val="FootnoteText"/>
        <w:rPr>
          <w:rFonts w:ascii="Verdana" w:hAnsi="Verdana"/>
          <w:color w:val="77328A"/>
          <w:sz w:val="16"/>
          <w:szCs w:val="16"/>
        </w:rPr>
      </w:pPr>
      <w:r w:rsidRPr="00661F3D">
        <w:rPr>
          <w:rStyle w:val="FootnoteReference"/>
          <w:rFonts w:ascii="Verdana" w:hAnsi="Verdana"/>
          <w:color w:val="77328A"/>
          <w:sz w:val="16"/>
          <w:szCs w:val="16"/>
        </w:rPr>
        <w:footnoteRef/>
      </w:r>
      <w:r w:rsidRPr="00661F3D">
        <w:rPr>
          <w:rFonts w:ascii="Verdana" w:hAnsi="Verdana"/>
          <w:color w:val="77328A"/>
          <w:sz w:val="16"/>
          <w:szCs w:val="16"/>
        </w:rPr>
        <w:t xml:space="preserve"> </w:t>
      </w:r>
      <w:bookmarkStart w:id="30" w:name="_Hlk151128484"/>
      <w:r w:rsidRPr="00661F3D">
        <w:rPr>
          <w:rFonts w:ascii="Verdana" w:hAnsi="Verdana"/>
          <w:color w:val="77328A"/>
          <w:sz w:val="16"/>
          <w:szCs w:val="16"/>
        </w:rPr>
        <w:t>Article 45</w:t>
      </w:r>
      <w:r w:rsidR="00CC0E89" w:rsidRPr="00661F3D">
        <w:rPr>
          <w:rFonts w:ascii="Verdana" w:hAnsi="Verdana"/>
          <w:color w:val="77328A"/>
          <w:sz w:val="16"/>
          <w:szCs w:val="16"/>
        </w:rPr>
        <w:t>(2)(b), Regulation 2016/679/EU, ‘Regulation of the European Parliament and Council on the protection of natural persons with regard to the processing of personal data and on the free movement of such data</w:t>
      </w:r>
      <w:r w:rsidR="007635EA" w:rsidRPr="00661F3D">
        <w:rPr>
          <w:rFonts w:ascii="Verdana" w:hAnsi="Verdana"/>
          <w:color w:val="77328A"/>
          <w:sz w:val="16"/>
          <w:szCs w:val="16"/>
        </w:rPr>
        <w:t xml:space="preserve"> (EU GDPR)</w:t>
      </w:r>
      <w:r w:rsidR="00CC0E89" w:rsidRPr="00661F3D">
        <w:rPr>
          <w:rFonts w:ascii="Verdana" w:hAnsi="Verdana"/>
          <w:color w:val="77328A"/>
          <w:sz w:val="16"/>
          <w:szCs w:val="16"/>
        </w:rPr>
        <w:t>’, 27 April 2016.</w:t>
      </w:r>
      <w:r w:rsidR="000A7A87" w:rsidRPr="00661F3D">
        <w:rPr>
          <w:rFonts w:ascii="Verdana" w:hAnsi="Verdana"/>
          <w:color w:val="77328A"/>
          <w:sz w:val="16"/>
          <w:szCs w:val="16"/>
        </w:rPr>
        <w:t xml:space="preserve"> </w:t>
      </w:r>
      <w:bookmarkEnd w:id="30"/>
    </w:p>
  </w:footnote>
  <w:footnote w:id="87">
    <w:p w14:paraId="19D02468" w14:textId="030AFF57" w:rsidR="002649A8" w:rsidRDefault="002649A8" w:rsidP="002649A8">
      <w:pPr>
        <w:pStyle w:val="FootnoteText"/>
      </w:pPr>
      <w:r w:rsidRPr="00661F3D">
        <w:rPr>
          <w:rStyle w:val="FootnoteReference"/>
          <w:rFonts w:ascii="Verdana" w:hAnsi="Verdana"/>
          <w:color w:val="77328A"/>
          <w:sz w:val="16"/>
          <w:szCs w:val="16"/>
        </w:rPr>
        <w:footnoteRef/>
      </w:r>
      <w:r w:rsidR="376E7CDA" w:rsidRPr="00661F3D">
        <w:rPr>
          <w:rFonts w:ascii="Verdana" w:hAnsi="Verdana"/>
          <w:color w:val="77328A"/>
          <w:sz w:val="16"/>
          <w:szCs w:val="16"/>
        </w:rPr>
        <w:t xml:space="preserve"> </w:t>
      </w:r>
      <w:r w:rsidR="376E7CDA" w:rsidRPr="376E7CDA">
        <w:rPr>
          <w:rFonts w:ascii="Verdana" w:hAnsi="Verdana"/>
          <w:color w:val="77328A"/>
          <w:sz w:val="16"/>
          <w:szCs w:val="16"/>
        </w:rPr>
        <w:t xml:space="preserve">Article 45(2)(b), Regulation 2016/679/EU, ‘Regulation of the European Parliament and Council on the protection of natural persons with regard to the processing of personal data and on the free movement of such data (EU GDPR)’, 27 April 2016. </w:t>
      </w:r>
      <w:r w:rsidR="376E7CDA" w:rsidRPr="00661F3D">
        <w:rPr>
          <w:rFonts w:ascii="Verdana" w:hAnsi="Verdana"/>
          <w:color w:val="77328A"/>
          <w:sz w:val="16"/>
          <w:szCs w:val="16"/>
        </w:rPr>
        <w:t>Our emphasis</w:t>
      </w:r>
      <w:r w:rsidR="376E7CDA">
        <w:rPr>
          <w:rFonts w:ascii="Verdana" w:hAnsi="Verdana"/>
          <w:color w:val="77328A"/>
          <w:sz w:val="16"/>
          <w:szCs w:val="16"/>
        </w:rPr>
        <w:t xml:space="preserve"> throughout</w:t>
      </w:r>
      <w:r w:rsidR="376E7CDA" w:rsidRPr="00661F3D">
        <w:rPr>
          <w:rFonts w:ascii="Verdana" w:hAnsi="Verdana"/>
          <w:color w:val="77328A"/>
          <w:sz w:val="16"/>
          <w:szCs w:val="16"/>
        </w:rPr>
        <w:t>.</w:t>
      </w:r>
      <w:r w:rsidR="376E7CDA" w:rsidRPr="00661F3D">
        <w:rPr>
          <w:color w:val="77328A"/>
        </w:rPr>
        <w:t xml:space="preserve"> </w:t>
      </w:r>
    </w:p>
  </w:footnote>
  <w:footnote w:id="88">
    <w:p w14:paraId="2341716C" w14:textId="3E2E1F9E" w:rsidR="00181A64" w:rsidRPr="00661F3D" w:rsidRDefault="00181A64" w:rsidP="00181A64">
      <w:pPr>
        <w:pStyle w:val="FootnoteText"/>
        <w:rPr>
          <w:rFonts w:ascii="Verdana" w:hAnsi="Verdana"/>
          <w:color w:val="77328A"/>
          <w:sz w:val="16"/>
          <w:szCs w:val="16"/>
        </w:rPr>
      </w:pPr>
      <w:r w:rsidRPr="00661F3D">
        <w:rPr>
          <w:rStyle w:val="FootnoteReference"/>
          <w:rFonts w:ascii="Verdana" w:hAnsi="Verdana"/>
          <w:color w:val="77328A"/>
          <w:sz w:val="16"/>
          <w:szCs w:val="16"/>
        </w:rPr>
        <w:footnoteRef/>
      </w:r>
      <w:r w:rsidRPr="00661F3D">
        <w:rPr>
          <w:rFonts w:ascii="Verdana" w:hAnsi="Verdana"/>
          <w:color w:val="77328A"/>
          <w:sz w:val="16"/>
          <w:szCs w:val="16"/>
        </w:rPr>
        <w:t xml:space="preserve"> </w:t>
      </w:r>
      <w:r w:rsidR="2C78E07E" w:rsidRPr="2C78E07E">
        <w:rPr>
          <w:rFonts w:ascii="Verdana" w:hAnsi="Verdana"/>
          <w:color w:val="77328A"/>
          <w:sz w:val="16"/>
          <w:szCs w:val="16"/>
        </w:rPr>
        <w:t xml:space="preserve"> New Article 45B, </w:t>
      </w:r>
      <w:r w:rsidR="2C78E07E" w:rsidRPr="2C78E07E" w:rsidDel="00395624">
        <w:rPr>
          <w:rFonts w:ascii="Verdana" w:hAnsi="Verdana"/>
          <w:color w:val="77328A"/>
          <w:sz w:val="16"/>
          <w:szCs w:val="16"/>
        </w:rPr>
        <w:t xml:space="preserve">Data </w:t>
      </w:r>
      <w:r w:rsidR="00395624">
        <w:rPr>
          <w:rFonts w:ascii="Verdana" w:hAnsi="Verdana"/>
          <w:color w:val="77328A"/>
          <w:sz w:val="16"/>
          <w:szCs w:val="16"/>
        </w:rPr>
        <w:t>(Use and Access) Bill [HL]</w:t>
      </w:r>
      <w:r w:rsidR="2C78E07E" w:rsidRPr="2C78E07E">
        <w:rPr>
          <w:rFonts w:ascii="Verdana" w:hAnsi="Verdana"/>
          <w:color w:val="77328A"/>
          <w:sz w:val="16"/>
          <w:szCs w:val="16"/>
        </w:rPr>
        <w:t>.</w:t>
      </w:r>
    </w:p>
  </w:footnote>
  <w:footnote w:id="89">
    <w:p w14:paraId="42AD891A" w14:textId="6764B010" w:rsidR="00D01B8F" w:rsidRPr="000A2DB3" w:rsidRDefault="00D01B8F">
      <w:pPr>
        <w:pStyle w:val="FootnoteText"/>
        <w:rPr>
          <w:rFonts w:ascii="Verdana" w:hAnsi="Verdana"/>
          <w:color w:val="77328A"/>
          <w:sz w:val="16"/>
          <w:szCs w:val="16"/>
        </w:rPr>
      </w:pPr>
      <w:r w:rsidRPr="000A2DB3">
        <w:rPr>
          <w:rStyle w:val="FootnoteReference"/>
          <w:rFonts w:ascii="Verdana" w:hAnsi="Verdana"/>
          <w:color w:val="77328A"/>
          <w:sz w:val="16"/>
          <w:szCs w:val="16"/>
        </w:rPr>
        <w:footnoteRef/>
      </w:r>
      <w:r w:rsidRPr="000A2DB3">
        <w:rPr>
          <w:rFonts w:ascii="Verdana" w:hAnsi="Verdana"/>
          <w:color w:val="77328A"/>
          <w:sz w:val="16"/>
          <w:szCs w:val="16"/>
        </w:rPr>
        <w:t xml:space="preserve"> The new Labour government has committed to repealing and </w:t>
      </w:r>
      <w:r w:rsidR="000701ED" w:rsidRPr="000A2DB3">
        <w:rPr>
          <w:rFonts w:ascii="Verdana" w:hAnsi="Verdana"/>
          <w:color w:val="77328A"/>
          <w:sz w:val="16"/>
          <w:szCs w:val="16"/>
        </w:rPr>
        <w:t>replace</w:t>
      </w:r>
      <w:r w:rsidRPr="000A2DB3">
        <w:rPr>
          <w:rFonts w:ascii="Verdana" w:hAnsi="Verdana"/>
          <w:color w:val="77328A"/>
          <w:sz w:val="16"/>
          <w:szCs w:val="16"/>
        </w:rPr>
        <w:t xml:space="preserve"> the Illegal Migration Act 2023. </w:t>
      </w:r>
    </w:p>
  </w:footnote>
  <w:footnote w:id="90">
    <w:p w14:paraId="289FFEF3" w14:textId="1B27B6BB" w:rsidR="00A108D1" w:rsidRPr="0066052A" w:rsidRDefault="00A108D1" w:rsidP="00EB35B6">
      <w:pPr>
        <w:pStyle w:val="FootnoteText"/>
        <w:rPr>
          <w:rFonts w:ascii="Verdana" w:hAnsi="Verdana"/>
          <w:color w:val="77328A"/>
          <w:sz w:val="16"/>
          <w:szCs w:val="16"/>
        </w:rPr>
      </w:pPr>
      <w:r w:rsidRPr="00D53098">
        <w:rPr>
          <w:rStyle w:val="FootnoteReference"/>
          <w:rFonts w:ascii="Verdana" w:hAnsi="Verdana"/>
          <w:color w:val="77328A"/>
          <w:sz w:val="16"/>
          <w:szCs w:val="16"/>
        </w:rPr>
        <w:footnoteRef/>
      </w:r>
      <w:r w:rsidRPr="00D53098">
        <w:rPr>
          <w:rFonts w:ascii="Verdana" w:hAnsi="Verdana"/>
          <w:color w:val="77328A"/>
          <w:sz w:val="16"/>
          <w:szCs w:val="16"/>
        </w:rPr>
        <w:t xml:space="preserve"> </w:t>
      </w:r>
      <w:r w:rsidR="00C42D29" w:rsidRPr="00D53098">
        <w:rPr>
          <w:rFonts w:ascii="Verdana" w:hAnsi="Verdana"/>
          <w:color w:val="77328A"/>
          <w:sz w:val="16"/>
          <w:szCs w:val="16"/>
        </w:rPr>
        <w:t>NI Human Rights Commission and Equality Commission for NI</w:t>
      </w:r>
      <w:r w:rsidR="00821613" w:rsidRPr="00D53098">
        <w:rPr>
          <w:rFonts w:ascii="Verdana" w:hAnsi="Verdana"/>
          <w:color w:val="77328A"/>
          <w:sz w:val="16"/>
          <w:szCs w:val="16"/>
        </w:rPr>
        <w:t>, ‘</w:t>
      </w:r>
      <w:r w:rsidR="00EB35B6" w:rsidRPr="00D53098">
        <w:rPr>
          <w:rFonts w:ascii="Verdana" w:hAnsi="Verdana"/>
          <w:color w:val="77328A"/>
          <w:sz w:val="16"/>
          <w:szCs w:val="16"/>
        </w:rPr>
        <w:t>Working Paper: The Scope of Article 2(1) of the Ireland/Northern Ireland Protocol’ (</w:t>
      </w:r>
      <w:r w:rsidR="00C42D29" w:rsidRPr="00D53098">
        <w:rPr>
          <w:rFonts w:ascii="Verdana" w:hAnsi="Verdana"/>
          <w:color w:val="77328A"/>
          <w:sz w:val="16"/>
          <w:szCs w:val="16"/>
        </w:rPr>
        <w:t>NIHRC and ECNI</w:t>
      </w:r>
      <w:r w:rsidR="00EB35B6" w:rsidRPr="00D53098">
        <w:rPr>
          <w:rFonts w:ascii="Verdana" w:hAnsi="Verdana"/>
          <w:color w:val="77328A"/>
          <w:sz w:val="16"/>
          <w:szCs w:val="16"/>
        </w:rPr>
        <w:t xml:space="preserve">, 2022). </w:t>
      </w:r>
      <w:r w:rsidR="00C42D29" w:rsidRPr="00D53098">
        <w:rPr>
          <w:rFonts w:ascii="Verdana" w:hAnsi="Verdana"/>
          <w:color w:val="77328A"/>
          <w:sz w:val="16"/>
          <w:szCs w:val="16"/>
        </w:rPr>
        <w:t xml:space="preserve">See also </w:t>
      </w:r>
      <w:r w:rsidR="00C42D29" w:rsidRPr="00D53098">
        <w:rPr>
          <w:rFonts w:ascii="Verdana" w:hAnsi="Verdana"/>
          <w:i/>
          <w:iCs/>
          <w:color w:val="77328A"/>
          <w:sz w:val="16"/>
          <w:szCs w:val="16"/>
        </w:rPr>
        <w:t>In the Matter of</w:t>
      </w:r>
      <w:r w:rsidR="008C1F70" w:rsidRPr="00D53098">
        <w:rPr>
          <w:rFonts w:ascii="Verdana" w:hAnsi="Verdana"/>
          <w:i/>
          <w:iCs/>
          <w:color w:val="77328A"/>
          <w:sz w:val="16"/>
          <w:szCs w:val="16"/>
        </w:rPr>
        <w:t xml:space="preserve"> an Application by AA for Judicial Review</w:t>
      </w:r>
      <w:r w:rsidR="008C1F70" w:rsidRPr="00D53098">
        <w:rPr>
          <w:rFonts w:ascii="Verdana" w:hAnsi="Verdana"/>
          <w:color w:val="77328A"/>
          <w:sz w:val="16"/>
          <w:szCs w:val="16"/>
        </w:rPr>
        <w:t xml:space="preserve"> [2023] NIKB 102, at para 107</w:t>
      </w:r>
      <w:r w:rsidR="001A0869" w:rsidRPr="00D53098">
        <w:rPr>
          <w:rFonts w:ascii="Verdana" w:hAnsi="Verdana"/>
          <w:color w:val="77328A"/>
          <w:sz w:val="16"/>
          <w:szCs w:val="16"/>
        </w:rPr>
        <w:t xml:space="preserve">. </w:t>
      </w:r>
    </w:p>
  </w:footnote>
  <w:footnote w:id="91">
    <w:p w14:paraId="32359366" w14:textId="120114EA" w:rsidR="002D55BE" w:rsidRPr="00A40094" w:rsidRDefault="002D55BE">
      <w:pPr>
        <w:pStyle w:val="FootnoteText"/>
        <w:rPr>
          <w:rFonts w:ascii="Verdana" w:hAnsi="Verdana"/>
          <w:color w:val="77328A"/>
          <w:sz w:val="16"/>
          <w:szCs w:val="16"/>
        </w:rPr>
      </w:pPr>
      <w:r w:rsidRPr="00A40094">
        <w:rPr>
          <w:rStyle w:val="FootnoteReference"/>
          <w:rFonts w:ascii="Verdana" w:hAnsi="Verdana"/>
          <w:color w:val="77328A"/>
          <w:sz w:val="16"/>
          <w:szCs w:val="16"/>
        </w:rPr>
        <w:footnoteRef/>
      </w:r>
      <w:r w:rsidRPr="00A40094">
        <w:rPr>
          <w:rFonts w:ascii="Verdana" w:hAnsi="Verdana"/>
          <w:color w:val="77328A"/>
          <w:sz w:val="16"/>
          <w:szCs w:val="16"/>
        </w:rPr>
        <w:t xml:space="preserve"> Article 4(1), Regulation 2016/679/EU, ‘Regulation of the European Parliament and Council on the protection of natural persons with regard to the processing of personal data and on the free movement of such data’, 27 April 2016.</w:t>
      </w:r>
    </w:p>
  </w:footnote>
  <w:footnote w:id="92">
    <w:p w14:paraId="2EF9A08A" w14:textId="0487E047" w:rsidR="00F24D06" w:rsidRPr="00A40094" w:rsidRDefault="00F24D06">
      <w:pPr>
        <w:pStyle w:val="FootnoteText"/>
        <w:rPr>
          <w:rFonts w:ascii="Verdana" w:hAnsi="Verdana"/>
          <w:color w:val="77328A"/>
          <w:sz w:val="16"/>
          <w:szCs w:val="16"/>
        </w:rPr>
      </w:pPr>
      <w:r w:rsidRPr="00A40094">
        <w:rPr>
          <w:rStyle w:val="FootnoteReference"/>
          <w:rFonts w:ascii="Verdana" w:hAnsi="Verdana"/>
          <w:color w:val="77328A"/>
          <w:sz w:val="16"/>
          <w:szCs w:val="16"/>
        </w:rPr>
        <w:footnoteRef/>
      </w:r>
      <w:r w:rsidRPr="00A40094">
        <w:rPr>
          <w:rFonts w:ascii="Verdana" w:hAnsi="Verdana"/>
          <w:color w:val="77328A"/>
          <w:sz w:val="16"/>
          <w:szCs w:val="16"/>
        </w:rPr>
        <w:t xml:space="preserve"> Article 5(1)(b), </w:t>
      </w:r>
      <w:bookmarkStart w:id="35" w:name="_Hlk151728923"/>
      <w:r w:rsidRPr="00A40094">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 27 April 2016.</w:t>
      </w:r>
      <w:bookmarkEnd w:id="35"/>
    </w:p>
  </w:footnote>
  <w:footnote w:id="93">
    <w:p w14:paraId="75D901C6" w14:textId="638DEF8B" w:rsidR="00CD5E57" w:rsidRPr="0066052A" w:rsidRDefault="00CD5E57">
      <w:pPr>
        <w:pStyle w:val="FootnoteText"/>
        <w:rPr>
          <w:rFonts w:ascii="Verdana" w:hAnsi="Verdana"/>
          <w:color w:val="77328A"/>
          <w:sz w:val="16"/>
          <w:szCs w:val="16"/>
        </w:rPr>
      </w:pPr>
      <w:r w:rsidRPr="00A40094">
        <w:rPr>
          <w:rStyle w:val="FootnoteReference"/>
          <w:rFonts w:ascii="Verdana" w:hAnsi="Verdana"/>
          <w:color w:val="77328A"/>
          <w:sz w:val="16"/>
          <w:szCs w:val="16"/>
        </w:rPr>
        <w:footnoteRef/>
      </w:r>
      <w:r w:rsidRPr="00A40094">
        <w:rPr>
          <w:rFonts w:ascii="Verdana" w:hAnsi="Verdana"/>
          <w:color w:val="77328A"/>
          <w:sz w:val="16"/>
          <w:szCs w:val="16"/>
        </w:rPr>
        <w:t xml:space="preserve"> Article 9</w:t>
      </w:r>
      <w:r w:rsidR="00F47623" w:rsidRPr="00A40094">
        <w:rPr>
          <w:rFonts w:ascii="Verdana" w:hAnsi="Verdana"/>
          <w:color w:val="77328A"/>
          <w:sz w:val="16"/>
          <w:szCs w:val="16"/>
        </w:rPr>
        <w:t xml:space="preserve">(2)(j), </w:t>
      </w:r>
      <w:bookmarkStart w:id="36" w:name="_Hlk152768388"/>
      <w:r w:rsidR="00F47623" w:rsidRPr="00A40094">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 27 April 2016.</w:t>
      </w:r>
      <w:bookmarkEnd w:id="36"/>
    </w:p>
  </w:footnote>
  <w:footnote w:id="94">
    <w:p w14:paraId="1EF5A3FF" w14:textId="0AAFAD83" w:rsidR="00D1539C" w:rsidRPr="00417C8F" w:rsidRDefault="00D1539C">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r w:rsidR="00BE6503" w:rsidRPr="00417C8F">
        <w:rPr>
          <w:rFonts w:ascii="Verdana" w:hAnsi="Verdana"/>
          <w:color w:val="77328A"/>
          <w:sz w:val="16"/>
          <w:szCs w:val="16"/>
        </w:rPr>
        <w:t xml:space="preserve">Clause </w:t>
      </w:r>
      <w:r w:rsidR="00AC58FD">
        <w:rPr>
          <w:rFonts w:ascii="Verdana" w:hAnsi="Verdana"/>
          <w:color w:val="77328A"/>
          <w:sz w:val="16"/>
          <w:szCs w:val="16"/>
        </w:rPr>
        <w:t xml:space="preserve">67, Data (Use and Access) Bill [HL]. </w:t>
      </w:r>
    </w:p>
  </w:footnote>
  <w:footnote w:id="95">
    <w:p w14:paraId="2F3590C2" w14:textId="208A2243" w:rsidR="00764E66" w:rsidRPr="00417C8F" w:rsidRDefault="00764E66">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r w:rsidR="0023091E" w:rsidRPr="00417C8F">
        <w:rPr>
          <w:rFonts w:ascii="Verdana" w:hAnsi="Verdana"/>
          <w:color w:val="77328A"/>
          <w:sz w:val="16"/>
          <w:szCs w:val="16"/>
        </w:rPr>
        <w:t xml:space="preserve">Article 5(1)(b), </w:t>
      </w:r>
      <w:bookmarkStart w:id="38" w:name="_Hlk152768482"/>
      <w:r w:rsidR="0023091E" w:rsidRPr="00417C8F">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 27 April 2016.</w:t>
      </w:r>
      <w:bookmarkEnd w:id="38"/>
    </w:p>
  </w:footnote>
  <w:footnote w:id="96">
    <w:p w14:paraId="5CC5425D" w14:textId="504A3883" w:rsidR="00F33870" w:rsidRPr="00417C8F" w:rsidRDefault="00F33870">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bookmarkStart w:id="39" w:name="_Hlk152769517"/>
      <w:r w:rsidR="00F769F5" w:rsidRPr="00417C8F">
        <w:rPr>
          <w:rFonts w:ascii="Verdana" w:hAnsi="Verdana"/>
          <w:color w:val="77328A"/>
          <w:sz w:val="16"/>
          <w:szCs w:val="16"/>
        </w:rPr>
        <w:t>Article 9(2)(j), Regulation 2016/679/EU, ‘Regulation of the European Parliament and Council on the protection of natural persons with regard to the processing of personal data and on the free movement of such data’, 27 April 2016.</w:t>
      </w:r>
    </w:p>
    <w:bookmarkEnd w:id="39"/>
  </w:footnote>
  <w:footnote w:id="97">
    <w:p w14:paraId="58740B0B" w14:textId="2B29845D" w:rsidR="00764E66" w:rsidRPr="00417C8F" w:rsidRDefault="00764E66">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r w:rsidR="00417C8F" w:rsidRPr="00417C8F">
        <w:rPr>
          <w:rFonts w:ascii="Verdana" w:hAnsi="Verdana"/>
          <w:color w:val="77328A"/>
          <w:sz w:val="16"/>
          <w:szCs w:val="16"/>
        </w:rPr>
        <w:t>Article 9(2)(j), Regulation 2016/679/EU, ‘Regulation of the European Parliament and Council on the protection of natural persons with regard to the processing of personal data and on the free movement of such data’, 27 April 2016.</w:t>
      </w:r>
    </w:p>
  </w:footnote>
  <w:footnote w:id="98">
    <w:p w14:paraId="11064D4F" w14:textId="5DFEA9D0" w:rsidR="00957527" w:rsidRPr="0066052A" w:rsidRDefault="00957527">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r w:rsidR="00347533" w:rsidRPr="000A2DB3">
        <w:rPr>
          <w:rFonts w:ascii="Verdana" w:hAnsi="Verdana"/>
          <w:color w:val="77328A"/>
          <w:sz w:val="16"/>
          <w:szCs w:val="16"/>
        </w:rPr>
        <w:t>Schedule 4 (Lawfulness of processing: recognised legitimate interests), Data (Use and Access) Bill [HL]</w:t>
      </w:r>
      <w:r w:rsidR="00347533" w:rsidRPr="0041753B">
        <w:rPr>
          <w:rFonts w:ascii="Verdana" w:hAnsi="Verdana"/>
          <w:color w:val="77328A"/>
          <w:sz w:val="16"/>
          <w:szCs w:val="16"/>
        </w:rPr>
        <w:t>.</w:t>
      </w:r>
    </w:p>
  </w:footnote>
  <w:footnote w:id="99">
    <w:p w14:paraId="02B894A4" w14:textId="197406E3" w:rsidR="00FF3AB2" w:rsidRPr="0066052A" w:rsidRDefault="00FF3AB2">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5 </w:t>
      </w:r>
      <w:r w:rsidR="009C72B8" w:rsidRPr="0066052A">
        <w:rPr>
          <w:rFonts w:ascii="Verdana" w:hAnsi="Verdana"/>
          <w:color w:val="77328A"/>
          <w:sz w:val="16"/>
          <w:szCs w:val="16"/>
        </w:rPr>
        <w:t>(1) (b)</w:t>
      </w:r>
      <w:r w:rsidR="00571BCD" w:rsidRPr="0066052A">
        <w:rPr>
          <w:rFonts w:ascii="Verdana" w:hAnsi="Verdana"/>
          <w:color w:val="77328A"/>
          <w:sz w:val="16"/>
          <w:szCs w:val="16"/>
        </w:rPr>
        <w:t>, Regulation 2016/679/EU, ‘Regulation of the European Parliament and Council on the protection of natural persons with regard to the processing of personal data and on the free movement of such data’, 27 April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3FE2"/>
    <w:multiLevelType w:val="multilevel"/>
    <w:tmpl w:val="190C61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430AD8"/>
    <w:multiLevelType w:val="multilevel"/>
    <w:tmpl w:val="DD883CDA"/>
    <w:lvl w:ilvl="0">
      <w:start w:val="31"/>
      <w:numFmt w:val="decimal"/>
      <w:lvlText w:val="%1."/>
      <w:lvlJc w:val="left"/>
      <w:pPr>
        <w:tabs>
          <w:tab w:val="num" w:pos="720"/>
        </w:tabs>
        <w:ind w:left="720" w:hanging="360"/>
      </w:pPr>
      <w:rPr>
        <w:rFonts w:ascii="Verdana" w:hAnsi="Verdana"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8867A9C"/>
    <w:multiLevelType w:val="hybridMultilevel"/>
    <w:tmpl w:val="28A46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210387"/>
    <w:multiLevelType w:val="multilevel"/>
    <w:tmpl w:val="F1BC7988"/>
    <w:lvl w:ilvl="0">
      <w:start w:val="1"/>
      <w:numFmt w:val="decimal"/>
      <w:pStyle w:val="Heading1"/>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bCs/>
        <w:strike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229901F1"/>
    <w:multiLevelType w:val="hybridMultilevel"/>
    <w:tmpl w:val="3E9E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70742"/>
    <w:multiLevelType w:val="hybridMultilevel"/>
    <w:tmpl w:val="D94E3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5D6531"/>
    <w:multiLevelType w:val="multilevel"/>
    <w:tmpl w:val="70E6B036"/>
    <w:lvl w:ilvl="0">
      <w:start w:val="1"/>
      <w:numFmt w:val="decimal"/>
      <w:lvlText w:val="1.%1"/>
      <w:lvlJc w:val="left"/>
      <w:pPr>
        <w:ind w:left="720" w:hanging="720"/>
      </w:pPr>
      <w:rPr>
        <w:rFonts w:hint="default"/>
        <w:b w:val="0"/>
        <w:bCs/>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7" w15:restartNumberingAfterBreak="0">
    <w:nsid w:val="28476207"/>
    <w:multiLevelType w:val="multilevel"/>
    <w:tmpl w:val="01A8F5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245E71"/>
    <w:multiLevelType w:val="multilevel"/>
    <w:tmpl w:val="A406F9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DBE7EAE"/>
    <w:multiLevelType w:val="multilevel"/>
    <w:tmpl w:val="877C358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strike w:val="0"/>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 w15:restartNumberingAfterBreak="0">
    <w:nsid w:val="33A753CD"/>
    <w:multiLevelType w:val="hybridMultilevel"/>
    <w:tmpl w:val="9434F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6A7923"/>
    <w:multiLevelType w:val="hybridMultilevel"/>
    <w:tmpl w:val="37447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76A28"/>
    <w:multiLevelType w:val="multilevel"/>
    <w:tmpl w:val="AB6AA7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EB356D"/>
    <w:multiLevelType w:val="multilevel"/>
    <w:tmpl w:val="BEFAF24C"/>
    <w:lvl w:ilvl="0">
      <w:start w:val="3"/>
      <w:numFmt w:val="decimal"/>
      <w:lvlText w:val="%1"/>
      <w:lvlJc w:val="left"/>
      <w:pPr>
        <w:ind w:left="398" w:hanging="398"/>
      </w:pPr>
      <w:rPr>
        <w:rFonts w:hint="default"/>
      </w:rPr>
    </w:lvl>
    <w:lvl w:ilvl="1">
      <w:start w:val="13"/>
      <w:numFmt w:val="decimal"/>
      <w:lvlText w:val="%1.%2"/>
      <w:lvlJc w:val="left"/>
      <w:pPr>
        <w:ind w:left="398" w:hanging="398"/>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B785E"/>
    <w:multiLevelType w:val="multilevel"/>
    <w:tmpl w:val="EC0AC18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FC1BD7"/>
    <w:multiLevelType w:val="multilevel"/>
    <w:tmpl w:val="1C02FD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51DE70AE"/>
    <w:multiLevelType w:val="multilevel"/>
    <w:tmpl w:val="0598DDC0"/>
    <w:lvl w:ilvl="0">
      <w:start w:val="3"/>
      <w:numFmt w:val="decimal"/>
      <w:lvlText w:val="%1"/>
      <w:lvlJc w:val="left"/>
      <w:pPr>
        <w:ind w:left="398" w:hanging="398"/>
      </w:pPr>
      <w:rPr>
        <w:rFonts w:hint="default"/>
      </w:rPr>
    </w:lvl>
    <w:lvl w:ilvl="1">
      <w:start w:val="22"/>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EB35BA"/>
    <w:multiLevelType w:val="multilevel"/>
    <w:tmpl w:val="70E6B036"/>
    <w:lvl w:ilvl="0">
      <w:start w:val="1"/>
      <w:numFmt w:val="decimal"/>
      <w:lvlText w:val="1.%1"/>
      <w:lvlJc w:val="left"/>
      <w:pPr>
        <w:ind w:left="720" w:hanging="720"/>
      </w:pPr>
      <w:rPr>
        <w:rFonts w:hint="default"/>
        <w:b w:val="0"/>
        <w:bCs/>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8" w15:restartNumberingAfterBreak="0">
    <w:nsid w:val="60BE1F65"/>
    <w:multiLevelType w:val="hybridMultilevel"/>
    <w:tmpl w:val="3DC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E1114"/>
    <w:multiLevelType w:val="hybridMultilevel"/>
    <w:tmpl w:val="C1021538"/>
    <w:lvl w:ilvl="0" w:tplc="80E2F566">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E764651"/>
    <w:multiLevelType w:val="multilevel"/>
    <w:tmpl w:val="C0ECCBC6"/>
    <w:lvl w:ilvl="0">
      <w:start w:val="2"/>
      <w:numFmt w:val="decimal"/>
      <w:lvlText w:val="%1"/>
      <w:lvlJc w:val="left"/>
      <w:pPr>
        <w:ind w:left="390" w:hanging="390"/>
      </w:pPr>
      <w:rPr>
        <w:rFonts w:hint="default"/>
      </w:rPr>
    </w:lvl>
    <w:lvl w:ilvl="1">
      <w:start w:val="2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6794529">
    <w:abstractNumId w:val="18"/>
  </w:num>
  <w:num w:numId="2" w16cid:durableId="128674217">
    <w:abstractNumId w:val="11"/>
  </w:num>
  <w:num w:numId="3" w16cid:durableId="1356347109">
    <w:abstractNumId w:val="4"/>
  </w:num>
  <w:num w:numId="4" w16cid:durableId="1504399326">
    <w:abstractNumId w:val="0"/>
  </w:num>
  <w:num w:numId="5" w16cid:durableId="102462740">
    <w:abstractNumId w:val="12"/>
  </w:num>
  <w:num w:numId="6" w16cid:durableId="1432511950">
    <w:abstractNumId w:val="14"/>
  </w:num>
  <w:num w:numId="7" w16cid:durableId="961228538">
    <w:abstractNumId w:val="19"/>
  </w:num>
  <w:num w:numId="8" w16cid:durableId="1658879903">
    <w:abstractNumId w:val="8"/>
  </w:num>
  <w:num w:numId="9" w16cid:durableId="1575510895">
    <w:abstractNumId w:val="17"/>
  </w:num>
  <w:num w:numId="10" w16cid:durableId="1564219918">
    <w:abstractNumId w:val="15"/>
  </w:num>
  <w:num w:numId="11" w16cid:durableId="1142045638">
    <w:abstractNumId w:val="17"/>
  </w:num>
  <w:num w:numId="12" w16cid:durableId="639729019">
    <w:abstractNumId w:val="3"/>
  </w:num>
  <w:num w:numId="13" w16cid:durableId="11698340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0643205">
    <w:abstractNumId w:val="20"/>
  </w:num>
  <w:num w:numId="15" w16cid:durableId="145687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3863585">
    <w:abstractNumId w:val="2"/>
  </w:num>
  <w:num w:numId="17" w16cid:durableId="2051414498">
    <w:abstractNumId w:val="5"/>
  </w:num>
  <w:num w:numId="18" w16cid:durableId="72626093">
    <w:abstractNumId w:val="10"/>
  </w:num>
  <w:num w:numId="19" w16cid:durableId="398941410">
    <w:abstractNumId w:val="7"/>
  </w:num>
  <w:num w:numId="20" w16cid:durableId="1598558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3325453">
    <w:abstractNumId w:val="16"/>
  </w:num>
  <w:num w:numId="22" w16cid:durableId="402871780">
    <w:abstractNumId w:val="13"/>
  </w:num>
  <w:num w:numId="23" w16cid:durableId="84422172">
    <w:abstractNumId w:val="21"/>
  </w:num>
  <w:num w:numId="24" w16cid:durableId="1583905515">
    <w:abstractNumId w:val="1"/>
  </w:num>
  <w:num w:numId="25" w16cid:durableId="1135834195">
    <w:abstractNumId w:val="6"/>
  </w:num>
  <w:num w:numId="26" w16cid:durableId="650141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E1"/>
    <w:rsid w:val="00001ABE"/>
    <w:rsid w:val="00001FF7"/>
    <w:rsid w:val="000038A5"/>
    <w:rsid w:val="000039B2"/>
    <w:rsid w:val="000043AE"/>
    <w:rsid w:val="0000470A"/>
    <w:rsid w:val="00004C7E"/>
    <w:rsid w:val="00004FFB"/>
    <w:rsid w:val="00005226"/>
    <w:rsid w:val="00005417"/>
    <w:rsid w:val="00005912"/>
    <w:rsid w:val="00010D4D"/>
    <w:rsid w:val="00010F22"/>
    <w:rsid w:val="00011354"/>
    <w:rsid w:val="0001179A"/>
    <w:rsid w:val="00011817"/>
    <w:rsid w:val="000128CD"/>
    <w:rsid w:val="00012BC1"/>
    <w:rsid w:val="000132FC"/>
    <w:rsid w:val="000146E4"/>
    <w:rsid w:val="00014A61"/>
    <w:rsid w:val="00015119"/>
    <w:rsid w:val="00015401"/>
    <w:rsid w:val="00015917"/>
    <w:rsid w:val="0001592A"/>
    <w:rsid w:val="000205BA"/>
    <w:rsid w:val="000214E7"/>
    <w:rsid w:val="00021922"/>
    <w:rsid w:val="00022988"/>
    <w:rsid w:val="00022DC5"/>
    <w:rsid w:val="000238C9"/>
    <w:rsid w:val="00024A77"/>
    <w:rsid w:val="000254A2"/>
    <w:rsid w:val="00025F09"/>
    <w:rsid w:val="00026CB0"/>
    <w:rsid w:val="0002769C"/>
    <w:rsid w:val="00027795"/>
    <w:rsid w:val="00027D5B"/>
    <w:rsid w:val="00027E4A"/>
    <w:rsid w:val="000305E2"/>
    <w:rsid w:val="00030FE8"/>
    <w:rsid w:val="000337FB"/>
    <w:rsid w:val="00035889"/>
    <w:rsid w:val="00035F2E"/>
    <w:rsid w:val="0003615B"/>
    <w:rsid w:val="00037501"/>
    <w:rsid w:val="0003751B"/>
    <w:rsid w:val="00037775"/>
    <w:rsid w:val="00037E01"/>
    <w:rsid w:val="00041178"/>
    <w:rsid w:val="0004145D"/>
    <w:rsid w:val="0004217F"/>
    <w:rsid w:val="00042548"/>
    <w:rsid w:val="00042799"/>
    <w:rsid w:val="000458BA"/>
    <w:rsid w:val="000458D4"/>
    <w:rsid w:val="00045D49"/>
    <w:rsid w:val="0004629B"/>
    <w:rsid w:val="000466EE"/>
    <w:rsid w:val="000472A4"/>
    <w:rsid w:val="00047847"/>
    <w:rsid w:val="000500B9"/>
    <w:rsid w:val="0005054B"/>
    <w:rsid w:val="000510E9"/>
    <w:rsid w:val="0005136F"/>
    <w:rsid w:val="00052BED"/>
    <w:rsid w:val="00052EE4"/>
    <w:rsid w:val="00053ABC"/>
    <w:rsid w:val="00053EAA"/>
    <w:rsid w:val="000544A1"/>
    <w:rsid w:val="00054F35"/>
    <w:rsid w:val="0005520A"/>
    <w:rsid w:val="00055303"/>
    <w:rsid w:val="000556EB"/>
    <w:rsid w:val="00055F30"/>
    <w:rsid w:val="000564F9"/>
    <w:rsid w:val="00061256"/>
    <w:rsid w:val="00061C98"/>
    <w:rsid w:val="00061E35"/>
    <w:rsid w:val="00062145"/>
    <w:rsid w:val="00062C9C"/>
    <w:rsid w:val="000635FF"/>
    <w:rsid w:val="00064397"/>
    <w:rsid w:val="000646C2"/>
    <w:rsid w:val="00065159"/>
    <w:rsid w:val="00065506"/>
    <w:rsid w:val="00065617"/>
    <w:rsid w:val="00065657"/>
    <w:rsid w:val="0006579C"/>
    <w:rsid w:val="00065EFD"/>
    <w:rsid w:val="00066872"/>
    <w:rsid w:val="00067EBB"/>
    <w:rsid w:val="000701ED"/>
    <w:rsid w:val="000705A6"/>
    <w:rsid w:val="00072233"/>
    <w:rsid w:val="00072D1B"/>
    <w:rsid w:val="0007353B"/>
    <w:rsid w:val="000746D2"/>
    <w:rsid w:val="00075E74"/>
    <w:rsid w:val="000765E3"/>
    <w:rsid w:val="00076D04"/>
    <w:rsid w:val="00077BF4"/>
    <w:rsid w:val="00081122"/>
    <w:rsid w:val="0008180B"/>
    <w:rsid w:val="00082DD2"/>
    <w:rsid w:val="0008335A"/>
    <w:rsid w:val="0008405F"/>
    <w:rsid w:val="00084467"/>
    <w:rsid w:val="0008477A"/>
    <w:rsid w:val="000857E8"/>
    <w:rsid w:val="0008589C"/>
    <w:rsid w:val="0008638B"/>
    <w:rsid w:val="00086E78"/>
    <w:rsid w:val="00086E94"/>
    <w:rsid w:val="0008745B"/>
    <w:rsid w:val="00087C1B"/>
    <w:rsid w:val="000902E8"/>
    <w:rsid w:val="0009048A"/>
    <w:rsid w:val="00090F31"/>
    <w:rsid w:val="00093639"/>
    <w:rsid w:val="00095416"/>
    <w:rsid w:val="00095C74"/>
    <w:rsid w:val="00095DD4"/>
    <w:rsid w:val="00096303"/>
    <w:rsid w:val="00096495"/>
    <w:rsid w:val="000969BF"/>
    <w:rsid w:val="00096AF6"/>
    <w:rsid w:val="000972FC"/>
    <w:rsid w:val="000A0281"/>
    <w:rsid w:val="000A0DCC"/>
    <w:rsid w:val="000A0FDA"/>
    <w:rsid w:val="000A18D5"/>
    <w:rsid w:val="000A20DA"/>
    <w:rsid w:val="000A2CCE"/>
    <w:rsid w:val="000A2DB3"/>
    <w:rsid w:val="000A3118"/>
    <w:rsid w:val="000A3AFF"/>
    <w:rsid w:val="000A3EB4"/>
    <w:rsid w:val="000A439E"/>
    <w:rsid w:val="000A510E"/>
    <w:rsid w:val="000A5607"/>
    <w:rsid w:val="000A6DEE"/>
    <w:rsid w:val="000A7174"/>
    <w:rsid w:val="000A7A87"/>
    <w:rsid w:val="000A7ED9"/>
    <w:rsid w:val="000B0065"/>
    <w:rsid w:val="000B21C1"/>
    <w:rsid w:val="000B2C05"/>
    <w:rsid w:val="000B2EE8"/>
    <w:rsid w:val="000B37C1"/>
    <w:rsid w:val="000B3809"/>
    <w:rsid w:val="000B3D60"/>
    <w:rsid w:val="000B4406"/>
    <w:rsid w:val="000B4444"/>
    <w:rsid w:val="000B5A10"/>
    <w:rsid w:val="000B6152"/>
    <w:rsid w:val="000C13CE"/>
    <w:rsid w:val="000C1D97"/>
    <w:rsid w:val="000C2083"/>
    <w:rsid w:val="000C2A4B"/>
    <w:rsid w:val="000C3F07"/>
    <w:rsid w:val="000C5D4B"/>
    <w:rsid w:val="000C6232"/>
    <w:rsid w:val="000C69B0"/>
    <w:rsid w:val="000C6FDF"/>
    <w:rsid w:val="000C7BBE"/>
    <w:rsid w:val="000D0567"/>
    <w:rsid w:val="000D0A91"/>
    <w:rsid w:val="000D0DFC"/>
    <w:rsid w:val="000D0F7A"/>
    <w:rsid w:val="000D1D7A"/>
    <w:rsid w:val="000D1E97"/>
    <w:rsid w:val="000D2DFD"/>
    <w:rsid w:val="000D33BD"/>
    <w:rsid w:val="000D35D7"/>
    <w:rsid w:val="000D4DB5"/>
    <w:rsid w:val="000D4E7A"/>
    <w:rsid w:val="000D537E"/>
    <w:rsid w:val="000D58A1"/>
    <w:rsid w:val="000D6A79"/>
    <w:rsid w:val="000E101C"/>
    <w:rsid w:val="000E107F"/>
    <w:rsid w:val="000E124A"/>
    <w:rsid w:val="000E146E"/>
    <w:rsid w:val="000E1653"/>
    <w:rsid w:val="000E1A1D"/>
    <w:rsid w:val="000E21F3"/>
    <w:rsid w:val="000E2D95"/>
    <w:rsid w:val="000E3B97"/>
    <w:rsid w:val="000E4278"/>
    <w:rsid w:val="000E4B26"/>
    <w:rsid w:val="000E5188"/>
    <w:rsid w:val="000E5A1D"/>
    <w:rsid w:val="000E5E39"/>
    <w:rsid w:val="000E5F3A"/>
    <w:rsid w:val="000E69B6"/>
    <w:rsid w:val="000E70DC"/>
    <w:rsid w:val="000E774F"/>
    <w:rsid w:val="000F0498"/>
    <w:rsid w:val="000F1658"/>
    <w:rsid w:val="000F1849"/>
    <w:rsid w:val="000F2871"/>
    <w:rsid w:val="000F2C3F"/>
    <w:rsid w:val="000F38C6"/>
    <w:rsid w:val="000F3B6C"/>
    <w:rsid w:val="000F3EF0"/>
    <w:rsid w:val="000F614F"/>
    <w:rsid w:val="000F6883"/>
    <w:rsid w:val="000F6938"/>
    <w:rsid w:val="000F6E76"/>
    <w:rsid w:val="000F6F48"/>
    <w:rsid w:val="00100D40"/>
    <w:rsid w:val="00101A0D"/>
    <w:rsid w:val="00101D46"/>
    <w:rsid w:val="00102006"/>
    <w:rsid w:val="00102A87"/>
    <w:rsid w:val="00102C55"/>
    <w:rsid w:val="00104030"/>
    <w:rsid w:val="0010456C"/>
    <w:rsid w:val="001045F3"/>
    <w:rsid w:val="001045F8"/>
    <w:rsid w:val="0010474D"/>
    <w:rsid w:val="00104E56"/>
    <w:rsid w:val="00105316"/>
    <w:rsid w:val="0010570C"/>
    <w:rsid w:val="001059F0"/>
    <w:rsid w:val="00105DB2"/>
    <w:rsid w:val="00111CD6"/>
    <w:rsid w:val="00112121"/>
    <w:rsid w:val="00112341"/>
    <w:rsid w:val="001126C7"/>
    <w:rsid w:val="001129EA"/>
    <w:rsid w:val="00114358"/>
    <w:rsid w:val="00114DCB"/>
    <w:rsid w:val="00116092"/>
    <w:rsid w:val="0011794F"/>
    <w:rsid w:val="001204AE"/>
    <w:rsid w:val="00121C1A"/>
    <w:rsid w:val="00123694"/>
    <w:rsid w:val="00123AE4"/>
    <w:rsid w:val="00124A1B"/>
    <w:rsid w:val="00124D46"/>
    <w:rsid w:val="00124D59"/>
    <w:rsid w:val="00124EC7"/>
    <w:rsid w:val="001252B7"/>
    <w:rsid w:val="00125ABB"/>
    <w:rsid w:val="0012765F"/>
    <w:rsid w:val="00127D76"/>
    <w:rsid w:val="00130066"/>
    <w:rsid w:val="00130372"/>
    <w:rsid w:val="00130A16"/>
    <w:rsid w:val="00131E03"/>
    <w:rsid w:val="001328E0"/>
    <w:rsid w:val="001330FF"/>
    <w:rsid w:val="001333C9"/>
    <w:rsid w:val="00133A8C"/>
    <w:rsid w:val="0013441D"/>
    <w:rsid w:val="00134B2E"/>
    <w:rsid w:val="00137130"/>
    <w:rsid w:val="001373E4"/>
    <w:rsid w:val="0013798F"/>
    <w:rsid w:val="001405A7"/>
    <w:rsid w:val="001412A4"/>
    <w:rsid w:val="00141913"/>
    <w:rsid w:val="00141999"/>
    <w:rsid w:val="00141C28"/>
    <w:rsid w:val="00141E42"/>
    <w:rsid w:val="001423DA"/>
    <w:rsid w:val="00144972"/>
    <w:rsid w:val="00145AD2"/>
    <w:rsid w:val="001471F2"/>
    <w:rsid w:val="00150D64"/>
    <w:rsid w:val="00151505"/>
    <w:rsid w:val="0015198F"/>
    <w:rsid w:val="00151EDE"/>
    <w:rsid w:val="0015315E"/>
    <w:rsid w:val="00153DBB"/>
    <w:rsid w:val="00153FDF"/>
    <w:rsid w:val="00155050"/>
    <w:rsid w:val="001551E3"/>
    <w:rsid w:val="00156EB7"/>
    <w:rsid w:val="001572B3"/>
    <w:rsid w:val="001604A1"/>
    <w:rsid w:val="001608D3"/>
    <w:rsid w:val="00160D81"/>
    <w:rsid w:val="00163227"/>
    <w:rsid w:val="001642FE"/>
    <w:rsid w:val="001669FF"/>
    <w:rsid w:val="00167559"/>
    <w:rsid w:val="001676E7"/>
    <w:rsid w:val="0016798B"/>
    <w:rsid w:val="00167A94"/>
    <w:rsid w:val="00167EF9"/>
    <w:rsid w:val="001718B6"/>
    <w:rsid w:val="00173620"/>
    <w:rsid w:val="00173A78"/>
    <w:rsid w:val="0017502A"/>
    <w:rsid w:val="001772C2"/>
    <w:rsid w:val="00177AF9"/>
    <w:rsid w:val="001804A8"/>
    <w:rsid w:val="001811B6"/>
    <w:rsid w:val="00181A64"/>
    <w:rsid w:val="001820DC"/>
    <w:rsid w:val="001821C1"/>
    <w:rsid w:val="001831A5"/>
    <w:rsid w:val="001831C0"/>
    <w:rsid w:val="00183219"/>
    <w:rsid w:val="0018333B"/>
    <w:rsid w:val="00183900"/>
    <w:rsid w:val="00183F08"/>
    <w:rsid w:val="00184C2F"/>
    <w:rsid w:val="001867AE"/>
    <w:rsid w:val="00186E51"/>
    <w:rsid w:val="00187C78"/>
    <w:rsid w:val="00190C0C"/>
    <w:rsid w:val="00191BEE"/>
    <w:rsid w:val="00193807"/>
    <w:rsid w:val="0019396D"/>
    <w:rsid w:val="00194C4E"/>
    <w:rsid w:val="00196042"/>
    <w:rsid w:val="00196EB3"/>
    <w:rsid w:val="00196FC4"/>
    <w:rsid w:val="001A009B"/>
    <w:rsid w:val="001A0869"/>
    <w:rsid w:val="001A0BCA"/>
    <w:rsid w:val="001A1B7A"/>
    <w:rsid w:val="001A39D2"/>
    <w:rsid w:val="001A45E3"/>
    <w:rsid w:val="001A4A7F"/>
    <w:rsid w:val="001A4B9D"/>
    <w:rsid w:val="001A4FE4"/>
    <w:rsid w:val="001A51FF"/>
    <w:rsid w:val="001A52C3"/>
    <w:rsid w:val="001A6556"/>
    <w:rsid w:val="001A68BB"/>
    <w:rsid w:val="001B1F93"/>
    <w:rsid w:val="001B20B1"/>
    <w:rsid w:val="001B2603"/>
    <w:rsid w:val="001B4D65"/>
    <w:rsid w:val="001B5453"/>
    <w:rsid w:val="001B5EF3"/>
    <w:rsid w:val="001B6DBC"/>
    <w:rsid w:val="001B7914"/>
    <w:rsid w:val="001B7DE0"/>
    <w:rsid w:val="001C047B"/>
    <w:rsid w:val="001C0523"/>
    <w:rsid w:val="001C16F7"/>
    <w:rsid w:val="001C264D"/>
    <w:rsid w:val="001C40A3"/>
    <w:rsid w:val="001C4557"/>
    <w:rsid w:val="001C4F4A"/>
    <w:rsid w:val="001C50F3"/>
    <w:rsid w:val="001C5664"/>
    <w:rsid w:val="001C5C4B"/>
    <w:rsid w:val="001C6D21"/>
    <w:rsid w:val="001D0C32"/>
    <w:rsid w:val="001D0DD8"/>
    <w:rsid w:val="001D304D"/>
    <w:rsid w:val="001D33B4"/>
    <w:rsid w:val="001D3E6C"/>
    <w:rsid w:val="001D5CCA"/>
    <w:rsid w:val="001E0001"/>
    <w:rsid w:val="001E1A6F"/>
    <w:rsid w:val="001E301B"/>
    <w:rsid w:val="001E37C8"/>
    <w:rsid w:val="001E3940"/>
    <w:rsid w:val="001E3B39"/>
    <w:rsid w:val="001E3BF6"/>
    <w:rsid w:val="001E64A2"/>
    <w:rsid w:val="001E6B26"/>
    <w:rsid w:val="001E71B3"/>
    <w:rsid w:val="001E7289"/>
    <w:rsid w:val="001E792A"/>
    <w:rsid w:val="001F1780"/>
    <w:rsid w:val="001F1ECB"/>
    <w:rsid w:val="001F2007"/>
    <w:rsid w:val="001F2299"/>
    <w:rsid w:val="001F2781"/>
    <w:rsid w:val="001F2FF3"/>
    <w:rsid w:val="001F3184"/>
    <w:rsid w:val="001F3C57"/>
    <w:rsid w:val="001F3CC5"/>
    <w:rsid w:val="001F3DE8"/>
    <w:rsid w:val="001F4DE6"/>
    <w:rsid w:val="001F4F76"/>
    <w:rsid w:val="001F613A"/>
    <w:rsid w:val="001F6A48"/>
    <w:rsid w:val="001F6F09"/>
    <w:rsid w:val="0020035E"/>
    <w:rsid w:val="00200406"/>
    <w:rsid w:val="00201BBA"/>
    <w:rsid w:val="00202135"/>
    <w:rsid w:val="002025AD"/>
    <w:rsid w:val="00202776"/>
    <w:rsid w:val="00202CE0"/>
    <w:rsid w:val="0020326B"/>
    <w:rsid w:val="002046C2"/>
    <w:rsid w:val="00206FAA"/>
    <w:rsid w:val="002073FA"/>
    <w:rsid w:val="002073FB"/>
    <w:rsid w:val="002079FF"/>
    <w:rsid w:val="00210E63"/>
    <w:rsid w:val="00212941"/>
    <w:rsid w:val="00213AC2"/>
    <w:rsid w:val="00213FB7"/>
    <w:rsid w:val="0021410C"/>
    <w:rsid w:val="00214769"/>
    <w:rsid w:val="00214F4B"/>
    <w:rsid w:val="0021558B"/>
    <w:rsid w:val="00217618"/>
    <w:rsid w:val="00217E6F"/>
    <w:rsid w:val="00220931"/>
    <w:rsid w:val="00221003"/>
    <w:rsid w:val="00221153"/>
    <w:rsid w:val="00221FAF"/>
    <w:rsid w:val="00222BCA"/>
    <w:rsid w:val="00223E2E"/>
    <w:rsid w:val="00224572"/>
    <w:rsid w:val="00224FFD"/>
    <w:rsid w:val="002275E5"/>
    <w:rsid w:val="0023091E"/>
    <w:rsid w:val="00230B02"/>
    <w:rsid w:val="00231176"/>
    <w:rsid w:val="0023197E"/>
    <w:rsid w:val="0023201F"/>
    <w:rsid w:val="00232207"/>
    <w:rsid w:val="00233A4A"/>
    <w:rsid w:val="00234917"/>
    <w:rsid w:val="00236287"/>
    <w:rsid w:val="002363A5"/>
    <w:rsid w:val="00236A01"/>
    <w:rsid w:val="00236AEF"/>
    <w:rsid w:val="00236C58"/>
    <w:rsid w:val="002371E0"/>
    <w:rsid w:val="00237F95"/>
    <w:rsid w:val="0024105F"/>
    <w:rsid w:val="0024144B"/>
    <w:rsid w:val="00241481"/>
    <w:rsid w:val="00241F09"/>
    <w:rsid w:val="00243B9E"/>
    <w:rsid w:val="00246176"/>
    <w:rsid w:val="002463F9"/>
    <w:rsid w:val="002467A6"/>
    <w:rsid w:val="00247D7D"/>
    <w:rsid w:val="002503C1"/>
    <w:rsid w:val="002505B9"/>
    <w:rsid w:val="00250B2C"/>
    <w:rsid w:val="002513E9"/>
    <w:rsid w:val="00251545"/>
    <w:rsid w:val="00252277"/>
    <w:rsid w:val="00252A5B"/>
    <w:rsid w:val="00252DCD"/>
    <w:rsid w:val="002532E4"/>
    <w:rsid w:val="002539A4"/>
    <w:rsid w:val="00253BD9"/>
    <w:rsid w:val="0025491D"/>
    <w:rsid w:val="0025539B"/>
    <w:rsid w:val="0025609D"/>
    <w:rsid w:val="002568F7"/>
    <w:rsid w:val="00257274"/>
    <w:rsid w:val="00257BCB"/>
    <w:rsid w:val="002607CA"/>
    <w:rsid w:val="00261A8C"/>
    <w:rsid w:val="00262F78"/>
    <w:rsid w:val="00263CCB"/>
    <w:rsid w:val="00263F5D"/>
    <w:rsid w:val="002649A8"/>
    <w:rsid w:val="00265592"/>
    <w:rsid w:val="00265B25"/>
    <w:rsid w:val="0026723E"/>
    <w:rsid w:val="00267A4A"/>
    <w:rsid w:val="00271CE2"/>
    <w:rsid w:val="00271F56"/>
    <w:rsid w:val="002722FD"/>
    <w:rsid w:val="00273282"/>
    <w:rsid w:val="00273DA5"/>
    <w:rsid w:val="00274BFE"/>
    <w:rsid w:val="002754E7"/>
    <w:rsid w:val="00275A0E"/>
    <w:rsid w:val="00275E0D"/>
    <w:rsid w:val="00276414"/>
    <w:rsid w:val="00277563"/>
    <w:rsid w:val="00277605"/>
    <w:rsid w:val="00277B00"/>
    <w:rsid w:val="00277ECA"/>
    <w:rsid w:val="002801BD"/>
    <w:rsid w:val="002804C9"/>
    <w:rsid w:val="00281C94"/>
    <w:rsid w:val="00281CED"/>
    <w:rsid w:val="0028449D"/>
    <w:rsid w:val="002861A4"/>
    <w:rsid w:val="00286251"/>
    <w:rsid w:val="00286994"/>
    <w:rsid w:val="00287B33"/>
    <w:rsid w:val="00290B2D"/>
    <w:rsid w:val="00291055"/>
    <w:rsid w:val="002910D8"/>
    <w:rsid w:val="00291715"/>
    <w:rsid w:val="00292205"/>
    <w:rsid w:val="0029232A"/>
    <w:rsid w:val="00292B05"/>
    <w:rsid w:val="00293765"/>
    <w:rsid w:val="00293F9F"/>
    <w:rsid w:val="00294B50"/>
    <w:rsid w:val="00294E62"/>
    <w:rsid w:val="00295D21"/>
    <w:rsid w:val="0029629E"/>
    <w:rsid w:val="00296718"/>
    <w:rsid w:val="002A0A6A"/>
    <w:rsid w:val="002A15F7"/>
    <w:rsid w:val="002A29D1"/>
    <w:rsid w:val="002A3789"/>
    <w:rsid w:val="002A3D92"/>
    <w:rsid w:val="002A43B2"/>
    <w:rsid w:val="002A4429"/>
    <w:rsid w:val="002A5B66"/>
    <w:rsid w:val="002A68C1"/>
    <w:rsid w:val="002A69DC"/>
    <w:rsid w:val="002A6E88"/>
    <w:rsid w:val="002A7469"/>
    <w:rsid w:val="002A7D5A"/>
    <w:rsid w:val="002B0D29"/>
    <w:rsid w:val="002B1351"/>
    <w:rsid w:val="002B1966"/>
    <w:rsid w:val="002B1FAA"/>
    <w:rsid w:val="002B2F05"/>
    <w:rsid w:val="002B3926"/>
    <w:rsid w:val="002B3FC4"/>
    <w:rsid w:val="002B4AD6"/>
    <w:rsid w:val="002B4BF9"/>
    <w:rsid w:val="002B4C68"/>
    <w:rsid w:val="002B4F7F"/>
    <w:rsid w:val="002B5069"/>
    <w:rsid w:val="002B50D3"/>
    <w:rsid w:val="002B54CA"/>
    <w:rsid w:val="002B5C40"/>
    <w:rsid w:val="002B6186"/>
    <w:rsid w:val="002B6B22"/>
    <w:rsid w:val="002B72F7"/>
    <w:rsid w:val="002B7499"/>
    <w:rsid w:val="002B7852"/>
    <w:rsid w:val="002C0301"/>
    <w:rsid w:val="002C0AF1"/>
    <w:rsid w:val="002C5929"/>
    <w:rsid w:val="002C5FC4"/>
    <w:rsid w:val="002C6525"/>
    <w:rsid w:val="002C69AB"/>
    <w:rsid w:val="002C6A64"/>
    <w:rsid w:val="002C7804"/>
    <w:rsid w:val="002C7843"/>
    <w:rsid w:val="002C7A89"/>
    <w:rsid w:val="002D191F"/>
    <w:rsid w:val="002D1C36"/>
    <w:rsid w:val="002D282B"/>
    <w:rsid w:val="002D3929"/>
    <w:rsid w:val="002D3FC7"/>
    <w:rsid w:val="002D44E8"/>
    <w:rsid w:val="002D4525"/>
    <w:rsid w:val="002D5576"/>
    <w:rsid w:val="002D55BE"/>
    <w:rsid w:val="002D597E"/>
    <w:rsid w:val="002D68E4"/>
    <w:rsid w:val="002D6E10"/>
    <w:rsid w:val="002D7267"/>
    <w:rsid w:val="002D74DD"/>
    <w:rsid w:val="002E077F"/>
    <w:rsid w:val="002E0B6C"/>
    <w:rsid w:val="002E0BA8"/>
    <w:rsid w:val="002E126A"/>
    <w:rsid w:val="002E1405"/>
    <w:rsid w:val="002E2C44"/>
    <w:rsid w:val="002E3274"/>
    <w:rsid w:val="002E3369"/>
    <w:rsid w:val="002E3BE6"/>
    <w:rsid w:val="002E4A13"/>
    <w:rsid w:val="002E4AE2"/>
    <w:rsid w:val="002E6551"/>
    <w:rsid w:val="002E6735"/>
    <w:rsid w:val="002E6798"/>
    <w:rsid w:val="002E6E30"/>
    <w:rsid w:val="002E6EA0"/>
    <w:rsid w:val="002E7398"/>
    <w:rsid w:val="002F03DB"/>
    <w:rsid w:val="002F045C"/>
    <w:rsid w:val="002F0CFD"/>
    <w:rsid w:val="002F256D"/>
    <w:rsid w:val="002F351B"/>
    <w:rsid w:val="002F3CF8"/>
    <w:rsid w:val="002F4157"/>
    <w:rsid w:val="002F4BE7"/>
    <w:rsid w:val="002F525A"/>
    <w:rsid w:val="002F6127"/>
    <w:rsid w:val="002F6DA5"/>
    <w:rsid w:val="002F71A1"/>
    <w:rsid w:val="002F74D7"/>
    <w:rsid w:val="002F7E03"/>
    <w:rsid w:val="00300F88"/>
    <w:rsid w:val="00301B76"/>
    <w:rsid w:val="003022D6"/>
    <w:rsid w:val="0030263F"/>
    <w:rsid w:val="0030475A"/>
    <w:rsid w:val="00305EF6"/>
    <w:rsid w:val="00305F0B"/>
    <w:rsid w:val="00306328"/>
    <w:rsid w:val="00306387"/>
    <w:rsid w:val="003072AF"/>
    <w:rsid w:val="00307D9F"/>
    <w:rsid w:val="00310033"/>
    <w:rsid w:val="003115DB"/>
    <w:rsid w:val="00311A84"/>
    <w:rsid w:val="00312565"/>
    <w:rsid w:val="00313B2F"/>
    <w:rsid w:val="00313BD0"/>
    <w:rsid w:val="00313C1E"/>
    <w:rsid w:val="0031422D"/>
    <w:rsid w:val="00314B46"/>
    <w:rsid w:val="00314C20"/>
    <w:rsid w:val="00314C59"/>
    <w:rsid w:val="00315A5E"/>
    <w:rsid w:val="00316646"/>
    <w:rsid w:val="00316789"/>
    <w:rsid w:val="003168BF"/>
    <w:rsid w:val="00316AA7"/>
    <w:rsid w:val="00317C7F"/>
    <w:rsid w:val="00317D9A"/>
    <w:rsid w:val="00321AF2"/>
    <w:rsid w:val="00321BCC"/>
    <w:rsid w:val="00322450"/>
    <w:rsid w:val="00322499"/>
    <w:rsid w:val="00322981"/>
    <w:rsid w:val="003231EB"/>
    <w:rsid w:val="00324DF4"/>
    <w:rsid w:val="00324F3F"/>
    <w:rsid w:val="003260E0"/>
    <w:rsid w:val="003274CC"/>
    <w:rsid w:val="00327C09"/>
    <w:rsid w:val="00327C2E"/>
    <w:rsid w:val="00327DDF"/>
    <w:rsid w:val="00327FC3"/>
    <w:rsid w:val="00330151"/>
    <w:rsid w:val="00330440"/>
    <w:rsid w:val="00330B6A"/>
    <w:rsid w:val="00330D40"/>
    <w:rsid w:val="00330FDC"/>
    <w:rsid w:val="00331991"/>
    <w:rsid w:val="00331C59"/>
    <w:rsid w:val="00332F04"/>
    <w:rsid w:val="00333577"/>
    <w:rsid w:val="003338DA"/>
    <w:rsid w:val="00333FE2"/>
    <w:rsid w:val="00333FFB"/>
    <w:rsid w:val="00334547"/>
    <w:rsid w:val="00334584"/>
    <w:rsid w:val="00334DF7"/>
    <w:rsid w:val="00335373"/>
    <w:rsid w:val="00335A78"/>
    <w:rsid w:val="00335ED0"/>
    <w:rsid w:val="003362F4"/>
    <w:rsid w:val="003363CF"/>
    <w:rsid w:val="00336E60"/>
    <w:rsid w:val="00340785"/>
    <w:rsid w:val="00340DFE"/>
    <w:rsid w:val="0034140D"/>
    <w:rsid w:val="00341F0C"/>
    <w:rsid w:val="00342A75"/>
    <w:rsid w:val="00343150"/>
    <w:rsid w:val="00344AF4"/>
    <w:rsid w:val="0034535F"/>
    <w:rsid w:val="003467A8"/>
    <w:rsid w:val="0034686B"/>
    <w:rsid w:val="003471AE"/>
    <w:rsid w:val="00347533"/>
    <w:rsid w:val="0035018C"/>
    <w:rsid w:val="00350958"/>
    <w:rsid w:val="00350B05"/>
    <w:rsid w:val="00350F07"/>
    <w:rsid w:val="003511DF"/>
    <w:rsid w:val="0035121D"/>
    <w:rsid w:val="00351768"/>
    <w:rsid w:val="003523F5"/>
    <w:rsid w:val="0035251E"/>
    <w:rsid w:val="0035279E"/>
    <w:rsid w:val="0035319E"/>
    <w:rsid w:val="0035471B"/>
    <w:rsid w:val="003556D8"/>
    <w:rsid w:val="00356F85"/>
    <w:rsid w:val="00357787"/>
    <w:rsid w:val="003578AB"/>
    <w:rsid w:val="00360430"/>
    <w:rsid w:val="0036065A"/>
    <w:rsid w:val="00360E6C"/>
    <w:rsid w:val="00360F61"/>
    <w:rsid w:val="00363AF5"/>
    <w:rsid w:val="003655C8"/>
    <w:rsid w:val="00365931"/>
    <w:rsid w:val="00365A0A"/>
    <w:rsid w:val="00365AFB"/>
    <w:rsid w:val="00365CBA"/>
    <w:rsid w:val="00366F7E"/>
    <w:rsid w:val="00367C8F"/>
    <w:rsid w:val="00370789"/>
    <w:rsid w:val="00371F9B"/>
    <w:rsid w:val="00374E0B"/>
    <w:rsid w:val="00375C1A"/>
    <w:rsid w:val="00375E02"/>
    <w:rsid w:val="003765CC"/>
    <w:rsid w:val="003779D5"/>
    <w:rsid w:val="00382850"/>
    <w:rsid w:val="00382F84"/>
    <w:rsid w:val="0038330F"/>
    <w:rsid w:val="003841A4"/>
    <w:rsid w:val="00384558"/>
    <w:rsid w:val="00385450"/>
    <w:rsid w:val="003857E2"/>
    <w:rsid w:val="003869BD"/>
    <w:rsid w:val="003869BE"/>
    <w:rsid w:val="003876ED"/>
    <w:rsid w:val="00390629"/>
    <w:rsid w:val="00391A01"/>
    <w:rsid w:val="0039389D"/>
    <w:rsid w:val="00394622"/>
    <w:rsid w:val="00394CDD"/>
    <w:rsid w:val="0039556B"/>
    <w:rsid w:val="00395624"/>
    <w:rsid w:val="00395BC0"/>
    <w:rsid w:val="00395FC8"/>
    <w:rsid w:val="00396798"/>
    <w:rsid w:val="00396F94"/>
    <w:rsid w:val="003A01AD"/>
    <w:rsid w:val="003A0716"/>
    <w:rsid w:val="003A0C19"/>
    <w:rsid w:val="003A17F1"/>
    <w:rsid w:val="003A2177"/>
    <w:rsid w:val="003A271F"/>
    <w:rsid w:val="003A2CF9"/>
    <w:rsid w:val="003A33B8"/>
    <w:rsid w:val="003A3699"/>
    <w:rsid w:val="003A3A0B"/>
    <w:rsid w:val="003A41F0"/>
    <w:rsid w:val="003A43EE"/>
    <w:rsid w:val="003A58E4"/>
    <w:rsid w:val="003A5CF0"/>
    <w:rsid w:val="003A66E3"/>
    <w:rsid w:val="003A6A50"/>
    <w:rsid w:val="003B0262"/>
    <w:rsid w:val="003B0434"/>
    <w:rsid w:val="003B0C0B"/>
    <w:rsid w:val="003B15A5"/>
    <w:rsid w:val="003B2452"/>
    <w:rsid w:val="003B264C"/>
    <w:rsid w:val="003B2AA5"/>
    <w:rsid w:val="003B301D"/>
    <w:rsid w:val="003B3079"/>
    <w:rsid w:val="003B360B"/>
    <w:rsid w:val="003B381C"/>
    <w:rsid w:val="003B4731"/>
    <w:rsid w:val="003B4A76"/>
    <w:rsid w:val="003B51D2"/>
    <w:rsid w:val="003B5C63"/>
    <w:rsid w:val="003B70D9"/>
    <w:rsid w:val="003C04E3"/>
    <w:rsid w:val="003C0833"/>
    <w:rsid w:val="003C08F4"/>
    <w:rsid w:val="003C11AF"/>
    <w:rsid w:val="003C1B17"/>
    <w:rsid w:val="003C5408"/>
    <w:rsid w:val="003C5C92"/>
    <w:rsid w:val="003C5CF6"/>
    <w:rsid w:val="003C69BE"/>
    <w:rsid w:val="003C77E6"/>
    <w:rsid w:val="003D0762"/>
    <w:rsid w:val="003D0A2B"/>
    <w:rsid w:val="003D0FB0"/>
    <w:rsid w:val="003D16D4"/>
    <w:rsid w:val="003D283C"/>
    <w:rsid w:val="003D3AD6"/>
    <w:rsid w:val="003D4F2E"/>
    <w:rsid w:val="003D68C9"/>
    <w:rsid w:val="003D78B2"/>
    <w:rsid w:val="003E0D0F"/>
    <w:rsid w:val="003E1B87"/>
    <w:rsid w:val="003E1FC5"/>
    <w:rsid w:val="003E2EBC"/>
    <w:rsid w:val="003E5226"/>
    <w:rsid w:val="003E524B"/>
    <w:rsid w:val="003E61AC"/>
    <w:rsid w:val="003E719C"/>
    <w:rsid w:val="003E735D"/>
    <w:rsid w:val="003E796E"/>
    <w:rsid w:val="003F0AF4"/>
    <w:rsid w:val="003F0F08"/>
    <w:rsid w:val="003F1209"/>
    <w:rsid w:val="003F27D0"/>
    <w:rsid w:val="003F2B5C"/>
    <w:rsid w:val="003F3464"/>
    <w:rsid w:val="003F3E95"/>
    <w:rsid w:val="003F484E"/>
    <w:rsid w:val="003F530B"/>
    <w:rsid w:val="003F6186"/>
    <w:rsid w:val="003F67F6"/>
    <w:rsid w:val="003F6888"/>
    <w:rsid w:val="003F6D49"/>
    <w:rsid w:val="003F758D"/>
    <w:rsid w:val="00400772"/>
    <w:rsid w:val="00401011"/>
    <w:rsid w:val="00401026"/>
    <w:rsid w:val="00401521"/>
    <w:rsid w:val="004041E1"/>
    <w:rsid w:val="00404B5C"/>
    <w:rsid w:val="004050AC"/>
    <w:rsid w:val="004057D6"/>
    <w:rsid w:val="0040580F"/>
    <w:rsid w:val="00406A83"/>
    <w:rsid w:val="004108A4"/>
    <w:rsid w:val="00410FB2"/>
    <w:rsid w:val="00411008"/>
    <w:rsid w:val="00411271"/>
    <w:rsid w:val="004124EB"/>
    <w:rsid w:val="0041393D"/>
    <w:rsid w:val="00413BDC"/>
    <w:rsid w:val="00413EF4"/>
    <w:rsid w:val="004142B2"/>
    <w:rsid w:val="004149C3"/>
    <w:rsid w:val="00414F53"/>
    <w:rsid w:val="0041502C"/>
    <w:rsid w:val="00415748"/>
    <w:rsid w:val="00415A2E"/>
    <w:rsid w:val="00415E57"/>
    <w:rsid w:val="004163D2"/>
    <w:rsid w:val="004165BB"/>
    <w:rsid w:val="00416973"/>
    <w:rsid w:val="00416C3E"/>
    <w:rsid w:val="00416CC4"/>
    <w:rsid w:val="0041753B"/>
    <w:rsid w:val="00417C8F"/>
    <w:rsid w:val="00421ED3"/>
    <w:rsid w:val="0042264F"/>
    <w:rsid w:val="00422672"/>
    <w:rsid w:val="0042306D"/>
    <w:rsid w:val="00423175"/>
    <w:rsid w:val="00423D4E"/>
    <w:rsid w:val="00424662"/>
    <w:rsid w:val="0042491F"/>
    <w:rsid w:val="00424AD5"/>
    <w:rsid w:val="00425799"/>
    <w:rsid w:val="00426C15"/>
    <w:rsid w:val="00426C97"/>
    <w:rsid w:val="00427494"/>
    <w:rsid w:val="004315C4"/>
    <w:rsid w:val="00431812"/>
    <w:rsid w:val="00431903"/>
    <w:rsid w:val="00431AB9"/>
    <w:rsid w:val="00431C23"/>
    <w:rsid w:val="00432ACD"/>
    <w:rsid w:val="0043314E"/>
    <w:rsid w:val="00433FD7"/>
    <w:rsid w:val="00434751"/>
    <w:rsid w:val="00434779"/>
    <w:rsid w:val="0043546C"/>
    <w:rsid w:val="004364E1"/>
    <w:rsid w:val="00440068"/>
    <w:rsid w:val="004408F0"/>
    <w:rsid w:val="00442076"/>
    <w:rsid w:val="004432A3"/>
    <w:rsid w:val="004450EE"/>
    <w:rsid w:val="00445DEA"/>
    <w:rsid w:val="004465AC"/>
    <w:rsid w:val="004465C1"/>
    <w:rsid w:val="0044702F"/>
    <w:rsid w:val="0045217D"/>
    <w:rsid w:val="0045440D"/>
    <w:rsid w:val="00454470"/>
    <w:rsid w:val="00455819"/>
    <w:rsid w:val="004563BA"/>
    <w:rsid w:val="00456F0C"/>
    <w:rsid w:val="0045739D"/>
    <w:rsid w:val="00457A29"/>
    <w:rsid w:val="00457C09"/>
    <w:rsid w:val="00457C96"/>
    <w:rsid w:val="00457EFC"/>
    <w:rsid w:val="0046082A"/>
    <w:rsid w:val="004621C1"/>
    <w:rsid w:val="00462A0E"/>
    <w:rsid w:val="00462B2E"/>
    <w:rsid w:val="0046338D"/>
    <w:rsid w:val="00463691"/>
    <w:rsid w:val="00463813"/>
    <w:rsid w:val="004638A1"/>
    <w:rsid w:val="00463C7D"/>
    <w:rsid w:val="00463D04"/>
    <w:rsid w:val="00463DD9"/>
    <w:rsid w:val="00464C3F"/>
    <w:rsid w:val="00465700"/>
    <w:rsid w:val="00465971"/>
    <w:rsid w:val="00467A46"/>
    <w:rsid w:val="004706D2"/>
    <w:rsid w:val="00470DC4"/>
    <w:rsid w:val="0047172F"/>
    <w:rsid w:val="004718D3"/>
    <w:rsid w:val="00471AE4"/>
    <w:rsid w:val="004725E6"/>
    <w:rsid w:val="00473598"/>
    <w:rsid w:val="00473C63"/>
    <w:rsid w:val="00474AEC"/>
    <w:rsid w:val="0047513E"/>
    <w:rsid w:val="0047687D"/>
    <w:rsid w:val="00477E55"/>
    <w:rsid w:val="004800DB"/>
    <w:rsid w:val="00481009"/>
    <w:rsid w:val="004813A7"/>
    <w:rsid w:val="00481ECA"/>
    <w:rsid w:val="00482BDF"/>
    <w:rsid w:val="00483D02"/>
    <w:rsid w:val="00484335"/>
    <w:rsid w:val="004843AA"/>
    <w:rsid w:val="00485CD2"/>
    <w:rsid w:val="00485E4F"/>
    <w:rsid w:val="0048650A"/>
    <w:rsid w:val="00486550"/>
    <w:rsid w:val="004868FF"/>
    <w:rsid w:val="00486EE2"/>
    <w:rsid w:val="004879BC"/>
    <w:rsid w:val="00490B6D"/>
    <w:rsid w:val="0049105A"/>
    <w:rsid w:val="00491727"/>
    <w:rsid w:val="00491A8E"/>
    <w:rsid w:val="0049321B"/>
    <w:rsid w:val="004932A2"/>
    <w:rsid w:val="004942D3"/>
    <w:rsid w:val="004956F7"/>
    <w:rsid w:val="00495F25"/>
    <w:rsid w:val="00496437"/>
    <w:rsid w:val="0049699F"/>
    <w:rsid w:val="004A02F6"/>
    <w:rsid w:val="004A056F"/>
    <w:rsid w:val="004A0570"/>
    <w:rsid w:val="004A098F"/>
    <w:rsid w:val="004A1733"/>
    <w:rsid w:val="004A1FEA"/>
    <w:rsid w:val="004A2A1C"/>
    <w:rsid w:val="004A31BC"/>
    <w:rsid w:val="004A32B2"/>
    <w:rsid w:val="004A3801"/>
    <w:rsid w:val="004A4187"/>
    <w:rsid w:val="004A56C4"/>
    <w:rsid w:val="004A5D85"/>
    <w:rsid w:val="004A6022"/>
    <w:rsid w:val="004A61F0"/>
    <w:rsid w:val="004A633F"/>
    <w:rsid w:val="004A6A5C"/>
    <w:rsid w:val="004A78A7"/>
    <w:rsid w:val="004B1874"/>
    <w:rsid w:val="004B1BC0"/>
    <w:rsid w:val="004B2BBC"/>
    <w:rsid w:val="004B3806"/>
    <w:rsid w:val="004B4255"/>
    <w:rsid w:val="004B5FB8"/>
    <w:rsid w:val="004C066F"/>
    <w:rsid w:val="004C0D81"/>
    <w:rsid w:val="004C0FBB"/>
    <w:rsid w:val="004C2358"/>
    <w:rsid w:val="004C319F"/>
    <w:rsid w:val="004C4150"/>
    <w:rsid w:val="004C4B6D"/>
    <w:rsid w:val="004C4C93"/>
    <w:rsid w:val="004C4F82"/>
    <w:rsid w:val="004C5869"/>
    <w:rsid w:val="004C5ED7"/>
    <w:rsid w:val="004C770F"/>
    <w:rsid w:val="004D15E1"/>
    <w:rsid w:val="004D1F9E"/>
    <w:rsid w:val="004D215F"/>
    <w:rsid w:val="004D2484"/>
    <w:rsid w:val="004D2B26"/>
    <w:rsid w:val="004D2C2C"/>
    <w:rsid w:val="004D2CD5"/>
    <w:rsid w:val="004D3D2F"/>
    <w:rsid w:val="004D4709"/>
    <w:rsid w:val="004D47D9"/>
    <w:rsid w:val="004D4D6F"/>
    <w:rsid w:val="004D5199"/>
    <w:rsid w:val="004D5E55"/>
    <w:rsid w:val="004D6ECE"/>
    <w:rsid w:val="004E02CE"/>
    <w:rsid w:val="004E061B"/>
    <w:rsid w:val="004E0952"/>
    <w:rsid w:val="004E0CDB"/>
    <w:rsid w:val="004E0D4B"/>
    <w:rsid w:val="004E10CD"/>
    <w:rsid w:val="004E1358"/>
    <w:rsid w:val="004E153B"/>
    <w:rsid w:val="004E15D6"/>
    <w:rsid w:val="004E1BD2"/>
    <w:rsid w:val="004E2037"/>
    <w:rsid w:val="004E258D"/>
    <w:rsid w:val="004E3C15"/>
    <w:rsid w:val="004E5BDA"/>
    <w:rsid w:val="004E64C2"/>
    <w:rsid w:val="004E672D"/>
    <w:rsid w:val="004E6764"/>
    <w:rsid w:val="004E7832"/>
    <w:rsid w:val="004F01FC"/>
    <w:rsid w:val="004F0752"/>
    <w:rsid w:val="004F1D04"/>
    <w:rsid w:val="004F2A57"/>
    <w:rsid w:val="004F39DE"/>
    <w:rsid w:val="004F418C"/>
    <w:rsid w:val="004F52B1"/>
    <w:rsid w:val="004F5448"/>
    <w:rsid w:val="004F6216"/>
    <w:rsid w:val="004F6CC5"/>
    <w:rsid w:val="004F740D"/>
    <w:rsid w:val="004F766B"/>
    <w:rsid w:val="004F7D4D"/>
    <w:rsid w:val="004F7FF8"/>
    <w:rsid w:val="005000E0"/>
    <w:rsid w:val="005006FC"/>
    <w:rsid w:val="00500F0C"/>
    <w:rsid w:val="0050134A"/>
    <w:rsid w:val="00501CC6"/>
    <w:rsid w:val="00502630"/>
    <w:rsid w:val="00502ED0"/>
    <w:rsid w:val="00503422"/>
    <w:rsid w:val="0050384E"/>
    <w:rsid w:val="005038D5"/>
    <w:rsid w:val="00503AE5"/>
    <w:rsid w:val="0050424B"/>
    <w:rsid w:val="00504407"/>
    <w:rsid w:val="00504EB8"/>
    <w:rsid w:val="00505651"/>
    <w:rsid w:val="00505A50"/>
    <w:rsid w:val="00506E50"/>
    <w:rsid w:val="0050753A"/>
    <w:rsid w:val="005078FA"/>
    <w:rsid w:val="00507DC4"/>
    <w:rsid w:val="00511E11"/>
    <w:rsid w:val="00512BE3"/>
    <w:rsid w:val="0051511D"/>
    <w:rsid w:val="005153E7"/>
    <w:rsid w:val="005158E4"/>
    <w:rsid w:val="00516B4A"/>
    <w:rsid w:val="00517D9D"/>
    <w:rsid w:val="005204A2"/>
    <w:rsid w:val="005214FF"/>
    <w:rsid w:val="00522B70"/>
    <w:rsid w:val="00522F1F"/>
    <w:rsid w:val="00525BA4"/>
    <w:rsid w:val="00525ED9"/>
    <w:rsid w:val="005268AE"/>
    <w:rsid w:val="00530044"/>
    <w:rsid w:val="00530322"/>
    <w:rsid w:val="005312AD"/>
    <w:rsid w:val="00531457"/>
    <w:rsid w:val="00531653"/>
    <w:rsid w:val="00531AC0"/>
    <w:rsid w:val="00532E9D"/>
    <w:rsid w:val="0053384B"/>
    <w:rsid w:val="005351EF"/>
    <w:rsid w:val="005352E3"/>
    <w:rsid w:val="00535882"/>
    <w:rsid w:val="00535947"/>
    <w:rsid w:val="00535958"/>
    <w:rsid w:val="005362BB"/>
    <w:rsid w:val="0053697E"/>
    <w:rsid w:val="00536DA5"/>
    <w:rsid w:val="00537A35"/>
    <w:rsid w:val="00537D38"/>
    <w:rsid w:val="00537F32"/>
    <w:rsid w:val="0054010E"/>
    <w:rsid w:val="00540862"/>
    <w:rsid w:val="00540C62"/>
    <w:rsid w:val="005412F2"/>
    <w:rsid w:val="00541802"/>
    <w:rsid w:val="00542488"/>
    <w:rsid w:val="005434CC"/>
    <w:rsid w:val="00543A38"/>
    <w:rsid w:val="00543E35"/>
    <w:rsid w:val="005444FC"/>
    <w:rsid w:val="0054667C"/>
    <w:rsid w:val="00546F02"/>
    <w:rsid w:val="00547BD5"/>
    <w:rsid w:val="00550021"/>
    <w:rsid w:val="005504E7"/>
    <w:rsid w:val="00550ED0"/>
    <w:rsid w:val="00550EF0"/>
    <w:rsid w:val="005516C9"/>
    <w:rsid w:val="00551F82"/>
    <w:rsid w:val="00552B03"/>
    <w:rsid w:val="005532B9"/>
    <w:rsid w:val="005538D2"/>
    <w:rsid w:val="0055412C"/>
    <w:rsid w:val="0055468C"/>
    <w:rsid w:val="00554F1F"/>
    <w:rsid w:val="005553CF"/>
    <w:rsid w:val="0055584F"/>
    <w:rsid w:val="00555E8B"/>
    <w:rsid w:val="005561EE"/>
    <w:rsid w:val="00557A5C"/>
    <w:rsid w:val="005607B2"/>
    <w:rsid w:val="00560EDF"/>
    <w:rsid w:val="00561D41"/>
    <w:rsid w:val="005625BC"/>
    <w:rsid w:val="005627A2"/>
    <w:rsid w:val="00562B54"/>
    <w:rsid w:val="00563B0B"/>
    <w:rsid w:val="00563BF7"/>
    <w:rsid w:val="00563F63"/>
    <w:rsid w:val="00564A87"/>
    <w:rsid w:val="00566236"/>
    <w:rsid w:val="00566CDD"/>
    <w:rsid w:val="00566E4D"/>
    <w:rsid w:val="005671C1"/>
    <w:rsid w:val="005676B9"/>
    <w:rsid w:val="0056796C"/>
    <w:rsid w:val="00567E4F"/>
    <w:rsid w:val="0057029C"/>
    <w:rsid w:val="005708BB"/>
    <w:rsid w:val="00571B47"/>
    <w:rsid w:val="00571BCD"/>
    <w:rsid w:val="00571C81"/>
    <w:rsid w:val="00572E78"/>
    <w:rsid w:val="0057307B"/>
    <w:rsid w:val="00573754"/>
    <w:rsid w:val="005738AC"/>
    <w:rsid w:val="00573E0F"/>
    <w:rsid w:val="00573EC9"/>
    <w:rsid w:val="00574CA2"/>
    <w:rsid w:val="0057526A"/>
    <w:rsid w:val="00575C49"/>
    <w:rsid w:val="0057684B"/>
    <w:rsid w:val="005777B5"/>
    <w:rsid w:val="00577B08"/>
    <w:rsid w:val="00577CEC"/>
    <w:rsid w:val="00577CF3"/>
    <w:rsid w:val="00580158"/>
    <w:rsid w:val="005802AF"/>
    <w:rsid w:val="00580972"/>
    <w:rsid w:val="00580FA5"/>
    <w:rsid w:val="0058153D"/>
    <w:rsid w:val="00582806"/>
    <w:rsid w:val="005838C3"/>
    <w:rsid w:val="005847B8"/>
    <w:rsid w:val="005848CD"/>
    <w:rsid w:val="00585315"/>
    <w:rsid w:val="00585EAE"/>
    <w:rsid w:val="00587A3D"/>
    <w:rsid w:val="0059000D"/>
    <w:rsid w:val="00592172"/>
    <w:rsid w:val="00592C59"/>
    <w:rsid w:val="00593604"/>
    <w:rsid w:val="00593690"/>
    <w:rsid w:val="00593BBA"/>
    <w:rsid w:val="00594275"/>
    <w:rsid w:val="005947EF"/>
    <w:rsid w:val="0059480C"/>
    <w:rsid w:val="00597D61"/>
    <w:rsid w:val="005A08DE"/>
    <w:rsid w:val="005A12C5"/>
    <w:rsid w:val="005A1375"/>
    <w:rsid w:val="005A2668"/>
    <w:rsid w:val="005A2672"/>
    <w:rsid w:val="005A2AB2"/>
    <w:rsid w:val="005A3313"/>
    <w:rsid w:val="005A3352"/>
    <w:rsid w:val="005A5589"/>
    <w:rsid w:val="005A5ADC"/>
    <w:rsid w:val="005A5BA3"/>
    <w:rsid w:val="005A7CF4"/>
    <w:rsid w:val="005B0059"/>
    <w:rsid w:val="005B0CC4"/>
    <w:rsid w:val="005B11C4"/>
    <w:rsid w:val="005B1E3C"/>
    <w:rsid w:val="005B275D"/>
    <w:rsid w:val="005B3476"/>
    <w:rsid w:val="005B3920"/>
    <w:rsid w:val="005B4842"/>
    <w:rsid w:val="005B4EC3"/>
    <w:rsid w:val="005B5162"/>
    <w:rsid w:val="005B5548"/>
    <w:rsid w:val="005B5600"/>
    <w:rsid w:val="005B5A8D"/>
    <w:rsid w:val="005B5AD9"/>
    <w:rsid w:val="005B7BBF"/>
    <w:rsid w:val="005C00B5"/>
    <w:rsid w:val="005C1B64"/>
    <w:rsid w:val="005C2606"/>
    <w:rsid w:val="005C2B3C"/>
    <w:rsid w:val="005C3160"/>
    <w:rsid w:val="005C35F0"/>
    <w:rsid w:val="005C3B1E"/>
    <w:rsid w:val="005C45FE"/>
    <w:rsid w:val="005C57A8"/>
    <w:rsid w:val="005C64F1"/>
    <w:rsid w:val="005C6CEF"/>
    <w:rsid w:val="005D063A"/>
    <w:rsid w:val="005D0A6C"/>
    <w:rsid w:val="005D193D"/>
    <w:rsid w:val="005D1A09"/>
    <w:rsid w:val="005D1AD6"/>
    <w:rsid w:val="005D1C60"/>
    <w:rsid w:val="005D1E5B"/>
    <w:rsid w:val="005D22E4"/>
    <w:rsid w:val="005D2F0B"/>
    <w:rsid w:val="005D3B8B"/>
    <w:rsid w:val="005D3B8F"/>
    <w:rsid w:val="005D4362"/>
    <w:rsid w:val="005D4B1B"/>
    <w:rsid w:val="005D4C59"/>
    <w:rsid w:val="005D4CD5"/>
    <w:rsid w:val="005D5C9B"/>
    <w:rsid w:val="005D6596"/>
    <w:rsid w:val="005D682A"/>
    <w:rsid w:val="005D7C13"/>
    <w:rsid w:val="005D7DB5"/>
    <w:rsid w:val="005E13C9"/>
    <w:rsid w:val="005E16CF"/>
    <w:rsid w:val="005E3914"/>
    <w:rsid w:val="005E551A"/>
    <w:rsid w:val="005E6000"/>
    <w:rsid w:val="005E7E53"/>
    <w:rsid w:val="005F02F8"/>
    <w:rsid w:val="005F03F3"/>
    <w:rsid w:val="005F071C"/>
    <w:rsid w:val="005F21B0"/>
    <w:rsid w:val="005F3CF9"/>
    <w:rsid w:val="005F4FED"/>
    <w:rsid w:val="005F5201"/>
    <w:rsid w:val="005F523D"/>
    <w:rsid w:val="005F6E27"/>
    <w:rsid w:val="005F73E4"/>
    <w:rsid w:val="005F75E6"/>
    <w:rsid w:val="0060015B"/>
    <w:rsid w:val="0060056B"/>
    <w:rsid w:val="006009CF"/>
    <w:rsid w:val="006009EC"/>
    <w:rsid w:val="00600CBB"/>
    <w:rsid w:val="00600CEB"/>
    <w:rsid w:val="00600D8D"/>
    <w:rsid w:val="0060193A"/>
    <w:rsid w:val="00601D17"/>
    <w:rsid w:val="00601D5B"/>
    <w:rsid w:val="006024DD"/>
    <w:rsid w:val="00603522"/>
    <w:rsid w:val="0060423F"/>
    <w:rsid w:val="00605DB1"/>
    <w:rsid w:val="00607306"/>
    <w:rsid w:val="00607747"/>
    <w:rsid w:val="00610699"/>
    <w:rsid w:val="00610A28"/>
    <w:rsid w:val="00610EBE"/>
    <w:rsid w:val="00614B6A"/>
    <w:rsid w:val="00615077"/>
    <w:rsid w:val="00615512"/>
    <w:rsid w:val="006155ED"/>
    <w:rsid w:val="0061568C"/>
    <w:rsid w:val="006166CE"/>
    <w:rsid w:val="0061682A"/>
    <w:rsid w:val="00616AF4"/>
    <w:rsid w:val="006171E4"/>
    <w:rsid w:val="00617C03"/>
    <w:rsid w:val="00620A93"/>
    <w:rsid w:val="00621767"/>
    <w:rsid w:val="00621FF6"/>
    <w:rsid w:val="006227C0"/>
    <w:rsid w:val="00622892"/>
    <w:rsid w:val="00622DA9"/>
    <w:rsid w:val="006231CC"/>
    <w:rsid w:val="00624F6E"/>
    <w:rsid w:val="0062583C"/>
    <w:rsid w:val="00625CA5"/>
    <w:rsid w:val="006267A6"/>
    <w:rsid w:val="00627688"/>
    <w:rsid w:val="00630281"/>
    <w:rsid w:val="00630A86"/>
    <w:rsid w:val="006316B4"/>
    <w:rsid w:val="0063379D"/>
    <w:rsid w:val="00633AA8"/>
    <w:rsid w:val="0063425E"/>
    <w:rsid w:val="00635AD1"/>
    <w:rsid w:val="00635F3C"/>
    <w:rsid w:val="006363EF"/>
    <w:rsid w:val="006364A5"/>
    <w:rsid w:val="006376DC"/>
    <w:rsid w:val="006407F5"/>
    <w:rsid w:val="00642F0C"/>
    <w:rsid w:val="00644EC9"/>
    <w:rsid w:val="00645241"/>
    <w:rsid w:val="00645597"/>
    <w:rsid w:val="00645614"/>
    <w:rsid w:val="00645DB6"/>
    <w:rsid w:val="00647812"/>
    <w:rsid w:val="00647C0D"/>
    <w:rsid w:val="0065110A"/>
    <w:rsid w:val="006529DC"/>
    <w:rsid w:val="00652E8C"/>
    <w:rsid w:val="00653A22"/>
    <w:rsid w:val="00653EF7"/>
    <w:rsid w:val="0065413D"/>
    <w:rsid w:val="006553FF"/>
    <w:rsid w:val="00655DD6"/>
    <w:rsid w:val="00655E40"/>
    <w:rsid w:val="0065666E"/>
    <w:rsid w:val="006567C8"/>
    <w:rsid w:val="00656B18"/>
    <w:rsid w:val="00656DC9"/>
    <w:rsid w:val="0065734E"/>
    <w:rsid w:val="0066052A"/>
    <w:rsid w:val="00660A9C"/>
    <w:rsid w:val="0066199C"/>
    <w:rsid w:val="00661D1F"/>
    <w:rsid w:val="00661F3D"/>
    <w:rsid w:val="006620E1"/>
    <w:rsid w:val="0066220E"/>
    <w:rsid w:val="00662356"/>
    <w:rsid w:val="00663105"/>
    <w:rsid w:val="00666B86"/>
    <w:rsid w:val="00670495"/>
    <w:rsid w:val="006712DD"/>
    <w:rsid w:val="00671301"/>
    <w:rsid w:val="0067427C"/>
    <w:rsid w:val="00674A63"/>
    <w:rsid w:val="0067521B"/>
    <w:rsid w:val="00675F3E"/>
    <w:rsid w:val="006763D4"/>
    <w:rsid w:val="00677CD5"/>
    <w:rsid w:val="0068066A"/>
    <w:rsid w:val="00680E34"/>
    <w:rsid w:val="0068134F"/>
    <w:rsid w:val="006813D1"/>
    <w:rsid w:val="006815CD"/>
    <w:rsid w:val="00681A3B"/>
    <w:rsid w:val="00682AC3"/>
    <w:rsid w:val="006845E4"/>
    <w:rsid w:val="00684728"/>
    <w:rsid w:val="00684BA5"/>
    <w:rsid w:val="00684EF5"/>
    <w:rsid w:val="0068536E"/>
    <w:rsid w:val="00686786"/>
    <w:rsid w:val="006877AA"/>
    <w:rsid w:val="00690482"/>
    <w:rsid w:val="006910E2"/>
    <w:rsid w:val="006928DC"/>
    <w:rsid w:val="00692F2C"/>
    <w:rsid w:val="00693B96"/>
    <w:rsid w:val="006968B7"/>
    <w:rsid w:val="006975C7"/>
    <w:rsid w:val="006A01AE"/>
    <w:rsid w:val="006A045C"/>
    <w:rsid w:val="006A0584"/>
    <w:rsid w:val="006A0706"/>
    <w:rsid w:val="006A11EF"/>
    <w:rsid w:val="006A1CE8"/>
    <w:rsid w:val="006A2402"/>
    <w:rsid w:val="006A2623"/>
    <w:rsid w:val="006A377E"/>
    <w:rsid w:val="006A3C84"/>
    <w:rsid w:val="006A4060"/>
    <w:rsid w:val="006A4296"/>
    <w:rsid w:val="006A44EA"/>
    <w:rsid w:val="006A4748"/>
    <w:rsid w:val="006A5365"/>
    <w:rsid w:val="006A5CF0"/>
    <w:rsid w:val="006A5D10"/>
    <w:rsid w:val="006A6D33"/>
    <w:rsid w:val="006A74B9"/>
    <w:rsid w:val="006A7758"/>
    <w:rsid w:val="006A7C85"/>
    <w:rsid w:val="006B0019"/>
    <w:rsid w:val="006B1313"/>
    <w:rsid w:val="006B35BD"/>
    <w:rsid w:val="006B39AE"/>
    <w:rsid w:val="006B3DA5"/>
    <w:rsid w:val="006B4336"/>
    <w:rsid w:val="006B571F"/>
    <w:rsid w:val="006B6AB1"/>
    <w:rsid w:val="006B72E3"/>
    <w:rsid w:val="006B77AC"/>
    <w:rsid w:val="006B7B3A"/>
    <w:rsid w:val="006C0CD6"/>
    <w:rsid w:val="006C0E7A"/>
    <w:rsid w:val="006C2274"/>
    <w:rsid w:val="006C2D99"/>
    <w:rsid w:val="006C37AA"/>
    <w:rsid w:val="006C4456"/>
    <w:rsid w:val="006C4CE5"/>
    <w:rsid w:val="006C4FB4"/>
    <w:rsid w:val="006C63E4"/>
    <w:rsid w:val="006C66F6"/>
    <w:rsid w:val="006D024A"/>
    <w:rsid w:val="006D0278"/>
    <w:rsid w:val="006D0CD6"/>
    <w:rsid w:val="006D1193"/>
    <w:rsid w:val="006D1478"/>
    <w:rsid w:val="006D152B"/>
    <w:rsid w:val="006D1FFF"/>
    <w:rsid w:val="006D20E5"/>
    <w:rsid w:val="006D2BA6"/>
    <w:rsid w:val="006D3642"/>
    <w:rsid w:val="006D38B7"/>
    <w:rsid w:val="006D4EFA"/>
    <w:rsid w:val="006D5B11"/>
    <w:rsid w:val="006D62DA"/>
    <w:rsid w:val="006D63E2"/>
    <w:rsid w:val="006E026F"/>
    <w:rsid w:val="006E0995"/>
    <w:rsid w:val="006E16FC"/>
    <w:rsid w:val="006E2D09"/>
    <w:rsid w:val="006E2E78"/>
    <w:rsid w:val="006E32FC"/>
    <w:rsid w:val="006E5196"/>
    <w:rsid w:val="006E5F2C"/>
    <w:rsid w:val="006E5FFB"/>
    <w:rsid w:val="006E60C3"/>
    <w:rsid w:val="006E66B9"/>
    <w:rsid w:val="006E7CDC"/>
    <w:rsid w:val="006F0766"/>
    <w:rsid w:val="006F0A4B"/>
    <w:rsid w:val="006F0E9B"/>
    <w:rsid w:val="006F1283"/>
    <w:rsid w:val="006F1720"/>
    <w:rsid w:val="006F5211"/>
    <w:rsid w:val="006F71A8"/>
    <w:rsid w:val="007000FF"/>
    <w:rsid w:val="0070250F"/>
    <w:rsid w:val="00702E26"/>
    <w:rsid w:val="0070322C"/>
    <w:rsid w:val="0070390E"/>
    <w:rsid w:val="00703CDF"/>
    <w:rsid w:val="00703EB4"/>
    <w:rsid w:val="00704161"/>
    <w:rsid w:val="00705905"/>
    <w:rsid w:val="00705B57"/>
    <w:rsid w:val="00705C3A"/>
    <w:rsid w:val="007076DC"/>
    <w:rsid w:val="007079B5"/>
    <w:rsid w:val="007103E1"/>
    <w:rsid w:val="00710737"/>
    <w:rsid w:val="007110B9"/>
    <w:rsid w:val="00711278"/>
    <w:rsid w:val="00711C5C"/>
    <w:rsid w:val="00712EB3"/>
    <w:rsid w:val="0071447B"/>
    <w:rsid w:val="0071516E"/>
    <w:rsid w:val="0071627E"/>
    <w:rsid w:val="00716308"/>
    <w:rsid w:val="0071651A"/>
    <w:rsid w:val="00716714"/>
    <w:rsid w:val="0071752E"/>
    <w:rsid w:val="00720180"/>
    <w:rsid w:val="007218DD"/>
    <w:rsid w:val="007230C4"/>
    <w:rsid w:val="00723211"/>
    <w:rsid w:val="00724057"/>
    <w:rsid w:val="00724935"/>
    <w:rsid w:val="00724DB9"/>
    <w:rsid w:val="00725E32"/>
    <w:rsid w:val="007264D3"/>
    <w:rsid w:val="00726852"/>
    <w:rsid w:val="00726FD3"/>
    <w:rsid w:val="007276E7"/>
    <w:rsid w:val="00727DE5"/>
    <w:rsid w:val="0073129B"/>
    <w:rsid w:val="00731542"/>
    <w:rsid w:val="007320DB"/>
    <w:rsid w:val="007324A4"/>
    <w:rsid w:val="007324F3"/>
    <w:rsid w:val="007339D7"/>
    <w:rsid w:val="007343CE"/>
    <w:rsid w:val="007350D7"/>
    <w:rsid w:val="00737EA3"/>
    <w:rsid w:val="00740112"/>
    <w:rsid w:val="00740F88"/>
    <w:rsid w:val="00741838"/>
    <w:rsid w:val="00741FEC"/>
    <w:rsid w:val="007423D3"/>
    <w:rsid w:val="007423F1"/>
    <w:rsid w:val="0074401B"/>
    <w:rsid w:val="00745022"/>
    <w:rsid w:val="0074590D"/>
    <w:rsid w:val="00745F43"/>
    <w:rsid w:val="00747AA2"/>
    <w:rsid w:val="00750066"/>
    <w:rsid w:val="00750F17"/>
    <w:rsid w:val="007511B9"/>
    <w:rsid w:val="00751522"/>
    <w:rsid w:val="007516A7"/>
    <w:rsid w:val="007517DA"/>
    <w:rsid w:val="00752A3D"/>
    <w:rsid w:val="00753A46"/>
    <w:rsid w:val="00753B4E"/>
    <w:rsid w:val="00756AC8"/>
    <w:rsid w:val="00757745"/>
    <w:rsid w:val="0075777E"/>
    <w:rsid w:val="00757BFF"/>
    <w:rsid w:val="00757D14"/>
    <w:rsid w:val="007603FC"/>
    <w:rsid w:val="00762A80"/>
    <w:rsid w:val="007635EA"/>
    <w:rsid w:val="00764674"/>
    <w:rsid w:val="00764867"/>
    <w:rsid w:val="00764E66"/>
    <w:rsid w:val="007656C1"/>
    <w:rsid w:val="007661A6"/>
    <w:rsid w:val="007668D5"/>
    <w:rsid w:val="00766D8A"/>
    <w:rsid w:val="007679E0"/>
    <w:rsid w:val="00770436"/>
    <w:rsid w:val="0077060F"/>
    <w:rsid w:val="00770C45"/>
    <w:rsid w:val="00771741"/>
    <w:rsid w:val="007717CD"/>
    <w:rsid w:val="0077281D"/>
    <w:rsid w:val="007734C5"/>
    <w:rsid w:val="00774254"/>
    <w:rsid w:val="0077546E"/>
    <w:rsid w:val="0077555E"/>
    <w:rsid w:val="00776DE5"/>
    <w:rsid w:val="0077721B"/>
    <w:rsid w:val="007778AF"/>
    <w:rsid w:val="00780564"/>
    <w:rsid w:val="00780645"/>
    <w:rsid w:val="00780970"/>
    <w:rsid w:val="0078148D"/>
    <w:rsid w:val="00782175"/>
    <w:rsid w:val="007826EE"/>
    <w:rsid w:val="007827DF"/>
    <w:rsid w:val="0078345D"/>
    <w:rsid w:val="007834D3"/>
    <w:rsid w:val="00783773"/>
    <w:rsid w:val="00785335"/>
    <w:rsid w:val="00785694"/>
    <w:rsid w:val="00787378"/>
    <w:rsid w:val="00787AD3"/>
    <w:rsid w:val="007900CF"/>
    <w:rsid w:val="0079024A"/>
    <w:rsid w:val="00791A93"/>
    <w:rsid w:val="007954DF"/>
    <w:rsid w:val="007959D2"/>
    <w:rsid w:val="0079663E"/>
    <w:rsid w:val="0079707D"/>
    <w:rsid w:val="00797314"/>
    <w:rsid w:val="00797511"/>
    <w:rsid w:val="0079776E"/>
    <w:rsid w:val="007A0596"/>
    <w:rsid w:val="007A0CC5"/>
    <w:rsid w:val="007A0E00"/>
    <w:rsid w:val="007A0E0B"/>
    <w:rsid w:val="007A22DF"/>
    <w:rsid w:val="007A23D1"/>
    <w:rsid w:val="007A257C"/>
    <w:rsid w:val="007A3C8D"/>
    <w:rsid w:val="007A3FFE"/>
    <w:rsid w:val="007A497A"/>
    <w:rsid w:val="007A5139"/>
    <w:rsid w:val="007A7ABF"/>
    <w:rsid w:val="007A7B9B"/>
    <w:rsid w:val="007B00BA"/>
    <w:rsid w:val="007B0F97"/>
    <w:rsid w:val="007B10EA"/>
    <w:rsid w:val="007B1601"/>
    <w:rsid w:val="007B18B2"/>
    <w:rsid w:val="007B246E"/>
    <w:rsid w:val="007B46D9"/>
    <w:rsid w:val="007B62EE"/>
    <w:rsid w:val="007B66FB"/>
    <w:rsid w:val="007B6FEB"/>
    <w:rsid w:val="007B7098"/>
    <w:rsid w:val="007B78F0"/>
    <w:rsid w:val="007C0237"/>
    <w:rsid w:val="007C031D"/>
    <w:rsid w:val="007C14BC"/>
    <w:rsid w:val="007C2634"/>
    <w:rsid w:val="007C2712"/>
    <w:rsid w:val="007C4588"/>
    <w:rsid w:val="007C4736"/>
    <w:rsid w:val="007C4C76"/>
    <w:rsid w:val="007C4FF6"/>
    <w:rsid w:val="007C5A64"/>
    <w:rsid w:val="007D0081"/>
    <w:rsid w:val="007D1CCD"/>
    <w:rsid w:val="007D30BA"/>
    <w:rsid w:val="007D3398"/>
    <w:rsid w:val="007D35AC"/>
    <w:rsid w:val="007D3815"/>
    <w:rsid w:val="007D3A91"/>
    <w:rsid w:val="007D3BC3"/>
    <w:rsid w:val="007D3D8A"/>
    <w:rsid w:val="007D4516"/>
    <w:rsid w:val="007D4B91"/>
    <w:rsid w:val="007D6242"/>
    <w:rsid w:val="007D631F"/>
    <w:rsid w:val="007D6AD0"/>
    <w:rsid w:val="007D7568"/>
    <w:rsid w:val="007E1100"/>
    <w:rsid w:val="007E21FE"/>
    <w:rsid w:val="007E2FC1"/>
    <w:rsid w:val="007E30A8"/>
    <w:rsid w:val="007E40E3"/>
    <w:rsid w:val="007E430D"/>
    <w:rsid w:val="007E4845"/>
    <w:rsid w:val="007E504B"/>
    <w:rsid w:val="007E5225"/>
    <w:rsid w:val="007E57E9"/>
    <w:rsid w:val="007F07C5"/>
    <w:rsid w:val="007F144E"/>
    <w:rsid w:val="007F178C"/>
    <w:rsid w:val="007F17AB"/>
    <w:rsid w:val="007F21AF"/>
    <w:rsid w:val="007F3898"/>
    <w:rsid w:val="007F3FA7"/>
    <w:rsid w:val="007F5677"/>
    <w:rsid w:val="007F5FC0"/>
    <w:rsid w:val="007F6079"/>
    <w:rsid w:val="007F7867"/>
    <w:rsid w:val="008000E2"/>
    <w:rsid w:val="0080033E"/>
    <w:rsid w:val="0080088E"/>
    <w:rsid w:val="008011CC"/>
    <w:rsid w:val="00801950"/>
    <w:rsid w:val="00801C2D"/>
    <w:rsid w:val="008022D3"/>
    <w:rsid w:val="00802665"/>
    <w:rsid w:val="008032B0"/>
    <w:rsid w:val="00803640"/>
    <w:rsid w:val="00803DC7"/>
    <w:rsid w:val="00805B36"/>
    <w:rsid w:val="00807406"/>
    <w:rsid w:val="0081009E"/>
    <w:rsid w:val="008101E7"/>
    <w:rsid w:val="00810819"/>
    <w:rsid w:val="00811366"/>
    <w:rsid w:val="00811D31"/>
    <w:rsid w:val="0081264C"/>
    <w:rsid w:val="00812EE3"/>
    <w:rsid w:val="00813DAF"/>
    <w:rsid w:val="0081405F"/>
    <w:rsid w:val="008141F8"/>
    <w:rsid w:val="00815496"/>
    <w:rsid w:val="008154DD"/>
    <w:rsid w:val="00815A38"/>
    <w:rsid w:val="008174A9"/>
    <w:rsid w:val="008177F1"/>
    <w:rsid w:val="00817CB9"/>
    <w:rsid w:val="008200AF"/>
    <w:rsid w:val="008203B1"/>
    <w:rsid w:val="0082148A"/>
    <w:rsid w:val="00821613"/>
    <w:rsid w:val="00821A1A"/>
    <w:rsid w:val="00821FB1"/>
    <w:rsid w:val="008232E8"/>
    <w:rsid w:val="00823516"/>
    <w:rsid w:val="00824942"/>
    <w:rsid w:val="0082505F"/>
    <w:rsid w:val="00825561"/>
    <w:rsid w:val="00825884"/>
    <w:rsid w:val="00826761"/>
    <w:rsid w:val="0083025B"/>
    <w:rsid w:val="008303ED"/>
    <w:rsid w:val="00831302"/>
    <w:rsid w:val="00831E20"/>
    <w:rsid w:val="008321D3"/>
    <w:rsid w:val="00832CB2"/>
    <w:rsid w:val="0083388B"/>
    <w:rsid w:val="00833AD0"/>
    <w:rsid w:val="00833D65"/>
    <w:rsid w:val="008340D8"/>
    <w:rsid w:val="0083461F"/>
    <w:rsid w:val="008346DC"/>
    <w:rsid w:val="008353E0"/>
    <w:rsid w:val="00835E0C"/>
    <w:rsid w:val="00836DC9"/>
    <w:rsid w:val="00840107"/>
    <w:rsid w:val="008402EF"/>
    <w:rsid w:val="00841E96"/>
    <w:rsid w:val="008422AF"/>
    <w:rsid w:val="00843F40"/>
    <w:rsid w:val="00844FBA"/>
    <w:rsid w:val="00845103"/>
    <w:rsid w:val="00845423"/>
    <w:rsid w:val="008460B9"/>
    <w:rsid w:val="008462F1"/>
    <w:rsid w:val="00846B88"/>
    <w:rsid w:val="008472FB"/>
    <w:rsid w:val="00847328"/>
    <w:rsid w:val="00847A80"/>
    <w:rsid w:val="008509B0"/>
    <w:rsid w:val="00852A2C"/>
    <w:rsid w:val="00852CCE"/>
    <w:rsid w:val="0085311A"/>
    <w:rsid w:val="00853DB7"/>
    <w:rsid w:val="0085426F"/>
    <w:rsid w:val="00854771"/>
    <w:rsid w:val="008551B6"/>
    <w:rsid w:val="00855D77"/>
    <w:rsid w:val="0085614D"/>
    <w:rsid w:val="0085632D"/>
    <w:rsid w:val="0085671B"/>
    <w:rsid w:val="00856E70"/>
    <w:rsid w:val="00860C1F"/>
    <w:rsid w:val="00863731"/>
    <w:rsid w:val="00863D92"/>
    <w:rsid w:val="008648AB"/>
    <w:rsid w:val="00865AA4"/>
    <w:rsid w:val="00866B70"/>
    <w:rsid w:val="0086752F"/>
    <w:rsid w:val="008678FC"/>
    <w:rsid w:val="0087100B"/>
    <w:rsid w:val="00871C72"/>
    <w:rsid w:val="00871CCB"/>
    <w:rsid w:val="008722FC"/>
    <w:rsid w:val="008729F9"/>
    <w:rsid w:val="00872ECB"/>
    <w:rsid w:val="00873022"/>
    <w:rsid w:val="008734B7"/>
    <w:rsid w:val="0087396C"/>
    <w:rsid w:val="00874D19"/>
    <w:rsid w:val="00874DC4"/>
    <w:rsid w:val="0087536B"/>
    <w:rsid w:val="008757A1"/>
    <w:rsid w:val="00875B90"/>
    <w:rsid w:val="00875C5C"/>
    <w:rsid w:val="00875D83"/>
    <w:rsid w:val="008761B3"/>
    <w:rsid w:val="00876B29"/>
    <w:rsid w:val="00877579"/>
    <w:rsid w:val="00877CBA"/>
    <w:rsid w:val="00877D21"/>
    <w:rsid w:val="0088062A"/>
    <w:rsid w:val="008806B8"/>
    <w:rsid w:val="00882489"/>
    <w:rsid w:val="00882BE4"/>
    <w:rsid w:val="00882FBA"/>
    <w:rsid w:val="00883058"/>
    <w:rsid w:val="008831F1"/>
    <w:rsid w:val="00884337"/>
    <w:rsid w:val="00884515"/>
    <w:rsid w:val="008851F0"/>
    <w:rsid w:val="0088733C"/>
    <w:rsid w:val="008874E4"/>
    <w:rsid w:val="00887663"/>
    <w:rsid w:val="008900DF"/>
    <w:rsid w:val="00890AA5"/>
    <w:rsid w:val="00891869"/>
    <w:rsid w:val="0089278E"/>
    <w:rsid w:val="00894583"/>
    <w:rsid w:val="00894E21"/>
    <w:rsid w:val="00895D95"/>
    <w:rsid w:val="00896C81"/>
    <w:rsid w:val="00897856"/>
    <w:rsid w:val="00897A62"/>
    <w:rsid w:val="008A1719"/>
    <w:rsid w:val="008A1843"/>
    <w:rsid w:val="008A34DA"/>
    <w:rsid w:val="008A35E9"/>
    <w:rsid w:val="008A3794"/>
    <w:rsid w:val="008A44D8"/>
    <w:rsid w:val="008A4C20"/>
    <w:rsid w:val="008A5759"/>
    <w:rsid w:val="008A5AB3"/>
    <w:rsid w:val="008A6228"/>
    <w:rsid w:val="008A65C3"/>
    <w:rsid w:val="008A6E9F"/>
    <w:rsid w:val="008A7AEE"/>
    <w:rsid w:val="008A7FC5"/>
    <w:rsid w:val="008B127F"/>
    <w:rsid w:val="008B1EB4"/>
    <w:rsid w:val="008B26A0"/>
    <w:rsid w:val="008B2936"/>
    <w:rsid w:val="008B3481"/>
    <w:rsid w:val="008B3F2B"/>
    <w:rsid w:val="008B42F4"/>
    <w:rsid w:val="008B440B"/>
    <w:rsid w:val="008B53F0"/>
    <w:rsid w:val="008B71A9"/>
    <w:rsid w:val="008C004F"/>
    <w:rsid w:val="008C0493"/>
    <w:rsid w:val="008C0662"/>
    <w:rsid w:val="008C0EBC"/>
    <w:rsid w:val="008C1F70"/>
    <w:rsid w:val="008C1FEF"/>
    <w:rsid w:val="008C3613"/>
    <w:rsid w:val="008C3FA1"/>
    <w:rsid w:val="008C5052"/>
    <w:rsid w:val="008C52B6"/>
    <w:rsid w:val="008C7246"/>
    <w:rsid w:val="008C7B98"/>
    <w:rsid w:val="008D1BB3"/>
    <w:rsid w:val="008D223D"/>
    <w:rsid w:val="008D2298"/>
    <w:rsid w:val="008D22BC"/>
    <w:rsid w:val="008D33B5"/>
    <w:rsid w:val="008D3452"/>
    <w:rsid w:val="008D356A"/>
    <w:rsid w:val="008D3B6B"/>
    <w:rsid w:val="008D3BBF"/>
    <w:rsid w:val="008D41D5"/>
    <w:rsid w:val="008D452F"/>
    <w:rsid w:val="008D52BB"/>
    <w:rsid w:val="008D5431"/>
    <w:rsid w:val="008D57B5"/>
    <w:rsid w:val="008D6258"/>
    <w:rsid w:val="008D6519"/>
    <w:rsid w:val="008D7023"/>
    <w:rsid w:val="008D7440"/>
    <w:rsid w:val="008D7692"/>
    <w:rsid w:val="008D7C30"/>
    <w:rsid w:val="008E131A"/>
    <w:rsid w:val="008E155E"/>
    <w:rsid w:val="008E1DFF"/>
    <w:rsid w:val="008E258A"/>
    <w:rsid w:val="008E3D26"/>
    <w:rsid w:val="008E402F"/>
    <w:rsid w:val="008E483E"/>
    <w:rsid w:val="008E611C"/>
    <w:rsid w:val="008E721C"/>
    <w:rsid w:val="008F0293"/>
    <w:rsid w:val="008F0659"/>
    <w:rsid w:val="008F1756"/>
    <w:rsid w:val="008F1994"/>
    <w:rsid w:val="008F1A66"/>
    <w:rsid w:val="008F33F2"/>
    <w:rsid w:val="008F3DC7"/>
    <w:rsid w:val="008F45FE"/>
    <w:rsid w:val="008F4A39"/>
    <w:rsid w:val="008F4B90"/>
    <w:rsid w:val="008F4CB8"/>
    <w:rsid w:val="008F5A92"/>
    <w:rsid w:val="008F5DBF"/>
    <w:rsid w:val="008F6F7A"/>
    <w:rsid w:val="00902AEB"/>
    <w:rsid w:val="00902B9A"/>
    <w:rsid w:val="00903C6A"/>
    <w:rsid w:val="00904241"/>
    <w:rsid w:val="0090439F"/>
    <w:rsid w:val="00904900"/>
    <w:rsid w:val="00905386"/>
    <w:rsid w:val="00906ACB"/>
    <w:rsid w:val="009077C1"/>
    <w:rsid w:val="009102C5"/>
    <w:rsid w:val="00910E6D"/>
    <w:rsid w:val="00910FA4"/>
    <w:rsid w:val="009123E4"/>
    <w:rsid w:val="009124B5"/>
    <w:rsid w:val="0091251C"/>
    <w:rsid w:val="009126C9"/>
    <w:rsid w:val="00913DB0"/>
    <w:rsid w:val="00913F1B"/>
    <w:rsid w:val="009160D3"/>
    <w:rsid w:val="00916996"/>
    <w:rsid w:val="00917254"/>
    <w:rsid w:val="00917781"/>
    <w:rsid w:val="009201A1"/>
    <w:rsid w:val="00920588"/>
    <w:rsid w:val="009205B4"/>
    <w:rsid w:val="00920991"/>
    <w:rsid w:val="0092109C"/>
    <w:rsid w:val="009211D8"/>
    <w:rsid w:val="009226E1"/>
    <w:rsid w:val="00922D95"/>
    <w:rsid w:val="00923C0B"/>
    <w:rsid w:val="00923F86"/>
    <w:rsid w:val="00924026"/>
    <w:rsid w:val="00924369"/>
    <w:rsid w:val="009247B4"/>
    <w:rsid w:val="0092534F"/>
    <w:rsid w:val="00925DEC"/>
    <w:rsid w:val="00930234"/>
    <w:rsid w:val="00930E76"/>
    <w:rsid w:val="00931A95"/>
    <w:rsid w:val="00933415"/>
    <w:rsid w:val="0093372F"/>
    <w:rsid w:val="00933BFF"/>
    <w:rsid w:val="00935931"/>
    <w:rsid w:val="00935E21"/>
    <w:rsid w:val="00936C69"/>
    <w:rsid w:val="00937114"/>
    <w:rsid w:val="00937B4F"/>
    <w:rsid w:val="009405AB"/>
    <w:rsid w:val="0094083C"/>
    <w:rsid w:val="00940A60"/>
    <w:rsid w:val="00940F1F"/>
    <w:rsid w:val="00941E94"/>
    <w:rsid w:val="00942561"/>
    <w:rsid w:val="0094303E"/>
    <w:rsid w:val="00944A78"/>
    <w:rsid w:val="00944A7A"/>
    <w:rsid w:val="009464C3"/>
    <w:rsid w:val="00946657"/>
    <w:rsid w:val="0094718C"/>
    <w:rsid w:val="0094767E"/>
    <w:rsid w:val="00947ABE"/>
    <w:rsid w:val="00947D4E"/>
    <w:rsid w:val="00947D8C"/>
    <w:rsid w:val="009508BC"/>
    <w:rsid w:val="00951014"/>
    <w:rsid w:val="00951285"/>
    <w:rsid w:val="009512A8"/>
    <w:rsid w:val="00951928"/>
    <w:rsid w:val="00954987"/>
    <w:rsid w:val="00954A1F"/>
    <w:rsid w:val="009553C8"/>
    <w:rsid w:val="0095543A"/>
    <w:rsid w:val="0095544E"/>
    <w:rsid w:val="009555BD"/>
    <w:rsid w:val="00956A3D"/>
    <w:rsid w:val="00957527"/>
    <w:rsid w:val="00960AEF"/>
    <w:rsid w:val="009617BC"/>
    <w:rsid w:val="009626EB"/>
    <w:rsid w:val="00962FF9"/>
    <w:rsid w:val="009632FA"/>
    <w:rsid w:val="00963B46"/>
    <w:rsid w:val="00964530"/>
    <w:rsid w:val="00964726"/>
    <w:rsid w:val="00964D9B"/>
    <w:rsid w:val="009651A8"/>
    <w:rsid w:val="009661D6"/>
    <w:rsid w:val="009664AF"/>
    <w:rsid w:val="00970950"/>
    <w:rsid w:val="00970DFA"/>
    <w:rsid w:val="00972211"/>
    <w:rsid w:val="00973BAD"/>
    <w:rsid w:val="00973F04"/>
    <w:rsid w:val="009740C3"/>
    <w:rsid w:val="0097542E"/>
    <w:rsid w:val="009755B2"/>
    <w:rsid w:val="00975D74"/>
    <w:rsid w:val="00977ABA"/>
    <w:rsid w:val="00980382"/>
    <w:rsid w:val="00980ECE"/>
    <w:rsid w:val="0098199E"/>
    <w:rsid w:val="00982D42"/>
    <w:rsid w:val="00982DF7"/>
    <w:rsid w:val="00983F69"/>
    <w:rsid w:val="0098406A"/>
    <w:rsid w:val="00984369"/>
    <w:rsid w:val="00984C86"/>
    <w:rsid w:val="0098619A"/>
    <w:rsid w:val="009873C9"/>
    <w:rsid w:val="009876FA"/>
    <w:rsid w:val="00987F49"/>
    <w:rsid w:val="00990FC5"/>
    <w:rsid w:val="009910E3"/>
    <w:rsid w:val="00991B25"/>
    <w:rsid w:val="00991C6C"/>
    <w:rsid w:val="00991D20"/>
    <w:rsid w:val="00991EE7"/>
    <w:rsid w:val="00995685"/>
    <w:rsid w:val="00995772"/>
    <w:rsid w:val="00996171"/>
    <w:rsid w:val="00996287"/>
    <w:rsid w:val="009968E1"/>
    <w:rsid w:val="00996C93"/>
    <w:rsid w:val="0099701C"/>
    <w:rsid w:val="00997E2C"/>
    <w:rsid w:val="009A0046"/>
    <w:rsid w:val="009A48C1"/>
    <w:rsid w:val="009A4901"/>
    <w:rsid w:val="009A540D"/>
    <w:rsid w:val="009A6C9C"/>
    <w:rsid w:val="009A6E0B"/>
    <w:rsid w:val="009A72FE"/>
    <w:rsid w:val="009A7678"/>
    <w:rsid w:val="009B0116"/>
    <w:rsid w:val="009B0E0C"/>
    <w:rsid w:val="009B1331"/>
    <w:rsid w:val="009B13F7"/>
    <w:rsid w:val="009B2987"/>
    <w:rsid w:val="009B2A8D"/>
    <w:rsid w:val="009B2F1F"/>
    <w:rsid w:val="009B33E7"/>
    <w:rsid w:val="009B3CDE"/>
    <w:rsid w:val="009B4027"/>
    <w:rsid w:val="009B469D"/>
    <w:rsid w:val="009B5BF7"/>
    <w:rsid w:val="009B6852"/>
    <w:rsid w:val="009B7153"/>
    <w:rsid w:val="009B74F1"/>
    <w:rsid w:val="009C1C4E"/>
    <w:rsid w:val="009C1D29"/>
    <w:rsid w:val="009C1D37"/>
    <w:rsid w:val="009C2616"/>
    <w:rsid w:val="009C3B28"/>
    <w:rsid w:val="009C4306"/>
    <w:rsid w:val="009C6DB8"/>
    <w:rsid w:val="009C72B8"/>
    <w:rsid w:val="009D05A0"/>
    <w:rsid w:val="009D0E39"/>
    <w:rsid w:val="009D35D0"/>
    <w:rsid w:val="009D375E"/>
    <w:rsid w:val="009D78A2"/>
    <w:rsid w:val="009D7AA0"/>
    <w:rsid w:val="009E0709"/>
    <w:rsid w:val="009E09F6"/>
    <w:rsid w:val="009E1277"/>
    <w:rsid w:val="009E143C"/>
    <w:rsid w:val="009E3D37"/>
    <w:rsid w:val="009E499F"/>
    <w:rsid w:val="009E57E3"/>
    <w:rsid w:val="009E59FB"/>
    <w:rsid w:val="009E6542"/>
    <w:rsid w:val="009E78C1"/>
    <w:rsid w:val="009E79C5"/>
    <w:rsid w:val="009E7F78"/>
    <w:rsid w:val="009F1E7E"/>
    <w:rsid w:val="009F2919"/>
    <w:rsid w:val="009F33D9"/>
    <w:rsid w:val="009F395C"/>
    <w:rsid w:val="009F45EA"/>
    <w:rsid w:val="009F48C1"/>
    <w:rsid w:val="009F4B7C"/>
    <w:rsid w:val="009F512F"/>
    <w:rsid w:val="009F662A"/>
    <w:rsid w:val="009F6912"/>
    <w:rsid w:val="009F7503"/>
    <w:rsid w:val="009F7B11"/>
    <w:rsid w:val="00A004A0"/>
    <w:rsid w:val="00A00A83"/>
    <w:rsid w:val="00A00B12"/>
    <w:rsid w:val="00A01A50"/>
    <w:rsid w:val="00A01C2C"/>
    <w:rsid w:val="00A02F23"/>
    <w:rsid w:val="00A035F3"/>
    <w:rsid w:val="00A0392C"/>
    <w:rsid w:val="00A03B6D"/>
    <w:rsid w:val="00A04E48"/>
    <w:rsid w:val="00A04F8C"/>
    <w:rsid w:val="00A05814"/>
    <w:rsid w:val="00A060C3"/>
    <w:rsid w:val="00A06804"/>
    <w:rsid w:val="00A07091"/>
    <w:rsid w:val="00A07354"/>
    <w:rsid w:val="00A07A36"/>
    <w:rsid w:val="00A108D1"/>
    <w:rsid w:val="00A11051"/>
    <w:rsid w:val="00A126C2"/>
    <w:rsid w:val="00A134A7"/>
    <w:rsid w:val="00A1434E"/>
    <w:rsid w:val="00A145B5"/>
    <w:rsid w:val="00A150BF"/>
    <w:rsid w:val="00A15A9C"/>
    <w:rsid w:val="00A15DAA"/>
    <w:rsid w:val="00A16B3E"/>
    <w:rsid w:val="00A179BD"/>
    <w:rsid w:val="00A179C1"/>
    <w:rsid w:val="00A17E0A"/>
    <w:rsid w:val="00A20256"/>
    <w:rsid w:val="00A204E1"/>
    <w:rsid w:val="00A2075C"/>
    <w:rsid w:val="00A20806"/>
    <w:rsid w:val="00A21461"/>
    <w:rsid w:val="00A214FF"/>
    <w:rsid w:val="00A21AC8"/>
    <w:rsid w:val="00A21F1D"/>
    <w:rsid w:val="00A22A37"/>
    <w:rsid w:val="00A2405E"/>
    <w:rsid w:val="00A24151"/>
    <w:rsid w:val="00A242BC"/>
    <w:rsid w:val="00A246DD"/>
    <w:rsid w:val="00A2529A"/>
    <w:rsid w:val="00A25746"/>
    <w:rsid w:val="00A26289"/>
    <w:rsid w:val="00A26E1B"/>
    <w:rsid w:val="00A30793"/>
    <w:rsid w:val="00A31CAC"/>
    <w:rsid w:val="00A3339A"/>
    <w:rsid w:val="00A339CD"/>
    <w:rsid w:val="00A34058"/>
    <w:rsid w:val="00A344F7"/>
    <w:rsid w:val="00A34C76"/>
    <w:rsid w:val="00A34E8A"/>
    <w:rsid w:val="00A36781"/>
    <w:rsid w:val="00A36ECE"/>
    <w:rsid w:val="00A36FA0"/>
    <w:rsid w:val="00A370A1"/>
    <w:rsid w:val="00A37505"/>
    <w:rsid w:val="00A37CCC"/>
    <w:rsid w:val="00A37DE2"/>
    <w:rsid w:val="00A40094"/>
    <w:rsid w:val="00A40F6B"/>
    <w:rsid w:val="00A424AF"/>
    <w:rsid w:val="00A42DA3"/>
    <w:rsid w:val="00A4344A"/>
    <w:rsid w:val="00A43728"/>
    <w:rsid w:val="00A43964"/>
    <w:rsid w:val="00A44437"/>
    <w:rsid w:val="00A46233"/>
    <w:rsid w:val="00A466D9"/>
    <w:rsid w:val="00A47421"/>
    <w:rsid w:val="00A474C3"/>
    <w:rsid w:val="00A5034C"/>
    <w:rsid w:val="00A51353"/>
    <w:rsid w:val="00A515B1"/>
    <w:rsid w:val="00A51BAF"/>
    <w:rsid w:val="00A52365"/>
    <w:rsid w:val="00A5288B"/>
    <w:rsid w:val="00A52BB6"/>
    <w:rsid w:val="00A530EA"/>
    <w:rsid w:val="00A54437"/>
    <w:rsid w:val="00A54E2D"/>
    <w:rsid w:val="00A55CC0"/>
    <w:rsid w:val="00A56443"/>
    <w:rsid w:val="00A5667C"/>
    <w:rsid w:val="00A56722"/>
    <w:rsid w:val="00A57613"/>
    <w:rsid w:val="00A577D2"/>
    <w:rsid w:val="00A57D6F"/>
    <w:rsid w:val="00A57DBC"/>
    <w:rsid w:val="00A603CF"/>
    <w:rsid w:val="00A606B0"/>
    <w:rsid w:val="00A616A2"/>
    <w:rsid w:val="00A61D1F"/>
    <w:rsid w:val="00A61D2F"/>
    <w:rsid w:val="00A61FBB"/>
    <w:rsid w:val="00A62678"/>
    <w:rsid w:val="00A6322E"/>
    <w:rsid w:val="00A63437"/>
    <w:rsid w:val="00A63A2E"/>
    <w:rsid w:val="00A64EFD"/>
    <w:rsid w:val="00A65998"/>
    <w:rsid w:val="00A66DD9"/>
    <w:rsid w:val="00A703EC"/>
    <w:rsid w:val="00A709EF"/>
    <w:rsid w:val="00A70A7F"/>
    <w:rsid w:val="00A71937"/>
    <w:rsid w:val="00A746CA"/>
    <w:rsid w:val="00A75867"/>
    <w:rsid w:val="00A75B03"/>
    <w:rsid w:val="00A75DAE"/>
    <w:rsid w:val="00A772C8"/>
    <w:rsid w:val="00A80258"/>
    <w:rsid w:val="00A8132A"/>
    <w:rsid w:val="00A81CBC"/>
    <w:rsid w:val="00A82B64"/>
    <w:rsid w:val="00A830E4"/>
    <w:rsid w:val="00A8463D"/>
    <w:rsid w:val="00A84BE1"/>
    <w:rsid w:val="00A8619F"/>
    <w:rsid w:val="00A865DD"/>
    <w:rsid w:val="00A908F9"/>
    <w:rsid w:val="00A90B3F"/>
    <w:rsid w:val="00A9103C"/>
    <w:rsid w:val="00A91977"/>
    <w:rsid w:val="00A919EC"/>
    <w:rsid w:val="00A92B69"/>
    <w:rsid w:val="00A94105"/>
    <w:rsid w:val="00A944E6"/>
    <w:rsid w:val="00A956B3"/>
    <w:rsid w:val="00A95912"/>
    <w:rsid w:val="00A95EC4"/>
    <w:rsid w:val="00A96889"/>
    <w:rsid w:val="00A97210"/>
    <w:rsid w:val="00A97264"/>
    <w:rsid w:val="00A97B6E"/>
    <w:rsid w:val="00AA0D15"/>
    <w:rsid w:val="00AA16F8"/>
    <w:rsid w:val="00AA1A0E"/>
    <w:rsid w:val="00AA2A78"/>
    <w:rsid w:val="00AA3666"/>
    <w:rsid w:val="00AA3D27"/>
    <w:rsid w:val="00AA41BA"/>
    <w:rsid w:val="00AA4747"/>
    <w:rsid w:val="00AA4B5A"/>
    <w:rsid w:val="00AA5533"/>
    <w:rsid w:val="00AA5874"/>
    <w:rsid w:val="00AA5A87"/>
    <w:rsid w:val="00AA61A4"/>
    <w:rsid w:val="00AA6662"/>
    <w:rsid w:val="00AA6C7C"/>
    <w:rsid w:val="00AA6E8E"/>
    <w:rsid w:val="00AA710C"/>
    <w:rsid w:val="00AA79C0"/>
    <w:rsid w:val="00AA7D02"/>
    <w:rsid w:val="00AB0656"/>
    <w:rsid w:val="00AB1356"/>
    <w:rsid w:val="00AB141B"/>
    <w:rsid w:val="00AB1C04"/>
    <w:rsid w:val="00AB1F96"/>
    <w:rsid w:val="00AB2B15"/>
    <w:rsid w:val="00AB2F18"/>
    <w:rsid w:val="00AB3C59"/>
    <w:rsid w:val="00AB3CB2"/>
    <w:rsid w:val="00AB458B"/>
    <w:rsid w:val="00AB4831"/>
    <w:rsid w:val="00AB4EFC"/>
    <w:rsid w:val="00AB530B"/>
    <w:rsid w:val="00AB733E"/>
    <w:rsid w:val="00AC0BBF"/>
    <w:rsid w:val="00AC375D"/>
    <w:rsid w:val="00AC38E4"/>
    <w:rsid w:val="00AC4320"/>
    <w:rsid w:val="00AC4923"/>
    <w:rsid w:val="00AC499C"/>
    <w:rsid w:val="00AC4BE8"/>
    <w:rsid w:val="00AC56D3"/>
    <w:rsid w:val="00AC58FD"/>
    <w:rsid w:val="00AC5AEB"/>
    <w:rsid w:val="00AC72DC"/>
    <w:rsid w:val="00AD0229"/>
    <w:rsid w:val="00AD0305"/>
    <w:rsid w:val="00AD12CB"/>
    <w:rsid w:val="00AD1DC9"/>
    <w:rsid w:val="00AD1E95"/>
    <w:rsid w:val="00AD220E"/>
    <w:rsid w:val="00AD27EC"/>
    <w:rsid w:val="00AD46AC"/>
    <w:rsid w:val="00AD51A9"/>
    <w:rsid w:val="00AD5223"/>
    <w:rsid w:val="00AD58B2"/>
    <w:rsid w:val="00AD58D5"/>
    <w:rsid w:val="00AD62DE"/>
    <w:rsid w:val="00AD7EDE"/>
    <w:rsid w:val="00AE0AB7"/>
    <w:rsid w:val="00AE0B10"/>
    <w:rsid w:val="00AE1189"/>
    <w:rsid w:val="00AE15F8"/>
    <w:rsid w:val="00AE1D11"/>
    <w:rsid w:val="00AE288A"/>
    <w:rsid w:val="00AE3516"/>
    <w:rsid w:val="00AE39FF"/>
    <w:rsid w:val="00AE3B37"/>
    <w:rsid w:val="00AE3BEB"/>
    <w:rsid w:val="00AE471C"/>
    <w:rsid w:val="00AE61A1"/>
    <w:rsid w:val="00AE6C3B"/>
    <w:rsid w:val="00AF068A"/>
    <w:rsid w:val="00AF2092"/>
    <w:rsid w:val="00AF3F7A"/>
    <w:rsid w:val="00AF4DF7"/>
    <w:rsid w:val="00AF57CA"/>
    <w:rsid w:val="00AF5FEA"/>
    <w:rsid w:val="00AF65B0"/>
    <w:rsid w:val="00AF65CB"/>
    <w:rsid w:val="00AF6FB4"/>
    <w:rsid w:val="00AF71F8"/>
    <w:rsid w:val="00AF7BDA"/>
    <w:rsid w:val="00B0024A"/>
    <w:rsid w:val="00B0065C"/>
    <w:rsid w:val="00B01AF7"/>
    <w:rsid w:val="00B01C63"/>
    <w:rsid w:val="00B02131"/>
    <w:rsid w:val="00B02234"/>
    <w:rsid w:val="00B029CF"/>
    <w:rsid w:val="00B03BD6"/>
    <w:rsid w:val="00B04BF5"/>
    <w:rsid w:val="00B056B7"/>
    <w:rsid w:val="00B05C98"/>
    <w:rsid w:val="00B06669"/>
    <w:rsid w:val="00B06688"/>
    <w:rsid w:val="00B067ED"/>
    <w:rsid w:val="00B06811"/>
    <w:rsid w:val="00B07C21"/>
    <w:rsid w:val="00B1046B"/>
    <w:rsid w:val="00B10BD1"/>
    <w:rsid w:val="00B11048"/>
    <w:rsid w:val="00B11247"/>
    <w:rsid w:val="00B11E5E"/>
    <w:rsid w:val="00B12010"/>
    <w:rsid w:val="00B122E4"/>
    <w:rsid w:val="00B125CB"/>
    <w:rsid w:val="00B12DC9"/>
    <w:rsid w:val="00B13D8F"/>
    <w:rsid w:val="00B14D57"/>
    <w:rsid w:val="00B14D91"/>
    <w:rsid w:val="00B1607A"/>
    <w:rsid w:val="00B16325"/>
    <w:rsid w:val="00B20206"/>
    <w:rsid w:val="00B210C3"/>
    <w:rsid w:val="00B21A09"/>
    <w:rsid w:val="00B220A8"/>
    <w:rsid w:val="00B22683"/>
    <w:rsid w:val="00B22819"/>
    <w:rsid w:val="00B22958"/>
    <w:rsid w:val="00B22CA7"/>
    <w:rsid w:val="00B2332D"/>
    <w:rsid w:val="00B23599"/>
    <w:rsid w:val="00B23C81"/>
    <w:rsid w:val="00B249DD"/>
    <w:rsid w:val="00B24C79"/>
    <w:rsid w:val="00B25D30"/>
    <w:rsid w:val="00B2600E"/>
    <w:rsid w:val="00B265A1"/>
    <w:rsid w:val="00B2679B"/>
    <w:rsid w:val="00B268D7"/>
    <w:rsid w:val="00B3035E"/>
    <w:rsid w:val="00B305C7"/>
    <w:rsid w:val="00B30998"/>
    <w:rsid w:val="00B31418"/>
    <w:rsid w:val="00B31755"/>
    <w:rsid w:val="00B31FD1"/>
    <w:rsid w:val="00B320A5"/>
    <w:rsid w:val="00B32340"/>
    <w:rsid w:val="00B338E5"/>
    <w:rsid w:val="00B34C5D"/>
    <w:rsid w:val="00B35AA2"/>
    <w:rsid w:val="00B35AA9"/>
    <w:rsid w:val="00B35CCD"/>
    <w:rsid w:val="00B361DE"/>
    <w:rsid w:val="00B367DF"/>
    <w:rsid w:val="00B37015"/>
    <w:rsid w:val="00B37FCC"/>
    <w:rsid w:val="00B40632"/>
    <w:rsid w:val="00B40B70"/>
    <w:rsid w:val="00B4194C"/>
    <w:rsid w:val="00B42332"/>
    <w:rsid w:val="00B43135"/>
    <w:rsid w:val="00B444E8"/>
    <w:rsid w:val="00B44734"/>
    <w:rsid w:val="00B448FE"/>
    <w:rsid w:val="00B459B7"/>
    <w:rsid w:val="00B46E9F"/>
    <w:rsid w:val="00B46F41"/>
    <w:rsid w:val="00B47791"/>
    <w:rsid w:val="00B477B5"/>
    <w:rsid w:val="00B479D1"/>
    <w:rsid w:val="00B47CAF"/>
    <w:rsid w:val="00B47E38"/>
    <w:rsid w:val="00B47E5F"/>
    <w:rsid w:val="00B51979"/>
    <w:rsid w:val="00B51D3F"/>
    <w:rsid w:val="00B52AD6"/>
    <w:rsid w:val="00B53E75"/>
    <w:rsid w:val="00B54060"/>
    <w:rsid w:val="00B5429A"/>
    <w:rsid w:val="00B542FC"/>
    <w:rsid w:val="00B55680"/>
    <w:rsid w:val="00B55927"/>
    <w:rsid w:val="00B571A0"/>
    <w:rsid w:val="00B6067A"/>
    <w:rsid w:val="00B61216"/>
    <w:rsid w:val="00B61415"/>
    <w:rsid w:val="00B615E1"/>
    <w:rsid w:val="00B61BA2"/>
    <w:rsid w:val="00B62E4E"/>
    <w:rsid w:val="00B62E71"/>
    <w:rsid w:val="00B63CE4"/>
    <w:rsid w:val="00B65D85"/>
    <w:rsid w:val="00B6662F"/>
    <w:rsid w:val="00B66E7D"/>
    <w:rsid w:val="00B67423"/>
    <w:rsid w:val="00B67480"/>
    <w:rsid w:val="00B702C6"/>
    <w:rsid w:val="00B71434"/>
    <w:rsid w:val="00B736D2"/>
    <w:rsid w:val="00B73731"/>
    <w:rsid w:val="00B74194"/>
    <w:rsid w:val="00B74F0F"/>
    <w:rsid w:val="00B754BB"/>
    <w:rsid w:val="00B75A6E"/>
    <w:rsid w:val="00B76457"/>
    <w:rsid w:val="00B800C3"/>
    <w:rsid w:val="00B80F5F"/>
    <w:rsid w:val="00B82A3B"/>
    <w:rsid w:val="00B83C47"/>
    <w:rsid w:val="00B855C3"/>
    <w:rsid w:val="00B869B6"/>
    <w:rsid w:val="00B90446"/>
    <w:rsid w:val="00B91374"/>
    <w:rsid w:val="00B91D48"/>
    <w:rsid w:val="00B91E28"/>
    <w:rsid w:val="00B92B13"/>
    <w:rsid w:val="00B92EB5"/>
    <w:rsid w:val="00B932CE"/>
    <w:rsid w:val="00B933F7"/>
    <w:rsid w:val="00B93481"/>
    <w:rsid w:val="00B936A0"/>
    <w:rsid w:val="00B939D8"/>
    <w:rsid w:val="00B941F8"/>
    <w:rsid w:val="00B943A9"/>
    <w:rsid w:val="00B95659"/>
    <w:rsid w:val="00B9676F"/>
    <w:rsid w:val="00B96810"/>
    <w:rsid w:val="00B97C30"/>
    <w:rsid w:val="00BA0DA0"/>
    <w:rsid w:val="00BA17DB"/>
    <w:rsid w:val="00BA1824"/>
    <w:rsid w:val="00BA2251"/>
    <w:rsid w:val="00BA4605"/>
    <w:rsid w:val="00BA474F"/>
    <w:rsid w:val="00BA4F61"/>
    <w:rsid w:val="00BA53E1"/>
    <w:rsid w:val="00BA5805"/>
    <w:rsid w:val="00BA58DE"/>
    <w:rsid w:val="00BA655B"/>
    <w:rsid w:val="00BA677A"/>
    <w:rsid w:val="00BA6AA3"/>
    <w:rsid w:val="00BA6C3C"/>
    <w:rsid w:val="00BA6F2E"/>
    <w:rsid w:val="00BB04E4"/>
    <w:rsid w:val="00BB1D84"/>
    <w:rsid w:val="00BB269A"/>
    <w:rsid w:val="00BB2B71"/>
    <w:rsid w:val="00BB3523"/>
    <w:rsid w:val="00BB38E6"/>
    <w:rsid w:val="00BB3FB7"/>
    <w:rsid w:val="00BB42D6"/>
    <w:rsid w:val="00BB4D18"/>
    <w:rsid w:val="00BB54EC"/>
    <w:rsid w:val="00BB63C4"/>
    <w:rsid w:val="00BB6926"/>
    <w:rsid w:val="00BB749B"/>
    <w:rsid w:val="00BB779F"/>
    <w:rsid w:val="00BC00F1"/>
    <w:rsid w:val="00BC1CA6"/>
    <w:rsid w:val="00BC200F"/>
    <w:rsid w:val="00BC27F8"/>
    <w:rsid w:val="00BC2C41"/>
    <w:rsid w:val="00BC350D"/>
    <w:rsid w:val="00BC3825"/>
    <w:rsid w:val="00BC43B1"/>
    <w:rsid w:val="00BC47E4"/>
    <w:rsid w:val="00BC4D50"/>
    <w:rsid w:val="00BC555B"/>
    <w:rsid w:val="00BC5643"/>
    <w:rsid w:val="00BD0D53"/>
    <w:rsid w:val="00BD0F94"/>
    <w:rsid w:val="00BD2560"/>
    <w:rsid w:val="00BD2969"/>
    <w:rsid w:val="00BD39F8"/>
    <w:rsid w:val="00BD3A68"/>
    <w:rsid w:val="00BD4041"/>
    <w:rsid w:val="00BD4410"/>
    <w:rsid w:val="00BD4897"/>
    <w:rsid w:val="00BD5001"/>
    <w:rsid w:val="00BD5062"/>
    <w:rsid w:val="00BD540B"/>
    <w:rsid w:val="00BD636C"/>
    <w:rsid w:val="00BD67D5"/>
    <w:rsid w:val="00BD6EF3"/>
    <w:rsid w:val="00BD700A"/>
    <w:rsid w:val="00BD7529"/>
    <w:rsid w:val="00BD7934"/>
    <w:rsid w:val="00BD7E1E"/>
    <w:rsid w:val="00BE02F0"/>
    <w:rsid w:val="00BE0812"/>
    <w:rsid w:val="00BE0EAE"/>
    <w:rsid w:val="00BE1C6B"/>
    <w:rsid w:val="00BE2838"/>
    <w:rsid w:val="00BE2CD4"/>
    <w:rsid w:val="00BE2E30"/>
    <w:rsid w:val="00BE3807"/>
    <w:rsid w:val="00BE3FE7"/>
    <w:rsid w:val="00BE436F"/>
    <w:rsid w:val="00BE46E9"/>
    <w:rsid w:val="00BE53C8"/>
    <w:rsid w:val="00BE5C42"/>
    <w:rsid w:val="00BE5CEE"/>
    <w:rsid w:val="00BE5E79"/>
    <w:rsid w:val="00BE6503"/>
    <w:rsid w:val="00BF0208"/>
    <w:rsid w:val="00BF22DD"/>
    <w:rsid w:val="00BF26A7"/>
    <w:rsid w:val="00BF36C3"/>
    <w:rsid w:val="00BF3906"/>
    <w:rsid w:val="00BF3966"/>
    <w:rsid w:val="00BF418A"/>
    <w:rsid w:val="00BF6958"/>
    <w:rsid w:val="00BF7D0C"/>
    <w:rsid w:val="00BF7FB9"/>
    <w:rsid w:val="00C006FD"/>
    <w:rsid w:val="00C01088"/>
    <w:rsid w:val="00C022EB"/>
    <w:rsid w:val="00C02AC4"/>
    <w:rsid w:val="00C03E27"/>
    <w:rsid w:val="00C062AB"/>
    <w:rsid w:val="00C06F57"/>
    <w:rsid w:val="00C075F9"/>
    <w:rsid w:val="00C10D4E"/>
    <w:rsid w:val="00C10E6C"/>
    <w:rsid w:val="00C11186"/>
    <w:rsid w:val="00C114D4"/>
    <w:rsid w:val="00C1196F"/>
    <w:rsid w:val="00C11AB6"/>
    <w:rsid w:val="00C11B11"/>
    <w:rsid w:val="00C12799"/>
    <w:rsid w:val="00C12A6B"/>
    <w:rsid w:val="00C12C0B"/>
    <w:rsid w:val="00C13B1F"/>
    <w:rsid w:val="00C14C36"/>
    <w:rsid w:val="00C15302"/>
    <w:rsid w:val="00C17F5E"/>
    <w:rsid w:val="00C17FB3"/>
    <w:rsid w:val="00C21D2D"/>
    <w:rsid w:val="00C22212"/>
    <w:rsid w:val="00C22707"/>
    <w:rsid w:val="00C22968"/>
    <w:rsid w:val="00C22EBC"/>
    <w:rsid w:val="00C2392B"/>
    <w:rsid w:val="00C25138"/>
    <w:rsid w:val="00C25386"/>
    <w:rsid w:val="00C26223"/>
    <w:rsid w:val="00C264C4"/>
    <w:rsid w:val="00C26785"/>
    <w:rsid w:val="00C26876"/>
    <w:rsid w:val="00C27C5E"/>
    <w:rsid w:val="00C31C22"/>
    <w:rsid w:val="00C31FA5"/>
    <w:rsid w:val="00C324D8"/>
    <w:rsid w:val="00C327EE"/>
    <w:rsid w:val="00C32BFE"/>
    <w:rsid w:val="00C33581"/>
    <w:rsid w:val="00C33630"/>
    <w:rsid w:val="00C3363C"/>
    <w:rsid w:val="00C33842"/>
    <w:rsid w:val="00C33F23"/>
    <w:rsid w:val="00C34566"/>
    <w:rsid w:val="00C34811"/>
    <w:rsid w:val="00C34D00"/>
    <w:rsid w:val="00C354FB"/>
    <w:rsid w:val="00C35A69"/>
    <w:rsid w:val="00C35AC2"/>
    <w:rsid w:val="00C35F4A"/>
    <w:rsid w:val="00C363A8"/>
    <w:rsid w:val="00C36A2A"/>
    <w:rsid w:val="00C40E78"/>
    <w:rsid w:val="00C40FB4"/>
    <w:rsid w:val="00C41308"/>
    <w:rsid w:val="00C426F8"/>
    <w:rsid w:val="00C429D3"/>
    <w:rsid w:val="00C42D29"/>
    <w:rsid w:val="00C42EC5"/>
    <w:rsid w:val="00C43A06"/>
    <w:rsid w:val="00C44B5B"/>
    <w:rsid w:val="00C4566E"/>
    <w:rsid w:val="00C45E1E"/>
    <w:rsid w:val="00C46163"/>
    <w:rsid w:val="00C4625A"/>
    <w:rsid w:val="00C47BCB"/>
    <w:rsid w:val="00C502CD"/>
    <w:rsid w:val="00C51C1B"/>
    <w:rsid w:val="00C51C70"/>
    <w:rsid w:val="00C5209F"/>
    <w:rsid w:val="00C54D0E"/>
    <w:rsid w:val="00C560ED"/>
    <w:rsid w:val="00C57420"/>
    <w:rsid w:val="00C60940"/>
    <w:rsid w:val="00C60AFC"/>
    <w:rsid w:val="00C61199"/>
    <w:rsid w:val="00C625F1"/>
    <w:rsid w:val="00C63593"/>
    <w:rsid w:val="00C63C5A"/>
    <w:rsid w:val="00C6407A"/>
    <w:rsid w:val="00C64C8F"/>
    <w:rsid w:val="00C65097"/>
    <w:rsid w:val="00C662F3"/>
    <w:rsid w:val="00C667C7"/>
    <w:rsid w:val="00C66D3E"/>
    <w:rsid w:val="00C673A4"/>
    <w:rsid w:val="00C676D5"/>
    <w:rsid w:val="00C67E7C"/>
    <w:rsid w:val="00C70786"/>
    <w:rsid w:val="00C71788"/>
    <w:rsid w:val="00C71B23"/>
    <w:rsid w:val="00C71D3E"/>
    <w:rsid w:val="00C71D94"/>
    <w:rsid w:val="00C7210B"/>
    <w:rsid w:val="00C72CAB"/>
    <w:rsid w:val="00C72E78"/>
    <w:rsid w:val="00C7345B"/>
    <w:rsid w:val="00C73CCB"/>
    <w:rsid w:val="00C73CE0"/>
    <w:rsid w:val="00C75707"/>
    <w:rsid w:val="00C764FF"/>
    <w:rsid w:val="00C76B9A"/>
    <w:rsid w:val="00C80108"/>
    <w:rsid w:val="00C80901"/>
    <w:rsid w:val="00C81B31"/>
    <w:rsid w:val="00C84478"/>
    <w:rsid w:val="00C8470F"/>
    <w:rsid w:val="00C8491D"/>
    <w:rsid w:val="00C84DEF"/>
    <w:rsid w:val="00C8516C"/>
    <w:rsid w:val="00C865BF"/>
    <w:rsid w:val="00C9006A"/>
    <w:rsid w:val="00C90FE2"/>
    <w:rsid w:val="00C920A0"/>
    <w:rsid w:val="00C94B6C"/>
    <w:rsid w:val="00C94E54"/>
    <w:rsid w:val="00C94E65"/>
    <w:rsid w:val="00C9527E"/>
    <w:rsid w:val="00C95680"/>
    <w:rsid w:val="00C96AE1"/>
    <w:rsid w:val="00C97406"/>
    <w:rsid w:val="00C97428"/>
    <w:rsid w:val="00CA0F99"/>
    <w:rsid w:val="00CA1E9D"/>
    <w:rsid w:val="00CA1F33"/>
    <w:rsid w:val="00CA29BA"/>
    <w:rsid w:val="00CA42AB"/>
    <w:rsid w:val="00CA4703"/>
    <w:rsid w:val="00CA57F6"/>
    <w:rsid w:val="00CA6476"/>
    <w:rsid w:val="00CA69C9"/>
    <w:rsid w:val="00CA7292"/>
    <w:rsid w:val="00CA7A41"/>
    <w:rsid w:val="00CB0DBB"/>
    <w:rsid w:val="00CB164E"/>
    <w:rsid w:val="00CB33A4"/>
    <w:rsid w:val="00CB3804"/>
    <w:rsid w:val="00CB4074"/>
    <w:rsid w:val="00CB47F4"/>
    <w:rsid w:val="00CB4CAD"/>
    <w:rsid w:val="00CB50BD"/>
    <w:rsid w:val="00CB5335"/>
    <w:rsid w:val="00CB59A4"/>
    <w:rsid w:val="00CB62E7"/>
    <w:rsid w:val="00CB7CCB"/>
    <w:rsid w:val="00CC061C"/>
    <w:rsid w:val="00CC0E89"/>
    <w:rsid w:val="00CC0FE1"/>
    <w:rsid w:val="00CC12C6"/>
    <w:rsid w:val="00CC1A57"/>
    <w:rsid w:val="00CC23F2"/>
    <w:rsid w:val="00CC2D2A"/>
    <w:rsid w:val="00CC49D6"/>
    <w:rsid w:val="00CC4A4D"/>
    <w:rsid w:val="00CC5B63"/>
    <w:rsid w:val="00CC5EC3"/>
    <w:rsid w:val="00CC6332"/>
    <w:rsid w:val="00CC6C58"/>
    <w:rsid w:val="00CD0A2A"/>
    <w:rsid w:val="00CD14B1"/>
    <w:rsid w:val="00CD23B0"/>
    <w:rsid w:val="00CD2CBB"/>
    <w:rsid w:val="00CD2F82"/>
    <w:rsid w:val="00CD3341"/>
    <w:rsid w:val="00CD3920"/>
    <w:rsid w:val="00CD484D"/>
    <w:rsid w:val="00CD4ECB"/>
    <w:rsid w:val="00CD51AB"/>
    <w:rsid w:val="00CD56F3"/>
    <w:rsid w:val="00CD5E57"/>
    <w:rsid w:val="00CD5F90"/>
    <w:rsid w:val="00CD659B"/>
    <w:rsid w:val="00CD7925"/>
    <w:rsid w:val="00CD79B0"/>
    <w:rsid w:val="00CD7EDE"/>
    <w:rsid w:val="00CE0314"/>
    <w:rsid w:val="00CE0E41"/>
    <w:rsid w:val="00CE1171"/>
    <w:rsid w:val="00CE1603"/>
    <w:rsid w:val="00CE2559"/>
    <w:rsid w:val="00CE2907"/>
    <w:rsid w:val="00CE3CEA"/>
    <w:rsid w:val="00CE40E5"/>
    <w:rsid w:val="00CE4E2A"/>
    <w:rsid w:val="00CE50F5"/>
    <w:rsid w:val="00CE53B4"/>
    <w:rsid w:val="00CE54C9"/>
    <w:rsid w:val="00CE6307"/>
    <w:rsid w:val="00CE67B2"/>
    <w:rsid w:val="00CE75C1"/>
    <w:rsid w:val="00CE79CA"/>
    <w:rsid w:val="00CF01C2"/>
    <w:rsid w:val="00CF01D7"/>
    <w:rsid w:val="00CF0350"/>
    <w:rsid w:val="00CF09F4"/>
    <w:rsid w:val="00CF0FF2"/>
    <w:rsid w:val="00CF1024"/>
    <w:rsid w:val="00CF1182"/>
    <w:rsid w:val="00CF2932"/>
    <w:rsid w:val="00CF2959"/>
    <w:rsid w:val="00CF2B5F"/>
    <w:rsid w:val="00CF2CB4"/>
    <w:rsid w:val="00CF321B"/>
    <w:rsid w:val="00CF5F6C"/>
    <w:rsid w:val="00CF63CD"/>
    <w:rsid w:val="00CF6842"/>
    <w:rsid w:val="00CF6A13"/>
    <w:rsid w:val="00CF70DE"/>
    <w:rsid w:val="00D0051D"/>
    <w:rsid w:val="00D0147C"/>
    <w:rsid w:val="00D01B8F"/>
    <w:rsid w:val="00D01C64"/>
    <w:rsid w:val="00D01D9D"/>
    <w:rsid w:val="00D02613"/>
    <w:rsid w:val="00D0293E"/>
    <w:rsid w:val="00D0386B"/>
    <w:rsid w:val="00D0431D"/>
    <w:rsid w:val="00D04474"/>
    <w:rsid w:val="00D0453C"/>
    <w:rsid w:val="00D04C00"/>
    <w:rsid w:val="00D05792"/>
    <w:rsid w:val="00D059AE"/>
    <w:rsid w:val="00D0624B"/>
    <w:rsid w:val="00D06484"/>
    <w:rsid w:val="00D0734A"/>
    <w:rsid w:val="00D078D1"/>
    <w:rsid w:val="00D07B54"/>
    <w:rsid w:val="00D102A6"/>
    <w:rsid w:val="00D104A0"/>
    <w:rsid w:val="00D10D02"/>
    <w:rsid w:val="00D11BBF"/>
    <w:rsid w:val="00D1313B"/>
    <w:rsid w:val="00D1325A"/>
    <w:rsid w:val="00D14EE8"/>
    <w:rsid w:val="00D1539C"/>
    <w:rsid w:val="00D153B9"/>
    <w:rsid w:val="00D1569D"/>
    <w:rsid w:val="00D16076"/>
    <w:rsid w:val="00D1660B"/>
    <w:rsid w:val="00D17082"/>
    <w:rsid w:val="00D17DEB"/>
    <w:rsid w:val="00D17EB6"/>
    <w:rsid w:val="00D20387"/>
    <w:rsid w:val="00D203A2"/>
    <w:rsid w:val="00D20B54"/>
    <w:rsid w:val="00D20C46"/>
    <w:rsid w:val="00D20D46"/>
    <w:rsid w:val="00D20E0B"/>
    <w:rsid w:val="00D21E1E"/>
    <w:rsid w:val="00D2208D"/>
    <w:rsid w:val="00D22C94"/>
    <w:rsid w:val="00D23107"/>
    <w:rsid w:val="00D23316"/>
    <w:rsid w:val="00D23813"/>
    <w:rsid w:val="00D23F70"/>
    <w:rsid w:val="00D2473A"/>
    <w:rsid w:val="00D24878"/>
    <w:rsid w:val="00D257AC"/>
    <w:rsid w:val="00D25AB4"/>
    <w:rsid w:val="00D25E7B"/>
    <w:rsid w:val="00D25EF1"/>
    <w:rsid w:val="00D26A66"/>
    <w:rsid w:val="00D27650"/>
    <w:rsid w:val="00D3032B"/>
    <w:rsid w:val="00D31EEB"/>
    <w:rsid w:val="00D33F4B"/>
    <w:rsid w:val="00D34A81"/>
    <w:rsid w:val="00D35E01"/>
    <w:rsid w:val="00D36743"/>
    <w:rsid w:val="00D36EA9"/>
    <w:rsid w:val="00D40D31"/>
    <w:rsid w:val="00D40DE6"/>
    <w:rsid w:val="00D415DC"/>
    <w:rsid w:val="00D42812"/>
    <w:rsid w:val="00D435FB"/>
    <w:rsid w:val="00D44F1F"/>
    <w:rsid w:val="00D44FD4"/>
    <w:rsid w:val="00D47688"/>
    <w:rsid w:val="00D505CA"/>
    <w:rsid w:val="00D5281F"/>
    <w:rsid w:val="00D52C26"/>
    <w:rsid w:val="00D53098"/>
    <w:rsid w:val="00D5482B"/>
    <w:rsid w:val="00D55C17"/>
    <w:rsid w:val="00D55C5F"/>
    <w:rsid w:val="00D55F79"/>
    <w:rsid w:val="00D56051"/>
    <w:rsid w:val="00D60A13"/>
    <w:rsid w:val="00D61820"/>
    <w:rsid w:val="00D61BE2"/>
    <w:rsid w:val="00D62324"/>
    <w:rsid w:val="00D651DA"/>
    <w:rsid w:val="00D654DD"/>
    <w:rsid w:val="00D65B73"/>
    <w:rsid w:val="00D6620B"/>
    <w:rsid w:val="00D6676F"/>
    <w:rsid w:val="00D66CA8"/>
    <w:rsid w:val="00D70629"/>
    <w:rsid w:val="00D70D03"/>
    <w:rsid w:val="00D713A7"/>
    <w:rsid w:val="00D72468"/>
    <w:rsid w:val="00D72AD4"/>
    <w:rsid w:val="00D73075"/>
    <w:rsid w:val="00D73B0D"/>
    <w:rsid w:val="00D74EC5"/>
    <w:rsid w:val="00D762FD"/>
    <w:rsid w:val="00D77091"/>
    <w:rsid w:val="00D772FF"/>
    <w:rsid w:val="00D77390"/>
    <w:rsid w:val="00D8071F"/>
    <w:rsid w:val="00D80AE3"/>
    <w:rsid w:val="00D81AF1"/>
    <w:rsid w:val="00D81B0C"/>
    <w:rsid w:val="00D8267E"/>
    <w:rsid w:val="00D831D0"/>
    <w:rsid w:val="00D84CBA"/>
    <w:rsid w:val="00D84D51"/>
    <w:rsid w:val="00D84E06"/>
    <w:rsid w:val="00D85198"/>
    <w:rsid w:val="00D8598B"/>
    <w:rsid w:val="00D86B9C"/>
    <w:rsid w:val="00D90132"/>
    <w:rsid w:val="00D90429"/>
    <w:rsid w:val="00D91914"/>
    <w:rsid w:val="00D926CA"/>
    <w:rsid w:val="00D936D1"/>
    <w:rsid w:val="00D93B7F"/>
    <w:rsid w:val="00D94677"/>
    <w:rsid w:val="00D95071"/>
    <w:rsid w:val="00D952FA"/>
    <w:rsid w:val="00D9636B"/>
    <w:rsid w:val="00D96986"/>
    <w:rsid w:val="00D96DCE"/>
    <w:rsid w:val="00D970A8"/>
    <w:rsid w:val="00D97D7B"/>
    <w:rsid w:val="00DA03C7"/>
    <w:rsid w:val="00DA0D4D"/>
    <w:rsid w:val="00DA0F22"/>
    <w:rsid w:val="00DA3431"/>
    <w:rsid w:val="00DA4A41"/>
    <w:rsid w:val="00DA5017"/>
    <w:rsid w:val="00DA6021"/>
    <w:rsid w:val="00DA6555"/>
    <w:rsid w:val="00DA678E"/>
    <w:rsid w:val="00DA6BD5"/>
    <w:rsid w:val="00DA784B"/>
    <w:rsid w:val="00DA7E0D"/>
    <w:rsid w:val="00DB065E"/>
    <w:rsid w:val="00DB1201"/>
    <w:rsid w:val="00DB21F8"/>
    <w:rsid w:val="00DB2879"/>
    <w:rsid w:val="00DB3E0C"/>
    <w:rsid w:val="00DB47BA"/>
    <w:rsid w:val="00DB52E8"/>
    <w:rsid w:val="00DB541C"/>
    <w:rsid w:val="00DB5717"/>
    <w:rsid w:val="00DB580D"/>
    <w:rsid w:val="00DB62DD"/>
    <w:rsid w:val="00DB783A"/>
    <w:rsid w:val="00DB7C15"/>
    <w:rsid w:val="00DB7F35"/>
    <w:rsid w:val="00DC2D73"/>
    <w:rsid w:val="00DC43E4"/>
    <w:rsid w:val="00DC618D"/>
    <w:rsid w:val="00DC6C65"/>
    <w:rsid w:val="00DC7625"/>
    <w:rsid w:val="00DC783A"/>
    <w:rsid w:val="00DC7B70"/>
    <w:rsid w:val="00DD0735"/>
    <w:rsid w:val="00DD079A"/>
    <w:rsid w:val="00DD08AC"/>
    <w:rsid w:val="00DD1DA5"/>
    <w:rsid w:val="00DD494B"/>
    <w:rsid w:val="00DD4E63"/>
    <w:rsid w:val="00DD68C9"/>
    <w:rsid w:val="00DD7AD0"/>
    <w:rsid w:val="00DE010C"/>
    <w:rsid w:val="00DE0A4F"/>
    <w:rsid w:val="00DE0D33"/>
    <w:rsid w:val="00DE1D86"/>
    <w:rsid w:val="00DE1F4E"/>
    <w:rsid w:val="00DE250F"/>
    <w:rsid w:val="00DE25AA"/>
    <w:rsid w:val="00DE2BDA"/>
    <w:rsid w:val="00DE36DD"/>
    <w:rsid w:val="00DE43E8"/>
    <w:rsid w:val="00DE4ED9"/>
    <w:rsid w:val="00DE5F93"/>
    <w:rsid w:val="00DE6B33"/>
    <w:rsid w:val="00DE7F21"/>
    <w:rsid w:val="00DE7F76"/>
    <w:rsid w:val="00DF06BD"/>
    <w:rsid w:val="00DF161F"/>
    <w:rsid w:val="00DF2538"/>
    <w:rsid w:val="00DF2A10"/>
    <w:rsid w:val="00DF2ECD"/>
    <w:rsid w:val="00DF33D8"/>
    <w:rsid w:val="00DF360C"/>
    <w:rsid w:val="00DF3738"/>
    <w:rsid w:val="00DF374A"/>
    <w:rsid w:val="00DF39B0"/>
    <w:rsid w:val="00DF463E"/>
    <w:rsid w:val="00DF607E"/>
    <w:rsid w:val="00DF7BB6"/>
    <w:rsid w:val="00E01BB4"/>
    <w:rsid w:val="00E028B0"/>
    <w:rsid w:val="00E03B64"/>
    <w:rsid w:val="00E055B9"/>
    <w:rsid w:val="00E0619D"/>
    <w:rsid w:val="00E06F46"/>
    <w:rsid w:val="00E071B7"/>
    <w:rsid w:val="00E07A76"/>
    <w:rsid w:val="00E07C64"/>
    <w:rsid w:val="00E10AD2"/>
    <w:rsid w:val="00E112A0"/>
    <w:rsid w:val="00E11529"/>
    <w:rsid w:val="00E123B2"/>
    <w:rsid w:val="00E12C05"/>
    <w:rsid w:val="00E13023"/>
    <w:rsid w:val="00E13BD8"/>
    <w:rsid w:val="00E14A06"/>
    <w:rsid w:val="00E14B6E"/>
    <w:rsid w:val="00E14E69"/>
    <w:rsid w:val="00E154D8"/>
    <w:rsid w:val="00E15E7A"/>
    <w:rsid w:val="00E220A3"/>
    <w:rsid w:val="00E22531"/>
    <w:rsid w:val="00E2278A"/>
    <w:rsid w:val="00E22905"/>
    <w:rsid w:val="00E22CBD"/>
    <w:rsid w:val="00E22FB9"/>
    <w:rsid w:val="00E23004"/>
    <w:rsid w:val="00E23234"/>
    <w:rsid w:val="00E23930"/>
    <w:rsid w:val="00E24EC8"/>
    <w:rsid w:val="00E2565E"/>
    <w:rsid w:val="00E25E33"/>
    <w:rsid w:val="00E26969"/>
    <w:rsid w:val="00E27A59"/>
    <w:rsid w:val="00E3005A"/>
    <w:rsid w:val="00E3057E"/>
    <w:rsid w:val="00E3070C"/>
    <w:rsid w:val="00E30EFD"/>
    <w:rsid w:val="00E32B05"/>
    <w:rsid w:val="00E33316"/>
    <w:rsid w:val="00E34891"/>
    <w:rsid w:val="00E34BCD"/>
    <w:rsid w:val="00E350C1"/>
    <w:rsid w:val="00E35A0E"/>
    <w:rsid w:val="00E363A0"/>
    <w:rsid w:val="00E371FA"/>
    <w:rsid w:val="00E37411"/>
    <w:rsid w:val="00E40044"/>
    <w:rsid w:val="00E404ED"/>
    <w:rsid w:val="00E40811"/>
    <w:rsid w:val="00E42252"/>
    <w:rsid w:val="00E42E88"/>
    <w:rsid w:val="00E42F32"/>
    <w:rsid w:val="00E42F4B"/>
    <w:rsid w:val="00E437D6"/>
    <w:rsid w:val="00E44B71"/>
    <w:rsid w:val="00E45B90"/>
    <w:rsid w:val="00E46643"/>
    <w:rsid w:val="00E46938"/>
    <w:rsid w:val="00E46BC5"/>
    <w:rsid w:val="00E473AF"/>
    <w:rsid w:val="00E47F99"/>
    <w:rsid w:val="00E50D61"/>
    <w:rsid w:val="00E52643"/>
    <w:rsid w:val="00E52E81"/>
    <w:rsid w:val="00E5363C"/>
    <w:rsid w:val="00E5445C"/>
    <w:rsid w:val="00E55974"/>
    <w:rsid w:val="00E55C15"/>
    <w:rsid w:val="00E56584"/>
    <w:rsid w:val="00E56A4A"/>
    <w:rsid w:val="00E56E13"/>
    <w:rsid w:val="00E60247"/>
    <w:rsid w:val="00E60282"/>
    <w:rsid w:val="00E602AC"/>
    <w:rsid w:val="00E61111"/>
    <w:rsid w:val="00E630C7"/>
    <w:rsid w:val="00E6442D"/>
    <w:rsid w:val="00E64D4E"/>
    <w:rsid w:val="00E65696"/>
    <w:rsid w:val="00E65C7D"/>
    <w:rsid w:val="00E66CEF"/>
    <w:rsid w:val="00E66F78"/>
    <w:rsid w:val="00E675DC"/>
    <w:rsid w:val="00E67C40"/>
    <w:rsid w:val="00E704F3"/>
    <w:rsid w:val="00E70C47"/>
    <w:rsid w:val="00E70F18"/>
    <w:rsid w:val="00E71436"/>
    <w:rsid w:val="00E71EA5"/>
    <w:rsid w:val="00E722BA"/>
    <w:rsid w:val="00E72989"/>
    <w:rsid w:val="00E731A8"/>
    <w:rsid w:val="00E73C19"/>
    <w:rsid w:val="00E73CB5"/>
    <w:rsid w:val="00E75012"/>
    <w:rsid w:val="00E757B8"/>
    <w:rsid w:val="00E77A95"/>
    <w:rsid w:val="00E80258"/>
    <w:rsid w:val="00E808F5"/>
    <w:rsid w:val="00E80C91"/>
    <w:rsid w:val="00E8171B"/>
    <w:rsid w:val="00E818D8"/>
    <w:rsid w:val="00E81D0E"/>
    <w:rsid w:val="00E82745"/>
    <w:rsid w:val="00E82900"/>
    <w:rsid w:val="00E82F06"/>
    <w:rsid w:val="00E83B35"/>
    <w:rsid w:val="00E842D4"/>
    <w:rsid w:val="00E84878"/>
    <w:rsid w:val="00E8493A"/>
    <w:rsid w:val="00E849BF"/>
    <w:rsid w:val="00E85731"/>
    <w:rsid w:val="00E8698A"/>
    <w:rsid w:val="00E86A22"/>
    <w:rsid w:val="00E86CF1"/>
    <w:rsid w:val="00E87447"/>
    <w:rsid w:val="00E917C1"/>
    <w:rsid w:val="00E91C1E"/>
    <w:rsid w:val="00E93654"/>
    <w:rsid w:val="00E93996"/>
    <w:rsid w:val="00E93A77"/>
    <w:rsid w:val="00E95007"/>
    <w:rsid w:val="00E956F8"/>
    <w:rsid w:val="00E963D4"/>
    <w:rsid w:val="00E96678"/>
    <w:rsid w:val="00E97161"/>
    <w:rsid w:val="00E97677"/>
    <w:rsid w:val="00E976EC"/>
    <w:rsid w:val="00EA0B1B"/>
    <w:rsid w:val="00EA26AD"/>
    <w:rsid w:val="00EA2969"/>
    <w:rsid w:val="00EA2CD4"/>
    <w:rsid w:val="00EA3319"/>
    <w:rsid w:val="00EA3AE7"/>
    <w:rsid w:val="00EA41A7"/>
    <w:rsid w:val="00EA442B"/>
    <w:rsid w:val="00EA48BD"/>
    <w:rsid w:val="00EA4BD1"/>
    <w:rsid w:val="00EA5596"/>
    <w:rsid w:val="00EA5709"/>
    <w:rsid w:val="00EA5930"/>
    <w:rsid w:val="00EA5A23"/>
    <w:rsid w:val="00EA5E4F"/>
    <w:rsid w:val="00EA60E3"/>
    <w:rsid w:val="00EA714A"/>
    <w:rsid w:val="00EA748E"/>
    <w:rsid w:val="00EB10D4"/>
    <w:rsid w:val="00EB110E"/>
    <w:rsid w:val="00EB17F5"/>
    <w:rsid w:val="00EB1976"/>
    <w:rsid w:val="00EB1D50"/>
    <w:rsid w:val="00EB2755"/>
    <w:rsid w:val="00EB2EDC"/>
    <w:rsid w:val="00EB35B6"/>
    <w:rsid w:val="00EB371B"/>
    <w:rsid w:val="00EB3C17"/>
    <w:rsid w:val="00EB4B6B"/>
    <w:rsid w:val="00EB4CF9"/>
    <w:rsid w:val="00EB503C"/>
    <w:rsid w:val="00EB6109"/>
    <w:rsid w:val="00EB6DA4"/>
    <w:rsid w:val="00EB7628"/>
    <w:rsid w:val="00EC0258"/>
    <w:rsid w:val="00EC0E89"/>
    <w:rsid w:val="00EC266C"/>
    <w:rsid w:val="00EC296C"/>
    <w:rsid w:val="00EC38F6"/>
    <w:rsid w:val="00EC41A9"/>
    <w:rsid w:val="00EC486D"/>
    <w:rsid w:val="00EC5271"/>
    <w:rsid w:val="00EC538B"/>
    <w:rsid w:val="00EC64AC"/>
    <w:rsid w:val="00EC797A"/>
    <w:rsid w:val="00ED004A"/>
    <w:rsid w:val="00ED0770"/>
    <w:rsid w:val="00ED1259"/>
    <w:rsid w:val="00ED16BE"/>
    <w:rsid w:val="00ED18FF"/>
    <w:rsid w:val="00ED196C"/>
    <w:rsid w:val="00ED1B7B"/>
    <w:rsid w:val="00ED23C1"/>
    <w:rsid w:val="00ED271C"/>
    <w:rsid w:val="00ED33F5"/>
    <w:rsid w:val="00ED3F53"/>
    <w:rsid w:val="00ED53E5"/>
    <w:rsid w:val="00ED6CF5"/>
    <w:rsid w:val="00EE0EFE"/>
    <w:rsid w:val="00EE17D5"/>
    <w:rsid w:val="00EE1816"/>
    <w:rsid w:val="00EE2291"/>
    <w:rsid w:val="00EE2C74"/>
    <w:rsid w:val="00EE2F96"/>
    <w:rsid w:val="00EE5493"/>
    <w:rsid w:val="00EE54B9"/>
    <w:rsid w:val="00EE6A2D"/>
    <w:rsid w:val="00EE7EEB"/>
    <w:rsid w:val="00EF0080"/>
    <w:rsid w:val="00EF01DC"/>
    <w:rsid w:val="00EF0842"/>
    <w:rsid w:val="00EF15DA"/>
    <w:rsid w:val="00EF1D1B"/>
    <w:rsid w:val="00EF2048"/>
    <w:rsid w:val="00EF210A"/>
    <w:rsid w:val="00EF2273"/>
    <w:rsid w:val="00EF265A"/>
    <w:rsid w:val="00EF27F9"/>
    <w:rsid w:val="00EF36F2"/>
    <w:rsid w:val="00EF3E59"/>
    <w:rsid w:val="00EF44F8"/>
    <w:rsid w:val="00EF4CBE"/>
    <w:rsid w:val="00EF6285"/>
    <w:rsid w:val="00EF632D"/>
    <w:rsid w:val="00EF6A3F"/>
    <w:rsid w:val="00EF7EE8"/>
    <w:rsid w:val="00F00793"/>
    <w:rsid w:val="00F01DFB"/>
    <w:rsid w:val="00F029EE"/>
    <w:rsid w:val="00F0344F"/>
    <w:rsid w:val="00F0511E"/>
    <w:rsid w:val="00F051CE"/>
    <w:rsid w:val="00F05F69"/>
    <w:rsid w:val="00F06403"/>
    <w:rsid w:val="00F06837"/>
    <w:rsid w:val="00F068E2"/>
    <w:rsid w:val="00F06961"/>
    <w:rsid w:val="00F07982"/>
    <w:rsid w:val="00F10708"/>
    <w:rsid w:val="00F11414"/>
    <w:rsid w:val="00F13698"/>
    <w:rsid w:val="00F13867"/>
    <w:rsid w:val="00F139B7"/>
    <w:rsid w:val="00F1414F"/>
    <w:rsid w:val="00F1444C"/>
    <w:rsid w:val="00F14A0C"/>
    <w:rsid w:val="00F14D7B"/>
    <w:rsid w:val="00F15631"/>
    <w:rsid w:val="00F15A45"/>
    <w:rsid w:val="00F15C77"/>
    <w:rsid w:val="00F203E8"/>
    <w:rsid w:val="00F211BF"/>
    <w:rsid w:val="00F218E6"/>
    <w:rsid w:val="00F21B1C"/>
    <w:rsid w:val="00F227F7"/>
    <w:rsid w:val="00F230B3"/>
    <w:rsid w:val="00F2315A"/>
    <w:rsid w:val="00F23F64"/>
    <w:rsid w:val="00F2419E"/>
    <w:rsid w:val="00F2426E"/>
    <w:rsid w:val="00F244BE"/>
    <w:rsid w:val="00F24CAC"/>
    <w:rsid w:val="00F24D06"/>
    <w:rsid w:val="00F253A8"/>
    <w:rsid w:val="00F2610F"/>
    <w:rsid w:val="00F27446"/>
    <w:rsid w:val="00F3047C"/>
    <w:rsid w:val="00F30E74"/>
    <w:rsid w:val="00F31819"/>
    <w:rsid w:val="00F31F16"/>
    <w:rsid w:val="00F328EF"/>
    <w:rsid w:val="00F3290F"/>
    <w:rsid w:val="00F32BE3"/>
    <w:rsid w:val="00F337C8"/>
    <w:rsid w:val="00F33870"/>
    <w:rsid w:val="00F342CA"/>
    <w:rsid w:val="00F3457C"/>
    <w:rsid w:val="00F35EC1"/>
    <w:rsid w:val="00F362AC"/>
    <w:rsid w:val="00F36A46"/>
    <w:rsid w:val="00F401C8"/>
    <w:rsid w:val="00F40BE2"/>
    <w:rsid w:val="00F4160D"/>
    <w:rsid w:val="00F42992"/>
    <w:rsid w:val="00F43226"/>
    <w:rsid w:val="00F44080"/>
    <w:rsid w:val="00F440F3"/>
    <w:rsid w:val="00F47623"/>
    <w:rsid w:val="00F47C04"/>
    <w:rsid w:val="00F50706"/>
    <w:rsid w:val="00F5089F"/>
    <w:rsid w:val="00F51748"/>
    <w:rsid w:val="00F51931"/>
    <w:rsid w:val="00F52121"/>
    <w:rsid w:val="00F5261A"/>
    <w:rsid w:val="00F5413E"/>
    <w:rsid w:val="00F54394"/>
    <w:rsid w:val="00F543F9"/>
    <w:rsid w:val="00F547E6"/>
    <w:rsid w:val="00F55027"/>
    <w:rsid w:val="00F569D0"/>
    <w:rsid w:val="00F56C0F"/>
    <w:rsid w:val="00F5726A"/>
    <w:rsid w:val="00F57FEB"/>
    <w:rsid w:val="00F6278B"/>
    <w:rsid w:val="00F63B89"/>
    <w:rsid w:val="00F6408A"/>
    <w:rsid w:val="00F647B2"/>
    <w:rsid w:val="00F64A37"/>
    <w:rsid w:val="00F65FCB"/>
    <w:rsid w:val="00F666B3"/>
    <w:rsid w:val="00F66C53"/>
    <w:rsid w:val="00F67416"/>
    <w:rsid w:val="00F67D8B"/>
    <w:rsid w:val="00F713D5"/>
    <w:rsid w:val="00F7146D"/>
    <w:rsid w:val="00F72F1D"/>
    <w:rsid w:val="00F744B3"/>
    <w:rsid w:val="00F748F4"/>
    <w:rsid w:val="00F74A1D"/>
    <w:rsid w:val="00F75C43"/>
    <w:rsid w:val="00F75E7B"/>
    <w:rsid w:val="00F7657A"/>
    <w:rsid w:val="00F766DD"/>
    <w:rsid w:val="00F769F5"/>
    <w:rsid w:val="00F773EA"/>
    <w:rsid w:val="00F776A9"/>
    <w:rsid w:val="00F80D17"/>
    <w:rsid w:val="00F81FE1"/>
    <w:rsid w:val="00F82165"/>
    <w:rsid w:val="00F8296F"/>
    <w:rsid w:val="00F84290"/>
    <w:rsid w:val="00F84E13"/>
    <w:rsid w:val="00F85247"/>
    <w:rsid w:val="00F85683"/>
    <w:rsid w:val="00F85A7D"/>
    <w:rsid w:val="00F87F4A"/>
    <w:rsid w:val="00F907C4"/>
    <w:rsid w:val="00F90BA3"/>
    <w:rsid w:val="00F90C37"/>
    <w:rsid w:val="00F9143C"/>
    <w:rsid w:val="00F91705"/>
    <w:rsid w:val="00F92853"/>
    <w:rsid w:val="00F94D1B"/>
    <w:rsid w:val="00F958DC"/>
    <w:rsid w:val="00F96696"/>
    <w:rsid w:val="00F96B3E"/>
    <w:rsid w:val="00F9707B"/>
    <w:rsid w:val="00F9798A"/>
    <w:rsid w:val="00F97ECD"/>
    <w:rsid w:val="00FA06A3"/>
    <w:rsid w:val="00FA2016"/>
    <w:rsid w:val="00FA219A"/>
    <w:rsid w:val="00FA345F"/>
    <w:rsid w:val="00FA3831"/>
    <w:rsid w:val="00FA4248"/>
    <w:rsid w:val="00FA53D7"/>
    <w:rsid w:val="00FA5E3A"/>
    <w:rsid w:val="00FA5EE7"/>
    <w:rsid w:val="00FA6D7D"/>
    <w:rsid w:val="00FA7DB2"/>
    <w:rsid w:val="00FA7F73"/>
    <w:rsid w:val="00FB01D0"/>
    <w:rsid w:val="00FB087E"/>
    <w:rsid w:val="00FB0BC0"/>
    <w:rsid w:val="00FB196F"/>
    <w:rsid w:val="00FB3624"/>
    <w:rsid w:val="00FB409C"/>
    <w:rsid w:val="00FB52C7"/>
    <w:rsid w:val="00FB5309"/>
    <w:rsid w:val="00FB5B1E"/>
    <w:rsid w:val="00FC1731"/>
    <w:rsid w:val="00FC1D9E"/>
    <w:rsid w:val="00FC2F12"/>
    <w:rsid w:val="00FC37EC"/>
    <w:rsid w:val="00FC3B7E"/>
    <w:rsid w:val="00FC3BD0"/>
    <w:rsid w:val="00FC3FA2"/>
    <w:rsid w:val="00FC3FC5"/>
    <w:rsid w:val="00FC446A"/>
    <w:rsid w:val="00FC4D1A"/>
    <w:rsid w:val="00FC5D12"/>
    <w:rsid w:val="00FC70EB"/>
    <w:rsid w:val="00FD08DF"/>
    <w:rsid w:val="00FD0B44"/>
    <w:rsid w:val="00FD17C1"/>
    <w:rsid w:val="00FD25BD"/>
    <w:rsid w:val="00FD2D0B"/>
    <w:rsid w:val="00FD33AA"/>
    <w:rsid w:val="00FD3A79"/>
    <w:rsid w:val="00FD464E"/>
    <w:rsid w:val="00FD4A70"/>
    <w:rsid w:val="00FD5233"/>
    <w:rsid w:val="00FD52C5"/>
    <w:rsid w:val="00FD5F9E"/>
    <w:rsid w:val="00FD60B0"/>
    <w:rsid w:val="00FD688D"/>
    <w:rsid w:val="00FD6AD7"/>
    <w:rsid w:val="00FD7EE6"/>
    <w:rsid w:val="00FE04F7"/>
    <w:rsid w:val="00FE0A11"/>
    <w:rsid w:val="00FE0D7F"/>
    <w:rsid w:val="00FE3A22"/>
    <w:rsid w:val="00FE3DDA"/>
    <w:rsid w:val="00FE439F"/>
    <w:rsid w:val="00FE48AF"/>
    <w:rsid w:val="00FE4AFC"/>
    <w:rsid w:val="00FE4FD2"/>
    <w:rsid w:val="00FE5BEB"/>
    <w:rsid w:val="00FE5ECA"/>
    <w:rsid w:val="00FE65C9"/>
    <w:rsid w:val="00FE755B"/>
    <w:rsid w:val="00FF0168"/>
    <w:rsid w:val="00FF0F93"/>
    <w:rsid w:val="00FF1960"/>
    <w:rsid w:val="00FF19F4"/>
    <w:rsid w:val="00FF1FCB"/>
    <w:rsid w:val="00FF2A1A"/>
    <w:rsid w:val="00FF2E70"/>
    <w:rsid w:val="00FF3388"/>
    <w:rsid w:val="00FF3AB2"/>
    <w:rsid w:val="00FF41FD"/>
    <w:rsid w:val="00FF515D"/>
    <w:rsid w:val="00FF53BA"/>
    <w:rsid w:val="00FF562A"/>
    <w:rsid w:val="00FF5C29"/>
    <w:rsid w:val="00FF664C"/>
    <w:rsid w:val="00FF6DE1"/>
    <w:rsid w:val="00FF7058"/>
    <w:rsid w:val="023D4255"/>
    <w:rsid w:val="037B35A8"/>
    <w:rsid w:val="08DC9F2D"/>
    <w:rsid w:val="0A38F86A"/>
    <w:rsid w:val="0D748B0E"/>
    <w:rsid w:val="0E167259"/>
    <w:rsid w:val="14437F75"/>
    <w:rsid w:val="16AC8843"/>
    <w:rsid w:val="18E16B7A"/>
    <w:rsid w:val="190BCEAE"/>
    <w:rsid w:val="1AC145FC"/>
    <w:rsid w:val="25310971"/>
    <w:rsid w:val="2535C436"/>
    <w:rsid w:val="2B0C0BA0"/>
    <w:rsid w:val="2C78E07E"/>
    <w:rsid w:val="2D3CC5EC"/>
    <w:rsid w:val="2F1FA2F6"/>
    <w:rsid w:val="310B9804"/>
    <w:rsid w:val="312B008C"/>
    <w:rsid w:val="356B64AE"/>
    <w:rsid w:val="376E7CDA"/>
    <w:rsid w:val="39405CDC"/>
    <w:rsid w:val="3E13CDFF"/>
    <w:rsid w:val="3EE621FB"/>
    <w:rsid w:val="493A6B14"/>
    <w:rsid w:val="4BB72796"/>
    <w:rsid w:val="4FCDAFB0"/>
    <w:rsid w:val="523AB253"/>
    <w:rsid w:val="53F10939"/>
    <w:rsid w:val="5741D258"/>
    <w:rsid w:val="597491F6"/>
    <w:rsid w:val="5D561126"/>
    <w:rsid w:val="63EBC467"/>
    <w:rsid w:val="6FD051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2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E0"/>
  </w:style>
  <w:style w:type="paragraph" w:styleId="Heading1">
    <w:name w:val="heading 1"/>
    <w:basedOn w:val="NIHRC"/>
    <w:next w:val="Normal"/>
    <w:link w:val="Heading1Char"/>
    <w:uiPriority w:val="9"/>
    <w:qFormat/>
    <w:rsid w:val="009A4901"/>
    <w:pPr>
      <w:numPr>
        <w:numId w:val="12"/>
      </w:numPr>
      <w:spacing w:before="120" w:line="288" w:lineRule="auto"/>
      <w:outlineLvl w:val="0"/>
    </w:pPr>
    <w:rPr>
      <w:b/>
      <w:color w:val="77328A"/>
      <w:sz w:val="32"/>
      <w:szCs w:val="32"/>
    </w:rPr>
  </w:style>
  <w:style w:type="paragraph" w:styleId="Heading2">
    <w:name w:val="heading 2"/>
    <w:basedOn w:val="Normal"/>
    <w:next w:val="Normal"/>
    <w:link w:val="Heading2Char"/>
    <w:uiPriority w:val="9"/>
    <w:unhideWhenUsed/>
    <w:qFormat/>
    <w:rsid w:val="007834D3"/>
    <w:pPr>
      <w:keepNext/>
      <w:keepLines/>
      <w:spacing w:before="40" w:after="0"/>
      <w:outlineLvl w:val="1"/>
    </w:pPr>
    <w:rPr>
      <w:rFonts w:ascii="Verdana" w:eastAsiaTheme="majorEastAsia" w:hAnsi="Verdana" w:cstheme="majorBidi"/>
      <w:b/>
      <w:bCs/>
      <w:sz w:val="24"/>
      <w:szCs w:val="24"/>
    </w:rPr>
  </w:style>
  <w:style w:type="paragraph" w:styleId="Heading3">
    <w:name w:val="heading 3"/>
    <w:basedOn w:val="Normal"/>
    <w:next w:val="Normal"/>
    <w:link w:val="Heading3Char"/>
    <w:uiPriority w:val="9"/>
    <w:unhideWhenUsed/>
    <w:qFormat/>
    <w:rsid w:val="00724935"/>
    <w:pPr>
      <w:keepNext/>
      <w:keepLines/>
      <w:spacing w:before="40" w:after="0"/>
      <w:outlineLvl w:val="2"/>
    </w:pPr>
    <w:rPr>
      <w:rFonts w:ascii="Verdana" w:eastAsiaTheme="majorEastAsia" w:hAnsi="Verdan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1E7289"/>
    <w:rPr>
      <w:sz w:val="16"/>
      <w:szCs w:val="16"/>
    </w:rPr>
  </w:style>
  <w:style w:type="paragraph" w:styleId="CommentText">
    <w:name w:val="annotation text"/>
    <w:basedOn w:val="Normal"/>
    <w:link w:val="CommentTextChar"/>
    <w:unhideWhenUsed/>
    <w:rsid w:val="001E7289"/>
    <w:rPr>
      <w:sz w:val="20"/>
      <w:szCs w:val="20"/>
    </w:rPr>
  </w:style>
  <w:style w:type="character" w:customStyle="1" w:styleId="CommentTextChar">
    <w:name w:val="Comment Text Char"/>
    <w:basedOn w:val="DefaultParagraphFont"/>
    <w:link w:val="CommentText"/>
    <w:uiPriority w:val="99"/>
    <w:rsid w:val="001E7289"/>
    <w:rPr>
      <w:sz w:val="20"/>
      <w:szCs w:val="20"/>
    </w:rPr>
  </w:style>
  <w:style w:type="paragraph" w:styleId="CommentSubject">
    <w:name w:val="annotation subject"/>
    <w:basedOn w:val="CommentText"/>
    <w:next w:val="CommentText"/>
    <w:link w:val="CommentSubjectChar"/>
    <w:uiPriority w:val="99"/>
    <w:semiHidden/>
    <w:unhideWhenUsed/>
    <w:rsid w:val="001E7289"/>
    <w:rPr>
      <w:b/>
      <w:bCs/>
    </w:rPr>
  </w:style>
  <w:style w:type="character" w:customStyle="1" w:styleId="CommentSubjectChar">
    <w:name w:val="Comment Subject Char"/>
    <w:basedOn w:val="CommentTextChar"/>
    <w:link w:val="CommentSubject"/>
    <w:uiPriority w:val="99"/>
    <w:semiHidden/>
    <w:rsid w:val="001E7289"/>
    <w:rPr>
      <w:b/>
      <w:bCs/>
      <w:sz w:val="20"/>
      <w:szCs w:val="20"/>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6C63E4"/>
    <w:pPr>
      <w:spacing w:after="0"/>
    </w:pPr>
    <w:rPr>
      <w:sz w:val="20"/>
      <w:szCs w:val="20"/>
    </w:rPr>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6C63E4"/>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6C63E4"/>
    <w:rPr>
      <w:vertAlign w:val="superscript"/>
    </w:rPr>
  </w:style>
  <w:style w:type="character" w:styleId="Hyperlink">
    <w:name w:val="Hyperlink"/>
    <w:basedOn w:val="DefaultParagraphFont"/>
    <w:uiPriority w:val="99"/>
    <w:unhideWhenUsed/>
    <w:rsid w:val="005F071C"/>
    <w:rPr>
      <w:color w:val="0563C1" w:themeColor="hyperlink"/>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9A4901"/>
    <w:pPr>
      <w:numPr>
        <w:ilvl w:val="1"/>
        <w:numId w:val="12"/>
      </w:numPr>
      <w:spacing w:after="0" w:line="288" w:lineRule="auto"/>
    </w:pPr>
    <w:rPr>
      <w:rFonts w:ascii="Verdana" w:hAnsi="Verdana"/>
      <w:sz w:val="24"/>
      <w:szCs w:val="24"/>
    </w:rPr>
  </w:style>
  <w:style w:type="character" w:styleId="UnresolvedMention">
    <w:name w:val="Unresolved Mention"/>
    <w:basedOn w:val="DefaultParagraphFont"/>
    <w:uiPriority w:val="99"/>
    <w:semiHidden/>
    <w:unhideWhenUsed/>
    <w:rsid w:val="004C319F"/>
    <w:rPr>
      <w:color w:val="605E5C"/>
      <w:shd w:val="clear" w:color="auto" w:fill="E1DFDD"/>
    </w:rPr>
  </w:style>
  <w:style w:type="paragraph" w:styleId="Header">
    <w:name w:val="header"/>
    <w:basedOn w:val="Normal"/>
    <w:link w:val="HeaderChar"/>
    <w:uiPriority w:val="99"/>
    <w:unhideWhenUsed/>
    <w:rsid w:val="000F6938"/>
    <w:pPr>
      <w:tabs>
        <w:tab w:val="center" w:pos="4513"/>
        <w:tab w:val="right" w:pos="9026"/>
      </w:tabs>
      <w:spacing w:after="0"/>
    </w:pPr>
  </w:style>
  <w:style w:type="character" w:customStyle="1" w:styleId="HeaderChar">
    <w:name w:val="Header Char"/>
    <w:basedOn w:val="DefaultParagraphFont"/>
    <w:link w:val="Header"/>
    <w:uiPriority w:val="99"/>
    <w:rsid w:val="000F6938"/>
  </w:style>
  <w:style w:type="paragraph" w:styleId="Footer">
    <w:name w:val="footer"/>
    <w:basedOn w:val="Normal"/>
    <w:link w:val="FooterChar"/>
    <w:uiPriority w:val="99"/>
    <w:unhideWhenUsed/>
    <w:rsid w:val="000F6938"/>
    <w:pPr>
      <w:tabs>
        <w:tab w:val="center" w:pos="4513"/>
        <w:tab w:val="right" w:pos="9026"/>
      </w:tabs>
      <w:spacing w:after="0"/>
    </w:pPr>
  </w:style>
  <w:style w:type="character" w:customStyle="1" w:styleId="FooterChar">
    <w:name w:val="Footer Char"/>
    <w:basedOn w:val="DefaultParagraphFont"/>
    <w:link w:val="Footer"/>
    <w:uiPriority w:val="99"/>
    <w:rsid w:val="000F6938"/>
  </w:style>
  <w:style w:type="character" w:customStyle="1" w:styleId="Heading1Char">
    <w:name w:val="Heading 1 Char"/>
    <w:basedOn w:val="DefaultParagraphFont"/>
    <w:link w:val="Heading1"/>
    <w:uiPriority w:val="9"/>
    <w:rsid w:val="009A4901"/>
    <w:rPr>
      <w:rFonts w:ascii="Verdana" w:hAnsi="Verdana"/>
      <w:b/>
      <w:bCs/>
      <w:color w:val="77328A"/>
      <w:sz w:val="32"/>
      <w:szCs w:val="32"/>
    </w:rPr>
  </w:style>
  <w:style w:type="paragraph" w:customStyle="1" w:styleId="NIHRC">
    <w:name w:val="NIHRC"/>
    <w:basedOn w:val="Normal"/>
    <w:link w:val="NIHRCChar"/>
    <w:qFormat/>
    <w:rsid w:val="00065617"/>
    <w:rPr>
      <w:rFonts w:ascii="Verdana" w:hAnsi="Verdana"/>
      <w:bCs/>
      <w:sz w:val="24"/>
    </w:rPr>
  </w:style>
  <w:style w:type="paragraph" w:styleId="TOCHeading">
    <w:name w:val="TOC Heading"/>
    <w:basedOn w:val="Heading1"/>
    <w:next w:val="Normal"/>
    <w:uiPriority w:val="39"/>
    <w:unhideWhenUsed/>
    <w:qFormat/>
    <w:rsid w:val="000857E8"/>
    <w:pPr>
      <w:outlineLvl w:val="9"/>
    </w:pPr>
    <w:rPr>
      <w:kern w:val="0"/>
      <w:lang w:val="en-US"/>
      <w14:ligatures w14:val="none"/>
    </w:rPr>
  </w:style>
  <w:style w:type="character" w:customStyle="1" w:styleId="NIHRCChar">
    <w:name w:val="NIHRC Char"/>
    <w:basedOn w:val="DefaultParagraphFont"/>
    <w:link w:val="NIHRC"/>
    <w:rsid w:val="00065617"/>
    <w:rPr>
      <w:rFonts w:ascii="Verdana" w:hAnsi="Verdana"/>
      <w:bCs/>
      <w:sz w:val="24"/>
    </w:rPr>
  </w:style>
  <w:style w:type="paragraph" w:customStyle="1" w:styleId="BasicParagraph">
    <w:name w:val="[Basic Paragraph]"/>
    <w:basedOn w:val="Normal"/>
    <w:link w:val="BasicParagraphChar"/>
    <w:uiPriority w:val="99"/>
    <w:rsid w:val="00401026"/>
    <w:pPr>
      <w:widowControl w:val="0"/>
      <w:autoSpaceDE w:val="0"/>
      <w:autoSpaceDN w:val="0"/>
      <w:adjustRightInd w:val="0"/>
      <w:spacing w:after="0" w:line="288" w:lineRule="auto"/>
      <w:jc w:val="both"/>
      <w:textAlignment w:val="center"/>
    </w:pPr>
    <w:rPr>
      <w:rFonts w:ascii="MinionPro-Regular" w:eastAsiaTheme="minorEastAsia" w:hAnsi="MinionPro-Regular" w:cs="MinionPro-Regular"/>
      <w:color w:val="000000"/>
      <w:kern w:val="0"/>
      <w:sz w:val="24"/>
      <w:szCs w:val="24"/>
      <w14:ligatures w14:val="none"/>
    </w:rPr>
  </w:style>
  <w:style w:type="paragraph" w:customStyle="1" w:styleId="Default">
    <w:name w:val="Default"/>
    <w:rsid w:val="00401026"/>
    <w:pPr>
      <w:widowControl w:val="0"/>
      <w:autoSpaceDE w:val="0"/>
      <w:autoSpaceDN w:val="0"/>
      <w:adjustRightInd w:val="0"/>
      <w:spacing w:after="0" w:line="360" w:lineRule="auto"/>
      <w:jc w:val="both"/>
    </w:pPr>
    <w:rPr>
      <w:rFonts w:ascii="Verdana" w:eastAsiaTheme="minorEastAsia" w:hAnsi="Verdana" w:cs="Verdana"/>
      <w:color w:val="000000"/>
      <w:kern w:val="0"/>
      <w:sz w:val="24"/>
      <w:szCs w:val="24"/>
      <w:lang w:val="en-US"/>
      <w14:ligatures w14:val="none"/>
    </w:rPr>
  </w:style>
  <w:style w:type="character" w:customStyle="1" w:styleId="BasicParagraphChar">
    <w:name w:val="[Basic Paragraph] Char"/>
    <w:basedOn w:val="DefaultParagraphFont"/>
    <w:link w:val="BasicParagraph"/>
    <w:uiPriority w:val="99"/>
    <w:rsid w:val="00401026"/>
    <w:rPr>
      <w:rFonts w:ascii="MinionPro-Regular" w:eastAsiaTheme="minorEastAsia" w:hAnsi="MinionPro-Regular" w:cs="MinionPro-Regular"/>
      <w:color w:val="000000"/>
      <w:kern w:val="0"/>
      <w:sz w:val="24"/>
      <w:szCs w:val="24"/>
      <w14:ligatures w14:val="none"/>
    </w:rPr>
  </w:style>
  <w:style w:type="paragraph" w:styleId="TOC1">
    <w:name w:val="toc 1"/>
    <w:basedOn w:val="Normal"/>
    <w:next w:val="Normal"/>
    <w:autoRedefine/>
    <w:uiPriority w:val="39"/>
    <w:unhideWhenUsed/>
    <w:rsid w:val="00286994"/>
    <w:pPr>
      <w:tabs>
        <w:tab w:val="right" w:leader="dot" w:pos="9016"/>
      </w:tabs>
      <w:spacing w:after="100"/>
    </w:pPr>
  </w:style>
  <w:style w:type="paragraph" w:styleId="TOC2">
    <w:name w:val="toc 2"/>
    <w:basedOn w:val="Normal"/>
    <w:next w:val="Normal"/>
    <w:autoRedefine/>
    <w:uiPriority w:val="39"/>
    <w:unhideWhenUsed/>
    <w:rsid w:val="00053EAA"/>
    <w:pPr>
      <w:tabs>
        <w:tab w:val="right" w:leader="dot" w:pos="9016"/>
      </w:tabs>
      <w:spacing w:after="100" w:line="288" w:lineRule="auto"/>
      <w:ind w:left="240"/>
    </w:pPr>
    <w:rPr>
      <w:rFonts w:ascii="Verdana" w:eastAsiaTheme="minorEastAsia" w:hAnsi="Verdana"/>
      <w:kern w:val="0"/>
      <w:sz w:val="24"/>
      <w:szCs w:val="24"/>
      <w14:ligatures w14:val="none"/>
    </w:rPr>
  </w:style>
  <w:style w:type="paragraph" w:styleId="Revision">
    <w:name w:val="Revision"/>
    <w:hidden/>
    <w:uiPriority w:val="99"/>
    <w:semiHidden/>
    <w:rsid w:val="00AA5874"/>
    <w:pPr>
      <w:spacing w:after="0"/>
    </w:pPr>
  </w:style>
  <w:style w:type="character" w:customStyle="1" w:styleId="Heading2Char">
    <w:name w:val="Heading 2 Char"/>
    <w:basedOn w:val="DefaultParagraphFont"/>
    <w:link w:val="Heading2"/>
    <w:uiPriority w:val="9"/>
    <w:rsid w:val="007834D3"/>
    <w:rPr>
      <w:rFonts w:ascii="Verdana" w:eastAsiaTheme="majorEastAsia" w:hAnsi="Verdana" w:cstheme="majorBidi"/>
      <w:b/>
      <w:bCs/>
      <w:sz w:val="24"/>
      <w:szCs w:val="24"/>
    </w:rPr>
  </w:style>
  <w:style w:type="character" w:customStyle="1" w:styleId="Heading3Char">
    <w:name w:val="Heading 3 Char"/>
    <w:basedOn w:val="DefaultParagraphFont"/>
    <w:link w:val="Heading3"/>
    <w:uiPriority w:val="9"/>
    <w:rsid w:val="00724935"/>
    <w:rPr>
      <w:rFonts w:ascii="Verdana" w:eastAsiaTheme="majorEastAsia" w:hAnsi="Verdana" w:cstheme="majorBidi"/>
      <w:sz w:val="24"/>
      <w:szCs w:val="24"/>
    </w:rPr>
  </w:style>
  <w:style w:type="paragraph" w:styleId="TOC3">
    <w:name w:val="toc 3"/>
    <w:basedOn w:val="Normal"/>
    <w:next w:val="Normal"/>
    <w:autoRedefine/>
    <w:uiPriority w:val="39"/>
    <w:unhideWhenUsed/>
    <w:rsid w:val="005708BB"/>
    <w:pPr>
      <w:spacing w:after="100" w:line="259" w:lineRule="auto"/>
      <w:ind w:left="440"/>
    </w:pPr>
    <w:rPr>
      <w:rFonts w:eastAsiaTheme="minorEastAsia" w:cs="Times New Roman"/>
      <w:kern w:val="0"/>
      <w:lang w:val="en-US"/>
      <w14:ligatures w14:val="none"/>
    </w:rPr>
  </w:style>
  <w:style w:type="character" w:styleId="Mention">
    <w:name w:val="Mention"/>
    <w:basedOn w:val="DefaultParagraphFont"/>
    <w:uiPriority w:val="99"/>
    <w:unhideWhenUsed/>
    <w:rsid w:val="00AA3D27"/>
    <w:rPr>
      <w:color w:val="2B579A"/>
      <w:shd w:val="clear" w:color="auto" w:fill="E1DFDD"/>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16076"/>
    <w:pPr>
      <w:spacing w:after="160" w:line="240" w:lineRule="exact"/>
      <w:jc w:val="both"/>
    </w:pPr>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FD5233"/>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udiciaryni.uk/files/judiciaryni/2024-09/%5B2024%5D%20NICA%2059.pdf" TargetMode="External"/><Relationship Id="rId2" Type="http://schemas.openxmlformats.org/officeDocument/2006/relationships/hyperlink" Target="https://eur-lex.europa.eu/legal-content/EN/TXT/PDF/?uri=CELEX:32016L0680" TargetMode="External"/><Relationship Id="rId1" Type="http://schemas.openxmlformats.org/officeDocument/2006/relationships/hyperlink" Target="https://eur-lex.europa.eu/legal-content/EN/TXT/PDF/?uri=CELEX:32016R0679" TargetMode="External"/><Relationship Id="rId4" Type="http://schemas.openxmlformats.org/officeDocument/2006/relationships/hyperlink" Target="https://www.judiciaryni.uk/files/judiciaryni/2024-09/%5B2024%5D%20NICA%20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7CC11-76EE-40DE-8EDC-AE487343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51033</CharactersWithSpaces>
  <SharedDoc>false</SharedDoc>
  <HLinks>
    <vt:vector size="162" baseType="variant">
      <vt:variant>
        <vt:i4>6946881</vt:i4>
      </vt:variant>
      <vt:variant>
        <vt:i4>114</vt:i4>
      </vt:variant>
      <vt:variant>
        <vt:i4>0</vt:i4>
      </vt:variant>
      <vt:variant>
        <vt:i4>5</vt:i4>
      </vt:variant>
      <vt:variant>
        <vt:lpwstr>mailto:info@nihrc.org</vt:lpwstr>
      </vt:variant>
      <vt:variant>
        <vt:lpwstr/>
      </vt:variant>
      <vt:variant>
        <vt:i4>4587543</vt:i4>
      </vt:variant>
      <vt:variant>
        <vt:i4>111</vt:i4>
      </vt:variant>
      <vt:variant>
        <vt:i4>0</vt:i4>
      </vt:variant>
      <vt:variant>
        <vt:i4>5</vt:i4>
      </vt:variant>
      <vt:variant>
        <vt:lpwstr>http://www.nihrc.org/</vt:lpwstr>
      </vt:variant>
      <vt:variant>
        <vt:lpwstr/>
      </vt:variant>
      <vt:variant>
        <vt:i4>1572922</vt:i4>
      </vt:variant>
      <vt:variant>
        <vt:i4>104</vt:i4>
      </vt:variant>
      <vt:variant>
        <vt:i4>0</vt:i4>
      </vt:variant>
      <vt:variant>
        <vt:i4>5</vt:i4>
      </vt:variant>
      <vt:variant>
        <vt:lpwstr/>
      </vt:variant>
      <vt:variant>
        <vt:lpwstr>_Toc190093257</vt:lpwstr>
      </vt:variant>
      <vt:variant>
        <vt:i4>1572922</vt:i4>
      </vt:variant>
      <vt:variant>
        <vt:i4>98</vt:i4>
      </vt:variant>
      <vt:variant>
        <vt:i4>0</vt:i4>
      </vt:variant>
      <vt:variant>
        <vt:i4>5</vt:i4>
      </vt:variant>
      <vt:variant>
        <vt:lpwstr/>
      </vt:variant>
      <vt:variant>
        <vt:lpwstr>_Toc190093256</vt:lpwstr>
      </vt:variant>
      <vt:variant>
        <vt:i4>1572922</vt:i4>
      </vt:variant>
      <vt:variant>
        <vt:i4>92</vt:i4>
      </vt:variant>
      <vt:variant>
        <vt:i4>0</vt:i4>
      </vt:variant>
      <vt:variant>
        <vt:i4>5</vt:i4>
      </vt:variant>
      <vt:variant>
        <vt:lpwstr/>
      </vt:variant>
      <vt:variant>
        <vt:lpwstr>_Toc190093255</vt:lpwstr>
      </vt:variant>
      <vt:variant>
        <vt:i4>1572922</vt:i4>
      </vt:variant>
      <vt:variant>
        <vt:i4>86</vt:i4>
      </vt:variant>
      <vt:variant>
        <vt:i4>0</vt:i4>
      </vt:variant>
      <vt:variant>
        <vt:i4>5</vt:i4>
      </vt:variant>
      <vt:variant>
        <vt:lpwstr/>
      </vt:variant>
      <vt:variant>
        <vt:lpwstr>_Toc190093254</vt:lpwstr>
      </vt:variant>
      <vt:variant>
        <vt:i4>1572922</vt:i4>
      </vt:variant>
      <vt:variant>
        <vt:i4>80</vt:i4>
      </vt:variant>
      <vt:variant>
        <vt:i4>0</vt:i4>
      </vt:variant>
      <vt:variant>
        <vt:i4>5</vt:i4>
      </vt:variant>
      <vt:variant>
        <vt:lpwstr/>
      </vt:variant>
      <vt:variant>
        <vt:lpwstr>_Toc190093253</vt:lpwstr>
      </vt:variant>
      <vt:variant>
        <vt:i4>1572922</vt:i4>
      </vt:variant>
      <vt:variant>
        <vt:i4>74</vt:i4>
      </vt:variant>
      <vt:variant>
        <vt:i4>0</vt:i4>
      </vt:variant>
      <vt:variant>
        <vt:i4>5</vt:i4>
      </vt:variant>
      <vt:variant>
        <vt:lpwstr/>
      </vt:variant>
      <vt:variant>
        <vt:lpwstr>_Toc190093252</vt:lpwstr>
      </vt:variant>
      <vt:variant>
        <vt:i4>1572922</vt:i4>
      </vt:variant>
      <vt:variant>
        <vt:i4>68</vt:i4>
      </vt:variant>
      <vt:variant>
        <vt:i4>0</vt:i4>
      </vt:variant>
      <vt:variant>
        <vt:i4>5</vt:i4>
      </vt:variant>
      <vt:variant>
        <vt:lpwstr/>
      </vt:variant>
      <vt:variant>
        <vt:lpwstr>_Toc190093251</vt:lpwstr>
      </vt:variant>
      <vt:variant>
        <vt:i4>1572922</vt:i4>
      </vt:variant>
      <vt:variant>
        <vt:i4>62</vt:i4>
      </vt:variant>
      <vt:variant>
        <vt:i4>0</vt:i4>
      </vt:variant>
      <vt:variant>
        <vt:i4>5</vt:i4>
      </vt:variant>
      <vt:variant>
        <vt:lpwstr/>
      </vt:variant>
      <vt:variant>
        <vt:lpwstr>_Toc190093250</vt:lpwstr>
      </vt:variant>
      <vt:variant>
        <vt:i4>1638458</vt:i4>
      </vt:variant>
      <vt:variant>
        <vt:i4>56</vt:i4>
      </vt:variant>
      <vt:variant>
        <vt:i4>0</vt:i4>
      </vt:variant>
      <vt:variant>
        <vt:i4>5</vt:i4>
      </vt:variant>
      <vt:variant>
        <vt:lpwstr/>
      </vt:variant>
      <vt:variant>
        <vt:lpwstr>_Toc190093249</vt:lpwstr>
      </vt:variant>
      <vt:variant>
        <vt:i4>1638458</vt:i4>
      </vt:variant>
      <vt:variant>
        <vt:i4>50</vt:i4>
      </vt:variant>
      <vt:variant>
        <vt:i4>0</vt:i4>
      </vt:variant>
      <vt:variant>
        <vt:i4>5</vt:i4>
      </vt:variant>
      <vt:variant>
        <vt:lpwstr/>
      </vt:variant>
      <vt:variant>
        <vt:lpwstr>_Toc190093248</vt:lpwstr>
      </vt:variant>
      <vt:variant>
        <vt:i4>1638458</vt:i4>
      </vt:variant>
      <vt:variant>
        <vt:i4>44</vt:i4>
      </vt:variant>
      <vt:variant>
        <vt:i4>0</vt:i4>
      </vt:variant>
      <vt:variant>
        <vt:i4>5</vt:i4>
      </vt:variant>
      <vt:variant>
        <vt:lpwstr/>
      </vt:variant>
      <vt:variant>
        <vt:lpwstr>_Toc190093247</vt:lpwstr>
      </vt:variant>
      <vt:variant>
        <vt:i4>1638458</vt:i4>
      </vt:variant>
      <vt:variant>
        <vt:i4>38</vt:i4>
      </vt:variant>
      <vt:variant>
        <vt:i4>0</vt:i4>
      </vt:variant>
      <vt:variant>
        <vt:i4>5</vt:i4>
      </vt:variant>
      <vt:variant>
        <vt:lpwstr/>
      </vt:variant>
      <vt:variant>
        <vt:lpwstr>_Toc190093246</vt:lpwstr>
      </vt:variant>
      <vt:variant>
        <vt:i4>1638458</vt:i4>
      </vt:variant>
      <vt:variant>
        <vt:i4>32</vt:i4>
      </vt:variant>
      <vt:variant>
        <vt:i4>0</vt:i4>
      </vt:variant>
      <vt:variant>
        <vt:i4>5</vt:i4>
      </vt:variant>
      <vt:variant>
        <vt:lpwstr/>
      </vt:variant>
      <vt:variant>
        <vt:lpwstr>_Toc190093245</vt:lpwstr>
      </vt:variant>
      <vt:variant>
        <vt:i4>1638458</vt:i4>
      </vt:variant>
      <vt:variant>
        <vt:i4>26</vt:i4>
      </vt:variant>
      <vt:variant>
        <vt:i4>0</vt:i4>
      </vt:variant>
      <vt:variant>
        <vt:i4>5</vt:i4>
      </vt:variant>
      <vt:variant>
        <vt:lpwstr/>
      </vt:variant>
      <vt:variant>
        <vt:lpwstr>_Toc190093244</vt:lpwstr>
      </vt:variant>
      <vt:variant>
        <vt:i4>1638458</vt:i4>
      </vt:variant>
      <vt:variant>
        <vt:i4>20</vt:i4>
      </vt:variant>
      <vt:variant>
        <vt:i4>0</vt:i4>
      </vt:variant>
      <vt:variant>
        <vt:i4>5</vt:i4>
      </vt:variant>
      <vt:variant>
        <vt:lpwstr/>
      </vt:variant>
      <vt:variant>
        <vt:lpwstr>_Toc190093243</vt:lpwstr>
      </vt:variant>
      <vt:variant>
        <vt:i4>1638458</vt:i4>
      </vt:variant>
      <vt:variant>
        <vt:i4>14</vt:i4>
      </vt:variant>
      <vt:variant>
        <vt:i4>0</vt:i4>
      </vt:variant>
      <vt:variant>
        <vt:i4>5</vt:i4>
      </vt:variant>
      <vt:variant>
        <vt:lpwstr/>
      </vt:variant>
      <vt:variant>
        <vt:lpwstr>_Toc190093242</vt:lpwstr>
      </vt:variant>
      <vt:variant>
        <vt:i4>1638458</vt:i4>
      </vt:variant>
      <vt:variant>
        <vt:i4>8</vt:i4>
      </vt:variant>
      <vt:variant>
        <vt:i4>0</vt:i4>
      </vt:variant>
      <vt:variant>
        <vt:i4>5</vt:i4>
      </vt:variant>
      <vt:variant>
        <vt:lpwstr/>
      </vt:variant>
      <vt:variant>
        <vt:lpwstr>_Toc190093241</vt:lpwstr>
      </vt:variant>
      <vt:variant>
        <vt:i4>1638458</vt:i4>
      </vt:variant>
      <vt:variant>
        <vt:i4>2</vt:i4>
      </vt:variant>
      <vt:variant>
        <vt:i4>0</vt:i4>
      </vt:variant>
      <vt:variant>
        <vt:i4>5</vt:i4>
      </vt:variant>
      <vt:variant>
        <vt:lpwstr/>
      </vt:variant>
      <vt:variant>
        <vt:lpwstr>_Toc190093240</vt:lpwstr>
      </vt:variant>
      <vt:variant>
        <vt:i4>458840</vt:i4>
      </vt:variant>
      <vt:variant>
        <vt:i4>18</vt:i4>
      </vt:variant>
      <vt:variant>
        <vt:i4>0</vt:i4>
      </vt:variant>
      <vt:variant>
        <vt:i4>5</vt:i4>
      </vt:variant>
      <vt:variant>
        <vt:lpwstr>https://eur-lex.europa.eu/LexUriServ/LexUriServ.do?uri=OJ:L:2009:337:0011:0036:en:PDF</vt:lpwstr>
      </vt:variant>
      <vt:variant>
        <vt:lpwstr/>
      </vt:variant>
      <vt:variant>
        <vt:i4>3407976</vt:i4>
      </vt:variant>
      <vt:variant>
        <vt:i4>15</vt:i4>
      </vt:variant>
      <vt:variant>
        <vt:i4>0</vt:i4>
      </vt:variant>
      <vt:variant>
        <vt:i4>5</vt:i4>
      </vt:variant>
      <vt:variant>
        <vt:lpwstr>https://www.judiciaryni.uk/files/judiciaryni/2024-09/%5B2024%5D NICA 59.pdf</vt:lpwstr>
      </vt:variant>
      <vt:variant>
        <vt:lpwstr/>
      </vt:variant>
      <vt:variant>
        <vt:i4>3407976</vt:i4>
      </vt:variant>
      <vt:variant>
        <vt:i4>12</vt:i4>
      </vt:variant>
      <vt:variant>
        <vt:i4>0</vt:i4>
      </vt:variant>
      <vt:variant>
        <vt:i4>5</vt:i4>
      </vt:variant>
      <vt:variant>
        <vt:lpwstr>https://www.judiciaryni.uk/files/judiciaryni/2024-09/%5B2024%5D NICA 59.pdf</vt:lpwstr>
      </vt:variant>
      <vt:variant>
        <vt:lpwstr/>
      </vt:variant>
      <vt:variant>
        <vt:i4>6881401</vt:i4>
      </vt:variant>
      <vt:variant>
        <vt:i4>9</vt:i4>
      </vt:variant>
      <vt:variant>
        <vt:i4>0</vt:i4>
      </vt:variant>
      <vt:variant>
        <vt:i4>5</vt:i4>
      </vt:variant>
      <vt:variant>
        <vt:lpwstr>https://eur-lex.europa.eu/legal-content/EN/TXT/?uri=celex%3A32018R1725</vt:lpwstr>
      </vt:variant>
      <vt:variant>
        <vt:lpwstr/>
      </vt:variant>
      <vt:variant>
        <vt:i4>1769476</vt:i4>
      </vt:variant>
      <vt:variant>
        <vt:i4>6</vt:i4>
      </vt:variant>
      <vt:variant>
        <vt:i4>0</vt:i4>
      </vt:variant>
      <vt:variant>
        <vt:i4>5</vt:i4>
      </vt:variant>
      <vt:variant>
        <vt:lpwstr>https://eur-lex.europa.eu/legal-content/EN/TXT/PDF/?uri=CELEX:32016L0680</vt:lpwstr>
      </vt:variant>
      <vt:variant>
        <vt:lpwstr/>
      </vt:variant>
      <vt:variant>
        <vt:i4>786443</vt:i4>
      </vt:variant>
      <vt:variant>
        <vt:i4>3</vt:i4>
      </vt:variant>
      <vt:variant>
        <vt:i4>0</vt:i4>
      </vt:variant>
      <vt:variant>
        <vt:i4>5</vt:i4>
      </vt:variant>
      <vt:variant>
        <vt:lpwstr>https://eur-lex.europa.eu/legal-content/EN/TXT/PDF/?uri=CELEX:32016R0679</vt:lpwstr>
      </vt:variant>
      <vt:variant>
        <vt:lpwstr/>
      </vt:variant>
      <vt:variant>
        <vt:i4>458840</vt:i4>
      </vt:variant>
      <vt:variant>
        <vt:i4>0</vt:i4>
      </vt:variant>
      <vt:variant>
        <vt:i4>0</vt:i4>
      </vt:variant>
      <vt:variant>
        <vt:i4>5</vt:i4>
      </vt:variant>
      <vt:variant>
        <vt:lpwstr>https://eur-lex.europa.eu/LexUriServ/LexUriServ.do?uri=OJ:L:2009:337:0011:0036:en:PDF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2025-02-13T16:26:00Z</dcterms:created>
  <dcterms:modified xsi:type="dcterms:W3CDTF">2025-02-14T11:18:00Z</dcterms:modified>
  <cp:contentStatus/>
</cp:coreProperties>
</file>