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0156" w14:textId="77777777" w:rsidR="00F31387" w:rsidRDefault="00F31387" w:rsidP="00AB4FE4">
      <w:pPr>
        <w:pStyle w:val="BasicParagraph"/>
        <w:suppressAutoHyphens/>
        <w:spacing w:line="276" w:lineRule="auto"/>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583FFFA2" wp14:editId="2A3EDF57">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3D752D90" w14:textId="77777777" w:rsidR="003B7D0E" w:rsidRPr="00EA12CE" w:rsidRDefault="003B7D0E" w:rsidP="00AB4FE4">
      <w:pPr>
        <w:pStyle w:val="BasicParagraph"/>
        <w:suppressAutoHyphens/>
        <w:spacing w:line="276" w:lineRule="auto"/>
        <w:jc w:val="center"/>
        <w:rPr>
          <w:rFonts w:ascii="Verdana" w:hAnsi="Verdana" w:cs="Arial"/>
          <w:b/>
          <w:bCs/>
          <w:color w:val="734791"/>
          <w:sz w:val="36"/>
          <w:szCs w:val="36"/>
        </w:rPr>
      </w:pPr>
    </w:p>
    <w:p w14:paraId="5361C7C0" w14:textId="77777777" w:rsidR="0096459E" w:rsidRPr="00B73C4A" w:rsidRDefault="00764A8B" w:rsidP="00AB4FE4">
      <w:pPr>
        <w:pStyle w:val="BasicParagraph"/>
        <w:suppressAutoHyphens/>
        <w:spacing w:line="276" w:lineRule="auto"/>
        <w:jc w:val="center"/>
        <w:rPr>
          <w:rFonts w:ascii="Verdana" w:hAnsi="Verdana" w:cs="Arial"/>
          <w:b/>
          <w:color w:val="7030A0"/>
          <w:sz w:val="36"/>
          <w:szCs w:val="36"/>
        </w:rPr>
      </w:pPr>
      <w:r w:rsidRPr="00B73C4A">
        <w:rPr>
          <w:rFonts w:ascii="Verdana" w:hAnsi="Verdana" w:cs="Arial"/>
          <w:b/>
          <w:bCs/>
          <w:color w:val="7030A0"/>
          <w:sz w:val="36"/>
          <w:szCs w:val="36"/>
        </w:rPr>
        <w:t>Response to the UK Government’s Follow-up Report to the UN CEDAW Committee’s 2019 Concluding Observations on the United Kingdom of Great Britain and Northern Ireland</w:t>
      </w:r>
    </w:p>
    <w:p w14:paraId="6938F3CE" w14:textId="77777777" w:rsidR="00F31387" w:rsidRPr="00331C61" w:rsidRDefault="00F31387" w:rsidP="00AB4FE4">
      <w:pPr>
        <w:pStyle w:val="Default"/>
        <w:spacing w:line="276" w:lineRule="auto"/>
        <w:jc w:val="center"/>
        <w:rPr>
          <w:rFonts w:cs="Arial"/>
          <w:color w:val="232120"/>
          <w:sz w:val="36"/>
          <w:szCs w:val="36"/>
        </w:rPr>
      </w:pPr>
    </w:p>
    <w:p w14:paraId="48EE049F" w14:textId="77777777" w:rsidR="008159E8" w:rsidRPr="00331C61" w:rsidRDefault="00764A8B" w:rsidP="00AB4FE4">
      <w:pPr>
        <w:spacing w:line="276" w:lineRule="auto"/>
        <w:jc w:val="center"/>
        <w:rPr>
          <w:rFonts w:ascii="Verdana" w:hAnsi="Verdana" w:cs="Arial"/>
          <w:b/>
          <w:color w:val="232120"/>
          <w:sz w:val="30"/>
          <w:szCs w:val="30"/>
        </w:rPr>
      </w:pPr>
      <w:r>
        <w:rPr>
          <w:rFonts w:ascii="Verdana" w:hAnsi="Verdana" w:cs="Arial"/>
          <w:b/>
          <w:color w:val="232120"/>
          <w:sz w:val="30"/>
          <w:szCs w:val="30"/>
        </w:rPr>
        <w:t>September 2021</w:t>
      </w:r>
    </w:p>
    <w:p w14:paraId="6E3418FB" w14:textId="77777777" w:rsidR="00046705" w:rsidRPr="00331C61" w:rsidRDefault="00046705" w:rsidP="00AB4FE4">
      <w:pPr>
        <w:spacing w:line="276" w:lineRule="auto"/>
        <w:jc w:val="center"/>
        <w:rPr>
          <w:rFonts w:ascii="Verdana" w:hAnsi="Verdana" w:cs="Arial"/>
          <w:b/>
          <w:color w:val="232120"/>
          <w:sz w:val="28"/>
          <w:szCs w:val="28"/>
        </w:rPr>
      </w:pPr>
    </w:p>
    <w:p w14:paraId="5FAF517D" w14:textId="77777777" w:rsidR="00046705" w:rsidRPr="00331C61" w:rsidRDefault="00046705" w:rsidP="00AB4FE4">
      <w:pPr>
        <w:spacing w:line="276" w:lineRule="auto"/>
        <w:jc w:val="center"/>
        <w:rPr>
          <w:rFonts w:ascii="Verdana" w:hAnsi="Verdana" w:cs="Arial"/>
          <w:b/>
          <w:color w:val="232120"/>
          <w:sz w:val="28"/>
          <w:szCs w:val="28"/>
        </w:rPr>
      </w:pPr>
    </w:p>
    <w:p w14:paraId="63D60F6F" w14:textId="77777777" w:rsidR="00EA12CE" w:rsidRPr="00331C61" w:rsidRDefault="00EA12CE" w:rsidP="00AB4FE4">
      <w:pPr>
        <w:pStyle w:val="Default"/>
        <w:spacing w:line="276" w:lineRule="auto"/>
        <w:jc w:val="center"/>
        <w:rPr>
          <w:rFonts w:cs="Arial"/>
          <w:b/>
          <w:color w:val="232120"/>
          <w:sz w:val="28"/>
          <w:szCs w:val="28"/>
          <w:lang w:val="en-GB"/>
        </w:rPr>
      </w:pPr>
    </w:p>
    <w:p w14:paraId="261B0C2A" w14:textId="77777777" w:rsidR="003B7D0E" w:rsidRPr="00331C61" w:rsidRDefault="003B7D0E" w:rsidP="00AB4FE4">
      <w:pPr>
        <w:pStyle w:val="Default"/>
        <w:spacing w:line="276" w:lineRule="auto"/>
        <w:jc w:val="center"/>
        <w:rPr>
          <w:rFonts w:cs="Arial"/>
          <w:b/>
          <w:color w:val="232120"/>
          <w:sz w:val="36"/>
          <w:szCs w:val="36"/>
        </w:rPr>
      </w:pPr>
    </w:p>
    <w:p w14:paraId="76AE5DE1" w14:textId="77777777" w:rsidR="003B7D0E" w:rsidRDefault="003B7D0E" w:rsidP="00AB4FE4">
      <w:pPr>
        <w:pStyle w:val="Default"/>
        <w:spacing w:line="276" w:lineRule="auto"/>
        <w:jc w:val="center"/>
        <w:rPr>
          <w:rFonts w:cs="Arial"/>
          <w:b/>
          <w:color w:val="232120"/>
          <w:sz w:val="36"/>
          <w:szCs w:val="36"/>
        </w:rPr>
      </w:pPr>
    </w:p>
    <w:p w14:paraId="1A546A8A" w14:textId="77777777" w:rsidR="0096459E" w:rsidRDefault="0096459E" w:rsidP="00AB4FE4">
      <w:pPr>
        <w:pStyle w:val="Default"/>
        <w:spacing w:line="276" w:lineRule="auto"/>
        <w:jc w:val="center"/>
        <w:rPr>
          <w:rFonts w:cs="Arial"/>
          <w:b/>
          <w:color w:val="232120"/>
          <w:sz w:val="36"/>
          <w:szCs w:val="36"/>
        </w:rPr>
      </w:pPr>
    </w:p>
    <w:p w14:paraId="3387F5E4" w14:textId="77777777" w:rsidR="00AB4FE4" w:rsidRDefault="00AB4FE4" w:rsidP="00AB4FE4">
      <w:pPr>
        <w:pStyle w:val="Default"/>
        <w:spacing w:line="276" w:lineRule="auto"/>
        <w:jc w:val="center"/>
        <w:rPr>
          <w:rFonts w:cs="Arial"/>
          <w:b/>
          <w:color w:val="232120"/>
          <w:sz w:val="36"/>
          <w:szCs w:val="36"/>
        </w:rPr>
      </w:pPr>
    </w:p>
    <w:p w14:paraId="01F109CB" w14:textId="77777777" w:rsidR="00AB4FE4" w:rsidRPr="00331C61" w:rsidRDefault="00AB4FE4" w:rsidP="00AB4FE4">
      <w:pPr>
        <w:pStyle w:val="Default"/>
        <w:spacing w:line="276" w:lineRule="auto"/>
        <w:jc w:val="center"/>
        <w:rPr>
          <w:rFonts w:cs="Arial"/>
          <w:b/>
          <w:color w:val="232120"/>
          <w:sz w:val="36"/>
          <w:szCs w:val="36"/>
        </w:rPr>
      </w:pPr>
    </w:p>
    <w:p w14:paraId="17115BAF" w14:textId="77777777" w:rsidR="003B7D0E" w:rsidRPr="00331C61" w:rsidRDefault="003B7D0E" w:rsidP="00AB4FE4">
      <w:pPr>
        <w:pStyle w:val="Default"/>
        <w:spacing w:line="276" w:lineRule="auto"/>
        <w:jc w:val="center"/>
        <w:rPr>
          <w:rFonts w:cs="Arial"/>
          <w:b/>
          <w:color w:val="232120"/>
          <w:sz w:val="36"/>
          <w:szCs w:val="36"/>
        </w:rPr>
      </w:pPr>
    </w:p>
    <w:sdt>
      <w:sdtPr>
        <w:rPr>
          <w:rFonts w:asciiTheme="minorHAnsi" w:eastAsiaTheme="minorEastAsia" w:hAnsiTheme="minorHAnsi" w:cstheme="minorBidi"/>
          <w:color w:val="auto"/>
          <w:sz w:val="24"/>
          <w:szCs w:val="24"/>
          <w:lang w:val="en-GB"/>
        </w:rPr>
        <w:id w:val="1250002147"/>
        <w:docPartObj>
          <w:docPartGallery w:val="Table of Contents"/>
          <w:docPartUnique/>
        </w:docPartObj>
      </w:sdtPr>
      <w:sdtEndPr>
        <w:rPr>
          <w:b/>
          <w:bCs/>
          <w:noProof/>
        </w:rPr>
      </w:sdtEndPr>
      <w:sdtContent>
        <w:p w14:paraId="0FF6FF21" w14:textId="77777777" w:rsidR="001259D8" w:rsidRPr="00B73C4A" w:rsidRDefault="001259D8" w:rsidP="00AB4FE4">
          <w:pPr>
            <w:pStyle w:val="TOCHeading"/>
            <w:spacing w:before="0" w:line="276" w:lineRule="auto"/>
            <w:rPr>
              <w:rFonts w:ascii="Verdana" w:hAnsi="Verdana"/>
              <w:b/>
              <w:color w:val="7030A0"/>
              <w:sz w:val="30"/>
              <w:szCs w:val="30"/>
            </w:rPr>
          </w:pPr>
          <w:r w:rsidRPr="00B73C4A">
            <w:rPr>
              <w:rFonts w:ascii="Verdana" w:hAnsi="Verdana"/>
              <w:b/>
              <w:color w:val="7030A0"/>
              <w:sz w:val="30"/>
              <w:szCs w:val="30"/>
            </w:rPr>
            <w:t>Table of Contents</w:t>
          </w:r>
        </w:p>
        <w:p w14:paraId="11A64219" w14:textId="77777777" w:rsidR="00D725D1" w:rsidRPr="00D725D1" w:rsidRDefault="00D725D1" w:rsidP="00AB4FE4">
          <w:pPr>
            <w:spacing w:line="276" w:lineRule="auto"/>
            <w:rPr>
              <w:lang w:val="en-US"/>
            </w:rPr>
          </w:pPr>
        </w:p>
        <w:p w14:paraId="0494A8E4" w14:textId="184DF24D" w:rsidR="002C61FC" w:rsidRPr="002C61FC" w:rsidRDefault="001259D8">
          <w:pPr>
            <w:pStyle w:val="TOC1"/>
            <w:rPr>
              <w:b w:val="0"/>
              <w:sz w:val="22"/>
              <w:szCs w:val="22"/>
              <w:lang w:eastAsia="en-GB"/>
            </w:rPr>
          </w:pPr>
          <w:r w:rsidRPr="001259D8">
            <w:rPr>
              <w:noProof w:val="0"/>
            </w:rPr>
            <w:fldChar w:fldCharType="begin"/>
          </w:r>
          <w:r w:rsidRPr="001259D8">
            <w:instrText xml:space="preserve"> TOC \o "1-3" \h \z \u </w:instrText>
          </w:r>
          <w:r w:rsidRPr="001259D8">
            <w:rPr>
              <w:noProof w:val="0"/>
            </w:rPr>
            <w:fldChar w:fldCharType="separate"/>
          </w:r>
          <w:hyperlink w:anchor="_Toc83662030" w:history="1">
            <w:r w:rsidR="002C61FC" w:rsidRPr="002C61FC">
              <w:rPr>
                <w:rStyle w:val="Hyperlink"/>
              </w:rPr>
              <w:t>1.0</w:t>
            </w:r>
            <w:r w:rsidR="002C61FC" w:rsidRPr="002C61FC">
              <w:rPr>
                <w:b w:val="0"/>
                <w:sz w:val="22"/>
                <w:szCs w:val="22"/>
                <w:lang w:eastAsia="en-GB"/>
              </w:rPr>
              <w:tab/>
            </w:r>
            <w:r w:rsidR="002C61FC" w:rsidRPr="002C61FC">
              <w:rPr>
                <w:rStyle w:val="Hyperlink"/>
              </w:rPr>
              <w:t>Introduction</w:t>
            </w:r>
            <w:r w:rsidR="002C61FC" w:rsidRPr="002C61FC">
              <w:rPr>
                <w:webHidden/>
              </w:rPr>
              <w:tab/>
            </w:r>
            <w:r w:rsidR="002C61FC" w:rsidRPr="002C61FC">
              <w:rPr>
                <w:webHidden/>
              </w:rPr>
              <w:fldChar w:fldCharType="begin"/>
            </w:r>
            <w:r w:rsidR="002C61FC" w:rsidRPr="002C61FC">
              <w:rPr>
                <w:webHidden/>
              </w:rPr>
              <w:instrText xml:space="preserve"> PAGEREF _Toc83662030 \h </w:instrText>
            </w:r>
            <w:r w:rsidR="002C61FC" w:rsidRPr="002C61FC">
              <w:rPr>
                <w:webHidden/>
              </w:rPr>
            </w:r>
            <w:r w:rsidR="002C61FC" w:rsidRPr="002C61FC">
              <w:rPr>
                <w:webHidden/>
              </w:rPr>
              <w:fldChar w:fldCharType="separate"/>
            </w:r>
            <w:r w:rsidR="002C61FC" w:rsidRPr="002C61FC">
              <w:rPr>
                <w:webHidden/>
              </w:rPr>
              <w:t>2</w:t>
            </w:r>
            <w:r w:rsidR="002C61FC" w:rsidRPr="002C61FC">
              <w:rPr>
                <w:webHidden/>
              </w:rPr>
              <w:fldChar w:fldCharType="end"/>
            </w:r>
          </w:hyperlink>
        </w:p>
        <w:p w14:paraId="561FDE83" w14:textId="555E0AB3" w:rsidR="002C61FC" w:rsidRPr="002C61FC" w:rsidRDefault="00684AC3">
          <w:pPr>
            <w:pStyle w:val="TOC1"/>
            <w:rPr>
              <w:b w:val="0"/>
              <w:sz w:val="22"/>
              <w:szCs w:val="22"/>
              <w:lang w:eastAsia="en-GB"/>
            </w:rPr>
          </w:pPr>
          <w:hyperlink w:anchor="_Toc83662031" w:history="1">
            <w:r w:rsidR="002C61FC" w:rsidRPr="002C61FC">
              <w:rPr>
                <w:rStyle w:val="Hyperlink"/>
              </w:rPr>
              <w:t>2.0</w:t>
            </w:r>
            <w:r w:rsidR="002C61FC" w:rsidRPr="002C61FC">
              <w:rPr>
                <w:b w:val="0"/>
                <w:sz w:val="22"/>
                <w:szCs w:val="22"/>
                <w:lang w:eastAsia="en-GB"/>
              </w:rPr>
              <w:tab/>
            </w:r>
            <w:r w:rsidR="002C61FC" w:rsidRPr="002C61FC">
              <w:rPr>
                <w:rStyle w:val="Hyperlink"/>
              </w:rPr>
              <w:t>Recommendation 1: Incorporation of the provisions of the Convention into national legislation</w:t>
            </w:r>
            <w:r w:rsidR="002C61FC" w:rsidRPr="002C61FC">
              <w:rPr>
                <w:webHidden/>
              </w:rPr>
              <w:tab/>
            </w:r>
            <w:r w:rsidR="002C61FC" w:rsidRPr="002C61FC">
              <w:rPr>
                <w:webHidden/>
              </w:rPr>
              <w:fldChar w:fldCharType="begin"/>
            </w:r>
            <w:r w:rsidR="002C61FC" w:rsidRPr="002C61FC">
              <w:rPr>
                <w:webHidden/>
              </w:rPr>
              <w:instrText xml:space="preserve"> PAGEREF _Toc83662031 \h </w:instrText>
            </w:r>
            <w:r w:rsidR="002C61FC" w:rsidRPr="002C61FC">
              <w:rPr>
                <w:webHidden/>
              </w:rPr>
            </w:r>
            <w:r w:rsidR="002C61FC" w:rsidRPr="002C61FC">
              <w:rPr>
                <w:webHidden/>
              </w:rPr>
              <w:fldChar w:fldCharType="separate"/>
            </w:r>
            <w:r w:rsidR="002C61FC" w:rsidRPr="002C61FC">
              <w:rPr>
                <w:webHidden/>
              </w:rPr>
              <w:t>3</w:t>
            </w:r>
            <w:r w:rsidR="002C61FC" w:rsidRPr="002C61FC">
              <w:rPr>
                <w:webHidden/>
              </w:rPr>
              <w:fldChar w:fldCharType="end"/>
            </w:r>
          </w:hyperlink>
        </w:p>
        <w:p w14:paraId="1FA81D76" w14:textId="0DAFA600" w:rsidR="002C61FC" w:rsidRPr="002C61FC" w:rsidRDefault="00684AC3">
          <w:pPr>
            <w:pStyle w:val="TOC1"/>
            <w:rPr>
              <w:b w:val="0"/>
              <w:sz w:val="22"/>
              <w:szCs w:val="22"/>
              <w:lang w:eastAsia="en-GB"/>
            </w:rPr>
          </w:pPr>
          <w:hyperlink w:anchor="_Toc83662032" w:history="1">
            <w:r w:rsidR="002C61FC" w:rsidRPr="002C61FC">
              <w:rPr>
                <w:rStyle w:val="Hyperlink"/>
              </w:rPr>
              <w:t>3.0</w:t>
            </w:r>
            <w:r w:rsidR="002C61FC" w:rsidRPr="002C61FC">
              <w:rPr>
                <w:b w:val="0"/>
                <w:sz w:val="22"/>
                <w:szCs w:val="22"/>
                <w:lang w:eastAsia="en-GB"/>
              </w:rPr>
              <w:tab/>
            </w:r>
            <w:r w:rsidR="002C61FC" w:rsidRPr="002C61FC">
              <w:rPr>
                <w:rStyle w:val="Hyperlink"/>
              </w:rPr>
              <w:t>Recommendation 2: Impact assessment of EU Exit on rights of women</w:t>
            </w:r>
            <w:r w:rsidR="002C61FC" w:rsidRPr="002C61FC">
              <w:rPr>
                <w:webHidden/>
              </w:rPr>
              <w:tab/>
            </w:r>
            <w:r w:rsidR="002C61FC" w:rsidRPr="002C61FC">
              <w:rPr>
                <w:webHidden/>
              </w:rPr>
              <w:fldChar w:fldCharType="begin"/>
            </w:r>
            <w:r w:rsidR="002C61FC" w:rsidRPr="002C61FC">
              <w:rPr>
                <w:webHidden/>
              </w:rPr>
              <w:instrText xml:space="preserve"> PAGEREF _Toc83662032 \h </w:instrText>
            </w:r>
            <w:r w:rsidR="002C61FC" w:rsidRPr="002C61FC">
              <w:rPr>
                <w:webHidden/>
              </w:rPr>
            </w:r>
            <w:r w:rsidR="002C61FC" w:rsidRPr="002C61FC">
              <w:rPr>
                <w:webHidden/>
              </w:rPr>
              <w:fldChar w:fldCharType="separate"/>
            </w:r>
            <w:r w:rsidR="002C61FC" w:rsidRPr="002C61FC">
              <w:rPr>
                <w:webHidden/>
              </w:rPr>
              <w:t>3</w:t>
            </w:r>
            <w:r w:rsidR="002C61FC" w:rsidRPr="002C61FC">
              <w:rPr>
                <w:webHidden/>
              </w:rPr>
              <w:fldChar w:fldCharType="end"/>
            </w:r>
          </w:hyperlink>
        </w:p>
        <w:p w14:paraId="0F7EF17E" w14:textId="31C93496" w:rsidR="002C61FC" w:rsidRPr="002C61FC" w:rsidRDefault="00684AC3">
          <w:pPr>
            <w:pStyle w:val="TOC2"/>
            <w:tabs>
              <w:tab w:val="right" w:leader="dot" w:pos="9848"/>
            </w:tabs>
            <w:rPr>
              <w:rFonts w:ascii="Verdana" w:hAnsi="Verdana"/>
              <w:noProof/>
              <w:sz w:val="22"/>
              <w:szCs w:val="22"/>
              <w:lang w:eastAsia="en-GB"/>
            </w:rPr>
          </w:pPr>
          <w:hyperlink w:anchor="_Toc83662033" w:history="1">
            <w:r w:rsidR="002C61FC" w:rsidRPr="002C61FC">
              <w:rPr>
                <w:rStyle w:val="Hyperlink"/>
                <w:rFonts w:ascii="Verdana" w:hAnsi="Verdana"/>
                <w:noProof/>
              </w:rPr>
              <w:t>Article 2 of the Ireland/Northern Ireland Protocol</w:t>
            </w:r>
            <w:r w:rsidR="002C61FC" w:rsidRPr="002C61FC">
              <w:rPr>
                <w:rFonts w:ascii="Verdana" w:hAnsi="Verdana"/>
                <w:noProof/>
                <w:webHidden/>
              </w:rPr>
              <w:tab/>
            </w:r>
            <w:r w:rsidR="002C61FC" w:rsidRPr="002C61FC">
              <w:rPr>
                <w:rFonts w:ascii="Verdana" w:hAnsi="Verdana"/>
                <w:noProof/>
                <w:webHidden/>
              </w:rPr>
              <w:fldChar w:fldCharType="begin"/>
            </w:r>
            <w:r w:rsidR="002C61FC" w:rsidRPr="002C61FC">
              <w:rPr>
                <w:rFonts w:ascii="Verdana" w:hAnsi="Verdana"/>
                <w:noProof/>
                <w:webHidden/>
              </w:rPr>
              <w:instrText xml:space="preserve"> PAGEREF _Toc83662033 \h </w:instrText>
            </w:r>
            <w:r w:rsidR="002C61FC" w:rsidRPr="002C61FC">
              <w:rPr>
                <w:rFonts w:ascii="Verdana" w:hAnsi="Verdana"/>
                <w:noProof/>
                <w:webHidden/>
              </w:rPr>
            </w:r>
            <w:r w:rsidR="002C61FC" w:rsidRPr="002C61FC">
              <w:rPr>
                <w:rFonts w:ascii="Verdana" w:hAnsi="Verdana"/>
                <w:noProof/>
                <w:webHidden/>
              </w:rPr>
              <w:fldChar w:fldCharType="separate"/>
            </w:r>
            <w:r w:rsidR="002C61FC" w:rsidRPr="002C61FC">
              <w:rPr>
                <w:rFonts w:ascii="Verdana" w:hAnsi="Verdana"/>
                <w:noProof/>
                <w:webHidden/>
              </w:rPr>
              <w:t>3</w:t>
            </w:r>
            <w:r w:rsidR="002C61FC" w:rsidRPr="002C61FC">
              <w:rPr>
                <w:rFonts w:ascii="Verdana" w:hAnsi="Verdana"/>
                <w:noProof/>
                <w:webHidden/>
              </w:rPr>
              <w:fldChar w:fldCharType="end"/>
            </w:r>
          </w:hyperlink>
        </w:p>
        <w:p w14:paraId="1403160A" w14:textId="0DB49B44" w:rsidR="002C61FC" w:rsidRPr="002C61FC" w:rsidRDefault="00684AC3">
          <w:pPr>
            <w:pStyle w:val="TOC2"/>
            <w:tabs>
              <w:tab w:val="right" w:leader="dot" w:pos="9848"/>
            </w:tabs>
            <w:rPr>
              <w:rFonts w:ascii="Verdana" w:hAnsi="Verdana"/>
              <w:noProof/>
              <w:sz w:val="22"/>
              <w:szCs w:val="22"/>
              <w:lang w:eastAsia="en-GB"/>
            </w:rPr>
          </w:pPr>
          <w:hyperlink w:anchor="_Toc83662034" w:history="1">
            <w:r w:rsidR="002C61FC" w:rsidRPr="002C61FC">
              <w:rPr>
                <w:rStyle w:val="Hyperlink"/>
                <w:rFonts w:ascii="Verdana" w:hAnsi="Verdana"/>
                <w:noProof/>
              </w:rPr>
              <w:t>Equality Impact Assessment</w:t>
            </w:r>
            <w:r w:rsidR="002C61FC" w:rsidRPr="002C61FC">
              <w:rPr>
                <w:rFonts w:ascii="Verdana" w:hAnsi="Verdana"/>
                <w:noProof/>
                <w:webHidden/>
              </w:rPr>
              <w:tab/>
            </w:r>
            <w:r w:rsidR="002C61FC" w:rsidRPr="002C61FC">
              <w:rPr>
                <w:rFonts w:ascii="Verdana" w:hAnsi="Verdana"/>
                <w:noProof/>
                <w:webHidden/>
              </w:rPr>
              <w:fldChar w:fldCharType="begin"/>
            </w:r>
            <w:r w:rsidR="002C61FC" w:rsidRPr="002C61FC">
              <w:rPr>
                <w:rFonts w:ascii="Verdana" w:hAnsi="Verdana"/>
                <w:noProof/>
                <w:webHidden/>
              </w:rPr>
              <w:instrText xml:space="preserve"> PAGEREF _Toc83662034 \h </w:instrText>
            </w:r>
            <w:r w:rsidR="002C61FC" w:rsidRPr="002C61FC">
              <w:rPr>
                <w:rFonts w:ascii="Verdana" w:hAnsi="Verdana"/>
                <w:noProof/>
                <w:webHidden/>
              </w:rPr>
            </w:r>
            <w:r w:rsidR="002C61FC" w:rsidRPr="002C61FC">
              <w:rPr>
                <w:rFonts w:ascii="Verdana" w:hAnsi="Verdana"/>
                <w:noProof/>
                <w:webHidden/>
              </w:rPr>
              <w:fldChar w:fldCharType="separate"/>
            </w:r>
            <w:r w:rsidR="002C61FC" w:rsidRPr="002C61FC">
              <w:rPr>
                <w:rFonts w:ascii="Verdana" w:hAnsi="Verdana"/>
                <w:noProof/>
                <w:webHidden/>
              </w:rPr>
              <w:t>4</w:t>
            </w:r>
            <w:r w:rsidR="002C61FC" w:rsidRPr="002C61FC">
              <w:rPr>
                <w:rFonts w:ascii="Verdana" w:hAnsi="Verdana"/>
                <w:noProof/>
                <w:webHidden/>
              </w:rPr>
              <w:fldChar w:fldCharType="end"/>
            </w:r>
          </w:hyperlink>
        </w:p>
        <w:p w14:paraId="55713800" w14:textId="2EA064E7" w:rsidR="002C61FC" w:rsidRPr="002C61FC" w:rsidRDefault="00684AC3">
          <w:pPr>
            <w:pStyle w:val="TOC2"/>
            <w:tabs>
              <w:tab w:val="right" w:leader="dot" w:pos="9848"/>
            </w:tabs>
            <w:rPr>
              <w:rFonts w:ascii="Verdana" w:hAnsi="Verdana"/>
              <w:noProof/>
              <w:sz w:val="22"/>
              <w:szCs w:val="22"/>
              <w:lang w:eastAsia="en-GB"/>
            </w:rPr>
          </w:pPr>
          <w:hyperlink w:anchor="_Toc83662035" w:history="1">
            <w:r w:rsidR="002C61FC" w:rsidRPr="002C61FC">
              <w:rPr>
                <w:rStyle w:val="Hyperlink"/>
                <w:rFonts w:ascii="Verdana" w:hAnsi="Verdana"/>
                <w:noProof/>
              </w:rPr>
              <w:t>Impact of the UK’s withdrawal from the EU on women in NI</w:t>
            </w:r>
            <w:r w:rsidR="002C61FC" w:rsidRPr="002C61FC">
              <w:rPr>
                <w:rFonts w:ascii="Verdana" w:hAnsi="Verdana"/>
                <w:noProof/>
                <w:webHidden/>
              </w:rPr>
              <w:tab/>
            </w:r>
            <w:r w:rsidR="002C61FC" w:rsidRPr="002C61FC">
              <w:rPr>
                <w:rFonts w:ascii="Verdana" w:hAnsi="Verdana"/>
                <w:noProof/>
                <w:webHidden/>
              </w:rPr>
              <w:fldChar w:fldCharType="begin"/>
            </w:r>
            <w:r w:rsidR="002C61FC" w:rsidRPr="002C61FC">
              <w:rPr>
                <w:rFonts w:ascii="Verdana" w:hAnsi="Verdana"/>
                <w:noProof/>
                <w:webHidden/>
              </w:rPr>
              <w:instrText xml:space="preserve"> PAGEREF _Toc83662035 \h </w:instrText>
            </w:r>
            <w:r w:rsidR="002C61FC" w:rsidRPr="002C61FC">
              <w:rPr>
                <w:rFonts w:ascii="Verdana" w:hAnsi="Verdana"/>
                <w:noProof/>
                <w:webHidden/>
              </w:rPr>
            </w:r>
            <w:r w:rsidR="002C61FC" w:rsidRPr="002C61FC">
              <w:rPr>
                <w:rFonts w:ascii="Verdana" w:hAnsi="Verdana"/>
                <w:noProof/>
                <w:webHidden/>
              </w:rPr>
              <w:fldChar w:fldCharType="separate"/>
            </w:r>
            <w:r w:rsidR="002C61FC" w:rsidRPr="002C61FC">
              <w:rPr>
                <w:rFonts w:ascii="Verdana" w:hAnsi="Verdana"/>
                <w:noProof/>
                <w:webHidden/>
              </w:rPr>
              <w:t>5</w:t>
            </w:r>
            <w:r w:rsidR="002C61FC" w:rsidRPr="002C61FC">
              <w:rPr>
                <w:rFonts w:ascii="Verdana" w:hAnsi="Verdana"/>
                <w:noProof/>
                <w:webHidden/>
              </w:rPr>
              <w:fldChar w:fldCharType="end"/>
            </w:r>
          </w:hyperlink>
        </w:p>
        <w:p w14:paraId="737E44F1" w14:textId="375947AA" w:rsidR="002C61FC" w:rsidRPr="002C61FC" w:rsidRDefault="00684AC3">
          <w:pPr>
            <w:pStyle w:val="TOC1"/>
            <w:rPr>
              <w:b w:val="0"/>
              <w:sz w:val="22"/>
              <w:szCs w:val="22"/>
              <w:lang w:eastAsia="en-GB"/>
            </w:rPr>
          </w:pPr>
          <w:hyperlink w:anchor="_Toc83662036" w:history="1">
            <w:r w:rsidR="002C61FC" w:rsidRPr="002C61FC">
              <w:rPr>
                <w:rStyle w:val="Hyperlink"/>
              </w:rPr>
              <w:t>4.0</w:t>
            </w:r>
            <w:r w:rsidR="002C61FC" w:rsidRPr="002C61FC">
              <w:rPr>
                <w:b w:val="0"/>
                <w:sz w:val="22"/>
                <w:szCs w:val="22"/>
                <w:lang w:eastAsia="en-GB"/>
              </w:rPr>
              <w:tab/>
            </w:r>
            <w:r w:rsidR="002C61FC" w:rsidRPr="002C61FC">
              <w:rPr>
                <w:rStyle w:val="Hyperlink"/>
              </w:rPr>
              <w:t xml:space="preserve">Recommendation 3: Inclusion of the provisions of the Convention, ECHR and the </w:t>
            </w:r>
            <w:r w:rsidR="002C61FC" w:rsidRPr="002C61FC">
              <w:rPr>
                <w:rStyle w:val="Hyperlink"/>
                <w:i/>
                <w:iCs/>
              </w:rPr>
              <w:t>acquis communautaire</w:t>
            </w:r>
            <w:r w:rsidR="002C61FC" w:rsidRPr="002C61FC">
              <w:rPr>
                <w:rStyle w:val="Hyperlink"/>
              </w:rPr>
              <w:t xml:space="preserve"> in domestic legislation</w:t>
            </w:r>
            <w:r w:rsidR="002C61FC" w:rsidRPr="002C61FC">
              <w:rPr>
                <w:webHidden/>
              </w:rPr>
              <w:tab/>
            </w:r>
            <w:r w:rsidR="002C61FC" w:rsidRPr="002C61FC">
              <w:rPr>
                <w:webHidden/>
              </w:rPr>
              <w:fldChar w:fldCharType="begin"/>
            </w:r>
            <w:r w:rsidR="002C61FC" w:rsidRPr="002C61FC">
              <w:rPr>
                <w:webHidden/>
              </w:rPr>
              <w:instrText xml:space="preserve"> PAGEREF _Toc83662036 \h </w:instrText>
            </w:r>
            <w:r w:rsidR="002C61FC" w:rsidRPr="002C61FC">
              <w:rPr>
                <w:webHidden/>
              </w:rPr>
            </w:r>
            <w:r w:rsidR="002C61FC" w:rsidRPr="002C61FC">
              <w:rPr>
                <w:webHidden/>
              </w:rPr>
              <w:fldChar w:fldCharType="separate"/>
            </w:r>
            <w:r w:rsidR="002C61FC" w:rsidRPr="002C61FC">
              <w:rPr>
                <w:webHidden/>
              </w:rPr>
              <w:t>6</w:t>
            </w:r>
            <w:r w:rsidR="002C61FC" w:rsidRPr="002C61FC">
              <w:rPr>
                <w:webHidden/>
              </w:rPr>
              <w:fldChar w:fldCharType="end"/>
            </w:r>
          </w:hyperlink>
        </w:p>
        <w:p w14:paraId="4E27D5CC" w14:textId="42AF8697" w:rsidR="002C61FC" w:rsidRPr="002C61FC" w:rsidRDefault="00684AC3">
          <w:pPr>
            <w:pStyle w:val="TOC2"/>
            <w:tabs>
              <w:tab w:val="right" w:leader="dot" w:pos="9848"/>
            </w:tabs>
            <w:rPr>
              <w:rFonts w:ascii="Verdana" w:hAnsi="Verdana"/>
              <w:noProof/>
              <w:sz w:val="22"/>
              <w:szCs w:val="22"/>
              <w:lang w:eastAsia="en-GB"/>
            </w:rPr>
          </w:pPr>
          <w:hyperlink w:anchor="_Toc83662037" w:history="1">
            <w:r w:rsidR="002C61FC" w:rsidRPr="002C61FC">
              <w:rPr>
                <w:rStyle w:val="Hyperlink"/>
                <w:rFonts w:ascii="Verdana" w:hAnsi="Verdana"/>
                <w:noProof/>
              </w:rPr>
              <w:t>European Convention on Human Rights and the Human Rights Act 1998</w:t>
            </w:r>
            <w:r w:rsidR="002C61FC" w:rsidRPr="002C61FC">
              <w:rPr>
                <w:rFonts w:ascii="Verdana" w:hAnsi="Verdana"/>
                <w:noProof/>
                <w:webHidden/>
              </w:rPr>
              <w:tab/>
            </w:r>
            <w:r w:rsidR="002C61FC" w:rsidRPr="002C61FC">
              <w:rPr>
                <w:rFonts w:ascii="Verdana" w:hAnsi="Verdana"/>
                <w:noProof/>
                <w:webHidden/>
              </w:rPr>
              <w:fldChar w:fldCharType="begin"/>
            </w:r>
            <w:r w:rsidR="002C61FC" w:rsidRPr="002C61FC">
              <w:rPr>
                <w:rFonts w:ascii="Verdana" w:hAnsi="Verdana"/>
                <w:noProof/>
                <w:webHidden/>
              </w:rPr>
              <w:instrText xml:space="preserve"> PAGEREF _Toc83662037 \h </w:instrText>
            </w:r>
            <w:r w:rsidR="002C61FC" w:rsidRPr="002C61FC">
              <w:rPr>
                <w:rFonts w:ascii="Verdana" w:hAnsi="Verdana"/>
                <w:noProof/>
                <w:webHidden/>
              </w:rPr>
            </w:r>
            <w:r w:rsidR="002C61FC" w:rsidRPr="002C61FC">
              <w:rPr>
                <w:rFonts w:ascii="Verdana" w:hAnsi="Verdana"/>
                <w:noProof/>
                <w:webHidden/>
              </w:rPr>
              <w:fldChar w:fldCharType="separate"/>
            </w:r>
            <w:r w:rsidR="002C61FC" w:rsidRPr="002C61FC">
              <w:rPr>
                <w:rFonts w:ascii="Verdana" w:hAnsi="Verdana"/>
                <w:noProof/>
                <w:webHidden/>
              </w:rPr>
              <w:t>7</w:t>
            </w:r>
            <w:r w:rsidR="002C61FC" w:rsidRPr="002C61FC">
              <w:rPr>
                <w:rFonts w:ascii="Verdana" w:hAnsi="Verdana"/>
                <w:noProof/>
                <w:webHidden/>
              </w:rPr>
              <w:fldChar w:fldCharType="end"/>
            </w:r>
          </w:hyperlink>
        </w:p>
        <w:p w14:paraId="6941E3E0" w14:textId="0A4CC88C" w:rsidR="002C61FC" w:rsidRPr="002C61FC" w:rsidRDefault="00684AC3">
          <w:pPr>
            <w:pStyle w:val="TOC2"/>
            <w:tabs>
              <w:tab w:val="right" w:leader="dot" w:pos="9848"/>
            </w:tabs>
            <w:rPr>
              <w:rFonts w:ascii="Verdana" w:hAnsi="Verdana"/>
              <w:noProof/>
              <w:sz w:val="22"/>
              <w:szCs w:val="22"/>
              <w:lang w:eastAsia="en-GB"/>
            </w:rPr>
          </w:pPr>
          <w:hyperlink w:anchor="_Toc83662038" w:history="1">
            <w:r w:rsidR="002C61FC" w:rsidRPr="002C61FC">
              <w:rPr>
                <w:rStyle w:val="Hyperlink"/>
                <w:rFonts w:ascii="Verdana" w:hAnsi="Verdana"/>
                <w:noProof/>
              </w:rPr>
              <w:t>Retained EU Law</w:t>
            </w:r>
            <w:r w:rsidR="002C61FC" w:rsidRPr="002C61FC">
              <w:rPr>
                <w:rFonts w:ascii="Verdana" w:hAnsi="Verdana"/>
                <w:noProof/>
                <w:webHidden/>
              </w:rPr>
              <w:tab/>
            </w:r>
            <w:r w:rsidR="002C61FC" w:rsidRPr="002C61FC">
              <w:rPr>
                <w:rFonts w:ascii="Verdana" w:hAnsi="Verdana"/>
                <w:noProof/>
                <w:webHidden/>
              </w:rPr>
              <w:fldChar w:fldCharType="begin"/>
            </w:r>
            <w:r w:rsidR="002C61FC" w:rsidRPr="002C61FC">
              <w:rPr>
                <w:rFonts w:ascii="Verdana" w:hAnsi="Verdana"/>
                <w:noProof/>
                <w:webHidden/>
              </w:rPr>
              <w:instrText xml:space="preserve"> PAGEREF _Toc83662038 \h </w:instrText>
            </w:r>
            <w:r w:rsidR="002C61FC" w:rsidRPr="002C61FC">
              <w:rPr>
                <w:rFonts w:ascii="Verdana" w:hAnsi="Verdana"/>
                <w:noProof/>
                <w:webHidden/>
              </w:rPr>
            </w:r>
            <w:r w:rsidR="002C61FC" w:rsidRPr="002C61FC">
              <w:rPr>
                <w:rFonts w:ascii="Verdana" w:hAnsi="Verdana"/>
                <w:noProof/>
                <w:webHidden/>
              </w:rPr>
              <w:fldChar w:fldCharType="separate"/>
            </w:r>
            <w:r w:rsidR="002C61FC" w:rsidRPr="002C61FC">
              <w:rPr>
                <w:rFonts w:ascii="Verdana" w:hAnsi="Verdana"/>
                <w:noProof/>
                <w:webHidden/>
              </w:rPr>
              <w:t>8</w:t>
            </w:r>
            <w:r w:rsidR="002C61FC" w:rsidRPr="002C61FC">
              <w:rPr>
                <w:rFonts w:ascii="Verdana" w:hAnsi="Verdana"/>
                <w:noProof/>
                <w:webHidden/>
              </w:rPr>
              <w:fldChar w:fldCharType="end"/>
            </w:r>
          </w:hyperlink>
        </w:p>
        <w:p w14:paraId="4B9EF839" w14:textId="4A143727" w:rsidR="001259D8" w:rsidRDefault="001259D8" w:rsidP="00AB4FE4">
          <w:pPr>
            <w:spacing w:line="276" w:lineRule="auto"/>
          </w:pPr>
          <w:r w:rsidRPr="001259D8">
            <w:rPr>
              <w:rFonts w:ascii="Verdana" w:hAnsi="Verdana"/>
              <w:b/>
              <w:bCs/>
              <w:noProof/>
            </w:rPr>
            <w:fldChar w:fldCharType="end"/>
          </w:r>
        </w:p>
      </w:sdtContent>
    </w:sdt>
    <w:p w14:paraId="2CA5859D" w14:textId="77777777" w:rsidR="001E79A9" w:rsidRPr="00331C61" w:rsidRDefault="001E79A9" w:rsidP="00AB4FE4">
      <w:pPr>
        <w:pStyle w:val="Default"/>
        <w:spacing w:line="276" w:lineRule="auto"/>
        <w:rPr>
          <w:rFonts w:cs="Arial"/>
          <w:b/>
          <w:color w:val="232120"/>
        </w:rPr>
      </w:pPr>
    </w:p>
    <w:p w14:paraId="6503A8E1" w14:textId="77777777" w:rsidR="00EA12CE" w:rsidRPr="00331C61" w:rsidRDefault="00EA12CE" w:rsidP="00AB4FE4">
      <w:pPr>
        <w:pStyle w:val="Default"/>
        <w:spacing w:line="276" w:lineRule="auto"/>
        <w:rPr>
          <w:rFonts w:cs="Arial"/>
          <w:b/>
          <w:color w:val="232120"/>
        </w:rPr>
      </w:pPr>
    </w:p>
    <w:p w14:paraId="5872BF91" w14:textId="0BB28BE8" w:rsidR="00EA12CE" w:rsidRDefault="00EA12CE" w:rsidP="00AB4FE4">
      <w:pPr>
        <w:pStyle w:val="Default"/>
        <w:spacing w:line="276" w:lineRule="auto"/>
        <w:rPr>
          <w:rFonts w:cs="Arial"/>
          <w:b/>
          <w:color w:val="232120"/>
        </w:rPr>
      </w:pPr>
    </w:p>
    <w:p w14:paraId="5BADEB11" w14:textId="108AB17D" w:rsidR="009A5928" w:rsidRDefault="009A5928" w:rsidP="00AB4FE4">
      <w:pPr>
        <w:pStyle w:val="Default"/>
        <w:spacing w:line="276" w:lineRule="auto"/>
        <w:rPr>
          <w:rFonts w:cs="Arial"/>
          <w:b/>
          <w:color w:val="232120"/>
        </w:rPr>
      </w:pPr>
    </w:p>
    <w:p w14:paraId="33C7D0CB" w14:textId="4B1501C6" w:rsidR="009A5928" w:rsidRDefault="009A5928" w:rsidP="00AB4FE4">
      <w:pPr>
        <w:pStyle w:val="Default"/>
        <w:spacing w:line="276" w:lineRule="auto"/>
        <w:rPr>
          <w:rFonts w:cs="Arial"/>
          <w:b/>
          <w:color w:val="232120"/>
        </w:rPr>
      </w:pPr>
    </w:p>
    <w:p w14:paraId="7FF1F7D2" w14:textId="0D61939D" w:rsidR="009A5928" w:rsidRDefault="009A5928" w:rsidP="00AB4FE4">
      <w:pPr>
        <w:pStyle w:val="Default"/>
        <w:spacing w:line="276" w:lineRule="auto"/>
        <w:rPr>
          <w:rFonts w:cs="Arial"/>
          <w:b/>
          <w:color w:val="232120"/>
        </w:rPr>
      </w:pPr>
    </w:p>
    <w:p w14:paraId="7368ABB3" w14:textId="264D7359" w:rsidR="009A5928" w:rsidRDefault="009A5928" w:rsidP="00AB4FE4">
      <w:pPr>
        <w:pStyle w:val="Default"/>
        <w:spacing w:line="276" w:lineRule="auto"/>
        <w:rPr>
          <w:rFonts w:cs="Arial"/>
          <w:b/>
          <w:color w:val="232120"/>
        </w:rPr>
      </w:pPr>
    </w:p>
    <w:p w14:paraId="044EE03F" w14:textId="26C776C3" w:rsidR="009A5928" w:rsidRDefault="009A5928" w:rsidP="00AB4FE4">
      <w:pPr>
        <w:pStyle w:val="Default"/>
        <w:spacing w:line="276" w:lineRule="auto"/>
        <w:rPr>
          <w:rFonts w:cs="Arial"/>
          <w:b/>
          <w:color w:val="232120"/>
        </w:rPr>
      </w:pPr>
    </w:p>
    <w:p w14:paraId="4D23E5AA" w14:textId="3E5A6C32" w:rsidR="009A5928" w:rsidRDefault="009A5928" w:rsidP="00AB4FE4">
      <w:pPr>
        <w:pStyle w:val="Default"/>
        <w:spacing w:line="276" w:lineRule="auto"/>
        <w:rPr>
          <w:rFonts w:cs="Arial"/>
          <w:b/>
          <w:color w:val="232120"/>
        </w:rPr>
      </w:pPr>
    </w:p>
    <w:p w14:paraId="2DF58DDC" w14:textId="1770F70B" w:rsidR="009A5928" w:rsidRDefault="009A5928" w:rsidP="00AB4FE4">
      <w:pPr>
        <w:pStyle w:val="Default"/>
        <w:spacing w:line="276" w:lineRule="auto"/>
        <w:rPr>
          <w:rFonts w:cs="Arial"/>
          <w:b/>
          <w:color w:val="232120"/>
        </w:rPr>
      </w:pPr>
    </w:p>
    <w:p w14:paraId="63C22A80" w14:textId="2FC6012D" w:rsidR="009A5928" w:rsidRDefault="009A5928" w:rsidP="00AB4FE4">
      <w:pPr>
        <w:pStyle w:val="Default"/>
        <w:spacing w:line="276" w:lineRule="auto"/>
        <w:rPr>
          <w:rFonts w:cs="Arial"/>
          <w:b/>
          <w:color w:val="232120"/>
        </w:rPr>
      </w:pPr>
    </w:p>
    <w:p w14:paraId="5A27E7D9" w14:textId="41AB77C8" w:rsidR="009A5928" w:rsidRDefault="009A5928" w:rsidP="00AB4FE4">
      <w:pPr>
        <w:pStyle w:val="Default"/>
        <w:spacing w:line="276" w:lineRule="auto"/>
        <w:rPr>
          <w:rFonts w:cs="Arial"/>
          <w:b/>
          <w:color w:val="232120"/>
        </w:rPr>
      </w:pPr>
    </w:p>
    <w:p w14:paraId="6A1F0926" w14:textId="77777777" w:rsidR="009A5928" w:rsidRPr="00331C61" w:rsidRDefault="009A5928" w:rsidP="00AB4FE4">
      <w:pPr>
        <w:pStyle w:val="Default"/>
        <w:spacing w:line="276" w:lineRule="auto"/>
        <w:rPr>
          <w:rFonts w:cs="Arial"/>
          <w:b/>
          <w:color w:val="232120"/>
        </w:rPr>
      </w:pPr>
    </w:p>
    <w:p w14:paraId="452BF2DF" w14:textId="77777777" w:rsidR="00EA12CE" w:rsidRPr="00331C61" w:rsidRDefault="00EA12CE" w:rsidP="00AB4FE4">
      <w:pPr>
        <w:pStyle w:val="Default"/>
        <w:spacing w:line="276" w:lineRule="auto"/>
        <w:rPr>
          <w:rFonts w:cs="Arial"/>
          <w:b/>
          <w:color w:val="232120"/>
        </w:rPr>
      </w:pPr>
    </w:p>
    <w:p w14:paraId="42111CA5" w14:textId="77777777" w:rsidR="00EA12CE" w:rsidRPr="00331C61" w:rsidRDefault="00EA12CE" w:rsidP="00AB4FE4">
      <w:pPr>
        <w:pStyle w:val="Default"/>
        <w:spacing w:line="276" w:lineRule="auto"/>
        <w:rPr>
          <w:rFonts w:cs="Arial"/>
          <w:b/>
          <w:color w:val="232120"/>
        </w:rPr>
      </w:pPr>
    </w:p>
    <w:p w14:paraId="2584B24C" w14:textId="77777777" w:rsidR="007569C1" w:rsidRPr="00664B8F" w:rsidRDefault="00ED40E9" w:rsidP="00AB4FE4">
      <w:pPr>
        <w:pStyle w:val="Heading1"/>
        <w:spacing w:before="0" w:line="276" w:lineRule="auto"/>
      </w:pPr>
      <w:bookmarkStart w:id="0" w:name="_Toc83662030"/>
      <w:r w:rsidRPr="00664B8F">
        <w:t>Introduction</w:t>
      </w:r>
      <w:bookmarkEnd w:id="0"/>
    </w:p>
    <w:p w14:paraId="6EB8C49B" w14:textId="77777777" w:rsidR="00764A8B" w:rsidRPr="00764A8B" w:rsidRDefault="00764A8B" w:rsidP="00AB4FE4">
      <w:pPr>
        <w:pStyle w:val="BasicParagraph"/>
        <w:suppressAutoHyphens/>
        <w:spacing w:line="276" w:lineRule="auto"/>
        <w:ind w:left="720"/>
        <w:rPr>
          <w:rFonts w:ascii="Verdana" w:hAnsi="Verdana" w:cs="Arial"/>
          <w:color w:val="77328A"/>
          <w:sz w:val="30"/>
          <w:szCs w:val="30"/>
        </w:rPr>
      </w:pPr>
    </w:p>
    <w:p w14:paraId="415B5496" w14:textId="3F842B32" w:rsidR="00AB4FE4" w:rsidRPr="00AB4FE4" w:rsidRDefault="00764A8B" w:rsidP="00C316B2">
      <w:pPr>
        <w:pStyle w:val="BasicParagraph"/>
        <w:numPr>
          <w:ilvl w:val="1"/>
          <w:numId w:val="2"/>
        </w:numPr>
        <w:suppressAutoHyphens/>
        <w:spacing w:line="276" w:lineRule="auto"/>
        <w:ind w:left="709"/>
        <w:rPr>
          <w:rFonts w:ascii="Verdana" w:hAnsi="Verdana" w:cs="Arial"/>
          <w:color w:val="77328A"/>
          <w:sz w:val="30"/>
          <w:szCs w:val="30"/>
        </w:rPr>
      </w:pPr>
      <w:r w:rsidRPr="00160C37">
        <w:rPr>
          <w:rFonts w:ascii="Verdana" w:hAnsi="Verdana"/>
        </w:rPr>
        <w:t>The Northern Ireland Human Rights Commission (the NIHRC) is one of three A-status National Human Rights Institutions in the United Kingdom (UK). Established in 1999, the NIHRC, pursuant to Section 69(1) the Northern Ireland Act 1998, reviews the adequacy and effectiveness of law and practice relating to the protection of human rights. The NIHRC’s mandate extends to all matters relating to the protection and promotion of human rights in Northern Ireland (NI), within the competence of the NI Assembly and the Westminster Parliament.</w:t>
      </w:r>
      <w:r w:rsidR="00160C37" w:rsidRPr="00160C37">
        <w:rPr>
          <w:rFonts w:ascii="Verdana" w:hAnsi="Verdana"/>
        </w:rPr>
        <w:t xml:space="preserve"> </w:t>
      </w:r>
      <w:r w:rsidR="00160C37" w:rsidRPr="00160C37">
        <w:rPr>
          <w:rFonts w:ascii="Verdana" w:eastAsia="MS Mincho" w:hAnsi="Verdana" w:cs="Arial"/>
          <w:color w:val="auto"/>
        </w:rPr>
        <w:t>The NIHRC, pursuant to section 78</w:t>
      </w:r>
      <w:proofErr w:type="gramStart"/>
      <w:r w:rsidR="00160C37" w:rsidRPr="00160C37">
        <w:rPr>
          <w:rFonts w:ascii="Verdana" w:eastAsia="MS Mincho" w:hAnsi="Verdana" w:cs="Arial"/>
          <w:color w:val="auto"/>
        </w:rPr>
        <w:t>A(</w:t>
      </w:r>
      <w:proofErr w:type="gramEnd"/>
      <w:r w:rsidR="00160C37" w:rsidRPr="00160C37">
        <w:rPr>
          <w:rFonts w:ascii="Verdana" w:eastAsia="MS Mincho" w:hAnsi="Verdana" w:cs="Arial"/>
          <w:color w:val="auto"/>
        </w:rPr>
        <w:t xml:space="preserve">1) of the Northern Ireland Act 1998, </w:t>
      </w:r>
      <w:r w:rsidR="00160C37" w:rsidRPr="00160C37">
        <w:rPr>
          <w:rFonts w:ascii="Verdana" w:hAnsi="Verdana" w:cs="Arial"/>
          <w:color w:val="auto"/>
          <w:shd w:val="clear" w:color="auto" w:fill="FFFFFF"/>
        </w:rPr>
        <w:t xml:space="preserve">must monitor the implementation </w:t>
      </w:r>
      <w:r w:rsidR="00160C37" w:rsidRPr="00160C37">
        <w:rPr>
          <w:rFonts w:ascii="Verdana" w:hAnsi="Verdana" w:cs="Arial"/>
          <w:color w:val="auto"/>
          <w:shd w:val="clear" w:color="auto" w:fill="FFFFFF"/>
        </w:rPr>
        <w:lastRenderedPageBreak/>
        <w:t xml:space="preserve">of Article 2(1) of the Protocol on Ireland/Northern Ireland in the EU </w:t>
      </w:r>
      <w:r w:rsidR="00E21DF3">
        <w:rPr>
          <w:rFonts w:ascii="Verdana" w:hAnsi="Verdana" w:cs="Arial"/>
          <w:color w:val="auto"/>
          <w:shd w:val="clear" w:color="auto" w:fill="FFFFFF"/>
        </w:rPr>
        <w:t>W</w:t>
      </w:r>
      <w:r w:rsidR="00E21DF3" w:rsidRPr="00160C37">
        <w:rPr>
          <w:rFonts w:ascii="Verdana" w:hAnsi="Verdana" w:cs="Arial"/>
          <w:color w:val="auto"/>
          <w:shd w:val="clear" w:color="auto" w:fill="FFFFFF"/>
        </w:rPr>
        <w:t xml:space="preserve">ithdrawal </w:t>
      </w:r>
      <w:r w:rsidR="00E21DF3">
        <w:rPr>
          <w:rFonts w:ascii="Verdana" w:hAnsi="Verdana" w:cs="Arial"/>
          <w:color w:val="auto"/>
          <w:shd w:val="clear" w:color="auto" w:fill="FFFFFF"/>
        </w:rPr>
        <w:t>A</w:t>
      </w:r>
      <w:r w:rsidR="00E21DF3" w:rsidRPr="00160C37">
        <w:rPr>
          <w:rFonts w:ascii="Verdana" w:hAnsi="Verdana" w:cs="Arial"/>
          <w:color w:val="auto"/>
          <w:shd w:val="clear" w:color="auto" w:fill="FFFFFF"/>
        </w:rPr>
        <w:t xml:space="preserve">greement </w:t>
      </w:r>
      <w:r w:rsidR="00160C37" w:rsidRPr="00160C37">
        <w:rPr>
          <w:rFonts w:ascii="Verdana" w:hAnsi="Verdana" w:cs="Arial"/>
          <w:color w:val="auto"/>
          <w:shd w:val="clear" w:color="auto" w:fill="FFFFFF"/>
        </w:rPr>
        <w:t>(rights of individuals).</w:t>
      </w:r>
      <w:r w:rsidRPr="00160C37">
        <w:rPr>
          <w:rFonts w:ascii="Verdana" w:hAnsi="Verdana"/>
          <w:color w:val="auto"/>
        </w:rPr>
        <w:t xml:space="preserve"> </w:t>
      </w:r>
    </w:p>
    <w:p w14:paraId="67C8D615" w14:textId="77777777" w:rsidR="00AB4FE4" w:rsidRPr="00AB4FE4" w:rsidRDefault="00AB4FE4" w:rsidP="00AB4FE4">
      <w:pPr>
        <w:pStyle w:val="BasicParagraph"/>
        <w:suppressAutoHyphens/>
        <w:spacing w:line="276" w:lineRule="auto"/>
        <w:ind w:left="709"/>
        <w:rPr>
          <w:rFonts w:ascii="Verdana" w:hAnsi="Verdana" w:cs="Arial"/>
          <w:color w:val="77328A"/>
          <w:sz w:val="30"/>
          <w:szCs w:val="30"/>
        </w:rPr>
      </w:pPr>
    </w:p>
    <w:p w14:paraId="1EC9CA6F" w14:textId="77777777" w:rsidR="00764A8B" w:rsidRPr="00D725D1" w:rsidRDefault="00764A8B" w:rsidP="00C316B2">
      <w:pPr>
        <w:pStyle w:val="BasicParagraph"/>
        <w:numPr>
          <w:ilvl w:val="1"/>
          <w:numId w:val="2"/>
        </w:numPr>
        <w:suppressAutoHyphens/>
        <w:spacing w:line="276" w:lineRule="auto"/>
        <w:ind w:left="709"/>
        <w:rPr>
          <w:rFonts w:ascii="Verdana" w:hAnsi="Verdana" w:cs="Arial"/>
          <w:color w:val="77328A"/>
          <w:sz w:val="30"/>
          <w:szCs w:val="30"/>
        </w:rPr>
      </w:pPr>
      <w:r w:rsidRPr="00160C37">
        <w:rPr>
          <w:rFonts w:ascii="Verdana" w:hAnsi="Verdana"/>
        </w:rPr>
        <w:t xml:space="preserve">This submission provides a response to the UK Government's follow-up report on the implementation of four recommendations from the UN Committee on the Elimination of Discrimination </w:t>
      </w:r>
      <w:r w:rsidR="007129B4">
        <w:rPr>
          <w:rFonts w:ascii="Verdana" w:hAnsi="Verdana"/>
        </w:rPr>
        <w:t>a</w:t>
      </w:r>
      <w:r w:rsidRPr="00160C37">
        <w:rPr>
          <w:rFonts w:ascii="Verdana" w:hAnsi="Verdana"/>
        </w:rPr>
        <w:t>gainst Women</w:t>
      </w:r>
      <w:r w:rsidR="00D34472">
        <w:rPr>
          <w:rFonts w:ascii="Verdana" w:hAnsi="Verdana"/>
        </w:rPr>
        <w:t xml:space="preserve"> (UN CEDAW Committee)</w:t>
      </w:r>
      <w:r w:rsidRPr="00160C37">
        <w:rPr>
          <w:rFonts w:ascii="Verdana" w:hAnsi="Verdana"/>
        </w:rPr>
        <w:t xml:space="preserve"> in its Concluding Observations on the UK in March 2019.</w:t>
      </w:r>
      <w:r w:rsidR="00160C37">
        <w:rPr>
          <w:rFonts w:ascii="Verdana" w:hAnsi="Verdana"/>
        </w:rPr>
        <w:t xml:space="preserve"> </w:t>
      </w:r>
    </w:p>
    <w:p w14:paraId="2D39772E" w14:textId="4F3180C3" w:rsidR="00AB4FE4" w:rsidRDefault="00AB4FE4" w:rsidP="00AB4FE4">
      <w:pPr>
        <w:pStyle w:val="BasicParagraph"/>
        <w:suppressAutoHyphens/>
        <w:spacing w:line="276" w:lineRule="auto"/>
        <w:ind w:left="709"/>
        <w:rPr>
          <w:rFonts w:ascii="Verdana" w:hAnsi="Verdana" w:cs="Arial"/>
          <w:color w:val="77328A"/>
          <w:sz w:val="30"/>
          <w:szCs w:val="30"/>
        </w:rPr>
      </w:pPr>
    </w:p>
    <w:p w14:paraId="39258904" w14:textId="77777777" w:rsidR="00937406" w:rsidRPr="00160C37" w:rsidRDefault="00937406" w:rsidP="00AB4FE4">
      <w:pPr>
        <w:pStyle w:val="BasicParagraph"/>
        <w:suppressAutoHyphens/>
        <w:spacing w:line="276" w:lineRule="auto"/>
        <w:ind w:left="709"/>
        <w:rPr>
          <w:rFonts w:ascii="Verdana" w:hAnsi="Verdana" w:cs="Arial"/>
          <w:color w:val="77328A"/>
          <w:sz w:val="30"/>
          <w:szCs w:val="30"/>
        </w:rPr>
      </w:pPr>
    </w:p>
    <w:p w14:paraId="109DE207" w14:textId="77777777" w:rsidR="00D725D1" w:rsidRPr="00664B8F" w:rsidRDefault="00160C37" w:rsidP="00AB4FE4">
      <w:pPr>
        <w:pStyle w:val="Heading1"/>
        <w:spacing w:before="0" w:line="276" w:lineRule="auto"/>
        <w:ind w:left="709" w:hanging="709"/>
      </w:pPr>
      <w:bookmarkStart w:id="1" w:name="_Toc83662031"/>
      <w:r w:rsidRPr="00664B8F">
        <w:t>Recommendation 1: Incorporation of the provisions of the Convention into national legislation</w:t>
      </w:r>
      <w:bookmarkEnd w:id="1"/>
    </w:p>
    <w:p w14:paraId="13F4D081" w14:textId="77777777" w:rsidR="00D725D1" w:rsidRDefault="00D725D1" w:rsidP="00AB4FE4">
      <w:pPr>
        <w:pStyle w:val="ListParagraph"/>
        <w:numPr>
          <w:ilvl w:val="0"/>
          <w:numId w:val="0"/>
        </w:numPr>
        <w:spacing w:line="276" w:lineRule="auto"/>
        <w:ind w:left="720"/>
      </w:pPr>
    </w:p>
    <w:p w14:paraId="31EFB3EA" w14:textId="46DAE7EE" w:rsidR="00D725D1" w:rsidRPr="00E432EC" w:rsidRDefault="00D725D1" w:rsidP="00C316B2">
      <w:pPr>
        <w:pStyle w:val="ListParagraph"/>
        <w:numPr>
          <w:ilvl w:val="1"/>
          <w:numId w:val="4"/>
        </w:numPr>
        <w:spacing w:line="276" w:lineRule="auto"/>
        <w:rPr>
          <w:rFonts w:eastAsiaTheme="majorEastAsia" w:cstheme="majorBidi"/>
        </w:rPr>
      </w:pPr>
      <w:r w:rsidRPr="00A83F89">
        <w:t>The NIHRC remains concerned that the UN human rights treaties, including CEDAW have not been incorporated into UK domestic law.</w:t>
      </w:r>
      <w:r w:rsidR="00E432EC">
        <w:t xml:space="preserve"> </w:t>
      </w:r>
      <w:r w:rsidRPr="00A83F89">
        <w:t>The NIHRC recognises the devolved governments of Scotland and Wales are taking steps towards incorporation of the C</w:t>
      </w:r>
      <w:r w:rsidR="00E432EC">
        <w:t>EDAW into domestic legislation.</w:t>
      </w:r>
      <w:r w:rsidR="00E432EC">
        <w:rPr>
          <w:rStyle w:val="FootnoteReference"/>
        </w:rPr>
        <w:footnoteReference w:id="2"/>
      </w:r>
    </w:p>
    <w:p w14:paraId="53D5E3AF" w14:textId="77777777" w:rsidR="00D725D1" w:rsidRPr="00A83F89" w:rsidRDefault="00D725D1" w:rsidP="00AB4FE4">
      <w:pPr>
        <w:pStyle w:val="ListParagraph"/>
        <w:numPr>
          <w:ilvl w:val="0"/>
          <w:numId w:val="0"/>
        </w:numPr>
        <w:spacing w:line="276" w:lineRule="auto"/>
        <w:ind w:left="720"/>
      </w:pPr>
    </w:p>
    <w:p w14:paraId="4F8C9BF2" w14:textId="55C8CEDC" w:rsidR="00D725D1" w:rsidRPr="00E21DF3" w:rsidRDefault="00D725D1" w:rsidP="00C316B2">
      <w:pPr>
        <w:pStyle w:val="ListParagraph"/>
        <w:numPr>
          <w:ilvl w:val="1"/>
          <w:numId w:val="4"/>
        </w:numPr>
        <w:spacing w:line="276" w:lineRule="auto"/>
        <w:rPr>
          <w:spacing w:val="4"/>
          <w:w w:val="103"/>
          <w:kern w:val="14"/>
        </w:rPr>
      </w:pPr>
      <w:r w:rsidRPr="00A83F89">
        <w:t>T</w:t>
      </w:r>
      <w:r w:rsidRPr="00A83F89">
        <w:rPr>
          <w:spacing w:val="4"/>
          <w:w w:val="103"/>
          <w:kern w:val="14"/>
        </w:rPr>
        <w:t xml:space="preserve">he NIHRC continues to call </w:t>
      </w:r>
      <w:r w:rsidR="00AB4FE4">
        <w:rPr>
          <w:spacing w:val="4"/>
          <w:w w:val="103"/>
          <w:kern w:val="14"/>
        </w:rPr>
        <w:t>up</w:t>
      </w:r>
      <w:r w:rsidRPr="00A83F89">
        <w:rPr>
          <w:spacing w:val="4"/>
          <w:w w:val="103"/>
          <w:kern w:val="14"/>
        </w:rPr>
        <w:t xml:space="preserve">on the NI Assembly to </w:t>
      </w:r>
      <w:r w:rsidR="00A83F89" w:rsidRPr="00A83F89">
        <w:rPr>
          <w:spacing w:val="4"/>
          <w:w w:val="103"/>
          <w:kern w:val="14"/>
        </w:rPr>
        <w:t>take steps to embed CEDA</w:t>
      </w:r>
      <w:r w:rsidR="007129B4">
        <w:rPr>
          <w:spacing w:val="4"/>
          <w:w w:val="103"/>
          <w:kern w:val="14"/>
        </w:rPr>
        <w:t>W obligations into domestic law</w:t>
      </w:r>
      <w:r w:rsidR="00A83F89" w:rsidRPr="00A83F89">
        <w:rPr>
          <w:spacing w:val="4"/>
          <w:w w:val="103"/>
          <w:kern w:val="14"/>
        </w:rPr>
        <w:t xml:space="preserve"> and</w:t>
      </w:r>
      <w:r w:rsidR="00E21DF3">
        <w:rPr>
          <w:spacing w:val="4"/>
          <w:w w:val="103"/>
          <w:kern w:val="14"/>
        </w:rPr>
        <w:t xml:space="preserve"> </w:t>
      </w:r>
      <w:r w:rsidR="00A83F89" w:rsidRPr="00E21DF3">
        <w:rPr>
          <w:spacing w:val="4"/>
          <w:w w:val="103"/>
          <w:kern w:val="14"/>
        </w:rPr>
        <w:t>polic</w:t>
      </w:r>
      <w:r w:rsidR="007129B4" w:rsidRPr="00E21DF3">
        <w:rPr>
          <w:spacing w:val="4"/>
          <w:w w:val="103"/>
          <w:kern w:val="14"/>
        </w:rPr>
        <w:t>y</w:t>
      </w:r>
      <w:r w:rsidR="00A83F89" w:rsidRPr="00E21DF3">
        <w:rPr>
          <w:spacing w:val="4"/>
          <w:w w:val="103"/>
          <w:kern w:val="14"/>
        </w:rPr>
        <w:t xml:space="preserve">, particularly </w:t>
      </w:r>
      <w:r w:rsidR="007129B4" w:rsidRPr="00E21DF3">
        <w:rPr>
          <w:spacing w:val="4"/>
          <w:w w:val="103"/>
          <w:kern w:val="14"/>
        </w:rPr>
        <w:t>following the UK withdrawal from the European Union (EU).</w:t>
      </w:r>
      <w:r w:rsidR="00A83F89" w:rsidRPr="00E21DF3">
        <w:rPr>
          <w:spacing w:val="4"/>
          <w:w w:val="103"/>
          <w:kern w:val="14"/>
        </w:rPr>
        <w:t xml:space="preserve"> </w:t>
      </w:r>
    </w:p>
    <w:p w14:paraId="604777EA" w14:textId="77777777" w:rsidR="00160C37" w:rsidRDefault="00160C37" w:rsidP="00AB4FE4">
      <w:pPr>
        <w:spacing w:line="276" w:lineRule="auto"/>
        <w:rPr>
          <w:rFonts w:ascii="Verdana" w:hAnsi="Verdana"/>
        </w:rPr>
      </w:pPr>
    </w:p>
    <w:p w14:paraId="30D04684" w14:textId="7B19DCFC" w:rsidR="006245BB" w:rsidRDefault="006245BB" w:rsidP="00AB4FE4">
      <w:pPr>
        <w:spacing w:line="276" w:lineRule="auto"/>
        <w:rPr>
          <w:rFonts w:ascii="Verdana" w:hAnsi="Verdana"/>
        </w:rPr>
      </w:pPr>
    </w:p>
    <w:p w14:paraId="2A3F9DD8" w14:textId="77777777" w:rsidR="00E3484B" w:rsidRPr="006245BB" w:rsidRDefault="00E3484B" w:rsidP="00AB4FE4">
      <w:pPr>
        <w:spacing w:line="276" w:lineRule="auto"/>
        <w:rPr>
          <w:rFonts w:ascii="Verdana" w:hAnsi="Verdana"/>
        </w:rPr>
      </w:pPr>
    </w:p>
    <w:p w14:paraId="412E0F1E" w14:textId="77777777" w:rsidR="00160C37" w:rsidRPr="00664B8F" w:rsidRDefault="00160C37" w:rsidP="00AB4FE4">
      <w:pPr>
        <w:pStyle w:val="Heading1"/>
        <w:spacing w:before="0" w:line="276" w:lineRule="auto"/>
        <w:ind w:left="709" w:hanging="709"/>
      </w:pPr>
      <w:bookmarkStart w:id="2" w:name="_Toc83662032"/>
      <w:r w:rsidRPr="00664B8F">
        <w:t>Recommendation 2: Impact assessment of EU Exit on rights of women</w:t>
      </w:r>
      <w:bookmarkEnd w:id="2"/>
    </w:p>
    <w:p w14:paraId="1F06D196" w14:textId="77777777" w:rsidR="001259D8" w:rsidRDefault="001259D8" w:rsidP="00AB4FE4">
      <w:pPr>
        <w:spacing w:line="276" w:lineRule="auto"/>
      </w:pPr>
    </w:p>
    <w:p w14:paraId="63A3193E" w14:textId="77777777" w:rsidR="0082134C" w:rsidRDefault="004D0AC8" w:rsidP="00AB4FE4">
      <w:pPr>
        <w:pStyle w:val="Heading2"/>
        <w:spacing w:before="0" w:line="276" w:lineRule="auto"/>
      </w:pPr>
      <w:bookmarkStart w:id="3" w:name="_Toc83662033"/>
      <w:r>
        <w:t>Article 2 of the Ireland/Northern Ireland Protocol</w:t>
      </w:r>
      <w:bookmarkEnd w:id="3"/>
    </w:p>
    <w:p w14:paraId="030C50BE" w14:textId="77777777" w:rsidR="004D0AC8" w:rsidRPr="004D0AC8" w:rsidRDefault="004D0AC8" w:rsidP="00AB4FE4">
      <w:pPr>
        <w:spacing w:line="276" w:lineRule="auto"/>
      </w:pPr>
    </w:p>
    <w:p w14:paraId="0A824E1C" w14:textId="77777777" w:rsidR="004D0AC8" w:rsidRPr="004D0AC8" w:rsidRDefault="004D0AC8" w:rsidP="00C316B2">
      <w:pPr>
        <w:pStyle w:val="ListParagraph"/>
        <w:numPr>
          <w:ilvl w:val="0"/>
          <w:numId w:val="1"/>
        </w:numPr>
        <w:spacing w:line="276" w:lineRule="auto"/>
        <w:rPr>
          <w:rFonts w:cs="Arial"/>
          <w:vanish/>
        </w:rPr>
      </w:pPr>
    </w:p>
    <w:p w14:paraId="43FB4DC8" w14:textId="77777777" w:rsidR="004D0AC8" w:rsidRPr="004D0AC8" w:rsidRDefault="004D0AC8" w:rsidP="00C316B2">
      <w:pPr>
        <w:pStyle w:val="ListParagraph"/>
        <w:numPr>
          <w:ilvl w:val="0"/>
          <w:numId w:val="1"/>
        </w:numPr>
        <w:spacing w:line="276" w:lineRule="auto"/>
        <w:rPr>
          <w:rFonts w:cs="Arial"/>
          <w:vanish/>
        </w:rPr>
      </w:pPr>
    </w:p>
    <w:p w14:paraId="1AE3D8AD" w14:textId="77777777" w:rsidR="004D0AC8" w:rsidRPr="004D0AC8" w:rsidRDefault="004D0AC8" w:rsidP="00C316B2">
      <w:pPr>
        <w:pStyle w:val="ListParagraph"/>
        <w:numPr>
          <w:ilvl w:val="0"/>
          <w:numId w:val="1"/>
        </w:numPr>
        <w:spacing w:line="276" w:lineRule="auto"/>
        <w:rPr>
          <w:rFonts w:cs="Arial"/>
          <w:vanish/>
        </w:rPr>
      </w:pPr>
    </w:p>
    <w:p w14:paraId="31FC2609" w14:textId="6D0C0B8A" w:rsidR="00DE796B" w:rsidRPr="0082134C" w:rsidRDefault="00DE796B" w:rsidP="00C316B2">
      <w:pPr>
        <w:pStyle w:val="ListParagraph"/>
        <w:numPr>
          <w:ilvl w:val="1"/>
          <w:numId w:val="1"/>
        </w:numPr>
        <w:spacing w:line="276" w:lineRule="auto"/>
        <w:ind w:left="709"/>
        <w:rPr>
          <w:b/>
        </w:rPr>
      </w:pPr>
      <w:r w:rsidRPr="2103CBE3">
        <w:rPr>
          <w:rFonts w:cs="Arial"/>
        </w:rPr>
        <w:t xml:space="preserve">Article 2 of the Protocol requires the UK government to ensure no diminution of rights, </w:t>
      </w:r>
      <w:proofErr w:type="gramStart"/>
      <w:r w:rsidRPr="2103CBE3">
        <w:rPr>
          <w:rFonts w:cs="Arial"/>
        </w:rPr>
        <w:t>safeguards</w:t>
      </w:r>
      <w:proofErr w:type="gramEnd"/>
      <w:r w:rsidRPr="2103CBE3">
        <w:rPr>
          <w:rFonts w:cs="Arial"/>
        </w:rPr>
        <w:t xml:space="preserve"> and equality of opportunity, as set out in the </w:t>
      </w:r>
      <w:r w:rsidR="007D5544" w:rsidRPr="2103CBE3">
        <w:rPr>
          <w:rFonts w:cs="Arial"/>
        </w:rPr>
        <w:t xml:space="preserve">Rights, Safeguards and Equality of Opportunity chapter in the </w:t>
      </w:r>
      <w:r w:rsidRPr="2103CBE3">
        <w:rPr>
          <w:rFonts w:cs="Arial"/>
        </w:rPr>
        <w:t xml:space="preserve">Belfast (Good Friday) Agreement 1998, results from the UK’s withdrawal from the EU. </w:t>
      </w:r>
    </w:p>
    <w:p w14:paraId="314C0229" w14:textId="77777777" w:rsidR="00DE796B" w:rsidRPr="001003D1" w:rsidRDefault="00DE796B" w:rsidP="00AB4FE4">
      <w:pPr>
        <w:pStyle w:val="ListParagraph"/>
        <w:numPr>
          <w:ilvl w:val="0"/>
          <w:numId w:val="0"/>
        </w:numPr>
        <w:spacing w:line="276" w:lineRule="auto"/>
        <w:ind w:left="709"/>
        <w:rPr>
          <w:b/>
          <w:color w:val="0070C0"/>
        </w:rPr>
      </w:pPr>
    </w:p>
    <w:p w14:paraId="4BFB9F08" w14:textId="77777777" w:rsidR="00DE796B" w:rsidRPr="002A525C" w:rsidRDefault="00D614E5" w:rsidP="00C316B2">
      <w:pPr>
        <w:pStyle w:val="ListParagraph"/>
        <w:numPr>
          <w:ilvl w:val="1"/>
          <w:numId w:val="1"/>
        </w:numPr>
        <w:spacing w:line="276" w:lineRule="auto"/>
        <w:ind w:left="709"/>
        <w:rPr>
          <w:b/>
        </w:rPr>
      </w:pPr>
      <w:r w:rsidRPr="00286E41">
        <w:rPr>
          <w:rFonts w:cs="Arial"/>
        </w:rPr>
        <w:t xml:space="preserve">Article 2 </w:t>
      </w:r>
      <w:r w:rsidR="00DE796B" w:rsidRPr="00286E41">
        <w:rPr>
          <w:rFonts w:cs="Arial"/>
        </w:rPr>
        <w:t xml:space="preserve">commits the UK government to keep pace with </w:t>
      </w:r>
      <w:r w:rsidR="00980521" w:rsidRPr="00286E41">
        <w:rPr>
          <w:rFonts w:cs="Arial"/>
        </w:rPr>
        <w:t>six</w:t>
      </w:r>
      <w:r w:rsidR="00571C82">
        <w:rPr>
          <w:rFonts w:cs="Arial"/>
        </w:rPr>
        <w:t xml:space="preserve"> </w:t>
      </w:r>
      <w:r w:rsidR="00571C82" w:rsidRPr="00286E41">
        <w:rPr>
          <w:rFonts w:cs="Arial"/>
        </w:rPr>
        <w:t>non-discrimination</w:t>
      </w:r>
      <w:r w:rsidR="00980521" w:rsidRPr="00286E41">
        <w:rPr>
          <w:rFonts w:cs="Arial"/>
        </w:rPr>
        <w:t xml:space="preserve"> EU Directives</w:t>
      </w:r>
      <w:r w:rsidR="00DE796B" w:rsidRPr="00286E41">
        <w:rPr>
          <w:rFonts w:cs="Arial"/>
        </w:rPr>
        <w:t xml:space="preserve"> li</w:t>
      </w:r>
      <w:r w:rsidR="00FE4A41" w:rsidRPr="00286E41">
        <w:rPr>
          <w:rFonts w:cs="Arial"/>
        </w:rPr>
        <w:t>sted in Annex 1 of the Protocol</w:t>
      </w:r>
      <w:r w:rsidR="00E21DF3" w:rsidRPr="00286E41">
        <w:rPr>
          <w:rFonts w:cs="Arial"/>
        </w:rPr>
        <w:t xml:space="preserve"> (Ann</w:t>
      </w:r>
      <w:r w:rsidR="00E21DF3" w:rsidRPr="00AC696F">
        <w:rPr>
          <w:rFonts w:cs="Arial"/>
        </w:rPr>
        <w:t xml:space="preserve">ex 1 </w:t>
      </w:r>
      <w:r w:rsidR="00E21DF3" w:rsidRPr="00AC696F">
        <w:rPr>
          <w:rFonts w:cs="Arial"/>
        </w:rPr>
        <w:lastRenderedPageBreak/>
        <w:t>Directives)</w:t>
      </w:r>
      <w:r w:rsidR="00FE4A41" w:rsidRPr="00AC696F">
        <w:rPr>
          <w:rFonts w:cs="Arial"/>
        </w:rPr>
        <w:t>.</w:t>
      </w:r>
      <w:r w:rsidR="004627A0">
        <w:rPr>
          <w:rStyle w:val="FootnoteReference"/>
          <w:rFonts w:cs="Arial"/>
        </w:rPr>
        <w:footnoteReference w:id="3"/>
      </w:r>
      <w:r w:rsidR="00286E41" w:rsidRPr="00286E41">
        <w:rPr>
          <w:rFonts w:cs="Arial"/>
        </w:rPr>
        <w:t xml:space="preserve"> Therefore, </w:t>
      </w:r>
      <w:r w:rsidR="00DE796B" w:rsidRPr="0082134C">
        <w:rPr>
          <w:rFonts w:cs="Arial"/>
        </w:rPr>
        <w:t>should the EU decide to amend or replace the substantive rights in the Annex 1 Directives to improve the minimum level of protections,</w:t>
      </w:r>
      <w:r w:rsidR="00286E41">
        <w:rPr>
          <w:rFonts w:cs="Arial"/>
        </w:rPr>
        <w:t xml:space="preserve"> legal</w:t>
      </w:r>
      <w:r w:rsidR="00DE796B" w:rsidRPr="0082134C">
        <w:rPr>
          <w:rFonts w:cs="Arial"/>
        </w:rPr>
        <w:t xml:space="preserve"> protections in </w:t>
      </w:r>
      <w:r w:rsidR="007129B4">
        <w:rPr>
          <w:rFonts w:cs="Arial"/>
        </w:rPr>
        <w:t>NI</w:t>
      </w:r>
      <w:r w:rsidR="00DE796B" w:rsidRPr="0082134C">
        <w:rPr>
          <w:rFonts w:cs="Arial"/>
        </w:rPr>
        <w:t xml:space="preserve"> will also be enhanced to reflect these improvements.</w:t>
      </w:r>
      <w:r w:rsidR="00DE796B" w:rsidRPr="0082134C">
        <w:rPr>
          <w:rStyle w:val="FootnoteReference"/>
          <w:rFonts w:cs="Arial"/>
        </w:rPr>
        <w:footnoteReference w:id="4"/>
      </w:r>
    </w:p>
    <w:p w14:paraId="0F10E255" w14:textId="77777777" w:rsidR="002A525C" w:rsidRPr="002A525C" w:rsidRDefault="002A525C" w:rsidP="00AB4FE4">
      <w:pPr>
        <w:pStyle w:val="ListParagraph"/>
        <w:numPr>
          <w:ilvl w:val="0"/>
          <w:numId w:val="0"/>
        </w:numPr>
        <w:spacing w:line="276" w:lineRule="auto"/>
        <w:ind w:left="720"/>
        <w:rPr>
          <w:b/>
        </w:rPr>
      </w:pPr>
    </w:p>
    <w:p w14:paraId="15C783FD" w14:textId="50CD3F8E" w:rsidR="002A525C" w:rsidRPr="002A525C" w:rsidRDefault="002A525C" w:rsidP="00C316B2">
      <w:pPr>
        <w:pStyle w:val="ListParagraph"/>
        <w:numPr>
          <w:ilvl w:val="1"/>
          <w:numId w:val="1"/>
        </w:numPr>
        <w:spacing w:line="276" w:lineRule="auto"/>
        <w:ind w:left="709"/>
        <w:rPr>
          <w:b/>
        </w:rPr>
      </w:pPr>
      <w:r w:rsidRPr="002A525C">
        <w:t xml:space="preserve">There are additional EU </w:t>
      </w:r>
      <w:r w:rsidR="00286E41">
        <w:t>obligations</w:t>
      </w:r>
      <w:r w:rsidRPr="002A525C">
        <w:t xml:space="preserve"> that are relevant to the Rights, Safeguards and Equality of Opportunity chapter of the </w:t>
      </w:r>
      <w:r w:rsidR="00E35F0D" w:rsidRPr="2103CBE3">
        <w:rPr>
          <w:rFonts w:cs="Arial"/>
        </w:rPr>
        <w:t>Belfast (Good Friday) Agreement</w:t>
      </w:r>
      <w:r w:rsidRPr="002A525C">
        <w:t xml:space="preserve">, which is given effect in </w:t>
      </w:r>
      <w:r w:rsidR="007129B4">
        <w:t>NI</w:t>
      </w:r>
      <w:r w:rsidRPr="002A525C">
        <w:t xml:space="preserve"> through retained EU law or domestic provisions. While the UK Government has said that it does not envisage any rollback of these provisions post-Brexit, it acknowledges that these fall within scope of the Government’s no-diminution commitment under </w:t>
      </w:r>
      <w:r w:rsidR="00286E41">
        <w:t>A</w:t>
      </w:r>
      <w:r w:rsidRPr="002A525C">
        <w:t>rticle 2.</w:t>
      </w:r>
      <w:r w:rsidRPr="002A525C">
        <w:rPr>
          <w:rStyle w:val="FootnoteReference"/>
        </w:rPr>
        <w:footnoteReference w:id="5"/>
      </w:r>
      <w:r w:rsidRPr="002A525C">
        <w:t xml:space="preserve"> </w:t>
      </w:r>
      <w:r w:rsidR="003763C9">
        <w:t>T</w:t>
      </w:r>
      <w:r w:rsidR="00D614E5">
        <w:t>here is not the same obligation to keep pace with these provisions of EU law as there is with the Annex 1 Directives, meaning mechanisms to ensure women’s rights in the EU may move beyond these provis</w:t>
      </w:r>
      <w:r w:rsidR="003763C9">
        <w:t>ions and there will be no obligation to mirror this improvement in NI.</w:t>
      </w:r>
      <w:r w:rsidR="003763C9">
        <w:rPr>
          <w:rStyle w:val="FootnoteReference"/>
        </w:rPr>
        <w:footnoteReference w:id="6"/>
      </w:r>
      <w:r w:rsidRPr="002A525C">
        <w:t xml:space="preserve"> </w:t>
      </w:r>
    </w:p>
    <w:p w14:paraId="221F41BA" w14:textId="77777777" w:rsidR="004627A0" w:rsidRPr="004627A0" w:rsidRDefault="004627A0" w:rsidP="00AB4FE4">
      <w:pPr>
        <w:pStyle w:val="ListParagraph"/>
        <w:numPr>
          <w:ilvl w:val="0"/>
          <w:numId w:val="0"/>
        </w:numPr>
        <w:spacing w:line="276" w:lineRule="auto"/>
        <w:ind w:left="720"/>
        <w:rPr>
          <w:b/>
        </w:rPr>
      </w:pPr>
    </w:p>
    <w:p w14:paraId="2429349E" w14:textId="77777777" w:rsidR="00650E5E" w:rsidRPr="00650E5E" w:rsidRDefault="000E7451" w:rsidP="00C316B2">
      <w:pPr>
        <w:pStyle w:val="ListParagraph"/>
        <w:numPr>
          <w:ilvl w:val="1"/>
          <w:numId w:val="1"/>
        </w:numPr>
        <w:spacing w:line="276" w:lineRule="auto"/>
        <w:ind w:left="709"/>
        <w:rPr>
          <w:b/>
        </w:rPr>
      </w:pPr>
      <w:r w:rsidRPr="2103CBE3">
        <w:t>The</w:t>
      </w:r>
      <w:r w:rsidR="00650E5E" w:rsidRPr="2103CBE3">
        <w:t xml:space="preserve"> NIHRC, along with the Equality Commission for Northern Ireland (ECNI), </w:t>
      </w:r>
      <w:r w:rsidR="00E21DF3" w:rsidRPr="2103CBE3">
        <w:t>ha</w:t>
      </w:r>
      <w:r w:rsidR="00E21DF3">
        <w:t>s</w:t>
      </w:r>
      <w:r w:rsidR="00E21DF3" w:rsidRPr="2103CBE3">
        <w:t xml:space="preserve"> </w:t>
      </w:r>
      <w:r w:rsidR="00650E5E" w:rsidRPr="2103CBE3">
        <w:t>been given a new mandate under the</w:t>
      </w:r>
      <w:r w:rsidRPr="2103CBE3">
        <w:t xml:space="preserve"> EU (Withdrawal</w:t>
      </w:r>
      <w:r w:rsidR="00650E5E" w:rsidRPr="2103CBE3">
        <w:t xml:space="preserve"> Agreement) Act </w:t>
      </w:r>
      <w:r w:rsidRPr="2103CBE3">
        <w:t>2020</w:t>
      </w:r>
      <w:r w:rsidR="00650E5E" w:rsidRPr="2103CBE3">
        <w:t>. T</w:t>
      </w:r>
      <w:r w:rsidR="009462A1">
        <w:t xml:space="preserve">he </w:t>
      </w:r>
      <w:r w:rsidR="00E21DF3">
        <w:t xml:space="preserve">NIHRC </w:t>
      </w:r>
      <w:r w:rsidR="009462A1">
        <w:t>welcomes t</w:t>
      </w:r>
      <w:r w:rsidR="00650E5E" w:rsidRPr="2103CBE3">
        <w:t>his new</w:t>
      </w:r>
      <w:r w:rsidR="00D614E5">
        <w:t xml:space="preserve"> mandate</w:t>
      </w:r>
      <w:r w:rsidR="009462A1">
        <w:t>, which</w:t>
      </w:r>
      <w:r w:rsidR="00D614E5">
        <w:t xml:space="preserve"> grants </w:t>
      </w:r>
      <w:r w:rsidR="009462A1">
        <w:t>both</w:t>
      </w:r>
      <w:r w:rsidR="00D614E5">
        <w:t xml:space="preserve"> Commissions</w:t>
      </w:r>
      <w:r w:rsidR="00650E5E" w:rsidRPr="2103CBE3">
        <w:t xml:space="preserve"> new powers to monitor, advise, report on, promote and enforce the implementation of </w:t>
      </w:r>
      <w:r w:rsidR="000A7B23">
        <w:t>A</w:t>
      </w:r>
      <w:r w:rsidR="00650E5E" w:rsidRPr="2103CBE3">
        <w:t xml:space="preserve">rticle 2 of the protocol as part of its </w:t>
      </w:r>
      <w:r w:rsidR="00AB4FE4">
        <w:t>‘</w:t>
      </w:r>
      <w:r w:rsidR="00650E5E" w:rsidRPr="2103CBE3">
        <w:t>dedicated mechanism</w:t>
      </w:r>
      <w:r w:rsidR="00AB4FE4">
        <w:t>’</w:t>
      </w:r>
      <w:r w:rsidR="00650E5E" w:rsidRPr="2103CBE3">
        <w:t xml:space="preserve"> framework.</w:t>
      </w:r>
    </w:p>
    <w:p w14:paraId="5BD46624" w14:textId="77777777" w:rsidR="00650E5E" w:rsidRPr="00922F0E" w:rsidRDefault="00650E5E" w:rsidP="00AB4FE4">
      <w:pPr>
        <w:spacing w:line="276" w:lineRule="auto"/>
        <w:rPr>
          <w:b/>
        </w:rPr>
      </w:pPr>
    </w:p>
    <w:p w14:paraId="7E5F5D9F" w14:textId="77777777" w:rsidR="00650E5E" w:rsidRPr="00650E5E" w:rsidRDefault="00650E5E" w:rsidP="00AB4FE4">
      <w:pPr>
        <w:pStyle w:val="Heading2"/>
        <w:spacing w:before="0" w:line="276" w:lineRule="auto"/>
      </w:pPr>
      <w:bookmarkStart w:id="4" w:name="_Toc83662034"/>
      <w:r>
        <w:t>Equality Impact Assessment</w:t>
      </w:r>
      <w:bookmarkEnd w:id="4"/>
    </w:p>
    <w:p w14:paraId="2B97A834" w14:textId="77777777" w:rsidR="00650E5E" w:rsidRPr="00650E5E" w:rsidRDefault="00650E5E" w:rsidP="00AB4FE4">
      <w:pPr>
        <w:pStyle w:val="ListParagraph"/>
        <w:numPr>
          <w:ilvl w:val="0"/>
          <w:numId w:val="0"/>
        </w:numPr>
        <w:spacing w:line="276" w:lineRule="auto"/>
        <w:ind w:left="720"/>
        <w:rPr>
          <w:b/>
        </w:rPr>
      </w:pPr>
    </w:p>
    <w:p w14:paraId="741CAE13" w14:textId="77777777" w:rsidR="009860F9" w:rsidRPr="007144B6" w:rsidRDefault="00650E5E" w:rsidP="00C316B2">
      <w:pPr>
        <w:pStyle w:val="ListParagraph"/>
        <w:numPr>
          <w:ilvl w:val="1"/>
          <w:numId w:val="1"/>
        </w:numPr>
        <w:spacing w:line="276" w:lineRule="auto"/>
        <w:ind w:left="709"/>
        <w:rPr>
          <w:b/>
        </w:rPr>
      </w:pPr>
      <w:r>
        <w:t xml:space="preserve">The </w:t>
      </w:r>
      <w:r w:rsidR="007129B4">
        <w:t xml:space="preserve">NIHRC </w:t>
      </w:r>
      <w:r>
        <w:t xml:space="preserve">notes that the </w:t>
      </w:r>
      <w:r w:rsidR="009860F9">
        <w:t>equalities</w:t>
      </w:r>
      <w:r w:rsidR="00AD282A">
        <w:t xml:space="preserve"> assessment referenced in the UK Government’s follow up repo</w:t>
      </w:r>
      <w:r w:rsidR="00D34472">
        <w:t xml:space="preserve">rt </w:t>
      </w:r>
      <w:r w:rsidR="009860F9">
        <w:t xml:space="preserve">provides </w:t>
      </w:r>
      <w:r w:rsidR="001B3079">
        <w:t xml:space="preserve">impact </w:t>
      </w:r>
      <w:r w:rsidR="009860F9">
        <w:t xml:space="preserve">analysis </w:t>
      </w:r>
      <w:r w:rsidR="001B3079">
        <w:t xml:space="preserve">on legislation </w:t>
      </w:r>
      <w:r w:rsidR="009860F9">
        <w:t>from</w:t>
      </w:r>
      <w:r w:rsidR="00D34472">
        <w:t xml:space="preserve"> 2017</w:t>
      </w:r>
      <w:r w:rsidR="001B3079">
        <w:t>.</w:t>
      </w:r>
      <w:r w:rsidR="001B3079" w:rsidRPr="001B3079">
        <w:t xml:space="preserve"> </w:t>
      </w:r>
      <w:r w:rsidR="001B3079">
        <w:t xml:space="preserve">The impact analysis refers to the European Union (Withdrawal) Act </w:t>
      </w:r>
      <w:r w:rsidR="009462A1">
        <w:t>introduced under</w:t>
      </w:r>
      <w:r w:rsidR="001B3079">
        <w:t xml:space="preserve"> </w:t>
      </w:r>
      <w:r w:rsidR="009462A1">
        <w:t>the former</w:t>
      </w:r>
      <w:r w:rsidR="001B3079">
        <w:t xml:space="preserve"> government, while the more recent EU </w:t>
      </w:r>
      <w:r w:rsidR="001B3079">
        <w:lastRenderedPageBreak/>
        <w:t>(Withdrawal Agreement) Bill, introduced to Parliament in 2019, was not accompanied by an equality impact assessment.</w:t>
      </w:r>
      <w:r w:rsidR="00D34472">
        <w:rPr>
          <w:rStyle w:val="FootnoteReference"/>
        </w:rPr>
        <w:footnoteReference w:id="7"/>
      </w:r>
      <w:r w:rsidR="00D34472">
        <w:t xml:space="preserve"> </w:t>
      </w:r>
    </w:p>
    <w:p w14:paraId="0B4F1148" w14:textId="77777777" w:rsidR="007144B6" w:rsidRPr="009860F9" w:rsidRDefault="007144B6" w:rsidP="00AB4FE4">
      <w:pPr>
        <w:pStyle w:val="ListParagraph"/>
        <w:numPr>
          <w:ilvl w:val="0"/>
          <w:numId w:val="0"/>
        </w:numPr>
        <w:spacing w:line="276" w:lineRule="auto"/>
        <w:ind w:left="709"/>
        <w:rPr>
          <w:b/>
        </w:rPr>
      </w:pPr>
    </w:p>
    <w:p w14:paraId="7356ACBA" w14:textId="77777777" w:rsidR="00650E5E" w:rsidRPr="00D34472" w:rsidRDefault="00D34472" w:rsidP="00C316B2">
      <w:pPr>
        <w:pStyle w:val="ListParagraph"/>
        <w:numPr>
          <w:ilvl w:val="1"/>
          <w:numId w:val="1"/>
        </w:numPr>
        <w:spacing w:line="276" w:lineRule="auto"/>
        <w:ind w:left="709"/>
        <w:rPr>
          <w:b/>
        </w:rPr>
      </w:pPr>
      <w:r>
        <w:t xml:space="preserve">The </w:t>
      </w:r>
      <w:r w:rsidR="00A81F79">
        <w:t>equalities</w:t>
      </w:r>
      <w:r>
        <w:t xml:space="preserve"> assessment does not consider the specific impact of the UK’s exit from the EU on women in devolved nations, including </w:t>
      </w:r>
      <w:r w:rsidR="00A81F79">
        <w:t>NI</w:t>
      </w:r>
      <w:r>
        <w:t xml:space="preserve"> per the UN CEDAW Committee’s recommendation.</w:t>
      </w:r>
      <w:r w:rsidR="00F53B81">
        <w:t xml:space="preserve"> The devolved administration i</w:t>
      </w:r>
      <w:r w:rsidR="009860F9">
        <w:t xml:space="preserve">n Scotland carried out its own </w:t>
      </w:r>
      <w:r w:rsidR="007144B6">
        <w:t xml:space="preserve">social and </w:t>
      </w:r>
      <w:r w:rsidR="009860F9">
        <w:t>equality i</w:t>
      </w:r>
      <w:r w:rsidR="00F53B81">
        <w:t>mpact</w:t>
      </w:r>
      <w:r w:rsidR="009860F9">
        <w:t xml:space="preserve"> assessment </w:t>
      </w:r>
      <w:r w:rsidR="007144B6">
        <w:t xml:space="preserve">of the UK’s withdrawal from the EU, </w:t>
      </w:r>
      <w:r w:rsidR="001B3079">
        <w:t>identifying</w:t>
      </w:r>
      <w:r w:rsidR="009860F9">
        <w:t xml:space="preserve"> that the State’s equalities assessment did not differentiate im</w:t>
      </w:r>
      <w:r w:rsidR="007144B6">
        <w:t>pacts on a group-by-group basis.</w:t>
      </w:r>
      <w:r w:rsidR="007144B6">
        <w:rPr>
          <w:rStyle w:val="FootnoteReference"/>
        </w:rPr>
        <w:footnoteReference w:id="8"/>
      </w:r>
    </w:p>
    <w:p w14:paraId="5F2D56E7" w14:textId="77777777" w:rsidR="00D34472" w:rsidRPr="00D34472" w:rsidRDefault="00D34472" w:rsidP="00AB4FE4">
      <w:pPr>
        <w:pStyle w:val="ListParagraph"/>
        <w:numPr>
          <w:ilvl w:val="0"/>
          <w:numId w:val="0"/>
        </w:numPr>
        <w:spacing w:line="276" w:lineRule="auto"/>
        <w:ind w:left="709"/>
        <w:rPr>
          <w:b/>
        </w:rPr>
      </w:pPr>
    </w:p>
    <w:p w14:paraId="696BB528" w14:textId="77777777" w:rsidR="00A81F79" w:rsidRPr="007129B4" w:rsidRDefault="00A81F79" w:rsidP="00C316B2">
      <w:pPr>
        <w:pStyle w:val="ListParagraph"/>
        <w:numPr>
          <w:ilvl w:val="1"/>
          <w:numId w:val="1"/>
        </w:numPr>
        <w:spacing w:line="276" w:lineRule="auto"/>
        <w:ind w:left="709"/>
        <w:rPr>
          <w:b/>
        </w:rPr>
      </w:pPr>
      <w:r w:rsidRPr="2103CBE3">
        <w:t xml:space="preserve">The follow-up report by the UK Government references the equality protections under the Equality Act 2010. The </w:t>
      </w:r>
      <w:r w:rsidR="007129B4">
        <w:t>NIHRC</w:t>
      </w:r>
      <w:r w:rsidR="007129B4" w:rsidRPr="2103CBE3">
        <w:t xml:space="preserve"> </w:t>
      </w:r>
      <w:r w:rsidRPr="2103CBE3">
        <w:t xml:space="preserve">notes that the Equality Act 2010 does not have jurisdiction in NI. </w:t>
      </w:r>
      <w:r w:rsidR="002E22FD">
        <w:t>Unlike the rest of the UK, there is no single legislative instrument to consolidate, clarify and enhance existing equality protections in NI. In NI, discrimination is prohibited by a complex framework of laws and regulations.</w:t>
      </w:r>
      <w:r w:rsidR="002E22FD">
        <w:rPr>
          <w:rStyle w:val="FootnoteReference"/>
        </w:rPr>
        <w:footnoteReference w:id="9"/>
      </w:r>
      <w:r w:rsidRPr="2103CBE3">
        <w:t xml:space="preserve"> </w:t>
      </w:r>
    </w:p>
    <w:p w14:paraId="6411A62E" w14:textId="77777777" w:rsidR="007144B6" w:rsidRDefault="007144B6" w:rsidP="00AB4FE4">
      <w:pPr>
        <w:spacing w:line="276" w:lineRule="auto"/>
        <w:rPr>
          <w:rFonts w:ascii="Verdana" w:hAnsi="Verdana"/>
          <w:b/>
        </w:rPr>
      </w:pPr>
    </w:p>
    <w:p w14:paraId="14212D12" w14:textId="77777777" w:rsidR="007144B6" w:rsidRDefault="007144B6" w:rsidP="00AB4FE4">
      <w:pPr>
        <w:pStyle w:val="Heading2"/>
        <w:spacing w:before="0" w:line="276" w:lineRule="auto"/>
      </w:pPr>
      <w:bookmarkStart w:id="5" w:name="_Toc83662035"/>
      <w:r>
        <w:t>Impact of the UK’s withdrawal from the EU on women in NI</w:t>
      </w:r>
      <w:bookmarkEnd w:id="5"/>
    </w:p>
    <w:p w14:paraId="57CAD6C4" w14:textId="77777777" w:rsidR="007144B6" w:rsidRPr="007144B6" w:rsidRDefault="007144B6" w:rsidP="00AB4FE4">
      <w:pPr>
        <w:spacing w:line="276" w:lineRule="auto"/>
      </w:pPr>
    </w:p>
    <w:p w14:paraId="1B9E0522" w14:textId="77777777" w:rsidR="007144B6" w:rsidRPr="00417108" w:rsidRDefault="00E428E9" w:rsidP="00C316B2">
      <w:pPr>
        <w:pStyle w:val="ListParagraph"/>
        <w:numPr>
          <w:ilvl w:val="1"/>
          <w:numId w:val="1"/>
        </w:numPr>
        <w:spacing w:line="276" w:lineRule="auto"/>
        <w:ind w:left="709"/>
        <w:rPr>
          <w:b/>
        </w:rPr>
      </w:pPr>
      <w:r>
        <w:t>Civil society organisations</w:t>
      </w:r>
      <w:r w:rsidR="0092225C">
        <w:t xml:space="preserve"> in NI have identified </w:t>
      </w:r>
      <w:proofErr w:type="gramStart"/>
      <w:r w:rsidR="0092225C">
        <w:t>a number of</w:t>
      </w:r>
      <w:proofErr w:type="gramEnd"/>
      <w:r w:rsidR="0092225C">
        <w:t xml:space="preserve"> key concerns regarding the impact of leaving the EU on women. </w:t>
      </w:r>
      <w:r w:rsidR="00F4215E">
        <w:t xml:space="preserve">One issue they have raised is the loss of funding from the European Social Fund. The Fund would have provided resources for a number “wrap-around services” </w:t>
      </w:r>
      <w:r w:rsidR="00417108">
        <w:t xml:space="preserve">which benefit women, </w:t>
      </w:r>
      <w:r w:rsidR="00F4215E">
        <w:t>including childcare</w:t>
      </w:r>
      <w:r w:rsidR="00417108">
        <w:t xml:space="preserve"> provision</w:t>
      </w:r>
      <w:r w:rsidR="00F4215E">
        <w:t>.</w:t>
      </w:r>
      <w:r w:rsidR="00F4215E">
        <w:rPr>
          <w:rStyle w:val="FootnoteReference"/>
        </w:rPr>
        <w:footnoteReference w:id="10"/>
      </w:r>
      <w:r w:rsidR="00F4215E">
        <w:t xml:space="preserve"> Post-Brexit, the UK has sought to replace the European Social Fund with the UK Shared Prosperity Fund (UKSPF). While </w:t>
      </w:r>
      <w:r w:rsidR="00716EE9">
        <w:t xml:space="preserve">money from </w:t>
      </w:r>
      <w:r w:rsidR="00F4215E">
        <w:t xml:space="preserve">the European Social Fund was </w:t>
      </w:r>
      <w:r w:rsidR="00716EE9">
        <w:t>sent to devolved administrations who then determined how it wa</w:t>
      </w:r>
      <w:r w:rsidR="00417108">
        <w:t>s allocated, the UKSPF will operate</w:t>
      </w:r>
      <w:r w:rsidR="00716EE9">
        <w:t xml:space="preserve"> through a single UK-wide framework, with little input from devolved administrations.</w:t>
      </w:r>
      <w:r w:rsidR="00716EE9">
        <w:rPr>
          <w:rStyle w:val="FootnoteReference"/>
        </w:rPr>
        <w:footnoteReference w:id="11"/>
      </w:r>
    </w:p>
    <w:p w14:paraId="18379A5C" w14:textId="77777777" w:rsidR="00417108" w:rsidRPr="00417108" w:rsidRDefault="00417108" w:rsidP="00AB4FE4">
      <w:pPr>
        <w:pStyle w:val="ListParagraph"/>
        <w:numPr>
          <w:ilvl w:val="0"/>
          <w:numId w:val="0"/>
        </w:numPr>
        <w:spacing w:line="276" w:lineRule="auto"/>
        <w:ind w:left="709"/>
        <w:rPr>
          <w:b/>
        </w:rPr>
      </w:pPr>
    </w:p>
    <w:p w14:paraId="282966F5" w14:textId="49335193" w:rsidR="006235CE" w:rsidRPr="00C93584" w:rsidRDefault="0076735B" w:rsidP="00C316B2">
      <w:pPr>
        <w:pStyle w:val="ListParagraph"/>
        <w:numPr>
          <w:ilvl w:val="1"/>
          <w:numId w:val="1"/>
        </w:numPr>
        <w:suppressAutoHyphens/>
        <w:spacing w:line="276" w:lineRule="auto"/>
        <w:ind w:left="709"/>
        <w:rPr>
          <w:rFonts w:cs="Arial"/>
          <w:b/>
          <w:color w:val="77328A"/>
          <w:sz w:val="30"/>
          <w:szCs w:val="30"/>
        </w:rPr>
      </w:pPr>
      <w:r>
        <w:t xml:space="preserve">Civil society </w:t>
      </w:r>
      <w:r w:rsidR="00AD535A">
        <w:t xml:space="preserve">organisations </w:t>
      </w:r>
      <w:r w:rsidR="00E54F0F" w:rsidRPr="00F93B16">
        <w:t xml:space="preserve">have expressed concern for gender equality now that the UK has withdrawn from the EU Charter of </w:t>
      </w:r>
      <w:r w:rsidR="006235CE" w:rsidRPr="00F93B16">
        <w:t>Fundamental</w:t>
      </w:r>
      <w:r w:rsidR="00E54F0F" w:rsidRPr="00F93B16">
        <w:t xml:space="preserve"> Rights and </w:t>
      </w:r>
      <w:r w:rsidR="00E54F0F" w:rsidRPr="00F93B16">
        <w:lastRenderedPageBreak/>
        <w:t>the European Union Court of Justice</w:t>
      </w:r>
      <w:r w:rsidR="006235CE" w:rsidRPr="00F93B16">
        <w:t>.</w:t>
      </w:r>
      <w:r w:rsidR="00C93584">
        <w:rPr>
          <w:rStyle w:val="FootnoteReference"/>
        </w:rPr>
        <w:footnoteReference w:id="12"/>
      </w:r>
      <w:r w:rsidR="006235CE" w:rsidRPr="00F93B16">
        <w:t xml:space="preserve"> They note that both have been instrumental in “driving forward domestic legislation in the UK to a more substantive application of equality and human rights for women”.</w:t>
      </w:r>
      <w:r w:rsidR="006235CE">
        <w:rPr>
          <w:rStyle w:val="FootnoteReference"/>
        </w:rPr>
        <w:footnoteReference w:id="13"/>
      </w:r>
      <w:r w:rsidR="006235CE" w:rsidRPr="00F93B16">
        <w:t xml:space="preserve"> Additionally, the sector has noted that, while the gender equality framework under </w:t>
      </w:r>
      <w:r w:rsidR="00AD535A">
        <w:t>A</w:t>
      </w:r>
      <w:r w:rsidR="006235CE" w:rsidRPr="00F93B16">
        <w:t xml:space="preserve">rticle 2 </w:t>
      </w:r>
      <w:r w:rsidR="00AD535A">
        <w:t xml:space="preserve">of the Protocol </w:t>
      </w:r>
      <w:r w:rsidR="006235CE" w:rsidRPr="00F93B16">
        <w:t xml:space="preserve">provides a floor of protection, there are additional EU protections that have not been guaranteed under </w:t>
      </w:r>
      <w:r w:rsidR="001253FB">
        <w:t>A</w:t>
      </w:r>
      <w:r w:rsidR="006235CE" w:rsidRPr="00F93B16">
        <w:t>rticle 2 that would have benefited women in NI such as the Work-Life Balance Directive.</w:t>
      </w:r>
      <w:r w:rsidR="006235CE">
        <w:rPr>
          <w:rStyle w:val="FootnoteReference"/>
        </w:rPr>
        <w:footnoteReference w:id="14"/>
      </w:r>
      <w:r w:rsidR="00ED1716" w:rsidRPr="00F93B16">
        <w:t xml:space="preserve"> The </w:t>
      </w:r>
      <w:r w:rsidR="007129B4">
        <w:t>NIHRC</w:t>
      </w:r>
      <w:r w:rsidR="007129B4" w:rsidRPr="00F93B16">
        <w:t xml:space="preserve"> </w:t>
      </w:r>
      <w:r w:rsidR="00ED1716" w:rsidRPr="00F93B16">
        <w:t>notes that</w:t>
      </w:r>
      <w:r w:rsidR="00F93B16">
        <w:t xml:space="preserve"> </w:t>
      </w:r>
      <w:r w:rsidR="00ED1716" w:rsidRPr="00F93B16">
        <w:t xml:space="preserve">the UK Government has </w:t>
      </w:r>
      <w:r w:rsidR="001253FB">
        <w:t xml:space="preserve">accepted that </w:t>
      </w:r>
      <w:r w:rsidR="00F93B16">
        <w:t xml:space="preserve">EU </w:t>
      </w:r>
      <w:r w:rsidR="001253FB">
        <w:t xml:space="preserve">obligations </w:t>
      </w:r>
      <w:r w:rsidR="00F93B16">
        <w:t xml:space="preserve">in </w:t>
      </w:r>
      <w:r w:rsidR="001253FB">
        <w:t xml:space="preserve">effect </w:t>
      </w:r>
      <w:r w:rsidR="00F93B16">
        <w:t xml:space="preserve">on 31 December 2020, </w:t>
      </w:r>
      <w:r w:rsidR="001253FB">
        <w:t>which</w:t>
      </w:r>
      <w:r w:rsidR="00AC696F">
        <w:t xml:space="preserve"> </w:t>
      </w:r>
      <w:r w:rsidR="001253FB">
        <w:t xml:space="preserve">underpin </w:t>
      </w:r>
      <w:r w:rsidR="00F93B16">
        <w:t xml:space="preserve">the rights, safeguards and equality of opportunity section of the </w:t>
      </w:r>
      <w:r w:rsidR="00E35F0D" w:rsidRPr="2103CBE3">
        <w:rPr>
          <w:rFonts w:cs="Arial"/>
        </w:rPr>
        <w:t>Belfast (Good Friday) Agreement</w:t>
      </w:r>
      <w:r w:rsidR="00F93B16">
        <w:t xml:space="preserve">, fall under the no-diminution commitment in </w:t>
      </w:r>
      <w:r w:rsidR="001253FB">
        <w:t>A</w:t>
      </w:r>
      <w:r w:rsidR="00F93B16">
        <w:t xml:space="preserve">rticle 2 of the </w:t>
      </w:r>
      <w:r w:rsidR="001253FB">
        <w:t>P</w:t>
      </w:r>
      <w:r w:rsidR="00F93B16">
        <w:t>rotocol.</w:t>
      </w:r>
      <w:r w:rsidR="00F93B16">
        <w:rPr>
          <w:rStyle w:val="FootnoteReference"/>
        </w:rPr>
        <w:footnoteReference w:id="15"/>
      </w:r>
    </w:p>
    <w:p w14:paraId="575F8CEF" w14:textId="77777777" w:rsidR="00F93B16" w:rsidRPr="004D12A2" w:rsidRDefault="00F93B16" w:rsidP="00AB4FE4">
      <w:pPr>
        <w:suppressAutoHyphens/>
        <w:spacing w:line="276" w:lineRule="auto"/>
        <w:rPr>
          <w:rFonts w:cs="Arial"/>
          <w:b/>
          <w:color w:val="77328A"/>
          <w:sz w:val="30"/>
          <w:szCs w:val="30"/>
        </w:rPr>
      </w:pPr>
    </w:p>
    <w:p w14:paraId="07AE950E" w14:textId="439878D2" w:rsidR="006235CE" w:rsidRPr="00C93584" w:rsidRDefault="00ED7878" w:rsidP="00C316B2">
      <w:pPr>
        <w:pStyle w:val="ListParagraph"/>
        <w:numPr>
          <w:ilvl w:val="1"/>
          <w:numId w:val="1"/>
        </w:numPr>
        <w:suppressAutoHyphens/>
        <w:spacing w:line="276" w:lineRule="auto"/>
        <w:ind w:left="709"/>
        <w:rPr>
          <w:rFonts w:cs="Arial"/>
          <w:b/>
          <w:color w:val="77328A"/>
          <w:sz w:val="30"/>
          <w:szCs w:val="30"/>
        </w:rPr>
      </w:pPr>
      <w:r>
        <w:rPr>
          <w:rFonts w:cs="Arial"/>
        </w:rPr>
        <w:t>Civil society organisations in England</w:t>
      </w:r>
      <w:r w:rsidR="006235CE">
        <w:rPr>
          <w:rFonts w:cs="Arial"/>
        </w:rPr>
        <w:t xml:space="preserve"> have identified specific concerns around the impact of the EU Settlement Scheme on migrant women experie</w:t>
      </w:r>
      <w:r w:rsidR="00C93584">
        <w:rPr>
          <w:rFonts w:cs="Arial"/>
        </w:rPr>
        <w:t>ncing domestic abuse</w:t>
      </w:r>
      <w:r w:rsidR="00A36D5D">
        <w:rPr>
          <w:rFonts w:cs="Arial"/>
        </w:rPr>
        <w:t xml:space="preserve">, which has exacerbated existing </w:t>
      </w:r>
      <w:r w:rsidR="006235CE">
        <w:rPr>
          <w:rFonts w:cs="Arial"/>
        </w:rPr>
        <w:t>barriers to accessing support services</w:t>
      </w:r>
      <w:r w:rsidR="00ED1716">
        <w:rPr>
          <w:rFonts w:cs="Arial"/>
        </w:rPr>
        <w:t xml:space="preserve"> </w:t>
      </w:r>
      <w:r w:rsidR="00A36D5D">
        <w:rPr>
          <w:rFonts w:cs="Arial"/>
        </w:rPr>
        <w:t xml:space="preserve">and </w:t>
      </w:r>
      <w:r w:rsidR="00140C54">
        <w:rPr>
          <w:rFonts w:cs="Arial"/>
        </w:rPr>
        <w:t xml:space="preserve">rendered </w:t>
      </w:r>
      <w:r w:rsidR="00ED1716">
        <w:rPr>
          <w:rFonts w:cs="Arial"/>
        </w:rPr>
        <w:t xml:space="preserve">some women unable to access </w:t>
      </w:r>
      <w:r w:rsidR="001B3079">
        <w:rPr>
          <w:rFonts w:cs="Arial"/>
        </w:rPr>
        <w:t xml:space="preserve">the </w:t>
      </w:r>
      <w:r w:rsidR="00ED1716">
        <w:rPr>
          <w:rFonts w:cs="Arial"/>
        </w:rPr>
        <w:t>necessary documentation</w:t>
      </w:r>
      <w:r w:rsidR="001B3079">
        <w:rPr>
          <w:rFonts w:cs="Arial"/>
        </w:rPr>
        <w:t xml:space="preserve"> to apply</w:t>
      </w:r>
      <w:r w:rsidR="00ED1716">
        <w:rPr>
          <w:rFonts w:cs="Arial"/>
        </w:rPr>
        <w:t>.</w:t>
      </w:r>
      <w:r w:rsidR="00ED1716">
        <w:rPr>
          <w:rStyle w:val="FootnoteReference"/>
          <w:rFonts w:cs="Arial"/>
        </w:rPr>
        <w:footnoteReference w:id="16"/>
      </w:r>
      <w:r w:rsidR="00ED1716">
        <w:rPr>
          <w:rFonts w:cs="Arial"/>
        </w:rPr>
        <w:t xml:space="preserve"> </w:t>
      </w:r>
      <w:r w:rsidR="00140C54">
        <w:rPr>
          <w:rFonts w:cs="Arial"/>
        </w:rPr>
        <w:t xml:space="preserve">The NIHRC is concerned that given the difficulties faced by migrant woman experiencing domestic abuse that </w:t>
      </w:r>
      <w:r w:rsidR="00F524B4">
        <w:rPr>
          <w:rFonts w:cs="Arial"/>
        </w:rPr>
        <w:t xml:space="preserve">similar unrecorded issues may be faced by migrant women in NI. </w:t>
      </w:r>
    </w:p>
    <w:p w14:paraId="4F98E099" w14:textId="77777777" w:rsidR="00C93584" w:rsidRPr="00C93584" w:rsidRDefault="00C93584" w:rsidP="00AB4FE4">
      <w:pPr>
        <w:pStyle w:val="ListParagraph"/>
        <w:numPr>
          <w:ilvl w:val="0"/>
          <w:numId w:val="0"/>
        </w:numPr>
        <w:spacing w:line="276" w:lineRule="auto"/>
        <w:ind w:left="720"/>
        <w:rPr>
          <w:rFonts w:cs="Arial"/>
          <w:b/>
          <w:color w:val="77328A"/>
          <w:sz w:val="30"/>
          <w:szCs w:val="30"/>
        </w:rPr>
      </w:pPr>
    </w:p>
    <w:p w14:paraId="36ED355C" w14:textId="77777777" w:rsidR="00C93584" w:rsidRPr="00C93584" w:rsidRDefault="00C93584" w:rsidP="00C316B2">
      <w:pPr>
        <w:pStyle w:val="ListParagraph"/>
        <w:numPr>
          <w:ilvl w:val="1"/>
          <w:numId w:val="1"/>
        </w:numPr>
        <w:spacing w:line="276" w:lineRule="auto"/>
        <w:ind w:left="709"/>
        <w:rPr>
          <w:b/>
        </w:rPr>
      </w:pPr>
      <w:r>
        <w:rPr>
          <w:b/>
        </w:rPr>
        <w:t>The Committee may wish to recommend that the UK Government provide additional information on the impact of the withdrawal of the UK from the E</w:t>
      </w:r>
      <w:r w:rsidR="003A621C">
        <w:rPr>
          <w:b/>
        </w:rPr>
        <w:t>U on women, including women in</w:t>
      </w:r>
      <w:r>
        <w:rPr>
          <w:b/>
        </w:rPr>
        <w:t xml:space="preserve"> NI.</w:t>
      </w:r>
    </w:p>
    <w:p w14:paraId="4524D3DA" w14:textId="77777777" w:rsidR="00ED1716" w:rsidRPr="00ED1716" w:rsidRDefault="00ED1716" w:rsidP="00AB4FE4">
      <w:pPr>
        <w:suppressAutoHyphens/>
        <w:spacing w:line="276" w:lineRule="auto"/>
        <w:rPr>
          <w:rFonts w:ascii="Verdana" w:hAnsi="Verdana" w:cs="Arial"/>
          <w:b/>
          <w:color w:val="77328A"/>
          <w:sz w:val="30"/>
          <w:szCs w:val="30"/>
        </w:rPr>
      </w:pPr>
    </w:p>
    <w:p w14:paraId="30E02C56" w14:textId="77777777" w:rsidR="00F23617" w:rsidRPr="00664B8F" w:rsidRDefault="00F23617" w:rsidP="00AB4FE4">
      <w:pPr>
        <w:pStyle w:val="Heading1"/>
        <w:spacing w:before="0" w:line="276" w:lineRule="auto"/>
        <w:ind w:left="709" w:hanging="709"/>
      </w:pPr>
      <w:bookmarkStart w:id="6" w:name="_Toc83662036"/>
      <w:r w:rsidRPr="00664B8F">
        <w:t xml:space="preserve">Recommendation 3: Inclusion of the provisions of the Convention, </w:t>
      </w:r>
      <w:proofErr w:type="gramStart"/>
      <w:r w:rsidRPr="00664B8F">
        <w:t>ECHR</w:t>
      </w:r>
      <w:proofErr w:type="gramEnd"/>
      <w:r w:rsidRPr="00664B8F">
        <w:t xml:space="preserve"> and the </w:t>
      </w:r>
      <w:r w:rsidRPr="00664B8F">
        <w:rPr>
          <w:i/>
          <w:iCs/>
        </w:rPr>
        <w:t xml:space="preserve">acquis </w:t>
      </w:r>
      <w:proofErr w:type="spellStart"/>
      <w:r w:rsidRPr="00664B8F">
        <w:rPr>
          <w:i/>
          <w:iCs/>
        </w:rPr>
        <w:t>communautaire</w:t>
      </w:r>
      <w:proofErr w:type="spellEnd"/>
      <w:r w:rsidRPr="00664B8F">
        <w:t xml:space="preserve"> in domestic legislation</w:t>
      </w:r>
      <w:bookmarkEnd w:id="6"/>
    </w:p>
    <w:p w14:paraId="2311A66D" w14:textId="77777777" w:rsidR="006560D8" w:rsidRDefault="006560D8" w:rsidP="00AB4FE4">
      <w:pPr>
        <w:spacing w:line="276" w:lineRule="auto"/>
      </w:pPr>
    </w:p>
    <w:p w14:paraId="772A6C80" w14:textId="77777777" w:rsidR="004D0AC8" w:rsidRPr="004D0AC8" w:rsidRDefault="004D0AC8" w:rsidP="00C316B2">
      <w:pPr>
        <w:pStyle w:val="ListParagraph"/>
        <w:numPr>
          <w:ilvl w:val="0"/>
          <w:numId w:val="3"/>
        </w:numPr>
        <w:spacing w:line="276" w:lineRule="auto"/>
        <w:rPr>
          <w:vanish/>
        </w:rPr>
      </w:pPr>
    </w:p>
    <w:p w14:paraId="31916097" w14:textId="77777777" w:rsidR="004D0AC8" w:rsidRPr="004D0AC8" w:rsidRDefault="004D0AC8" w:rsidP="00C316B2">
      <w:pPr>
        <w:pStyle w:val="ListParagraph"/>
        <w:numPr>
          <w:ilvl w:val="0"/>
          <w:numId w:val="3"/>
        </w:numPr>
        <w:spacing w:line="276" w:lineRule="auto"/>
        <w:rPr>
          <w:vanish/>
        </w:rPr>
      </w:pPr>
    </w:p>
    <w:p w14:paraId="31333E86" w14:textId="77777777" w:rsidR="004D0AC8" w:rsidRPr="004D0AC8" w:rsidRDefault="004D0AC8" w:rsidP="00C316B2">
      <w:pPr>
        <w:pStyle w:val="ListParagraph"/>
        <w:numPr>
          <w:ilvl w:val="0"/>
          <w:numId w:val="3"/>
        </w:numPr>
        <w:spacing w:line="276" w:lineRule="auto"/>
        <w:rPr>
          <w:vanish/>
        </w:rPr>
      </w:pPr>
    </w:p>
    <w:p w14:paraId="15F260F7" w14:textId="26304320" w:rsidR="004D0AC8" w:rsidRDefault="004D0AC8" w:rsidP="00C316B2">
      <w:pPr>
        <w:pStyle w:val="ListParagraph"/>
        <w:numPr>
          <w:ilvl w:val="1"/>
          <w:numId w:val="3"/>
        </w:numPr>
        <w:spacing w:line="276" w:lineRule="auto"/>
        <w:ind w:left="709"/>
      </w:pPr>
      <w:r>
        <w:t xml:space="preserve">While the UK ratified the CEDAW in 1986, it </w:t>
      </w:r>
      <w:r w:rsidR="00E3484B">
        <w:t xml:space="preserve">is not incorporated </w:t>
      </w:r>
      <w:r>
        <w:t>into domestic law</w:t>
      </w:r>
      <w:r w:rsidR="00E3484B">
        <w:t>,</w:t>
      </w:r>
      <w:r>
        <w:t xml:space="preserve"> and has not indicated that it intends to do so.</w:t>
      </w:r>
    </w:p>
    <w:p w14:paraId="0E7EA5BF" w14:textId="77777777" w:rsidR="004D12A2" w:rsidRDefault="004D12A2" w:rsidP="00AB4FE4">
      <w:pPr>
        <w:pStyle w:val="ListParagraph"/>
        <w:numPr>
          <w:ilvl w:val="0"/>
          <w:numId w:val="0"/>
        </w:numPr>
        <w:spacing w:line="276" w:lineRule="auto"/>
        <w:ind w:left="709"/>
      </w:pPr>
    </w:p>
    <w:p w14:paraId="2BA944D7" w14:textId="702C4C08" w:rsidR="004D12A2" w:rsidRDefault="002058B0" w:rsidP="00C316B2">
      <w:pPr>
        <w:pStyle w:val="ListParagraph"/>
        <w:numPr>
          <w:ilvl w:val="1"/>
          <w:numId w:val="3"/>
        </w:numPr>
        <w:spacing w:line="276" w:lineRule="auto"/>
        <w:ind w:left="709"/>
      </w:pPr>
      <w:r>
        <w:lastRenderedPageBreak/>
        <w:t xml:space="preserve">In a response to a </w:t>
      </w:r>
      <w:r w:rsidR="0084446B">
        <w:t xml:space="preserve">recent </w:t>
      </w:r>
      <w:r>
        <w:t xml:space="preserve">consultation on a Bill of Rights for </w:t>
      </w:r>
      <w:r w:rsidR="007129B4">
        <w:t>NI</w:t>
      </w:r>
      <w:r>
        <w:rPr>
          <w:rStyle w:val="FootnoteReference"/>
        </w:rPr>
        <w:footnoteReference w:id="17"/>
      </w:r>
      <w:r w:rsidR="0084446B">
        <w:t xml:space="preserve"> conducted by a committee of the NI Assembly</w:t>
      </w:r>
      <w:r>
        <w:t xml:space="preserve">, the </w:t>
      </w:r>
      <w:r w:rsidR="007129B4">
        <w:t xml:space="preserve">NIHRC </w:t>
      </w:r>
      <w:r w:rsidR="0084446B">
        <w:t xml:space="preserve">recommended </w:t>
      </w:r>
      <w:r>
        <w:t xml:space="preserve">that a Bill of Rights should further entrench protections that largely exist in domestic law to reflect </w:t>
      </w:r>
      <w:r w:rsidR="0084446B">
        <w:t xml:space="preserve">the UK’s </w:t>
      </w:r>
      <w:r>
        <w:t>international human rights obligations.</w:t>
      </w:r>
      <w:r>
        <w:rPr>
          <w:rStyle w:val="FootnoteReference"/>
        </w:rPr>
        <w:footnoteReference w:id="18"/>
      </w:r>
    </w:p>
    <w:p w14:paraId="17C2A547" w14:textId="77777777" w:rsidR="004D0AC8" w:rsidRDefault="004D0AC8" w:rsidP="00AB4FE4">
      <w:pPr>
        <w:spacing w:line="276" w:lineRule="auto"/>
        <w:rPr>
          <w:rFonts w:ascii="Verdana" w:hAnsi="Verdana"/>
        </w:rPr>
      </w:pPr>
    </w:p>
    <w:p w14:paraId="214B5EF9" w14:textId="77777777" w:rsidR="004D0AC8" w:rsidRDefault="004D0AC8" w:rsidP="00AB4FE4">
      <w:pPr>
        <w:pStyle w:val="Heading2"/>
        <w:spacing w:before="0" w:line="276" w:lineRule="auto"/>
      </w:pPr>
      <w:r w:rsidRPr="004D0AC8">
        <w:t xml:space="preserve"> </w:t>
      </w:r>
      <w:bookmarkStart w:id="7" w:name="_Toc83662037"/>
      <w:r>
        <w:t>European Convention on Human Rights and the Human Rights Act 1998</w:t>
      </w:r>
      <w:bookmarkEnd w:id="7"/>
    </w:p>
    <w:p w14:paraId="6387498D" w14:textId="77777777" w:rsidR="00CD065A" w:rsidRDefault="00CD065A" w:rsidP="00AB4FE4">
      <w:pPr>
        <w:spacing w:line="276" w:lineRule="auto"/>
      </w:pPr>
    </w:p>
    <w:p w14:paraId="581D90EB" w14:textId="77777777" w:rsidR="006560D8" w:rsidRDefault="00CD065A" w:rsidP="00C316B2">
      <w:pPr>
        <w:pStyle w:val="ListParagraph"/>
        <w:numPr>
          <w:ilvl w:val="1"/>
          <w:numId w:val="3"/>
        </w:numPr>
        <w:spacing w:line="276" w:lineRule="auto"/>
        <w:ind w:left="709"/>
      </w:pPr>
      <w:r>
        <w:t>In its follow-up report, the UK Government references its Independent Human Rights Act</w:t>
      </w:r>
      <w:r w:rsidR="00C07B09">
        <w:t xml:space="preserve"> Review</w:t>
      </w:r>
      <w:r>
        <w:t xml:space="preserve"> (</w:t>
      </w:r>
      <w:r w:rsidR="00C07B09">
        <w:t>IHRAR</w:t>
      </w:r>
      <w:r>
        <w:t>)</w:t>
      </w:r>
      <w:r w:rsidR="006560D8">
        <w:t xml:space="preserve">. </w:t>
      </w:r>
      <w:r w:rsidR="0072199A" w:rsidRPr="006560D8">
        <w:t xml:space="preserve">The Terms of Reference </w:t>
      </w:r>
      <w:r w:rsidR="00FF4838">
        <w:t xml:space="preserve">for the </w:t>
      </w:r>
      <w:r w:rsidR="006A2AA0">
        <w:t xml:space="preserve">IHRAR </w:t>
      </w:r>
      <w:r w:rsidR="00FF4838">
        <w:t xml:space="preserve">identified </w:t>
      </w:r>
      <w:r w:rsidR="0072199A" w:rsidRPr="006560D8">
        <w:t xml:space="preserve">that the Review would not look at the content of the </w:t>
      </w:r>
      <w:proofErr w:type="gramStart"/>
      <w:r w:rsidR="0072199A" w:rsidRPr="006560D8">
        <w:t>rights, but</w:t>
      </w:r>
      <w:proofErr w:type="gramEnd"/>
      <w:r w:rsidR="0072199A" w:rsidRPr="006560D8">
        <w:t xml:space="preserve"> would consider </w:t>
      </w:r>
      <w:r w:rsidR="00C07B09">
        <w:t xml:space="preserve">the </w:t>
      </w:r>
      <w:r w:rsidR="0072199A" w:rsidRPr="006560D8">
        <w:t>operational mechanisms</w:t>
      </w:r>
      <w:r w:rsidR="00C07B09">
        <w:t xml:space="preserve"> of the Human Rights Act 1998</w:t>
      </w:r>
      <w:r w:rsidR="005D4E82">
        <w:t xml:space="preserve"> (HRA)</w:t>
      </w:r>
      <w:r w:rsidR="009F5C02">
        <w:t>.</w:t>
      </w:r>
      <w:r w:rsidR="009F5C02">
        <w:rPr>
          <w:rStyle w:val="FootnoteReference"/>
        </w:rPr>
        <w:footnoteReference w:id="19"/>
      </w:r>
    </w:p>
    <w:p w14:paraId="014D7A64" w14:textId="77777777" w:rsidR="00FF4838" w:rsidRPr="00FF4838" w:rsidRDefault="00FF4838" w:rsidP="00AB4FE4">
      <w:pPr>
        <w:pStyle w:val="ListParagraph"/>
        <w:numPr>
          <w:ilvl w:val="0"/>
          <w:numId w:val="0"/>
        </w:numPr>
        <w:spacing w:line="276" w:lineRule="auto"/>
        <w:ind w:left="720"/>
      </w:pPr>
    </w:p>
    <w:p w14:paraId="145CFAD7" w14:textId="70157348" w:rsidR="007129B4" w:rsidRDefault="00FF4838" w:rsidP="00C316B2">
      <w:pPr>
        <w:pStyle w:val="ListParagraph"/>
        <w:numPr>
          <w:ilvl w:val="1"/>
          <w:numId w:val="3"/>
        </w:numPr>
        <w:spacing w:line="276" w:lineRule="auto"/>
        <w:ind w:left="709"/>
      </w:pPr>
      <w:r>
        <w:t xml:space="preserve">The </w:t>
      </w:r>
      <w:r w:rsidR="001272AF">
        <w:t xml:space="preserve">NIHRC </w:t>
      </w:r>
      <w:r>
        <w:t xml:space="preserve">responded to the </w:t>
      </w:r>
      <w:r w:rsidR="005D4E82">
        <w:t>IHRAR</w:t>
      </w:r>
      <w:r>
        <w:t xml:space="preserve"> Call for Evidence</w:t>
      </w:r>
      <w:r w:rsidR="00782294">
        <w:rPr>
          <w:rStyle w:val="FootnoteReference"/>
        </w:rPr>
        <w:footnoteReference w:id="20"/>
      </w:r>
      <w:r>
        <w:t xml:space="preserve"> identifying </w:t>
      </w:r>
      <w:r w:rsidR="000F5E48">
        <w:t xml:space="preserve">the </w:t>
      </w:r>
      <w:r w:rsidR="00615F3B">
        <w:t xml:space="preserve">incorporation of the ECHR as a key commitment in the </w:t>
      </w:r>
      <w:r w:rsidR="0084446B">
        <w:t xml:space="preserve">Belfast (Good Friday) Agreement </w:t>
      </w:r>
      <w:r w:rsidR="00615F3B">
        <w:t>which recognised the centrality of rights</w:t>
      </w:r>
      <w:r w:rsidR="006A2AA0">
        <w:t>, which was incorporated through the HRA and NI Act 1998</w:t>
      </w:r>
      <w:r w:rsidR="000F5E48">
        <w:t>.</w:t>
      </w:r>
      <w:r w:rsidR="000F5E48">
        <w:rPr>
          <w:rStyle w:val="FootnoteReference"/>
        </w:rPr>
        <w:footnoteReference w:id="21"/>
      </w:r>
      <w:r w:rsidR="000F5E48">
        <w:t xml:space="preserve"> </w:t>
      </w:r>
      <w:r w:rsidR="00DA033E">
        <w:t>T</w:t>
      </w:r>
      <w:r w:rsidR="002A525C">
        <w:t xml:space="preserve">he continuing centrality of human rights protections through the </w:t>
      </w:r>
      <w:r w:rsidR="0084446B">
        <w:t xml:space="preserve">Belfast (Good Friday) Agreement </w:t>
      </w:r>
      <w:r w:rsidR="00B62176">
        <w:t>is</w:t>
      </w:r>
      <w:r w:rsidR="00123BE6">
        <w:t xml:space="preserve"> evidenced through the UK Government’s commitment to no-diminution of rights </w:t>
      </w:r>
      <w:r w:rsidR="00004F8B">
        <w:t xml:space="preserve">in Article </w:t>
      </w:r>
      <w:r w:rsidR="00123BE6">
        <w:t xml:space="preserve">2 of the </w:t>
      </w:r>
      <w:r w:rsidR="0084446B">
        <w:t xml:space="preserve">Ireland/Northern Ireland </w:t>
      </w:r>
      <w:r w:rsidR="00004F8B">
        <w:t>Protocol</w:t>
      </w:r>
      <w:r w:rsidR="0084446B">
        <w:t xml:space="preserve"> in the EU-UK Withdrawal Agreement 2020</w:t>
      </w:r>
      <w:r w:rsidR="00123BE6">
        <w:t xml:space="preserve">. The </w:t>
      </w:r>
      <w:r w:rsidR="00EF2164">
        <w:t xml:space="preserve">NIHRC </w:t>
      </w:r>
      <w:r w:rsidR="00123BE6">
        <w:t xml:space="preserve">cautioned against any </w:t>
      </w:r>
      <w:r w:rsidR="000F5E48">
        <w:t xml:space="preserve">changes to the operation of the HRA which could diminish human rights protections in NI, including </w:t>
      </w:r>
      <w:r w:rsidR="00123BE6">
        <w:t>inhibit</w:t>
      </w:r>
      <w:r w:rsidR="000F5E48">
        <w:t>ing</w:t>
      </w:r>
      <w:r w:rsidR="00123BE6">
        <w:t xml:space="preserve"> access to remedies for ECHR violations.</w:t>
      </w:r>
      <w:r w:rsidR="00123BE6">
        <w:rPr>
          <w:rStyle w:val="FootnoteReference"/>
        </w:rPr>
        <w:footnoteReference w:id="22"/>
      </w:r>
    </w:p>
    <w:p w14:paraId="4E0FB989" w14:textId="77777777" w:rsidR="007129B4" w:rsidRPr="001272AF" w:rsidRDefault="007129B4" w:rsidP="00AB4FE4">
      <w:pPr>
        <w:pStyle w:val="ListParagraph"/>
        <w:numPr>
          <w:ilvl w:val="0"/>
          <w:numId w:val="0"/>
        </w:numPr>
        <w:spacing w:line="276" w:lineRule="auto"/>
        <w:ind w:left="709"/>
      </w:pPr>
    </w:p>
    <w:p w14:paraId="4C4DA149" w14:textId="77777777" w:rsidR="00922F0E" w:rsidRDefault="00922F0E" w:rsidP="00C316B2">
      <w:pPr>
        <w:pStyle w:val="ListParagraph"/>
        <w:numPr>
          <w:ilvl w:val="1"/>
          <w:numId w:val="3"/>
        </w:numPr>
        <w:spacing w:line="276" w:lineRule="auto"/>
        <w:ind w:left="709"/>
      </w:pPr>
      <w:r>
        <w:rPr>
          <w:b/>
        </w:rPr>
        <w:t xml:space="preserve">The Committee may wish to request additional information from the UK government regarding the impact any potential changes to the operational mechanisms of the HRA will </w:t>
      </w:r>
      <w:r w:rsidR="00EF2164">
        <w:rPr>
          <w:b/>
        </w:rPr>
        <w:t xml:space="preserve">have </w:t>
      </w:r>
      <w:r>
        <w:rPr>
          <w:b/>
        </w:rPr>
        <w:t>on women, including women in NI.</w:t>
      </w:r>
    </w:p>
    <w:p w14:paraId="59314DE0" w14:textId="77777777" w:rsidR="00B62176" w:rsidRDefault="00B62176" w:rsidP="00AB4FE4">
      <w:pPr>
        <w:spacing w:line="276" w:lineRule="auto"/>
      </w:pPr>
    </w:p>
    <w:p w14:paraId="53857AD7" w14:textId="77777777" w:rsidR="00B62176" w:rsidRDefault="00B62176" w:rsidP="00AB4FE4">
      <w:pPr>
        <w:pStyle w:val="Heading2"/>
        <w:spacing w:before="0" w:line="276" w:lineRule="auto"/>
      </w:pPr>
      <w:bookmarkStart w:id="8" w:name="_Toc83662038"/>
      <w:r>
        <w:lastRenderedPageBreak/>
        <w:t>Retained EU Law</w:t>
      </w:r>
      <w:bookmarkEnd w:id="8"/>
    </w:p>
    <w:p w14:paraId="42C67C99" w14:textId="77777777" w:rsidR="00B62176" w:rsidRDefault="00B62176" w:rsidP="00AB4FE4">
      <w:pPr>
        <w:spacing w:line="276" w:lineRule="auto"/>
      </w:pPr>
    </w:p>
    <w:p w14:paraId="53A6C209" w14:textId="77777777" w:rsidR="00B62176" w:rsidRDefault="00B62176" w:rsidP="00C316B2">
      <w:pPr>
        <w:pStyle w:val="ListParagraph"/>
        <w:numPr>
          <w:ilvl w:val="1"/>
          <w:numId w:val="3"/>
        </w:numPr>
        <w:spacing w:line="276" w:lineRule="auto"/>
        <w:ind w:left="709"/>
      </w:pPr>
      <w:r>
        <w:t xml:space="preserve">The UK has not retained the entirety of the acquis </w:t>
      </w:r>
      <w:proofErr w:type="spellStart"/>
      <w:r>
        <w:t>communautaire</w:t>
      </w:r>
      <w:proofErr w:type="spellEnd"/>
      <w:r>
        <w:t xml:space="preserve"> in its domestic legislation after its exit from the EU.</w:t>
      </w:r>
      <w:r>
        <w:rPr>
          <w:rStyle w:val="FootnoteReference"/>
        </w:rPr>
        <w:footnoteReference w:id="23"/>
      </w:r>
      <w:r>
        <w:t xml:space="preserve"> However, as the UK Government’s follow-up report identifies, some EU law in place on exit day has been retained in UK law.</w:t>
      </w:r>
      <w:r>
        <w:rPr>
          <w:rStyle w:val="FootnoteReference"/>
        </w:rPr>
        <w:footnoteReference w:id="24"/>
      </w:r>
      <w:r w:rsidR="00EC6942">
        <w:t xml:space="preserve"> This EU law provides a baseline of rights</w:t>
      </w:r>
      <w:r w:rsidR="00D22BDB">
        <w:t>, however,</w:t>
      </w:r>
      <w:r w:rsidR="00EC6942">
        <w:t xml:space="preserve"> it will not develop beyond this baseline, as it will in the EU. This is evident with the new EU Directive on Work-Life Balance</w:t>
      </w:r>
      <w:r w:rsidR="006F1D6E">
        <w:t>,</w:t>
      </w:r>
      <w:r w:rsidR="00EC6942">
        <w:t xml:space="preserve"> which repeals the Parental Leave Directive.</w:t>
      </w:r>
      <w:r w:rsidR="00EC6942">
        <w:rPr>
          <w:rStyle w:val="FootnoteReference"/>
        </w:rPr>
        <w:footnoteReference w:id="25"/>
      </w:r>
    </w:p>
    <w:p w14:paraId="3F6EC5E9" w14:textId="77777777" w:rsidR="00EC6942" w:rsidRDefault="00EC6942" w:rsidP="00AB4FE4">
      <w:pPr>
        <w:pStyle w:val="ListParagraph"/>
        <w:numPr>
          <w:ilvl w:val="0"/>
          <w:numId w:val="0"/>
        </w:numPr>
        <w:spacing w:line="276" w:lineRule="auto"/>
        <w:ind w:left="709"/>
      </w:pPr>
    </w:p>
    <w:p w14:paraId="17AB520A" w14:textId="77777777" w:rsidR="0054054C" w:rsidRDefault="00EC6942" w:rsidP="00C316B2">
      <w:pPr>
        <w:pStyle w:val="ListParagraph"/>
        <w:numPr>
          <w:ilvl w:val="1"/>
          <w:numId w:val="3"/>
        </w:numPr>
        <w:spacing w:line="276" w:lineRule="auto"/>
        <w:ind w:left="709"/>
      </w:pPr>
      <w:r>
        <w:t>The EU Charter of Fundamental Rights was not carried over into domestic law as part of EU retained law as the UK left the EU</w:t>
      </w:r>
      <w:r w:rsidR="00D22BDB">
        <w:t>, with references to the Charter in case law now being read as general principles</w:t>
      </w:r>
      <w:r>
        <w:t>.</w:t>
      </w:r>
      <w:r>
        <w:rPr>
          <w:rStyle w:val="FootnoteReference"/>
        </w:rPr>
        <w:footnoteReference w:id="26"/>
      </w:r>
      <w:r w:rsidR="00D22BDB">
        <w:t xml:space="preserve"> </w:t>
      </w:r>
      <w:r w:rsidR="003A621C">
        <w:t xml:space="preserve">However, the Charter still has relevance </w:t>
      </w:r>
      <w:r w:rsidR="00DA033E">
        <w:t xml:space="preserve">to </w:t>
      </w:r>
      <w:r w:rsidR="003A621C">
        <w:t xml:space="preserve">the </w:t>
      </w:r>
      <w:r w:rsidR="00DA033E">
        <w:t xml:space="preserve">UK-EU </w:t>
      </w:r>
      <w:r w:rsidR="003A621C">
        <w:t>Withdrawal Agreement, including the Protocol</w:t>
      </w:r>
      <w:r w:rsidR="000728CA">
        <w:t xml:space="preserve"> and to any EU measure made applicable by it</w:t>
      </w:r>
      <w:r w:rsidR="003A621C">
        <w:t>.</w:t>
      </w:r>
      <w:r w:rsidR="000728CA">
        <w:rPr>
          <w:rStyle w:val="FootnoteReference"/>
        </w:rPr>
        <w:footnoteReference w:id="27"/>
      </w:r>
    </w:p>
    <w:p w14:paraId="22770DAB" w14:textId="77777777" w:rsidR="0054054C" w:rsidRDefault="0054054C" w:rsidP="00AB4FE4">
      <w:pPr>
        <w:pStyle w:val="ListParagraph"/>
        <w:numPr>
          <w:ilvl w:val="0"/>
          <w:numId w:val="0"/>
        </w:numPr>
        <w:spacing w:line="276" w:lineRule="auto"/>
        <w:ind w:left="720"/>
      </w:pPr>
    </w:p>
    <w:p w14:paraId="4C543043" w14:textId="77777777" w:rsidR="009D47CE" w:rsidRDefault="000728CA" w:rsidP="00C316B2">
      <w:pPr>
        <w:pStyle w:val="ListParagraph"/>
        <w:numPr>
          <w:ilvl w:val="1"/>
          <w:numId w:val="3"/>
        </w:numPr>
        <w:spacing w:line="276" w:lineRule="auto"/>
        <w:ind w:left="709"/>
      </w:pPr>
      <w:r w:rsidRPr="000728CA">
        <w:t>The UK Government introduced regulations to extend the power to depart from retained EU case law to additional courts</w:t>
      </w:r>
      <w:r w:rsidR="006A2AA0">
        <w:t xml:space="preserve">, </w:t>
      </w:r>
      <w:r w:rsidRPr="000728CA">
        <w:t>including the Court of Appeal NI</w:t>
      </w:r>
      <w:r>
        <w:t>.</w:t>
      </w:r>
      <w:r w:rsidR="003A621C">
        <w:rPr>
          <w:rStyle w:val="FootnoteReference"/>
        </w:rPr>
        <w:footnoteReference w:id="28"/>
      </w:r>
      <w:r w:rsidR="001E3163">
        <w:t xml:space="preserve"> </w:t>
      </w:r>
      <w:r w:rsidR="009D47CE" w:rsidRPr="009D47CE">
        <w:t>Following the UK withdrawal from the EU there is a risk that as the UK amends and updates retained EU law over time that it could repeal or amend a provision that leads to a diminution of rights, safeguards and equality of opportunity and therefore engage Article 2, without adequate parliamentary scrutiny.</w:t>
      </w:r>
      <w:r w:rsidR="009D47CE">
        <w:rPr>
          <w:rStyle w:val="FootnoteReference"/>
        </w:rPr>
        <w:footnoteReference w:id="29"/>
      </w:r>
    </w:p>
    <w:p w14:paraId="54CC5DB2" w14:textId="77777777" w:rsidR="001E3163" w:rsidRDefault="001E3163" w:rsidP="00AB4FE4">
      <w:pPr>
        <w:pStyle w:val="ListParagraph"/>
        <w:numPr>
          <w:ilvl w:val="0"/>
          <w:numId w:val="0"/>
        </w:numPr>
        <w:spacing w:line="276" w:lineRule="auto"/>
        <w:ind w:left="709"/>
      </w:pPr>
    </w:p>
    <w:p w14:paraId="3F3349F5" w14:textId="335C5F02" w:rsidR="001E3163" w:rsidRPr="0092520C" w:rsidRDefault="001E3163" w:rsidP="00C316B2">
      <w:pPr>
        <w:pStyle w:val="ListParagraph"/>
        <w:numPr>
          <w:ilvl w:val="1"/>
          <w:numId w:val="3"/>
        </w:numPr>
        <w:spacing w:line="276" w:lineRule="auto"/>
        <w:ind w:left="709"/>
        <w:rPr>
          <w:b/>
        </w:rPr>
      </w:pPr>
      <w:r w:rsidRPr="0092520C">
        <w:rPr>
          <w:b/>
        </w:rPr>
        <w:t xml:space="preserve">The Committee may wish to recommend that the UK Government </w:t>
      </w:r>
      <w:r w:rsidR="0092520C" w:rsidRPr="0092520C">
        <w:rPr>
          <w:b/>
        </w:rPr>
        <w:t>provide additional scrutiny</w:t>
      </w:r>
      <w:r w:rsidR="009D47CE">
        <w:rPr>
          <w:b/>
        </w:rPr>
        <w:t xml:space="preserve"> on any change to retained EU law </w:t>
      </w:r>
      <w:r w:rsidR="009D47CE" w:rsidRPr="0092520C">
        <w:rPr>
          <w:b/>
        </w:rPr>
        <w:t xml:space="preserve">that engages </w:t>
      </w:r>
      <w:r w:rsidR="009D47CE">
        <w:rPr>
          <w:b/>
        </w:rPr>
        <w:t>A</w:t>
      </w:r>
      <w:r w:rsidR="009D47CE" w:rsidRPr="0092520C">
        <w:rPr>
          <w:b/>
        </w:rPr>
        <w:t>rticle 2</w:t>
      </w:r>
      <w:r w:rsidR="0084446B">
        <w:rPr>
          <w:b/>
        </w:rPr>
        <w:t xml:space="preserve"> of the Ireland/Northern Ireland Protocol of the </w:t>
      </w:r>
      <w:r w:rsidR="0084446B">
        <w:rPr>
          <w:b/>
        </w:rPr>
        <w:lastRenderedPageBreak/>
        <w:t>EU-UK Withdrawal Agreement 2020</w:t>
      </w:r>
      <w:r w:rsidR="0092520C" w:rsidRPr="0092520C">
        <w:rPr>
          <w:b/>
        </w:rPr>
        <w:t xml:space="preserve">, particularly on secondary legislation, in respect of its impact on women. </w:t>
      </w:r>
    </w:p>
    <w:p w14:paraId="5DCC283C" w14:textId="5F4496F2" w:rsidR="00D725D1" w:rsidRPr="009928AC" w:rsidRDefault="00EF2164" w:rsidP="002C61FC">
      <w:pPr>
        <w:pStyle w:val="ListParagraph"/>
        <w:numPr>
          <w:ilvl w:val="0"/>
          <w:numId w:val="0"/>
        </w:numPr>
        <w:spacing w:line="276" w:lineRule="auto"/>
        <w:ind w:left="709"/>
        <w:rPr>
          <w:rFonts w:eastAsia="Times New Roman" w:cs="Times New Roman"/>
        </w:rPr>
      </w:pPr>
      <w:r w:rsidRPr="009928AC">
        <w:rPr>
          <w:rFonts w:eastAsia="Times New Roman" w:cs="Times New Roman"/>
        </w:rPr>
        <w:t xml:space="preserve"> </w:t>
      </w:r>
    </w:p>
    <w:p w14:paraId="7C306481" w14:textId="77777777" w:rsidR="003A122B" w:rsidRPr="00854E5B" w:rsidRDefault="003A122B" w:rsidP="00AB4FE4">
      <w:pPr>
        <w:pStyle w:val="ListParagraph"/>
        <w:numPr>
          <w:ilvl w:val="0"/>
          <w:numId w:val="0"/>
        </w:numPr>
        <w:spacing w:line="276" w:lineRule="auto"/>
        <w:ind w:left="720"/>
        <w:rPr>
          <w:rFonts w:eastAsia="Times New Roman" w:cs="Times New Roman"/>
          <w:highlight w:val="yellow"/>
        </w:rPr>
      </w:pPr>
    </w:p>
    <w:p w14:paraId="40ECB62B" w14:textId="2BA9B8D3" w:rsidR="00957988" w:rsidRPr="00957988" w:rsidRDefault="00957988" w:rsidP="00957988">
      <w:pPr>
        <w:pStyle w:val="BasicParagraph"/>
        <w:suppressAutoHyphens/>
        <w:spacing w:line="276" w:lineRule="auto"/>
        <w:rPr>
          <w:rFonts w:ascii="Verdana" w:hAnsi="Verdana" w:cs="Arial"/>
          <w:color w:val="auto"/>
        </w:rPr>
      </w:pPr>
    </w:p>
    <w:p w14:paraId="6C41B0F5" w14:textId="77777777" w:rsidR="00957988" w:rsidRPr="00957988" w:rsidRDefault="00957988" w:rsidP="00957988">
      <w:pPr>
        <w:pStyle w:val="BasicParagraph"/>
        <w:suppressAutoHyphens/>
        <w:spacing w:line="276" w:lineRule="auto"/>
        <w:rPr>
          <w:rFonts w:ascii="Verdana" w:hAnsi="Verdana" w:cs="Arial"/>
          <w:color w:val="auto"/>
        </w:rPr>
      </w:pPr>
    </w:p>
    <w:p w14:paraId="5B92AED5" w14:textId="77777777" w:rsidR="004672AC" w:rsidRPr="00957988" w:rsidRDefault="004672AC" w:rsidP="00AB4FE4">
      <w:pPr>
        <w:pStyle w:val="BasicParagraph"/>
        <w:suppressAutoHyphens/>
        <w:spacing w:line="276" w:lineRule="auto"/>
        <w:rPr>
          <w:rFonts w:ascii="Verdana" w:hAnsi="Verdana" w:cs="Arial"/>
          <w:color w:val="auto"/>
          <w:sz w:val="20"/>
          <w:szCs w:val="20"/>
        </w:rPr>
      </w:pPr>
    </w:p>
    <w:p w14:paraId="254A10A6" w14:textId="77777777" w:rsidR="003B7D0E" w:rsidRPr="00957988" w:rsidRDefault="003B7D0E" w:rsidP="00AB4FE4">
      <w:pPr>
        <w:pStyle w:val="BasicParagraph"/>
        <w:suppressAutoHyphens/>
        <w:spacing w:line="276" w:lineRule="auto"/>
        <w:rPr>
          <w:rFonts w:ascii="Verdana" w:hAnsi="Verdana" w:cs="Arial"/>
          <w:color w:val="auto"/>
          <w:sz w:val="20"/>
          <w:szCs w:val="20"/>
        </w:rPr>
      </w:pPr>
    </w:p>
    <w:p w14:paraId="256D8008" w14:textId="77777777" w:rsidR="003B7D0E" w:rsidRPr="00331C61" w:rsidRDefault="003B7D0E" w:rsidP="00AB4FE4">
      <w:pPr>
        <w:pStyle w:val="BasicParagraph"/>
        <w:suppressAutoHyphens/>
        <w:spacing w:line="276" w:lineRule="auto"/>
        <w:rPr>
          <w:rFonts w:ascii="Verdana" w:hAnsi="Verdana" w:cs="Arial"/>
          <w:color w:val="232120"/>
          <w:sz w:val="20"/>
          <w:szCs w:val="20"/>
        </w:rPr>
      </w:pPr>
    </w:p>
    <w:p w14:paraId="74D57092" w14:textId="77777777" w:rsidR="003B7D0E" w:rsidRDefault="003B7D0E" w:rsidP="00AB4FE4">
      <w:pPr>
        <w:pStyle w:val="BasicParagraph"/>
        <w:suppressAutoHyphens/>
        <w:spacing w:line="276" w:lineRule="auto"/>
        <w:jc w:val="center"/>
        <w:rPr>
          <w:rFonts w:ascii="Verdana" w:hAnsi="Verdana" w:cs="Arial"/>
          <w:color w:val="3C3C3B"/>
          <w:sz w:val="20"/>
          <w:szCs w:val="20"/>
        </w:rPr>
      </w:pPr>
    </w:p>
    <w:p w14:paraId="3B4C7DB0" w14:textId="77777777" w:rsidR="003B7D0E" w:rsidRDefault="003B7D0E" w:rsidP="00AB4FE4">
      <w:pPr>
        <w:pStyle w:val="BasicParagraph"/>
        <w:suppressAutoHyphens/>
        <w:spacing w:line="276" w:lineRule="auto"/>
        <w:jc w:val="center"/>
        <w:rPr>
          <w:rFonts w:ascii="Verdana" w:hAnsi="Verdana" w:cs="Arial"/>
          <w:color w:val="3C3C3B"/>
          <w:sz w:val="20"/>
          <w:szCs w:val="20"/>
        </w:rPr>
      </w:pPr>
    </w:p>
    <w:p w14:paraId="007E8B1A" w14:textId="77777777" w:rsidR="003B7D0E" w:rsidRDefault="003B7D0E" w:rsidP="00AB4FE4">
      <w:pPr>
        <w:pStyle w:val="BasicParagraph"/>
        <w:suppressAutoHyphens/>
        <w:spacing w:line="276" w:lineRule="auto"/>
        <w:jc w:val="center"/>
        <w:rPr>
          <w:rFonts w:ascii="Verdana" w:hAnsi="Verdana" w:cs="Arial"/>
          <w:color w:val="3C3C3B"/>
          <w:sz w:val="20"/>
          <w:szCs w:val="20"/>
        </w:rPr>
      </w:pPr>
    </w:p>
    <w:p w14:paraId="11AB26D6" w14:textId="77777777" w:rsidR="003B7D0E" w:rsidRDefault="003B7D0E" w:rsidP="00AB4FE4">
      <w:pPr>
        <w:pStyle w:val="BasicParagraph"/>
        <w:suppressAutoHyphens/>
        <w:spacing w:line="276" w:lineRule="auto"/>
        <w:jc w:val="center"/>
        <w:rPr>
          <w:rFonts w:ascii="Verdana" w:hAnsi="Verdana" w:cs="Arial"/>
          <w:color w:val="3C3C3B"/>
          <w:sz w:val="20"/>
          <w:szCs w:val="20"/>
        </w:rPr>
      </w:pPr>
    </w:p>
    <w:p w14:paraId="6DFD90AB" w14:textId="77777777" w:rsidR="003B7D0E" w:rsidRDefault="003B7D0E" w:rsidP="00AB4FE4">
      <w:pPr>
        <w:pStyle w:val="BasicParagraph"/>
        <w:suppressAutoHyphens/>
        <w:spacing w:line="276" w:lineRule="auto"/>
        <w:jc w:val="center"/>
        <w:rPr>
          <w:rFonts w:ascii="Verdana" w:hAnsi="Verdana" w:cs="Arial"/>
          <w:color w:val="3C3C3B"/>
          <w:sz w:val="20"/>
          <w:szCs w:val="20"/>
        </w:rPr>
      </w:pPr>
    </w:p>
    <w:p w14:paraId="33A3ECEA" w14:textId="77777777" w:rsidR="003B7D0E" w:rsidRDefault="003B7D0E" w:rsidP="00AB4FE4">
      <w:pPr>
        <w:pStyle w:val="BasicParagraph"/>
        <w:suppressAutoHyphens/>
        <w:spacing w:line="276" w:lineRule="auto"/>
        <w:jc w:val="center"/>
        <w:rPr>
          <w:rFonts w:ascii="Verdana" w:hAnsi="Verdana" w:cs="Arial"/>
          <w:color w:val="3C3C3B"/>
          <w:sz w:val="20"/>
          <w:szCs w:val="20"/>
        </w:rPr>
      </w:pPr>
    </w:p>
    <w:p w14:paraId="32C4A7BF" w14:textId="77777777" w:rsidR="003B7D0E" w:rsidRDefault="003B7D0E" w:rsidP="00AB4FE4">
      <w:pPr>
        <w:pStyle w:val="BasicParagraph"/>
        <w:suppressAutoHyphens/>
        <w:spacing w:line="276" w:lineRule="auto"/>
        <w:jc w:val="center"/>
        <w:rPr>
          <w:rFonts w:ascii="Verdana" w:hAnsi="Verdana" w:cs="Arial"/>
          <w:color w:val="3C3C3B"/>
          <w:sz w:val="20"/>
          <w:szCs w:val="20"/>
        </w:rPr>
      </w:pPr>
    </w:p>
    <w:p w14:paraId="3D6422F4" w14:textId="77777777" w:rsidR="003B7D0E" w:rsidRDefault="003B7D0E" w:rsidP="00AB4FE4">
      <w:pPr>
        <w:pStyle w:val="BasicParagraph"/>
        <w:suppressAutoHyphens/>
        <w:spacing w:line="276" w:lineRule="auto"/>
        <w:jc w:val="center"/>
        <w:rPr>
          <w:rFonts w:ascii="Verdana" w:hAnsi="Verdana" w:cs="Arial"/>
          <w:color w:val="3C3C3B"/>
          <w:sz w:val="20"/>
          <w:szCs w:val="20"/>
        </w:rPr>
      </w:pPr>
    </w:p>
    <w:p w14:paraId="459DB8F1" w14:textId="77777777" w:rsidR="003B7D0E" w:rsidRDefault="003B7D0E" w:rsidP="00AB4FE4">
      <w:pPr>
        <w:pStyle w:val="BasicParagraph"/>
        <w:suppressAutoHyphens/>
        <w:spacing w:line="276" w:lineRule="auto"/>
        <w:jc w:val="center"/>
        <w:rPr>
          <w:rFonts w:ascii="Verdana" w:hAnsi="Verdana" w:cs="Arial"/>
          <w:color w:val="3C3C3B"/>
          <w:sz w:val="20"/>
          <w:szCs w:val="20"/>
        </w:rPr>
      </w:pPr>
    </w:p>
    <w:p w14:paraId="4ECCC845" w14:textId="77777777" w:rsidR="00D725D1" w:rsidRDefault="00D725D1" w:rsidP="00AB4FE4">
      <w:pPr>
        <w:pStyle w:val="BasicParagraph"/>
        <w:suppressAutoHyphens/>
        <w:spacing w:line="276" w:lineRule="auto"/>
        <w:jc w:val="center"/>
        <w:rPr>
          <w:rFonts w:ascii="Verdana" w:hAnsi="Verdana" w:cs="Arial"/>
          <w:color w:val="3C3C3B"/>
          <w:sz w:val="20"/>
          <w:szCs w:val="20"/>
        </w:rPr>
      </w:pPr>
    </w:p>
    <w:p w14:paraId="212BED4A" w14:textId="77777777" w:rsidR="00D725D1" w:rsidRDefault="00D725D1" w:rsidP="00AB4FE4">
      <w:pPr>
        <w:pStyle w:val="BasicParagraph"/>
        <w:suppressAutoHyphens/>
        <w:spacing w:line="276" w:lineRule="auto"/>
        <w:jc w:val="center"/>
        <w:rPr>
          <w:rFonts w:ascii="Verdana" w:hAnsi="Verdana" w:cs="Arial"/>
          <w:color w:val="3C3C3B"/>
          <w:sz w:val="20"/>
          <w:szCs w:val="20"/>
        </w:rPr>
      </w:pPr>
    </w:p>
    <w:p w14:paraId="2D3AEAC7" w14:textId="77777777" w:rsidR="00D725D1" w:rsidRDefault="00D725D1" w:rsidP="00AB4FE4">
      <w:pPr>
        <w:pStyle w:val="BasicParagraph"/>
        <w:suppressAutoHyphens/>
        <w:spacing w:line="276" w:lineRule="auto"/>
        <w:jc w:val="center"/>
        <w:rPr>
          <w:rFonts w:ascii="Verdana" w:hAnsi="Verdana" w:cs="Arial"/>
          <w:color w:val="3C3C3B"/>
          <w:sz w:val="20"/>
          <w:szCs w:val="20"/>
        </w:rPr>
      </w:pPr>
    </w:p>
    <w:p w14:paraId="484DA54A" w14:textId="066C9C89" w:rsidR="00F91200" w:rsidRDefault="00F91200" w:rsidP="00B73C4A">
      <w:pPr>
        <w:pStyle w:val="BasicParagraph"/>
        <w:suppressAutoHyphens/>
        <w:spacing w:line="276" w:lineRule="auto"/>
        <w:rPr>
          <w:rFonts w:ascii="Verdana" w:hAnsi="Verdana" w:cs="Arial"/>
          <w:color w:val="3C3C3B"/>
          <w:sz w:val="20"/>
          <w:szCs w:val="20"/>
        </w:rPr>
      </w:pPr>
    </w:p>
    <w:p w14:paraId="0FBDE779" w14:textId="07E79755" w:rsidR="002C61FC" w:rsidRDefault="002C61FC" w:rsidP="00B73C4A">
      <w:pPr>
        <w:pStyle w:val="BasicParagraph"/>
        <w:suppressAutoHyphens/>
        <w:spacing w:line="276" w:lineRule="auto"/>
        <w:rPr>
          <w:rFonts w:ascii="Verdana" w:hAnsi="Verdana" w:cs="Arial"/>
          <w:color w:val="3C3C3B"/>
          <w:sz w:val="20"/>
          <w:szCs w:val="20"/>
        </w:rPr>
      </w:pPr>
    </w:p>
    <w:p w14:paraId="5AA55EC3" w14:textId="6C2F3B15" w:rsidR="002C61FC" w:rsidRDefault="002C61FC" w:rsidP="00B73C4A">
      <w:pPr>
        <w:pStyle w:val="BasicParagraph"/>
        <w:suppressAutoHyphens/>
        <w:spacing w:line="276" w:lineRule="auto"/>
        <w:rPr>
          <w:rFonts w:ascii="Verdana" w:hAnsi="Verdana" w:cs="Arial"/>
          <w:color w:val="3C3C3B"/>
          <w:sz w:val="20"/>
          <w:szCs w:val="20"/>
        </w:rPr>
      </w:pPr>
    </w:p>
    <w:p w14:paraId="6AFA7F79" w14:textId="01577FA2" w:rsidR="002C61FC" w:rsidRDefault="002C61FC" w:rsidP="00B73C4A">
      <w:pPr>
        <w:pStyle w:val="BasicParagraph"/>
        <w:suppressAutoHyphens/>
        <w:spacing w:line="276" w:lineRule="auto"/>
        <w:rPr>
          <w:rFonts w:ascii="Verdana" w:hAnsi="Verdana" w:cs="Arial"/>
          <w:color w:val="3C3C3B"/>
          <w:sz w:val="20"/>
          <w:szCs w:val="20"/>
        </w:rPr>
      </w:pPr>
    </w:p>
    <w:p w14:paraId="14C823A0" w14:textId="7B2DC8A8" w:rsidR="002C61FC" w:rsidRDefault="002C61FC" w:rsidP="00B73C4A">
      <w:pPr>
        <w:pStyle w:val="BasicParagraph"/>
        <w:suppressAutoHyphens/>
        <w:spacing w:line="276" w:lineRule="auto"/>
        <w:rPr>
          <w:rFonts w:ascii="Verdana" w:hAnsi="Verdana" w:cs="Arial"/>
          <w:color w:val="3C3C3B"/>
          <w:sz w:val="20"/>
          <w:szCs w:val="20"/>
        </w:rPr>
      </w:pPr>
    </w:p>
    <w:p w14:paraId="2677D66F" w14:textId="4FC8EC13" w:rsidR="002C61FC" w:rsidRDefault="002C61FC" w:rsidP="00B73C4A">
      <w:pPr>
        <w:pStyle w:val="BasicParagraph"/>
        <w:suppressAutoHyphens/>
        <w:spacing w:line="276" w:lineRule="auto"/>
        <w:rPr>
          <w:rFonts w:ascii="Verdana" w:hAnsi="Verdana" w:cs="Arial"/>
          <w:color w:val="3C3C3B"/>
          <w:sz w:val="20"/>
          <w:szCs w:val="20"/>
        </w:rPr>
      </w:pPr>
    </w:p>
    <w:p w14:paraId="6A157EEC" w14:textId="0AB12FAA" w:rsidR="002C61FC" w:rsidRDefault="002C61FC" w:rsidP="00B73C4A">
      <w:pPr>
        <w:pStyle w:val="BasicParagraph"/>
        <w:suppressAutoHyphens/>
        <w:spacing w:line="276" w:lineRule="auto"/>
        <w:rPr>
          <w:rFonts w:ascii="Verdana" w:hAnsi="Verdana" w:cs="Arial"/>
          <w:color w:val="3C3C3B"/>
          <w:sz w:val="20"/>
          <w:szCs w:val="20"/>
        </w:rPr>
      </w:pPr>
    </w:p>
    <w:p w14:paraId="4A7E3AB0" w14:textId="7395FA05" w:rsidR="002C61FC" w:rsidRDefault="002C61FC" w:rsidP="00B73C4A">
      <w:pPr>
        <w:pStyle w:val="BasicParagraph"/>
        <w:suppressAutoHyphens/>
        <w:spacing w:line="276" w:lineRule="auto"/>
        <w:rPr>
          <w:rFonts w:ascii="Verdana" w:hAnsi="Verdana" w:cs="Arial"/>
          <w:color w:val="3C3C3B"/>
          <w:sz w:val="20"/>
          <w:szCs w:val="20"/>
        </w:rPr>
      </w:pPr>
    </w:p>
    <w:p w14:paraId="5BA5741F" w14:textId="746CCE47" w:rsidR="002C61FC" w:rsidRDefault="002C61FC" w:rsidP="00B73C4A">
      <w:pPr>
        <w:pStyle w:val="BasicParagraph"/>
        <w:suppressAutoHyphens/>
        <w:spacing w:line="276" w:lineRule="auto"/>
        <w:rPr>
          <w:rFonts w:ascii="Verdana" w:hAnsi="Verdana" w:cs="Arial"/>
          <w:color w:val="3C3C3B"/>
          <w:sz w:val="20"/>
          <w:szCs w:val="20"/>
        </w:rPr>
      </w:pPr>
    </w:p>
    <w:p w14:paraId="0D326A1D" w14:textId="76CBC3CA" w:rsidR="002C61FC" w:rsidRDefault="002C61FC" w:rsidP="00B73C4A">
      <w:pPr>
        <w:pStyle w:val="BasicParagraph"/>
        <w:suppressAutoHyphens/>
        <w:spacing w:line="276" w:lineRule="auto"/>
        <w:rPr>
          <w:rFonts w:ascii="Verdana" w:hAnsi="Verdana" w:cs="Arial"/>
          <w:color w:val="3C3C3B"/>
          <w:sz w:val="20"/>
          <w:szCs w:val="20"/>
        </w:rPr>
      </w:pPr>
    </w:p>
    <w:p w14:paraId="0223194B" w14:textId="04602D1C" w:rsidR="002C61FC" w:rsidRDefault="002C61FC" w:rsidP="00B73C4A">
      <w:pPr>
        <w:pStyle w:val="BasicParagraph"/>
        <w:suppressAutoHyphens/>
        <w:spacing w:line="276" w:lineRule="auto"/>
        <w:rPr>
          <w:rFonts w:ascii="Verdana" w:hAnsi="Verdana" w:cs="Arial"/>
          <w:color w:val="3C3C3B"/>
          <w:sz w:val="20"/>
          <w:szCs w:val="20"/>
        </w:rPr>
      </w:pPr>
    </w:p>
    <w:p w14:paraId="78AF33DB" w14:textId="2C6AEF2F" w:rsidR="002C61FC" w:rsidRDefault="002C61FC" w:rsidP="00B73C4A">
      <w:pPr>
        <w:pStyle w:val="BasicParagraph"/>
        <w:suppressAutoHyphens/>
        <w:spacing w:line="276" w:lineRule="auto"/>
        <w:rPr>
          <w:rFonts w:ascii="Verdana" w:hAnsi="Verdana" w:cs="Arial"/>
          <w:color w:val="3C3C3B"/>
          <w:sz w:val="20"/>
          <w:szCs w:val="20"/>
        </w:rPr>
      </w:pPr>
    </w:p>
    <w:p w14:paraId="1D66B020" w14:textId="7BD12054" w:rsidR="002C61FC" w:rsidRDefault="002C61FC" w:rsidP="00B73C4A">
      <w:pPr>
        <w:pStyle w:val="BasicParagraph"/>
        <w:suppressAutoHyphens/>
        <w:spacing w:line="276" w:lineRule="auto"/>
        <w:rPr>
          <w:rFonts w:ascii="Verdana" w:hAnsi="Verdana" w:cs="Arial"/>
          <w:color w:val="3C3C3B"/>
          <w:sz w:val="20"/>
          <w:szCs w:val="20"/>
        </w:rPr>
      </w:pPr>
    </w:p>
    <w:p w14:paraId="20D221AA" w14:textId="6C087FEF" w:rsidR="002C61FC" w:rsidRDefault="002C61FC" w:rsidP="00B73C4A">
      <w:pPr>
        <w:pStyle w:val="BasicParagraph"/>
        <w:suppressAutoHyphens/>
        <w:spacing w:line="276" w:lineRule="auto"/>
        <w:rPr>
          <w:rFonts w:ascii="Verdana" w:hAnsi="Verdana" w:cs="Arial"/>
          <w:color w:val="3C3C3B"/>
          <w:sz w:val="20"/>
          <w:szCs w:val="20"/>
        </w:rPr>
      </w:pPr>
    </w:p>
    <w:p w14:paraId="1D20E844" w14:textId="35D77192" w:rsidR="002C61FC" w:rsidRDefault="002C61FC" w:rsidP="00B73C4A">
      <w:pPr>
        <w:pStyle w:val="BasicParagraph"/>
        <w:suppressAutoHyphens/>
        <w:spacing w:line="276" w:lineRule="auto"/>
        <w:rPr>
          <w:rFonts w:ascii="Verdana" w:hAnsi="Verdana" w:cs="Arial"/>
          <w:color w:val="3C3C3B"/>
          <w:sz w:val="20"/>
          <w:szCs w:val="20"/>
        </w:rPr>
      </w:pPr>
    </w:p>
    <w:p w14:paraId="252CC675" w14:textId="3E5887C2" w:rsidR="002C61FC" w:rsidRDefault="002C61FC" w:rsidP="00B73C4A">
      <w:pPr>
        <w:pStyle w:val="BasicParagraph"/>
        <w:suppressAutoHyphens/>
        <w:spacing w:line="276" w:lineRule="auto"/>
        <w:rPr>
          <w:rFonts w:ascii="Verdana" w:hAnsi="Verdana" w:cs="Arial"/>
          <w:color w:val="3C3C3B"/>
          <w:sz w:val="20"/>
          <w:szCs w:val="20"/>
        </w:rPr>
      </w:pPr>
    </w:p>
    <w:p w14:paraId="655D05A0" w14:textId="1FDA69C9" w:rsidR="002C61FC" w:rsidRDefault="002C61FC" w:rsidP="00B73C4A">
      <w:pPr>
        <w:pStyle w:val="BasicParagraph"/>
        <w:suppressAutoHyphens/>
        <w:spacing w:line="276" w:lineRule="auto"/>
        <w:rPr>
          <w:rFonts w:ascii="Verdana" w:hAnsi="Verdana" w:cs="Arial"/>
          <w:color w:val="3C3C3B"/>
          <w:sz w:val="20"/>
          <w:szCs w:val="20"/>
        </w:rPr>
      </w:pPr>
    </w:p>
    <w:p w14:paraId="1919183E" w14:textId="77777777" w:rsidR="002C61FC" w:rsidRDefault="002C61FC" w:rsidP="00B73C4A">
      <w:pPr>
        <w:pStyle w:val="BasicParagraph"/>
        <w:suppressAutoHyphens/>
        <w:spacing w:line="276" w:lineRule="auto"/>
        <w:rPr>
          <w:rFonts w:ascii="Verdana" w:hAnsi="Verdana" w:cs="Arial"/>
          <w:color w:val="3C3C3B"/>
          <w:sz w:val="20"/>
          <w:szCs w:val="20"/>
        </w:rPr>
      </w:pPr>
    </w:p>
    <w:p w14:paraId="65CAEF48" w14:textId="77777777" w:rsidR="00F91200" w:rsidRDefault="00F91200" w:rsidP="00AB4FE4">
      <w:pPr>
        <w:pStyle w:val="BasicParagraph"/>
        <w:suppressAutoHyphens/>
        <w:spacing w:line="276" w:lineRule="auto"/>
        <w:jc w:val="center"/>
        <w:rPr>
          <w:rFonts w:ascii="Verdana" w:hAnsi="Verdana" w:cs="Arial"/>
          <w:color w:val="3C3C3B"/>
          <w:sz w:val="20"/>
          <w:szCs w:val="20"/>
        </w:rPr>
      </w:pPr>
    </w:p>
    <w:p w14:paraId="2BD8AB38" w14:textId="61AB96D4" w:rsidR="006D02BA" w:rsidRDefault="006D02BA" w:rsidP="00AB4FE4">
      <w:pPr>
        <w:pStyle w:val="BasicParagraph"/>
        <w:suppressAutoHyphens/>
        <w:spacing w:line="276" w:lineRule="auto"/>
        <w:jc w:val="center"/>
        <w:rPr>
          <w:rFonts w:ascii="Verdana" w:hAnsi="Verdana" w:cs="Arial"/>
          <w:color w:val="3C3C3B"/>
          <w:sz w:val="20"/>
          <w:szCs w:val="20"/>
        </w:rPr>
      </w:pPr>
    </w:p>
    <w:p w14:paraId="0A7B7DDC" w14:textId="77777777" w:rsidR="006D02BA" w:rsidRDefault="006D02BA" w:rsidP="00AB4FE4">
      <w:pPr>
        <w:pStyle w:val="BasicParagraph"/>
        <w:suppressAutoHyphens/>
        <w:spacing w:line="276" w:lineRule="auto"/>
        <w:jc w:val="center"/>
        <w:rPr>
          <w:rFonts w:ascii="Verdana" w:hAnsi="Verdana" w:cs="Arial"/>
          <w:color w:val="3C3C3B"/>
          <w:sz w:val="20"/>
          <w:szCs w:val="20"/>
        </w:rPr>
      </w:pPr>
    </w:p>
    <w:p w14:paraId="33E34032" w14:textId="5DD9D355" w:rsidR="00331C61" w:rsidRPr="008A263C" w:rsidRDefault="00705833" w:rsidP="008A263C">
      <w:pPr>
        <w:pStyle w:val="BasicParagraph"/>
        <w:suppressAutoHyphens/>
        <w:spacing w:line="276" w:lineRule="auto"/>
        <w:jc w:val="center"/>
        <w:rPr>
          <w:rFonts w:ascii="Verdana" w:hAnsi="Verdana" w:cs="Arial"/>
          <w:b/>
          <w:bCs/>
          <w:color w:val="77328A"/>
          <w:sz w:val="36"/>
          <w:szCs w:val="36"/>
        </w:rPr>
      </w:pPr>
      <w:r w:rsidRPr="00664B8F">
        <w:rPr>
          <w:rFonts w:ascii="Verdana" w:hAnsi="Verdana" w:cs="Arial"/>
          <w:b/>
          <w:bCs/>
          <w:color w:val="77328A"/>
          <w:sz w:val="36"/>
          <w:szCs w:val="36"/>
        </w:rPr>
        <w:t>Co</w:t>
      </w:r>
      <w:r w:rsidR="00D725D1" w:rsidRPr="00664B8F">
        <w:rPr>
          <w:rFonts w:ascii="Verdana" w:hAnsi="Verdana" w:cs="Arial"/>
          <w:b/>
          <w:bCs/>
          <w:color w:val="77328A"/>
          <w:sz w:val="36"/>
          <w:szCs w:val="36"/>
        </w:rPr>
        <w:t xml:space="preserve">ntact us </w:t>
      </w:r>
    </w:p>
    <w:p w14:paraId="30229F6C" w14:textId="77777777" w:rsidR="00331C61" w:rsidRPr="00331C61" w:rsidRDefault="00331C61" w:rsidP="00AB4FE4">
      <w:pPr>
        <w:spacing w:line="276" w:lineRule="auto"/>
        <w:jc w:val="center"/>
        <w:rPr>
          <w:rFonts w:ascii="Verdana" w:hAnsi="Verdana" w:cs="Arial"/>
          <w:b/>
          <w:color w:val="232120"/>
          <w:sz w:val="30"/>
          <w:szCs w:val="30"/>
        </w:rPr>
      </w:pPr>
    </w:p>
    <w:p w14:paraId="3B4AC33C" w14:textId="77777777" w:rsidR="00331C61" w:rsidRPr="00331C61" w:rsidRDefault="00684AC3" w:rsidP="00AB4FE4">
      <w:pPr>
        <w:spacing w:line="276" w:lineRule="auto"/>
        <w:jc w:val="center"/>
        <w:rPr>
          <w:rFonts w:ascii="Verdana" w:hAnsi="Verdana" w:cs="Arial"/>
          <w:color w:val="232120"/>
          <w:sz w:val="28"/>
          <w:szCs w:val="28"/>
        </w:rPr>
      </w:pPr>
      <w:hyperlink r:id="rId9"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0"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3E3095D6" w14:textId="77777777" w:rsidR="00F56C78" w:rsidRPr="00331C61" w:rsidRDefault="00D16532" w:rsidP="00AB4FE4">
      <w:pPr>
        <w:spacing w:line="276"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68F0FFB1" w14:textId="77777777" w:rsidR="00F56C78" w:rsidRPr="00331C61" w:rsidRDefault="00F56C78" w:rsidP="00AB4FE4">
      <w:pPr>
        <w:spacing w:line="276" w:lineRule="auto"/>
        <w:jc w:val="center"/>
        <w:rPr>
          <w:rFonts w:ascii="Verdana" w:hAnsi="Verdana" w:cs="Arial"/>
          <w:b/>
          <w:color w:val="232120"/>
          <w:sz w:val="28"/>
          <w:szCs w:val="28"/>
        </w:rPr>
      </w:pPr>
    </w:p>
    <w:p w14:paraId="008E180D" w14:textId="77777777" w:rsidR="00F56C78" w:rsidRPr="00331C61" w:rsidRDefault="00F56C78" w:rsidP="00AB4FE4">
      <w:pPr>
        <w:spacing w:line="276" w:lineRule="auto"/>
        <w:jc w:val="center"/>
        <w:rPr>
          <w:rFonts w:ascii="Verdana" w:hAnsi="Verdana" w:cs="Arial"/>
          <w:color w:val="232120"/>
          <w:sz w:val="20"/>
          <w:szCs w:val="20"/>
        </w:rPr>
      </w:pPr>
    </w:p>
    <w:p w14:paraId="663D49AB" w14:textId="77777777" w:rsidR="00705833" w:rsidRPr="00331C61" w:rsidRDefault="00F56C78" w:rsidP="00AB4FE4">
      <w:pPr>
        <w:pStyle w:val="BasicParagraph"/>
        <w:suppressAutoHyphens/>
        <w:spacing w:line="276"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490ADF40" wp14:editId="41238180">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ACF0B" w14:textId="77777777" w:rsidR="00DA660F" w:rsidRDefault="00DA660F" w:rsidP="00962B2B">
      <w:r>
        <w:separator/>
      </w:r>
    </w:p>
  </w:endnote>
  <w:endnote w:type="continuationSeparator" w:id="0">
    <w:p w14:paraId="3AC90DE0" w14:textId="77777777" w:rsidR="00DA660F" w:rsidRDefault="00DA660F" w:rsidP="00962B2B">
      <w:r>
        <w:continuationSeparator/>
      </w:r>
    </w:p>
  </w:endnote>
  <w:endnote w:type="continuationNotice" w:id="1">
    <w:p w14:paraId="280046E3" w14:textId="77777777" w:rsidR="00DA660F" w:rsidRDefault="00DA6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4DC7" w14:textId="77777777" w:rsidR="00480F9B" w:rsidRDefault="00480F9B" w:rsidP="00656ECD">
    <w:pPr>
      <w:pStyle w:val="Footer"/>
      <w:jc w:val="right"/>
      <w:rPr>
        <w:rStyle w:val="PageNumber"/>
        <w:rFonts w:ascii="Arial" w:hAnsi="Arial" w:cs="Arial"/>
        <w:b/>
        <w:sz w:val="16"/>
        <w:szCs w:val="16"/>
      </w:rPr>
    </w:pPr>
  </w:p>
  <w:p w14:paraId="2984AB21" w14:textId="6A5F9A65" w:rsidR="00480F9B" w:rsidRPr="007569C1" w:rsidRDefault="00480F9B"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2C61FC">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65D3" w14:textId="77777777" w:rsidR="00480F9B" w:rsidRDefault="00480F9B" w:rsidP="00046705">
    <w:pPr>
      <w:pStyle w:val="Footer"/>
      <w:jc w:val="right"/>
      <w:rPr>
        <w:rStyle w:val="PageNumber"/>
        <w:rFonts w:ascii="Arial" w:hAnsi="Arial" w:cs="Arial"/>
        <w:b/>
        <w:sz w:val="16"/>
        <w:szCs w:val="16"/>
      </w:rPr>
    </w:pPr>
  </w:p>
  <w:p w14:paraId="01A6157D" w14:textId="77777777" w:rsidR="00480F9B" w:rsidRPr="00D12EF8" w:rsidRDefault="00480F9B"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B77E" w14:textId="77777777" w:rsidR="00DA660F" w:rsidRDefault="00DA660F" w:rsidP="00B96D34">
      <w:r>
        <w:continuationSeparator/>
      </w:r>
    </w:p>
    <w:p w14:paraId="6CA31C76" w14:textId="77777777" w:rsidR="00DA660F" w:rsidRPr="00B96D34" w:rsidRDefault="00DA660F" w:rsidP="00B96D34">
      <w:pPr>
        <w:pStyle w:val="Footer"/>
      </w:pPr>
    </w:p>
  </w:footnote>
  <w:footnote w:type="continuationSeparator" w:id="0">
    <w:p w14:paraId="1B70FB61" w14:textId="77777777" w:rsidR="00DA660F" w:rsidRDefault="00DA660F" w:rsidP="00962B2B">
      <w:r>
        <w:continuationSeparator/>
      </w:r>
    </w:p>
  </w:footnote>
  <w:footnote w:type="continuationNotice" w:id="1">
    <w:p w14:paraId="3BADDDFC" w14:textId="77777777" w:rsidR="00DA660F" w:rsidRDefault="00DA660F"/>
  </w:footnote>
  <w:footnote w:id="2">
    <w:p w14:paraId="5918E063" w14:textId="77777777" w:rsidR="00480F9B" w:rsidRPr="00664B8F" w:rsidRDefault="00480F9B" w:rsidP="006120A8">
      <w:pPr>
        <w:pStyle w:val="FootnoteText"/>
        <w:jc w:val="both"/>
        <w:rPr>
          <w:rFonts w:ascii="Verdana" w:hAnsi="Verdana"/>
          <w:color w:val="77328A"/>
          <w:sz w:val="16"/>
          <w:szCs w:val="16"/>
        </w:rPr>
      </w:pPr>
      <w:r w:rsidRPr="00664B8F">
        <w:rPr>
          <w:rStyle w:val="FootnoteReference"/>
          <w:rFonts w:ascii="Verdana" w:hAnsi="Verdana"/>
          <w:color w:val="77328A"/>
          <w:sz w:val="16"/>
          <w:szCs w:val="16"/>
        </w:rPr>
        <w:footnoteRef/>
      </w:r>
      <w:r w:rsidRPr="00664B8F">
        <w:rPr>
          <w:rFonts w:ascii="Verdana" w:hAnsi="Verdana"/>
          <w:color w:val="77328A"/>
          <w:sz w:val="16"/>
          <w:szCs w:val="16"/>
        </w:rPr>
        <w:t xml:space="preserve"> In Scotland, through the National Taskforce for Human Rights Leadership in March 2021, incorporation will be taken forward by a new Human Rights Bill, as part of a broader incorporation of rights. In Wales, research has been commissioned on options to advance equality and human rights, including the possible incorporation of UN conventions into Welsh law.</w:t>
      </w:r>
    </w:p>
  </w:footnote>
  <w:footnote w:id="3">
    <w:p w14:paraId="2A650D42" w14:textId="77777777" w:rsidR="00480F9B" w:rsidRPr="00664B8F" w:rsidRDefault="00480F9B" w:rsidP="006120A8">
      <w:pPr>
        <w:pStyle w:val="NIHRCFootnotes"/>
        <w:jc w:val="both"/>
      </w:pPr>
      <w:r w:rsidRPr="00664B8F">
        <w:rPr>
          <w:rStyle w:val="FootnoteReference"/>
        </w:rPr>
        <w:footnoteRef/>
      </w:r>
      <w:r w:rsidRPr="00664B8F">
        <w:t xml:space="preserve"> Four of these Directives provide a framework of gender equality standards, including; Directive 2004/113/EC on Gender Goods and Services; Directive 2006/54/EC on Equal Employment between men and women; Directive 2010/41/EU on Equal Treatment between men and women in self-employment; and Directive 79/7/EEC on equal treatment between men and women in matters of social security’</w:t>
      </w:r>
    </w:p>
  </w:footnote>
  <w:footnote w:id="4">
    <w:p w14:paraId="01BA67E9" w14:textId="77777777" w:rsidR="00480F9B" w:rsidRPr="00664B8F" w:rsidRDefault="00480F9B" w:rsidP="006120A8">
      <w:pPr>
        <w:pStyle w:val="NIHRCFootnotes"/>
        <w:jc w:val="both"/>
      </w:pPr>
      <w:r w:rsidRPr="00664B8F">
        <w:rPr>
          <w:rStyle w:val="FootnoteReference"/>
        </w:rPr>
        <w:footnoteRef/>
      </w:r>
      <w:r w:rsidRPr="00664B8F">
        <w:t xml:space="preserve"> The UK government has agreed to dynamically align with the Annex 1 Directives to ensure that at least the minimum standard of rights protections will be relevant in NI, ensuring “NI will not fall behind minimum European Standards in anti-discrimination law”. Northern Ireland Office, “Explainer: UK Government commitment to no diminution of rights, safeguards and equality of opportunity in Northern Ireland” (NIO, 2020), at para 12; Article 13(3) of the Protocol clarifies that where there are references to EU measures in the Protocol, “that reference shall be read as referring to that Union act as amended or replaced”. </w:t>
      </w:r>
    </w:p>
  </w:footnote>
  <w:footnote w:id="5">
    <w:p w14:paraId="6730FB55" w14:textId="77777777" w:rsidR="00480F9B" w:rsidRPr="00664B8F" w:rsidRDefault="00480F9B" w:rsidP="006120A8">
      <w:pPr>
        <w:pStyle w:val="FootnoteText"/>
        <w:jc w:val="both"/>
        <w:rPr>
          <w:rFonts w:ascii="Verdana" w:hAnsi="Verdana"/>
          <w:color w:val="77328A"/>
          <w:sz w:val="16"/>
          <w:szCs w:val="16"/>
        </w:rPr>
      </w:pPr>
      <w:r w:rsidRPr="00664B8F">
        <w:rPr>
          <w:rStyle w:val="FootnoteReference"/>
          <w:rFonts w:ascii="Verdana" w:hAnsi="Verdana"/>
          <w:color w:val="77328A"/>
          <w:sz w:val="16"/>
          <w:szCs w:val="16"/>
        </w:rPr>
        <w:footnoteRef/>
      </w:r>
      <w:r w:rsidRPr="00664B8F">
        <w:rPr>
          <w:rFonts w:ascii="Verdana" w:hAnsi="Verdana"/>
          <w:color w:val="77328A"/>
          <w:sz w:val="16"/>
          <w:szCs w:val="16"/>
        </w:rPr>
        <w:t xml:space="preserve"> Northern Ireland Office, “Explainer: UK Government commitment to no diminution of rights, safeguards and equality of opportunity in Northern Ireland” (NIO, 2020), at para 13.</w:t>
      </w:r>
    </w:p>
  </w:footnote>
  <w:footnote w:id="6">
    <w:p w14:paraId="5D26D3BB" w14:textId="77777777" w:rsidR="00480F9B" w:rsidRPr="00B73C4A" w:rsidRDefault="00480F9B" w:rsidP="006120A8">
      <w:pPr>
        <w:pStyle w:val="NIHRCFootnotes"/>
        <w:jc w:val="both"/>
        <w:rPr>
          <w:color w:val="7030A0"/>
        </w:rPr>
      </w:pPr>
      <w:r w:rsidRPr="00664B8F">
        <w:rPr>
          <w:rStyle w:val="FootnoteReference"/>
        </w:rPr>
        <w:footnoteRef/>
      </w:r>
      <w:r w:rsidRPr="00664B8F">
        <w:t xml:space="preserve"> </w:t>
      </w:r>
      <w:r w:rsidRPr="00664B8F">
        <w:rPr>
          <w:shd w:val="clear" w:color="auto" w:fill="FFFFFF"/>
        </w:rPr>
        <w:t>Directive (EU) 2019/1158 of the European Parliament and of the Council of 20 June 2019 on work-life balance for parents and carers and repealing Council Directive 2010/18/EU; The Parental Leave Directive falls within the scope of Article 2. The Work-Life Balance Directive will repeal the Parental Leave Directive, yet there is no obligation on the UK Government to keep pace with these new provisions.</w:t>
      </w:r>
    </w:p>
  </w:footnote>
  <w:footnote w:id="7">
    <w:p w14:paraId="35959456" w14:textId="77777777" w:rsidR="00480F9B" w:rsidRPr="00664B8F" w:rsidRDefault="00480F9B" w:rsidP="006120A8">
      <w:pPr>
        <w:pStyle w:val="NIHRCFootnotes"/>
        <w:jc w:val="both"/>
      </w:pPr>
      <w:r w:rsidRPr="00664B8F">
        <w:rPr>
          <w:rStyle w:val="FootnoteReference"/>
        </w:rPr>
        <w:footnoteRef/>
      </w:r>
      <w:r w:rsidRPr="00664B8F">
        <w:t xml:space="preserve"> UK Government, ‘Equality Analysis: European Union (Withdrawal) Bill,’ (UKG, 2017).</w:t>
      </w:r>
    </w:p>
  </w:footnote>
  <w:footnote w:id="8">
    <w:p w14:paraId="46687432" w14:textId="77777777" w:rsidR="00480F9B" w:rsidRPr="00664B8F" w:rsidRDefault="00480F9B" w:rsidP="006120A8">
      <w:pPr>
        <w:pStyle w:val="NIHRCFootnotes"/>
        <w:jc w:val="both"/>
      </w:pPr>
      <w:r w:rsidRPr="00664B8F">
        <w:rPr>
          <w:rStyle w:val="FootnoteReference"/>
        </w:rPr>
        <w:footnoteRef/>
      </w:r>
      <w:r w:rsidRPr="00664B8F">
        <w:t xml:space="preserve"> E Hepburn, ‘Social and Equality Impacts of </w:t>
      </w:r>
      <w:r w:rsidRPr="00664B8F">
        <w:t>Brexit’, (Scottish Government, 2020), at 5.</w:t>
      </w:r>
    </w:p>
  </w:footnote>
  <w:footnote w:id="9">
    <w:p w14:paraId="303E6A8C" w14:textId="77777777" w:rsidR="00480F9B" w:rsidRPr="00B73C4A" w:rsidRDefault="00480F9B" w:rsidP="006120A8">
      <w:pPr>
        <w:pStyle w:val="NIHRCFootnotes"/>
        <w:jc w:val="both"/>
        <w:rPr>
          <w:color w:val="7030A0"/>
        </w:rPr>
      </w:pPr>
      <w:r w:rsidRPr="00664B8F">
        <w:rPr>
          <w:rStyle w:val="FootnoteReference"/>
        </w:rPr>
        <w:footnoteRef/>
      </w:r>
      <w:r w:rsidRPr="00664B8F">
        <w:t xml:space="preserve"> </w:t>
      </w:r>
      <w:r w:rsidRPr="00664B8F">
        <w:rPr>
          <w:shd w:val="clear" w:color="auto" w:fill="FFFFFF"/>
        </w:rPr>
        <w:t>See Employment Equality (Age) Regulations (NI) 2006; Disability Discrimination Act 1995; Special Educational Needs and Disability (NI) Order 2005; Equal Pay Act (NI) 1970; Sex Discrimination (NI) Order 1976; Race Relations (NI) Order 1997; Fair Employment and Treatment (NI) Order 1998; Employment Equality (Sexual Orientation) Regulations (NI) 2003; Equality Act (Sexual Orientation) Regulations (NI) 2006; NI Act 1998.</w:t>
      </w:r>
    </w:p>
  </w:footnote>
  <w:footnote w:id="10">
    <w:p w14:paraId="658A422B" w14:textId="77777777" w:rsidR="00480F9B" w:rsidRPr="00664B8F" w:rsidRDefault="00480F9B" w:rsidP="006120A8">
      <w:pPr>
        <w:pStyle w:val="NIHRCFootnotes"/>
        <w:jc w:val="both"/>
      </w:pPr>
      <w:r w:rsidRPr="00664B8F">
        <w:rPr>
          <w:rStyle w:val="FootnoteReference"/>
          <w:vertAlign w:val="baseline"/>
        </w:rPr>
        <w:footnoteRef/>
      </w:r>
      <w:r w:rsidRPr="00664B8F">
        <w:t xml:space="preserve"> Women’s Policy Group NI, ‘NI Covid-19 Feminist Recovery Plan: Relaunch – One Year On’, (WRDA, 2021), at 296.</w:t>
      </w:r>
    </w:p>
  </w:footnote>
  <w:footnote w:id="11">
    <w:p w14:paraId="04194623" w14:textId="77777777" w:rsidR="00480F9B" w:rsidRPr="00664B8F" w:rsidRDefault="00480F9B" w:rsidP="006120A8">
      <w:pPr>
        <w:pStyle w:val="NIHRCFootnotes"/>
        <w:jc w:val="both"/>
      </w:pPr>
      <w:r w:rsidRPr="00664B8F">
        <w:rPr>
          <w:rStyle w:val="FootnoteReference"/>
        </w:rPr>
        <w:footnoteRef/>
      </w:r>
      <w:r w:rsidRPr="00664B8F">
        <w:t xml:space="preserve"> House of Commons Library, ‘the UK Shared Prosperity Fund: Briefing Paper’, (</w:t>
      </w:r>
      <w:r w:rsidRPr="00664B8F">
        <w:t>HoL, 2021), at 15.  The focus of the UK wide framework for the UK Shared Prosperity Fund has only been set out in broad terms with little detail available. It will focus on investment in people, such as work-based training and will include some support for early years; investment in communities and infrastructure and investment for local business. A second strand of funding will be targeted to people most in need through bespoke employment and skills programmes.</w:t>
      </w:r>
    </w:p>
  </w:footnote>
  <w:footnote w:id="12">
    <w:p w14:paraId="58A47060" w14:textId="77777777" w:rsidR="00480F9B" w:rsidRPr="00664B8F" w:rsidRDefault="00480F9B" w:rsidP="006120A8">
      <w:pPr>
        <w:pStyle w:val="NIHRCFootnotes"/>
        <w:jc w:val="both"/>
      </w:pPr>
      <w:r w:rsidRPr="00664B8F">
        <w:rPr>
          <w:rStyle w:val="FootnoteReference"/>
        </w:rPr>
        <w:footnoteRef/>
      </w:r>
      <w:r w:rsidRPr="00664B8F">
        <w:t xml:space="preserve"> The Commission would note that, under article 4 of the UK-EU Withdrawal Agreement 2020, both the European Charter of Fundamental Rights and CJEU jurisprudence still have relevance to the Withdrawal Agreement, including the Ireland/Northern Ireland Protocol and any EU obligation made applicable by that Agreement.</w:t>
      </w:r>
    </w:p>
  </w:footnote>
  <w:footnote w:id="13">
    <w:p w14:paraId="3777ED8A" w14:textId="77777777" w:rsidR="00480F9B" w:rsidRPr="00664B8F" w:rsidRDefault="00480F9B" w:rsidP="006120A8">
      <w:pPr>
        <w:pStyle w:val="NIHRCFootnotes"/>
        <w:jc w:val="both"/>
      </w:pPr>
      <w:r w:rsidRPr="00664B8F">
        <w:rPr>
          <w:rStyle w:val="FootnoteReference"/>
        </w:rPr>
        <w:footnoteRef/>
      </w:r>
      <w:r w:rsidRPr="00664B8F">
        <w:t xml:space="preserve"> Women’s Policy Group NI, ‘NI Covid-19 Feminist Recovery Plan: Relaunch – One Year On’, (WRDA, 2021), at 296.</w:t>
      </w:r>
    </w:p>
  </w:footnote>
  <w:footnote w:id="14">
    <w:p w14:paraId="0EE098BC" w14:textId="77777777" w:rsidR="00480F9B" w:rsidRPr="00664B8F" w:rsidRDefault="00480F9B" w:rsidP="006120A8">
      <w:pPr>
        <w:pStyle w:val="NIHRCFootnotes"/>
        <w:jc w:val="both"/>
      </w:pPr>
      <w:r w:rsidRPr="00664B8F">
        <w:rPr>
          <w:rStyle w:val="FootnoteReference"/>
        </w:rPr>
        <w:footnoteRef/>
      </w:r>
      <w:r w:rsidRPr="00664B8F">
        <w:t xml:space="preserve"> Women’s Policy Group NI, ‘NI Covid-19 Feminist Recovery Plan: Relaunch – One Year On’, (WRDA, 2021), Plan at 299.</w:t>
      </w:r>
    </w:p>
  </w:footnote>
  <w:footnote w:id="15">
    <w:p w14:paraId="5950105A" w14:textId="77777777" w:rsidR="00480F9B" w:rsidRPr="00664B8F" w:rsidRDefault="00480F9B" w:rsidP="006120A8">
      <w:pPr>
        <w:pStyle w:val="NIHRCFootnotes"/>
        <w:jc w:val="both"/>
      </w:pPr>
      <w:r w:rsidRPr="00664B8F">
        <w:rPr>
          <w:rStyle w:val="FootnoteReference"/>
        </w:rPr>
        <w:footnoteRef/>
      </w:r>
      <w:r w:rsidRPr="00664B8F">
        <w:t xml:space="preserve"> Northern Ireland Office, “Explainer: UK Government commitment to no diminution of rights, safeguards and equality of opportunity in Northern Ireland” (NIO, 2020), at para 13.  The NIHRC is currently undertaking further work to examine the scope of Article 2 and relevant underpinning EU obligations. </w:t>
      </w:r>
    </w:p>
  </w:footnote>
  <w:footnote w:id="16">
    <w:p w14:paraId="6F904567" w14:textId="77777777" w:rsidR="00480F9B" w:rsidRPr="00B73C4A" w:rsidRDefault="00480F9B" w:rsidP="006120A8">
      <w:pPr>
        <w:pStyle w:val="NIHRCFootnotes"/>
        <w:jc w:val="both"/>
        <w:rPr>
          <w:color w:val="7030A0"/>
        </w:rPr>
      </w:pPr>
      <w:r w:rsidRPr="00664B8F">
        <w:rPr>
          <w:rStyle w:val="FootnoteReference"/>
        </w:rPr>
        <w:footnoteRef/>
      </w:r>
      <w:r w:rsidRPr="00664B8F">
        <w:t xml:space="preserve"> </w:t>
      </w:r>
      <w:hyperlink r:id="rId1" w:history="1">
        <w:r w:rsidRPr="00664B8F">
          <w:t>Refuge,</w:t>
        </w:r>
      </w:hyperlink>
      <w:r w:rsidRPr="00664B8F">
        <w:t xml:space="preserve"> ‘Refuge reports that many survivors of domestic abuse are yet to apply for Settled Status and fear this will put vulnerable families at further risk’, (Refuge, 2021); There are reports that some women have been coerced by abusers into believing that they are no longer able to contact the police or access healthcare services due to the UK’s withdrawal from the EU.</w:t>
      </w:r>
    </w:p>
  </w:footnote>
  <w:footnote w:id="17">
    <w:p w14:paraId="0CC3722A" w14:textId="61E38295" w:rsidR="00480F9B" w:rsidRPr="00664B8F" w:rsidRDefault="00480F9B" w:rsidP="006120A8">
      <w:pPr>
        <w:pStyle w:val="NIHRCFootnotes"/>
        <w:jc w:val="both"/>
      </w:pPr>
      <w:r w:rsidRPr="00664B8F">
        <w:rPr>
          <w:rStyle w:val="FootnoteReference"/>
        </w:rPr>
        <w:footnoteRef/>
      </w:r>
      <w:r w:rsidRPr="00664B8F">
        <w:t xml:space="preserve"> </w:t>
      </w:r>
      <w:r w:rsidR="0084446B" w:rsidRPr="00664B8F">
        <w:t xml:space="preserve">Consideration of a </w:t>
      </w:r>
      <w:r w:rsidRPr="00664B8F">
        <w:t xml:space="preserve">Bill of Rights for Northern Ireland was </w:t>
      </w:r>
      <w:r w:rsidR="0084446B" w:rsidRPr="00664B8F">
        <w:t xml:space="preserve">a commitment </w:t>
      </w:r>
      <w:r w:rsidRPr="00664B8F">
        <w:t xml:space="preserve">under the Belfast (Good Friday) Agreement 1998. An Ad-Hoc Assembly Committee was created to consider the creation of a Bill of Rights under the New Decade, New Approach Agreement 2020. </w:t>
      </w:r>
    </w:p>
  </w:footnote>
  <w:footnote w:id="18">
    <w:p w14:paraId="40FF5E8B" w14:textId="77777777" w:rsidR="00480F9B" w:rsidRPr="00664B8F" w:rsidRDefault="00480F9B" w:rsidP="006120A8">
      <w:pPr>
        <w:pStyle w:val="NIHRCFootnotes"/>
        <w:jc w:val="both"/>
      </w:pPr>
      <w:r w:rsidRPr="00664B8F">
        <w:rPr>
          <w:rStyle w:val="FootnoteReference"/>
        </w:rPr>
        <w:footnoteRef/>
      </w:r>
      <w:r w:rsidRPr="00664B8F">
        <w:t xml:space="preserve"> Belfast (Good Friday) Agreement, 10 April 1998, Part 6 on Rights, Safeguards and Equality of Opportunity – Human Rights, para 4. NI Human Rights Commission, ‘Response to the Ad Hoc Committee’s consultation on a Bill of Rights for Northern Ireland’, (NIHRC, 2021).</w:t>
      </w:r>
    </w:p>
  </w:footnote>
  <w:footnote w:id="19">
    <w:p w14:paraId="1FDAD78F" w14:textId="77777777" w:rsidR="00480F9B" w:rsidRPr="00664B8F" w:rsidRDefault="00480F9B" w:rsidP="000A7B23">
      <w:pPr>
        <w:pStyle w:val="NIHRCFootnotes"/>
        <w:jc w:val="both"/>
      </w:pPr>
      <w:r w:rsidRPr="00664B8F">
        <w:rPr>
          <w:rStyle w:val="FootnoteReference"/>
        </w:rPr>
        <w:footnoteRef/>
      </w:r>
      <w:r w:rsidRPr="00664B8F">
        <w:t xml:space="preserve"> Independent Human Rights Act Review Team, ‘Terms of Reference’, (MoJ, 2021).</w:t>
      </w:r>
    </w:p>
  </w:footnote>
  <w:footnote w:id="20">
    <w:p w14:paraId="298C535B" w14:textId="77777777" w:rsidR="00480F9B" w:rsidRPr="00664B8F" w:rsidRDefault="00480F9B" w:rsidP="000A7B23">
      <w:pPr>
        <w:pStyle w:val="FootnoteText"/>
        <w:jc w:val="both"/>
        <w:rPr>
          <w:rFonts w:ascii="Verdana" w:hAnsi="Verdana"/>
          <w:color w:val="77328A"/>
          <w:sz w:val="16"/>
          <w:szCs w:val="16"/>
        </w:rPr>
      </w:pPr>
      <w:r w:rsidRPr="00664B8F">
        <w:rPr>
          <w:rStyle w:val="FootnoteReference"/>
          <w:rFonts w:ascii="Verdana" w:hAnsi="Verdana"/>
          <w:color w:val="77328A"/>
          <w:sz w:val="16"/>
          <w:szCs w:val="16"/>
        </w:rPr>
        <w:footnoteRef/>
      </w:r>
      <w:r w:rsidRPr="00664B8F">
        <w:rPr>
          <w:rFonts w:ascii="Verdana" w:hAnsi="Verdana"/>
          <w:color w:val="77328A"/>
          <w:sz w:val="16"/>
          <w:szCs w:val="16"/>
        </w:rPr>
        <w:t xml:space="preserve"> NI Human Rights Commission, ‘Submission to the Independent Human Rights Act Review Team’s Call for Evidence (NIHRC, 2021).</w:t>
      </w:r>
    </w:p>
  </w:footnote>
  <w:footnote w:id="21">
    <w:p w14:paraId="07668BB3" w14:textId="5B590FD6" w:rsidR="00480F9B" w:rsidRPr="00B73C4A" w:rsidRDefault="00480F9B" w:rsidP="000A7B23">
      <w:pPr>
        <w:pStyle w:val="FootnoteText"/>
        <w:jc w:val="both"/>
        <w:rPr>
          <w:rFonts w:ascii="Verdana" w:hAnsi="Verdana"/>
          <w:color w:val="7030A0"/>
          <w:sz w:val="16"/>
          <w:szCs w:val="16"/>
        </w:rPr>
      </w:pPr>
      <w:r w:rsidRPr="00664B8F">
        <w:rPr>
          <w:rStyle w:val="FootnoteReference"/>
          <w:rFonts w:ascii="Verdana" w:hAnsi="Verdana"/>
          <w:color w:val="77328A"/>
          <w:sz w:val="16"/>
          <w:szCs w:val="16"/>
        </w:rPr>
        <w:footnoteRef/>
      </w:r>
      <w:r w:rsidRPr="00664B8F">
        <w:rPr>
          <w:rFonts w:ascii="Verdana" w:hAnsi="Verdana"/>
          <w:color w:val="77328A"/>
          <w:sz w:val="16"/>
          <w:szCs w:val="16"/>
        </w:rPr>
        <w:t xml:space="preserve"> The </w:t>
      </w:r>
      <w:r w:rsidR="0084446B" w:rsidRPr="00664B8F">
        <w:rPr>
          <w:rFonts w:ascii="Verdana" w:hAnsi="Verdana"/>
          <w:color w:val="77328A"/>
          <w:sz w:val="16"/>
          <w:szCs w:val="16"/>
        </w:rPr>
        <w:t>Belfast (</w:t>
      </w:r>
      <w:r w:rsidRPr="00664B8F">
        <w:rPr>
          <w:rFonts w:ascii="Verdana" w:hAnsi="Verdana"/>
          <w:color w:val="77328A"/>
          <w:sz w:val="16"/>
          <w:szCs w:val="16"/>
        </w:rPr>
        <w:t>Good Friday</w:t>
      </w:r>
      <w:r w:rsidR="0084446B" w:rsidRPr="00664B8F">
        <w:rPr>
          <w:rFonts w:ascii="Verdana" w:hAnsi="Verdana"/>
          <w:color w:val="77328A"/>
          <w:sz w:val="16"/>
          <w:szCs w:val="16"/>
        </w:rPr>
        <w:t>)</w:t>
      </w:r>
      <w:r w:rsidRPr="00664B8F">
        <w:rPr>
          <w:rFonts w:ascii="Verdana" w:hAnsi="Verdana"/>
          <w:color w:val="77328A"/>
          <w:sz w:val="16"/>
          <w:szCs w:val="16"/>
        </w:rPr>
        <w:t xml:space="preserve"> Agreement 1998 section on Rights, Safeguards and Equality of Opportunity created a duty on the UK Government to incorporate the ECHR into NI law with direct access to the courts, remedies for breach and empowering the courts to overrule inconsistent NI Assembly legislation - Sections 6(2)(c) and 24(1)(a), Northern Ireland Act 1998.</w:t>
      </w:r>
    </w:p>
  </w:footnote>
  <w:footnote w:id="22">
    <w:p w14:paraId="040A0A01" w14:textId="79FF10C5" w:rsidR="00480F9B" w:rsidRPr="00664B8F" w:rsidRDefault="00480F9B" w:rsidP="000A7B23">
      <w:pPr>
        <w:pStyle w:val="NIHRCFootnotes"/>
        <w:jc w:val="both"/>
      </w:pPr>
      <w:r w:rsidRPr="00664B8F">
        <w:rPr>
          <w:rStyle w:val="FootnoteReference"/>
        </w:rPr>
        <w:footnoteRef/>
      </w:r>
      <w:r w:rsidRPr="00664B8F">
        <w:t xml:space="preserve"> </w:t>
      </w:r>
      <w:r w:rsidR="0084446B" w:rsidRPr="00664B8F">
        <w:t>NIHRC</w:t>
      </w:r>
      <w:r w:rsidRPr="00664B8F">
        <w:t xml:space="preserve">, ‘Submission to the Independent Human Rights Act Review Team’s Call for Evidence’, (NIHRC, 2021); The </w:t>
      </w:r>
      <w:r w:rsidR="00E35F0D" w:rsidRPr="00664B8F">
        <w:t xml:space="preserve">Belfast (Good Friday) Agreement </w:t>
      </w:r>
      <w:r w:rsidRPr="00664B8F">
        <w:t xml:space="preserve">created a duty on the UK Government to incorporate the ECHR into NI law “with direct access to the courts, and remedies for breach of the Convention, including power for the courts to overrule Assembly legislation on grounds of inconsistency”. This incorporation of the ECHR was achieved through the HRA. The Northern Ireland Act 1998 (NIA) incorporates the commitments of the </w:t>
      </w:r>
      <w:r w:rsidR="00E35F0D" w:rsidRPr="00664B8F">
        <w:t>Belfast (Good Friday) Agreement</w:t>
      </w:r>
      <w:r w:rsidRPr="00664B8F">
        <w:t xml:space="preserve"> into domestic law and legislates for devolution in NI. The ECHR is embedded into the NIA, in keeping with commitments made under the </w:t>
      </w:r>
      <w:r w:rsidR="00E35F0D" w:rsidRPr="00664B8F">
        <w:t>Belfast (Good Friday) Agreement</w:t>
      </w:r>
      <w:r w:rsidRPr="00664B8F">
        <w:t>.</w:t>
      </w:r>
    </w:p>
  </w:footnote>
  <w:footnote w:id="23">
    <w:p w14:paraId="102E6FC7" w14:textId="77777777" w:rsidR="00480F9B" w:rsidRPr="00664B8F" w:rsidRDefault="00480F9B" w:rsidP="006120A8">
      <w:pPr>
        <w:pStyle w:val="NIHRCFootnotes"/>
        <w:jc w:val="both"/>
      </w:pPr>
      <w:r w:rsidRPr="00664B8F">
        <w:rPr>
          <w:rStyle w:val="FootnoteReference"/>
        </w:rPr>
        <w:footnoteRef/>
      </w:r>
      <w:r w:rsidRPr="00664B8F">
        <w:t xml:space="preserve"> The EU (Withdrawal) Act 2018 repealed the European Communities Act 1972, which gave effect to EU law within UK domestic legal frameworks.</w:t>
      </w:r>
    </w:p>
  </w:footnote>
  <w:footnote w:id="24">
    <w:p w14:paraId="6082ED99" w14:textId="77777777" w:rsidR="00480F9B" w:rsidRPr="00664B8F" w:rsidRDefault="00480F9B" w:rsidP="006120A8">
      <w:pPr>
        <w:pStyle w:val="NIHRCFootnotes"/>
        <w:jc w:val="both"/>
      </w:pPr>
      <w:r w:rsidRPr="00664B8F">
        <w:rPr>
          <w:rStyle w:val="FootnoteReference"/>
        </w:rPr>
        <w:footnoteRef/>
      </w:r>
      <w:r w:rsidRPr="00664B8F">
        <w:t xml:space="preserve"> Section 2 of the EU (Withdrawal) Act 2018 carries over EU-derived law as it was on exit day into a domestic legal framework, while section 3 incorporates direct EU obligations, such as Regulations, into UK domestic law. Section 4 of the EU (Withdrawal) Act ensures that any rights, obligations and remedies, which were available before the 31 December 2020, continue to be recognised on and after that date.</w:t>
      </w:r>
    </w:p>
  </w:footnote>
  <w:footnote w:id="25">
    <w:p w14:paraId="19E1EB4A" w14:textId="77777777" w:rsidR="00480F9B" w:rsidRPr="00664B8F" w:rsidRDefault="00480F9B" w:rsidP="006120A8">
      <w:pPr>
        <w:pStyle w:val="NIHRCFootnotes"/>
        <w:jc w:val="both"/>
      </w:pPr>
      <w:r w:rsidRPr="00664B8F">
        <w:rPr>
          <w:rStyle w:val="FootnoteReference"/>
        </w:rPr>
        <w:footnoteRef/>
      </w:r>
      <w:r w:rsidRPr="00664B8F">
        <w:t xml:space="preserve"> </w:t>
      </w:r>
      <w:r w:rsidRPr="00664B8F">
        <w:rPr>
          <w:shd w:val="clear" w:color="auto" w:fill="FFFFFF"/>
        </w:rPr>
        <w:t>Directive (EU) 2019/1158 of the European Parliament and of the Council of 20 June 2019 on work-life balance for parents and carers and repealing Council Directive 2010/18/EU; There is an obligation on the UK to maintain the levels of protection set by the Parental Leave Directive, but no obligation to mirror the provisions of the Work-Life Balance Directive which replaces it.</w:t>
      </w:r>
    </w:p>
  </w:footnote>
  <w:footnote w:id="26">
    <w:p w14:paraId="0B0C2E28" w14:textId="77777777" w:rsidR="00480F9B" w:rsidRPr="00664B8F" w:rsidRDefault="00480F9B" w:rsidP="006120A8">
      <w:pPr>
        <w:pStyle w:val="NIHRCFootnotes"/>
        <w:jc w:val="both"/>
        <w:rPr>
          <w:rFonts w:cstheme="minorHAnsi"/>
        </w:rPr>
      </w:pPr>
      <w:r w:rsidRPr="00664B8F">
        <w:rPr>
          <w:rStyle w:val="FootnoteReference"/>
          <w:rFonts w:cstheme="minorHAnsi"/>
        </w:rPr>
        <w:footnoteRef/>
      </w:r>
      <w:r w:rsidRPr="00664B8F">
        <w:rPr>
          <w:rFonts w:cstheme="minorHAnsi"/>
        </w:rPr>
        <w:t xml:space="preserve"> Section 5, EU (Withdrawal) Act 2018; </w:t>
      </w:r>
      <w:r w:rsidRPr="00664B8F">
        <w:t>References to the Charter in case law are “to be read as if they were references to any corresponding retained fundamental rights or principles”. The general principles of EU are recognised, but are given much more limited scope as “there is no right of action in domestic law on or after exit day for failure to comply with any of the principles of EU law”.</w:t>
      </w:r>
    </w:p>
  </w:footnote>
  <w:footnote w:id="27">
    <w:p w14:paraId="6D5377D0" w14:textId="77777777" w:rsidR="00480F9B" w:rsidRPr="00B73C4A" w:rsidRDefault="00480F9B" w:rsidP="006120A8">
      <w:pPr>
        <w:pStyle w:val="FootnoteText"/>
        <w:rPr>
          <w:rFonts w:ascii="Verdana" w:hAnsi="Verdana"/>
          <w:color w:val="7030A0"/>
          <w:sz w:val="16"/>
          <w:szCs w:val="16"/>
        </w:rPr>
      </w:pPr>
      <w:r w:rsidRPr="00664B8F">
        <w:rPr>
          <w:rStyle w:val="FootnoteReference"/>
          <w:rFonts w:ascii="Verdana" w:hAnsi="Verdana"/>
          <w:color w:val="77328A"/>
          <w:sz w:val="16"/>
          <w:szCs w:val="16"/>
        </w:rPr>
        <w:footnoteRef/>
      </w:r>
      <w:r w:rsidRPr="00664B8F">
        <w:rPr>
          <w:rFonts w:ascii="Verdana" w:hAnsi="Verdana"/>
          <w:color w:val="77328A"/>
          <w:sz w:val="16"/>
          <w:szCs w:val="16"/>
        </w:rPr>
        <w:t xml:space="preserve"> Article 4, UK-EU Withdrawal Agreement.</w:t>
      </w:r>
    </w:p>
  </w:footnote>
  <w:footnote w:id="28">
    <w:p w14:paraId="36286B1D" w14:textId="77777777" w:rsidR="00480F9B" w:rsidRPr="00664B8F" w:rsidRDefault="00480F9B" w:rsidP="006120A8">
      <w:pPr>
        <w:pStyle w:val="NIHRCFootnotes"/>
        <w:jc w:val="both"/>
      </w:pPr>
      <w:r w:rsidRPr="00664B8F">
        <w:rPr>
          <w:rStyle w:val="FootnoteReference"/>
        </w:rPr>
        <w:footnoteRef/>
      </w:r>
      <w:r w:rsidRPr="00664B8F">
        <w:t xml:space="preserve"> Section 6(5A) of the EU (Withdrawal) Act 2018 permits a Minister by regulation to amend the Act and change the extent to which courts can diverge from retained EU case law. The regulations preserved the normal operation of precedent between decisions of UK courts, therefore a decision of a superior court on whether or not to depart from retained EU case law would continue to be binding.</w:t>
      </w:r>
    </w:p>
  </w:footnote>
  <w:footnote w:id="29">
    <w:p w14:paraId="47A1F773" w14:textId="353258F9" w:rsidR="00480F9B" w:rsidRPr="00664B8F" w:rsidRDefault="00480F9B" w:rsidP="00AA4F40">
      <w:pPr>
        <w:pStyle w:val="FootnoteText"/>
        <w:jc w:val="both"/>
        <w:rPr>
          <w:rFonts w:ascii="Verdana" w:hAnsi="Verdana"/>
          <w:color w:val="77328A"/>
          <w:sz w:val="16"/>
          <w:szCs w:val="16"/>
        </w:rPr>
      </w:pPr>
      <w:r w:rsidRPr="00664B8F">
        <w:rPr>
          <w:rStyle w:val="FootnoteReference"/>
          <w:rFonts w:ascii="Verdana" w:hAnsi="Verdana"/>
          <w:color w:val="77328A"/>
          <w:sz w:val="16"/>
          <w:szCs w:val="16"/>
        </w:rPr>
        <w:footnoteRef/>
      </w:r>
      <w:r w:rsidRPr="00664B8F">
        <w:rPr>
          <w:rFonts w:ascii="Verdana" w:hAnsi="Verdana"/>
          <w:color w:val="77328A"/>
          <w:sz w:val="16"/>
          <w:szCs w:val="16"/>
        </w:rPr>
        <w:t xml:space="preserve"> The UK Government must ensure that any changes to retained EU law that fall within scope of Article 2 of the Protocol do not result in a diminution of rights, safeguards and equality of opportunity, as laid out in the </w:t>
      </w:r>
      <w:r w:rsidR="00E35F0D" w:rsidRPr="00664B8F">
        <w:rPr>
          <w:rFonts w:ascii="Verdana" w:hAnsi="Verdana"/>
          <w:color w:val="77328A"/>
          <w:sz w:val="16"/>
          <w:szCs w:val="16"/>
        </w:rPr>
        <w:t>Belfast (Good Friday) Agreement</w:t>
      </w:r>
      <w:r w:rsidRPr="00664B8F">
        <w:rPr>
          <w:rFonts w:ascii="Verdana" w:hAnsi="Verdana"/>
          <w:color w:val="77328A"/>
          <w:sz w:val="16"/>
          <w:szCs w:val="16"/>
        </w:rPr>
        <w:t>, as a result of the UK’s withdrawal from the 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E9F"/>
    <w:multiLevelType w:val="multilevel"/>
    <w:tmpl w:val="7B1EA7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color w:val="000000" w:themeColor="text1"/>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 w15:restartNumberingAfterBreak="0">
    <w:nsid w:val="139C70F0"/>
    <w:multiLevelType w:val="multilevel"/>
    <w:tmpl w:val="E5BC10D8"/>
    <w:lvl w:ilvl="0">
      <w:start w:val="5"/>
      <w:numFmt w:val="decimal"/>
      <w:lvlText w:val="%1.0"/>
      <w:lvlJc w:val="left"/>
      <w:pPr>
        <w:ind w:left="720" w:hanging="720"/>
      </w:pPr>
      <w:rPr>
        <w:rFonts w:hint="default"/>
      </w:rPr>
    </w:lvl>
    <w:lvl w:ilvl="1">
      <w:start w:val="1"/>
      <w:numFmt w:val="decimal"/>
      <w:pStyle w:val="ListParagraph"/>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22194047"/>
    <w:multiLevelType w:val="multilevel"/>
    <w:tmpl w:val="7B1EA7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color w:val="000000" w:themeColor="text1"/>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3" w15:restartNumberingAfterBreak="0">
    <w:nsid w:val="2AC175AA"/>
    <w:multiLevelType w:val="multilevel"/>
    <w:tmpl w:val="A992CCF0"/>
    <w:lvl w:ilvl="0">
      <w:start w:val="2"/>
      <w:numFmt w:val="decimal"/>
      <w:lvlText w:val="%1"/>
      <w:lvlJc w:val="left"/>
      <w:pPr>
        <w:ind w:left="398" w:hanging="398"/>
      </w:pPr>
      <w:rPr>
        <w:rFonts w:eastAsia="Times New Roman" w:cs="Times New Roman" w:hint="default"/>
        <w:sz w:val="22"/>
      </w:rPr>
    </w:lvl>
    <w:lvl w:ilvl="1">
      <w:start w:val="1"/>
      <w:numFmt w:val="decimal"/>
      <w:lvlText w:val="%1.%2"/>
      <w:lvlJc w:val="left"/>
      <w:pPr>
        <w:ind w:left="720" w:hanging="720"/>
      </w:pPr>
      <w:rPr>
        <w:rFonts w:eastAsia="Times New Roman" w:cs="Times New Roman" w:hint="default"/>
        <w:sz w:val="22"/>
      </w:rPr>
    </w:lvl>
    <w:lvl w:ilvl="2">
      <w:start w:val="1"/>
      <w:numFmt w:val="decimal"/>
      <w:lvlText w:val="%1.%2.%3"/>
      <w:lvlJc w:val="left"/>
      <w:pPr>
        <w:ind w:left="1800" w:hanging="1080"/>
      </w:pPr>
      <w:rPr>
        <w:rFonts w:eastAsia="Times New Roman" w:cs="Times New Roman" w:hint="default"/>
        <w:sz w:val="22"/>
      </w:rPr>
    </w:lvl>
    <w:lvl w:ilvl="3">
      <w:start w:val="1"/>
      <w:numFmt w:val="decimal"/>
      <w:lvlText w:val="%1.%2.%3.%4"/>
      <w:lvlJc w:val="left"/>
      <w:pPr>
        <w:ind w:left="2520" w:hanging="1440"/>
      </w:pPr>
      <w:rPr>
        <w:rFonts w:eastAsia="Times New Roman" w:cs="Times New Roman" w:hint="default"/>
        <w:sz w:val="22"/>
      </w:rPr>
    </w:lvl>
    <w:lvl w:ilvl="4">
      <w:start w:val="1"/>
      <w:numFmt w:val="decimal"/>
      <w:lvlText w:val="%1.%2.%3.%4.%5"/>
      <w:lvlJc w:val="left"/>
      <w:pPr>
        <w:ind w:left="3240" w:hanging="1800"/>
      </w:pPr>
      <w:rPr>
        <w:rFonts w:eastAsia="Times New Roman" w:cs="Times New Roman" w:hint="default"/>
        <w:sz w:val="22"/>
      </w:rPr>
    </w:lvl>
    <w:lvl w:ilvl="5">
      <w:start w:val="1"/>
      <w:numFmt w:val="decimal"/>
      <w:lvlText w:val="%1.%2.%3.%4.%5.%6"/>
      <w:lvlJc w:val="left"/>
      <w:pPr>
        <w:ind w:left="3960" w:hanging="2160"/>
      </w:pPr>
      <w:rPr>
        <w:rFonts w:eastAsia="Times New Roman" w:cs="Times New Roman" w:hint="default"/>
        <w:sz w:val="22"/>
      </w:rPr>
    </w:lvl>
    <w:lvl w:ilvl="6">
      <w:start w:val="1"/>
      <w:numFmt w:val="decimal"/>
      <w:lvlText w:val="%1.%2.%3.%4.%5.%6.%7"/>
      <w:lvlJc w:val="left"/>
      <w:pPr>
        <w:ind w:left="4680" w:hanging="2520"/>
      </w:pPr>
      <w:rPr>
        <w:rFonts w:eastAsia="Times New Roman" w:cs="Times New Roman" w:hint="default"/>
        <w:sz w:val="22"/>
      </w:rPr>
    </w:lvl>
    <w:lvl w:ilvl="7">
      <w:start w:val="1"/>
      <w:numFmt w:val="decimal"/>
      <w:lvlText w:val="%1.%2.%3.%4.%5.%6.%7.%8"/>
      <w:lvlJc w:val="left"/>
      <w:pPr>
        <w:ind w:left="5400" w:hanging="2880"/>
      </w:pPr>
      <w:rPr>
        <w:rFonts w:eastAsia="Times New Roman" w:cs="Times New Roman" w:hint="default"/>
        <w:sz w:val="22"/>
      </w:rPr>
    </w:lvl>
    <w:lvl w:ilvl="8">
      <w:start w:val="1"/>
      <w:numFmt w:val="decimal"/>
      <w:lvlText w:val="%1.%2.%3.%4.%5.%6.%7.%8.%9"/>
      <w:lvlJc w:val="left"/>
      <w:pPr>
        <w:ind w:left="6120" w:hanging="3240"/>
      </w:pPr>
      <w:rPr>
        <w:rFonts w:eastAsia="Times New Roman" w:cs="Times New Roman" w:hint="default"/>
        <w:sz w:val="22"/>
      </w:rPr>
    </w:lvl>
  </w:abstractNum>
  <w:abstractNum w:abstractNumId="4" w15:restartNumberingAfterBreak="0">
    <w:nsid w:val="456B6FD0"/>
    <w:multiLevelType w:val="multilevel"/>
    <w:tmpl w:val="14681D96"/>
    <w:lvl w:ilvl="0">
      <w:start w:val="1"/>
      <w:numFmt w:val="decimal"/>
      <w:pStyle w:val="Heading1"/>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952" w:hanging="1080"/>
      </w:pPr>
      <w:rPr>
        <w:rFonts w:hint="default"/>
      </w:rPr>
    </w:lvl>
    <w:lvl w:ilvl="3">
      <w:start w:val="1"/>
      <w:numFmt w:val="decimal"/>
      <w:lvlText w:val="%1.%2.%3.%4"/>
      <w:lvlJc w:val="left"/>
      <w:pPr>
        <w:ind w:left="3032" w:hanging="1440"/>
      </w:pPr>
      <w:rPr>
        <w:rFonts w:hint="default"/>
      </w:rPr>
    </w:lvl>
    <w:lvl w:ilvl="4">
      <w:start w:val="1"/>
      <w:numFmt w:val="decimal"/>
      <w:lvlText w:val="%1.%2.%3.%4.%5"/>
      <w:lvlJc w:val="left"/>
      <w:pPr>
        <w:ind w:left="4112" w:hanging="1800"/>
      </w:pPr>
      <w:rPr>
        <w:rFonts w:hint="default"/>
      </w:rPr>
    </w:lvl>
    <w:lvl w:ilvl="5">
      <w:start w:val="1"/>
      <w:numFmt w:val="decimal"/>
      <w:lvlText w:val="%1.%2.%3.%4.%5.%6"/>
      <w:lvlJc w:val="left"/>
      <w:pPr>
        <w:ind w:left="5192" w:hanging="2160"/>
      </w:pPr>
      <w:rPr>
        <w:rFonts w:hint="default"/>
      </w:rPr>
    </w:lvl>
    <w:lvl w:ilvl="6">
      <w:start w:val="1"/>
      <w:numFmt w:val="decimal"/>
      <w:lvlText w:val="%1.%2.%3.%4.%5.%6.%7"/>
      <w:lvlJc w:val="left"/>
      <w:pPr>
        <w:ind w:left="6272" w:hanging="2520"/>
      </w:pPr>
      <w:rPr>
        <w:rFonts w:hint="default"/>
      </w:rPr>
    </w:lvl>
    <w:lvl w:ilvl="7">
      <w:start w:val="1"/>
      <w:numFmt w:val="decimal"/>
      <w:lvlText w:val="%1.%2.%3.%4.%5.%6.%7.%8"/>
      <w:lvlJc w:val="left"/>
      <w:pPr>
        <w:ind w:left="7352" w:hanging="2880"/>
      </w:pPr>
      <w:rPr>
        <w:rFonts w:hint="default"/>
      </w:rPr>
    </w:lvl>
    <w:lvl w:ilvl="8">
      <w:start w:val="1"/>
      <w:numFmt w:val="decimal"/>
      <w:lvlText w:val="%1.%2.%3.%4.%5.%6.%7.%8.%9"/>
      <w:lvlJc w:val="left"/>
      <w:pPr>
        <w:ind w:left="8432" w:hanging="3240"/>
      </w:pPr>
      <w:rPr>
        <w:rFonts w:hint="default"/>
      </w:rPr>
    </w:lvl>
  </w:abstractNum>
  <w:abstractNum w:abstractNumId="5" w15:restartNumberingAfterBreak="0">
    <w:nsid w:val="596E1FAB"/>
    <w:multiLevelType w:val="multilevel"/>
    <w:tmpl w:val="A992CCF0"/>
    <w:lvl w:ilvl="0">
      <w:start w:val="2"/>
      <w:numFmt w:val="decimal"/>
      <w:lvlText w:val="%1"/>
      <w:lvlJc w:val="left"/>
      <w:pPr>
        <w:ind w:left="398" w:hanging="398"/>
      </w:pPr>
      <w:rPr>
        <w:rFonts w:eastAsia="Times New Roman" w:cs="Times New Roman" w:hint="default"/>
        <w:sz w:val="22"/>
      </w:rPr>
    </w:lvl>
    <w:lvl w:ilvl="1">
      <w:start w:val="1"/>
      <w:numFmt w:val="decimal"/>
      <w:lvlText w:val="%1.%2"/>
      <w:lvlJc w:val="left"/>
      <w:pPr>
        <w:ind w:left="720" w:hanging="720"/>
      </w:pPr>
      <w:rPr>
        <w:rFonts w:eastAsia="Times New Roman" w:cs="Times New Roman" w:hint="default"/>
        <w:sz w:val="22"/>
      </w:rPr>
    </w:lvl>
    <w:lvl w:ilvl="2">
      <w:start w:val="1"/>
      <w:numFmt w:val="decimal"/>
      <w:lvlText w:val="%1.%2.%3"/>
      <w:lvlJc w:val="left"/>
      <w:pPr>
        <w:ind w:left="1800" w:hanging="1080"/>
      </w:pPr>
      <w:rPr>
        <w:rFonts w:eastAsia="Times New Roman" w:cs="Times New Roman" w:hint="default"/>
        <w:sz w:val="22"/>
      </w:rPr>
    </w:lvl>
    <w:lvl w:ilvl="3">
      <w:start w:val="1"/>
      <w:numFmt w:val="decimal"/>
      <w:lvlText w:val="%1.%2.%3.%4"/>
      <w:lvlJc w:val="left"/>
      <w:pPr>
        <w:ind w:left="2520" w:hanging="1440"/>
      </w:pPr>
      <w:rPr>
        <w:rFonts w:eastAsia="Times New Roman" w:cs="Times New Roman" w:hint="default"/>
        <w:sz w:val="22"/>
      </w:rPr>
    </w:lvl>
    <w:lvl w:ilvl="4">
      <w:start w:val="1"/>
      <w:numFmt w:val="decimal"/>
      <w:lvlText w:val="%1.%2.%3.%4.%5"/>
      <w:lvlJc w:val="left"/>
      <w:pPr>
        <w:ind w:left="3240" w:hanging="1800"/>
      </w:pPr>
      <w:rPr>
        <w:rFonts w:eastAsia="Times New Roman" w:cs="Times New Roman" w:hint="default"/>
        <w:sz w:val="22"/>
      </w:rPr>
    </w:lvl>
    <w:lvl w:ilvl="5">
      <w:start w:val="1"/>
      <w:numFmt w:val="decimal"/>
      <w:lvlText w:val="%1.%2.%3.%4.%5.%6"/>
      <w:lvlJc w:val="left"/>
      <w:pPr>
        <w:ind w:left="3960" w:hanging="2160"/>
      </w:pPr>
      <w:rPr>
        <w:rFonts w:eastAsia="Times New Roman" w:cs="Times New Roman" w:hint="default"/>
        <w:sz w:val="22"/>
      </w:rPr>
    </w:lvl>
    <w:lvl w:ilvl="6">
      <w:start w:val="1"/>
      <w:numFmt w:val="decimal"/>
      <w:lvlText w:val="%1.%2.%3.%4.%5.%6.%7"/>
      <w:lvlJc w:val="left"/>
      <w:pPr>
        <w:ind w:left="4680" w:hanging="2520"/>
      </w:pPr>
      <w:rPr>
        <w:rFonts w:eastAsia="Times New Roman" w:cs="Times New Roman" w:hint="default"/>
        <w:sz w:val="22"/>
      </w:rPr>
    </w:lvl>
    <w:lvl w:ilvl="7">
      <w:start w:val="1"/>
      <w:numFmt w:val="decimal"/>
      <w:lvlText w:val="%1.%2.%3.%4.%5.%6.%7.%8"/>
      <w:lvlJc w:val="left"/>
      <w:pPr>
        <w:ind w:left="5400" w:hanging="2880"/>
      </w:pPr>
      <w:rPr>
        <w:rFonts w:eastAsia="Times New Roman" w:cs="Times New Roman" w:hint="default"/>
        <w:sz w:val="22"/>
      </w:rPr>
    </w:lvl>
    <w:lvl w:ilvl="8">
      <w:start w:val="1"/>
      <w:numFmt w:val="decimal"/>
      <w:lvlText w:val="%1.%2.%3.%4.%5.%6.%7.%8.%9"/>
      <w:lvlJc w:val="left"/>
      <w:pPr>
        <w:ind w:left="6120" w:hanging="3240"/>
      </w:pPr>
      <w:rPr>
        <w:rFonts w:eastAsia="Times New Roman" w:cs="Times New Roman" w:hint="default"/>
        <w:sz w:val="22"/>
      </w:rPr>
    </w:lvl>
  </w:abstractNum>
  <w:abstractNum w:abstractNumId="6" w15:restartNumberingAfterBreak="0">
    <w:nsid w:val="76CA6859"/>
    <w:multiLevelType w:val="hybridMultilevel"/>
    <w:tmpl w:val="F6C6D6A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78EE19AC"/>
    <w:multiLevelType w:val="multilevel"/>
    <w:tmpl w:val="B366ECC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num w:numId="1">
    <w:abstractNumId w:val="0"/>
  </w:num>
  <w:num w:numId="2">
    <w:abstractNumId w:val="2"/>
  </w:num>
  <w:num w:numId="3">
    <w:abstractNumId w:val="3"/>
  </w:num>
  <w:num w:numId="4">
    <w:abstractNumId w:val="5"/>
  </w:num>
  <w:num w:numId="5">
    <w:abstractNumId w:val="1"/>
  </w:num>
  <w:num w:numId="6">
    <w:abstractNumId w:val="4"/>
  </w:num>
  <w:num w:numId="7">
    <w:abstractNumId w:val="7"/>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FC3"/>
    <w:rsid w:val="00004F8B"/>
    <w:rsid w:val="000313AE"/>
    <w:rsid w:val="00046705"/>
    <w:rsid w:val="0005379E"/>
    <w:rsid w:val="000550B8"/>
    <w:rsid w:val="000728CA"/>
    <w:rsid w:val="000820A5"/>
    <w:rsid w:val="00094653"/>
    <w:rsid w:val="000A7B23"/>
    <w:rsid w:val="000E1F61"/>
    <w:rsid w:val="000E7451"/>
    <w:rsid w:val="000E7F0C"/>
    <w:rsid w:val="000F5E48"/>
    <w:rsid w:val="00123BE6"/>
    <w:rsid w:val="001253FB"/>
    <w:rsid w:val="001259D8"/>
    <w:rsid w:val="001272AF"/>
    <w:rsid w:val="001367B2"/>
    <w:rsid w:val="00140C54"/>
    <w:rsid w:val="00156C3D"/>
    <w:rsid w:val="00160C37"/>
    <w:rsid w:val="00164CE3"/>
    <w:rsid w:val="001B3079"/>
    <w:rsid w:val="001C7BCE"/>
    <w:rsid w:val="001D4022"/>
    <w:rsid w:val="001E3163"/>
    <w:rsid w:val="001E79A9"/>
    <w:rsid w:val="001F09AD"/>
    <w:rsid w:val="002058B0"/>
    <w:rsid w:val="00213B8A"/>
    <w:rsid w:val="00224140"/>
    <w:rsid w:val="002351CB"/>
    <w:rsid w:val="002428EC"/>
    <w:rsid w:val="00245151"/>
    <w:rsid w:val="0026477A"/>
    <w:rsid w:val="00272ADE"/>
    <w:rsid w:val="00286E41"/>
    <w:rsid w:val="002A525C"/>
    <w:rsid w:val="002B1272"/>
    <w:rsid w:val="002B4468"/>
    <w:rsid w:val="002C3A91"/>
    <w:rsid w:val="002C61FC"/>
    <w:rsid w:val="002E22FD"/>
    <w:rsid w:val="002E587D"/>
    <w:rsid w:val="003061CB"/>
    <w:rsid w:val="00306317"/>
    <w:rsid w:val="00331C61"/>
    <w:rsid w:val="00341BFE"/>
    <w:rsid w:val="00351D7C"/>
    <w:rsid w:val="00367CCA"/>
    <w:rsid w:val="003763C9"/>
    <w:rsid w:val="00385019"/>
    <w:rsid w:val="00393343"/>
    <w:rsid w:val="003A122B"/>
    <w:rsid w:val="003A621C"/>
    <w:rsid w:val="003B729F"/>
    <w:rsid w:val="003B7D0E"/>
    <w:rsid w:val="003D09D2"/>
    <w:rsid w:val="003F33E6"/>
    <w:rsid w:val="00402467"/>
    <w:rsid w:val="00410456"/>
    <w:rsid w:val="00417108"/>
    <w:rsid w:val="0041761C"/>
    <w:rsid w:val="004322FA"/>
    <w:rsid w:val="004627A0"/>
    <w:rsid w:val="00463D6B"/>
    <w:rsid w:val="00466A2E"/>
    <w:rsid w:val="004672AC"/>
    <w:rsid w:val="00480F9B"/>
    <w:rsid w:val="004C7842"/>
    <w:rsid w:val="004D0AC8"/>
    <w:rsid w:val="004D12A2"/>
    <w:rsid w:val="0054054C"/>
    <w:rsid w:val="00544187"/>
    <w:rsid w:val="00552293"/>
    <w:rsid w:val="0056344F"/>
    <w:rsid w:val="005651FC"/>
    <w:rsid w:val="00566574"/>
    <w:rsid w:val="00571C82"/>
    <w:rsid w:val="00574EEB"/>
    <w:rsid w:val="005B723E"/>
    <w:rsid w:val="005D4E82"/>
    <w:rsid w:val="006120A8"/>
    <w:rsid w:val="00615F3B"/>
    <w:rsid w:val="006235CE"/>
    <w:rsid w:val="006245BB"/>
    <w:rsid w:val="00650E5E"/>
    <w:rsid w:val="006560D8"/>
    <w:rsid w:val="00656ECD"/>
    <w:rsid w:val="00664B8F"/>
    <w:rsid w:val="00664E3C"/>
    <w:rsid w:val="00684AC3"/>
    <w:rsid w:val="006A2AA0"/>
    <w:rsid w:val="006B7C55"/>
    <w:rsid w:val="006C5C82"/>
    <w:rsid w:val="006D02BA"/>
    <w:rsid w:val="006F1D6E"/>
    <w:rsid w:val="00705833"/>
    <w:rsid w:val="007129B4"/>
    <w:rsid w:val="007144B6"/>
    <w:rsid w:val="00716EE9"/>
    <w:rsid w:val="0072199A"/>
    <w:rsid w:val="007512F2"/>
    <w:rsid w:val="00752C49"/>
    <w:rsid w:val="007569C1"/>
    <w:rsid w:val="0075791A"/>
    <w:rsid w:val="00764A8B"/>
    <w:rsid w:val="0076735B"/>
    <w:rsid w:val="00782294"/>
    <w:rsid w:val="00786514"/>
    <w:rsid w:val="00793663"/>
    <w:rsid w:val="007B3AB0"/>
    <w:rsid w:val="007D5544"/>
    <w:rsid w:val="007F0AE6"/>
    <w:rsid w:val="007F266D"/>
    <w:rsid w:val="00801600"/>
    <w:rsid w:val="00802059"/>
    <w:rsid w:val="00812119"/>
    <w:rsid w:val="00812D47"/>
    <w:rsid w:val="008159E8"/>
    <w:rsid w:val="0082134C"/>
    <w:rsid w:val="0084446B"/>
    <w:rsid w:val="00844898"/>
    <w:rsid w:val="00854E5B"/>
    <w:rsid w:val="0086759E"/>
    <w:rsid w:val="00870BBA"/>
    <w:rsid w:val="0087161B"/>
    <w:rsid w:val="00872187"/>
    <w:rsid w:val="00875E68"/>
    <w:rsid w:val="008A263C"/>
    <w:rsid w:val="008A4C43"/>
    <w:rsid w:val="008D7C32"/>
    <w:rsid w:val="0091147E"/>
    <w:rsid w:val="0092225C"/>
    <w:rsid w:val="00922F0E"/>
    <w:rsid w:val="0092520C"/>
    <w:rsid w:val="00937406"/>
    <w:rsid w:val="009462A1"/>
    <w:rsid w:val="00957988"/>
    <w:rsid w:val="00962B2B"/>
    <w:rsid w:val="0096459E"/>
    <w:rsid w:val="009746AC"/>
    <w:rsid w:val="00974FC8"/>
    <w:rsid w:val="00980521"/>
    <w:rsid w:val="009860F9"/>
    <w:rsid w:val="00991F97"/>
    <w:rsid w:val="009928AC"/>
    <w:rsid w:val="009A5928"/>
    <w:rsid w:val="009D47CE"/>
    <w:rsid w:val="009E09FE"/>
    <w:rsid w:val="009F5C02"/>
    <w:rsid w:val="00A33337"/>
    <w:rsid w:val="00A349F7"/>
    <w:rsid w:val="00A36D5D"/>
    <w:rsid w:val="00A51AAF"/>
    <w:rsid w:val="00A81F79"/>
    <w:rsid w:val="00A83F89"/>
    <w:rsid w:val="00AA4F40"/>
    <w:rsid w:val="00AB4FE4"/>
    <w:rsid w:val="00AC06AE"/>
    <w:rsid w:val="00AC696F"/>
    <w:rsid w:val="00AD282A"/>
    <w:rsid w:val="00AD535A"/>
    <w:rsid w:val="00B571D9"/>
    <w:rsid w:val="00B62176"/>
    <w:rsid w:val="00B719C3"/>
    <w:rsid w:val="00B73C4A"/>
    <w:rsid w:val="00B96D34"/>
    <w:rsid w:val="00BB576D"/>
    <w:rsid w:val="00BE51C0"/>
    <w:rsid w:val="00BE5849"/>
    <w:rsid w:val="00C07B09"/>
    <w:rsid w:val="00C2725D"/>
    <w:rsid w:val="00C316B2"/>
    <w:rsid w:val="00C76E49"/>
    <w:rsid w:val="00C77D85"/>
    <w:rsid w:val="00C93584"/>
    <w:rsid w:val="00CA2B0A"/>
    <w:rsid w:val="00CA5F5D"/>
    <w:rsid w:val="00CD0015"/>
    <w:rsid w:val="00CD065A"/>
    <w:rsid w:val="00CD2EF0"/>
    <w:rsid w:val="00CE3039"/>
    <w:rsid w:val="00CE5130"/>
    <w:rsid w:val="00CF0261"/>
    <w:rsid w:val="00CF7734"/>
    <w:rsid w:val="00D12EF8"/>
    <w:rsid w:val="00D16532"/>
    <w:rsid w:val="00D16F02"/>
    <w:rsid w:val="00D22BDB"/>
    <w:rsid w:val="00D2770F"/>
    <w:rsid w:val="00D34472"/>
    <w:rsid w:val="00D614E5"/>
    <w:rsid w:val="00D619DF"/>
    <w:rsid w:val="00D725D1"/>
    <w:rsid w:val="00DA033E"/>
    <w:rsid w:val="00DA42AB"/>
    <w:rsid w:val="00DA660F"/>
    <w:rsid w:val="00DE796B"/>
    <w:rsid w:val="00E045EE"/>
    <w:rsid w:val="00E058DB"/>
    <w:rsid w:val="00E21DF3"/>
    <w:rsid w:val="00E3484B"/>
    <w:rsid w:val="00E35F0D"/>
    <w:rsid w:val="00E428E9"/>
    <w:rsid w:val="00E432EC"/>
    <w:rsid w:val="00E47222"/>
    <w:rsid w:val="00E519C0"/>
    <w:rsid w:val="00E54F0F"/>
    <w:rsid w:val="00E60C22"/>
    <w:rsid w:val="00E91E07"/>
    <w:rsid w:val="00EA12CE"/>
    <w:rsid w:val="00EA2D40"/>
    <w:rsid w:val="00EA2EB7"/>
    <w:rsid w:val="00EC6942"/>
    <w:rsid w:val="00ED1716"/>
    <w:rsid w:val="00ED40E9"/>
    <w:rsid w:val="00ED7878"/>
    <w:rsid w:val="00EF2164"/>
    <w:rsid w:val="00F23617"/>
    <w:rsid w:val="00F24874"/>
    <w:rsid w:val="00F31387"/>
    <w:rsid w:val="00F40B59"/>
    <w:rsid w:val="00F41A2B"/>
    <w:rsid w:val="00F4215E"/>
    <w:rsid w:val="00F43CE4"/>
    <w:rsid w:val="00F524B4"/>
    <w:rsid w:val="00F528DA"/>
    <w:rsid w:val="00F53B81"/>
    <w:rsid w:val="00F56C78"/>
    <w:rsid w:val="00F72527"/>
    <w:rsid w:val="00F91200"/>
    <w:rsid w:val="00F93B16"/>
    <w:rsid w:val="00FA3439"/>
    <w:rsid w:val="00FE4A41"/>
    <w:rsid w:val="00FF34C7"/>
    <w:rsid w:val="00FF3CBA"/>
    <w:rsid w:val="00FF4838"/>
    <w:rsid w:val="0F16C68D"/>
    <w:rsid w:val="1B8FA265"/>
    <w:rsid w:val="2103CBE3"/>
    <w:rsid w:val="22892043"/>
    <w:rsid w:val="38AA3A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0CB0B61"/>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015"/>
    <w:pPr>
      <w:keepNext/>
      <w:keepLines/>
      <w:numPr>
        <w:numId w:val="6"/>
      </w:numPr>
      <w:spacing w:before="240"/>
      <w:outlineLvl w:val="0"/>
    </w:pPr>
    <w:rPr>
      <w:rFonts w:ascii="Verdana" w:eastAsiaTheme="majorEastAsia" w:hAnsi="Verdana" w:cstheme="majorBidi"/>
      <w:b/>
      <w:color w:val="77328A"/>
      <w:sz w:val="30"/>
      <w:szCs w:val="32"/>
    </w:rPr>
  </w:style>
  <w:style w:type="paragraph" w:styleId="Heading2">
    <w:name w:val="heading 2"/>
    <w:basedOn w:val="Normal"/>
    <w:next w:val="Normal"/>
    <w:link w:val="Heading2Char"/>
    <w:uiPriority w:val="9"/>
    <w:unhideWhenUsed/>
    <w:qFormat/>
    <w:rsid w:val="001259D8"/>
    <w:pPr>
      <w:keepNext/>
      <w:keepLines/>
      <w:spacing w:before="40"/>
      <w:outlineLvl w:val="1"/>
    </w:pPr>
    <w:rPr>
      <w:rFonts w:ascii="Verdana" w:eastAsiaTheme="majorEastAsia" w:hAnsi="Verdana" w:cstheme="majorBidi"/>
      <w:b/>
      <w:color w:val="000000" w:themeColor="text1"/>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224140"/>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Black"/>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link w:val="ListParagraphChar"/>
    <w:uiPriority w:val="34"/>
    <w:qFormat/>
    <w:rsid w:val="00D725D1"/>
    <w:pPr>
      <w:numPr>
        <w:ilvl w:val="1"/>
        <w:numId w:val="5"/>
      </w:numPr>
      <w:contextualSpacing/>
    </w:pPr>
    <w:rPr>
      <w:rFonts w:ascii="Verdana" w:hAnsi="Verdana"/>
    </w:rPr>
  </w:style>
  <w:style w:type="character" w:customStyle="1" w:styleId="Heading1Char">
    <w:name w:val="Heading 1 Char"/>
    <w:basedOn w:val="DefaultParagraphFont"/>
    <w:link w:val="Heading1"/>
    <w:uiPriority w:val="9"/>
    <w:rsid w:val="00CD0015"/>
    <w:rPr>
      <w:rFonts w:ascii="Verdana" w:eastAsiaTheme="majorEastAsia" w:hAnsi="Verdana" w:cstheme="majorBidi"/>
      <w:b/>
      <w:color w:val="77328A"/>
      <w:sz w:val="30"/>
      <w:szCs w:val="32"/>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DE796B"/>
    <w:pPr>
      <w:spacing w:line="240" w:lineRule="exact"/>
      <w:jc w:val="both"/>
    </w:pPr>
    <w:rPr>
      <w:vertAlign w:val="superscript"/>
    </w:rPr>
  </w:style>
  <w:style w:type="paragraph" w:styleId="Quote">
    <w:name w:val="Quote"/>
    <w:basedOn w:val="Normal"/>
    <w:next w:val="Normal"/>
    <w:link w:val="QuoteChar"/>
    <w:uiPriority w:val="29"/>
    <w:qFormat/>
    <w:rsid w:val="006245BB"/>
    <w:pPr>
      <w:spacing w:before="240" w:after="240"/>
      <w:ind w:left="862" w:right="862"/>
    </w:pPr>
    <w:rPr>
      <w:rFonts w:ascii="Verdana" w:hAnsi="Verdana"/>
      <w:iCs/>
      <w:szCs w:val="28"/>
    </w:rPr>
  </w:style>
  <w:style w:type="character" w:customStyle="1" w:styleId="QuoteChar">
    <w:name w:val="Quote Char"/>
    <w:basedOn w:val="DefaultParagraphFont"/>
    <w:link w:val="Quote"/>
    <w:uiPriority w:val="29"/>
    <w:rsid w:val="006245BB"/>
    <w:rPr>
      <w:rFonts w:ascii="Verdana" w:hAnsi="Verdana"/>
      <w:iCs/>
      <w:szCs w:val="28"/>
    </w:rPr>
  </w:style>
  <w:style w:type="paragraph" w:styleId="TOCHeading">
    <w:name w:val="TOC Heading"/>
    <w:basedOn w:val="Heading1"/>
    <w:next w:val="Normal"/>
    <w:uiPriority w:val="39"/>
    <w:unhideWhenUsed/>
    <w:qFormat/>
    <w:rsid w:val="001259D8"/>
    <w:pPr>
      <w:numPr>
        <w:numId w:val="0"/>
      </w:num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9A5928"/>
    <w:pPr>
      <w:tabs>
        <w:tab w:val="left" w:pos="660"/>
        <w:tab w:val="right" w:leader="dot" w:pos="9848"/>
      </w:tabs>
      <w:spacing w:after="100"/>
    </w:pPr>
    <w:rPr>
      <w:rFonts w:ascii="Verdana" w:hAnsi="Verdana"/>
      <w:b/>
      <w:noProof/>
    </w:rPr>
  </w:style>
  <w:style w:type="character" w:customStyle="1" w:styleId="Heading2Char">
    <w:name w:val="Heading 2 Char"/>
    <w:basedOn w:val="DefaultParagraphFont"/>
    <w:link w:val="Heading2"/>
    <w:uiPriority w:val="9"/>
    <w:rsid w:val="001259D8"/>
    <w:rPr>
      <w:rFonts w:ascii="Verdana" w:eastAsiaTheme="majorEastAsia" w:hAnsi="Verdana" w:cstheme="majorBidi"/>
      <w:b/>
      <w:color w:val="000000" w:themeColor="text1"/>
      <w:szCs w:val="26"/>
    </w:rPr>
  </w:style>
  <w:style w:type="paragraph" w:styleId="TOC2">
    <w:name w:val="toc 2"/>
    <w:basedOn w:val="Normal"/>
    <w:next w:val="Normal"/>
    <w:autoRedefine/>
    <w:uiPriority w:val="39"/>
    <w:unhideWhenUsed/>
    <w:rsid w:val="00AD282A"/>
    <w:pPr>
      <w:spacing w:after="100"/>
      <w:ind w:left="240"/>
    </w:pPr>
  </w:style>
  <w:style w:type="character" w:styleId="CommentReference">
    <w:name w:val="annotation reference"/>
    <w:basedOn w:val="DefaultParagraphFont"/>
    <w:uiPriority w:val="99"/>
    <w:semiHidden/>
    <w:unhideWhenUsed/>
    <w:rsid w:val="00D34472"/>
    <w:rPr>
      <w:sz w:val="16"/>
      <w:szCs w:val="16"/>
    </w:rPr>
  </w:style>
  <w:style w:type="paragraph" w:styleId="CommentText">
    <w:name w:val="annotation text"/>
    <w:basedOn w:val="Normal"/>
    <w:link w:val="CommentTextChar"/>
    <w:uiPriority w:val="99"/>
    <w:semiHidden/>
    <w:unhideWhenUsed/>
    <w:rsid w:val="00D34472"/>
    <w:rPr>
      <w:sz w:val="20"/>
      <w:szCs w:val="20"/>
    </w:rPr>
  </w:style>
  <w:style w:type="character" w:customStyle="1" w:styleId="CommentTextChar">
    <w:name w:val="Comment Text Char"/>
    <w:basedOn w:val="DefaultParagraphFont"/>
    <w:link w:val="CommentText"/>
    <w:uiPriority w:val="99"/>
    <w:semiHidden/>
    <w:rsid w:val="00D34472"/>
    <w:rPr>
      <w:sz w:val="20"/>
      <w:szCs w:val="20"/>
    </w:rPr>
  </w:style>
  <w:style w:type="paragraph" w:styleId="CommentSubject">
    <w:name w:val="annotation subject"/>
    <w:basedOn w:val="CommentText"/>
    <w:next w:val="CommentText"/>
    <w:link w:val="CommentSubjectChar"/>
    <w:uiPriority w:val="99"/>
    <w:semiHidden/>
    <w:unhideWhenUsed/>
    <w:rsid w:val="00D34472"/>
    <w:rPr>
      <w:b/>
      <w:bCs/>
    </w:rPr>
  </w:style>
  <w:style w:type="character" w:customStyle="1" w:styleId="CommentSubjectChar">
    <w:name w:val="Comment Subject Char"/>
    <w:basedOn w:val="CommentTextChar"/>
    <w:link w:val="CommentSubject"/>
    <w:uiPriority w:val="99"/>
    <w:semiHidden/>
    <w:rsid w:val="00D34472"/>
    <w:rPr>
      <w:b/>
      <w:bCs/>
      <w:sz w:val="20"/>
      <w:szCs w:val="20"/>
    </w:rPr>
  </w:style>
  <w:style w:type="character" w:customStyle="1" w:styleId="ListParagraphChar">
    <w:name w:val="List Paragraph Char"/>
    <w:basedOn w:val="DefaultParagraphFont"/>
    <w:link w:val="ListParagraph"/>
    <w:uiPriority w:val="34"/>
    <w:rsid w:val="00D725D1"/>
    <w:rPr>
      <w:rFonts w:ascii="Verdana" w:hAnsi="Verdana"/>
    </w:rPr>
  </w:style>
  <w:style w:type="character" w:styleId="FollowedHyperlink">
    <w:name w:val="FollowedHyperlink"/>
    <w:basedOn w:val="DefaultParagraphFont"/>
    <w:uiPriority w:val="99"/>
    <w:semiHidden/>
    <w:unhideWhenUsed/>
    <w:rsid w:val="00812119"/>
    <w:rPr>
      <w:color w:val="800080" w:themeColor="followedHyperlink"/>
      <w:u w:val="single"/>
    </w:rPr>
  </w:style>
  <w:style w:type="paragraph" w:styleId="Revision">
    <w:name w:val="Revision"/>
    <w:hidden/>
    <w:uiPriority w:val="99"/>
    <w:semiHidden/>
    <w:rsid w:val="00AC6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5686">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857814642">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efuge.org.uk/eu-settled-status-domestic-abuse-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95A50-A24C-40F1-8EAA-FD73E495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1828</Words>
  <Characters>10322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Conor Boyle</cp:lastModifiedBy>
  <cp:revision>2</cp:revision>
  <cp:lastPrinted>2018-04-20T11:30:00Z</cp:lastPrinted>
  <dcterms:created xsi:type="dcterms:W3CDTF">2021-10-12T10:41:00Z</dcterms:created>
  <dcterms:modified xsi:type="dcterms:W3CDTF">2021-10-12T10:41:00Z</dcterms:modified>
</cp:coreProperties>
</file>