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737F" w14:textId="783AC7BF" w:rsidR="00192B51" w:rsidRPr="00FF612A" w:rsidRDefault="005B436C" w:rsidP="00874603">
      <w:pPr>
        <w:spacing w:line="276" w:lineRule="auto"/>
        <w:jc w:val="center"/>
        <w:rPr>
          <w:rFonts w:ascii="Verdana" w:hAnsi="Verdana"/>
          <w:b/>
          <w:bCs/>
          <w:sz w:val="24"/>
          <w:szCs w:val="24"/>
        </w:rPr>
      </w:pPr>
      <w:r w:rsidRPr="00FF612A">
        <w:rPr>
          <w:rFonts w:ascii="Verdana" w:hAnsi="Verdana"/>
          <w:b/>
          <w:bCs/>
          <w:sz w:val="24"/>
          <w:szCs w:val="24"/>
        </w:rPr>
        <w:t>NI</w:t>
      </w:r>
      <w:r w:rsidR="00FF67FE">
        <w:rPr>
          <w:rFonts w:ascii="Verdana" w:hAnsi="Verdana"/>
          <w:b/>
          <w:bCs/>
          <w:sz w:val="24"/>
          <w:szCs w:val="24"/>
        </w:rPr>
        <w:t xml:space="preserve"> Affairs Committee</w:t>
      </w:r>
      <w:r w:rsidRPr="00FF612A">
        <w:rPr>
          <w:rFonts w:ascii="Verdana" w:hAnsi="Verdana"/>
          <w:b/>
          <w:bCs/>
          <w:sz w:val="24"/>
          <w:szCs w:val="24"/>
        </w:rPr>
        <w:t xml:space="preserve"> Inquiry </w:t>
      </w:r>
      <w:r w:rsidR="009714C4">
        <w:rPr>
          <w:rFonts w:ascii="Verdana" w:hAnsi="Verdana"/>
          <w:b/>
          <w:bCs/>
          <w:sz w:val="24"/>
          <w:szCs w:val="24"/>
        </w:rPr>
        <w:t>into</w:t>
      </w:r>
      <w:r w:rsidRPr="00FF612A">
        <w:rPr>
          <w:rFonts w:ascii="Verdana" w:hAnsi="Verdana"/>
          <w:b/>
          <w:bCs/>
          <w:sz w:val="24"/>
          <w:szCs w:val="24"/>
        </w:rPr>
        <w:t xml:space="preserve"> Citizenship and Passport Processes in NI</w:t>
      </w:r>
      <w:r w:rsidR="0002765C">
        <w:rPr>
          <w:rFonts w:ascii="Verdana" w:hAnsi="Verdana"/>
          <w:b/>
          <w:bCs/>
          <w:sz w:val="24"/>
          <w:szCs w:val="24"/>
        </w:rPr>
        <w:t xml:space="preserve">: </w:t>
      </w:r>
      <w:r w:rsidRPr="00FF612A">
        <w:rPr>
          <w:rFonts w:ascii="Verdana" w:hAnsi="Verdana"/>
          <w:b/>
          <w:bCs/>
          <w:sz w:val="24"/>
          <w:szCs w:val="24"/>
        </w:rPr>
        <w:t>NIHRC Commentary on</w:t>
      </w:r>
      <w:r w:rsidR="0002765C">
        <w:rPr>
          <w:rFonts w:ascii="Verdana" w:hAnsi="Verdana"/>
          <w:b/>
          <w:bCs/>
          <w:sz w:val="24"/>
          <w:szCs w:val="24"/>
        </w:rPr>
        <w:t xml:space="preserve"> the </w:t>
      </w:r>
      <w:r w:rsidR="0002765C" w:rsidRPr="00FF612A">
        <w:rPr>
          <w:rFonts w:ascii="Verdana" w:hAnsi="Verdana"/>
          <w:b/>
          <w:bCs/>
          <w:sz w:val="24"/>
          <w:szCs w:val="24"/>
        </w:rPr>
        <w:t>Northern Ireland Office</w:t>
      </w:r>
      <w:r w:rsidR="0002765C">
        <w:rPr>
          <w:rFonts w:ascii="Verdana" w:hAnsi="Verdana"/>
          <w:b/>
          <w:bCs/>
          <w:sz w:val="24"/>
          <w:szCs w:val="24"/>
        </w:rPr>
        <w:t xml:space="preserve"> /</w:t>
      </w:r>
      <w:r w:rsidR="0002765C" w:rsidRPr="00FF612A">
        <w:rPr>
          <w:rFonts w:ascii="Verdana" w:hAnsi="Verdana"/>
          <w:b/>
          <w:bCs/>
          <w:sz w:val="24"/>
          <w:szCs w:val="24"/>
        </w:rPr>
        <w:t>Home Office</w:t>
      </w:r>
      <w:r w:rsidRPr="00FF612A">
        <w:rPr>
          <w:rFonts w:ascii="Verdana" w:hAnsi="Verdana"/>
          <w:b/>
          <w:bCs/>
          <w:sz w:val="24"/>
          <w:szCs w:val="24"/>
        </w:rPr>
        <w:t xml:space="preserve"> submission to the Committee</w:t>
      </w:r>
    </w:p>
    <w:p w14:paraId="0434E431" w14:textId="020DD191" w:rsidR="005B436C" w:rsidRPr="00FF612A" w:rsidRDefault="00FE39E6" w:rsidP="00FF612A">
      <w:pPr>
        <w:spacing w:line="276" w:lineRule="auto"/>
        <w:rPr>
          <w:rFonts w:ascii="Verdana" w:hAnsi="Verdana"/>
          <w:b/>
          <w:bCs/>
          <w:sz w:val="24"/>
          <w:szCs w:val="24"/>
        </w:rPr>
      </w:pPr>
      <w:r>
        <w:rPr>
          <w:rFonts w:ascii="Verdana" w:hAnsi="Verdana"/>
          <w:b/>
          <w:bCs/>
          <w:sz w:val="24"/>
          <w:szCs w:val="24"/>
        </w:rPr>
        <w:t>May</w:t>
      </w:r>
      <w:r w:rsidR="00CA3FF0" w:rsidRPr="00FF612A">
        <w:rPr>
          <w:rFonts w:ascii="Verdana" w:hAnsi="Verdana"/>
          <w:b/>
          <w:bCs/>
          <w:sz w:val="24"/>
          <w:szCs w:val="24"/>
        </w:rPr>
        <w:t xml:space="preserve"> 2021</w:t>
      </w:r>
    </w:p>
    <w:p w14:paraId="6E738F46" w14:textId="77777777" w:rsidR="005E15C6" w:rsidRPr="00FF612A" w:rsidRDefault="005E15C6" w:rsidP="00FF612A">
      <w:pPr>
        <w:spacing w:line="276" w:lineRule="auto"/>
        <w:rPr>
          <w:rFonts w:ascii="Verdana" w:hAnsi="Verdana"/>
          <w:b/>
          <w:bCs/>
          <w:sz w:val="24"/>
          <w:szCs w:val="24"/>
        </w:rPr>
      </w:pPr>
    </w:p>
    <w:p w14:paraId="4D1BC9AA" w14:textId="77777777" w:rsidR="00874603" w:rsidRPr="00FD55AB" w:rsidRDefault="00874603" w:rsidP="00874603">
      <w:pPr>
        <w:spacing w:after="240" w:line="276" w:lineRule="auto"/>
        <w:rPr>
          <w:rFonts w:ascii="Verdana" w:hAnsi="Verdana" w:cs="Arial"/>
          <w:b/>
          <w:color w:val="77328A"/>
          <w:sz w:val="24"/>
          <w:szCs w:val="24"/>
        </w:rPr>
      </w:pPr>
      <w:r w:rsidRPr="00FD55AB">
        <w:rPr>
          <w:rFonts w:ascii="Verdana" w:hAnsi="Verdana" w:cs="Arial"/>
          <w:b/>
          <w:color w:val="77328A"/>
          <w:sz w:val="24"/>
          <w:szCs w:val="24"/>
        </w:rPr>
        <w:t>Introduction</w:t>
      </w:r>
    </w:p>
    <w:p w14:paraId="4E219F8B" w14:textId="3291445E" w:rsidR="006475B9" w:rsidRDefault="006475B9" w:rsidP="00DB59AC">
      <w:pPr>
        <w:pStyle w:val="ListParagraph"/>
        <w:numPr>
          <w:ilvl w:val="0"/>
          <w:numId w:val="7"/>
        </w:numPr>
        <w:spacing w:line="276" w:lineRule="auto"/>
        <w:rPr>
          <w:rFonts w:ascii="Verdana" w:hAnsi="Verdana"/>
          <w:sz w:val="24"/>
          <w:szCs w:val="24"/>
        </w:rPr>
      </w:pPr>
      <w:r w:rsidRPr="00DB59AC">
        <w:rPr>
          <w:rFonts w:ascii="Verdana" w:hAnsi="Verdana"/>
          <w:sz w:val="24"/>
          <w:szCs w:val="24"/>
        </w:rPr>
        <w:t>At the Committee’s request</w:t>
      </w:r>
      <w:r w:rsidR="00CA3FF0" w:rsidRPr="00DB59AC">
        <w:rPr>
          <w:rFonts w:ascii="Verdana" w:hAnsi="Verdana"/>
          <w:sz w:val="24"/>
          <w:szCs w:val="24"/>
        </w:rPr>
        <w:t>,</w:t>
      </w:r>
      <w:r w:rsidRPr="00DB59AC">
        <w:rPr>
          <w:rFonts w:ascii="Verdana" w:hAnsi="Verdana"/>
          <w:sz w:val="24"/>
          <w:szCs w:val="24"/>
        </w:rPr>
        <w:t xml:space="preserve"> the following commentary</w:t>
      </w:r>
      <w:r w:rsidR="00F27039" w:rsidRPr="00DB59AC">
        <w:rPr>
          <w:rFonts w:ascii="Verdana" w:hAnsi="Verdana"/>
          <w:sz w:val="24"/>
          <w:szCs w:val="24"/>
        </w:rPr>
        <w:t xml:space="preserve"> supplements the Commission’s original submission to the inquiry</w:t>
      </w:r>
      <w:r w:rsidR="00297155" w:rsidRPr="00FF612A">
        <w:rPr>
          <w:rStyle w:val="FootnoteReference"/>
          <w:rFonts w:ascii="Verdana" w:hAnsi="Verdana"/>
          <w:sz w:val="24"/>
          <w:szCs w:val="24"/>
        </w:rPr>
        <w:footnoteReference w:id="1"/>
      </w:r>
      <w:r w:rsidR="00F27039" w:rsidRPr="00DB59AC">
        <w:rPr>
          <w:rFonts w:ascii="Verdana" w:hAnsi="Verdana"/>
          <w:sz w:val="24"/>
          <w:szCs w:val="24"/>
        </w:rPr>
        <w:t xml:space="preserve">, responding to arguments put in the </w:t>
      </w:r>
      <w:r w:rsidR="00297155" w:rsidRPr="00DB59AC">
        <w:rPr>
          <w:rFonts w:ascii="Verdana" w:hAnsi="Verdana"/>
          <w:sz w:val="24"/>
          <w:szCs w:val="24"/>
        </w:rPr>
        <w:t>written evidence submitted by the UK Government.</w:t>
      </w:r>
      <w:r w:rsidR="001A55F2" w:rsidRPr="00FF612A">
        <w:rPr>
          <w:rStyle w:val="FootnoteReference"/>
          <w:rFonts w:ascii="Verdana" w:hAnsi="Verdana"/>
          <w:sz w:val="24"/>
          <w:szCs w:val="24"/>
        </w:rPr>
        <w:footnoteReference w:id="2"/>
      </w:r>
      <w:r w:rsidR="00F27039" w:rsidRPr="00DB59AC">
        <w:rPr>
          <w:rFonts w:ascii="Verdana" w:hAnsi="Verdana"/>
          <w:sz w:val="24"/>
          <w:szCs w:val="24"/>
        </w:rPr>
        <w:t xml:space="preserve"> </w:t>
      </w:r>
    </w:p>
    <w:p w14:paraId="09F8924F" w14:textId="77777777" w:rsidR="00A64588" w:rsidRPr="00DB59AC" w:rsidRDefault="00A64588" w:rsidP="00A64588">
      <w:pPr>
        <w:pStyle w:val="ListParagraph"/>
        <w:spacing w:line="276" w:lineRule="auto"/>
        <w:ind w:left="454"/>
        <w:rPr>
          <w:rFonts w:ascii="Verdana" w:hAnsi="Verdana"/>
          <w:sz w:val="24"/>
          <w:szCs w:val="24"/>
        </w:rPr>
      </w:pPr>
    </w:p>
    <w:p w14:paraId="1B698AA8" w14:textId="14C8B135" w:rsidR="00196CD4" w:rsidRPr="00DB59AC" w:rsidRDefault="00196CD4" w:rsidP="00DB59AC">
      <w:pPr>
        <w:pStyle w:val="ListParagraph"/>
        <w:numPr>
          <w:ilvl w:val="0"/>
          <w:numId w:val="7"/>
        </w:numPr>
        <w:spacing w:line="276" w:lineRule="auto"/>
        <w:rPr>
          <w:rFonts w:ascii="Verdana" w:hAnsi="Verdana"/>
          <w:sz w:val="24"/>
          <w:szCs w:val="24"/>
        </w:rPr>
      </w:pPr>
      <w:r w:rsidRPr="00DB59AC">
        <w:rPr>
          <w:rFonts w:ascii="Verdana" w:hAnsi="Verdana"/>
          <w:sz w:val="24"/>
          <w:szCs w:val="24"/>
        </w:rPr>
        <w:t xml:space="preserve">The argument put forward by the NIO and Home Office, that no action is required to give effect to the </w:t>
      </w:r>
      <w:proofErr w:type="spellStart"/>
      <w:r w:rsidRPr="00DB59AC">
        <w:rPr>
          <w:rFonts w:ascii="Verdana" w:hAnsi="Verdana"/>
          <w:sz w:val="24"/>
          <w:szCs w:val="24"/>
        </w:rPr>
        <w:t>birthright</w:t>
      </w:r>
      <w:proofErr w:type="spellEnd"/>
      <w:r w:rsidRPr="00DB59AC">
        <w:rPr>
          <w:rFonts w:ascii="Verdana" w:hAnsi="Verdana"/>
          <w:sz w:val="24"/>
          <w:szCs w:val="24"/>
        </w:rPr>
        <w:t xml:space="preserve"> commitment in the BGFA, is at odds with previously stated Government positions. This departure is neither acknowledged nor explained in </w:t>
      </w:r>
      <w:r w:rsidR="003D6328" w:rsidRPr="00DB59AC">
        <w:rPr>
          <w:rFonts w:ascii="Verdana" w:hAnsi="Verdana"/>
          <w:sz w:val="24"/>
          <w:szCs w:val="24"/>
        </w:rPr>
        <w:t>its</w:t>
      </w:r>
      <w:r w:rsidRPr="00DB59AC">
        <w:rPr>
          <w:rFonts w:ascii="Verdana" w:hAnsi="Verdana"/>
          <w:sz w:val="24"/>
          <w:szCs w:val="24"/>
        </w:rPr>
        <w:t xml:space="preserve"> submission.</w:t>
      </w:r>
    </w:p>
    <w:p w14:paraId="5CF87952" w14:textId="77777777" w:rsidR="00A64588" w:rsidRDefault="00A64588" w:rsidP="00A64588">
      <w:pPr>
        <w:pStyle w:val="ListParagraph"/>
        <w:spacing w:line="276" w:lineRule="auto"/>
        <w:ind w:left="454"/>
        <w:rPr>
          <w:rFonts w:ascii="Verdana" w:hAnsi="Verdana"/>
          <w:sz w:val="24"/>
          <w:szCs w:val="24"/>
        </w:rPr>
      </w:pPr>
    </w:p>
    <w:p w14:paraId="37AB1CF7" w14:textId="2011911B" w:rsidR="000044D2" w:rsidRPr="00DB59AC" w:rsidRDefault="00283A47" w:rsidP="00DB59AC">
      <w:pPr>
        <w:pStyle w:val="ListParagraph"/>
        <w:numPr>
          <w:ilvl w:val="0"/>
          <w:numId w:val="7"/>
        </w:numPr>
        <w:spacing w:line="276" w:lineRule="auto"/>
        <w:rPr>
          <w:rFonts w:ascii="Verdana" w:hAnsi="Verdana"/>
          <w:sz w:val="24"/>
          <w:szCs w:val="24"/>
        </w:rPr>
      </w:pPr>
      <w:r w:rsidRPr="00DB59AC">
        <w:rPr>
          <w:rFonts w:ascii="Verdana" w:hAnsi="Verdana"/>
          <w:sz w:val="24"/>
          <w:szCs w:val="24"/>
        </w:rPr>
        <w:t>The Commission welcomed the (then) Prime Minister Theresa May’s recognition</w:t>
      </w:r>
      <w:r w:rsidR="00107A4E" w:rsidRPr="00DB59AC">
        <w:rPr>
          <w:rFonts w:ascii="Verdana" w:hAnsi="Verdana"/>
          <w:sz w:val="24"/>
          <w:szCs w:val="24"/>
        </w:rPr>
        <w:t xml:space="preserve"> </w:t>
      </w:r>
      <w:r w:rsidRPr="00DB59AC">
        <w:rPr>
          <w:rFonts w:ascii="Verdana" w:hAnsi="Verdana"/>
          <w:sz w:val="24"/>
          <w:szCs w:val="24"/>
        </w:rPr>
        <w:t xml:space="preserve">in February 2019 that “the </w:t>
      </w:r>
      <w:proofErr w:type="spellStart"/>
      <w:r w:rsidRPr="00DB59AC">
        <w:rPr>
          <w:rFonts w:ascii="Verdana" w:hAnsi="Verdana"/>
          <w:sz w:val="24"/>
          <w:szCs w:val="24"/>
        </w:rPr>
        <w:t>birthright</w:t>
      </w:r>
      <w:proofErr w:type="spellEnd"/>
      <w:r w:rsidRPr="00DB59AC">
        <w:rPr>
          <w:rFonts w:ascii="Verdana" w:hAnsi="Verdana"/>
          <w:sz w:val="24"/>
          <w:szCs w:val="24"/>
        </w:rPr>
        <w:t xml:space="preserve"> to identify and be accepted as British, Irish</w:t>
      </w:r>
      <w:r w:rsidR="00107A4E" w:rsidRPr="00DB59AC">
        <w:rPr>
          <w:rFonts w:ascii="Verdana" w:hAnsi="Verdana"/>
          <w:sz w:val="24"/>
          <w:szCs w:val="24"/>
        </w:rPr>
        <w:t xml:space="preserve"> </w:t>
      </w:r>
      <w:r w:rsidRPr="00DB59AC">
        <w:rPr>
          <w:rFonts w:ascii="Verdana" w:hAnsi="Verdana"/>
          <w:sz w:val="24"/>
          <w:szCs w:val="24"/>
        </w:rPr>
        <w:t>or both, and to hold both British and Irish citizenship is absolutely central to the</w:t>
      </w:r>
      <w:r w:rsidR="00107A4E" w:rsidRPr="00DB59AC">
        <w:rPr>
          <w:rFonts w:ascii="Verdana" w:hAnsi="Verdana"/>
          <w:sz w:val="24"/>
          <w:szCs w:val="24"/>
        </w:rPr>
        <w:t xml:space="preserve"> </w:t>
      </w:r>
      <w:r w:rsidRPr="00DB59AC">
        <w:rPr>
          <w:rFonts w:ascii="Verdana" w:hAnsi="Verdana"/>
          <w:sz w:val="24"/>
          <w:szCs w:val="24"/>
        </w:rPr>
        <w:t>Agreement. But I know that in some cases recently people have encountered</w:t>
      </w:r>
      <w:r w:rsidR="00107A4E" w:rsidRPr="00DB59AC">
        <w:rPr>
          <w:rFonts w:ascii="Verdana" w:hAnsi="Verdana"/>
          <w:sz w:val="24"/>
          <w:szCs w:val="24"/>
        </w:rPr>
        <w:t xml:space="preserve"> </w:t>
      </w:r>
      <w:r w:rsidRPr="00DB59AC">
        <w:rPr>
          <w:rFonts w:ascii="Verdana" w:hAnsi="Verdana"/>
          <w:sz w:val="24"/>
          <w:szCs w:val="24"/>
        </w:rPr>
        <w:t>difficulties in securing their rights as Irish citizens to bring in family members. I</w:t>
      </w:r>
      <w:r w:rsidR="00107A4E" w:rsidRPr="00DB59AC">
        <w:rPr>
          <w:rFonts w:ascii="Verdana" w:hAnsi="Verdana"/>
          <w:sz w:val="24"/>
          <w:szCs w:val="24"/>
        </w:rPr>
        <w:t xml:space="preserve"> </w:t>
      </w:r>
      <w:r w:rsidRPr="00DB59AC">
        <w:rPr>
          <w:rFonts w:ascii="Verdana" w:hAnsi="Verdana"/>
          <w:sz w:val="24"/>
          <w:szCs w:val="24"/>
        </w:rPr>
        <w:t>understand the serious concerns that have been raised”.</w:t>
      </w:r>
      <w:r w:rsidR="000044D2" w:rsidRPr="00DB59AC">
        <w:rPr>
          <w:rFonts w:ascii="Verdana" w:hAnsi="Verdana"/>
          <w:sz w:val="24"/>
          <w:szCs w:val="24"/>
        </w:rPr>
        <w:t xml:space="preserve"> </w:t>
      </w:r>
      <w:r w:rsidR="00A62BC3" w:rsidRPr="00DB59AC">
        <w:rPr>
          <w:rFonts w:ascii="Verdana" w:eastAsia="Verdana" w:hAnsi="Verdana"/>
          <w:sz w:val="24"/>
          <w:szCs w:val="24"/>
        </w:rPr>
        <w:t xml:space="preserve">The </w:t>
      </w:r>
      <w:r w:rsidR="00FF612A" w:rsidRPr="00DB59AC">
        <w:rPr>
          <w:rFonts w:ascii="Verdana" w:eastAsia="Verdana" w:hAnsi="Verdana"/>
          <w:sz w:val="24"/>
          <w:szCs w:val="24"/>
        </w:rPr>
        <w:t xml:space="preserve">Prime Minister went on to state </w:t>
      </w:r>
      <w:r w:rsidR="00A62BC3" w:rsidRPr="00DB59AC">
        <w:rPr>
          <w:rFonts w:ascii="Verdana" w:eastAsia="Verdana" w:hAnsi="Verdana"/>
          <w:sz w:val="24"/>
          <w:szCs w:val="24"/>
        </w:rPr>
        <w:t xml:space="preserve">that she had initiated a review of immigration rules “to deliver a </w:t>
      </w:r>
      <w:proofErr w:type="gramStart"/>
      <w:r w:rsidR="00A62BC3" w:rsidRPr="00DB59AC">
        <w:rPr>
          <w:rFonts w:ascii="Verdana" w:eastAsia="Verdana" w:hAnsi="Verdana"/>
          <w:sz w:val="24"/>
          <w:szCs w:val="24"/>
        </w:rPr>
        <w:t>long term</w:t>
      </w:r>
      <w:proofErr w:type="gramEnd"/>
      <w:r w:rsidR="00A62BC3" w:rsidRPr="00DB59AC">
        <w:rPr>
          <w:rFonts w:ascii="Verdana" w:eastAsia="Verdana" w:hAnsi="Verdana"/>
          <w:sz w:val="24"/>
          <w:szCs w:val="24"/>
        </w:rPr>
        <w:t xml:space="preserve"> solution consistent with the letter and spirit of the Belfast Agreement”.</w:t>
      </w:r>
      <w:r w:rsidR="00A62BC3" w:rsidRPr="00FF612A">
        <w:rPr>
          <w:rStyle w:val="FootnoteReference"/>
          <w:rFonts w:ascii="Verdana" w:eastAsia="Verdana" w:hAnsi="Verdana"/>
          <w:sz w:val="24"/>
          <w:szCs w:val="24"/>
        </w:rPr>
        <w:footnoteReference w:id="3"/>
      </w:r>
    </w:p>
    <w:p w14:paraId="6826702A" w14:textId="77777777" w:rsidR="00A64588" w:rsidRDefault="00A64588" w:rsidP="00A64588">
      <w:pPr>
        <w:pStyle w:val="ListParagraph"/>
        <w:spacing w:line="276" w:lineRule="auto"/>
        <w:ind w:left="454"/>
        <w:rPr>
          <w:rFonts w:ascii="Verdana" w:hAnsi="Verdana"/>
          <w:sz w:val="24"/>
          <w:szCs w:val="24"/>
        </w:rPr>
      </w:pPr>
    </w:p>
    <w:p w14:paraId="701D9BE0" w14:textId="435327B0" w:rsidR="00B744ED" w:rsidRPr="00DB59AC" w:rsidRDefault="0094566A" w:rsidP="00DB59AC">
      <w:pPr>
        <w:pStyle w:val="ListParagraph"/>
        <w:numPr>
          <w:ilvl w:val="0"/>
          <w:numId w:val="7"/>
        </w:numPr>
        <w:spacing w:line="276" w:lineRule="auto"/>
        <w:rPr>
          <w:rFonts w:ascii="Verdana" w:hAnsi="Verdana"/>
          <w:sz w:val="24"/>
          <w:szCs w:val="24"/>
        </w:rPr>
      </w:pPr>
      <w:r w:rsidRPr="00DB59AC">
        <w:rPr>
          <w:rFonts w:ascii="Verdana" w:hAnsi="Verdana"/>
          <w:sz w:val="24"/>
          <w:szCs w:val="24"/>
        </w:rPr>
        <w:t>This</w:t>
      </w:r>
      <w:r w:rsidR="00F129E3" w:rsidRPr="00DB59AC">
        <w:rPr>
          <w:rFonts w:ascii="Verdana" w:hAnsi="Verdana"/>
          <w:sz w:val="24"/>
          <w:szCs w:val="24"/>
        </w:rPr>
        <w:t xml:space="preserve"> recognition</w:t>
      </w:r>
      <w:r w:rsidRPr="00DB59AC">
        <w:rPr>
          <w:rFonts w:ascii="Verdana" w:hAnsi="Verdana"/>
          <w:sz w:val="24"/>
          <w:szCs w:val="24"/>
        </w:rPr>
        <w:t xml:space="preserve"> was in keeping with the previously stated position of the UK Government. I</w:t>
      </w:r>
      <w:r w:rsidR="00836A47" w:rsidRPr="00DB59AC">
        <w:rPr>
          <w:rFonts w:ascii="Verdana" w:hAnsi="Verdana"/>
          <w:sz w:val="24"/>
          <w:szCs w:val="24"/>
        </w:rPr>
        <w:t>n 2009, in its response to the Commission</w:t>
      </w:r>
      <w:r w:rsidR="001F585B" w:rsidRPr="00DB59AC">
        <w:rPr>
          <w:rFonts w:ascii="Verdana" w:hAnsi="Verdana"/>
          <w:sz w:val="24"/>
          <w:szCs w:val="24"/>
        </w:rPr>
        <w:t xml:space="preserve">’s advice on a Bill of Rights for Northern Ireland, </w:t>
      </w:r>
      <w:r w:rsidR="001A66F0" w:rsidRPr="00DB59AC">
        <w:rPr>
          <w:rFonts w:ascii="Verdana" w:hAnsi="Verdana"/>
          <w:sz w:val="24"/>
          <w:szCs w:val="24"/>
        </w:rPr>
        <w:t xml:space="preserve">the government </w:t>
      </w:r>
      <w:r w:rsidR="00836A47" w:rsidRPr="00DB59AC">
        <w:rPr>
          <w:rFonts w:ascii="Verdana" w:hAnsi="Verdana"/>
          <w:sz w:val="24"/>
          <w:szCs w:val="24"/>
        </w:rPr>
        <w:t>recognised the</w:t>
      </w:r>
      <w:r w:rsidR="001F585B" w:rsidRPr="00DB59AC">
        <w:rPr>
          <w:rFonts w:ascii="Verdana" w:hAnsi="Verdana"/>
          <w:sz w:val="24"/>
          <w:szCs w:val="24"/>
        </w:rPr>
        <w:t xml:space="preserve"> </w:t>
      </w:r>
      <w:r w:rsidR="00836A47" w:rsidRPr="00DB59AC">
        <w:rPr>
          <w:rFonts w:ascii="Verdana" w:hAnsi="Verdana"/>
          <w:sz w:val="24"/>
          <w:szCs w:val="24"/>
        </w:rPr>
        <w:t xml:space="preserve">“considerable symbolic importance of a choice by </w:t>
      </w:r>
      <w:r w:rsidR="00836A47" w:rsidRPr="00DB59AC">
        <w:rPr>
          <w:rFonts w:ascii="Verdana" w:hAnsi="Verdana"/>
          <w:sz w:val="24"/>
          <w:szCs w:val="24"/>
        </w:rPr>
        <w:lastRenderedPageBreak/>
        <w:t>person to identify himself or</w:t>
      </w:r>
      <w:r w:rsidR="001F585B" w:rsidRPr="00DB59AC">
        <w:rPr>
          <w:rFonts w:ascii="Verdana" w:hAnsi="Verdana"/>
          <w:sz w:val="24"/>
          <w:szCs w:val="24"/>
        </w:rPr>
        <w:t xml:space="preserve"> </w:t>
      </w:r>
      <w:r w:rsidR="00836A47" w:rsidRPr="00DB59AC">
        <w:rPr>
          <w:rFonts w:ascii="Verdana" w:hAnsi="Verdana"/>
          <w:sz w:val="24"/>
          <w:szCs w:val="24"/>
        </w:rPr>
        <w:t>herself as British or Irish or both, in line with the commitments made in the</w:t>
      </w:r>
      <w:r w:rsidR="001F585B" w:rsidRPr="00DB59AC">
        <w:rPr>
          <w:rFonts w:ascii="Verdana" w:hAnsi="Verdana"/>
          <w:sz w:val="24"/>
          <w:szCs w:val="24"/>
        </w:rPr>
        <w:t xml:space="preserve"> </w:t>
      </w:r>
      <w:r w:rsidR="00836A47" w:rsidRPr="00DB59AC">
        <w:rPr>
          <w:rFonts w:ascii="Verdana" w:hAnsi="Verdana"/>
          <w:sz w:val="24"/>
          <w:szCs w:val="24"/>
        </w:rPr>
        <w:t>Belfast Agreement” and that “any Bill of Rights for Northern Ireland should</w:t>
      </w:r>
      <w:r w:rsidR="001F585B" w:rsidRPr="00DB59AC">
        <w:rPr>
          <w:rFonts w:ascii="Verdana" w:hAnsi="Verdana"/>
          <w:sz w:val="24"/>
          <w:szCs w:val="24"/>
        </w:rPr>
        <w:t xml:space="preserve"> </w:t>
      </w:r>
      <w:r w:rsidR="00836A47" w:rsidRPr="00DB59AC">
        <w:rPr>
          <w:rFonts w:ascii="Verdana" w:hAnsi="Verdana"/>
          <w:sz w:val="24"/>
          <w:szCs w:val="24"/>
        </w:rPr>
        <w:t>enshrine in legislation the right of the people of Northern Ireland to identify</w:t>
      </w:r>
      <w:r w:rsidR="001F585B" w:rsidRPr="00DB59AC">
        <w:rPr>
          <w:rFonts w:ascii="Verdana" w:hAnsi="Verdana"/>
          <w:sz w:val="24"/>
          <w:szCs w:val="24"/>
        </w:rPr>
        <w:t xml:space="preserve"> </w:t>
      </w:r>
      <w:r w:rsidR="00836A47" w:rsidRPr="00DB59AC">
        <w:rPr>
          <w:rFonts w:ascii="Verdana" w:hAnsi="Verdana"/>
          <w:sz w:val="24"/>
          <w:szCs w:val="24"/>
        </w:rPr>
        <w:t>themselves and be accepted as Irish or British or both”. It proposed that the NI</w:t>
      </w:r>
      <w:r w:rsidR="001F585B" w:rsidRPr="00DB59AC">
        <w:rPr>
          <w:rFonts w:ascii="Verdana" w:hAnsi="Verdana"/>
          <w:sz w:val="24"/>
          <w:szCs w:val="24"/>
        </w:rPr>
        <w:t xml:space="preserve"> </w:t>
      </w:r>
      <w:r w:rsidR="00836A47" w:rsidRPr="00DB59AC">
        <w:rPr>
          <w:rFonts w:ascii="Verdana" w:hAnsi="Verdana"/>
          <w:sz w:val="24"/>
          <w:szCs w:val="24"/>
        </w:rPr>
        <w:t>Bill of Rights should “include the right of the people of Northern Ireland to</w:t>
      </w:r>
      <w:r w:rsidR="001F585B" w:rsidRPr="00DB59AC">
        <w:rPr>
          <w:rFonts w:ascii="Verdana" w:hAnsi="Verdana"/>
          <w:sz w:val="24"/>
          <w:szCs w:val="24"/>
        </w:rPr>
        <w:t xml:space="preserve"> </w:t>
      </w:r>
      <w:r w:rsidR="00836A47" w:rsidRPr="00DB59AC">
        <w:rPr>
          <w:rFonts w:ascii="Verdana" w:hAnsi="Verdana"/>
          <w:sz w:val="24"/>
          <w:szCs w:val="24"/>
        </w:rPr>
        <w:t>identify themselves and be accepted as Irish or British or both”.</w:t>
      </w:r>
      <w:r w:rsidR="001A66F0" w:rsidRPr="00DB59AC">
        <w:rPr>
          <w:rStyle w:val="FootnoteReference"/>
          <w:rFonts w:ascii="Verdana" w:hAnsi="Verdana"/>
          <w:sz w:val="24"/>
          <w:szCs w:val="24"/>
        </w:rPr>
        <w:t xml:space="preserve"> </w:t>
      </w:r>
      <w:r w:rsidR="001A66F0" w:rsidRPr="00FF612A">
        <w:rPr>
          <w:rStyle w:val="FootnoteReference"/>
          <w:rFonts w:ascii="Verdana" w:hAnsi="Verdana"/>
          <w:sz w:val="24"/>
          <w:szCs w:val="24"/>
        </w:rPr>
        <w:footnoteReference w:id="4"/>
      </w:r>
    </w:p>
    <w:p w14:paraId="6B9D86F5" w14:textId="633082B7" w:rsidR="00B744ED" w:rsidRPr="00874603" w:rsidRDefault="00B744ED" w:rsidP="00FF612A">
      <w:pPr>
        <w:spacing w:line="276" w:lineRule="auto"/>
        <w:rPr>
          <w:rFonts w:ascii="Verdana" w:hAnsi="Verdana" w:cs="Arial"/>
          <w:b/>
          <w:color w:val="77328A"/>
          <w:sz w:val="24"/>
          <w:szCs w:val="24"/>
        </w:rPr>
      </w:pPr>
      <w:r w:rsidRPr="00874603">
        <w:rPr>
          <w:rFonts w:ascii="Verdana" w:hAnsi="Verdana" w:cs="Arial"/>
          <w:b/>
          <w:color w:val="77328A"/>
          <w:sz w:val="24"/>
          <w:szCs w:val="24"/>
        </w:rPr>
        <w:t>Question 1 – Interaction between UK nationality law, BGFA and</w:t>
      </w:r>
      <w:r w:rsidRPr="00FF612A">
        <w:rPr>
          <w:rFonts w:ascii="Verdana" w:hAnsi="Verdana"/>
          <w:b/>
          <w:bCs/>
          <w:sz w:val="24"/>
          <w:szCs w:val="24"/>
        </w:rPr>
        <w:t xml:space="preserve"> </w:t>
      </w:r>
      <w:r w:rsidRPr="00874603">
        <w:rPr>
          <w:rFonts w:ascii="Verdana" w:hAnsi="Verdana" w:cs="Arial"/>
          <w:b/>
          <w:color w:val="77328A"/>
          <w:sz w:val="24"/>
          <w:szCs w:val="24"/>
        </w:rPr>
        <w:t>ECHR</w:t>
      </w:r>
    </w:p>
    <w:p w14:paraId="5603DD45" w14:textId="7692A300" w:rsidR="005B436C" w:rsidRPr="00DB59AC" w:rsidRDefault="00184E4C" w:rsidP="00DB59AC">
      <w:pPr>
        <w:pStyle w:val="ListParagraph"/>
        <w:numPr>
          <w:ilvl w:val="0"/>
          <w:numId w:val="7"/>
        </w:numPr>
        <w:spacing w:line="276" w:lineRule="auto"/>
        <w:rPr>
          <w:rFonts w:ascii="Verdana" w:hAnsi="Verdana"/>
          <w:sz w:val="24"/>
          <w:szCs w:val="24"/>
        </w:rPr>
      </w:pPr>
      <w:r>
        <w:rPr>
          <w:rFonts w:ascii="Verdana" w:hAnsi="Verdana"/>
          <w:sz w:val="24"/>
          <w:szCs w:val="24"/>
        </w:rPr>
        <w:t>On page 2 of its submission, t</w:t>
      </w:r>
      <w:r w:rsidR="000443B2" w:rsidRPr="00DB59AC">
        <w:rPr>
          <w:rFonts w:ascii="Verdana" w:hAnsi="Verdana"/>
          <w:sz w:val="24"/>
          <w:szCs w:val="24"/>
        </w:rPr>
        <w:t xml:space="preserve">he government </w:t>
      </w:r>
      <w:r w:rsidR="00A40BA3" w:rsidRPr="00DB59AC">
        <w:rPr>
          <w:rFonts w:ascii="Verdana" w:hAnsi="Verdana"/>
          <w:sz w:val="24"/>
          <w:szCs w:val="24"/>
        </w:rPr>
        <w:t>asserts that</w:t>
      </w:r>
      <w:r w:rsidR="00FF7069" w:rsidRPr="00DB59AC">
        <w:rPr>
          <w:rFonts w:ascii="Verdana" w:hAnsi="Verdana"/>
          <w:sz w:val="24"/>
          <w:szCs w:val="24"/>
        </w:rPr>
        <w:t xml:space="preserve"> “The Belfast Agreement does not make any statement as to whether the citizenship of a person of Northern Ireland, as defined in Annex 2, either must or should align with their choice of identity</w:t>
      </w:r>
      <w:r w:rsidR="00FF612A" w:rsidRPr="00DB59AC">
        <w:rPr>
          <w:rFonts w:ascii="Verdana" w:hAnsi="Verdana"/>
          <w:sz w:val="24"/>
          <w:szCs w:val="24"/>
        </w:rPr>
        <w:t>.</w:t>
      </w:r>
      <w:r w:rsidR="00FF7069" w:rsidRPr="00DB59AC">
        <w:rPr>
          <w:rFonts w:ascii="Verdana" w:hAnsi="Verdana"/>
          <w:sz w:val="24"/>
          <w:szCs w:val="24"/>
        </w:rPr>
        <w:t>”</w:t>
      </w:r>
      <w:r w:rsidR="0090236F">
        <w:rPr>
          <w:rFonts w:ascii="Verdana" w:hAnsi="Verdana"/>
          <w:sz w:val="24"/>
          <w:szCs w:val="24"/>
        </w:rPr>
        <w:t xml:space="preserve"> </w:t>
      </w:r>
      <w:r w:rsidR="00836C99">
        <w:rPr>
          <w:rFonts w:ascii="Verdana" w:hAnsi="Verdana"/>
          <w:sz w:val="24"/>
          <w:szCs w:val="24"/>
        </w:rPr>
        <w:t>The Commission’s response is as follows.</w:t>
      </w:r>
    </w:p>
    <w:p w14:paraId="70D3CE18" w14:textId="61F2D5A3" w:rsidR="000F4D1B" w:rsidRPr="00FF612A" w:rsidRDefault="00FF7B98" w:rsidP="00FF612A">
      <w:pPr>
        <w:pStyle w:val="ListParagraph"/>
        <w:numPr>
          <w:ilvl w:val="0"/>
          <w:numId w:val="2"/>
        </w:numPr>
        <w:spacing w:line="276" w:lineRule="auto"/>
        <w:rPr>
          <w:rFonts w:ascii="Verdana" w:hAnsi="Verdana"/>
          <w:sz w:val="24"/>
          <w:szCs w:val="24"/>
        </w:rPr>
      </w:pPr>
      <w:r w:rsidRPr="00FF612A">
        <w:rPr>
          <w:rFonts w:ascii="Verdana" w:hAnsi="Verdana"/>
          <w:sz w:val="24"/>
          <w:szCs w:val="24"/>
        </w:rPr>
        <w:t>The 1998 Agreement was</w:t>
      </w:r>
      <w:r w:rsidR="000F4D1B" w:rsidRPr="00FF612A">
        <w:rPr>
          <w:rFonts w:ascii="Verdana" w:hAnsi="Verdana"/>
          <w:sz w:val="24"/>
          <w:szCs w:val="24"/>
        </w:rPr>
        <w:t xml:space="preserve"> not written as complete or standalone legislative text; it is a political treaty creating a legitimate expectation that its commitments would be fleshed out in legislation.  Under a dualist constitution, this expectation carries further weight.</w:t>
      </w:r>
    </w:p>
    <w:p w14:paraId="4F7F678C" w14:textId="2D268DD3" w:rsidR="000F4D1B" w:rsidRPr="00FF612A" w:rsidRDefault="000F4D1B" w:rsidP="00FF612A">
      <w:pPr>
        <w:pStyle w:val="ListParagraph"/>
        <w:numPr>
          <w:ilvl w:val="0"/>
          <w:numId w:val="2"/>
        </w:numPr>
        <w:spacing w:line="276" w:lineRule="auto"/>
        <w:rPr>
          <w:rFonts w:ascii="Verdana" w:hAnsi="Verdana"/>
          <w:sz w:val="24"/>
          <w:szCs w:val="24"/>
        </w:rPr>
      </w:pPr>
      <w:r w:rsidRPr="00FF612A">
        <w:rPr>
          <w:rFonts w:ascii="Verdana" w:hAnsi="Verdana"/>
          <w:sz w:val="24"/>
          <w:szCs w:val="24"/>
        </w:rPr>
        <w:t xml:space="preserve">Reliance on this argument would render </w:t>
      </w:r>
      <w:r w:rsidR="001F0A4F" w:rsidRPr="00FF612A">
        <w:rPr>
          <w:rFonts w:ascii="Verdana" w:hAnsi="Verdana"/>
          <w:sz w:val="24"/>
          <w:szCs w:val="24"/>
        </w:rPr>
        <w:t xml:space="preserve">the right </w:t>
      </w:r>
      <w:r w:rsidR="00CE4847" w:rsidRPr="00FF612A">
        <w:rPr>
          <w:rFonts w:ascii="Verdana" w:hAnsi="Verdana"/>
          <w:sz w:val="24"/>
          <w:szCs w:val="24"/>
        </w:rPr>
        <w:t>“</w:t>
      </w:r>
      <w:r w:rsidR="001F0A4F" w:rsidRPr="00FF612A">
        <w:rPr>
          <w:rFonts w:ascii="Verdana" w:hAnsi="Verdana"/>
          <w:sz w:val="24"/>
          <w:szCs w:val="24"/>
        </w:rPr>
        <w:t xml:space="preserve">to identify </w:t>
      </w:r>
      <w:r w:rsidR="00EF28CB" w:rsidRPr="00FF612A">
        <w:rPr>
          <w:rFonts w:ascii="Verdana" w:hAnsi="Verdana"/>
          <w:sz w:val="24"/>
          <w:szCs w:val="24"/>
        </w:rPr>
        <w:t>…</w:t>
      </w:r>
      <w:r w:rsidR="001F0A4F" w:rsidRPr="00FF612A">
        <w:rPr>
          <w:rFonts w:ascii="Verdana" w:hAnsi="Verdana"/>
          <w:sz w:val="24"/>
          <w:szCs w:val="24"/>
        </w:rPr>
        <w:t>and be accepted as Irish or British or both</w:t>
      </w:r>
      <w:r w:rsidR="00CE4847" w:rsidRPr="00FF612A">
        <w:rPr>
          <w:rFonts w:ascii="Verdana" w:hAnsi="Verdana"/>
          <w:sz w:val="24"/>
          <w:szCs w:val="24"/>
        </w:rPr>
        <w:t>”</w:t>
      </w:r>
      <w:r w:rsidRPr="00FF612A">
        <w:rPr>
          <w:rFonts w:ascii="Verdana" w:hAnsi="Verdana"/>
          <w:sz w:val="24"/>
          <w:szCs w:val="24"/>
        </w:rPr>
        <w:t xml:space="preserve"> meaningless since</w:t>
      </w:r>
      <w:r w:rsidR="00E23953" w:rsidRPr="00FF612A">
        <w:rPr>
          <w:rFonts w:ascii="Verdana" w:hAnsi="Verdana"/>
          <w:sz w:val="24"/>
          <w:szCs w:val="24"/>
        </w:rPr>
        <w:t>,</w:t>
      </w:r>
      <w:r w:rsidRPr="00FF612A">
        <w:rPr>
          <w:rFonts w:ascii="Verdana" w:hAnsi="Verdana"/>
          <w:sz w:val="24"/>
          <w:szCs w:val="24"/>
        </w:rPr>
        <w:t xml:space="preserve"> prior to the BGFA, citizens could already declare themselves Irish and obtain an Irish passport.</w:t>
      </w:r>
    </w:p>
    <w:p w14:paraId="2382AA8C" w14:textId="4B5D4586" w:rsidR="000F4D1B" w:rsidRDefault="000F4D1B" w:rsidP="00FF612A">
      <w:pPr>
        <w:pStyle w:val="ListParagraph"/>
        <w:numPr>
          <w:ilvl w:val="0"/>
          <w:numId w:val="2"/>
        </w:numPr>
        <w:spacing w:line="276" w:lineRule="auto"/>
        <w:rPr>
          <w:rFonts w:ascii="Verdana" w:hAnsi="Verdana"/>
          <w:sz w:val="24"/>
          <w:szCs w:val="24"/>
        </w:rPr>
      </w:pPr>
      <w:r w:rsidRPr="00FF612A">
        <w:rPr>
          <w:rFonts w:ascii="Verdana" w:hAnsi="Verdana"/>
          <w:sz w:val="24"/>
          <w:szCs w:val="24"/>
        </w:rPr>
        <w:t xml:space="preserve">It further overlooks the commitment that citizens should be “accepted” as Irish or British or both. It is difficult to see how citizens are accepted as being only Irish if the law deems them British irrespective of their choice. </w:t>
      </w:r>
      <w:r w:rsidR="00370BAF" w:rsidRPr="00FF612A">
        <w:rPr>
          <w:rFonts w:ascii="Verdana" w:hAnsi="Verdana"/>
          <w:sz w:val="24"/>
          <w:szCs w:val="24"/>
        </w:rPr>
        <w:t>Moreover, it requires individuals to renounce British citizenship to assert Irish citizenship and provides no means of recognising individuals who regard themselves as having both a British and Irish identity.</w:t>
      </w:r>
    </w:p>
    <w:p w14:paraId="54411519" w14:textId="77777777" w:rsidR="000676FE" w:rsidRPr="00FF612A" w:rsidRDefault="000676FE" w:rsidP="000676FE">
      <w:pPr>
        <w:pStyle w:val="ListParagraph"/>
        <w:spacing w:line="276" w:lineRule="auto"/>
        <w:rPr>
          <w:rFonts w:ascii="Verdana" w:hAnsi="Verdana"/>
          <w:sz w:val="24"/>
          <w:szCs w:val="24"/>
        </w:rPr>
      </w:pPr>
    </w:p>
    <w:p w14:paraId="6C7273C5" w14:textId="122AAB9A" w:rsidR="000F4D1B" w:rsidRPr="00DB59AC" w:rsidRDefault="00AB1AB4" w:rsidP="00DB59AC">
      <w:pPr>
        <w:pStyle w:val="ListParagraph"/>
        <w:numPr>
          <w:ilvl w:val="0"/>
          <w:numId w:val="7"/>
        </w:numPr>
        <w:spacing w:line="276" w:lineRule="auto"/>
        <w:rPr>
          <w:rFonts w:ascii="Verdana" w:hAnsi="Verdana"/>
          <w:sz w:val="24"/>
          <w:szCs w:val="24"/>
        </w:rPr>
      </w:pPr>
      <w:r>
        <w:rPr>
          <w:rFonts w:ascii="Verdana" w:hAnsi="Verdana"/>
          <w:sz w:val="24"/>
          <w:szCs w:val="24"/>
        </w:rPr>
        <w:t>On page 3, i</w:t>
      </w:r>
      <w:r w:rsidR="00A531DF" w:rsidRPr="00DB59AC">
        <w:rPr>
          <w:rFonts w:ascii="Verdana" w:hAnsi="Verdana"/>
          <w:sz w:val="24"/>
          <w:szCs w:val="24"/>
        </w:rPr>
        <w:t xml:space="preserve">n respect of engagement with the ECHR, </w:t>
      </w:r>
      <w:r w:rsidR="000443B2" w:rsidRPr="00DB59AC">
        <w:rPr>
          <w:rFonts w:ascii="Verdana" w:hAnsi="Verdana"/>
          <w:sz w:val="24"/>
          <w:szCs w:val="24"/>
        </w:rPr>
        <w:t xml:space="preserve">the </w:t>
      </w:r>
      <w:r w:rsidR="00A531DF" w:rsidRPr="00DB59AC">
        <w:rPr>
          <w:rFonts w:ascii="Verdana" w:hAnsi="Verdana"/>
          <w:sz w:val="24"/>
          <w:szCs w:val="24"/>
        </w:rPr>
        <w:t xml:space="preserve">government’s </w:t>
      </w:r>
      <w:r w:rsidR="000443B2" w:rsidRPr="00DB59AC">
        <w:rPr>
          <w:rFonts w:ascii="Verdana" w:hAnsi="Verdana"/>
          <w:sz w:val="24"/>
          <w:szCs w:val="24"/>
        </w:rPr>
        <w:t>submission sets out with approval, four arguments made by the Upper Tribunal:</w:t>
      </w:r>
    </w:p>
    <w:p w14:paraId="59EC596C" w14:textId="23D84435" w:rsidR="000443B2" w:rsidRPr="00DB59AC" w:rsidRDefault="000443B2" w:rsidP="00DB59AC">
      <w:pPr>
        <w:pStyle w:val="ListParagraph"/>
        <w:numPr>
          <w:ilvl w:val="1"/>
          <w:numId w:val="7"/>
        </w:numPr>
        <w:spacing w:line="276" w:lineRule="auto"/>
        <w:rPr>
          <w:rFonts w:ascii="Verdana" w:hAnsi="Verdana"/>
          <w:sz w:val="24"/>
          <w:szCs w:val="24"/>
        </w:rPr>
      </w:pPr>
      <w:r w:rsidRPr="00DB59AC">
        <w:rPr>
          <w:rFonts w:ascii="Verdana" w:hAnsi="Verdana"/>
          <w:sz w:val="24"/>
          <w:szCs w:val="24"/>
        </w:rPr>
        <w:t>“the present system enshrined in the [British Nationality Act 1981] represents a proportionate way of achieving the legitimate public end, not only of avoiding</w:t>
      </w:r>
      <w:r w:rsidR="004D281A" w:rsidRPr="00DB59AC">
        <w:rPr>
          <w:rFonts w:ascii="Verdana" w:hAnsi="Verdana"/>
          <w:sz w:val="24"/>
          <w:szCs w:val="24"/>
        </w:rPr>
        <w:t xml:space="preserve"> </w:t>
      </w:r>
      <w:r w:rsidRPr="00DB59AC">
        <w:rPr>
          <w:rFonts w:ascii="Verdana" w:hAnsi="Verdana"/>
          <w:sz w:val="24"/>
          <w:szCs w:val="24"/>
        </w:rPr>
        <w:t>statelessness but also of maintaining a clear and coherent system of nationality law”</w:t>
      </w:r>
      <w:r w:rsidR="00660D1D" w:rsidRPr="00DB59AC">
        <w:rPr>
          <w:rFonts w:ascii="Verdana" w:hAnsi="Verdana"/>
          <w:sz w:val="24"/>
          <w:szCs w:val="24"/>
        </w:rPr>
        <w:t xml:space="preserve"> </w:t>
      </w:r>
      <w:r w:rsidRPr="00DB59AC">
        <w:rPr>
          <w:rFonts w:ascii="Verdana" w:hAnsi="Verdana"/>
          <w:sz w:val="24"/>
          <w:szCs w:val="24"/>
        </w:rPr>
        <w:t>(paragraph 54</w:t>
      </w:r>
      <w:proofErr w:type="gramStart"/>
      <w:r w:rsidRPr="00DB59AC">
        <w:rPr>
          <w:rFonts w:ascii="Verdana" w:hAnsi="Verdana"/>
          <w:sz w:val="24"/>
          <w:szCs w:val="24"/>
        </w:rPr>
        <w:t>);</w:t>
      </w:r>
      <w:proofErr w:type="gramEnd"/>
    </w:p>
    <w:p w14:paraId="45400611" w14:textId="7A4EBD03" w:rsidR="000443B2" w:rsidRDefault="000443B2" w:rsidP="000676FE">
      <w:pPr>
        <w:pStyle w:val="ListParagraph"/>
        <w:numPr>
          <w:ilvl w:val="0"/>
          <w:numId w:val="4"/>
        </w:numPr>
        <w:spacing w:line="276" w:lineRule="auto"/>
        <w:rPr>
          <w:rFonts w:ascii="Verdana" w:hAnsi="Verdana"/>
          <w:sz w:val="24"/>
          <w:szCs w:val="24"/>
        </w:rPr>
      </w:pPr>
      <w:r w:rsidRPr="00FF612A">
        <w:rPr>
          <w:rFonts w:ascii="Verdana" w:hAnsi="Verdana"/>
          <w:sz w:val="24"/>
          <w:szCs w:val="24"/>
        </w:rPr>
        <w:lastRenderedPageBreak/>
        <w:t xml:space="preserve">The proposals developed by Alison Harvey and put forward by NIHRC, </w:t>
      </w:r>
      <w:r w:rsidR="007B2BA9" w:rsidRPr="00FF612A">
        <w:rPr>
          <w:rFonts w:ascii="Verdana" w:hAnsi="Verdana"/>
          <w:sz w:val="24"/>
          <w:szCs w:val="24"/>
        </w:rPr>
        <w:t xml:space="preserve">include amendments to </w:t>
      </w:r>
      <w:r w:rsidRPr="00FF612A">
        <w:rPr>
          <w:rFonts w:ascii="Verdana" w:hAnsi="Verdana"/>
          <w:sz w:val="24"/>
          <w:szCs w:val="24"/>
        </w:rPr>
        <w:t>strengthen protection against statelessness while maintaining clarity and coherence of the statute book</w:t>
      </w:r>
      <w:r w:rsidR="007B2BA9" w:rsidRPr="00FF612A">
        <w:rPr>
          <w:rFonts w:ascii="Verdana" w:hAnsi="Verdana"/>
          <w:sz w:val="24"/>
          <w:szCs w:val="24"/>
        </w:rPr>
        <w:t xml:space="preserve"> and</w:t>
      </w:r>
      <w:r w:rsidR="002F76D2" w:rsidRPr="00FF612A">
        <w:rPr>
          <w:rFonts w:ascii="Verdana" w:hAnsi="Verdana"/>
          <w:sz w:val="24"/>
          <w:szCs w:val="24"/>
        </w:rPr>
        <w:t xml:space="preserve"> retaining section 1 of the British Nationality Act 1981, </w:t>
      </w:r>
      <w:r w:rsidR="003F5F43" w:rsidRPr="00FF612A">
        <w:rPr>
          <w:rFonts w:ascii="Verdana" w:hAnsi="Verdana"/>
          <w:sz w:val="24"/>
          <w:szCs w:val="24"/>
        </w:rPr>
        <w:t xml:space="preserve">operable for the avoidance of doubt, pending </w:t>
      </w:r>
      <w:r w:rsidR="00400C82" w:rsidRPr="00FF612A">
        <w:rPr>
          <w:rFonts w:ascii="Verdana" w:hAnsi="Verdana"/>
          <w:sz w:val="24"/>
          <w:szCs w:val="24"/>
        </w:rPr>
        <w:t>an express decision</w:t>
      </w:r>
      <w:r w:rsidR="00912588" w:rsidRPr="00FF612A">
        <w:rPr>
          <w:rFonts w:ascii="Verdana" w:hAnsi="Verdana"/>
          <w:sz w:val="24"/>
          <w:szCs w:val="24"/>
        </w:rPr>
        <w:t>.</w:t>
      </w:r>
    </w:p>
    <w:p w14:paraId="39B60930" w14:textId="77777777" w:rsidR="000676FE" w:rsidRPr="00FF612A" w:rsidRDefault="000676FE" w:rsidP="000676FE">
      <w:pPr>
        <w:pStyle w:val="ListParagraph"/>
        <w:spacing w:line="276" w:lineRule="auto"/>
        <w:ind w:left="1134"/>
        <w:rPr>
          <w:rFonts w:ascii="Verdana" w:hAnsi="Verdana"/>
          <w:sz w:val="24"/>
          <w:szCs w:val="24"/>
        </w:rPr>
      </w:pPr>
    </w:p>
    <w:p w14:paraId="17CD5D71" w14:textId="70FCB6A5" w:rsidR="005654A8" w:rsidRPr="000676FE" w:rsidRDefault="000443B2" w:rsidP="000676FE">
      <w:pPr>
        <w:pStyle w:val="ListParagraph"/>
        <w:numPr>
          <w:ilvl w:val="1"/>
          <w:numId w:val="7"/>
        </w:numPr>
        <w:spacing w:line="276" w:lineRule="auto"/>
        <w:rPr>
          <w:rFonts w:ascii="Verdana" w:hAnsi="Verdana"/>
          <w:sz w:val="24"/>
          <w:szCs w:val="24"/>
        </w:rPr>
      </w:pPr>
      <w:r w:rsidRPr="000676FE">
        <w:rPr>
          <w:rFonts w:ascii="Verdana" w:hAnsi="Verdana"/>
          <w:sz w:val="24"/>
          <w:szCs w:val="24"/>
        </w:rPr>
        <w:t>“it is not disproportionate in Article 8 terms for [a person of Northern Ireland] nevertheless to be required to give notice of revocation, if she wishes only to be a citizen of Ireland” (paragraph 55</w:t>
      </w:r>
      <w:proofErr w:type="gramStart"/>
      <w:r w:rsidRPr="000676FE">
        <w:rPr>
          <w:rFonts w:ascii="Verdana" w:hAnsi="Verdana"/>
          <w:sz w:val="24"/>
          <w:szCs w:val="24"/>
        </w:rPr>
        <w:t>);</w:t>
      </w:r>
      <w:proofErr w:type="gramEnd"/>
    </w:p>
    <w:p w14:paraId="3E58648F" w14:textId="36D5B001" w:rsidR="000443B2" w:rsidRDefault="005654A8" w:rsidP="000676FE">
      <w:pPr>
        <w:pStyle w:val="ListParagraph"/>
        <w:numPr>
          <w:ilvl w:val="0"/>
          <w:numId w:val="5"/>
        </w:numPr>
        <w:spacing w:line="276" w:lineRule="auto"/>
        <w:ind w:left="1276"/>
        <w:rPr>
          <w:rFonts w:ascii="Verdana" w:hAnsi="Verdana"/>
          <w:sz w:val="24"/>
          <w:szCs w:val="24"/>
        </w:rPr>
      </w:pPr>
      <w:r w:rsidRPr="00FF612A">
        <w:rPr>
          <w:rFonts w:ascii="Verdana" w:hAnsi="Verdana"/>
          <w:sz w:val="24"/>
          <w:szCs w:val="24"/>
        </w:rPr>
        <w:t xml:space="preserve">This argument rests on the previous proposition that the current system is a proportionate way of achieving legitimate public aims. If, as we have shown, there is an alternative, less intrusive means of achieving </w:t>
      </w:r>
      <w:r w:rsidR="00E1375B" w:rsidRPr="00FF612A">
        <w:rPr>
          <w:rFonts w:ascii="Verdana" w:hAnsi="Verdana"/>
          <w:sz w:val="24"/>
          <w:szCs w:val="24"/>
        </w:rPr>
        <w:t xml:space="preserve">the </w:t>
      </w:r>
      <w:r w:rsidR="004326C4" w:rsidRPr="00FF612A">
        <w:rPr>
          <w:rFonts w:ascii="Verdana" w:hAnsi="Verdana"/>
          <w:sz w:val="24"/>
          <w:szCs w:val="24"/>
        </w:rPr>
        <w:t>aim of avoiding statelessness and ensuring clarity and coherence</w:t>
      </w:r>
      <w:r w:rsidRPr="00FF612A">
        <w:rPr>
          <w:rFonts w:ascii="Verdana" w:hAnsi="Verdana"/>
          <w:sz w:val="24"/>
          <w:szCs w:val="24"/>
        </w:rPr>
        <w:t xml:space="preserve">, </w:t>
      </w:r>
      <w:r w:rsidR="00EB1276" w:rsidRPr="00FF612A">
        <w:rPr>
          <w:rFonts w:ascii="Verdana" w:hAnsi="Verdana"/>
          <w:sz w:val="24"/>
          <w:szCs w:val="24"/>
        </w:rPr>
        <w:t>without requiring revocation, the threshold rises in terms of this requirement being considered proportionate</w:t>
      </w:r>
      <w:r w:rsidR="00187C73" w:rsidRPr="00FF612A">
        <w:rPr>
          <w:rFonts w:ascii="Verdana" w:hAnsi="Verdana"/>
          <w:sz w:val="24"/>
          <w:szCs w:val="24"/>
        </w:rPr>
        <w:t>. I</w:t>
      </w:r>
      <w:r w:rsidR="00EB1276" w:rsidRPr="00FF612A">
        <w:rPr>
          <w:rFonts w:ascii="Verdana" w:hAnsi="Verdana"/>
          <w:sz w:val="24"/>
          <w:szCs w:val="24"/>
        </w:rPr>
        <w:t xml:space="preserve">n our view, </w:t>
      </w:r>
      <w:r w:rsidR="00187C73" w:rsidRPr="00FF612A">
        <w:rPr>
          <w:rFonts w:ascii="Verdana" w:hAnsi="Verdana"/>
          <w:sz w:val="24"/>
          <w:szCs w:val="24"/>
        </w:rPr>
        <w:t xml:space="preserve">the threshold </w:t>
      </w:r>
      <w:r w:rsidR="00EB1276" w:rsidRPr="00FF612A">
        <w:rPr>
          <w:rFonts w:ascii="Verdana" w:hAnsi="Verdana"/>
          <w:sz w:val="24"/>
          <w:szCs w:val="24"/>
        </w:rPr>
        <w:t>is not met</w:t>
      </w:r>
      <w:r w:rsidR="0088550D" w:rsidRPr="00FF612A">
        <w:rPr>
          <w:rFonts w:ascii="Verdana" w:hAnsi="Verdana"/>
          <w:sz w:val="24"/>
          <w:szCs w:val="24"/>
        </w:rPr>
        <w:t xml:space="preserve"> in so far as a person is required to accept that they are British </w:t>
      </w:r>
      <w:proofErr w:type="gramStart"/>
      <w:r w:rsidR="0088550D" w:rsidRPr="00FF612A">
        <w:rPr>
          <w:rFonts w:ascii="Verdana" w:hAnsi="Verdana"/>
          <w:sz w:val="24"/>
          <w:szCs w:val="24"/>
        </w:rPr>
        <w:t>in order to</w:t>
      </w:r>
      <w:proofErr w:type="gramEnd"/>
      <w:r w:rsidR="0088550D" w:rsidRPr="00FF612A">
        <w:rPr>
          <w:rFonts w:ascii="Verdana" w:hAnsi="Verdana"/>
          <w:sz w:val="24"/>
          <w:szCs w:val="24"/>
        </w:rPr>
        <w:t xml:space="preserve"> renounce their citizenship and be accepted as Irish only</w:t>
      </w:r>
      <w:r w:rsidR="00EB1276" w:rsidRPr="00FF612A">
        <w:rPr>
          <w:rFonts w:ascii="Verdana" w:hAnsi="Verdana"/>
          <w:sz w:val="24"/>
          <w:szCs w:val="24"/>
        </w:rPr>
        <w:t xml:space="preserve">. The proposals </w:t>
      </w:r>
      <w:r w:rsidR="00CD285F" w:rsidRPr="00FF612A">
        <w:rPr>
          <w:rFonts w:ascii="Verdana" w:hAnsi="Verdana"/>
          <w:sz w:val="24"/>
          <w:szCs w:val="24"/>
        </w:rPr>
        <w:t xml:space="preserve">put forward </w:t>
      </w:r>
      <w:r w:rsidR="00EB1276" w:rsidRPr="00FF612A">
        <w:rPr>
          <w:rFonts w:ascii="Verdana" w:hAnsi="Verdana"/>
          <w:sz w:val="24"/>
          <w:szCs w:val="24"/>
        </w:rPr>
        <w:t>would make revocation redundant</w:t>
      </w:r>
      <w:r w:rsidR="00CD285F" w:rsidRPr="00FF612A">
        <w:rPr>
          <w:rFonts w:ascii="Verdana" w:hAnsi="Verdana"/>
          <w:sz w:val="24"/>
          <w:szCs w:val="24"/>
        </w:rPr>
        <w:t xml:space="preserve"> in this context</w:t>
      </w:r>
      <w:r w:rsidR="00EB1276" w:rsidRPr="00FF612A">
        <w:rPr>
          <w:rFonts w:ascii="Verdana" w:hAnsi="Verdana"/>
          <w:sz w:val="24"/>
          <w:szCs w:val="24"/>
        </w:rPr>
        <w:t>, therefore the proportionality would be moot.</w:t>
      </w:r>
    </w:p>
    <w:p w14:paraId="3ECDDAC6" w14:textId="77777777" w:rsidR="000676FE" w:rsidRPr="00FF612A" w:rsidRDefault="000676FE" w:rsidP="000676FE">
      <w:pPr>
        <w:pStyle w:val="ListParagraph"/>
        <w:spacing w:line="276" w:lineRule="auto"/>
        <w:ind w:left="1276"/>
        <w:rPr>
          <w:rFonts w:ascii="Verdana" w:hAnsi="Verdana"/>
          <w:sz w:val="24"/>
          <w:szCs w:val="24"/>
        </w:rPr>
      </w:pPr>
    </w:p>
    <w:p w14:paraId="625A389D" w14:textId="23D981B5" w:rsidR="000443B2" w:rsidRPr="000676FE" w:rsidRDefault="000443B2" w:rsidP="000676FE">
      <w:pPr>
        <w:pStyle w:val="ListParagraph"/>
        <w:numPr>
          <w:ilvl w:val="1"/>
          <w:numId w:val="7"/>
        </w:numPr>
        <w:spacing w:line="276" w:lineRule="auto"/>
        <w:rPr>
          <w:rFonts w:ascii="Verdana" w:hAnsi="Verdana"/>
          <w:sz w:val="24"/>
          <w:szCs w:val="24"/>
        </w:rPr>
      </w:pPr>
      <w:r w:rsidRPr="000676FE">
        <w:rPr>
          <w:rFonts w:ascii="Verdana" w:hAnsi="Verdana"/>
          <w:sz w:val="24"/>
          <w:szCs w:val="24"/>
        </w:rPr>
        <w:t>“There is, we are informed, a fee of £200 to be paid. We have not, however, been told that that represents a material barrier to her use of section 12 or that it is otherwise disproportionate in Article 8 terms, for the Secretary of State to levy this sum” (paragraph 56</w:t>
      </w:r>
      <w:proofErr w:type="gramStart"/>
      <w:r w:rsidRPr="000676FE">
        <w:rPr>
          <w:rFonts w:ascii="Verdana" w:hAnsi="Verdana"/>
          <w:sz w:val="24"/>
          <w:szCs w:val="24"/>
        </w:rPr>
        <w:t>);</w:t>
      </w:r>
      <w:proofErr w:type="gramEnd"/>
    </w:p>
    <w:p w14:paraId="3139C04D" w14:textId="68C8BB09" w:rsidR="000443B2" w:rsidRDefault="003802CA" w:rsidP="000676FE">
      <w:pPr>
        <w:pStyle w:val="ListParagraph"/>
        <w:numPr>
          <w:ilvl w:val="0"/>
          <w:numId w:val="4"/>
        </w:numPr>
        <w:spacing w:line="276" w:lineRule="auto"/>
        <w:ind w:left="1276"/>
        <w:rPr>
          <w:rFonts w:ascii="Verdana" w:hAnsi="Verdana"/>
          <w:sz w:val="24"/>
          <w:szCs w:val="24"/>
        </w:rPr>
      </w:pPr>
      <w:r w:rsidRPr="00FF612A">
        <w:rPr>
          <w:rFonts w:ascii="Verdana" w:hAnsi="Verdana"/>
          <w:sz w:val="24"/>
          <w:szCs w:val="24"/>
        </w:rPr>
        <w:t>Again, u</w:t>
      </w:r>
      <w:r w:rsidR="000443B2" w:rsidRPr="00FF612A">
        <w:rPr>
          <w:rFonts w:ascii="Verdana" w:hAnsi="Verdana"/>
          <w:sz w:val="24"/>
          <w:szCs w:val="24"/>
        </w:rPr>
        <w:t>nder the proposals suggested, there would simply be no need for revocation.</w:t>
      </w:r>
    </w:p>
    <w:p w14:paraId="77BC2494" w14:textId="77777777" w:rsidR="000676FE" w:rsidRPr="00FF612A" w:rsidRDefault="000676FE" w:rsidP="000676FE">
      <w:pPr>
        <w:pStyle w:val="ListParagraph"/>
        <w:spacing w:line="276" w:lineRule="auto"/>
        <w:ind w:left="1276"/>
        <w:rPr>
          <w:rFonts w:ascii="Verdana" w:hAnsi="Verdana"/>
          <w:sz w:val="24"/>
          <w:szCs w:val="24"/>
        </w:rPr>
      </w:pPr>
    </w:p>
    <w:p w14:paraId="2A8BA3D8" w14:textId="4AE50311" w:rsidR="005B436C" w:rsidRPr="000676FE" w:rsidRDefault="000443B2" w:rsidP="000676FE">
      <w:pPr>
        <w:pStyle w:val="ListParagraph"/>
        <w:numPr>
          <w:ilvl w:val="1"/>
          <w:numId w:val="7"/>
        </w:numPr>
        <w:spacing w:line="276" w:lineRule="auto"/>
        <w:rPr>
          <w:rFonts w:ascii="Verdana" w:hAnsi="Verdana"/>
          <w:sz w:val="24"/>
          <w:szCs w:val="24"/>
        </w:rPr>
      </w:pPr>
      <w:r w:rsidRPr="000676FE">
        <w:rPr>
          <w:rFonts w:ascii="Verdana" w:hAnsi="Verdana"/>
          <w:sz w:val="24"/>
          <w:szCs w:val="24"/>
        </w:rPr>
        <w:t>“Accordingly, since section 1(1) of the [British Nationality Act 1981] does not disproportionately interfere with Mrs De Souza's Article 8 rights, it is not possible to invoke the interpretative principles contained in section 3 of the Human Rights Act 1998, in construing section 1(1) of the [British Nationality Act 1981]” (paragraph 57)</w:t>
      </w:r>
    </w:p>
    <w:p w14:paraId="217A3841" w14:textId="70DC460C" w:rsidR="00B744ED" w:rsidRPr="005A0368" w:rsidRDefault="0088550D" w:rsidP="000676FE">
      <w:pPr>
        <w:pStyle w:val="ListParagraph"/>
        <w:numPr>
          <w:ilvl w:val="0"/>
          <w:numId w:val="4"/>
        </w:numPr>
        <w:spacing w:line="276" w:lineRule="auto"/>
        <w:rPr>
          <w:rFonts w:ascii="Verdana" w:hAnsi="Verdana"/>
          <w:sz w:val="24"/>
          <w:szCs w:val="24"/>
        </w:rPr>
      </w:pPr>
      <w:r w:rsidRPr="00FF612A">
        <w:rPr>
          <w:rFonts w:ascii="Verdana" w:hAnsi="Verdana"/>
          <w:sz w:val="24"/>
          <w:szCs w:val="24"/>
        </w:rPr>
        <w:t>This issue would also be irrelevant in the context of our proposals</w:t>
      </w:r>
      <w:r w:rsidR="00B744ED" w:rsidRPr="00FF612A">
        <w:rPr>
          <w:rFonts w:ascii="Verdana" w:hAnsi="Verdana"/>
          <w:sz w:val="24"/>
          <w:szCs w:val="24"/>
        </w:rPr>
        <w:t xml:space="preserve"> being enacted</w:t>
      </w:r>
      <w:r w:rsidRPr="00FF612A">
        <w:rPr>
          <w:rFonts w:ascii="Verdana" w:hAnsi="Verdana"/>
          <w:sz w:val="24"/>
          <w:szCs w:val="24"/>
        </w:rPr>
        <w:t>.</w:t>
      </w:r>
    </w:p>
    <w:p w14:paraId="6B160FC0" w14:textId="77777777" w:rsidR="000676FE" w:rsidRDefault="000676FE">
      <w:pPr>
        <w:rPr>
          <w:rFonts w:ascii="Verdana" w:hAnsi="Verdana" w:cs="Arial"/>
          <w:b/>
          <w:color w:val="77328A"/>
          <w:sz w:val="24"/>
          <w:szCs w:val="24"/>
        </w:rPr>
      </w:pPr>
      <w:r>
        <w:rPr>
          <w:rFonts w:ascii="Verdana" w:hAnsi="Verdana" w:cs="Arial"/>
          <w:b/>
          <w:color w:val="77328A"/>
          <w:sz w:val="24"/>
          <w:szCs w:val="24"/>
        </w:rPr>
        <w:br w:type="page"/>
      </w:r>
    </w:p>
    <w:p w14:paraId="5DAA41BB" w14:textId="4E609A8E" w:rsidR="00B744ED" w:rsidRPr="00874603" w:rsidRDefault="00B744ED" w:rsidP="00FF612A">
      <w:pPr>
        <w:spacing w:line="276" w:lineRule="auto"/>
        <w:rPr>
          <w:rFonts w:ascii="Verdana" w:hAnsi="Verdana" w:cs="Arial"/>
          <w:b/>
          <w:color w:val="77328A"/>
          <w:sz w:val="24"/>
          <w:szCs w:val="24"/>
        </w:rPr>
      </w:pPr>
      <w:r w:rsidRPr="00874603">
        <w:rPr>
          <w:rFonts w:ascii="Verdana" w:hAnsi="Verdana" w:cs="Arial"/>
          <w:b/>
          <w:color w:val="77328A"/>
          <w:sz w:val="24"/>
          <w:szCs w:val="24"/>
        </w:rPr>
        <w:lastRenderedPageBreak/>
        <w:t xml:space="preserve">Question 2 – Whether the Government should consider implementing changes to citizenship rules and requirements to better incorporate the </w:t>
      </w:r>
      <w:proofErr w:type="spellStart"/>
      <w:r w:rsidRPr="00874603">
        <w:rPr>
          <w:rFonts w:ascii="Verdana" w:hAnsi="Verdana" w:cs="Arial"/>
          <w:b/>
          <w:color w:val="77328A"/>
          <w:sz w:val="24"/>
          <w:szCs w:val="24"/>
        </w:rPr>
        <w:t>birthright</w:t>
      </w:r>
      <w:proofErr w:type="spellEnd"/>
      <w:r w:rsidRPr="00874603">
        <w:rPr>
          <w:rFonts w:ascii="Verdana" w:hAnsi="Verdana" w:cs="Arial"/>
          <w:b/>
          <w:color w:val="77328A"/>
          <w:sz w:val="24"/>
          <w:szCs w:val="24"/>
        </w:rPr>
        <w:t xml:space="preserve"> commitments of the Agreement into UK law</w:t>
      </w:r>
    </w:p>
    <w:p w14:paraId="69932ABB" w14:textId="6ECF5EB6" w:rsidR="00B744ED" w:rsidRDefault="00B744ED"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The Government’s response argues against legislative change on the basis that “UK law does not prevent a person of Northern Ireland, who as a matter of law may be a British citizen, an Irish citizen, or a dual British and Irish citizen, from identifying as British, Irish or both, as they may so choose”. </w:t>
      </w:r>
    </w:p>
    <w:p w14:paraId="24715206" w14:textId="77777777" w:rsidR="00A64588" w:rsidRPr="00A64588" w:rsidRDefault="00A64588" w:rsidP="00A64588">
      <w:pPr>
        <w:pStyle w:val="ListParagraph"/>
        <w:spacing w:line="276" w:lineRule="auto"/>
        <w:ind w:left="454"/>
        <w:rPr>
          <w:rFonts w:ascii="Verdana" w:hAnsi="Verdana"/>
          <w:sz w:val="24"/>
          <w:szCs w:val="24"/>
        </w:rPr>
      </w:pPr>
    </w:p>
    <w:p w14:paraId="683B1968" w14:textId="01365885" w:rsidR="00B744ED" w:rsidRPr="00A64588" w:rsidRDefault="0006789C"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As set out above, in relation to </w:t>
      </w:r>
      <w:r w:rsidR="006C7AE8" w:rsidRPr="00A64588">
        <w:rPr>
          <w:rFonts w:ascii="Verdana" w:hAnsi="Verdana"/>
          <w:sz w:val="24"/>
          <w:szCs w:val="24"/>
        </w:rPr>
        <w:t xml:space="preserve">a similar point made in section 1 of the government’s response, </w:t>
      </w:r>
      <w:r w:rsidR="00FF612A" w:rsidRPr="00A64588">
        <w:rPr>
          <w:rFonts w:ascii="Verdana" w:hAnsi="Verdana"/>
          <w:sz w:val="24"/>
          <w:szCs w:val="24"/>
        </w:rPr>
        <w:t>r</w:t>
      </w:r>
      <w:r w:rsidR="00B744ED" w:rsidRPr="00A64588">
        <w:rPr>
          <w:rFonts w:ascii="Verdana" w:hAnsi="Verdana"/>
          <w:sz w:val="24"/>
          <w:szCs w:val="24"/>
        </w:rPr>
        <w:t xml:space="preserve">eliance on this argument would render the </w:t>
      </w:r>
      <w:proofErr w:type="spellStart"/>
      <w:r w:rsidR="00B744ED" w:rsidRPr="00A64588">
        <w:rPr>
          <w:rFonts w:ascii="Verdana" w:hAnsi="Verdana"/>
          <w:sz w:val="24"/>
          <w:szCs w:val="24"/>
        </w:rPr>
        <w:t>birthright</w:t>
      </w:r>
      <w:proofErr w:type="spellEnd"/>
      <w:r w:rsidR="00B744ED" w:rsidRPr="00A64588">
        <w:rPr>
          <w:rFonts w:ascii="Verdana" w:hAnsi="Verdana"/>
          <w:sz w:val="24"/>
          <w:szCs w:val="24"/>
        </w:rPr>
        <w:t xml:space="preserve"> commitment meaningless since prior to the BGFA, citizens could already declare themselves Irish and obtain an Irish passport.</w:t>
      </w:r>
    </w:p>
    <w:p w14:paraId="687DF3A2" w14:textId="77777777" w:rsidR="00A64588" w:rsidRDefault="00A64588" w:rsidP="00A64588">
      <w:pPr>
        <w:pStyle w:val="ListParagraph"/>
        <w:spacing w:line="276" w:lineRule="auto"/>
        <w:ind w:left="454"/>
        <w:rPr>
          <w:rFonts w:ascii="Verdana" w:hAnsi="Verdana"/>
          <w:sz w:val="24"/>
          <w:szCs w:val="24"/>
        </w:rPr>
      </w:pPr>
    </w:p>
    <w:p w14:paraId="2FF0DF42" w14:textId="2A6464DB" w:rsidR="00B744ED" w:rsidRPr="00A64588" w:rsidRDefault="00B744ED"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It further overlooks the commitment that citizens should be “accepted” as Irish or British or both. It is difficult to see how citizens are accepted as being only </w:t>
      </w:r>
      <w:proofErr w:type="gramStart"/>
      <w:r w:rsidRPr="00A64588">
        <w:rPr>
          <w:rFonts w:ascii="Verdana" w:hAnsi="Verdana"/>
          <w:sz w:val="24"/>
          <w:szCs w:val="24"/>
        </w:rPr>
        <w:t>Irish, if</w:t>
      </w:r>
      <w:proofErr w:type="gramEnd"/>
      <w:r w:rsidRPr="00A64588">
        <w:rPr>
          <w:rFonts w:ascii="Verdana" w:hAnsi="Verdana"/>
          <w:sz w:val="24"/>
          <w:szCs w:val="24"/>
        </w:rPr>
        <w:t xml:space="preserve"> the law deems them British irrespective of t</w:t>
      </w:r>
      <w:r w:rsidR="00196CD4" w:rsidRPr="00A64588">
        <w:rPr>
          <w:rFonts w:ascii="Verdana" w:hAnsi="Verdana"/>
          <w:sz w:val="24"/>
          <w:szCs w:val="24"/>
        </w:rPr>
        <w:t>hat</w:t>
      </w:r>
      <w:r w:rsidRPr="00A64588">
        <w:rPr>
          <w:rFonts w:ascii="Verdana" w:hAnsi="Verdana"/>
          <w:sz w:val="24"/>
          <w:szCs w:val="24"/>
        </w:rPr>
        <w:t xml:space="preserve"> choice.</w:t>
      </w:r>
    </w:p>
    <w:p w14:paraId="503B7120" w14:textId="77777777" w:rsidR="00A64588" w:rsidRDefault="00A64588" w:rsidP="00A64588">
      <w:pPr>
        <w:pStyle w:val="ListParagraph"/>
        <w:spacing w:line="276" w:lineRule="auto"/>
        <w:ind w:left="454"/>
        <w:rPr>
          <w:rFonts w:ascii="Verdana" w:hAnsi="Verdana"/>
          <w:sz w:val="24"/>
          <w:szCs w:val="24"/>
        </w:rPr>
      </w:pPr>
    </w:p>
    <w:p w14:paraId="71295397" w14:textId="42F87208" w:rsidR="00B744ED" w:rsidRPr="00A64588" w:rsidRDefault="00B744ED"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The Government’s second argument against </w:t>
      </w:r>
      <w:r w:rsidR="00196CD4" w:rsidRPr="00A64588">
        <w:rPr>
          <w:rFonts w:ascii="Verdana" w:hAnsi="Verdana"/>
          <w:sz w:val="24"/>
          <w:szCs w:val="24"/>
        </w:rPr>
        <w:t xml:space="preserve">legislative </w:t>
      </w:r>
      <w:r w:rsidRPr="00A64588">
        <w:rPr>
          <w:rFonts w:ascii="Verdana" w:hAnsi="Verdana"/>
          <w:sz w:val="24"/>
          <w:szCs w:val="24"/>
        </w:rPr>
        <w:t xml:space="preserve">change is that Parliament hasn’t already legislated for this commitment. </w:t>
      </w:r>
      <w:r w:rsidR="00196CD4" w:rsidRPr="00A64588">
        <w:rPr>
          <w:rFonts w:ascii="Verdana" w:hAnsi="Verdana"/>
          <w:sz w:val="24"/>
          <w:szCs w:val="24"/>
        </w:rPr>
        <w:t>This seems rather circular.</w:t>
      </w:r>
    </w:p>
    <w:p w14:paraId="400FC60A" w14:textId="77777777" w:rsidR="00A64588" w:rsidRDefault="00A64588" w:rsidP="00A64588">
      <w:pPr>
        <w:pStyle w:val="ListParagraph"/>
        <w:spacing w:line="276" w:lineRule="auto"/>
        <w:ind w:left="454"/>
        <w:rPr>
          <w:rFonts w:ascii="Verdana" w:hAnsi="Verdana"/>
          <w:sz w:val="24"/>
          <w:szCs w:val="24"/>
        </w:rPr>
      </w:pPr>
    </w:p>
    <w:p w14:paraId="132FF411" w14:textId="136FB8C3" w:rsidR="00196CD4" w:rsidRPr="00A64588" w:rsidRDefault="00196CD4"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The third argument is that the Belfast Agreement “does not mandate, or even posit the possibility of, any changes to UK nationality law so that the acquisition of British citizenship for the people of Northern Ireland is based on choice of identity”.</w:t>
      </w:r>
    </w:p>
    <w:p w14:paraId="3BE800F5" w14:textId="77777777" w:rsidR="00A64588" w:rsidRDefault="00A64588" w:rsidP="00A64588">
      <w:pPr>
        <w:pStyle w:val="ListParagraph"/>
        <w:spacing w:line="276" w:lineRule="auto"/>
        <w:ind w:left="454"/>
        <w:rPr>
          <w:rFonts w:ascii="Verdana" w:hAnsi="Verdana"/>
          <w:sz w:val="24"/>
          <w:szCs w:val="24"/>
        </w:rPr>
      </w:pPr>
    </w:p>
    <w:p w14:paraId="53096133" w14:textId="382D4620" w:rsidR="00196CD4" w:rsidRPr="00A64588" w:rsidRDefault="00CD5006"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The 1998 Agreement was </w:t>
      </w:r>
      <w:r w:rsidR="00196CD4" w:rsidRPr="00A64588">
        <w:rPr>
          <w:rFonts w:ascii="Verdana" w:hAnsi="Verdana"/>
          <w:sz w:val="24"/>
          <w:szCs w:val="24"/>
        </w:rPr>
        <w:t>not written as complete or standalone legislative text; it is a political treaty creating a legitimate expectation that its commitments would be fleshed out in legislation.  Under a dualist constitution, this expectation carries further weight. Much of the detail set out in the Northern Ireland Act 1998 does not appear in the text of the Agreement.</w:t>
      </w:r>
    </w:p>
    <w:p w14:paraId="28438551" w14:textId="77777777" w:rsidR="00A64588" w:rsidRDefault="00A64588" w:rsidP="00A64588">
      <w:pPr>
        <w:pStyle w:val="ListParagraph"/>
        <w:spacing w:line="276" w:lineRule="auto"/>
        <w:ind w:left="454"/>
        <w:rPr>
          <w:rFonts w:ascii="Verdana" w:hAnsi="Verdana"/>
          <w:sz w:val="24"/>
          <w:szCs w:val="24"/>
        </w:rPr>
      </w:pPr>
    </w:p>
    <w:p w14:paraId="7FE56AD5" w14:textId="5E1F5F2D" w:rsidR="00196CD4" w:rsidRPr="00A64588" w:rsidRDefault="00F30561"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The</w:t>
      </w:r>
      <w:r w:rsidR="005825EC" w:rsidRPr="00A64588">
        <w:rPr>
          <w:rFonts w:ascii="Verdana" w:hAnsi="Verdana"/>
          <w:sz w:val="24"/>
          <w:szCs w:val="24"/>
        </w:rPr>
        <w:t xml:space="preserve"> Government’s</w:t>
      </w:r>
      <w:r w:rsidRPr="00A64588">
        <w:rPr>
          <w:rFonts w:ascii="Verdana" w:hAnsi="Verdana"/>
          <w:sz w:val="24"/>
          <w:szCs w:val="24"/>
        </w:rPr>
        <w:t xml:space="preserve"> submission goes on to suggest that any change that would “see the people of Northern Ireland treated differently for nationality purposes from people born in Great Britain” would conflict with “the constitutional status of Northern Ireland as part of the UK”.</w:t>
      </w:r>
    </w:p>
    <w:p w14:paraId="6168FCF4" w14:textId="0CAAEC1F" w:rsidR="00196CD4" w:rsidRPr="00A64588" w:rsidRDefault="005825EC"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lastRenderedPageBreak/>
        <w:t xml:space="preserve">The Commission would point out, however, that the 1998 Agreement has made distinct provision for Northern Ireland in </w:t>
      </w:r>
      <w:proofErr w:type="gramStart"/>
      <w:r w:rsidRPr="00A64588">
        <w:rPr>
          <w:rFonts w:ascii="Verdana" w:hAnsi="Verdana"/>
          <w:sz w:val="24"/>
          <w:szCs w:val="24"/>
        </w:rPr>
        <w:t>a number of</w:t>
      </w:r>
      <w:proofErr w:type="gramEnd"/>
      <w:r w:rsidRPr="00A64588">
        <w:rPr>
          <w:rFonts w:ascii="Verdana" w:hAnsi="Verdana"/>
          <w:sz w:val="24"/>
          <w:szCs w:val="24"/>
        </w:rPr>
        <w:t xml:space="preserve"> respects</w:t>
      </w:r>
      <w:r w:rsidR="008E199D" w:rsidRPr="00A64588">
        <w:rPr>
          <w:rFonts w:ascii="Verdana" w:hAnsi="Verdana"/>
          <w:sz w:val="24"/>
          <w:szCs w:val="24"/>
        </w:rPr>
        <w:t xml:space="preserve"> that are constitutional in nature and</w:t>
      </w:r>
      <w:r w:rsidRPr="00A64588">
        <w:rPr>
          <w:rFonts w:ascii="Verdana" w:hAnsi="Verdana"/>
          <w:sz w:val="24"/>
          <w:szCs w:val="24"/>
        </w:rPr>
        <w:t xml:space="preserve"> would argue that </w:t>
      </w:r>
      <w:r w:rsidR="008E199D" w:rsidRPr="00A64588">
        <w:rPr>
          <w:rFonts w:ascii="Verdana" w:hAnsi="Verdana"/>
          <w:sz w:val="24"/>
          <w:szCs w:val="24"/>
        </w:rPr>
        <w:t>our recommendations</w:t>
      </w:r>
      <w:r w:rsidRPr="00A64588">
        <w:rPr>
          <w:rFonts w:ascii="Verdana" w:hAnsi="Verdana"/>
          <w:sz w:val="24"/>
          <w:szCs w:val="24"/>
        </w:rPr>
        <w:t xml:space="preserve"> are designed to implement an existing international commitment. The proposals </w:t>
      </w:r>
      <w:r w:rsidR="00D02D27" w:rsidRPr="00A64588">
        <w:rPr>
          <w:rFonts w:ascii="Verdana" w:hAnsi="Verdana"/>
          <w:sz w:val="24"/>
          <w:szCs w:val="24"/>
        </w:rPr>
        <w:t xml:space="preserve">would enable </w:t>
      </w:r>
      <w:r w:rsidR="00F30561" w:rsidRPr="00A64588">
        <w:rPr>
          <w:rFonts w:ascii="Verdana" w:hAnsi="Verdana"/>
          <w:sz w:val="24"/>
          <w:szCs w:val="24"/>
        </w:rPr>
        <w:t>those entitled and wishing to do so, to avail of Irish citizenship alone, if they so ch</w:t>
      </w:r>
      <w:r w:rsidR="00973133" w:rsidRPr="00A64588">
        <w:rPr>
          <w:rFonts w:ascii="Verdana" w:hAnsi="Verdana"/>
          <w:sz w:val="24"/>
          <w:szCs w:val="24"/>
        </w:rPr>
        <w:t>o</w:t>
      </w:r>
      <w:r w:rsidR="00F30561" w:rsidRPr="00A64588">
        <w:rPr>
          <w:rFonts w:ascii="Verdana" w:hAnsi="Verdana"/>
          <w:sz w:val="24"/>
          <w:szCs w:val="24"/>
        </w:rPr>
        <w:t>ose</w:t>
      </w:r>
      <w:r w:rsidR="00973133" w:rsidRPr="00A64588">
        <w:rPr>
          <w:rFonts w:ascii="Verdana" w:hAnsi="Verdana"/>
          <w:sz w:val="24"/>
          <w:szCs w:val="24"/>
        </w:rPr>
        <w:t>, with no loss of rights, or detriment to any other party</w:t>
      </w:r>
      <w:r w:rsidR="00F30561" w:rsidRPr="00A64588">
        <w:rPr>
          <w:rFonts w:ascii="Verdana" w:hAnsi="Verdana"/>
          <w:sz w:val="24"/>
          <w:szCs w:val="24"/>
        </w:rPr>
        <w:t xml:space="preserve">. </w:t>
      </w:r>
      <w:r w:rsidR="00973133" w:rsidRPr="00A64588">
        <w:rPr>
          <w:rFonts w:ascii="Verdana" w:hAnsi="Verdana"/>
          <w:sz w:val="24"/>
          <w:szCs w:val="24"/>
        </w:rPr>
        <w:t>We submit that the constitutional status of Northern Ireland as part of the UK would remain unaffected by citizens being facilitated in this way</w:t>
      </w:r>
      <w:r w:rsidR="00361CC5" w:rsidRPr="00A64588">
        <w:rPr>
          <w:rFonts w:ascii="Verdana" w:hAnsi="Verdana"/>
          <w:sz w:val="24"/>
          <w:szCs w:val="24"/>
        </w:rPr>
        <w:t xml:space="preserve">. </w:t>
      </w:r>
    </w:p>
    <w:p w14:paraId="55D147B5" w14:textId="77777777" w:rsidR="00A64588" w:rsidRDefault="00A64588" w:rsidP="00A64588">
      <w:pPr>
        <w:pStyle w:val="ListParagraph"/>
        <w:spacing w:line="276" w:lineRule="auto"/>
        <w:ind w:left="454"/>
        <w:rPr>
          <w:rFonts w:ascii="Verdana" w:hAnsi="Verdana"/>
          <w:sz w:val="24"/>
          <w:szCs w:val="24"/>
        </w:rPr>
      </w:pPr>
    </w:p>
    <w:p w14:paraId="78A7FDA6" w14:textId="415E32D7" w:rsidR="00D4338D" w:rsidRPr="00A64588" w:rsidRDefault="00973133"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Page 4 of the Government’s submission sets out, in support of its position, four further bullet points extracted from the Upper Tribunal’s judgement</w:t>
      </w:r>
      <w:r w:rsidR="00D4338D" w:rsidRPr="00A64588">
        <w:rPr>
          <w:rFonts w:ascii="Verdana" w:hAnsi="Verdana"/>
          <w:sz w:val="24"/>
          <w:szCs w:val="24"/>
        </w:rPr>
        <w:t xml:space="preserve"> essentially </w:t>
      </w:r>
      <w:r w:rsidRPr="00A64588">
        <w:rPr>
          <w:rFonts w:ascii="Verdana" w:hAnsi="Verdana"/>
          <w:sz w:val="24"/>
          <w:szCs w:val="24"/>
        </w:rPr>
        <w:t>outlin</w:t>
      </w:r>
      <w:r w:rsidR="00D4338D" w:rsidRPr="00A64588">
        <w:rPr>
          <w:rFonts w:ascii="Verdana" w:hAnsi="Verdana"/>
          <w:sz w:val="24"/>
          <w:szCs w:val="24"/>
        </w:rPr>
        <w:t>ing</w:t>
      </w:r>
      <w:r w:rsidRPr="00A64588">
        <w:rPr>
          <w:rFonts w:ascii="Verdana" w:hAnsi="Verdana"/>
          <w:sz w:val="24"/>
          <w:szCs w:val="24"/>
        </w:rPr>
        <w:t xml:space="preserve"> difficulties regarding statelessness and the citizenship of a person of ‘undisclosed state of mind’. Both these concerns are fully addressed in </w:t>
      </w:r>
      <w:r w:rsidR="00D4338D" w:rsidRPr="00A64588">
        <w:rPr>
          <w:rFonts w:ascii="Verdana" w:hAnsi="Verdana"/>
          <w:sz w:val="24"/>
          <w:szCs w:val="24"/>
        </w:rPr>
        <w:t xml:space="preserve">our </w:t>
      </w:r>
      <w:r w:rsidRPr="00A64588">
        <w:rPr>
          <w:rFonts w:ascii="Verdana" w:hAnsi="Verdana"/>
          <w:sz w:val="24"/>
          <w:szCs w:val="24"/>
        </w:rPr>
        <w:t>proposals</w:t>
      </w:r>
      <w:r w:rsidR="00D4338D" w:rsidRPr="00A64588">
        <w:rPr>
          <w:rFonts w:ascii="Verdana" w:hAnsi="Verdana"/>
          <w:sz w:val="24"/>
          <w:szCs w:val="24"/>
        </w:rPr>
        <w:t>.</w:t>
      </w:r>
    </w:p>
    <w:p w14:paraId="451B38B7" w14:textId="77777777" w:rsidR="00A64588" w:rsidRDefault="00A64588" w:rsidP="00A64588">
      <w:pPr>
        <w:pStyle w:val="ListParagraph"/>
        <w:spacing w:line="276" w:lineRule="auto"/>
        <w:ind w:left="454"/>
        <w:rPr>
          <w:rFonts w:ascii="Verdana" w:hAnsi="Verdana"/>
          <w:sz w:val="24"/>
          <w:szCs w:val="24"/>
        </w:rPr>
      </w:pPr>
    </w:p>
    <w:p w14:paraId="0EC523F5" w14:textId="58B8D048" w:rsidR="00973133" w:rsidRPr="00A64588" w:rsidRDefault="00D4338D"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In summary, </w:t>
      </w:r>
      <w:r w:rsidR="00973133" w:rsidRPr="00A64588">
        <w:rPr>
          <w:rFonts w:ascii="Verdana" w:hAnsi="Verdana"/>
          <w:sz w:val="24"/>
          <w:szCs w:val="24"/>
        </w:rPr>
        <w:t xml:space="preserve">section 1(1) of the British Nationality Act 1981, </w:t>
      </w:r>
      <w:r w:rsidRPr="00A64588">
        <w:rPr>
          <w:rFonts w:ascii="Verdana" w:hAnsi="Verdana"/>
          <w:sz w:val="24"/>
          <w:szCs w:val="24"/>
        </w:rPr>
        <w:t xml:space="preserve">would be retained </w:t>
      </w:r>
      <w:r w:rsidR="00973133" w:rsidRPr="00A64588">
        <w:rPr>
          <w:rFonts w:ascii="Verdana" w:hAnsi="Verdana"/>
          <w:sz w:val="24"/>
          <w:szCs w:val="24"/>
        </w:rPr>
        <w:t xml:space="preserve">such that a person is deemed British from birth, subject to the proposed amendments to ensure that a person has the opportunity to express for themselves and for a child, </w:t>
      </w:r>
      <w:r w:rsidRPr="00A64588">
        <w:rPr>
          <w:rFonts w:ascii="Verdana" w:hAnsi="Verdana"/>
          <w:sz w:val="24"/>
          <w:szCs w:val="24"/>
        </w:rPr>
        <w:t xml:space="preserve">that they are Irish only, and to have that </w:t>
      </w:r>
      <w:proofErr w:type="gramStart"/>
      <w:r w:rsidRPr="00A64588">
        <w:rPr>
          <w:rFonts w:ascii="Verdana" w:hAnsi="Verdana"/>
          <w:sz w:val="24"/>
          <w:szCs w:val="24"/>
        </w:rPr>
        <w:t>back-dated</w:t>
      </w:r>
      <w:proofErr w:type="gramEnd"/>
      <w:r w:rsidRPr="00A64588">
        <w:rPr>
          <w:rFonts w:ascii="Verdana" w:hAnsi="Verdana"/>
          <w:sz w:val="24"/>
          <w:szCs w:val="24"/>
        </w:rPr>
        <w:t xml:space="preserve"> to birth in the circumstances outlined. The proposals also include an amendment to strengthen the law on statelessness.</w:t>
      </w:r>
    </w:p>
    <w:p w14:paraId="1728B234" w14:textId="77777777" w:rsidR="00A64588" w:rsidRDefault="00A64588" w:rsidP="00A64588">
      <w:pPr>
        <w:pStyle w:val="ListParagraph"/>
        <w:spacing w:line="276" w:lineRule="auto"/>
        <w:ind w:left="454"/>
        <w:rPr>
          <w:rFonts w:ascii="Verdana" w:hAnsi="Verdana"/>
          <w:sz w:val="24"/>
          <w:szCs w:val="24"/>
        </w:rPr>
      </w:pPr>
    </w:p>
    <w:p w14:paraId="2AB49BCF" w14:textId="405BA729" w:rsidR="00D4338D" w:rsidRPr="00A64588" w:rsidRDefault="00D4338D"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The Government’s paper refers to the protections of the Common Travel Area. Research commissioned by the NIHRC and IHREC found that many of the protections referenced, relied on custom and practice and were “written in sand”. The research offered </w:t>
      </w:r>
      <w:proofErr w:type="gramStart"/>
      <w:r w:rsidRPr="00A64588">
        <w:rPr>
          <w:rFonts w:ascii="Verdana" w:hAnsi="Verdana"/>
          <w:sz w:val="24"/>
          <w:szCs w:val="24"/>
        </w:rPr>
        <w:t>a number of</w:t>
      </w:r>
      <w:proofErr w:type="gramEnd"/>
      <w:r w:rsidRPr="00A64588">
        <w:rPr>
          <w:rFonts w:ascii="Verdana" w:hAnsi="Verdana"/>
          <w:sz w:val="24"/>
          <w:szCs w:val="24"/>
        </w:rPr>
        <w:t xml:space="preserve"> options to address the gaps including those left by EU law which had provided </w:t>
      </w:r>
      <w:r w:rsidR="00114F72" w:rsidRPr="00A64588">
        <w:rPr>
          <w:rFonts w:ascii="Verdana" w:hAnsi="Verdana"/>
          <w:sz w:val="24"/>
          <w:szCs w:val="24"/>
        </w:rPr>
        <w:t>much of what legal</w:t>
      </w:r>
      <w:r w:rsidRPr="00A64588">
        <w:rPr>
          <w:rFonts w:ascii="Verdana" w:hAnsi="Verdana"/>
          <w:sz w:val="24"/>
          <w:szCs w:val="24"/>
        </w:rPr>
        <w:t xml:space="preserve"> underpinning </w:t>
      </w:r>
      <w:r w:rsidR="00114F72" w:rsidRPr="00A64588">
        <w:rPr>
          <w:rFonts w:ascii="Verdana" w:hAnsi="Verdana"/>
          <w:sz w:val="24"/>
          <w:szCs w:val="24"/>
        </w:rPr>
        <w:t>there was until withdrawal</w:t>
      </w:r>
      <w:r w:rsidRPr="00A64588">
        <w:rPr>
          <w:rFonts w:ascii="Verdana" w:hAnsi="Verdana"/>
          <w:sz w:val="24"/>
          <w:szCs w:val="24"/>
        </w:rPr>
        <w:t>.</w:t>
      </w:r>
    </w:p>
    <w:p w14:paraId="066A5B22" w14:textId="77777777" w:rsidR="00A64588" w:rsidRDefault="00A64588" w:rsidP="00A64588">
      <w:pPr>
        <w:pStyle w:val="ListParagraph"/>
        <w:spacing w:line="276" w:lineRule="auto"/>
        <w:ind w:left="454"/>
        <w:rPr>
          <w:rFonts w:ascii="Verdana" w:hAnsi="Verdana"/>
          <w:sz w:val="24"/>
          <w:szCs w:val="24"/>
        </w:rPr>
      </w:pPr>
    </w:p>
    <w:p w14:paraId="037AB1D4" w14:textId="0F49345C" w:rsidR="00D4338D" w:rsidRPr="00A64588" w:rsidRDefault="00D4338D" w:rsidP="00A64588">
      <w:pPr>
        <w:pStyle w:val="ListParagraph"/>
        <w:numPr>
          <w:ilvl w:val="0"/>
          <w:numId w:val="7"/>
        </w:numPr>
        <w:spacing w:line="276" w:lineRule="auto"/>
        <w:rPr>
          <w:rFonts w:ascii="Verdana" w:hAnsi="Verdana"/>
          <w:sz w:val="24"/>
          <w:szCs w:val="24"/>
        </w:rPr>
      </w:pPr>
      <w:r w:rsidRPr="00A64588">
        <w:rPr>
          <w:rFonts w:ascii="Verdana" w:hAnsi="Verdana"/>
          <w:sz w:val="24"/>
          <w:szCs w:val="24"/>
        </w:rPr>
        <w:t xml:space="preserve">NIHRC acknowledges the temporary solution </w:t>
      </w:r>
      <w:r w:rsidR="003A714B" w:rsidRPr="00A64588">
        <w:rPr>
          <w:rFonts w:ascii="Verdana" w:hAnsi="Verdana"/>
          <w:sz w:val="24"/>
          <w:szCs w:val="24"/>
        </w:rPr>
        <w:t xml:space="preserve">announced on 24 August </w:t>
      </w:r>
      <w:r w:rsidRPr="00A64588">
        <w:rPr>
          <w:rFonts w:ascii="Verdana" w:hAnsi="Verdana"/>
          <w:sz w:val="24"/>
          <w:szCs w:val="24"/>
        </w:rPr>
        <w:t>for people of Northern Ireland wishing to avail of EEA right</w:t>
      </w:r>
      <w:r w:rsidR="00E55966" w:rsidRPr="00A64588">
        <w:rPr>
          <w:rFonts w:ascii="Verdana" w:hAnsi="Verdana"/>
          <w:sz w:val="24"/>
          <w:szCs w:val="24"/>
        </w:rPr>
        <w:t xml:space="preserve">s, referenced </w:t>
      </w:r>
      <w:r w:rsidR="003A714B" w:rsidRPr="00A64588">
        <w:rPr>
          <w:rFonts w:ascii="Verdana" w:hAnsi="Verdana"/>
          <w:sz w:val="24"/>
          <w:szCs w:val="24"/>
        </w:rPr>
        <w:t xml:space="preserve">on </w:t>
      </w:r>
      <w:r w:rsidRPr="00A64588">
        <w:rPr>
          <w:rFonts w:ascii="Verdana" w:hAnsi="Verdana"/>
          <w:sz w:val="24"/>
          <w:szCs w:val="24"/>
        </w:rPr>
        <w:t>page 5</w:t>
      </w:r>
      <w:r w:rsidR="003A714B" w:rsidRPr="00A64588">
        <w:rPr>
          <w:rFonts w:ascii="Verdana" w:hAnsi="Verdana"/>
          <w:sz w:val="24"/>
          <w:szCs w:val="24"/>
        </w:rPr>
        <w:t xml:space="preserve"> of the</w:t>
      </w:r>
      <w:r w:rsidRPr="00A64588">
        <w:rPr>
          <w:rFonts w:ascii="Verdana" w:hAnsi="Verdana"/>
          <w:sz w:val="24"/>
          <w:szCs w:val="24"/>
        </w:rPr>
        <w:t xml:space="preserve"> UKG paper</w:t>
      </w:r>
      <w:r w:rsidR="00B51FEF" w:rsidRPr="00A64588">
        <w:rPr>
          <w:rFonts w:ascii="Verdana" w:hAnsi="Verdana"/>
          <w:sz w:val="24"/>
          <w:szCs w:val="24"/>
        </w:rPr>
        <w:t xml:space="preserve">. These arrangements end </w:t>
      </w:r>
      <w:r w:rsidR="00EC7728" w:rsidRPr="00A64588">
        <w:rPr>
          <w:rFonts w:ascii="Verdana" w:hAnsi="Verdana"/>
          <w:sz w:val="24"/>
          <w:szCs w:val="24"/>
        </w:rPr>
        <w:t>from 1</w:t>
      </w:r>
      <w:r w:rsidR="00B51FEF" w:rsidRPr="00A64588">
        <w:rPr>
          <w:rFonts w:ascii="Verdana" w:hAnsi="Verdana"/>
          <w:sz w:val="24"/>
          <w:szCs w:val="24"/>
        </w:rPr>
        <w:t xml:space="preserve"> July</w:t>
      </w:r>
      <w:r w:rsidR="00EC7728" w:rsidRPr="00A64588">
        <w:rPr>
          <w:rFonts w:ascii="Verdana" w:hAnsi="Verdana"/>
          <w:sz w:val="24"/>
          <w:szCs w:val="24"/>
        </w:rPr>
        <w:t xml:space="preserve"> 2021</w:t>
      </w:r>
      <w:r w:rsidR="00B51FEF" w:rsidRPr="00A64588">
        <w:rPr>
          <w:rFonts w:ascii="Verdana" w:hAnsi="Verdana"/>
          <w:sz w:val="24"/>
          <w:szCs w:val="24"/>
        </w:rPr>
        <w:t xml:space="preserve">, after which </w:t>
      </w:r>
      <w:r w:rsidR="003E18EE" w:rsidRPr="00A64588">
        <w:rPr>
          <w:rFonts w:ascii="Verdana" w:hAnsi="Verdana"/>
          <w:sz w:val="24"/>
          <w:szCs w:val="24"/>
        </w:rPr>
        <w:t xml:space="preserve">exclusively </w:t>
      </w:r>
      <w:r w:rsidR="00B51FEF" w:rsidRPr="00A64588">
        <w:rPr>
          <w:rFonts w:ascii="Verdana" w:hAnsi="Verdana"/>
          <w:sz w:val="24"/>
          <w:szCs w:val="24"/>
        </w:rPr>
        <w:t xml:space="preserve">Irish citizens </w:t>
      </w:r>
      <w:r w:rsidR="00B17C27" w:rsidRPr="00A64588">
        <w:rPr>
          <w:rFonts w:ascii="Verdana" w:hAnsi="Verdana"/>
          <w:sz w:val="24"/>
          <w:szCs w:val="24"/>
        </w:rPr>
        <w:t xml:space="preserve">with EU Settled Status </w:t>
      </w:r>
      <w:r w:rsidR="003E18EE" w:rsidRPr="00A64588">
        <w:rPr>
          <w:rFonts w:ascii="Verdana" w:hAnsi="Verdana"/>
          <w:sz w:val="24"/>
          <w:szCs w:val="24"/>
        </w:rPr>
        <w:t>will retain family reunification rights</w:t>
      </w:r>
      <w:r w:rsidR="0090588A" w:rsidRPr="00A64588">
        <w:rPr>
          <w:rFonts w:ascii="Verdana" w:hAnsi="Verdana"/>
          <w:sz w:val="24"/>
          <w:szCs w:val="24"/>
        </w:rPr>
        <w:t xml:space="preserve">. </w:t>
      </w:r>
    </w:p>
    <w:p w14:paraId="4B8EC2F0" w14:textId="77777777" w:rsidR="00246555" w:rsidRDefault="00246555">
      <w:pPr>
        <w:rPr>
          <w:rFonts w:ascii="Verdana" w:hAnsi="Verdana" w:cs="Arial"/>
          <w:b/>
          <w:color w:val="77328A"/>
          <w:sz w:val="24"/>
          <w:szCs w:val="24"/>
        </w:rPr>
      </w:pPr>
      <w:r>
        <w:rPr>
          <w:rFonts w:ascii="Verdana" w:hAnsi="Verdana" w:cs="Arial"/>
          <w:b/>
          <w:color w:val="77328A"/>
          <w:sz w:val="24"/>
          <w:szCs w:val="24"/>
        </w:rPr>
        <w:br w:type="page"/>
      </w:r>
    </w:p>
    <w:p w14:paraId="7D22D79A" w14:textId="3945F32C" w:rsidR="00C43BB3" w:rsidRPr="00874603" w:rsidRDefault="00246555" w:rsidP="00FF612A">
      <w:pPr>
        <w:spacing w:line="276" w:lineRule="auto"/>
        <w:rPr>
          <w:rFonts w:ascii="Verdana" w:hAnsi="Verdana" w:cs="Arial"/>
          <w:b/>
          <w:color w:val="77328A"/>
          <w:sz w:val="24"/>
          <w:szCs w:val="24"/>
        </w:rPr>
      </w:pPr>
      <w:r>
        <w:rPr>
          <w:rFonts w:ascii="Verdana" w:hAnsi="Verdana" w:cs="Arial"/>
          <w:b/>
          <w:color w:val="77328A"/>
          <w:sz w:val="24"/>
          <w:szCs w:val="24"/>
        </w:rPr>
        <w:lastRenderedPageBreak/>
        <w:t xml:space="preserve">Question </w:t>
      </w:r>
      <w:r w:rsidR="00C43BB3" w:rsidRPr="00874603">
        <w:rPr>
          <w:rFonts w:ascii="Verdana" w:hAnsi="Verdana" w:cs="Arial"/>
          <w:b/>
          <w:color w:val="77328A"/>
          <w:sz w:val="24"/>
          <w:szCs w:val="24"/>
        </w:rPr>
        <w:t>3</w:t>
      </w:r>
      <w:r>
        <w:rPr>
          <w:rFonts w:ascii="Verdana" w:hAnsi="Verdana" w:cs="Arial"/>
          <w:b/>
          <w:color w:val="77328A"/>
          <w:sz w:val="24"/>
          <w:szCs w:val="24"/>
        </w:rPr>
        <w:t>:</w:t>
      </w:r>
      <w:r w:rsidR="00C43BB3" w:rsidRPr="00874603">
        <w:rPr>
          <w:rFonts w:ascii="Verdana" w:hAnsi="Verdana" w:cs="Arial"/>
          <w:b/>
          <w:color w:val="77328A"/>
          <w:sz w:val="24"/>
          <w:szCs w:val="24"/>
        </w:rPr>
        <w:t xml:space="preserve"> Whether the Government should allow Northern Ireland residents born in the Republic of Ireland to apply for a British passport given that Northern Ireland residents can currently apply for an Irish passport</w:t>
      </w:r>
    </w:p>
    <w:p w14:paraId="4B8CC9F6" w14:textId="4257D6E7" w:rsidR="00C43BB3" w:rsidRDefault="001E0280" w:rsidP="00246555">
      <w:pPr>
        <w:pStyle w:val="ListParagraph"/>
        <w:numPr>
          <w:ilvl w:val="0"/>
          <w:numId w:val="7"/>
        </w:numPr>
        <w:spacing w:line="276" w:lineRule="auto"/>
        <w:rPr>
          <w:rFonts w:ascii="Verdana" w:hAnsi="Verdana"/>
          <w:sz w:val="24"/>
          <w:szCs w:val="24"/>
        </w:rPr>
      </w:pPr>
      <w:r w:rsidRPr="00246555">
        <w:rPr>
          <w:rFonts w:ascii="Verdana" w:hAnsi="Verdana"/>
          <w:sz w:val="24"/>
          <w:szCs w:val="24"/>
        </w:rPr>
        <w:t>The Commission acknowledges the point made by the government</w:t>
      </w:r>
      <w:r w:rsidR="00F37143" w:rsidRPr="00246555">
        <w:rPr>
          <w:rFonts w:ascii="Verdana" w:hAnsi="Verdana"/>
          <w:sz w:val="24"/>
          <w:szCs w:val="24"/>
        </w:rPr>
        <w:t>,</w:t>
      </w:r>
      <w:r w:rsidRPr="00246555">
        <w:rPr>
          <w:rFonts w:ascii="Verdana" w:hAnsi="Verdana"/>
          <w:sz w:val="24"/>
          <w:szCs w:val="24"/>
        </w:rPr>
        <w:t xml:space="preserve"> that the definition in the 1998 Agreement of the ‘people of Northern Ireland’ </w:t>
      </w:r>
      <w:r w:rsidR="00F37143" w:rsidRPr="00246555">
        <w:rPr>
          <w:rFonts w:ascii="Verdana" w:hAnsi="Verdana"/>
          <w:sz w:val="24"/>
          <w:szCs w:val="24"/>
        </w:rPr>
        <w:t xml:space="preserve">in terms of those protected </w:t>
      </w:r>
      <w:r w:rsidR="00656F8D" w:rsidRPr="00246555">
        <w:rPr>
          <w:rFonts w:ascii="Verdana" w:hAnsi="Verdana"/>
          <w:sz w:val="24"/>
          <w:szCs w:val="24"/>
        </w:rPr>
        <w:t xml:space="preserve">by the </w:t>
      </w:r>
      <w:proofErr w:type="spellStart"/>
      <w:r w:rsidR="00656F8D" w:rsidRPr="00246555">
        <w:rPr>
          <w:rFonts w:ascii="Verdana" w:hAnsi="Verdana"/>
          <w:sz w:val="24"/>
          <w:szCs w:val="24"/>
        </w:rPr>
        <w:t>birthright</w:t>
      </w:r>
      <w:proofErr w:type="spellEnd"/>
      <w:r w:rsidR="00656F8D" w:rsidRPr="00246555">
        <w:rPr>
          <w:rFonts w:ascii="Verdana" w:hAnsi="Verdana"/>
          <w:sz w:val="24"/>
          <w:szCs w:val="24"/>
        </w:rPr>
        <w:t xml:space="preserve"> commitment,</w:t>
      </w:r>
      <w:r w:rsidR="00F37143" w:rsidRPr="00246555">
        <w:rPr>
          <w:rFonts w:ascii="Verdana" w:hAnsi="Verdana"/>
          <w:sz w:val="24"/>
          <w:szCs w:val="24"/>
        </w:rPr>
        <w:t xml:space="preserve"> excludes those born outside Northern Ireland. </w:t>
      </w:r>
    </w:p>
    <w:p w14:paraId="3EDC4591" w14:textId="77777777" w:rsidR="00246555" w:rsidRPr="00246555" w:rsidRDefault="00246555" w:rsidP="00246555">
      <w:pPr>
        <w:pStyle w:val="ListParagraph"/>
        <w:spacing w:line="276" w:lineRule="auto"/>
        <w:ind w:left="454"/>
        <w:rPr>
          <w:rFonts w:ascii="Verdana" w:hAnsi="Verdana"/>
          <w:sz w:val="24"/>
          <w:szCs w:val="24"/>
        </w:rPr>
      </w:pPr>
    </w:p>
    <w:p w14:paraId="09CFD812" w14:textId="45F49FE7" w:rsidR="00F37143" w:rsidRPr="00246555" w:rsidRDefault="00F37143" w:rsidP="00246555">
      <w:pPr>
        <w:pStyle w:val="ListParagraph"/>
        <w:numPr>
          <w:ilvl w:val="0"/>
          <w:numId w:val="7"/>
        </w:numPr>
        <w:spacing w:line="276" w:lineRule="auto"/>
        <w:rPr>
          <w:rFonts w:ascii="Verdana" w:hAnsi="Verdana"/>
          <w:sz w:val="24"/>
          <w:szCs w:val="24"/>
        </w:rPr>
      </w:pPr>
      <w:r w:rsidRPr="00246555">
        <w:rPr>
          <w:rFonts w:ascii="Verdana" w:hAnsi="Verdana"/>
          <w:sz w:val="24"/>
          <w:szCs w:val="24"/>
        </w:rPr>
        <w:t>As set out in our submission,</w:t>
      </w:r>
      <w:r w:rsidR="006D5E8D" w:rsidRPr="00246555">
        <w:rPr>
          <w:rFonts w:ascii="Verdana" w:hAnsi="Verdana"/>
          <w:sz w:val="24"/>
          <w:szCs w:val="24"/>
        </w:rPr>
        <w:t xml:space="preserve"> while there is no legal requirement to do so, the Commission does not foresee any reason why Irish citizens could not be given this opportunity as matter of reciprocity</w:t>
      </w:r>
      <w:r w:rsidR="00416163" w:rsidRPr="00246555">
        <w:rPr>
          <w:rFonts w:ascii="Verdana" w:hAnsi="Verdana"/>
          <w:sz w:val="24"/>
          <w:szCs w:val="24"/>
        </w:rPr>
        <w:t>.</w:t>
      </w:r>
      <w:r w:rsidR="00EC7728" w:rsidRPr="00246555">
        <w:rPr>
          <w:rFonts w:ascii="Verdana" w:hAnsi="Verdana"/>
          <w:sz w:val="24"/>
          <w:szCs w:val="24"/>
        </w:rPr>
        <w:t xml:space="preserve"> It may be worth noting that individuals born in Britain, and now living in Northern Ireland who have no family lineage to Northern Ireland save for being married to a NI person would also have to acquire Irish citizenship before being able to acquire an Irish passport. The cost of obtaining Irish citizenship is over 1100 euros so there is not an undue asymmetry between the Irish and UK government’s current positions.</w:t>
      </w:r>
    </w:p>
    <w:sectPr w:rsidR="00F37143" w:rsidRPr="00246555" w:rsidSect="00DB59AC">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AD45" w14:textId="77777777" w:rsidR="00B06845" w:rsidRDefault="00B06845" w:rsidP="00B91374">
      <w:pPr>
        <w:spacing w:after="0" w:line="240" w:lineRule="auto"/>
      </w:pPr>
      <w:r>
        <w:separator/>
      </w:r>
    </w:p>
  </w:endnote>
  <w:endnote w:type="continuationSeparator" w:id="0">
    <w:p w14:paraId="3D8D08A5" w14:textId="77777777" w:rsidR="00B06845" w:rsidRDefault="00B06845" w:rsidP="00B9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276"/>
      <w:docPartObj>
        <w:docPartGallery w:val="Page Numbers (Bottom of Page)"/>
        <w:docPartUnique/>
      </w:docPartObj>
    </w:sdtPr>
    <w:sdtEndPr>
      <w:rPr>
        <w:noProof/>
      </w:rPr>
    </w:sdtEndPr>
    <w:sdtContent>
      <w:p w14:paraId="43B80E40" w14:textId="484EDE16" w:rsidR="005A0368" w:rsidRDefault="005A0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2C10C" w14:textId="77777777" w:rsidR="005A0368" w:rsidRDefault="005A0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2219" w14:textId="77777777" w:rsidR="00B06845" w:rsidRDefault="00B06845" w:rsidP="00B91374">
      <w:pPr>
        <w:spacing w:after="0" w:line="240" w:lineRule="auto"/>
      </w:pPr>
      <w:r>
        <w:separator/>
      </w:r>
    </w:p>
  </w:footnote>
  <w:footnote w:type="continuationSeparator" w:id="0">
    <w:p w14:paraId="3B1906FE" w14:textId="77777777" w:rsidR="00B06845" w:rsidRDefault="00B06845" w:rsidP="00B91374">
      <w:pPr>
        <w:spacing w:after="0" w:line="240" w:lineRule="auto"/>
      </w:pPr>
      <w:r>
        <w:continuationSeparator/>
      </w:r>
    </w:p>
  </w:footnote>
  <w:footnote w:id="1">
    <w:p w14:paraId="3E60B0AD" w14:textId="6751C067" w:rsidR="00297155" w:rsidRDefault="00297155">
      <w:pPr>
        <w:pStyle w:val="FootnoteText"/>
      </w:pPr>
      <w:r w:rsidRPr="00F716B8">
        <w:rPr>
          <w:rFonts w:ascii="Verdana" w:eastAsia="Verdana" w:hAnsi="Verdana"/>
          <w:color w:val="77328A"/>
          <w:sz w:val="16"/>
          <w:szCs w:val="22"/>
          <w:vertAlign w:val="superscript"/>
        </w:rPr>
        <w:footnoteRef/>
      </w:r>
      <w:r w:rsidRPr="00F716B8">
        <w:rPr>
          <w:rFonts w:ascii="Verdana" w:eastAsia="Verdana" w:hAnsi="Verdana"/>
          <w:color w:val="77328A"/>
          <w:sz w:val="16"/>
          <w:szCs w:val="22"/>
        </w:rPr>
        <w:t xml:space="preserve"> </w:t>
      </w:r>
      <w:r w:rsidR="001A55F2" w:rsidRPr="00F716B8">
        <w:rPr>
          <w:rFonts w:ascii="Verdana" w:eastAsia="Verdana" w:hAnsi="Verdana"/>
          <w:color w:val="77328A"/>
          <w:sz w:val="16"/>
          <w:szCs w:val="22"/>
        </w:rPr>
        <w:t>(CPP0002)</w:t>
      </w:r>
    </w:p>
  </w:footnote>
  <w:footnote w:id="2">
    <w:p w14:paraId="5EB4FD53" w14:textId="059E20F0" w:rsidR="001A55F2" w:rsidRDefault="001A55F2">
      <w:pPr>
        <w:pStyle w:val="FootnoteText"/>
      </w:pPr>
      <w:r w:rsidRPr="00F716B8">
        <w:rPr>
          <w:rFonts w:ascii="Verdana" w:eastAsia="Verdana" w:hAnsi="Verdana"/>
          <w:color w:val="77328A"/>
          <w:sz w:val="16"/>
          <w:szCs w:val="22"/>
          <w:vertAlign w:val="superscript"/>
        </w:rPr>
        <w:footnoteRef/>
      </w:r>
      <w:r w:rsidRPr="00F716B8">
        <w:rPr>
          <w:rFonts w:ascii="Verdana" w:eastAsia="Verdana" w:hAnsi="Verdana"/>
          <w:color w:val="77328A"/>
          <w:sz w:val="16"/>
          <w:szCs w:val="22"/>
          <w:vertAlign w:val="superscript"/>
        </w:rPr>
        <w:t xml:space="preserve"> </w:t>
      </w:r>
      <w:r w:rsidRPr="00F716B8">
        <w:rPr>
          <w:rFonts w:ascii="Verdana" w:eastAsia="Verdana" w:hAnsi="Verdana"/>
          <w:color w:val="77328A"/>
          <w:sz w:val="16"/>
          <w:szCs w:val="22"/>
        </w:rPr>
        <w:t>(CPP0009)</w:t>
      </w:r>
    </w:p>
  </w:footnote>
  <w:footnote w:id="3">
    <w:p w14:paraId="6432D8E2" w14:textId="519690C7" w:rsidR="00A62BC3" w:rsidRPr="00A62BC3" w:rsidRDefault="00A62BC3" w:rsidP="00A62BC3">
      <w:pPr>
        <w:tabs>
          <w:tab w:val="left" w:pos="180"/>
        </w:tabs>
        <w:spacing w:after="0" w:line="191" w:lineRule="auto"/>
        <w:rPr>
          <w:rFonts w:ascii="Verdana" w:eastAsia="Verdana" w:hAnsi="Verdana"/>
          <w:color w:val="77328A"/>
          <w:vertAlign w:val="superscript"/>
        </w:rPr>
      </w:pPr>
      <w:r w:rsidRPr="00F716B8">
        <w:rPr>
          <w:rFonts w:ascii="Verdana" w:eastAsia="Verdana" w:hAnsi="Verdana"/>
          <w:color w:val="77328A"/>
          <w:sz w:val="16"/>
          <w:vertAlign w:val="superscript"/>
        </w:rPr>
        <w:footnoteRef/>
      </w:r>
      <w:r>
        <w:t xml:space="preserve"> </w:t>
      </w:r>
      <w:r>
        <w:rPr>
          <w:rFonts w:ascii="Verdana" w:eastAsia="Verdana" w:hAnsi="Verdana"/>
          <w:color w:val="77328A"/>
          <w:sz w:val="16"/>
        </w:rPr>
        <w:t>Theresa May ‘PM Speech in Belfast’, 5 February 2019.</w:t>
      </w:r>
    </w:p>
  </w:footnote>
  <w:footnote w:id="4">
    <w:p w14:paraId="1C14DCB0" w14:textId="77777777" w:rsidR="001A66F0" w:rsidRDefault="001A66F0" w:rsidP="001A66F0">
      <w:pPr>
        <w:pStyle w:val="FootnoteText"/>
      </w:pPr>
      <w:r w:rsidRPr="00F716B8">
        <w:rPr>
          <w:rFonts w:ascii="Verdana" w:eastAsia="Verdana" w:hAnsi="Verdana"/>
          <w:color w:val="77328A"/>
          <w:sz w:val="16"/>
          <w:szCs w:val="22"/>
          <w:vertAlign w:val="superscript"/>
        </w:rPr>
        <w:footnoteRef/>
      </w:r>
      <w:r>
        <w:t xml:space="preserve"> </w:t>
      </w:r>
      <w:r>
        <w:rPr>
          <w:rFonts w:ascii="Verdana" w:hAnsi="Verdana" w:cs="Verdana"/>
          <w:color w:val="77328B"/>
          <w:sz w:val="16"/>
          <w:szCs w:val="16"/>
        </w:rPr>
        <w:t>NI Office, ‘Consultation Paper: A Bill of Rights for Northern Ireland: Next Steps’ (NIO, November 2009), at para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51B" w14:textId="4240A5DC" w:rsidR="006E06E1" w:rsidRPr="00D53F03" w:rsidRDefault="00D53F03" w:rsidP="00D53F03">
    <w:pPr>
      <w:pStyle w:val="Header"/>
    </w:pPr>
    <w:r>
      <w:rPr>
        <w:noProof/>
      </w:rPr>
      <w:drawing>
        <wp:inline distT="0" distB="0" distL="0" distR="0" wp14:anchorId="4527B6FF" wp14:editId="40CF0EEE">
          <wp:extent cx="5731510" cy="1595755"/>
          <wp:effectExtent l="0" t="0" r="2540" b="4445"/>
          <wp:docPr id="3" name="Picture 3"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41B71EF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0C402B"/>
    <w:multiLevelType w:val="hybridMultilevel"/>
    <w:tmpl w:val="FFF27DEE"/>
    <w:lvl w:ilvl="0" w:tplc="D67E2142">
      <w:start w:val="1"/>
      <w:numFmt w:val="decimal"/>
      <w:lvlText w:val="%1."/>
      <w:lvlJc w:val="left"/>
      <w:pPr>
        <w:ind w:left="454" w:hanging="454"/>
      </w:pPr>
      <w:rPr>
        <w:rFonts w:hint="default"/>
      </w:rPr>
    </w:lvl>
    <w:lvl w:ilvl="1" w:tplc="82DA75E2">
      <w:start w:val="1"/>
      <w:numFmt w:val="lowerLetter"/>
      <w:lvlText w:val="%2."/>
      <w:lvlJc w:val="left"/>
      <w:pPr>
        <w:ind w:left="851" w:hanging="39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12D25"/>
    <w:multiLevelType w:val="hybridMultilevel"/>
    <w:tmpl w:val="29AE44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898633B"/>
    <w:multiLevelType w:val="hybridMultilevel"/>
    <w:tmpl w:val="2C5ABDAA"/>
    <w:lvl w:ilvl="0" w:tplc="6A6660FC">
      <w:start w:val="1"/>
      <w:numFmt w:val="bullet"/>
      <w:lvlText w:val=""/>
      <w:lvlJc w:val="left"/>
      <w:pPr>
        <w:ind w:left="1134" w:hanging="283"/>
      </w:pPr>
      <w:rPr>
        <w:rFonts w:ascii="Wingdings" w:hAnsi="Wingdings" w:hint="default"/>
      </w:rPr>
    </w:lvl>
    <w:lvl w:ilvl="1" w:tplc="08090003" w:tentative="1">
      <w:start w:val="1"/>
      <w:numFmt w:val="bullet"/>
      <w:lvlText w:val="o"/>
      <w:lvlJc w:val="left"/>
      <w:pPr>
        <w:ind w:left="2531" w:hanging="360"/>
      </w:pPr>
      <w:rPr>
        <w:rFonts w:ascii="Courier New" w:hAnsi="Courier New" w:cs="Courier New" w:hint="default"/>
      </w:rPr>
    </w:lvl>
    <w:lvl w:ilvl="2" w:tplc="08090005" w:tentative="1">
      <w:start w:val="1"/>
      <w:numFmt w:val="bullet"/>
      <w:lvlText w:val=""/>
      <w:lvlJc w:val="left"/>
      <w:pPr>
        <w:ind w:left="3251" w:hanging="360"/>
      </w:pPr>
      <w:rPr>
        <w:rFonts w:ascii="Wingdings" w:hAnsi="Wingdings" w:hint="default"/>
      </w:rPr>
    </w:lvl>
    <w:lvl w:ilvl="3" w:tplc="08090001" w:tentative="1">
      <w:start w:val="1"/>
      <w:numFmt w:val="bullet"/>
      <w:lvlText w:val=""/>
      <w:lvlJc w:val="left"/>
      <w:pPr>
        <w:ind w:left="3971" w:hanging="360"/>
      </w:pPr>
      <w:rPr>
        <w:rFonts w:ascii="Symbol" w:hAnsi="Symbol" w:hint="default"/>
      </w:rPr>
    </w:lvl>
    <w:lvl w:ilvl="4" w:tplc="08090003" w:tentative="1">
      <w:start w:val="1"/>
      <w:numFmt w:val="bullet"/>
      <w:lvlText w:val="o"/>
      <w:lvlJc w:val="left"/>
      <w:pPr>
        <w:ind w:left="4691" w:hanging="360"/>
      </w:pPr>
      <w:rPr>
        <w:rFonts w:ascii="Courier New" w:hAnsi="Courier New" w:cs="Courier New" w:hint="default"/>
      </w:rPr>
    </w:lvl>
    <w:lvl w:ilvl="5" w:tplc="08090005" w:tentative="1">
      <w:start w:val="1"/>
      <w:numFmt w:val="bullet"/>
      <w:lvlText w:val=""/>
      <w:lvlJc w:val="left"/>
      <w:pPr>
        <w:ind w:left="5411" w:hanging="360"/>
      </w:pPr>
      <w:rPr>
        <w:rFonts w:ascii="Wingdings" w:hAnsi="Wingdings" w:hint="default"/>
      </w:rPr>
    </w:lvl>
    <w:lvl w:ilvl="6" w:tplc="08090001" w:tentative="1">
      <w:start w:val="1"/>
      <w:numFmt w:val="bullet"/>
      <w:lvlText w:val=""/>
      <w:lvlJc w:val="left"/>
      <w:pPr>
        <w:ind w:left="6131" w:hanging="360"/>
      </w:pPr>
      <w:rPr>
        <w:rFonts w:ascii="Symbol" w:hAnsi="Symbol" w:hint="default"/>
      </w:rPr>
    </w:lvl>
    <w:lvl w:ilvl="7" w:tplc="08090003" w:tentative="1">
      <w:start w:val="1"/>
      <w:numFmt w:val="bullet"/>
      <w:lvlText w:val="o"/>
      <w:lvlJc w:val="left"/>
      <w:pPr>
        <w:ind w:left="6851" w:hanging="360"/>
      </w:pPr>
      <w:rPr>
        <w:rFonts w:ascii="Courier New" w:hAnsi="Courier New" w:cs="Courier New" w:hint="default"/>
      </w:rPr>
    </w:lvl>
    <w:lvl w:ilvl="8" w:tplc="08090005" w:tentative="1">
      <w:start w:val="1"/>
      <w:numFmt w:val="bullet"/>
      <w:lvlText w:val=""/>
      <w:lvlJc w:val="left"/>
      <w:pPr>
        <w:ind w:left="7571" w:hanging="360"/>
      </w:pPr>
      <w:rPr>
        <w:rFonts w:ascii="Wingdings" w:hAnsi="Wingdings" w:hint="default"/>
      </w:rPr>
    </w:lvl>
  </w:abstractNum>
  <w:abstractNum w:abstractNumId="4" w15:restartNumberingAfterBreak="0">
    <w:nsid w:val="39EF44A7"/>
    <w:multiLevelType w:val="hybridMultilevel"/>
    <w:tmpl w:val="E3B053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F0C8E"/>
    <w:multiLevelType w:val="hybridMultilevel"/>
    <w:tmpl w:val="D008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5575F"/>
    <w:multiLevelType w:val="hybridMultilevel"/>
    <w:tmpl w:val="437AF538"/>
    <w:lvl w:ilvl="0" w:tplc="82DA75E2">
      <w:start w:val="1"/>
      <w:numFmt w:val="lowerLetter"/>
      <w:lvlText w:val="%1."/>
      <w:lvlJc w:val="left"/>
      <w:pPr>
        <w:ind w:left="1200" w:hanging="397"/>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663300EE"/>
    <w:multiLevelType w:val="hybridMultilevel"/>
    <w:tmpl w:val="C126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C5711"/>
    <w:multiLevelType w:val="hybridMultilevel"/>
    <w:tmpl w:val="EC284742"/>
    <w:lvl w:ilvl="0" w:tplc="D67E2142">
      <w:start w:val="1"/>
      <w:numFmt w:val="decimal"/>
      <w:lvlText w:val="%1."/>
      <w:lvlJc w:val="left"/>
      <w:pPr>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3"/>
  </w:num>
  <w:num w:numId="5">
    <w:abstractNumId w:val="2"/>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6C"/>
    <w:rsid w:val="000044D2"/>
    <w:rsid w:val="0002765C"/>
    <w:rsid w:val="000368CB"/>
    <w:rsid w:val="000443B2"/>
    <w:rsid w:val="00057165"/>
    <w:rsid w:val="000676FE"/>
    <w:rsid w:val="0006789C"/>
    <w:rsid w:val="000B7DC8"/>
    <w:rsid w:val="000F4D1B"/>
    <w:rsid w:val="00107A4E"/>
    <w:rsid w:val="00114F72"/>
    <w:rsid w:val="00184E4C"/>
    <w:rsid w:val="00187C73"/>
    <w:rsid w:val="00192B51"/>
    <w:rsid w:val="00196AA1"/>
    <w:rsid w:val="00196CD4"/>
    <w:rsid w:val="001A55F2"/>
    <w:rsid w:val="001A66F0"/>
    <w:rsid w:val="001D30B7"/>
    <w:rsid w:val="001E0280"/>
    <w:rsid w:val="001F0A4F"/>
    <w:rsid w:val="001F585B"/>
    <w:rsid w:val="002251AF"/>
    <w:rsid w:val="00246555"/>
    <w:rsid w:val="00253E97"/>
    <w:rsid w:val="00283A47"/>
    <w:rsid w:val="002927BE"/>
    <w:rsid w:val="00297155"/>
    <w:rsid w:val="002A611F"/>
    <w:rsid w:val="002F6F50"/>
    <w:rsid w:val="002F76D2"/>
    <w:rsid w:val="00361CC5"/>
    <w:rsid w:val="00365930"/>
    <w:rsid w:val="00370BAF"/>
    <w:rsid w:val="003802CA"/>
    <w:rsid w:val="003A245C"/>
    <w:rsid w:val="003A714B"/>
    <w:rsid w:val="003D6328"/>
    <w:rsid w:val="003E18EE"/>
    <w:rsid w:val="003E2ED4"/>
    <w:rsid w:val="003F5F43"/>
    <w:rsid w:val="00400C82"/>
    <w:rsid w:val="004045EB"/>
    <w:rsid w:val="00411472"/>
    <w:rsid w:val="00416163"/>
    <w:rsid w:val="004326C4"/>
    <w:rsid w:val="00451F43"/>
    <w:rsid w:val="004C2110"/>
    <w:rsid w:val="004D281A"/>
    <w:rsid w:val="005654A8"/>
    <w:rsid w:val="005825EC"/>
    <w:rsid w:val="005A0368"/>
    <w:rsid w:val="005B436C"/>
    <w:rsid w:val="005C0A02"/>
    <w:rsid w:val="005E15C6"/>
    <w:rsid w:val="005F0927"/>
    <w:rsid w:val="006055B5"/>
    <w:rsid w:val="006475B9"/>
    <w:rsid w:val="00656F8D"/>
    <w:rsid w:val="00660D1D"/>
    <w:rsid w:val="00676EA5"/>
    <w:rsid w:val="006C7AE8"/>
    <w:rsid w:val="006D5E8D"/>
    <w:rsid w:val="006E06E1"/>
    <w:rsid w:val="007512F6"/>
    <w:rsid w:val="00775850"/>
    <w:rsid w:val="007B2BA9"/>
    <w:rsid w:val="008012AC"/>
    <w:rsid w:val="00836A47"/>
    <w:rsid w:val="00836C99"/>
    <w:rsid w:val="00874603"/>
    <w:rsid w:val="0088550D"/>
    <w:rsid w:val="008E199D"/>
    <w:rsid w:val="0090236F"/>
    <w:rsid w:val="0090588A"/>
    <w:rsid w:val="00912588"/>
    <w:rsid w:val="0094566A"/>
    <w:rsid w:val="00955E38"/>
    <w:rsid w:val="009714C4"/>
    <w:rsid w:val="00973133"/>
    <w:rsid w:val="009B267F"/>
    <w:rsid w:val="009F3ECE"/>
    <w:rsid w:val="00A13308"/>
    <w:rsid w:val="00A40BA3"/>
    <w:rsid w:val="00A531DF"/>
    <w:rsid w:val="00A62BC3"/>
    <w:rsid w:val="00A64588"/>
    <w:rsid w:val="00A83228"/>
    <w:rsid w:val="00AA1B0A"/>
    <w:rsid w:val="00AA2C0D"/>
    <w:rsid w:val="00AB1AB4"/>
    <w:rsid w:val="00AC6315"/>
    <w:rsid w:val="00B06845"/>
    <w:rsid w:val="00B07803"/>
    <w:rsid w:val="00B17C27"/>
    <w:rsid w:val="00B351AF"/>
    <w:rsid w:val="00B42C98"/>
    <w:rsid w:val="00B51FEF"/>
    <w:rsid w:val="00B664A3"/>
    <w:rsid w:val="00B744ED"/>
    <w:rsid w:val="00B91374"/>
    <w:rsid w:val="00BF4972"/>
    <w:rsid w:val="00C13B4C"/>
    <w:rsid w:val="00C43BB3"/>
    <w:rsid w:val="00C56E6B"/>
    <w:rsid w:val="00C73BF4"/>
    <w:rsid w:val="00CA3FF0"/>
    <w:rsid w:val="00CD285F"/>
    <w:rsid w:val="00CD5006"/>
    <w:rsid w:val="00CE4847"/>
    <w:rsid w:val="00CF6661"/>
    <w:rsid w:val="00D02D27"/>
    <w:rsid w:val="00D4338D"/>
    <w:rsid w:val="00D53F03"/>
    <w:rsid w:val="00DB59AC"/>
    <w:rsid w:val="00DD5159"/>
    <w:rsid w:val="00E1375B"/>
    <w:rsid w:val="00E23953"/>
    <w:rsid w:val="00E55966"/>
    <w:rsid w:val="00E63F9B"/>
    <w:rsid w:val="00E808C4"/>
    <w:rsid w:val="00EB1276"/>
    <w:rsid w:val="00EC7728"/>
    <w:rsid w:val="00EF28CB"/>
    <w:rsid w:val="00F11E30"/>
    <w:rsid w:val="00F129E3"/>
    <w:rsid w:val="00F27039"/>
    <w:rsid w:val="00F30561"/>
    <w:rsid w:val="00F337A3"/>
    <w:rsid w:val="00F37143"/>
    <w:rsid w:val="00F716B8"/>
    <w:rsid w:val="00F87528"/>
    <w:rsid w:val="00F958DA"/>
    <w:rsid w:val="00FE39E6"/>
    <w:rsid w:val="00FF612A"/>
    <w:rsid w:val="00FF67FE"/>
    <w:rsid w:val="00FF7069"/>
    <w:rsid w:val="00FF7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D04CC"/>
  <w15:chartTrackingRefBased/>
  <w15:docId w15:val="{3FD2659C-2498-4D01-B5A6-D46DDAE3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1B"/>
    <w:pPr>
      <w:ind w:left="720"/>
      <w:contextualSpacing/>
    </w:pPr>
  </w:style>
  <w:style w:type="paragraph" w:styleId="FootnoteText">
    <w:name w:val="footnote text"/>
    <w:basedOn w:val="Normal"/>
    <w:link w:val="FootnoteTextChar"/>
    <w:uiPriority w:val="99"/>
    <w:semiHidden/>
    <w:unhideWhenUsed/>
    <w:rsid w:val="00B9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374"/>
    <w:rPr>
      <w:sz w:val="20"/>
      <w:szCs w:val="20"/>
    </w:rPr>
  </w:style>
  <w:style w:type="character" w:styleId="FootnoteReference">
    <w:name w:val="footnote reference"/>
    <w:basedOn w:val="DefaultParagraphFont"/>
    <w:uiPriority w:val="99"/>
    <w:semiHidden/>
    <w:unhideWhenUsed/>
    <w:rsid w:val="00B91374"/>
    <w:rPr>
      <w:vertAlign w:val="superscript"/>
    </w:rPr>
  </w:style>
  <w:style w:type="character" w:styleId="CommentReference">
    <w:name w:val="annotation reference"/>
    <w:basedOn w:val="DefaultParagraphFont"/>
    <w:uiPriority w:val="99"/>
    <w:semiHidden/>
    <w:unhideWhenUsed/>
    <w:rsid w:val="00370BAF"/>
    <w:rPr>
      <w:sz w:val="16"/>
      <w:szCs w:val="16"/>
    </w:rPr>
  </w:style>
  <w:style w:type="paragraph" w:styleId="CommentText">
    <w:name w:val="annotation text"/>
    <w:basedOn w:val="Normal"/>
    <w:link w:val="CommentTextChar"/>
    <w:uiPriority w:val="99"/>
    <w:semiHidden/>
    <w:unhideWhenUsed/>
    <w:rsid w:val="00370BAF"/>
    <w:pPr>
      <w:spacing w:line="240" w:lineRule="auto"/>
    </w:pPr>
    <w:rPr>
      <w:sz w:val="20"/>
      <w:szCs w:val="20"/>
    </w:rPr>
  </w:style>
  <w:style w:type="character" w:customStyle="1" w:styleId="CommentTextChar">
    <w:name w:val="Comment Text Char"/>
    <w:basedOn w:val="DefaultParagraphFont"/>
    <w:link w:val="CommentText"/>
    <w:uiPriority w:val="99"/>
    <w:semiHidden/>
    <w:rsid w:val="00370BAF"/>
    <w:rPr>
      <w:sz w:val="20"/>
      <w:szCs w:val="20"/>
    </w:rPr>
  </w:style>
  <w:style w:type="paragraph" w:styleId="CommentSubject">
    <w:name w:val="annotation subject"/>
    <w:basedOn w:val="CommentText"/>
    <w:next w:val="CommentText"/>
    <w:link w:val="CommentSubjectChar"/>
    <w:uiPriority w:val="99"/>
    <w:semiHidden/>
    <w:unhideWhenUsed/>
    <w:rsid w:val="00370BAF"/>
    <w:rPr>
      <w:b/>
      <w:bCs/>
    </w:rPr>
  </w:style>
  <w:style w:type="character" w:customStyle="1" w:styleId="CommentSubjectChar">
    <w:name w:val="Comment Subject Char"/>
    <w:basedOn w:val="CommentTextChar"/>
    <w:link w:val="CommentSubject"/>
    <w:uiPriority w:val="99"/>
    <w:semiHidden/>
    <w:rsid w:val="00370BAF"/>
    <w:rPr>
      <w:b/>
      <w:bCs/>
      <w:sz w:val="20"/>
      <w:szCs w:val="20"/>
    </w:rPr>
  </w:style>
  <w:style w:type="paragraph" w:styleId="BalloonText">
    <w:name w:val="Balloon Text"/>
    <w:basedOn w:val="Normal"/>
    <w:link w:val="BalloonTextChar"/>
    <w:uiPriority w:val="99"/>
    <w:semiHidden/>
    <w:unhideWhenUsed/>
    <w:rsid w:val="00370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BAF"/>
    <w:rPr>
      <w:rFonts w:ascii="Segoe UI" w:hAnsi="Segoe UI" w:cs="Segoe UI"/>
      <w:sz w:val="18"/>
      <w:szCs w:val="18"/>
    </w:rPr>
  </w:style>
  <w:style w:type="paragraph" w:styleId="Header">
    <w:name w:val="header"/>
    <w:basedOn w:val="Normal"/>
    <w:link w:val="HeaderChar"/>
    <w:uiPriority w:val="99"/>
    <w:unhideWhenUsed/>
    <w:rsid w:val="006E0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6E1"/>
  </w:style>
  <w:style w:type="paragraph" w:styleId="Footer">
    <w:name w:val="footer"/>
    <w:basedOn w:val="Normal"/>
    <w:link w:val="FooterChar"/>
    <w:uiPriority w:val="99"/>
    <w:unhideWhenUsed/>
    <w:rsid w:val="006E0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5422-C2F7-415D-BE5A-302548F9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1639</Words>
  <Characters>9343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 Haughey</dc:creator>
  <cp:keywords/>
  <dc:description/>
  <cp:lastModifiedBy>Jason McKeown</cp:lastModifiedBy>
  <cp:revision>2</cp:revision>
  <dcterms:created xsi:type="dcterms:W3CDTF">2021-05-20T11:13:00Z</dcterms:created>
  <dcterms:modified xsi:type="dcterms:W3CDTF">2021-05-20T11:13:00Z</dcterms:modified>
</cp:coreProperties>
</file>