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31EF" w14:textId="48D2CEF0" w:rsidR="002E427C" w:rsidRDefault="001D2326" w:rsidP="00943AC6">
      <w:pPr>
        <w:jc w:val="center"/>
      </w:pPr>
      <w:r w:rsidRPr="004526FD">
        <w:rPr>
          <w:rFonts w:cs="Arial"/>
          <w:b/>
          <w:bCs/>
          <w:noProof/>
          <w:color w:val="734791"/>
          <w:sz w:val="36"/>
          <w:szCs w:val="36"/>
          <w:lang w:eastAsia="en-GB"/>
        </w:rPr>
        <w:drawing>
          <wp:inline distT="0" distB="0" distL="0" distR="0" wp14:anchorId="5A59B1AA" wp14:editId="3E01B6DA">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48D76660" w14:textId="77777777" w:rsidR="00045312" w:rsidRDefault="00045312" w:rsidP="00943AC6">
      <w:pPr>
        <w:jc w:val="center"/>
      </w:pPr>
    </w:p>
    <w:p w14:paraId="51DAAF36" w14:textId="77777777" w:rsidR="00045312" w:rsidRPr="004526FD" w:rsidRDefault="00045312" w:rsidP="00943AC6">
      <w:pPr>
        <w:jc w:val="center"/>
      </w:pPr>
    </w:p>
    <w:p w14:paraId="042C93BF" w14:textId="77777777" w:rsidR="001D2326" w:rsidRPr="004526FD" w:rsidRDefault="001D2326" w:rsidP="00943AC6">
      <w:pPr>
        <w:widowControl w:val="0"/>
        <w:suppressAutoHyphens/>
        <w:autoSpaceDE w:val="0"/>
        <w:autoSpaceDN w:val="0"/>
        <w:adjustRightInd w:val="0"/>
        <w:jc w:val="center"/>
        <w:textAlignment w:val="center"/>
        <w:rPr>
          <w:rFonts w:eastAsia="Yu Mincho" w:cs="Arial"/>
          <w:b/>
          <w:bCs/>
          <w:color w:val="77328A"/>
          <w:kern w:val="0"/>
          <w:sz w:val="36"/>
          <w:szCs w:val="36"/>
          <w14:ligatures w14:val="none"/>
        </w:rPr>
      </w:pPr>
      <w:r w:rsidRPr="004526FD">
        <w:rPr>
          <w:rFonts w:eastAsia="Yu Mincho" w:cs="Arial"/>
          <w:b/>
          <w:bCs/>
          <w:color w:val="77328A"/>
          <w:kern w:val="0"/>
          <w:sz w:val="36"/>
          <w:szCs w:val="36"/>
          <w14:ligatures w14:val="none"/>
        </w:rPr>
        <w:t xml:space="preserve">Response to Department of Justice Consultation on Proposals to Criminalise </w:t>
      </w:r>
    </w:p>
    <w:p w14:paraId="2A95174F" w14:textId="3D2CB8D0" w:rsidR="001D2326" w:rsidRPr="004526FD" w:rsidRDefault="001D2326" w:rsidP="00943AC6">
      <w:pPr>
        <w:widowControl w:val="0"/>
        <w:suppressAutoHyphens/>
        <w:autoSpaceDE w:val="0"/>
        <w:autoSpaceDN w:val="0"/>
        <w:adjustRightInd w:val="0"/>
        <w:jc w:val="center"/>
        <w:textAlignment w:val="center"/>
        <w:rPr>
          <w:rFonts w:eastAsia="Yu Mincho" w:cs="Arial"/>
          <w:b/>
          <w:color w:val="77328A"/>
          <w:kern w:val="0"/>
          <w:sz w:val="36"/>
          <w:szCs w:val="36"/>
          <w14:ligatures w14:val="none"/>
        </w:rPr>
      </w:pPr>
      <w:r w:rsidRPr="004526FD">
        <w:rPr>
          <w:rFonts w:eastAsia="Yu Mincho" w:cs="Arial"/>
          <w:b/>
          <w:bCs/>
          <w:color w:val="77328A"/>
          <w:kern w:val="0"/>
          <w:sz w:val="36"/>
          <w:szCs w:val="36"/>
          <w14:ligatures w14:val="none"/>
        </w:rPr>
        <w:t>Sexually Explicit Deepfake Images</w:t>
      </w:r>
    </w:p>
    <w:p w14:paraId="34ABF729" w14:textId="77777777" w:rsidR="001D2326" w:rsidRPr="004526FD" w:rsidRDefault="001D2326" w:rsidP="00943AC6">
      <w:pPr>
        <w:widowControl w:val="0"/>
        <w:autoSpaceDE w:val="0"/>
        <w:autoSpaceDN w:val="0"/>
        <w:adjustRightInd w:val="0"/>
        <w:jc w:val="center"/>
        <w:rPr>
          <w:rFonts w:eastAsia="Yu Mincho" w:cs="Arial"/>
          <w:color w:val="232120"/>
          <w:kern w:val="0"/>
          <w:sz w:val="36"/>
          <w:szCs w:val="36"/>
          <w:lang w:val="en-US"/>
          <w14:ligatures w14:val="none"/>
        </w:rPr>
      </w:pPr>
    </w:p>
    <w:p w14:paraId="4435A1FB" w14:textId="77777777" w:rsidR="001D2326" w:rsidRPr="004526FD" w:rsidRDefault="001D2326" w:rsidP="00943AC6">
      <w:pPr>
        <w:widowControl w:val="0"/>
        <w:autoSpaceDE w:val="0"/>
        <w:autoSpaceDN w:val="0"/>
        <w:adjustRightInd w:val="0"/>
        <w:jc w:val="center"/>
        <w:rPr>
          <w:rFonts w:eastAsia="Yu Mincho" w:cs="Arial"/>
          <w:color w:val="232120"/>
          <w:kern w:val="0"/>
          <w:sz w:val="36"/>
          <w:szCs w:val="36"/>
          <w:lang w:val="en-US"/>
          <w14:ligatures w14:val="none"/>
        </w:rPr>
      </w:pPr>
    </w:p>
    <w:p w14:paraId="5893FBF7" w14:textId="77777777" w:rsidR="001D2326" w:rsidRPr="004526FD" w:rsidRDefault="001D2326" w:rsidP="00943AC6">
      <w:pPr>
        <w:widowControl w:val="0"/>
        <w:autoSpaceDE w:val="0"/>
        <w:autoSpaceDN w:val="0"/>
        <w:adjustRightInd w:val="0"/>
        <w:jc w:val="center"/>
        <w:rPr>
          <w:rFonts w:eastAsia="Yu Mincho" w:cs="Arial"/>
          <w:color w:val="232120"/>
          <w:kern w:val="0"/>
          <w:sz w:val="36"/>
          <w:szCs w:val="36"/>
          <w:lang w:val="en-US"/>
          <w14:ligatures w14:val="none"/>
        </w:rPr>
      </w:pPr>
    </w:p>
    <w:p w14:paraId="40360E25" w14:textId="77777777" w:rsidR="001D2326" w:rsidRPr="004526FD" w:rsidRDefault="001D2326" w:rsidP="00943AC6">
      <w:pPr>
        <w:widowControl w:val="0"/>
        <w:autoSpaceDE w:val="0"/>
        <w:autoSpaceDN w:val="0"/>
        <w:adjustRightInd w:val="0"/>
        <w:jc w:val="center"/>
        <w:rPr>
          <w:rFonts w:eastAsia="Yu Mincho" w:cs="Arial"/>
          <w:color w:val="232120"/>
          <w:kern w:val="0"/>
          <w:sz w:val="36"/>
          <w:szCs w:val="36"/>
          <w:lang w:val="en-US"/>
          <w14:ligatures w14:val="none"/>
        </w:rPr>
      </w:pPr>
    </w:p>
    <w:p w14:paraId="74C96BFE" w14:textId="77777777" w:rsidR="001D2326" w:rsidRPr="004526FD" w:rsidRDefault="001D2326" w:rsidP="00943AC6">
      <w:pPr>
        <w:widowControl w:val="0"/>
        <w:autoSpaceDE w:val="0"/>
        <w:autoSpaceDN w:val="0"/>
        <w:adjustRightInd w:val="0"/>
        <w:jc w:val="center"/>
        <w:rPr>
          <w:rFonts w:eastAsia="Yu Mincho" w:cs="Arial"/>
          <w:color w:val="232120"/>
          <w:kern w:val="0"/>
          <w:sz w:val="36"/>
          <w:szCs w:val="36"/>
          <w:lang w:val="en-US"/>
          <w14:ligatures w14:val="none"/>
        </w:rPr>
      </w:pPr>
    </w:p>
    <w:p w14:paraId="6E40E535" w14:textId="77777777" w:rsidR="001D2326" w:rsidRPr="004526FD" w:rsidRDefault="001D2326" w:rsidP="00943AC6">
      <w:pPr>
        <w:widowControl w:val="0"/>
        <w:autoSpaceDE w:val="0"/>
        <w:autoSpaceDN w:val="0"/>
        <w:adjustRightInd w:val="0"/>
        <w:jc w:val="center"/>
        <w:rPr>
          <w:rFonts w:eastAsia="Yu Mincho" w:cs="Arial"/>
          <w:color w:val="232120"/>
          <w:kern w:val="0"/>
          <w:sz w:val="36"/>
          <w:szCs w:val="36"/>
          <w:lang w:val="en-US"/>
          <w14:ligatures w14:val="none"/>
        </w:rPr>
      </w:pPr>
    </w:p>
    <w:p w14:paraId="4AA61EDC" w14:textId="32CB2384" w:rsidR="001D2326" w:rsidRPr="004526FD" w:rsidRDefault="000242F5" w:rsidP="00943AC6">
      <w:pPr>
        <w:jc w:val="center"/>
        <w:rPr>
          <w:rFonts w:eastAsia="Yu Mincho" w:cs="Arial"/>
          <w:b/>
          <w:color w:val="232120"/>
          <w:kern w:val="0"/>
          <w:sz w:val="30"/>
          <w:szCs w:val="30"/>
          <w14:ligatures w14:val="none"/>
        </w:rPr>
      </w:pPr>
      <w:r w:rsidRPr="004526FD">
        <w:rPr>
          <w:rFonts w:eastAsia="Yu Mincho" w:cs="Arial"/>
          <w:b/>
          <w:color w:val="232120"/>
          <w:kern w:val="0"/>
          <w:sz w:val="30"/>
          <w:szCs w:val="30"/>
          <w14:ligatures w14:val="none"/>
        </w:rPr>
        <w:t>October</w:t>
      </w:r>
      <w:r w:rsidR="001D2326" w:rsidRPr="004526FD">
        <w:rPr>
          <w:rFonts w:eastAsia="Yu Mincho" w:cs="Arial"/>
          <w:b/>
          <w:color w:val="232120"/>
          <w:kern w:val="0"/>
          <w:sz w:val="30"/>
          <w:szCs w:val="30"/>
          <w14:ligatures w14:val="none"/>
        </w:rPr>
        <w:t xml:space="preserve"> 2025</w:t>
      </w:r>
    </w:p>
    <w:p w14:paraId="61FABA75" w14:textId="77777777" w:rsidR="001D2326" w:rsidRPr="004526FD" w:rsidRDefault="001D2326" w:rsidP="00943AC6">
      <w:pPr>
        <w:rPr>
          <w:rFonts w:eastAsia="Yu Mincho" w:cs="Arial"/>
          <w:kern w:val="0"/>
          <w14:ligatures w14:val="none"/>
        </w:rPr>
      </w:pPr>
    </w:p>
    <w:p w14:paraId="732D2DD7" w14:textId="77777777" w:rsidR="001D2326" w:rsidRPr="004526FD" w:rsidRDefault="001D2326" w:rsidP="00943AC6"/>
    <w:p w14:paraId="4F53B419" w14:textId="77777777" w:rsidR="001D2326" w:rsidRPr="004526FD" w:rsidRDefault="001D2326" w:rsidP="00943AC6"/>
    <w:p w14:paraId="49329D96" w14:textId="77777777" w:rsidR="001D2326" w:rsidRPr="004526FD" w:rsidRDefault="001D2326" w:rsidP="00943AC6"/>
    <w:p w14:paraId="369EDCDE" w14:textId="4C0408DD" w:rsidR="006F29F8" w:rsidRPr="004526FD" w:rsidRDefault="006F29F8" w:rsidP="00943AC6">
      <w:pPr>
        <w:spacing w:line="278" w:lineRule="auto"/>
      </w:pPr>
      <w:r w:rsidRPr="004526FD">
        <w:br w:type="page"/>
      </w:r>
    </w:p>
    <w:sdt>
      <w:sdtPr>
        <w:rPr>
          <w:rFonts w:eastAsiaTheme="minorEastAsia" w:cstheme="minorBidi"/>
          <w:b w:val="0"/>
          <w:color w:val="auto"/>
          <w:kern w:val="2"/>
          <w:sz w:val="24"/>
          <w:szCs w:val="24"/>
          <w:lang w:val="en-GB"/>
          <w14:ligatures w14:val="standardContextual"/>
        </w:rPr>
        <w:id w:val="112412883"/>
        <w:docPartObj>
          <w:docPartGallery w:val="Table of Contents"/>
          <w:docPartUnique/>
        </w:docPartObj>
      </w:sdtPr>
      <w:sdtEndPr>
        <w:rPr>
          <w:noProof/>
        </w:rPr>
      </w:sdtEndPr>
      <w:sdtContent>
        <w:p w14:paraId="6FF51C4E" w14:textId="51CE18DC" w:rsidR="0003500C" w:rsidRPr="004526FD" w:rsidRDefault="006F29F8" w:rsidP="00943AC6">
          <w:pPr>
            <w:pStyle w:val="TOCHeading"/>
            <w:spacing w:before="0"/>
            <w:rPr>
              <w:bCs/>
              <w:color w:val="auto"/>
              <w:sz w:val="30"/>
              <w:szCs w:val="30"/>
            </w:rPr>
          </w:pPr>
          <w:r w:rsidRPr="00924570">
            <w:rPr>
              <w:rFonts w:eastAsiaTheme="minorHAnsi" w:cstheme="minorBidi"/>
              <w:kern w:val="2"/>
              <w:sz w:val="40"/>
              <w:szCs w:val="40"/>
              <w:lang w:val="en-GB"/>
              <w14:ligatures w14:val="standardContextual"/>
            </w:rPr>
            <w:t xml:space="preserve">Table of </w:t>
          </w:r>
          <w:r w:rsidR="0003500C" w:rsidRPr="00924570">
            <w:rPr>
              <w:bCs/>
              <w:sz w:val="40"/>
              <w:szCs w:val="40"/>
            </w:rPr>
            <w:t>Contents</w:t>
          </w:r>
        </w:p>
        <w:p w14:paraId="11B15746" w14:textId="77777777" w:rsidR="006F29F8" w:rsidRPr="004526FD" w:rsidRDefault="006F29F8" w:rsidP="00943AC6">
          <w:pPr>
            <w:rPr>
              <w:lang w:val="en-US"/>
            </w:rPr>
          </w:pPr>
        </w:p>
        <w:p w14:paraId="3A0B0C3C" w14:textId="6BFFA88C" w:rsidR="00735C03" w:rsidRDefault="0003500C">
          <w:pPr>
            <w:pStyle w:val="TOC1"/>
            <w:rPr>
              <w:rFonts w:asciiTheme="minorHAnsi" w:eastAsiaTheme="minorEastAsia" w:hAnsiTheme="minorHAnsi"/>
              <w:b w:val="0"/>
              <w:lang w:eastAsia="en-GB"/>
            </w:rPr>
          </w:pPr>
          <w:r w:rsidRPr="004526FD">
            <w:rPr>
              <w:noProof w:val="0"/>
            </w:rPr>
            <w:fldChar w:fldCharType="begin"/>
          </w:r>
          <w:r w:rsidRPr="004526FD">
            <w:instrText xml:space="preserve"> TOC \o "1-3" \h \z \u </w:instrText>
          </w:r>
          <w:r w:rsidRPr="004526FD">
            <w:rPr>
              <w:noProof w:val="0"/>
            </w:rPr>
            <w:fldChar w:fldCharType="separate"/>
          </w:r>
          <w:hyperlink w:anchor="_Toc209087424" w:history="1">
            <w:r w:rsidR="00735C03" w:rsidRPr="00667706">
              <w:rPr>
                <w:rStyle w:val="Hyperlink"/>
              </w:rPr>
              <w:t>Summary of Recommendations</w:t>
            </w:r>
            <w:r w:rsidR="00735C03">
              <w:rPr>
                <w:webHidden/>
              </w:rPr>
              <w:tab/>
            </w:r>
            <w:r w:rsidR="00735C03">
              <w:rPr>
                <w:webHidden/>
              </w:rPr>
              <w:fldChar w:fldCharType="begin"/>
            </w:r>
            <w:r w:rsidR="00735C03">
              <w:rPr>
                <w:webHidden/>
              </w:rPr>
              <w:instrText xml:space="preserve"> PAGEREF _Toc209087424 \h </w:instrText>
            </w:r>
            <w:r w:rsidR="00735C03">
              <w:rPr>
                <w:webHidden/>
              </w:rPr>
            </w:r>
            <w:r w:rsidR="00735C03">
              <w:rPr>
                <w:webHidden/>
              </w:rPr>
              <w:fldChar w:fldCharType="separate"/>
            </w:r>
            <w:r w:rsidR="00CB7BBD">
              <w:rPr>
                <w:webHidden/>
              </w:rPr>
              <w:t>3</w:t>
            </w:r>
            <w:r w:rsidR="00735C03">
              <w:rPr>
                <w:webHidden/>
              </w:rPr>
              <w:fldChar w:fldCharType="end"/>
            </w:r>
          </w:hyperlink>
        </w:p>
        <w:p w14:paraId="54E12805" w14:textId="2F91BE79" w:rsidR="00735C03" w:rsidRDefault="00735C03">
          <w:pPr>
            <w:pStyle w:val="TOC1"/>
            <w:rPr>
              <w:rFonts w:asciiTheme="minorHAnsi" w:eastAsiaTheme="minorEastAsia" w:hAnsiTheme="minorHAnsi"/>
              <w:b w:val="0"/>
              <w:lang w:eastAsia="en-GB"/>
            </w:rPr>
          </w:pPr>
          <w:hyperlink w:anchor="_Toc209087425" w:history="1">
            <w:r w:rsidRPr="00667706">
              <w:rPr>
                <w:rStyle w:val="Hyperlink"/>
              </w:rPr>
              <w:t>1.0</w:t>
            </w:r>
            <w:r>
              <w:rPr>
                <w:rFonts w:asciiTheme="minorHAnsi" w:eastAsiaTheme="minorEastAsia" w:hAnsiTheme="minorHAnsi"/>
                <w:b w:val="0"/>
                <w:lang w:eastAsia="en-GB"/>
              </w:rPr>
              <w:tab/>
            </w:r>
            <w:r w:rsidRPr="00667706">
              <w:rPr>
                <w:rStyle w:val="Hyperlink"/>
              </w:rPr>
              <w:t xml:space="preserve"> Introduction</w:t>
            </w:r>
            <w:r>
              <w:rPr>
                <w:webHidden/>
              </w:rPr>
              <w:tab/>
            </w:r>
            <w:r>
              <w:rPr>
                <w:webHidden/>
              </w:rPr>
              <w:fldChar w:fldCharType="begin"/>
            </w:r>
            <w:r>
              <w:rPr>
                <w:webHidden/>
              </w:rPr>
              <w:instrText xml:space="preserve"> PAGEREF _Toc209087425 \h </w:instrText>
            </w:r>
            <w:r>
              <w:rPr>
                <w:webHidden/>
              </w:rPr>
            </w:r>
            <w:r>
              <w:rPr>
                <w:webHidden/>
              </w:rPr>
              <w:fldChar w:fldCharType="separate"/>
            </w:r>
            <w:r w:rsidR="00CB7BBD">
              <w:rPr>
                <w:webHidden/>
              </w:rPr>
              <w:t>7</w:t>
            </w:r>
            <w:r>
              <w:rPr>
                <w:webHidden/>
              </w:rPr>
              <w:fldChar w:fldCharType="end"/>
            </w:r>
          </w:hyperlink>
        </w:p>
        <w:p w14:paraId="5CC939EE" w14:textId="4376DFE0" w:rsidR="00735C03" w:rsidRDefault="00735C03">
          <w:pPr>
            <w:pStyle w:val="TOC1"/>
            <w:rPr>
              <w:rFonts w:asciiTheme="minorHAnsi" w:eastAsiaTheme="minorEastAsia" w:hAnsiTheme="minorHAnsi"/>
              <w:b w:val="0"/>
              <w:lang w:eastAsia="en-GB"/>
            </w:rPr>
          </w:pPr>
          <w:hyperlink w:anchor="_Toc209087426" w:history="1">
            <w:r w:rsidRPr="00667706">
              <w:rPr>
                <w:rStyle w:val="Hyperlink"/>
              </w:rPr>
              <w:t>2.0</w:t>
            </w:r>
            <w:r>
              <w:rPr>
                <w:rFonts w:asciiTheme="minorHAnsi" w:eastAsiaTheme="minorEastAsia" w:hAnsiTheme="minorHAnsi"/>
                <w:b w:val="0"/>
                <w:lang w:eastAsia="en-GB"/>
              </w:rPr>
              <w:tab/>
            </w:r>
            <w:r w:rsidRPr="00667706">
              <w:rPr>
                <w:rStyle w:val="Hyperlink"/>
              </w:rPr>
              <w:t xml:space="preserve"> Criminalising Non-consensual Sexually Explicit Deepfakes</w:t>
            </w:r>
            <w:r>
              <w:rPr>
                <w:webHidden/>
              </w:rPr>
              <w:tab/>
            </w:r>
            <w:r>
              <w:rPr>
                <w:webHidden/>
              </w:rPr>
              <w:fldChar w:fldCharType="begin"/>
            </w:r>
            <w:r>
              <w:rPr>
                <w:webHidden/>
              </w:rPr>
              <w:instrText xml:space="preserve"> PAGEREF _Toc209087426 \h </w:instrText>
            </w:r>
            <w:r>
              <w:rPr>
                <w:webHidden/>
              </w:rPr>
            </w:r>
            <w:r>
              <w:rPr>
                <w:webHidden/>
              </w:rPr>
              <w:fldChar w:fldCharType="separate"/>
            </w:r>
            <w:r w:rsidR="00CB7BBD">
              <w:rPr>
                <w:webHidden/>
              </w:rPr>
              <w:t>9</w:t>
            </w:r>
            <w:r>
              <w:rPr>
                <w:webHidden/>
              </w:rPr>
              <w:fldChar w:fldCharType="end"/>
            </w:r>
          </w:hyperlink>
        </w:p>
        <w:p w14:paraId="2EC051CE" w14:textId="7C27D600" w:rsidR="00735C03" w:rsidRDefault="00735C03">
          <w:pPr>
            <w:pStyle w:val="TOC3"/>
            <w:tabs>
              <w:tab w:val="right" w:leader="dot" w:pos="9016"/>
            </w:tabs>
            <w:rPr>
              <w:rFonts w:asciiTheme="minorHAnsi" w:eastAsiaTheme="minorEastAsia" w:hAnsiTheme="minorHAnsi"/>
              <w:noProof/>
              <w:lang w:eastAsia="en-GB"/>
            </w:rPr>
          </w:pPr>
          <w:hyperlink w:anchor="_Toc209087427" w:history="1">
            <w:r w:rsidRPr="00667706">
              <w:rPr>
                <w:rStyle w:val="Hyperlink"/>
                <w:noProof/>
              </w:rPr>
              <w:t>European Convention on Human Rights</w:t>
            </w:r>
            <w:r>
              <w:rPr>
                <w:noProof/>
                <w:webHidden/>
              </w:rPr>
              <w:tab/>
            </w:r>
            <w:r>
              <w:rPr>
                <w:noProof/>
                <w:webHidden/>
              </w:rPr>
              <w:fldChar w:fldCharType="begin"/>
            </w:r>
            <w:r>
              <w:rPr>
                <w:noProof/>
                <w:webHidden/>
              </w:rPr>
              <w:instrText xml:space="preserve"> PAGEREF _Toc209087427 \h </w:instrText>
            </w:r>
            <w:r>
              <w:rPr>
                <w:noProof/>
                <w:webHidden/>
              </w:rPr>
            </w:r>
            <w:r>
              <w:rPr>
                <w:noProof/>
                <w:webHidden/>
              </w:rPr>
              <w:fldChar w:fldCharType="separate"/>
            </w:r>
            <w:r w:rsidR="00CB7BBD">
              <w:rPr>
                <w:noProof/>
                <w:webHidden/>
              </w:rPr>
              <w:t>10</w:t>
            </w:r>
            <w:r>
              <w:rPr>
                <w:noProof/>
                <w:webHidden/>
              </w:rPr>
              <w:fldChar w:fldCharType="end"/>
            </w:r>
          </w:hyperlink>
        </w:p>
        <w:p w14:paraId="230F065B" w14:textId="6B04435B" w:rsidR="00735C03" w:rsidRDefault="00735C03">
          <w:pPr>
            <w:pStyle w:val="TOC3"/>
            <w:tabs>
              <w:tab w:val="right" w:leader="dot" w:pos="9016"/>
            </w:tabs>
            <w:rPr>
              <w:rFonts w:asciiTheme="minorHAnsi" w:eastAsiaTheme="minorEastAsia" w:hAnsiTheme="minorHAnsi"/>
              <w:noProof/>
              <w:lang w:eastAsia="en-GB"/>
            </w:rPr>
          </w:pPr>
          <w:hyperlink w:anchor="_Toc209087428" w:history="1">
            <w:r w:rsidRPr="00667706">
              <w:rPr>
                <w:rStyle w:val="Hyperlink"/>
                <w:noProof/>
              </w:rPr>
              <w:t>UN CEDAW and CoE Istanbul Convention</w:t>
            </w:r>
            <w:r>
              <w:rPr>
                <w:noProof/>
                <w:webHidden/>
              </w:rPr>
              <w:tab/>
            </w:r>
            <w:r>
              <w:rPr>
                <w:noProof/>
                <w:webHidden/>
              </w:rPr>
              <w:fldChar w:fldCharType="begin"/>
            </w:r>
            <w:r>
              <w:rPr>
                <w:noProof/>
                <w:webHidden/>
              </w:rPr>
              <w:instrText xml:space="preserve"> PAGEREF _Toc209087428 \h </w:instrText>
            </w:r>
            <w:r>
              <w:rPr>
                <w:noProof/>
                <w:webHidden/>
              </w:rPr>
            </w:r>
            <w:r>
              <w:rPr>
                <w:noProof/>
                <w:webHidden/>
              </w:rPr>
              <w:fldChar w:fldCharType="separate"/>
            </w:r>
            <w:r w:rsidR="00CB7BBD">
              <w:rPr>
                <w:noProof/>
                <w:webHidden/>
              </w:rPr>
              <w:t>17</w:t>
            </w:r>
            <w:r>
              <w:rPr>
                <w:noProof/>
                <w:webHidden/>
              </w:rPr>
              <w:fldChar w:fldCharType="end"/>
            </w:r>
          </w:hyperlink>
        </w:p>
        <w:p w14:paraId="1273A595" w14:textId="1021D589" w:rsidR="00735C03" w:rsidRDefault="00735C03">
          <w:pPr>
            <w:pStyle w:val="TOC3"/>
            <w:tabs>
              <w:tab w:val="right" w:leader="dot" w:pos="9016"/>
            </w:tabs>
            <w:rPr>
              <w:rFonts w:asciiTheme="minorHAnsi" w:eastAsiaTheme="minorEastAsia" w:hAnsiTheme="minorHAnsi"/>
              <w:noProof/>
              <w:lang w:eastAsia="en-GB"/>
            </w:rPr>
          </w:pPr>
          <w:hyperlink w:anchor="_Toc209087429" w:history="1">
            <w:r w:rsidRPr="00667706">
              <w:rPr>
                <w:rStyle w:val="Hyperlink"/>
                <w:noProof/>
              </w:rPr>
              <w:t>CoE Budapest Convention and the CoE Framework Convention on Artificial Intelligence and Human Rights, Democracy and the Rule of Law</w:t>
            </w:r>
            <w:r>
              <w:rPr>
                <w:noProof/>
                <w:webHidden/>
              </w:rPr>
              <w:tab/>
            </w:r>
            <w:r>
              <w:rPr>
                <w:noProof/>
                <w:webHidden/>
              </w:rPr>
              <w:fldChar w:fldCharType="begin"/>
            </w:r>
            <w:r>
              <w:rPr>
                <w:noProof/>
                <w:webHidden/>
              </w:rPr>
              <w:instrText xml:space="preserve"> PAGEREF _Toc209087429 \h </w:instrText>
            </w:r>
            <w:r>
              <w:rPr>
                <w:noProof/>
                <w:webHidden/>
              </w:rPr>
            </w:r>
            <w:r>
              <w:rPr>
                <w:noProof/>
                <w:webHidden/>
              </w:rPr>
              <w:fldChar w:fldCharType="separate"/>
            </w:r>
            <w:r w:rsidR="00CB7BBD">
              <w:rPr>
                <w:noProof/>
                <w:webHidden/>
              </w:rPr>
              <w:t>19</w:t>
            </w:r>
            <w:r>
              <w:rPr>
                <w:noProof/>
                <w:webHidden/>
              </w:rPr>
              <w:fldChar w:fldCharType="end"/>
            </w:r>
          </w:hyperlink>
        </w:p>
        <w:p w14:paraId="79A3F468" w14:textId="77766F21" w:rsidR="00735C03" w:rsidRDefault="00735C03">
          <w:pPr>
            <w:pStyle w:val="TOC1"/>
            <w:rPr>
              <w:rFonts w:asciiTheme="minorHAnsi" w:eastAsiaTheme="minorEastAsia" w:hAnsiTheme="minorHAnsi"/>
              <w:b w:val="0"/>
              <w:lang w:eastAsia="en-GB"/>
            </w:rPr>
          </w:pPr>
          <w:hyperlink w:anchor="_Toc209087430" w:history="1">
            <w:r w:rsidRPr="00667706">
              <w:rPr>
                <w:rStyle w:val="Hyperlink"/>
              </w:rPr>
              <w:t>3.0</w:t>
            </w:r>
            <w:r>
              <w:rPr>
                <w:rFonts w:asciiTheme="minorHAnsi" w:eastAsiaTheme="minorEastAsia" w:hAnsiTheme="minorHAnsi"/>
                <w:b w:val="0"/>
                <w:lang w:eastAsia="en-GB"/>
              </w:rPr>
              <w:tab/>
            </w:r>
            <w:r w:rsidRPr="00667706">
              <w:rPr>
                <w:rStyle w:val="Hyperlink"/>
              </w:rPr>
              <w:t xml:space="preserve"> Specific Issues within the Proposals to Criminalise Sexually Explicit Deepfake Images</w:t>
            </w:r>
            <w:r>
              <w:rPr>
                <w:webHidden/>
              </w:rPr>
              <w:tab/>
            </w:r>
            <w:r>
              <w:rPr>
                <w:webHidden/>
              </w:rPr>
              <w:fldChar w:fldCharType="begin"/>
            </w:r>
            <w:r>
              <w:rPr>
                <w:webHidden/>
              </w:rPr>
              <w:instrText xml:space="preserve"> PAGEREF _Toc209087430 \h </w:instrText>
            </w:r>
            <w:r>
              <w:rPr>
                <w:webHidden/>
              </w:rPr>
            </w:r>
            <w:r>
              <w:rPr>
                <w:webHidden/>
              </w:rPr>
              <w:fldChar w:fldCharType="separate"/>
            </w:r>
            <w:r w:rsidR="00CB7BBD">
              <w:rPr>
                <w:webHidden/>
              </w:rPr>
              <w:t>21</w:t>
            </w:r>
            <w:r>
              <w:rPr>
                <w:webHidden/>
              </w:rPr>
              <w:fldChar w:fldCharType="end"/>
            </w:r>
          </w:hyperlink>
        </w:p>
        <w:p w14:paraId="21E42B3A" w14:textId="26CE820D" w:rsidR="00735C03" w:rsidRDefault="00735C03">
          <w:pPr>
            <w:pStyle w:val="TOC3"/>
            <w:tabs>
              <w:tab w:val="right" w:leader="dot" w:pos="9016"/>
            </w:tabs>
            <w:rPr>
              <w:rFonts w:asciiTheme="minorHAnsi" w:eastAsiaTheme="minorEastAsia" w:hAnsiTheme="minorHAnsi"/>
              <w:noProof/>
              <w:lang w:eastAsia="en-GB"/>
            </w:rPr>
          </w:pPr>
          <w:hyperlink w:anchor="_Toc209087431" w:history="1">
            <w:r w:rsidRPr="00667706">
              <w:rPr>
                <w:rStyle w:val="Hyperlink"/>
                <w:noProof/>
              </w:rPr>
              <w:t>Victim-centred approach</w:t>
            </w:r>
            <w:r>
              <w:rPr>
                <w:noProof/>
                <w:webHidden/>
              </w:rPr>
              <w:tab/>
            </w:r>
            <w:r>
              <w:rPr>
                <w:noProof/>
                <w:webHidden/>
              </w:rPr>
              <w:fldChar w:fldCharType="begin"/>
            </w:r>
            <w:r>
              <w:rPr>
                <w:noProof/>
                <w:webHidden/>
              </w:rPr>
              <w:instrText xml:space="preserve"> PAGEREF _Toc209087431 \h </w:instrText>
            </w:r>
            <w:r>
              <w:rPr>
                <w:noProof/>
                <w:webHidden/>
              </w:rPr>
            </w:r>
            <w:r>
              <w:rPr>
                <w:noProof/>
                <w:webHidden/>
              </w:rPr>
              <w:fldChar w:fldCharType="separate"/>
            </w:r>
            <w:r w:rsidR="00CB7BBD">
              <w:rPr>
                <w:noProof/>
                <w:webHidden/>
              </w:rPr>
              <w:t>21</w:t>
            </w:r>
            <w:r>
              <w:rPr>
                <w:noProof/>
                <w:webHidden/>
              </w:rPr>
              <w:fldChar w:fldCharType="end"/>
            </w:r>
          </w:hyperlink>
        </w:p>
        <w:p w14:paraId="495B03D8" w14:textId="0A761BB1" w:rsidR="00735C03" w:rsidRDefault="00735C03">
          <w:pPr>
            <w:pStyle w:val="TOC3"/>
            <w:tabs>
              <w:tab w:val="right" w:leader="dot" w:pos="9016"/>
            </w:tabs>
            <w:rPr>
              <w:rFonts w:asciiTheme="minorHAnsi" w:eastAsiaTheme="minorEastAsia" w:hAnsiTheme="minorHAnsi"/>
              <w:noProof/>
              <w:lang w:eastAsia="en-GB"/>
            </w:rPr>
          </w:pPr>
          <w:hyperlink w:anchor="_Toc209087432" w:history="1">
            <w:r w:rsidRPr="00667706">
              <w:rPr>
                <w:rStyle w:val="Hyperlink"/>
                <w:noProof/>
              </w:rPr>
              <w:t>Gender-sensitive approach</w:t>
            </w:r>
            <w:r>
              <w:rPr>
                <w:noProof/>
                <w:webHidden/>
              </w:rPr>
              <w:tab/>
            </w:r>
            <w:r>
              <w:rPr>
                <w:noProof/>
                <w:webHidden/>
              </w:rPr>
              <w:fldChar w:fldCharType="begin"/>
            </w:r>
            <w:r>
              <w:rPr>
                <w:noProof/>
                <w:webHidden/>
              </w:rPr>
              <w:instrText xml:space="preserve"> PAGEREF _Toc209087432 \h </w:instrText>
            </w:r>
            <w:r>
              <w:rPr>
                <w:noProof/>
                <w:webHidden/>
              </w:rPr>
            </w:r>
            <w:r>
              <w:rPr>
                <w:noProof/>
                <w:webHidden/>
              </w:rPr>
              <w:fldChar w:fldCharType="separate"/>
            </w:r>
            <w:r w:rsidR="00CB7BBD">
              <w:rPr>
                <w:noProof/>
                <w:webHidden/>
              </w:rPr>
              <w:t>22</w:t>
            </w:r>
            <w:r>
              <w:rPr>
                <w:noProof/>
                <w:webHidden/>
              </w:rPr>
              <w:fldChar w:fldCharType="end"/>
            </w:r>
          </w:hyperlink>
        </w:p>
        <w:p w14:paraId="43AF6304" w14:textId="5859AE2A" w:rsidR="00735C03" w:rsidRDefault="00735C03">
          <w:pPr>
            <w:pStyle w:val="TOC3"/>
            <w:tabs>
              <w:tab w:val="right" w:leader="dot" w:pos="9016"/>
            </w:tabs>
            <w:rPr>
              <w:rFonts w:asciiTheme="minorHAnsi" w:eastAsiaTheme="minorEastAsia" w:hAnsiTheme="minorHAnsi"/>
              <w:noProof/>
              <w:lang w:eastAsia="en-GB"/>
            </w:rPr>
          </w:pPr>
          <w:hyperlink w:anchor="_Toc209087433" w:history="1">
            <w:r w:rsidRPr="00667706">
              <w:rPr>
                <w:rStyle w:val="Hyperlink"/>
                <w:noProof/>
              </w:rPr>
              <w:t>Consent</w:t>
            </w:r>
            <w:r>
              <w:rPr>
                <w:noProof/>
                <w:webHidden/>
              </w:rPr>
              <w:tab/>
            </w:r>
            <w:r>
              <w:rPr>
                <w:noProof/>
                <w:webHidden/>
              </w:rPr>
              <w:fldChar w:fldCharType="begin"/>
            </w:r>
            <w:r>
              <w:rPr>
                <w:noProof/>
                <w:webHidden/>
              </w:rPr>
              <w:instrText xml:space="preserve"> PAGEREF _Toc209087433 \h </w:instrText>
            </w:r>
            <w:r>
              <w:rPr>
                <w:noProof/>
                <w:webHidden/>
              </w:rPr>
            </w:r>
            <w:r>
              <w:rPr>
                <w:noProof/>
                <w:webHidden/>
              </w:rPr>
              <w:fldChar w:fldCharType="separate"/>
            </w:r>
            <w:r w:rsidR="00CB7BBD">
              <w:rPr>
                <w:noProof/>
                <w:webHidden/>
              </w:rPr>
              <w:t>24</w:t>
            </w:r>
            <w:r>
              <w:rPr>
                <w:noProof/>
                <w:webHidden/>
              </w:rPr>
              <w:fldChar w:fldCharType="end"/>
            </w:r>
          </w:hyperlink>
        </w:p>
        <w:p w14:paraId="3A76595C" w14:textId="2D546BE9" w:rsidR="00735C03" w:rsidRDefault="00735C03">
          <w:pPr>
            <w:pStyle w:val="TOC3"/>
            <w:tabs>
              <w:tab w:val="right" w:leader="dot" w:pos="9016"/>
            </w:tabs>
            <w:rPr>
              <w:rFonts w:asciiTheme="minorHAnsi" w:eastAsiaTheme="minorEastAsia" w:hAnsiTheme="minorHAnsi"/>
              <w:noProof/>
              <w:lang w:eastAsia="en-GB"/>
            </w:rPr>
          </w:pPr>
          <w:hyperlink w:anchor="_Toc209087434" w:history="1">
            <w:r w:rsidRPr="00667706">
              <w:rPr>
                <w:rStyle w:val="Hyperlink"/>
                <w:noProof/>
              </w:rPr>
              <w:t>Potential gaps in the offences as described</w:t>
            </w:r>
            <w:r>
              <w:rPr>
                <w:noProof/>
                <w:webHidden/>
              </w:rPr>
              <w:tab/>
            </w:r>
            <w:r>
              <w:rPr>
                <w:noProof/>
                <w:webHidden/>
              </w:rPr>
              <w:fldChar w:fldCharType="begin"/>
            </w:r>
            <w:r>
              <w:rPr>
                <w:noProof/>
                <w:webHidden/>
              </w:rPr>
              <w:instrText xml:space="preserve"> PAGEREF _Toc209087434 \h </w:instrText>
            </w:r>
            <w:r>
              <w:rPr>
                <w:noProof/>
                <w:webHidden/>
              </w:rPr>
            </w:r>
            <w:r>
              <w:rPr>
                <w:noProof/>
                <w:webHidden/>
              </w:rPr>
              <w:fldChar w:fldCharType="separate"/>
            </w:r>
            <w:r w:rsidR="00CB7BBD">
              <w:rPr>
                <w:noProof/>
                <w:webHidden/>
              </w:rPr>
              <w:t>24</w:t>
            </w:r>
            <w:r>
              <w:rPr>
                <w:noProof/>
                <w:webHidden/>
              </w:rPr>
              <w:fldChar w:fldCharType="end"/>
            </w:r>
          </w:hyperlink>
        </w:p>
        <w:p w14:paraId="694EEE25" w14:textId="52571807" w:rsidR="00735C03" w:rsidRDefault="00735C03">
          <w:pPr>
            <w:pStyle w:val="TOC3"/>
            <w:tabs>
              <w:tab w:val="right" w:leader="dot" w:pos="9016"/>
            </w:tabs>
            <w:rPr>
              <w:rFonts w:asciiTheme="minorHAnsi" w:eastAsiaTheme="minorEastAsia" w:hAnsiTheme="minorHAnsi"/>
              <w:noProof/>
              <w:lang w:eastAsia="en-GB"/>
            </w:rPr>
          </w:pPr>
          <w:hyperlink w:anchor="_Toc209087435" w:history="1">
            <w:r w:rsidRPr="00667706">
              <w:rPr>
                <w:rStyle w:val="Hyperlink"/>
                <w:noProof/>
              </w:rPr>
              <w:t>Hybrid offences with specific motivations</w:t>
            </w:r>
            <w:r>
              <w:rPr>
                <w:noProof/>
                <w:webHidden/>
              </w:rPr>
              <w:tab/>
            </w:r>
            <w:r>
              <w:rPr>
                <w:noProof/>
                <w:webHidden/>
              </w:rPr>
              <w:fldChar w:fldCharType="begin"/>
            </w:r>
            <w:r>
              <w:rPr>
                <w:noProof/>
                <w:webHidden/>
              </w:rPr>
              <w:instrText xml:space="preserve"> PAGEREF _Toc209087435 \h </w:instrText>
            </w:r>
            <w:r>
              <w:rPr>
                <w:noProof/>
                <w:webHidden/>
              </w:rPr>
            </w:r>
            <w:r>
              <w:rPr>
                <w:noProof/>
                <w:webHidden/>
              </w:rPr>
              <w:fldChar w:fldCharType="separate"/>
            </w:r>
            <w:r w:rsidR="00CB7BBD">
              <w:rPr>
                <w:noProof/>
                <w:webHidden/>
              </w:rPr>
              <w:t>27</w:t>
            </w:r>
            <w:r>
              <w:rPr>
                <w:noProof/>
                <w:webHidden/>
              </w:rPr>
              <w:fldChar w:fldCharType="end"/>
            </w:r>
          </w:hyperlink>
        </w:p>
        <w:p w14:paraId="1412E579" w14:textId="5BE715F1" w:rsidR="00735C03" w:rsidRDefault="00735C03">
          <w:pPr>
            <w:pStyle w:val="TOC3"/>
            <w:tabs>
              <w:tab w:val="right" w:leader="dot" w:pos="9016"/>
            </w:tabs>
            <w:rPr>
              <w:rFonts w:asciiTheme="minorHAnsi" w:eastAsiaTheme="minorEastAsia" w:hAnsiTheme="minorHAnsi"/>
              <w:noProof/>
              <w:lang w:eastAsia="en-GB"/>
            </w:rPr>
          </w:pPr>
          <w:hyperlink w:anchor="_Toc209087436" w:history="1">
            <w:r w:rsidRPr="00667706">
              <w:rPr>
                <w:rStyle w:val="Hyperlink"/>
                <w:noProof/>
              </w:rPr>
              <w:t>Definition of sexually explicit deepfakes</w:t>
            </w:r>
            <w:r>
              <w:rPr>
                <w:noProof/>
                <w:webHidden/>
              </w:rPr>
              <w:tab/>
            </w:r>
            <w:r>
              <w:rPr>
                <w:noProof/>
                <w:webHidden/>
              </w:rPr>
              <w:fldChar w:fldCharType="begin"/>
            </w:r>
            <w:r>
              <w:rPr>
                <w:noProof/>
                <w:webHidden/>
              </w:rPr>
              <w:instrText xml:space="preserve"> PAGEREF _Toc209087436 \h </w:instrText>
            </w:r>
            <w:r>
              <w:rPr>
                <w:noProof/>
                <w:webHidden/>
              </w:rPr>
            </w:r>
            <w:r>
              <w:rPr>
                <w:noProof/>
                <w:webHidden/>
              </w:rPr>
              <w:fldChar w:fldCharType="separate"/>
            </w:r>
            <w:r w:rsidR="00CB7BBD">
              <w:rPr>
                <w:noProof/>
                <w:webHidden/>
              </w:rPr>
              <w:t>30</w:t>
            </w:r>
            <w:r>
              <w:rPr>
                <w:noProof/>
                <w:webHidden/>
              </w:rPr>
              <w:fldChar w:fldCharType="end"/>
            </w:r>
          </w:hyperlink>
        </w:p>
        <w:p w14:paraId="33FA193E" w14:textId="31E9DEB0" w:rsidR="00735C03" w:rsidRDefault="00735C03">
          <w:pPr>
            <w:pStyle w:val="TOC3"/>
            <w:tabs>
              <w:tab w:val="right" w:leader="dot" w:pos="9016"/>
            </w:tabs>
            <w:rPr>
              <w:rFonts w:asciiTheme="minorHAnsi" w:eastAsiaTheme="minorEastAsia" w:hAnsiTheme="minorHAnsi"/>
              <w:noProof/>
              <w:lang w:eastAsia="en-GB"/>
            </w:rPr>
          </w:pPr>
          <w:hyperlink w:anchor="_Toc209087437" w:history="1">
            <w:r w:rsidRPr="00667706">
              <w:rPr>
                <w:rStyle w:val="Hyperlink"/>
                <w:noProof/>
              </w:rPr>
              <w:t>Child perpetrators</w:t>
            </w:r>
            <w:r>
              <w:rPr>
                <w:noProof/>
                <w:webHidden/>
              </w:rPr>
              <w:tab/>
            </w:r>
            <w:r>
              <w:rPr>
                <w:noProof/>
                <w:webHidden/>
              </w:rPr>
              <w:fldChar w:fldCharType="begin"/>
            </w:r>
            <w:r>
              <w:rPr>
                <w:noProof/>
                <w:webHidden/>
              </w:rPr>
              <w:instrText xml:space="preserve"> PAGEREF _Toc209087437 \h </w:instrText>
            </w:r>
            <w:r>
              <w:rPr>
                <w:noProof/>
                <w:webHidden/>
              </w:rPr>
            </w:r>
            <w:r>
              <w:rPr>
                <w:noProof/>
                <w:webHidden/>
              </w:rPr>
              <w:fldChar w:fldCharType="separate"/>
            </w:r>
            <w:r w:rsidR="00CB7BBD">
              <w:rPr>
                <w:noProof/>
                <w:webHidden/>
              </w:rPr>
              <w:t>31</w:t>
            </w:r>
            <w:r>
              <w:rPr>
                <w:noProof/>
                <w:webHidden/>
              </w:rPr>
              <w:fldChar w:fldCharType="end"/>
            </w:r>
          </w:hyperlink>
        </w:p>
        <w:p w14:paraId="1CA7218A" w14:textId="428E9332" w:rsidR="00735C03" w:rsidRDefault="00735C03">
          <w:pPr>
            <w:pStyle w:val="TOC3"/>
            <w:tabs>
              <w:tab w:val="right" w:leader="dot" w:pos="9016"/>
            </w:tabs>
            <w:rPr>
              <w:rFonts w:asciiTheme="minorHAnsi" w:eastAsiaTheme="minorEastAsia" w:hAnsiTheme="minorHAnsi"/>
              <w:noProof/>
              <w:lang w:eastAsia="en-GB"/>
            </w:rPr>
          </w:pPr>
          <w:hyperlink w:anchor="_Toc209087438" w:history="1">
            <w:r w:rsidRPr="00667706">
              <w:rPr>
                <w:rStyle w:val="Hyperlink"/>
                <w:noProof/>
              </w:rPr>
              <w:t>Takedowns</w:t>
            </w:r>
            <w:r>
              <w:rPr>
                <w:noProof/>
                <w:webHidden/>
              </w:rPr>
              <w:tab/>
            </w:r>
            <w:r>
              <w:rPr>
                <w:noProof/>
                <w:webHidden/>
              </w:rPr>
              <w:fldChar w:fldCharType="begin"/>
            </w:r>
            <w:r>
              <w:rPr>
                <w:noProof/>
                <w:webHidden/>
              </w:rPr>
              <w:instrText xml:space="preserve"> PAGEREF _Toc209087438 \h </w:instrText>
            </w:r>
            <w:r>
              <w:rPr>
                <w:noProof/>
                <w:webHidden/>
              </w:rPr>
            </w:r>
            <w:r>
              <w:rPr>
                <w:noProof/>
                <w:webHidden/>
              </w:rPr>
              <w:fldChar w:fldCharType="separate"/>
            </w:r>
            <w:r w:rsidR="00CB7BBD">
              <w:rPr>
                <w:noProof/>
                <w:webHidden/>
              </w:rPr>
              <w:t>32</w:t>
            </w:r>
            <w:r>
              <w:rPr>
                <w:noProof/>
                <w:webHidden/>
              </w:rPr>
              <w:fldChar w:fldCharType="end"/>
            </w:r>
          </w:hyperlink>
        </w:p>
        <w:p w14:paraId="52BE5F95" w14:textId="2666ED25" w:rsidR="00735C03" w:rsidRDefault="00735C03">
          <w:pPr>
            <w:pStyle w:val="TOC3"/>
            <w:tabs>
              <w:tab w:val="right" w:leader="dot" w:pos="9016"/>
            </w:tabs>
            <w:rPr>
              <w:rFonts w:asciiTheme="minorHAnsi" w:eastAsiaTheme="minorEastAsia" w:hAnsiTheme="minorHAnsi"/>
              <w:noProof/>
              <w:lang w:eastAsia="en-GB"/>
            </w:rPr>
          </w:pPr>
          <w:hyperlink w:anchor="_Toc209087439" w:history="1">
            <w:r w:rsidRPr="00667706">
              <w:rPr>
                <w:rStyle w:val="Hyperlink"/>
                <w:noProof/>
              </w:rPr>
              <w:t>Specialised Training</w:t>
            </w:r>
            <w:r>
              <w:rPr>
                <w:noProof/>
                <w:webHidden/>
              </w:rPr>
              <w:tab/>
            </w:r>
            <w:r>
              <w:rPr>
                <w:noProof/>
                <w:webHidden/>
              </w:rPr>
              <w:fldChar w:fldCharType="begin"/>
            </w:r>
            <w:r>
              <w:rPr>
                <w:noProof/>
                <w:webHidden/>
              </w:rPr>
              <w:instrText xml:space="preserve"> PAGEREF _Toc209087439 \h </w:instrText>
            </w:r>
            <w:r>
              <w:rPr>
                <w:noProof/>
                <w:webHidden/>
              </w:rPr>
            </w:r>
            <w:r>
              <w:rPr>
                <w:noProof/>
                <w:webHidden/>
              </w:rPr>
              <w:fldChar w:fldCharType="separate"/>
            </w:r>
            <w:r w:rsidR="00CB7BBD">
              <w:rPr>
                <w:noProof/>
                <w:webHidden/>
              </w:rPr>
              <w:t>34</w:t>
            </w:r>
            <w:r>
              <w:rPr>
                <w:noProof/>
                <w:webHidden/>
              </w:rPr>
              <w:fldChar w:fldCharType="end"/>
            </w:r>
          </w:hyperlink>
        </w:p>
        <w:p w14:paraId="6C65B6A9" w14:textId="1CFBA1FA" w:rsidR="00735C03" w:rsidRDefault="00735C03">
          <w:pPr>
            <w:pStyle w:val="TOC3"/>
            <w:tabs>
              <w:tab w:val="right" w:leader="dot" w:pos="9016"/>
            </w:tabs>
            <w:rPr>
              <w:rFonts w:asciiTheme="minorHAnsi" w:eastAsiaTheme="minorEastAsia" w:hAnsiTheme="minorHAnsi"/>
              <w:noProof/>
              <w:lang w:eastAsia="en-GB"/>
            </w:rPr>
          </w:pPr>
          <w:hyperlink w:anchor="_Toc209087440" w:history="1">
            <w:r w:rsidRPr="00667706">
              <w:rPr>
                <w:rStyle w:val="Hyperlink"/>
                <w:noProof/>
              </w:rPr>
              <w:t>Education and awareness raising</w:t>
            </w:r>
            <w:r>
              <w:rPr>
                <w:noProof/>
                <w:webHidden/>
              </w:rPr>
              <w:tab/>
            </w:r>
            <w:r>
              <w:rPr>
                <w:noProof/>
                <w:webHidden/>
              </w:rPr>
              <w:fldChar w:fldCharType="begin"/>
            </w:r>
            <w:r>
              <w:rPr>
                <w:noProof/>
                <w:webHidden/>
              </w:rPr>
              <w:instrText xml:space="preserve"> PAGEREF _Toc209087440 \h </w:instrText>
            </w:r>
            <w:r>
              <w:rPr>
                <w:noProof/>
                <w:webHidden/>
              </w:rPr>
            </w:r>
            <w:r>
              <w:rPr>
                <w:noProof/>
                <w:webHidden/>
              </w:rPr>
              <w:fldChar w:fldCharType="separate"/>
            </w:r>
            <w:r w:rsidR="00CB7BBD">
              <w:rPr>
                <w:noProof/>
                <w:webHidden/>
              </w:rPr>
              <w:t>36</w:t>
            </w:r>
            <w:r>
              <w:rPr>
                <w:noProof/>
                <w:webHidden/>
              </w:rPr>
              <w:fldChar w:fldCharType="end"/>
            </w:r>
          </w:hyperlink>
        </w:p>
        <w:p w14:paraId="151D61F1" w14:textId="16888E70" w:rsidR="00735C03" w:rsidRDefault="00735C03">
          <w:pPr>
            <w:pStyle w:val="TOC3"/>
            <w:tabs>
              <w:tab w:val="right" w:leader="dot" w:pos="9016"/>
            </w:tabs>
            <w:rPr>
              <w:rFonts w:asciiTheme="minorHAnsi" w:eastAsiaTheme="minorEastAsia" w:hAnsiTheme="minorHAnsi"/>
              <w:noProof/>
              <w:lang w:eastAsia="en-GB"/>
            </w:rPr>
          </w:pPr>
          <w:hyperlink w:anchor="_Toc209087441" w:history="1">
            <w:r w:rsidRPr="00667706">
              <w:rPr>
                <w:rStyle w:val="Hyperlink"/>
                <w:noProof/>
              </w:rPr>
              <w:t>Business and human rights</w:t>
            </w:r>
            <w:r>
              <w:rPr>
                <w:noProof/>
                <w:webHidden/>
              </w:rPr>
              <w:tab/>
            </w:r>
            <w:r>
              <w:rPr>
                <w:noProof/>
                <w:webHidden/>
              </w:rPr>
              <w:fldChar w:fldCharType="begin"/>
            </w:r>
            <w:r>
              <w:rPr>
                <w:noProof/>
                <w:webHidden/>
              </w:rPr>
              <w:instrText xml:space="preserve"> PAGEREF _Toc209087441 \h </w:instrText>
            </w:r>
            <w:r>
              <w:rPr>
                <w:noProof/>
                <w:webHidden/>
              </w:rPr>
            </w:r>
            <w:r>
              <w:rPr>
                <w:noProof/>
                <w:webHidden/>
              </w:rPr>
              <w:fldChar w:fldCharType="separate"/>
            </w:r>
            <w:r w:rsidR="00CB7BBD">
              <w:rPr>
                <w:noProof/>
                <w:webHidden/>
              </w:rPr>
              <w:t>37</w:t>
            </w:r>
            <w:r>
              <w:rPr>
                <w:noProof/>
                <w:webHidden/>
              </w:rPr>
              <w:fldChar w:fldCharType="end"/>
            </w:r>
          </w:hyperlink>
        </w:p>
        <w:p w14:paraId="294BD2E0" w14:textId="2343076F" w:rsidR="0003500C" w:rsidRPr="004526FD" w:rsidRDefault="0003500C" w:rsidP="00943AC6">
          <w:r w:rsidRPr="004526FD">
            <w:rPr>
              <w:b/>
              <w:bCs/>
              <w:noProof/>
            </w:rPr>
            <w:fldChar w:fldCharType="end"/>
          </w:r>
        </w:p>
      </w:sdtContent>
    </w:sdt>
    <w:p w14:paraId="23BD2099" w14:textId="77777777" w:rsidR="00FA6B40" w:rsidRPr="004526FD" w:rsidRDefault="00FA6B40" w:rsidP="00943AC6"/>
    <w:p w14:paraId="74510937" w14:textId="77777777" w:rsidR="00590D3F" w:rsidRPr="004526FD" w:rsidRDefault="00590D3F" w:rsidP="00943AC6"/>
    <w:p w14:paraId="7575A8B7" w14:textId="77777777" w:rsidR="00590D3F" w:rsidRPr="004526FD" w:rsidRDefault="00590D3F" w:rsidP="00943AC6"/>
    <w:p w14:paraId="653EE6CD" w14:textId="77777777" w:rsidR="00590D3F" w:rsidRPr="004526FD" w:rsidRDefault="00590D3F" w:rsidP="00943AC6"/>
    <w:p w14:paraId="31ADF94A" w14:textId="77777777" w:rsidR="001D2326" w:rsidRPr="004526FD" w:rsidRDefault="001D2326" w:rsidP="00943AC6"/>
    <w:p w14:paraId="2F8D8422" w14:textId="77777777" w:rsidR="00585DC9" w:rsidRPr="004526FD" w:rsidRDefault="00585DC9" w:rsidP="00943AC6"/>
    <w:p w14:paraId="58CCFE05" w14:textId="77777777" w:rsidR="000242F5" w:rsidRPr="004526FD" w:rsidRDefault="000242F5" w:rsidP="00943AC6">
      <w:pPr>
        <w:spacing w:line="278" w:lineRule="auto"/>
        <w:rPr>
          <w:rFonts w:eastAsiaTheme="majorEastAsia" w:cstheme="majorBidi"/>
          <w:b/>
          <w:bCs/>
          <w:color w:val="77328A"/>
          <w:sz w:val="40"/>
          <w:szCs w:val="40"/>
        </w:rPr>
      </w:pPr>
      <w:r w:rsidRPr="004526FD">
        <w:rPr>
          <w:rFonts w:eastAsiaTheme="majorEastAsia" w:cstheme="majorBidi"/>
          <w:b/>
          <w:bCs/>
          <w:color w:val="77328A"/>
          <w:sz w:val="40"/>
          <w:szCs w:val="40"/>
        </w:rPr>
        <w:br w:type="page"/>
      </w:r>
    </w:p>
    <w:p w14:paraId="5E5CBBCE" w14:textId="71B5716B" w:rsidR="006F29F8" w:rsidRPr="004526FD" w:rsidRDefault="006F29F8" w:rsidP="00924570">
      <w:pPr>
        <w:pStyle w:val="Heading1"/>
      </w:pPr>
      <w:bookmarkStart w:id="0" w:name="_Toc209087424"/>
      <w:r w:rsidRPr="004526FD">
        <w:lastRenderedPageBreak/>
        <w:t>Summary of Recommendations</w:t>
      </w:r>
      <w:bookmarkEnd w:id="0"/>
    </w:p>
    <w:tbl>
      <w:tblPr>
        <w:tblStyle w:val="TableGrid"/>
        <w:tblW w:w="0" w:type="auto"/>
        <w:tblLook w:val="04A0" w:firstRow="1" w:lastRow="0" w:firstColumn="1" w:lastColumn="0" w:noHBand="0" w:noVBand="1"/>
      </w:tblPr>
      <w:tblGrid>
        <w:gridCol w:w="9016"/>
      </w:tblGrid>
      <w:tr w:rsidR="006F29F8" w:rsidRPr="004526FD" w14:paraId="13618CAD" w14:textId="77777777">
        <w:tc>
          <w:tcPr>
            <w:tcW w:w="9016" w:type="dxa"/>
          </w:tcPr>
          <w:p w14:paraId="787A168E" w14:textId="430F248F" w:rsidR="00887B04" w:rsidRPr="00F160E2" w:rsidRDefault="00887B04" w:rsidP="00887B04">
            <w:pPr>
              <w:spacing w:line="288" w:lineRule="auto"/>
              <w:ind w:left="720" w:hanging="720"/>
              <w:rPr>
                <w:b/>
                <w:bCs/>
              </w:rPr>
            </w:pPr>
            <w:r w:rsidRPr="00F160E2">
              <w:rPr>
                <w:b/>
                <w:bCs/>
              </w:rPr>
              <w:t>The NIHRC recommends that the Department of Justice:</w:t>
            </w:r>
          </w:p>
          <w:p w14:paraId="32789A2A" w14:textId="77777777" w:rsidR="00887B04" w:rsidRPr="00F160E2" w:rsidRDefault="00887B04" w:rsidP="00887B04">
            <w:pPr>
              <w:spacing w:line="288" w:lineRule="auto"/>
              <w:ind w:left="720" w:hanging="720"/>
              <w:rPr>
                <w:b/>
                <w:bCs/>
              </w:rPr>
            </w:pPr>
          </w:p>
          <w:p w14:paraId="14F4088B" w14:textId="7EC04DE1" w:rsidR="00887B04" w:rsidRPr="00F160E2" w:rsidRDefault="00887B04" w:rsidP="00887B04">
            <w:pPr>
              <w:spacing w:line="288" w:lineRule="auto"/>
              <w:ind w:left="720" w:hanging="720"/>
              <w:rPr>
                <w:b/>
                <w:bCs/>
              </w:rPr>
            </w:pPr>
            <w:r w:rsidRPr="00F160E2">
              <w:rPr>
                <w:b/>
                <w:bCs/>
              </w:rPr>
              <w:t>2.21</w:t>
            </w:r>
            <w:r w:rsidRPr="00F160E2">
              <w:rPr>
                <w:b/>
                <w:bCs/>
              </w:rPr>
              <w:tab/>
              <w:t>ensures that the proposed legislation is designed and implemented in a way that effectively protects victims from the online activities of third parties and safeguards their meaningful participation in public life, both online and offline. This requires a gender-sensitive approach.</w:t>
            </w:r>
          </w:p>
          <w:p w14:paraId="70F86C5F" w14:textId="77777777" w:rsidR="00887B04" w:rsidRPr="00F160E2" w:rsidRDefault="00887B04" w:rsidP="00887B04">
            <w:pPr>
              <w:spacing w:line="288" w:lineRule="auto"/>
              <w:rPr>
                <w:b/>
                <w:bCs/>
              </w:rPr>
            </w:pPr>
          </w:p>
          <w:p w14:paraId="05627B57" w14:textId="36FA4A7B" w:rsidR="00887B04" w:rsidRPr="00F160E2" w:rsidRDefault="00887B04" w:rsidP="00887B04">
            <w:pPr>
              <w:spacing w:line="288" w:lineRule="auto"/>
              <w:ind w:left="720" w:hanging="720"/>
              <w:rPr>
                <w:b/>
                <w:bCs/>
              </w:rPr>
            </w:pPr>
            <w:r w:rsidRPr="00F160E2">
              <w:rPr>
                <w:b/>
                <w:bCs/>
              </w:rPr>
              <w:t>2.22</w:t>
            </w:r>
            <w:r w:rsidRPr="00F160E2">
              <w:rPr>
                <w:b/>
                <w:bCs/>
              </w:rPr>
              <w:tab/>
              <w:t xml:space="preserve">ensures that the proposed legislation provides for effective remedies for victims of deepfakes, in accordance with Article 13 of the ECHR.  </w:t>
            </w:r>
          </w:p>
          <w:p w14:paraId="2E2271C7" w14:textId="77777777" w:rsidR="00887B04" w:rsidRPr="00F160E2" w:rsidRDefault="00887B04" w:rsidP="00887B04">
            <w:pPr>
              <w:spacing w:line="288" w:lineRule="auto"/>
              <w:ind w:left="720" w:hanging="720"/>
              <w:rPr>
                <w:b/>
                <w:bCs/>
              </w:rPr>
            </w:pPr>
          </w:p>
          <w:p w14:paraId="7A73A978" w14:textId="3B0823EE" w:rsidR="00887B04" w:rsidRPr="00F160E2" w:rsidRDefault="00887B04" w:rsidP="00887B04">
            <w:pPr>
              <w:spacing w:line="288" w:lineRule="auto"/>
              <w:ind w:left="720" w:hanging="720"/>
              <w:rPr>
                <w:b/>
                <w:bCs/>
              </w:rPr>
            </w:pPr>
            <w:r w:rsidRPr="00F160E2">
              <w:rPr>
                <w:b/>
                <w:bCs/>
              </w:rPr>
              <w:t xml:space="preserve"> 2.31</w:t>
            </w:r>
            <w:r w:rsidRPr="00F160E2">
              <w:rPr>
                <w:b/>
                <w:bCs/>
              </w:rPr>
              <w:tab/>
              <w:t>ensures that the proposed legislation is aligned with the standards set out in UN CEDAW and the Istanbul Convention to address the digital dimension of gender-based violence, particularly regarding effective prevention, support for victims and a holistic response to non-consensual sexually explicit deepfakes.</w:t>
            </w:r>
          </w:p>
          <w:p w14:paraId="42395A0D" w14:textId="77777777" w:rsidR="00887B04" w:rsidRPr="00F160E2" w:rsidRDefault="00887B04" w:rsidP="00887B04">
            <w:pPr>
              <w:spacing w:line="288" w:lineRule="auto"/>
              <w:ind w:left="720" w:hanging="720"/>
              <w:rPr>
                <w:b/>
                <w:bCs/>
              </w:rPr>
            </w:pPr>
          </w:p>
          <w:p w14:paraId="2D408F7F" w14:textId="425733BB" w:rsidR="00887B04" w:rsidRPr="00F160E2" w:rsidRDefault="00887B04" w:rsidP="00887B04">
            <w:pPr>
              <w:spacing w:line="288" w:lineRule="auto"/>
              <w:ind w:left="720" w:hanging="720"/>
              <w:rPr>
                <w:b/>
                <w:bCs/>
              </w:rPr>
            </w:pPr>
            <w:r w:rsidRPr="00F160E2">
              <w:rPr>
                <w:b/>
                <w:bCs/>
              </w:rPr>
              <w:t>2.35</w:t>
            </w:r>
            <w:r w:rsidRPr="00F160E2">
              <w:rPr>
                <w:b/>
                <w:bCs/>
              </w:rPr>
              <w:tab/>
              <w:t>ensures that legislation criminalising creating or requesting the creation, or sharing or threatening to share, non-consensual sexually explicit deepfakes is embedded in human rights law, including the standards applicable to digital gender-based violence. Also, that this is clear and adaptable to artificial intelligence developments, with a view to providing for meaningful redress for victims and ensuring that perpetrators are effectively investigated, prosecuted and convicted.</w:t>
            </w:r>
          </w:p>
          <w:p w14:paraId="20CDCEC2" w14:textId="77777777" w:rsidR="00887B04" w:rsidRPr="00F160E2" w:rsidRDefault="00887B04" w:rsidP="00887B04">
            <w:pPr>
              <w:spacing w:line="288" w:lineRule="auto"/>
              <w:ind w:left="720" w:hanging="720"/>
              <w:rPr>
                <w:b/>
                <w:bCs/>
              </w:rPr>
            </w:pPr>
          </w:p>
          <w:p w14:paraId="1281B73B" w14:textId="266877B5" w:rsidR="00887B04" w:rsidRPr="00F160E2" w:rsidRDefault="00887B04" w:rsidP="00887B04">
            <w:pPr>
              <w:spacing w:line="288" w:lineRule="auto"/>
              <w:ind w:left="720" w:hanging="720"/>
              <w:rPr>
                <w:b/>
                <w:bCs/>
              </w:rPr>
            </w:pPr>
            <w:r w:rsidRPr="00F160E2">
              <w:rPr>
                <w:b/>
                <w:bCs/>
              </w:rPr>
              <w:t>3.6</w:t>
            </w:r>
            <w:r w:rsidRPr="00F160E2">
              <w:rPr>
                <w:b/>
                <w:bCs/>
              </w:rPr>
              <w:tab/>
              <w:t>adopts a victim-centred approach in the design, implementation and monitoring of the legislation. This includes consideration of ensuring that a holistic approach is adopted.</w:t>
            </w:r>
          </w:p>
          <w:p w14:paraId="155F023E" w14:textId="77777777" w:rsidR="00887B04" w:rsidRPr="00F160E2" w:rsidRDefault="00887B04" w:rsidP="00887B04">
            <w:pPr>
              <w:spacing w:line="288" w:lineRule="auto"/>
              <w:ind w:left="720" w:hanging="720"/>
              <w:rPr>
                <w:b/>
                <w:bCs/>
              </w:rPr>
            </w:pPr>
          </w:p>
          <w:p w14:paraId="78E5B3A6" w14:textId="10C52E61" w:rsidR="00887B04" w:rsidRPr="00F160E2" w:rsidRDefault="00887B04" w:rsidP="00887B04">
            <w:pPr>
              <w:spacing w:line="288" w:lineRule="auto"/>
              <w:ind w:left="720" w:hanging="720"/>
              <w:rPr>
                <w:b/>
                <w:bCs/>
              </w:rPr>
            </w:pPr>
            <w:r w:rsidRPr="00F160E2">
              <w:rPr>
                <w:b/>
                <w:bCs/>
              </w:rPr>
              <w:lastRenderedPageBreak/>
              <w:t>3.10</w:t>
            </w:r>
            <w:r w:rsidRPr="00F160E2">
              <w:rPr>
                <w:b/>
                <w:bCs/>
              </w:rPr>
              <w:tab/>
              <w:t>adopts a gender-sensitive approach in the design, implementation and monitoring of the legislation, with due consideration of intersectionality.</w:t>
            </w:r>
          </w:p>
          <w:p w14:paraId="1F29F12D" w14:textId="77777777" w:rsidR="00887B04" w:rsidRPr="00F160E2" w:rsidRDefault="00887B04" w:rsidP="00887B04">
            <w:pPr>
              <w:spacing w:line="288" w:lineRule="auto"/>
              <w:ind w:left="720" w:hanging="720"/>
              <w:rPr>
                <w:b/>
                <w:bCs/>
              </w:rPr>
            </w:pPr>
          </w:p>
          <w:p w14:paraId="27160738" w14:textId="7790E79F" w:rsidR="00887B04" w:rsidRPr="00F160E2" w:rsidRDefault="00887B04" w:rsidP="00887B04">
            <w:pPr>
              <w:spacing w:line="288" w:lineRule="auto"/>
              <w:ind w:left="720" w:hanging="720"/>
              <w:rPr>
                <w:b/>
                <w:bCs/>
              </w:rPr>
            </w:pPr>
            <w:r w:rsidRPr="00F160E2">
              <w:rPr>
                <w:b/>
                <w:bCs/>
              </w:rPr>
              <w:t>3.14</w:t>
            </w:r>
            <w:r w:rsidRPr="00F160E2">
              <w:rPr>
                <w:b/>
                <w:bCs/>
              </w:rPr>
              <w:tab/>
              <w:t>includes a definition of consent within the legislation that ensures consent is freely given and addresses circumstances where informed consent has not been given.</w:t>
            </w:r>
          </w:p>
          <w:p w14:paraId="131FA7D8" w14:textId="77777777" w:rsidR="00887B04" w:rsidRPr="00F160E2" w:rsidRDefault="00887B04" w:rsidP="00887B04">
            <w:pPr>
              <w:spacing w:line="288" w:lineRule="auto"/>
              <w:ind w:left="720" w:hanging="720"/>
              <w:rPr>
                <w:b/>
                <w:bCs/>
              </w:rPr>
            </w:pPr>
          </w:p>
          <w:p w14:paraId="4076BB4C" w14:textId="0D12BB4C" w:rsidR="00887B04" w:rsidRPr="00F160E2" w:rsidRDefault="00887B04" w:rsidP="00887B04">
            <w:pPr>
              <w:spacing w:line="288" w:lineRule="auto"/>
              <w:ind w:left="720" w:hanging="720"/>
              <w:rPr>
                <w:b/>
                <w:bCs/>
              </w:rPr>
            </w:pPr>
            <w:r w:rsidRPr="00F160E2">
              <w:rPr>
                <w:b/>
                <w:bCs/>
              </w:rPr>
              <w:t>3.19</w:t>
            </w:r>
            <w:r w:rsidRPr="00F160E2">
              <w:rPr>
                <w:b/>
                <w:bCs/>
              </w:rPr>
              <w:tab/>
              <w:t xml:space="preserve">clarifies whether the intention to control or coerce falls within the intention to cause ‘humiliation, alarm or distress’, or if an additional specific motive should be added to the proposed legislation. Alternatively, whether creating or requesting the creation, or sharing or threatening to share a non-consensual sexually explicit deepfake with the intention to control or coerce would be covered by the legislation on controlling and coercive behaviour instead.   </w:t>
            </w:r>
          </w:p>
          <w:p w14:paraId="25FC246F" w14:textId="77777777" w:rsidR="00887B04" w:rsidRPr="00F160E2" w:rsidRDefault="00887B04" w:rsidP="00887B04">
            <w:pPr>
              <w:spacing w:line="288" w:lineRule="auto"/>
              <w:ind w:left="720" w:hanging="720"/>
              <w:rPr>
                <w:b/>
                <w:bCs/>
              </w:rPr>
            </w:pPr>
          </w:p>
          <w:p w14:paraId="550E7749" w14:textId="22A801E4" w:rsidR="00887B04" w:rsidRPr="00F160E2" w:rsidRDefault="00887B04" w:rsidP="00887B04">
            <w:pPr>
              <w:spacing w:line="288" w:lineRule="auto"/>
              <w:ind w:left="720" w:hanging="720"/>
              <w:rPr>
                <w:b/>
                <w:bCs/>
              </w:rPr>
            </w:pPr>
            <w:r w:rsidRPr="00F160E2">
              <w:rPr>
                <w:b/>
                <w:bCs/>
              </w:rPr>
              <w:t>3.23</w:t>
            </w:r>
            <w:r w:rsidRPr="00F160E2">
              <w:rPr>
                <w:b/>
                <w:bCs/>
              </w:rPr>
              <w:tab/>
              <w:t xml:space="preserve">considers extending the offences within the proposed legislation to include scenarios where the perpetrator is targeting a person who is close to the individual depicted in the image.   </w:t>
            </w:r>
          </w:p>
          <w:p w14:paraId="270317DE" w14:textId="77777777" w:rsidR="00887B04" w:rsidRPr="00F160E2" w:rsidRDefault="00887B04" w:rsidP="00887B04">
            <w:pPr>
              <w:spacing w:line="288" w:lineRule="auto"/>
              <w:ind w:left="720" w:hanging="720"/>
              <w:rPr>
                <w:b/>
                <w:bCs/>
              </w:rPr>
            </w:pPr>
          </w:p>
          <w:p w14:paraId="3CB76C27" w14:textId="225D52E9" w:rsidR="00887B04" w:rsidRPr="00F160E2" w:rsidRDefault="00887B04" w:rsidP="00887B04">
            <w:pPr>
              <w:spacing w:line="288" w:lineRule="auto"/>
              <w:ind w:left="720" w:hanging="720"/>
              <w:rPr>
                <w:b/>
                <w:bCs/>
              </w:rPr>
            </w:pPr>
            <w:r w:rsidRPr="00F160E2">
              <w:rPr>
                <w:b/>
                <w:bCs/>
              </w:rPr>
              <w:t>3.25</w:t>
            </w:r>
            <w:r w:rsidRPr="00F160E2">
              <w:rPr>
                <w:b/>
                <w:bCs/>
              </w:rPr>
              <w:tab/>
              <w:t xml:space="preserve">specifies within the proposed legislation that offences with the motive of obtaining sexual gratification can include the perpetrator's gratification or that of other individuals. </w:t>
            </w:r>
          </w:p>
          <w:p w14:paraId="63BCD91A" w14:textId="77777777" w:rsidR="00887B04" w:rsidRPr="00F160E2" w:rsidRDefault="00887B04" w:rsidP="00887B04">
            <w:pPr>
              <w:spacing w:line="288" w:lineRule="auto"/>
              <w:ind w:left="720" w:hanging="720"/>
              <w:rPr>
                <w:b/>
                <w:bCs/>
              </w:rPr>
            </w:pPr>
          </w:p>
          <w:p w14:paraId="5EE1987B" w14:textId="71426844" w:rsidR="00887B04" w:rsidRPr="00F160E2" w:rsidRDefault="00887B04" w:rsidP="00887B04">
            <w:pPr>
              <w:spacing w:line="288" w:lineRule="auto"/>
              <w:ind w:left="720" w:hanging="720"/>
              <w:rPr>
                <w:b/>
                <w:bCs/>
              </w:rPr>
            </w:pPr>
            <w:r w:rsidRPr="00F160E2">
              <w:rPr>
                <w:b/>
                <w:bCs/>
              </w:rPr>
              <w:t>3.27</w:t>
            </w:r>
            <w:r w:rsidRPr="00F160E2">
              <w:rPr>
                <w:b/>
                <w:bCs/>
              </w:rPr>
              <w:tab/>
              <w:t>clarifies that the offences within the proposed legislation do not require proof of harm to protect victims from re-victimisation and excessive restrictions on prosecutions.</w:t>
            </w:r>
          </w:p>
          <w:p w14:paraId="0FA37EF4" w14:textId="77777777" w:rsidR="00887B04" w:rsidRPr="00F160E2" w:rsidRDefault="00887B04" w:rsidP="00887B04">
            <w:pPr>
              <w:spacing w:line="288" w:lineRule="auto"/>
              <w:ind w:left="720" w:hanging="720"/>
              <w:rPr>
                <w:b/>
                <w:bCs/>
              </w:rPr>
            </w:pPr>
          </w:p>
          <w:p w14:paraId="0E4A0912" w14:textId="1BA6FEAD" w:rsidR="00887B04" w:rsidRPr="00F160E2" w:rsidRDefault="00887B04" w:rsidP="00887B04">
            <w:pPr>
              <w:spacing w:line="288" w:lineRule="auto"/>
              <w:ind w:left="720" w:hanging="720"/>
              <w:rPr>
                <w:b/>
                <w:bCs/>
              </w:rPr>
            </w:pPr>
            <w:r w:rsidRPr="00F160E2">
              <w:rPr>
                <w:b/>
                <w:bCs/>
              </w:rPr>
              <w:t>3.35</w:t>
            </w:r>
            <w:r w:rsidRPr="00F160E2">
              <w:rPr>
                <w:b/>
                <w:bCs/>
              </w:rPr>
              <w:tab/>
              <w:t xml:space="preserve">introduces within the proposed legislation a summary-only base offence of intentionally creating or requesting the creation or sharing or threatening to share a sexually explicit deepfake image without consent, or a reasonable belief in consent, regardless of motive. </w:t>
            </w:r>
          </w:p>
          <w:p w14:paraId="494AB461" w14:textId="77777777" w:rsidR="00887B04" w:rsidRPr="00F160E2" w:rsidRDefault="00887B04" w:rsidP="00887B04">
            <w:pPr>
              <w:spacing w:line="288" w:lineRule="auto"/>
              <w:ind w:left="720" w:hanging="720"/>
              <w:rPr>
                <w:b/>
                <w:bCs/>
              </w:rPr>
            </w:pPr>
          </w:p>
          <w:p w14:paraId="51F6D9F5" w14:textId="708503FE" w:rsidR="00887B04" w:rsidRPr="00F160E2" w:rsidRDefault="00887B04" w:rsidP="00887B04">
            <w:pPr>
              <w:spacing w:line="288" w:lineRule="auto"/>
              <w:ind w:left="720" w:hanging="720"/>
              <w:rPr>
                <w:b/>
                <w:bCs/>
              </w:rPr>
            </w:pPr>
            <w:r w:rsidRPr="00F160E2">
              <w:rPr>
                <w:b/>
                <w:bCs/>
              </w:rPr>
              <w:t>3.36</w:t>
            </w:r>
            <w:r w:rsidRPr="00F160E2">
              <w:rPr>
                <w:b/>
                <w:bCs/>
              </w:rPr>
              <w:tab/>
              <w:t xml:space="preserve">includes within the proposed legislation a reasonable excuse defence to avoid over-criminalisation when sharing </w:t>
            </w:r>
            <w:r w:rsidRPr="00F160E2">
              <w:rPr>
                <w:b/>
                <w:bCs/>
              </w:rPr>
              <w:lastRenderedPageBreak/>
              <w:t xml:space="preserve">this type of image is necessary for reporting, preventing, detecting, investigating, or prosecuting a crime, or for the administration of justice. This defence must be clearly defined and balanced, to ensure accountability without unintentionally criminalising individuals who report crimes.  </w:t>
            </w:r>
          </w:p>
          <w:p w14:paraId="06147B5A" w14:textId="77777777" w:rsidR="00887B04" w:rsidRPr="00F160E2" w:rsidRDefault="00887B04" w:rsidP="00887B04">
            <w:pPr>
              <w:spacing w:line="288" w:lineRule="auto"/>
              <w:ind w:left="720" w:hanging="720"/>
              <w:rPr>
                <w:b/>
                <w:bCs/>
              </w:rPr>
            </w:pPr>
          </w:p>
          <w:p w14:paraId="5ACCDC06" w14:textId="39F71C9D" w:rsidR="00887B04" w:rsidRPr="00F160E2" w:rsidRDefault="00887B04" w:rsidP="00887B04">
            <w:pPr>
              <w:spacing w:line="288" w:lineRule="auto"/>
              <w:ind w:left="720" w:hanging="720"/>
              <w:rPr>
                <w:b/>
                <w:bCs/>
              </w:rPr>
            </w:pPr>
            <w:r w:rsidRPr="00F160E2">
              <w:rPr>
                <w:b/>
                <w:bCs/>
              </w:rPr>
              <w:t>3.37</w:t>
            </w:r>
            <w:r w:rsidRPr="00F160E2">
              <w:rPr>
                <w:b/>
                <w:bCs/>
              </w:rPr>
              <w:tab/>
              <w:t>ensures the proposed legislation does not create an unintended gap in protection for victims in NI compared to other UK jurisdictions.</w:t>
            </w:r>
          </w:p>
          <w:p w14:paraId="0021B218" w14:textId="77777777" w:rsidR="00887B04" w:rsidRPr="00F160E2" w:rsidRDefault="00887B04" w:rsidP="00887B04">
            <w:pPr>
              <w:spacing w:line="288" w:lineRule="auto"/>
              <w:ind w:left="720" w:hanging="720"/>
              <w:rPr>
                <w:b/>
                <w:bCs/>
              </w:rPr>
            </w:pPr>
          </w:p>
          <w:p w14:paraId="27B9E304" w14:textId="581177E5" w:rsidR="00887B04" w:rsidRPr="00F160E2" w:rsidRDefault="00887B04" w:rsidP="00887B04">
            <w:pPr>
              <w:spacing w:line="288" w:lineRule="auto"/>
              <w:ind w:left="720" w:hanging="720"/>
              <w:rPr>
                <w:b/>
                <w:bCs/>
              </w:rPr>
            </w:pPr>
            <w:r w:rsidRPr="00F160E2">
              <w:rPr>
                <w:b/>
                <w:bCs/>
              </w:rPr>
              <w:t>3.42</w:t>
            </w:r>
            <w:r w:rsidRPr="00F160E2">
              <w:rPr>
                <w:b/>
                <w:bCs/>
              </w:rPr>
              <w:tab/>
              <w:t>includes a definition of sexually explicit deepfakes within the proposed legislation that is clear enough to capture and keep pace with rapidly evolving artificial intelligence technology and its different uses, with a view to ensuring that victims are adequately protected.</w:t>
            </w:r>
          </w:p>
          <w:p w14:paraId="2146CEF2" w14:textId="77777777" w:rsidR="00887B04" w:rsidRPr="00F160E2" w:rsidRDefault="00887B04" w:rsidP="00887B04">
            <w:pPr>
              <w:spacing w:line="288" w:lineRule="auto"/>
              <w:ind w:left="720" w:hanging="720"/>
              <w:rPr>
                <w:b/>
                <w:bCs/>
              </w:rPr>
            </w:pPr>
          </w:p>
          <w:p w14:paraId="347DEE82" w14:textId="31316342" w:rsidR="00887B04" w:rsidRPr="00F160E2" w:rsidRDefault="00887B04" w:rsidP="00887B04">
            <w:pPr>
              <w:spacing w:line="288" w:lineRule="auto"/>
              <w:ind w:left="720" w:hanging="720"/>
              <w:rPr>
                <w:b/>
                <w:bCs/>
              </w:rPr>
            </w:pPr>
            <w:r w:rsidRPr="00F160E2">
              <w:rPr>
                <w:b/>
                <w:bCs/>
              </w:rPr>
              <w:t>3.47</w:t>
            </w:r>
            <w:r w:rsidRPr="00F160E2">
              <w:rPr>
                <w:b/>
                <w:bCs/>
              </w:rPr>
              <w:tab/>
              <w:t>includes within the proposed legislation express mention of the best interests of the child principle, as a primary consideration, regarding child offenders.</w:t>
            </w:r>
          </w:p>
          <w:p w14:paraId="5E33CDD6" w14:textId="77777777" w:rsidR="00887B04" w:rsidRPr="00F160E2" w:rsidRDefault="00887B04" w:rsidP="00887B04">
            <w:pPr>
              <w:spacing w:line="288" w:lineRule="auto"/>
              <w:ind w:left="720" w:hanging="720"/>
              <w:rPr>
                <w:b/>
                <w:bCs/>
              </w:rPr>
            </w:pPr>
          </w:p>
          <w:p w14:paraId="046C7811" w14:textId="4EB9B75D" w:rsidR="00887B04" w:rsidRPr="00F160E2" w:rsidRDefault="00887B04" w:rsidP="00887B04">
            <w:pPr>
              <w:spacing w:line="288" w:lineRule="auto"/>
              <w:ind w:left="720" w:hanging="720"/>
              <w:rPr>
                <w:b/>
                <w:bCs/>
              </w:rPr>
            </w:pPr>
            <w:r w:rsidRPr="00F160E2">
              <w:rPr>
                <w:b/>
                <w:bCs/>
              </w:rPr>
              <w:t>3.53</w:t>
            </w:r>
            <w:r w:rsidRPr="00F160E2">
              <w:rPr>
                <w:b/>
                <w:bCs/>
              </w:rPr>
              <w:tab/>
              <w:t xml:space="preserve">introduces specific provisions within the proposed legislation that assist law enforcement agencies and victims to remove non-consensual sexually explicit deepfakes from the internet to prevent re-victimisation. </w:t>
            </w:r>
          </w:p>
          <w:p w14:paraId="5046D82D" w14:textId="77777777" w:rsidR="00887B04" w:rsidRPr="00F160E2" w:rsidRDefault="00887B04" w:rsidP="00887B04">
            <w:pPr>
              <w:spacing w:line="288" w:lineRule="auto"/>
              <w:ind w:left="720" w:hanging="720"/>
              <w:rPr>
                <w:b/>
                <w:bCs/>
              </w:rPr>
            </w:pPr>
          </w:p>
          <w:p w14:paraId="48E0126F" w14:textId="45BC4333" w:rsidR="00887B04" w:rsidRPr="00F160E2" w:rsidRDefault="00887B04" w:rsidP="00887B04">
            <w:pPr>
              <w:spacing w:line="288" w:lineRule="auto"/>
              <w:ind w:left="720" w:hanging="720"/>
              <w:rPr>
                <w:b/>
                <w:bCs/>
              </w:rPr>
            </w:pPr>
            <w:r w:rsidRPr="00F160E2">
              <w:rPr>
                <w:b/>
                <w:bCs/>
              </w:rPr>
              <w:t>3.54</w:t>
            </w:r>
            <w:r w:rsidRPr="00F160E2">
              <w:rPr>
                <w:b/>
                <w:bCs/>
              </w:rPr>
              <w:tab/>
              <w:t>ensures there is access to adequate compensation and appropriate redress mechanisms for harm caused by the creation or sharing of non-consensual sexually explicit deepfakes, particularly when removing content is unsuccessful or ineffective.</w:t>
            </w:r>
          </w:p>
          <w:p w14:paraId="57300F3A" w14:textId="77777777" w:rsidR="00887B04" w:rsidRPr="00F160E2" w:rsidRDefault="00887B04" w:rsidP="00887B04">
            <w:pPr>
              <w:spacing w:line="288" w:lineRule="auto"/>
              <w:ind w:left="720" w:hanging="720"/>
              <w:rPr>
                <w:b/>
                <w:bCs/>
              </w:rPr>
            </w:pPr>
          </w:p>
          <w:p w14:paraId="69C51B47" w14:textId="626AE241" w:rsidR="00887B04" w:rsidRPr="00F160E2" w:rsidRDefault="00887B04" w:rsidP="00887B04">
            <w:pPr>
              <w:spacing w:line="288" w:lineRule="auto"/>
              <w:ind w:left="720" w:hanging="720"/>
              <w:rPr>
                <w:b/>
                <w:bCs/>
              </w:rPr>
            </w:pPr>
            <w:r w:rsidRPr="00F160E2">
              <w:rPr>
                <w:b/>
                <w:bCs/>
              </w:rPr>
              <w:t>3.59</w:t>
            </w:r>
            <w:r w:rsidRPr="00F160E2">
              <w:rPr>
                <w:b/>
                <w:bCs/>
              </w:rPr>
              <w:tab/>
              <w:t xml:space="preserve">has a clear plan, with committed resources in place, to ensure up-to-date specialised training is available and provided as required (including refresher training) to relevant professionals and anyone who may </w:t>
            </w:r>
            <w:proofErr w:type="gramStart"/>
            <w:r w:rsidRPr="00F160E2">
              <w:rPr>
                <w:b/>
                <w:bCs/>
              </w:rPr>
              <w:t>come in contact with</w:t>
            </w:r>
            <w:proofErr w:type="gramEnd"/>
            <w:r w:rsidRPr="00F160E2">
              <w:rPr>
                <w:b/>
                <w:bCs/>
              </w:rPr>
              <w:t xml:space="preserve"> victims or deal with a complaint during a victim’s journey through the criminal justice system. This training should be sensitive to gender-based violence and sexual abuse, as well as to the experiences of marginalised </w:t>
            </w:r>
            <w:r w:rsidRPr="00F160E2">
              <w:rPr>
                <w:b/>
                <w:bCs/>
              </w:rPr>
              <w:lastRenderedPageBreak/>
              <w:t>groups such as disabled persons, lesbian, gay, bisexual, transgender, queer or questioning, intersex, asexual persons, children, and persons of national or ethnic minority backgrounds.</w:t>
            </w:r>
          </w:p>
          <w:p w14:paraId="49B4729F" w14:textId="77777777" w:rsidR="00887B04" w:rsidRPr="00F160E2" w:rsidRDefault="00887B04" w:rsidP="00887B04">
            <w:pPr>
              <w:spacing w:line="288" w:lineRule="auto"/>
              <w:ind w:left="720" w:hanging="720"/>
              <w:rPr>
                <w:b/>
                <w:bCs/>
              </w:rPr>
            </w:pPr>
          </w:p>
          <w:p w14:paraId="2A9E12F5" w14:textId="3976B294" w:rsidR="00887B04" w:rsidRPr="00F160E2" w:rsidRDefault="00887B04" w:rsidP="00887B04">
            <w:pPr>
              <w:spacing w:line="288" w:lineRule="auto"/>
              <w:ind w:left="720" w:hanging="720"/>
              <w:rPr>
                <w:b/>
                <w:bCs/>
              </w:rPr>
            </w:pPr>
            <w:r w:rsidRPr="00F160E2">
              <w:rPr>
                <w:b/>
                <w:bCs/>
              </w:rPr>
              <w:t>3.60</w:t>
            </w:r>
            <w:r w:rsidRPr="00F160E2">
              <w:rPr>
                <w:b/>
                <w:bCs/>
              </w:rPr>
              <w:tab/>
              <w:t>ensures that there is adequate capacity within law enforcement agencies to detect deepfakes and facilitate the collection of evidence, to enable effective investigations and prosecutions.</w:t>
            </w:r>
          </w:p>
          <w:p w14:paraId="0D4A08A4" w14:textId="77777777" w:rsidR="00887B04" w:rsidRPr="00F160E2" w:rsidRDefault="00887B04" w:rsidP="00887B04">
            <w:pPr>
              <w:spacing w:line="288" w:lineRule="auto"/>
              <w:ind w:left="720" w:hanging="720"/>
              <w:rPr>
                <w:b/>
                <w:bCs/>
              </w:rPr>
            </w:pPr>
          </w:p>
          <w:p w14:paraId="6C3A2190" w14:textId="19AD9EE0" w:rsidR="00887B04" w:rsidRPr="00F160E2" w:rsidRDefault="00887B04" w:rsidP="00887B04">
            <w:pPr>
              <w:spacing w:line="288" w:lineRule="auto"/>
              <w:ind w:left="720" w:hanging="720"/>
              <w:rPr>
                <w:b/>
                <w:bCs/>
              </w:rPr>
            </w:pPr>
            <w:r w:rsidRPr="00F160E2">
              <w:rPr>
                <w:b/>
                <w:bCs/>
              </w:rPr>
              <w:t>3.64</w:t>
            </w:r>
            <w:r w:rsidRPr="00F160E2">
              <w:rPr>
                <w:b/>
                <w:bCs/>
              </w:rPr>
              <w:tab/>
              <w:t>has a clear plan, with committed resources in place, for promoting education and awareness raising initiatives, focusing on prevention and encouraging reporting, the meaning of consent, healthy relationships, and the prevention of gender-based violence. It should also address privacy, promote non-discrimination and gender equality, digital literacy and online safety.</w:t>
            </w:r>
          </w:p>
          <w:p w14:paraId="0D26950A" w14:textId="77777777" w:rsidR="00887B04" w:rsidRPr="00F160E2" w:rsidRDefault="00887B04" w:rsidP="00887B04">
            <w:pPr>
              <w:spacing w:line="288" w:lineRule="auto"/>
              <w:ind w:left="720" w:hanging="720"/>
              <w:rPr>
                <w:b/>
                <w:bCs/>
              </w:rPr>
            </w:pPr>
          </w:p>
          <w:p w14:paraId="1C3060B3" w14:textId="34B4B950" w:rsidR="00887B04" w:rsidRPr="00F160E2" w:rsidRDefault="00887B04" w:rsidP="00887B04">
            <w:pPr>
              <w:spacing w:line="288" w:lineRule="auto"/>
              <w:ind w:left="720" w:hanging="720"/>
              <w:rPr>
                <w:b/>
                <w:bCs/>
              </w:rPr>
            </w:pPr>
            <w:r w:rsidRPr="00F160E2">
              <w:rPr>
                <w:b/>
                <w:bCs/>
              </w:rPr>
              <w:t>3.71</w:t>
            </w:r>
            <w:r w:rsidRPr="00F160E2">
              <w:rPr>
                <w:b/>
                <w:bCs/>
              </w:rPr>
              <w:tab/>
              <w:t>works with the NI Executive to ensure the integration of a human rights-based approach into the deployment of artificial intelligence systems by businesses into their operations, products and services. This includes ensuring that businesses are required to undertake robust content moderation and removal through proactively identify risks of harm, taking effective measures to address incidents, and cooperating with law enforcement agencies, civil society, and public authorities in NI and internationally to protect individuals from harm and prevent re-victimisation.</w:t>
            </w:r>
          </w:p>
          <w:p w14:paraId="06FA721F" w14:textId="77777777" w:rsidR="00887B04" w:rsidRPr="00F160E2" w:rsidRDefault="00887B04" w:rsidP="00887B04">
            <w:pPr>
              <w:spacing w:line="288" w:lineRule="auto"/>
              <w:ind w:left="720" w:hanging="720"/>
              <w:rPr>
                <w:b/>
                <w:bCs/>
              </w:rPr>
            </w:pPr>
          </w:p>
          <w:p w14:paraId="50F8C07D" w14:textId="143605E9" w:rsidR="00887B04" w:rsidRPr="00F160E2" w:rsidRDefault="00887B04" w:rsidP="00887B04">
            <w:pPr>
              <w:spacing w:line="288" w:lineRule="auto"/>
              <w:ind w:left="720" w:hanging="720"/>
              <w:rPr>
                <w:b/>
                <w:bCs/>
              </w:rPr>
            </w:pPr>
            <w:r w:rsidRPr="00F160E2">
              <w:rPr>
                <w:b/>
                <w:bCs/>
              </w:rPr>
              <w:t>3.72</w:t>
            </w:r>
            <w:r w:rsidRPr="00F160E2">
              <w:rPr>
                <w:b/>
                <w:bCs/>
              </w:rPr>
              <w:tab/>
              <w:t>introduces a ban on online platforms that primarily facilitate the creation of non-consensual sexually explicit deepfake content, such as tools marketed as ‘</w:t>
            </w:r>
            <w:proofErr w:type="spellStart"/>
            <w:r w:rsidRPr="00F160E2">
              <w:rPr>
                <w:b/>
                <w:bCs/>
              </w:rPr>
              <w:t>nudifying</w:t>
            </w:r>
            <w:proofErr w:type="spellEnd"/>
            <w:r w:rsidRPr="00F160E2">
              <w:rPr>
                <w:b/>
                <w:bCs/>
              </w:rPr>
              <w:t xml:space="preserve">’ services to protect people at risk of becoming victims or offenders. </w:t>
            </w:r>
          </w:p>
          <w:p w14:paraId="2B3E62D0" w14:textId="6C8DBF62" w:rsidR="006F29F8" w:rsidRPr="004526FD" w:rsidRDefault="006F29F8" w:rsidP="00943AC6"/>
        </w:tc>
      </w:tr>
    </w:tbl>
    <w:p w14:paraId="1350E923" w14:textId="77777777" w:rsidR="006F29F8" w:rsidRPr="004526FD" w:rsidRDefault="006F29F8" w:rsidP="00943AC6"/>
    <w:p w14:paraId="1A9EF274" w14:textId="77777777" w:rsidR="006F29F8" w:rsidRPr="004526FD" w:rsidRDefault="006F29F8" w:rsidP="00943AC6">
      <w:pPr>
        <w:spacing w:line="278" w:lineRule="auto"/>
        <w:rPr>
          <w:rFonts w:eastAsiaTheme="majorEastAsia" w:cstheme="majorBidi"/>
          <w:b/>
          <w:bCs/>
          <w:color w:val="77328A"/>
          <w:sz w:val="40"/>
          <w:szCs w:val="40"/>
        </w:rPr>
      </w:pPr>
      <w:r w:rsidRPr="004526FD">
        <w:rPr>
          <w:bCs/>
        </w:rPr>
        <w:br w:type="page"/>
      </w:r>
    </w:p>
    <w:p w14:paraId="2D737F83" w14:textId="0C86635F" w:rsidR="009A08D2" w:rsidRPr="004526FD" w:rsidRDefault="006F29F8" w:rsidP="00924570">
      <w:pPr>
        <w:pStyle w:val="Heading1"/>
      </w:pPr>
      <w:bookmarkStart w:id="1" w:name="_Toc209087425"/>
      <w:r w:rsidRPr="004526FD">
        <w:lastRenderedPageBreak/>
        <w:t>1.0</w:t>
      </w:r>
      <w:r w:rsidRPr="004526FD">
        <w:tab/>
        <w:t xml:space="preserve"> </w:t>
      </w:r>
      <w:r w:rsidR="001D2326" w:rsidRPr="004526FD">
        <w:t>Introduction</w:t>
      </w:r>
      <w:bookmarkEnd w:id="1"/>
      <w:r w:rsidR="001D2326" w:rsidRPr="004526FD">
        <w:t xml:space="preserve"> </w:t>
      </w:r>
    </w:p>
    <w:p w14:paraId="4023D962" w14:textId="4F342BFD" w:rsidR="00CA3BE3" w:rsidRPr="00ED4E9C" w:rsidRDefault="009A08D2" w:rsidP="00ED4E9C">
      <w:pPr>
        <w:pStyle w:val="ListParagraph"/>
        <w:numPr>
          <w:ilvl w:val="1"/>
          <w:numId w:val="31"/>
        </w:numPr>
        <w:contextualSpacing w:val="0"/>
      </w:pPr>
      <w:r w:rsidRPr="004526FD">
        <w:rPr>
          <w:color w:val="000000" w:themeColor="text1"/>
        </w:rPr>
        <w:t xml:space="preserve">The Northern Ireland Human Rights Commission (NIHRC), pursuant to section 69(1) of the Northern Ireland Act 1998, reviews the adequacy and effectiveness of law and practice relating to the protection of human rights in Northern Ireland (NI). In accordance with this function, the following advice is submitted in response to </w:t>
      </w:r>
      <w:r w:rsidR="00993418" w:rsidRPr="004526FD">
        <w:rPr>
          <w:color w:val="000000" w:themeColor="text1"/>
        </w:rPr>
        <w:t xml:space="preserve">the </w:t>
      </w:r>
      <w:r w:rsidRPr="004526FD">
        <w:rPr>
          <w:color w:val="000000" w:themeColor="text1"/>
        </w:rPr>
        <w:t>Department of Justice’s consultation on proposals to criminalise sexually explicit deepfake images.</w:t>
      </w:r>
    </w:p>
    <w:p w14:paraId="2B9E9437" w14:textId="77777777" w:rsidR="00ED4E9C" w:rsidRPr="00ED4E9C" w:rsidRDefault="00ED4E9C" w:rsidP="00ED4E9C">
      <w:pPr>
        <w:pStyle w:val="ListParagraph"/>
        <w:contextualSpacing w:val="0"/>
      </w:pPr>
    </w:p>
    <w:p w14:paraId="676CE073" w14:textId="5B40B63E" w:rsidR="009A08D2" w:rsidRPr="004526FD" w:rsidRDefault="009A08D2" w:rsidP="00943AC6">
      <w:pPr>
        <w:pStyle w:val="ListParagraph"/>
        <w:numPr>
          <w:ilvl w:val="1"/>
          <w:numId w:val="31"/>
        </w:numPr>
      </w:pPr>
      <w:r w:rsidRPr="004526FD">
        <w:t>The NIHRC bases its advice on the international human rights standards and treaty obligations of the United Nations (UN) and Council of Europe (</w:t>
      </w:r>
      <w:proofErr w:type="spellStart"/>
      <w:r w:rsidRPr="004526FD">
        <w:t>CoE</w:t>
      </w:r>
      <w:proofErr w:type="spellEnd"/>
      <w:r w:rsidRPr="004526FD">
        <w:t>), including:</w:t>
      </w:r>
    </w:p>
    <w:p w14:paraId="15980643" w14:textId="77777777" w:rsidR="00B73F64" w:rsidRPr="004526FD" w:rsidRDefault="00B73F64" w:rsidP="00943AC6"/>
    <w:p w14:paraId="61F015C8" w14:textId="04DCC573" w:rsidR="008A3B93" w:rsidRDefault="00884CC7" w:rsidP="00943AC6">
      <w:pPr>
        <w:pStyle w:val="Quote"/>
        <w:numPr>
          <w:ilvl w:val="0"/>
          <w:numId w:val="32"/>
        </w:numPr>
      </w:pPr>
      <w:proofErr w:type="spellStart"/>
      <w:r>
        <w:t>CoE</w:t>
      </w:r>
      <w:proofErr w:type="spellEnd"/>
      <w:r>
        <w:t xml:space="preserve"> </w:t>
      </w:r>
      <w:r w:rsidR="008A3B93" w:rsidRPr="004526FD">
        <w:t xml:space="preserve">European Convention on Human Rights </w:t>
      </w:r>
      <w:r w:rsidR="00357493" w:rsidRPr="004526FD">
        <w:t xml:space="preserve">1950 </w:t>
      </w:r>
      <w:r w:rsidR="008A3B93" w:rsidRPr="004526FD">
        <w:t>(ECHR);</w:t>
      </w:r>
      <w:r w:rsidR="008A3B93" w:rsidRPr="004526FD">
        <w:rPr>
          <w:rStyle w:val="FootnoteReference"/>
        </w:rPr>
        <w:footnoteReference w:id="1"/>
      </w:r>
    </w:p>
    <w:p w14:paraId="6A49698F" w14:textId="01A945E0" w:rsidR="00582522" w:rsidRPr="00582522" w:rsidRDefault="00582522" w:rsidP="00582522">
      <w:pPr>
        <w:pStyle w:val="ListParagraph"/>
        <w:numPr>
          <w:ilvl w:val="0"/>
          <w:numId w:val="32"/>
        </w:numPr>
      </w:pPr>
      <w:r>
        <w:t>UN Convention on the Elimination of All Forms of Racial Discrimination 1965</w:t>
      </w:r>
      <w:r w:rsidR="008F138D">
        <w:t xml:space="preserve"> (UN CERD);</w:t>
      </w:r>
      <w:r w:rsidR="008F138D">
        <w:rPr>
          <w:rStyle w:val="FootnoteReference"/>
        </w:rPr>
        <w:footnoteReference w:id="2"/>
      </w:r>
    </w:p>
    <w:p w14:paraId="5280839B" w14:textId="10BAC1B7" w:rsidR="008A3B93" w:rsidRPr="004526FD" w:rsidRDefault="008A3B93" w:rsidP="00943AC6">
      <w:pPr>
        <w:pStyle w:val="Quote"/>
        <w:numPr>
          <w:ilvl w:val="0"/>
          <w:numId w:val="32"/>
        </w:numPr>
      </w:pPr>
      <w:r w:rsidRPr="004526FD">
        <w:t xml:space="preserve">UN International Covenant on Civil and Political Rights </w:t>
      </w:r>
      <w:r w:rsidR="00357493" w:rsidRPr="004526FD">
        <w:t xml:space="preserve">1966 </w:t>
      </w:r>
      <w:r w:rsidRPr="004526FD">
        <w:t>(UN ICCPR);</w:t>
      </w:r>
      <w:r w:rsidRPr="004526FD">
        <w:rPr>
          <w:rStyle w:val="FootnoteReference"/>
        </w:rPr>
        <w:footnoteReference w:id="3"/>
      </w:r>
    </w:p>
    <w:p w14:paraId="2745A501" w14:textId="6052FE1E" w:rsidR="008A3B93" w:rsidRPr="004526FD" w:rsidRDefault="008A3B93" w:rsidP="00943AC6">
      <w:pPr>
        <w:pStyle w:val="Quote"/>
        <w:numPr>
          <w:ilvl w:val="0"/>
          <w:numId w:val="32"/>
        </w:numPr>
      </w:pPr>
      <w:r w:rsidRPr="004526FD">
        <w:t xml:space="preserve">UN Convention on </w:t>
      </w:r>
      <w:r w:rsidR="005042EA" w:rsidRPr="004526FD">
        <w:t xml:space="preserve">the </w:t>
      </w:r>
      <w:r w:rsidRPr="004526FD">
        <w:t xml:space="preserve">Elimination of </w:t>
      </w:r>
      <w:r w:rsidR="005042EA" w:rsidRPr="004526FD">
        <w:t xml:space="preserve">all </w:t>
      </w:r>
      <w:r w:rsidR="005878C3" w:rsidRPr="004526FD">
        <w:t xml:space="preserve">Forms </w:t>
      </w:r>
      <w:r w:rsidR="005042EA" w:rsidRPr="004526FD">
        <w:t xml:space="preserve">of </w:t>
      </w:r>
      <w:r w:rsidRPr="004526FD">
        <w:t>Discrimination against Women</w:t>
      </w:r>
      <w:r w:rsidR="00357493" w:rsidRPr="004526FD">
        <w:t xml:space="preserve"> 1981</w:t>
      </w:r>
      <w:r w:rsidRPr="004526FD">
        <w:t xml:space="preserve"> (</w:t>
      </w:r>
      <w:r w:rsidR="00884CC7">
        <w:t xml:space="preserve">UN </w:t>
      </w:r>
      <w:r w:rsidRPr="004526FD">
        <w:t>CEDAW);</w:t>
      </w:r>
      <w:r w:rsidRPr="004526FD">
        <w:rPr>
          <w:rStyle w:val="FootnoteReference"/>
        </w:rPr>
        <w:footnoteReference w:id="4"/>
      </w:r>
    </w:p>
    <w:p w14:paraId="35D7ED15" w14:textId="2F879FA3" w:rsidR="008A3B93" w:rsidRPr="004526FD" w:rsidRDefault="008A3B93" w:rsidP="00943AC6">
      <w:pPr>
        <w:pStyle w:val="Quote"/>
        <w:numPr>
          <w:ilvl w:val="0"/>
          <w:numId w:val="32"/>
        </w:numPr>
      </w:pPr>
      <w:r w:rsidRPr="004526FD">
        <w:t xml:space="preserve">UN Convention against Torture </w:t>
      </w:r>
      <w:r w:rsidR="00357493" w:rsidRPr="004526FD">
        <w:t xml:space="preserve">1984 </w:t>
      </w:r>
      <w:r w:rsidRPr="004526FD">
        <w:t>(UN CAT);</w:t>
      </w:r>
      <w:r w:rsidRPr="004526FD">
        <w:rPr>
          <w:rStyle w:val="FootnoteReference"/>
        </w:rPr>
        <w:footnoteReference w:id="5"/>
      </w:r>
    </w:p>
    <w:p w14:paraId="120E6D2D" w14:textId="77777777" w:rsidR="006F29F8" w:rsidRPr="004526FD" w:rsidRDefault="008A3B93" w:rsidP="00943AC6">
      <w:pPr>
        <w:pStyle w:val="Quote"/>
        <w:numPr>
          <w:ilvl w:val="0"/>
          <w:numId w:val="32"/>
        </w:numPr>
      </w:pPr>
      <w:r w:rsidRPr="004526FD">
        <w:t xml:space="preserve">UN Convention on the Rights of the Child </w:t>
      </w:r>
      <w:r w:rsidR="00357493" w:rsidRPr="004526FD">
        <w:t xml:space="preserve">1989 </w:t>
      </w:r>
      <w:r w:rsidRPr="004526FD">
        <w:t>(UN CRC);</w:t>
      </w:r>
      <w:r w:rsidRPr="004526FD">
        <w:rPr>
          <w:rStyle w:val="FootnoteReference"/>
        </w:rPr>
        <w:footnoteReference w:id="6"/>
      </w:r>
    </w:p>
    <w:p w14:paraId="53226495" w14:textId="40DA903F" w:rsidR="006F29F8" w:rsidRDefault="00884CC7" w:rsidP="00943AC6">
      <w:pPr>
        <w:pStyle w:val="Quote"/>
        <w:numPr>
          <w:ilvl w:val="0"/>
          <w:numId w:val="32"/>
        </w:numPr>
      </w:pPr>
      <w:proofErr w:type="spellStart"/>
      <w:r>
        <w:t>CoE</w:t>
      </w:r>
      <w:proofErr w:type="spellEnd"/>
      <w:r>
        <w:t xml:space="preserve"> </w:t>
      </w:r>
      <w:r w:rsidR="006F29F8" w:rsidRPr="004526FD">
        <w:t>European Convention on Cybercrime 2001</w:t>
      </w:r>
      <w:r w:rsidR="00F42B41">
        <w:t xml:space="preserve"> </w:t>
      </w:r>
      <w:r w:rsidR="00F42B41" w:rsidRPr="004526FD">
        <w:t>(Budapest Convention)</w:t>
      </w:r>
      <w:r w:rsidR="006F29F8" w:rsidRPr="004526FD">
        <w:t>;</w:t>
      </w:r>
      <w:r w:rsidR="006F29F8" w:rsidRPr="004526FD">
        <w:rPr>
          <w:rStyle w:val="FootnoteReference"/>
        </w:rPr>
        <w:footnoteReference w:id="7"/>
      </w:r>
    </w:p>
    <w:p w14:paraId="2ADA3E4B" w14:textId="0AE83AE2" w:rsidR="00582522" w:rsidRPr="00582522" w:rsidRDefault="00582522" w:rsidP="00582522">
      <w:pPr>
        <w:pStyle w:val="ListParagraph"/>
        <w:numPr>
          <w:ilvl w:val="0"/>
          <w:numId w:val="32"/>
        </w:numPr>
      </w:pPr>
      <w:r>
        <w:t>UN Convention on the Rights of Persons with Disabilities 2006</w:t>
      </w:r>
      <w:r w:rsidR="008F138D">
        <w:t xml:space="preserve"> (UN CRPD)</w:t>
      </w:r>
      <w:r>
        <w:t>;</w:t>
      </w:r>
      <w:r>
        <w:rPr>
          <w:rStyle w:val="FootnoteReference"/>
        </w:rPr>
        <w:footnoteReference w:id="8"/>
      </w:r>
    </w:p>
    <w:p w14:paraId="204C5677" w14:textId="770828E1" w:rsidR="008A3B93" w:rsidRPr="004526FD" w:rsidRDefault="008A3B93" w:rsidP="00943AC6">
      <w:pPr>
        <w:pStyle w:val="Quote"/>
        <w:numPr>
          <w:ilvl w:val="0"/>
          <w:numId w:val="32"/>
        </w:numPr>
      </w:pPr>
      <w:proofErr w:type="spellStart"/>
      <w:r w:rsidRPr="004526FD">
        <w:t>CoE</w:t>
      </w:r>
      <w:proofErr w:type="spellEnd"/>
      <w:r w:rsidRPr="004526FD">
        <w:t xml:space="preserve"> Convention </w:t>
      </w:r>
      <w:r w:rsidR="005042EA" w:rsidRPr="004526FD">
        <w:t xml:space="preserve">on </w:t>
      </w:r>
      <w:r w:rsidRPr="004526FD">
        <w:t xml:space="preserve">Preventing and Combating Violence against Women and Domestic Violence </w:t>
      </w:r>
      <w:r w:rsidR="00357493" w:rsidRPr="004526FD">
        <w:t xml:space="preserve">2011 </w:t>
      </w:r>
      <w:r w:rsidRPr="004526FD">
        <w:t>(Istanbul Convention);</w:t>
      </w:r>
      <w:r w:rsidRPr="004526FD">
        <w:rPr>
          <w:rStyle w:val="FootnoteReference"/>
        </w:rPr>
        <w:footnoteReference w:id="9"/>
      </w:r>
      <w:r w:rsidR="006F29F8" w:rsidRPr="004526FD">
        <w:t xml:space="preserve"> and</w:t>
      </w:r>
    </w:p>
    <w:p w14:paraId="32097D82" w14:textId="14D04E81" w:rsidR="00790FC7" w:rsidRPr="004526FD" w:rsidRDefault="008A3B93" w:rsidP="00943AC6">
      <w:pPr>
        <w:pStyle w:val="Quote"/>
        <w:numPr>
          <w:ilvl w:val="0"/>
          <w:numId w:val="32"/>
        </w:numPr>
      </w:pPr>
      <w:proofErr w:type="spellStart"/>
      <w:r w:rsidRPr="004526FD">
        <w:lastRenderedPageBreak/>
        <w:t>CoE</w:t>
      </w:r>
      <w:proofErr w:type="spellEnd"/>
      <w:r w:rsidRPr="004526FD">
        <w:t xml:space="preserve"> Framework Convention on Artificial Intelligence and Human Rights, Democracy and the Rule of Law.</w:t>
      </w:r>
      <w:r w:rsidRPr="004526FD">
        <w:rPr>
          <w:rStyle w:val="FootnoteReference"/>
        </w:rPr>
        <w:footnoteReference w:id="10"/>
      </w:r>
    </w:p>
    <w:p w14:paraId="5F0217DA" w14:textId="77777777" w:rsidR="00B73F64" w:rsidRPr="004526FD" w:rsidRDefault="00B73F64" w:rsidP="00943AC6"/>
    <w:p w14:paraId="28B37019" w14:textId="59017640" w:rsidR="00057AAF" w:rsidRDefault="00057AAF" w:rsidP="00943AC6">
      <w:pPr>
        <w:pStyle w:val="ListParagraph"/>
        <w:numPr>
          <w:ilvl w:val="1"/>
          <w:numId w:val="31"/>
        </w:numPr>
      </w:pPr>
      <w:r w:rsidRPr="004526FD">
        <w:rPr>
          <w:lang w:val="en-US"/>
        </w:rPr>
        <w:t xml:space="preserve">In </w:t>
      </w:r>
      <w:r w:rsidRPr="004526FD">
        <w:t>addition to these treaty standards, the following declarations and principles provide further guidance in respect of specific areas:</w:t>
      </w:r>
    </w:p>
    <w:p w14:paraId="7202F046" w14:textId="77777777" w:rsidR="00582522" w:rsidRPr="004526FD" w:rsidRDefault="00582522" w:rsidP="00582522">
      <w:pPr>
        <w:pStyle w:val="ListParagraph"/>
      </w:pPr>
    </w:p>
    <w:p w14:paraId="680D62B2" w14:textId="6490321C" w:rsidR="003A5BF5" w:rsidRPr="003A5BF5" w:rsidRDefault="003A5BF5" w:rsidP="00943AC6">
      <w:pPr>
        <w:pStyle w:val="ListParagraph"/>
        <w:numPr>
          <w:ilvl w:val="0"/>
          <w:numId w:val="35"/>
        </w:numPr>
        <w:ind w:left="1434" w:hanging="357"/>
        <w:rPr>
          <w:i/>
          <w:iCs/>
        </w:rPr>
      </w:pPr>
      <w:r w:rsidRPr="00F87552">
        <w:t>UN Declaration of Basic Principles of Justice for Victims of Crime and Abuse of Power</w:t>
      </w:r>
      <w:r>
        <w:t>;</w:t>
      </w:r>
      <w:r>
        <w:rPr>
          <w:rStyle w:val="FootnoteReference"/>
        </w:rPr>
        <w:footnoteReference w:id="11"/>
      </w:r>
    </w:p>
    <w:p w14:paraId="4914BD63" w14:textId="317EC9B8" w:rsidR="00CD0AA6" w:rsidRPr="00CD0AA6" w:rsidRDefault="00CD0AA6" w:rsidP="00943AC6">
      <w:pPr>
        <w:pStyle w:val="ListParagraph"/>
        <w:numPr>
          <w:ilvl w:val="0"/>
          <w:numId w:val="35"/>
        </w:numPr>
        <w:ind w:left="1434" w:hanging="357"/>
        <w:rPr>
          <w:i/>
          <w:iCs/>
        </w:rPr>
      </w:pPr>
      <w:r w:rsidRPr="004526FD">
        <w:t>UN Declaration on the Elimination of Violence against Women</w:t>
      </w:r>
      <w:r>
        <w:t>;</w:t>
      </w:r>
      <w:r w:rsidRPr="004526FD">
        <w:rPr>
          <w:rStyle w:val="FootnoteReference"/>
        </w:rPr>
        <w:footnoteReference w:id="12"/>
      </w:r>
    </w:p>
    <w:p w14:paraId="020CE64F" w14:textId="054527CE" w:rsidR="00C97D90" w:rsidRPr="00CD0AA6" w:rsidRDefault="00C97D90" w:rsidP="00943AC6">
      <w:pPr>
        <w:pStyle w:val="ListParagraph"/>
        <w:numPr>
          <w:ilvl w:val="0"/>
          <w:numId w:val="35"/>
        </w:numPr>
        <w:ind w:left="1434" w:hanging="357"/>
        <w:rPr>
          <w:i/>
          <w:iCs/>
        </w:rPr>
      </w:pPr>
      <w:r w:rsidRPr="004526FD">
        <w:t>UN CEDAW Committee General Recommendation No 23: Political and Public Life</w:t>
      </w:r>
      <w:r>
        <w:t>;</w:t>
      </w:r>
      <w:r w:rsidRPr="004526FD">
        <w:rPr>
          <w:rStyle w:val="FootnoteReference"/>
        </w:rPr>
        <w:footnoteReference w:id="13"/>
      </w:r>
    </w:p>
    <w:p w14:paraId="5DF8A644" w14:textId="3F20F7B8" w:rsidR="00CD0AA6" w:rsidRPr="009540F6" w:rsidRDefault="00CD0AA6" w:rsidP="00943AC6">
      <w:pPr>
        <w:pStyle w:val="ListParagraph"/>
        <w:numPr>
          <w:ilvl w:val="0"/>
          <w:numId w:val="35"/>
        </w:numPr>
        <w:ind w:left="1434" w:hanging="357"/>
        <w:rPr>
          <w:i/>
          <w:iCs/>
        </w:rPr>
      </w:pPr>
      <w:r>
        <w:t>UN Special Rapporteur on Violence Against Women, Its Causes and Consequences, Ms Radhika Coomaraswamy, 1997 Report;</w:t>
      </w:r>
      <w:r>
        <w:rPr>
          <w:rStyle w:val="FootnoteReference"/>
        </w:rPr>
        <w:footnoteReference w:id="14"/>
      </w:r>
    </w:p>
    <w:p w14:paraId="0FECFB14" w14:textId="1168E02C" w:rsidR="009540F6" w:rsidRPr="003A5BF5" w:rsidRDefault="009540F6" w:rsidP="00943AC6">
      <w:pPr>
        <w:pStyle w:val="ListParagraph"/>
        <w:numPr>
          <w:ilvl w:val="0"/>
          <w:numId w:val="35"/>
        </w:numPr>
        <w:ind w:left="1434" w:hanging="357"/>
        <w:rPr>
          <w:i/>
          <w:iCs/>
        </w:rPr>
      </w:pPr>
      <w:r>
        <w:t>UN Basic Principles and Guidelines on the Right to a Remedy and Reparation for Victims of Gross Violations of International Human Rights Law and Serious Violations of International Humanitarian Law;</w:t>
      </w:r>
      <w:r>
        <w:rPr>
          <w:rStyle w:val="FootnoteReference"/>
        </w:rPr>
        <w:footnoteReference w:id="15"/>
      </w:r>
    </w:p>
    <w:p w14:paraId="05C7412F" w14:textId="481C5BD9" w:rsidR="003A5BF5" w:rsidRPr="009959FF" w:rsidRDefault="003A5BF5" w:rsidP="00943AC6">
      <w:pPr>
        <w:pStyle w:val="ListParagraph"/>
        <w:numPr>
          <w:ilvl w:val="0"/>
          <w:numId w:val="35"/>
        </w:numPr>
        <w:ind w:left="1434" w:hanging="357"/>
        <w:rPr>
          <w:i/>
          <w:iCs/>
        </w:rPr>
      </w:pPr>
      <w:r w:rsidRPr="004526FD">
        <w:t>UN Human Rights Committee General Comment No 32;</w:t>
      </w:r>
      <w:r w:rsidRPr="004526FD">
        <w:rPr>
          <w:rStyle w:val="FootnoteReference"/>
        </w:rPr>
        <w:footnoteReference w:id="16"/>
      </w:r>
      <w:r w:rsidRPr="004526FD">
        <w:t xml:space="preserve"> </w:t>
      </w:r>
    </w:p>
    <w:p w14:paraId="45FE534D" w14:textId="48CE7F59" w:rsidR="009959FF" w:rsidRPr="002A698C" w:rsidRDefault="009959FF" w:rsidP="00943AC6">
      <w:pPr>
        <w:pStyle w:val="ListParagraph"/>
        <w:numPr>
          <w:ilvl w:val="0"/>
          <w:numId w:val="35"/>
        </w:numPr>
        <w:ind w:left="1434" w:hanging="357"/>
        <w:rPr>
          <w:i/>
          <w:iCs/>
        </w:rPr>
      </w:pPr>
      <w:r>
        <w:t xml:space="preserve">UN </w:t>
      </w:r>
      <w:r w:rsidRPr="004526FD">
        <w:t>Guiding Principles on Business and Human Rights</w:t>
      </w:r>
      <w:r>
        <w:t>;</w:t>
      </w:r>
      <w:r w:rsidRPr="004526FD">
        <w:rPr>
          <w:rStyle w:val="FootnoteReference"/>
        </w:rPr>
        <w:footnoteReference w:id="17"/>
      </w:r>
    </w:p>
    <w:p w14:paraId="43187A85" w14:textId="1D2127F2" w:rsidR="002A698C" w:rsidRPr="00EB1299" w:rsidRDefault="002A698C" w:rsidP="00943AC6">
      <w:pPr>
        <w:pStyle w:val="ListParagraph"/>
        <w:numPr>
          <w:ilvl w:val="0"/>
          <w:numId w:val="35"/>
        </w:numPr>
        <w:ind w:left="1434" w:hanging="357"/>
        <w:rPr>
          <w:i/>
          <w:iCs/>
        </w:rPr>
      </w:pPr>
      <w:r>
        <w:t>UN CAT Committee General Comment No 3;</w:t>
      </w:r>
      <w:r>
        <w:rPr>
          <w:rStyle w:val="FootnoteReference"/>
        </w:rPr>
        <w:footnoteReference w:id="18"/>
      </w:r>
    </w:p>
    <w:p w14:paraId="12067C5B" w14:textId="1DDD7B0A" w:rsidR="00EB1299" w:rsidRPr="009540F6" w:rsidRDefault="00EB1299" w:rsidP="00943AC6">
      <w:pPr>
        <w:pStyle w:val="ListParagraph"/>
        <w:numPr>
          <w:ilvl w:val="0"/>
          <w:numId w:val="35"/>
        </w:numPr>
        <w:ind w:left="1434" w:hanging="357"/>
        <w:rPr>
          <w:i/>
          <w:iCs/>
        </w:rPr>
      </w:pPr>
      <w:r w:rsidRPr="004526FD">
        <w:t>UN CRC Committee General Comment No 14</w:t>
      </w:r>
      <w:r>
        <w:t>;</w:t>
      </w:r>
      <w:r w:rsidRPr="004526FD">
        <w:rPr>
          <w:rStyle w:val="FootnoteReference"/>
        </w:rPr>
        <w:footnoteReference w:id="19"/>
      </w:r>
    </w:p>
    <w:p w14:paraId="2D7DB08F" w14:textId="52FF9877" w:rsidR="009540F6" w:rsidRPr="003A5BF5" w:rsidRDefault="009540F6" w:rsidP="00943AC6">
      <w:pPr>
        <w:pStyle w:val="ListParagraph"/>
        <w:numPr>
          <w:ilvl w:val="0"/>
          <w:numId w:val="35"/>
        </w:numPr>
        <w:ind w:left="1434" w:hanging="357"/>
        <w:rPr>
          <w:i/>
          <w:iCs/>
        </w:rPr>
      </w:pPr>
      <w:r w:rsidRPr="000D1367">
        <w:t xml:space="preserve">CAT/C/GC/3, ‘UN CAT Committee General Comment No 3: Implementation of Article 14 by States Parties’, 13 December 2012, at para </w:t>
      </w:r>
      <w:proofErr w:type="gramStart"/>
      <w:r w:rsidRPr="000D1367">
        <w:t>21</w:t>
      </w:r>
      <w:r>
        <w:t>;</w:t>
      </w:r>
      <w:proofErr w:type="gramEnd"/>
    </w:p>
    <w:p w14:paraId="608AADD1" w14:textId="433B16F9" w:rsidR="003A5BF5" w:rsidRPr="00C97D90" w:rsidRDefault="003A5BF5" w:rsidP="00943AC6">
      <w:pPr>
        <w:pStyle w:val="ListParagraph"/>
        <w:numPr>
          <w:ilvl w:val="0"/>
          <w:numId w:val="35"/>
        </w:numPr>
        <w:ind w:left="1434" w:hanging="357"/>
        <w:rPr>
          <w:i/>
          <w:iCs/>
        </w:rPr>
      </w:pPr>
      <w:r w:rsidRPr="004526FD">
        <w:t>UN Human Rights Committee General Comment No 35</w:t>
      </w:r>
      <w:r>
        <w:t>;</w:t>
      </w:r>
      <w:r w:rsidRPr="004526FD">
        <w:rPr>
          <w:rStyle w:val="FootnoteReference"/>
        </w:rPr>
        <w:footnoteReference w:id="20"/>
      </w:r>
    </w:p>
    <w:p w14:paraId="2B1B7E70" w14:textId="68363144" w:rsidR="00C97D90" w:rsidRPr="00C97D90" w:rsidRDefault="00C97D90" w:rsidP="00943AC6">
      <w:pPr>
        <w:pStyle w:val="ListParagraph"/>
        <w:numPr>
          <w:ilvl w:val="0"/>
          <w:numId w:val="35"/>
        </w:numPr>
        <w:ind w:left="1434" w:hanging="357"/>
        <w:rPr>
          <w:i/>
          <w:iCs/>
        </w:rPr>
      </w:pPr>
      <w:r w:rsidRPr="004526FD">
        <w:lastRenderedPageBreak/>
        <w:t>UN CEDAW Committee General Recommendation No 35</w:t>
      </w:r>
      <w:r>
        <w:t>;</w:t>
      </w:r>
      <w:r w:rsidRPr="004526FD">
        <w:rPr>
          <w:rStyle w:val="FootnoteReference"/>
        </w:rPr>
        <w:footnoteReference w:id="21"/>
      </w:r>
    </w:p>
    <w:p w14:paraId="45177735" w14:textId="3E179E2A" w:rsidR="00350E5C" w:rsidRPr="00EB1299" w:rsidRDefault="005B3B96" w:rsidP="00943AC6">
      <w:pPr>
        <w:pStyle w:val="ListParagraph"/>
        <w:numPr>
          <w:ilvl w:val="0"/>
          <w:numId w:val="35"/>
        </w:numPr>
        <w:ind w:left="1434" w:hanging="357"/>
        <w:rPr>
          <w:i/>
          <w:iCs/>
        </w:rPr>
      </w:pPr>
      <w:r w:rsidRPr="004526FD">
        <w:t>UN CEDAW Committee Concluding Observations 2019;</w:t>
      </w:r>
      <w:r w:rsidRPr="004526FD">
        <w:rPr>
          <w:rStyle w:val="FootnoteReference"/>
        </w:rPr>
        <w:footnoteReference w:id="22"/>
      </w:r>
      <w:r w:rsidRPr="004526FD">
        <w:t xml:space="preserve"> </w:t>
      </w:r>
    </w:p>
    <w:p w14:paraId="21701B88" w14:textId="64DCEC6C" w:rsidR="00EB1299" w:rsidRPr="004526FD" w:rsidRDefault="00EB1299" w:rsidP="00943AC6">
      <w:pPr>
        <w:pStyle w:val="ListParagraph"/>
        <w:numPr>
          <w:ilvl w:val="0"/>
          <w:numId w:val="35"/>
        </w:numPr>
        <w:ind w:left="1434" w:hanging="357"/>
        <w:rPr>
          <w:i/>
          <w:iCs/>
        </w:rPr>
      </w:pPr>
      <w:r w:rsidRPr="004526FD">
        <w:t xml:space="preserve">UN CAT Committee </w:t>
      </w:r>
      <w:r>
        <w:t xml:space="preserve">2019 </w:t>
      </w:r>
      <w:r w:rsidRPr="004526FD">
        <w:t xml:space="preserve">Concluding Observations </w:t>
      </w:r>
      <w:r>
        <w:t>on the UK;</w:t>
      </w:r>
      <w:r w:rsidRPr="004526FD">
        <w:rPr>
          <w:rStyle w:val="FootnoteReference"/>
        </w:rPr>
        <w:footnoteReference w:id="23"/>
      </w:r>
    </w:p>
    <w:p w14:paraId="49EC11D6" w14:textId="4D1C8829" w:rsidR="003F788C" w:rsidRPr="004526FD" w:rsidRDefault="00C97D90" w:rsidP="00943AC6">
      <w:pPr>
        <w:pStyle w:val="ListParagraph"/>
        <w:numPr>
          <w:ilvl w:val="0"/>
          <w:numId w:val="35"/>
        </w:numPr>
        <w:ind w:left="1434" w:hanging="357"/>
      </w:pPr>
      <w:proofErr w:type="spellStart"/>
      <w:r>
        <w:t>CoE</w:t>
      </w:r>
      <w:proofErr w:type="spellEnd"/>
      <w:r>
        <w:t xml:space="preserve"> </w:t>
      </w:r>
      <w:r w:rsidRPr="004526FD">
        <w:t xml:space="preserve">GREVIO </w:t>
      </w:r>
      <w:r>
        <w:t xml:space="preserve">Committee </w:t>
      </w:r>
      <w:r w:rsidRPr="004526FD">
        <w:t>General Recommendation No 1</w:t>
      </w:r>
      <w:r>
        <w:t>;</w:t>
      </w:r>
      <w:r w:rsidRPr="004526FD">
        <w:rPr>
          <w:rStyle w:val="FootnoteReference"/>
        </w:rPr>
        <w:footnoteReference w:id="24"/>
      </w:r>
    </w:p>
    <w:p w14:paraId="2877644C" w14:textId="7845358B" w:rsidR="006D0637" w:rsidRPr="004526FD" w:rsidRDefault="00CD0AA6" w:rsidP="00943AC6">
      <w:pPr>
        <w:pStyle w:val="ListParagraph"/>
        <w:numPr>
          <w:ilvl w:val="0"/>
          <w:numId w:val="35"/>
        </w:numPr>
        <w:ind w:left="1434" w:hanging="357"/>
      </w:pPr>
      <w:r>
        <w:t xml:space="preserve">UN </w:t>
      </w:r>
      <w:r w:rsidRPr="004526FD">
        <w:t xml:space="preserve">General Assembly Resolution </w:t>
      </w:r>
      <w:r w:rsidR="00306497">
        <w:t>on p</w:t>
      </w:r>
      <w:r w:rsidR="00306497" w:rsidRPr="000D1367">
        <w:t>revent</w:t>
      </w:r>
      <w:r w:rsidR="00306497">
        <w:t>ing</w:t>
      </w:r>
      <w:r w:rsidR="00306497" w:rsidRPr="000D1367">
        <w:t xml:space="preserve"> and </w:t>
      </w:r>
      <w:r w:rsidR="00306497">
        <w:t>e</w:t>
      </w:r>
      <w:r w:rsidR="00306497" w:rsidRPr="000D1367">
        <w:t>liminat</w:t>
      </w:r>
      <w:r w:rsidR="00306497">
        <w:t>ing</w:t>
      </w:r>
      <w:r w:rsidR="00306497" w:rsidRPr="000D1367">
        <w:t xml:space="preserve"> </w:t>
      </w:r>
      <w:r w:rsidR="00306497">
        <w:t>v</w:t>
      </w:r>
      <w:r w:rsidR="00306497" w:rsidRPr="000D1367">
        <w:t xml:space="preserve">iolence </w:t>
      </w:r>
      <w:r w:rsidR="00306497">
        <w:t>a</w:t>
      </w:r>
      <w:r w:rsidR="00306497" w:rsidRPr="000D1367">
        <w:t xml:space="preserve">gainst </w:t>
      </w:r>
      <w:r w:rsidR="00306497">
        <w:t>w</w:t>
      </w:r>
      <w:r w:rsidR="00306497" w:rsidRPr="000D1367">
        <w:t xml:space="preserve">omen and </w:t>
      </w:r>
      <w:r w:rsidR="00306497">
        <w:t>g</w:t>
      </w:r>
      <w:r w:rsidR="00306497" w:rsidRPr="000D1367">
        <w:t>irls</w:t>
      </w:r>
      <w:r w:rsidR="009C19B6">
        <w:t xml:space="preserve"> in the digital environment</w:t>
      </w:r>
      <w:r w:rsidRPr="004526FD">
        <w:t>;</w:t>
      </w:r>
      <w:r w:rsidRPr="004526FD">
        <w:rPr>
          <w:rStyle w:val="FootnoteReference"/>
        </w:rPr>
        <w:footnoteReference w:id="25"/>
      </w:r>
      <w:r w:rsidR="009959FF">
        <w:t xml:space="preserve"> and</w:t>
      </w:r>
    </w:p>
    <w:p w14:paraId="24A48626" w14:textId="6F46301D" w:rsidR="00A53578" w:rsidRPr="004526FD" w:rsidRDefault="00A53578" w:rsidP="00943AC6">
      <w:pPr>
        <w:pStyle w:val="ListParagraph"/>
        <w:numPr>
          <w:ilvl w:val="0"/>
          <w:numId w:val="35"/>
        </w:numPr>
        <w:ind w:left="1434" w:hanging="357"/>
        <w:contextualSpacing w:val="0"/>
      </w:pPr>
      <w:r w:rsidRPr="004526FD">
        <w:t xml:space="preserve">UN Working Group on Business and Human Rights </w:t>
      </w:r>
      <w:r w:rsidR="005D2118">
        <w:t>R</w:t>
      </w:r>
      <w:r w:rsidR="00D35711" w:rsidRPr="004526FD">
        <w:t xml:space="preserve">eport on </w:t>
      </w:r>
      <w:r w:rsidR="005D2118">
        <w:t>a</w:t>
      </w:r>
      <w:r w:rsidRPr="004526FD">
        <w:t>rtificial intelligence procurement and deployment.</w:t>
      </w:r>
      <w:r w:rsidR="00173EC5" w:rsidRPr="004526FD">
        <w:rPr>
          <w:rStyle w:val="FootnoteReference"/>
        </w:rPr>
        <w:footnoteReference w:id="26"/>
      </w:r>
      <w:r w:rsidRPr="004526FD">
        <w:t xml:space="preserve"> </w:t>
      </w:r>
    </w:p>
    <w:p w14:paraId="095DD7AC" w14:textId="77777777" w:rsidR="000242F5" w:rsidRPr="005D699B" w:rsidRDefault="000242F5" w:rsidP="00ED4E9C"/>
    <w:p w14:paraId="456277E2" w14:textId="10342BBD" w:rsidR="009333B1" w:rsidRPr="005D699B" w:rsidRDefault="008A3B93" w:rsidP="00ED4E9C">
      <w:pPr>
        <w:pStyle w:val="ListParagraph"/>
        <w:numPr>
          <w:ilvl w:val="1"/>
          <w:numId w:val="31"/>
        </w:numPr>
        <w:contextualSpacing w:val="0"/>
      </w:pPr>
      <w:r w:rsidRPr="005D699B">
        <w:t xml:space="preserve">The NIHRC welcomes </w:t>
      </w:r>
      <w:r w:rsidR="00540B82" w:rsidRPr="005D699B">
        <w:t xml:space="preserve">the opportunity to consider and provide advice on </w:t>
      </w:r>
      <w:r w:rsidR="00391614" w:rsidRPr="005D699B">
        <w:t xml:space="preserve">the </w:t>
      </w:r>
      <w:r w:rsidR="00391614" w:rsidRPr="005D699B">
        <w:rPr>
          <w:color w:val="000000" w:themeColor="text1"/>
        </w:rPr>
        <w:t>Department of Justice</w:t>
      </w:r>
      <w:r w:rsidR="00B73F64" w:rsidRPr="005D699B">
        <w:rPr>
          <w:color w:val="000000" w:themeColor="text1"/>
        </w:rPr>
        <w:t>’</w:t>
      </w:r>
      <w:r w:rsidR="00391614" w:rsidRPr="005D699B">
        <w:rPr>
          <w:color w:val="000000" w:themeColor="text1"/>
        </w:rPr>
        <w:t xml:space="preserve">s proposal to criminalise the creation and sharing of </w:t>
      </w:r>
      <w:r w:rsidR="004A79FD" w:rsidRPr="005D699B">
        <w:rPr>
          <w:color w:val="000000" w:themeColor="text1"/>
        </w:rPr>
        <w:t xml:space="preserve">non-consensual </w:t>
      </w:r>
      <w:r w:rsidR="00391614" w:rsidRPr="005D699B">
        <w:rPr>
          <w:color w:val="000000" w:themeColor="text1"/>
        </w:rPr>
        <w:t>sexually explicit deepfake images of adults</w:t>
      </w:r>
      <w:r w:rsidR="00391614" w:rsidRPr="005D699B">
        <w:t>.</w:t>
      </w:r>
      <w:r w:rsidR="00F4491D" w:rsidRPr="005D699B">
        <w:t xml:space="preserve"> </w:t>
      </w:r>
    </w:p>
    <w:p w14:paraId="3C0F23DE" w14:textId="77777777" w:rsidR="00B73F64" w:rsidRPr="005D699B" w:rsidRDefault="00B73F64" w:rsidP="005D2118">
      <w:pPr>
        <w:pStyle w:val="ListParagraph"/>
        <w:contextualSpacing w:val="0"/>
      </w:pPr>
    </w:p>
    <w:p w14:paraId="6378EF28" w14:textId="02939DEA" w:rsidR="001D2326" w:rsidRPr="005D699B" w:rsidRDefault="006F29F8" w:rsidP="00924570">
      <w:pPr>
        <w:pStyle w:val="Heading1"/>
      </w:pPr>
      <w:bookmarkStart w:id="2" w:name="_International_human_rights"/>
      <w:bookmarkStart w:id="3" w:name="_Toc209087426"/>
      <w:bookmarkEnd w:id="2"/>
      <w:r w:rsidRPr="005D699B">
        <w:t>2.0</w:t>
      </w:r>
      <w:r w:rsidR="00924570">
        <w:tab/>
      </w:r>
      <w:r w:rsidRPr="005D699B">
        <w:tab/>
      </w:r>
      <w:r w:rsidR="00412F1E" w:rsidRPr="005D699B">
        <w:t xml:space="preserve">Criminalising </w:t>
      </w:r>
      <w:r w:rsidR="00B73F64" w:rsidRPr="005D699B">
        <w:t>N</w:t>
      </w:r>
      <w:r w:rsidR="00412F1E" w:rsidRPr="005D699B">
        <w:t xml:space="preserve">on-consensual </w:t>
      </w:r>
      <w:r w:rsidR="00B73F64" w:rsidRPr="005D699B">
        <w:t>S</w:t>
      </w:r>
      <w:r w:rsidR="00412F1E" w:rsidRPr="005D699B">
        <w:t xml:space="preserve">exually </w:t>
      </w:r>
      <w:r w:rsidR="00B73F64" w:rsidRPr="005D699B">
        <w:t>E</w:t>
      </w:r>
      <w:r w:rsidR="00412F1E" w:rsidRPr="005D699B">
        <w:t xml:space="preserve">xplicit </w:t>
      </w:r>
      <w:r w:rsidR="00B73F64" w:rsidRPr="005D699B">
        <w:t>D</w:t>
      </w:r>
      <w:r w:rsidR="00412F1E" w:rsidRPr="005D699B">
        <w:t>eepfakes</w:t>
      </w:r>
      <w:bookmarkEnd w:id="3"/>
      <w:r w:rsidR="001D2326" w:rsidRPr="005D699B">
        <w:t xml:space="preserve"> </w:t>
      </w:r>
    </w:p>
    <w:p w14:paraId="22CEC4D7" w14:textId="77777777" w:rsidR="0063489A" w:rsidRDefault="00684F70" w:rsidP="0063489A">
      <w:pPr>
        <w:pStyle w:val="ListParagraph"/>
        <w:numPr>
          <w:ilvl w:val="1"/>
          <w:numId w:val="38"/>
        </w:numPr>
        <w:rPr>
          <w:color w:val="000000" w:themeColor="text1"/>
        </w:rPr>
      </w:pPr>
      <w:bookmarkStart w:id="4" w:name="_The_European_Convention"/>
      <w:bookmarkEnd w:id="4"/>
      <w:r w:rsidRPr="005D699B">
        <w:t xml:space="preserve">The </w:t>
      </w:r>
      <w:r w:rsidR="00B87DC3" w:rsidRPr="005D699B">
        <w:t xml:space="preserve">Department </w:t>
      </w:r>
      <w:r w:rsidR="00B87DC3" w:rsidRPr="0063489A">
        <w:rPr>
          <w:color w:val="000000" w:themeColor="text1"/>
        </w:rPr>
        <w:t xml:space="preserve">of Justice is proposing to make it an offence to intentionally create, or request the creation of, a sexually explicit deepfake image of an adult, without consent, with the intention </w:t>
      </w:r>
      <w:r w:rsidR="00C963D1" w:rsidRPr="0063489A">
        <w:rPr>
          <w:color w:val="000000" w:themeColor="text1"/>
        </w:rPr>
        <w:t xml:space="preserve">of </w:t>
      </w:r>
      <w:r w:rsidR="00B87DC3" w:rsidRPr="0063489A">
        <w:rPr>
          <w:color w:val="000000" w:themeColor="text1"/>
        </w:rPr>
        <w:t>causing humiliation, alarm or distress to the person depicted in the image, or for the purposes of sexual gratification.</w:t>
      </w:r>
      <w:r w:rsidR="001426A0">
        <w:rPr>
          <w:rStyle w:val="FootnoteReference"/>
          <w:color w:val="000000" w:themeColor="text1"/>
        </w:rPr>
        <w:footnoteReference w:id="27"/>
      </w:r>
      <w:r w:rsidR="00B87DC3" w:rsidRPr="0063489A">
        <w:rPr>
          <w:color w:val="000000" w:themeColor="text1"/>
        </w:rPr>
        <w:t xml:space="preserve"> The Department </w:t>
      </w:r>
      <w:r w:rsidR="00C71A17" w:rsidRPr="0063489A">
        <w:rPr>
          <w:color w:val="000000" w:themeColor="text1"/>
        </w:rPr>
        <w:t xml:space="preserve">of Justice </w:t>
      </w:r>
      <w:r w:rsidR="00B87DC3" w:rsidRPr="0063489A">
        <w:rPr>
          <w:color w:val="000000" w:themeColor="text1"/>
        </w:rPr>
        <w:t xml:space="preserve">is also proposing to make it an offence to intentionally share a sexually explicit deepfake image of an adult, without </w:t>
      </w:r>
      <w:r w:rsidR="00B87DC3" w:rsidRPr="0063489A">
        <w:rPr>
          <w:color w:val="000000" w:themeColor="text1"/>
        </w:rPr>
        <w:lastRenderedPageBreak/>
        <w:t>consent, with the intention of causing humiliation, alarm or distress to the person depicted in the image, or for the purposes of sexual gratification, or threaten to share these images with the intent to cause fear or distress to the person depicted in the image</w:t>
      </w:r>
      <w:r w:rsidR="00132C8A" w:rsidRPr="0063489A">
        <w:rPr>
          <w:color w:val="000000" w:themeColor="text1"/>
        </w:rPr>
        <w:t>.</w:t>
      </w:r>
      <w:r w:rsidR="001426A0">
        <w:rPr>
          <w:rStyle w:val="FootnoteReference"/>
          <w:color w:val="000000" w:themeColor="text1"/>
        </w:rPr>
        <w:footnoteReference w:id="28"/>
      </w:r>
      <w:r w:rsidR="00132C8A" w:rsidRPr="0063489A">
        <w:rPr>
          <w:color w:val="000000" w:themeColor="text1"/>
        </w:rPr>
        <w:t xml:space="preserve"> </w:t>
      </w:r>
    </w:p>
    <w:p w14:paraId="5E3133FA" w14:textId="77777777" w:rsidR="0063489A" w:rsidRDefault="0063489A" w:rsidP="0063489A">
      <w:pPr>
        <w:pStyle w:val="ListParagraph"/>
        <w:rPr>
          <w:color w:val="000000" w:themeColor="text1"/>
        </w:rPr>
      </w:pPr>
    </w:p>
    <w:p w14:paraId="44FCA9E6" w14:textId="21CF2518" w:rsidR="00CF4173" w:rsidRPr="0063489A" w:rsidRDefault="00EA566D" w:rsidP="0063489A">
      <w:pPr>
        <w:pStyle w:val="ListParagraph"/>
        <w:numPr>
          <w:ilvl w:val="1"/>
          <w:numId w:val="38"/>
        </w:numPr>
        <w:rPr>
          <w:color w:val="000000" w:themeColor="text1"/>
        </w:rPr>
      </w:pPr>
      <w:r>
        <w:t>In general, t</w:t>
      </w:r>
      <w:r w:rsidR="00D81895" w:rsidRPr="005D699B">
        <w:t xml:space="preserve">he NIHRC welcomes the criminalisation of non-consensual sexually explicit deepfakes </w:t>
      </w:r>
      <w:r w:rsidR="00D81895" w:rsidRPr="0063489A">
        <w:rPr>
          <w:color w:val="000000" w:themeColor="text1"/>
        </w:rPr>
        <w:t>from a human rights perspective</w:t>
      </w:r>
      <w:r w:rsidR="00CF4173" w:rsidRPr="005D699B">
        <w:t xml:space="preserve">. </w:t>
      </w:r>
      <w:r w:rsidR="0077553A" w:rsidRPr="005D699B">
        <w:t>This is from several aspects regarding human rights obligations, which are set out below.</w:t>
      </w:r>
      <w:r w:rsidR="000242F5" w:rsidRPr="005D699B">
        <w:t xml:space="preserve"> However, there are some further considerations</w:t>
      </w:r>
      <w:r w:rsidR="007E6FEB" w:rsidRPr="005D699B">
        <w:t xml:space="preserve"> which are also </w:t>
      </w:r>
      <w:r w:rsidR="0013445C" w:rsidRPr="005D699B">
        <w:t>set out</w:t>
      </w:r>
      <w:r w:rsidR="007E6FEB" w:rsidRPr="005D699B">
        <w:t xml:space="preserve"> in detail below</w:t>
      </w:r>
      <w:r w:rsidR="007567A7" w:rsidRPr="005D699B">
        <w:t>, where relevant</w:t>
      </w:r>
      <w:r w:rsidR="007E6FEB" w:rsidRPr="005D699B">
        <w:t>.</w:t>
      </w:r>
    </w:p>
    <w:p w14:paraId="6989E57A" w14:textId="77777777" w:rsidR="00B73F64" w:rsidRPr="008A26A4" w:rsidRDefault="00B73F64" w:rsidP="008A26A4"/>
    <w:p w14:paraId="0F47AC5D" w14:textId="0E610D5F" w:rsidR="00EF1732" w:rsidRPr="005D699B" w:rsidRDefault="00C42817" w:rsidP="002424F7">
      <w:pPr>
        <w:pStyle w:val="Heading3"/>
        <w:spacing w:before="240" w:after="240"/>
      </w:pPr>
      <w:bookmarkStart w:id="5" w:name="_Toc209087427"/>
      <w:r w:rsidRPr="005D699B">
        <w:t>European Convention on Human Rights</w:t>
      </w:r>
      <w:bookmarkEnd w:id="5"/>
    </w:p>
    <w:p w14:paraId="32776C70" w14:textId="7BFC3F1C" w:rsidR="00216AD1" w:rsidRPr="005D699B" w:rsidRDefault="00DC0163" w:rsidP="0063489A">
      <w:pPr>
        <w:pStyle w:val="ListParagraph"/>
        <w:numPr>
          <w:ilvl w:val="1"/>
          <w:numId w:val="38"/>
        </w:numPr>
      </w:pPr>
      <w:r w:rsidRPr="0063489A">
        <w:rPr>
          <w:color w:val="000000" w:themeColor="text1"/>
        </w:rPr>
        <w:t>As identified by the Department</w:t>
      </w:r>
      <w:r w:rsidR="00C71A17" w:rsidRPr="0063489A">
        <w:rPr>
          <w:color w:val="000000" w:themeColor="text1"/>
        </w:rPr>
        <w:t xml:space="preserve"> of Justice</w:t>
      </w:r>
      <w:r w:rsidRPr="0063489A">
        <w:rPr>
          <w:color w:val="000000" w:themeColor="text1"/>
        </w:rPr>
        <w:t xml:space="preserve">, criminalising </w:t>
      </w:r>
      <w:r w:rsidR="00402B0D" w:rsidRPr="0063489A">
        <w:rPr>
          <w:color w:val="000000" w:themeColor="text1"/>
        </w:rPr>
        <w:t xml:space="preserve">online activity </w:t>
      </w:r>
      <w:r w:rsidR="00C8299C" w:rsidRPr="0063489A">
        <w:rPr>
          <w:color w:val="000000" w:themeColor="text1"/>
        </w:rPr>
        <w:t xml:space="preserve">to create non-consensual sexually explicit </w:t>
      </w:r>
      <w:r w:rsidR="002B42AF" w:rsidRPr="0063489A">
        <w:rPr>
          <w:color w:val="000000" w:themeColor="text1"/>
        </w:rPr>
        <w:t>deepfakes</w:t>
      </w:r>
      <w:r w:rsidR="000A5207" w:rsidRPr="0063489A">
        <w:rPr>
          <w:color w:val="000000" w:themeColor="text1"/>
        </w:rPr>
        <w:t xml:space="preserve"> engage</w:t>
      </w:r>
      <w:r w:rsidR="007A3575" w:rsidRPr="0063489A">
        <w:rPr>
          <w:color w:val="000000" w:themeColor="text1"/>
        </w:rPr>
        <w:t>s</w:t>
      </w:r>
      <w:r w:rsidR="000A5207" w:rsidRPr="0063489A">
        <w:rPr>
          <w:color w:val="000000" w:themeColor="text1"/>
        </w:rPr>
        <w:t xml:space="preserve"> </w:t>
      </w:r>
      <w:r w:rsidR="00057C3C" w:rsidRPr="0063489A">
        <w:rPr>
          <w:color w:val="000000" w:themeColor="text1"/>
        </w:rPr>
        <w:t>Article</w:t>
      </w:r>
      <w:r w:rsidR="00BD0E5B" w:rsidRPr="0063489A">
        <w:rPr>
          <w:color w:val="000000" w:themeColor="text1"/>
        </w:rPr>
        <w:t>s</w:t>
      </w:r>
      <w:r w:rsidR="00BB6601" w:rsidRPr="0063489A">
        <w:rPr>
          <w:color w:val="000000" w:themeColor="text1"/>
        </w:rPr>
        <w:t xml:space="preserve"> 8</w:t>
      </w:r>
      <w:r w:rsidR="00B91B13" w:rsidRPr="0063489A">
        <w:rPr>
          <w:color w:val="000000" w:themeColor="text1"/>
        </w:rPr>
        <w:t xml:space="preserve"> </w:t>
      </w:r>
      <w:r w:rsidR="00BB6601" w:rsidRPr="0063489A">
        <w:rPr>
          <w:color w:val="000000" w:themeColor="text1"/>
        </w:rPr>
        <w:t>(</w:t>
      </w:r>
      <w:r w:rsidR="00E15CFB" w:rsidRPr="0063489A">
        <w:rPr>
          <w:color w:val="000000" w:themeColor="text1"/>
        </w:rPr>
        <w:t>right to respect for private and family life)</w:t>
      </w:r>
      <w:r w:rsidR="00B85BDE" w:rsidRPr="005D699B">
        <w:rPr>
          <w:rStyle w:val="FootnoteReference"/>
          <w:color w:val="000000" w:themeColor="text1"/>
        </w:rPr>
        <w:footnoteReference w:id="29"/>
      </w:r>
      <w:r w:rsidR="00BB6601" w:rsidRPr="0063489A">
        <w:rPr>
          <w:color w:val="000000" w:themeColor="text1"/>
        </w:rPr>
        <w:t xml:space="preserve"> and 10</w:t>
      </w:r>
      <w:r w:rsidR="00E15CFB" w:rsidRPr="0063489A">
        <w:rPr>
          <w:color w:val="000000" w:themeColor="text1"/>
        </w:rPr>
        <w:t xml:space="preserve"> (freedom of expression)</w:t>
      </w:r>
      <w:r w:rsidR="00057C3C" w:rsidRPr="005D699B">
        <w:rPr>
          <w:rStyle w:val="FootnoteReference"/>
          <w:color w:val="000000" w:themeColor="text1"/>
        </w:rPr>
        <w:footnoteReference w:id="30"/>
      </w:r>
      <w:r w:rsidR="00BB6601" w:rsidRPr="0063489A">
        <w:rPr>
          <w:color w:val="000000" w:themeColor="text1"/>
        </w:rPr>
        <w:t xml:space="preserve"> </w:t>
      </w:r>
      <w:r w:rsidR="00BD0E5B" w:rsidRPr="0063489A">
        <w:rPr>
          <w:color w:val="000000" w:themeColor="text1"/>
        </w:rPr>
        <w:t>of the ECHR</w:t>
      </w:r>
      <w:r w:rsidR="002B3D92" w:rsidRPr="0063489A">
        <w:rPr>
          <w:color w:val="000000" w:themeColor="text1"/>
        </w:rPr>
        <w:t>.</w:t>
      </w:r>
      <w:r w:rsidR="00E15CFB" w:rsidRPr="0063489A">
        <w:rPr>
          <w:color w:val="000000" w:themeColor="text1"/>
        </w:rPr>
        <w:t xml:space="preserve"> The</w:t>
      </w:r>
      <w:r w:rsidR="00FB02B5" w:rsidRPr="0063489A">
        <w:rPr>
          <w:color w:val="000000" w:themeColor="text1"/>
        </w:rPr>
        <w:t xml:space="preserve"> new criminal offences also engage</w:t>
      </w:r>
      <w:r w:rsidR="004F4F61" w:rsidRPr="0063489A">
        <w:rPr>
          <w:color w:val="000000" w:themeColor="text1"/>
        </w:rPr>
        <w:t xml:space="preserve"> </w:t>
      </w:r>
      <w:r w:rsidR="0013069A" w:rsidRPr="0063489A">
        <w:rPr>
          <w:color w:val="000000" w:themeColor="text1"/>
        </w:rPr>
        <w:t>Article</w:t>
      </w:r>
      <w:r w:rsidR="00BD0E5B" w:rsidRPr="0063489A">
        <w:rPr>
          <w:color w:val="000000" w:themeColor="text1"/>
        </w:rPr>
        <w:t>s</w:t>
      </w:r>
      <w:r w:rsidR="0013069A" w:rsidRPr="0063489A">
        <w:rPr>
          <w:color w:val="000000" w:themeColor="text1"/>
        </w:rPr>
        <w:t xml:space="preserve"> 5 (right to liberty and security)</w:t>
      </w:r>
      <w:r w:rsidR="00AD1176" w:rsidRPr="005D699B">
        <w:rPr>
          <w:rStyle w:val="FootnoteReference"/>
          <w:color w:val="000000" w:themeColor="text1"/>
        </w:rPr>
        <w:footnoteReference w:id="31"/>
      </w:r>
      <w:r w:rsidR="0013069A" w:rsidRPr="0063489A">
        <w:rPr>
          <w:color w:val="000000" w:themeColor="text1"/>
        </w:rPr>
        <w:t xml:space="preserve"> and </w:t>
      </w:r>
      <w:r w:rsidR="004F4F61" w:rsidRPr="0063489A">
        <w:rPr>
          <w:color w:val="000000" w:themeColor="text1"/>
        </w:rPr>
        <w:t>7 (no punishment without law)</w:t>
      </w:r>
      <w:r w:rsidR="00BD0E5B" w:rsidRPr="0063489A">
        <w:rPr>
          <w:color w:val="000000" w:themeColor="text1"/>
        </w:rPr>
        <w:t xml:space="preserve"> of the ECHR</w:t>
      </w:r>
      <w:r w:rsidR="00253D94" w:rsidRPr="0063489A">
        <w:rPr>
          <w:color w:val="000000" w:themeColor="text1"/>
        </w:rPr>
        <w:t>.</w:t>
      </w:r>
      <w:r w:rsidR="00AD1176" w:rsidRPr="005D699B">
        <w:rPr>
          <w:rStyle w:val="FootnoteReference"/>
          <w:color w:val="000000" w:themeColor="text1"/>
        </w:rPr>
        <w:footnoteReference w:id="32"/>
      </w:r>
      <w:r w:rsidR="003D2BD4" w:rsidRPr="0063489A">
        <w:rPr>
          <w:color w:val="000000" w:themeColor="text1"/>
        </w:rPr>
        <w:t xml:space="preserve"> </w:t>
      </w:r>
    </w:p>
    <w:p w14:paraId="073E7C5E" w14:textId="77777777" w:rsidR="00B73F64" w:rsidRPr="005D699B" w:rsidRDefault="00B73F64" w:rsidP="00095D50">
      <w:pPr>
        <w:pStyle w:val="ListParagraph"/>
        <w:contextualSpacing w:val="0"/>
      </w:pPr>
    </w:p>
    <w:p w14:paraId="15C2A7DC" w14:textId="356122E3" w:rsidR="003C73B6" w:rsidRPr="005D699B" w:rsidRDefault="003C73B6" w:rsidP="0063489A">
      <w:pPr>
        <w:pStyle w:val="ListParagraph"/>
        <w:numPr>
          <w:ilvl w:val="1"/>
          <w:numId w:val="38"/>
        </w:numPr>
        <w:contextualSpacing w:val="0"/>
      </w:pPr>
      <w:r w:rsidRPr="005D699B">
        <w:t xml:space="preserve">Article 8 </w:t>
      </w:r>
      <w:r w:rsidR="00BD0E5B" w:rsidRPr="005D699B">
        <w:t xml:space="preserve">of the ECHR </w:t>
      </w:r>
      <w:r w:rsidRPr="005D699B">
        <w:t>protects individuals from arbitrary interferences by public authorities in their private and family life, home, and correspondence.</w:t>
      </w:r>
      <w:r w:rsidRPr="005D699B">
        <w:rPr>
          <w:vertAlign w:val="superscript"/>
        </w:rPr>
        <w:footnoteReference w:id="33"/>
      </w:r>
      <w:r w:rsidRPr="005D699B">
        <w:t xml:space="preserve"> States may limit this right under Article 8(2) </w:t>
      </w:r>
      <w:r w:rsidR="006557F6">
        <w:t xml:space="preserve">of the ECHR, </w:t>
      </w:r>
      <w:r w:rsidRPr="005D699B">
        <w:t xml:space="preserve">if the actions are in accordance with the law and necessary in a democratic society for specific objectives outlined </w:t>
      </w:r>
      <w:r w:rsidR="006557F6">
        <w:t>in this provision</w:t>
      </w:r>
      <w:r w:rsidRPr="005D699B">
        <w:t>.</w:t>
      </w:r>
      <w:r w:rsidR="008A6253" w:rsidRPr="005D699B">
        <w:rPr>
          <w:rStyle w:val="FootnoteReference"/>
        </w:rPr>
        <w:footnoteReference w:id="34"/>
      </w:r>
      <w:r w:rsidRPr="005D699B">
        <w:t xml:space="preserve"> The prevention of crime and the protection of the rights and freedoms of others are some of th</w:t>
      </w:r>
      <w:r w:rsidR="00231EF2" w:rsidRPr="005D699B">
        <w:t>ose</w:t>
      </w:r>
      <w:r w:rsidRPr="005D699B">
        <w:t xml:space="preserve"> objectives</w:t>
      </w:r>
      <w:r w:rsidR="006557F6">
        <w:t xml:space="preserve"> contained within Article 8(2) of the ECHR</w:t>
      </w:r>
      <w:r w:rsidRPr="005D699B">
        <w:t xml:space="preserve">. </w:t>
      </w:r>
      <w:r w:rsidR="005D3837">
        <w:t xml:space="preserve">The </w:t>
      </w:r>
      <w:r w:rsidR="008E6DA1">
        <w:t>European Court of Human Rights (</w:t>
      </w:r>
      <w:r w:rsidR="005D3837">
        <w:t>ECtHR</w:t>
      </w:r>
      <w:r w:rsidR="008E6DA1">
        <w:t>)</w:t>
      </w:r>
      <w:r w:rsidR="005D3837">
        <w:t xml:space="preserve"> has clarified that r</w:t>
      </w:r>
      <w:r w:rsidRPr="005D699B">
        <w:t xml:space="preserve">estrictive </w:t>
      </w:r>
      <w:r w:rsidRPr="005D699B">
        <w:lastRenderedPageBreak/>
        <w:t>measures must have a reasonable relationship of proportionality between the means employed and the aim sought.</w:t>
      </w:r>
      <w:r w:rsidRPr="005D699B">
        <w:rPr>
          <w:rStyle w:val="FootnoteReference"/>
        </w:rPr>
        <w:footnoteReference w:id="35"/>
      </w:r>
    </w:p>
    <w:p w14:paraId="2CE2379A" w14:textId="77777777" w:rsidR="00B73F64" w:rsidRPr="005D699B" w:rsidRDefault="00B73F64" w:rsidP="005D699B">
      <w:pPr>
        <w:pStyle w:val="ListParagraph"/>
        <w:contextualSpacing w:val="0"/>
      </w:pPr>
    </w:p>
    <w:p w14:paraId="1E560DC6" w14:textId="264DE156" w:rsidR="009C7F1E" w:rsidRPr="005D699B" w:rsidRDefault="000C70F2" w:rsidP="0063489A">
      <w:pPr>
        <w:pStyle w:val="ListParagraph"/>
        <w:numPr>
          <w:ilvl w:val="1"/>
          <w:numId w:val="38"/>
        </w:numPr>
      </w:pPr>
      <w:r w:rsidRPr="005D699B">
        <w:t xml:space="preserve">In </w:t>
      </w:r>
      <w:r w:rsidR="005D3837">
        <w:t>its</w:t>
      </w:r>
      <w:r w:rsidRPr="005D699B">
        <w:t xml:space="preserve"> consultation, t</w:t>
      </w:r>
      <w:r w:rsidR="00F75468" w:rsidRPr="005D699B">
        <w:t>he Department</w:t>
      </w:r>
      <w:r w:rsidR="00C71A17" w:rsidRPr="005D699B">
        <w:t xml:space="preserve"> </w:t>
      </w:r>
      <w:r w:rsidR="00C71A17" w:rsidRPr="0063489A">
        <w:rPr>
          <w:color w:val="000000" w:themeColor="text1"/>
        </w:rPr>
        <w:t>of Justice</w:t>
      </w:r>
      <w:r w:rsidR="00F75468" w:rsidRPr="005D699B">
        <w:t xml:space="preserve"> </w:t>
      </w:r>
      <w:r w:rsidR="007823BA" w:rsidRPr="005D699B">
        <w:t>assessed</w:t>
      </w:r>
      <w:r w:rsidR="00F75468" w:rsidRPr="005D699B">
        <w:t xml:space="preserve"> </w:t>
      </w:r>
      <w:r w:rsidR="00133A84" w:rsidRPr="005D699B">
        <w:t xml:space="preserve">how criminalising some online activity </w:t>
      </w:r>
      <w:r w:rsidR="001E14B8" w:rsidRPr="005D699B">
        <w:t xml:space="preserve">that could </w:t>
      </w:r>
      <w:r w:rsidR="009D0899" w:rsidRPr="005D699B">
        <w:t xml:space="preserve">also </w:t>
      </w:r>
      <w:r w:rsidR="001E14B8" w:rsidRPr="005D699B">
        <w:t xml:space="preserve">trigger </w:t>
      </w:r>
      <w:r w:rsidR="00707343" w:rsidRPr="005D699B">
        <w:t xml:space="preserve">sex offender notification requirements </w:t>
      </w:r>
      <w:r w:rsidR="00762B98" w:rsidRPr="005D699B">
        <w:t>may</w:t>
      </w:r>
      <w:r w:rsidR="00707343" w:rsidRPr="005D699B">
        <w:t xml:space="preserve"> restrict Article 8</w:t>
      </w:r>
      <w:r w:rsidR="005D3837">
        <w:t xml:space="preserve"> of the ECHR</w:t>
      </w:r>
      <w:r w:rsidR="00CC7A1E" w:rsidRPr="005D699B">
        <w:t>.</w:t>
      </w:r>
      <w:r w:rsidR="00301923" w:rsidRPr="005D699B">
        <w:rPr>
          <w:rStyle w:val="FootnoteReference"/>
        </w:rPr>
        <w:footnoteReference w:id="36"/>
      </w:r>
      <w:r w:rsidR="00CC7A1E" w:rsidRPr="005D699B">
        <w:t xml:space="preserve"> The Department</w:t>
      </w:r>
      <w:r w:rsidR="00C71A17" w:rsidRPr="005D699B">
        <w:t xml:space="preserve"> </w:t>
      </w:r>
      <w:r w:rsidR="00C71A17" w:rsidRPr="0063489A">
        <w:rPr>
          <w:color w:val="000000" w:themeColor="text1"/>
        </w:rPr>
        <w:t>of Justice</w:t>
      </w:r>
      <w:r w:rsidR="00CC7A1E" w:rsidRPr="005D699B">
        <w:t xml:space="preserve"> </w:t>
      </w:r>
      <w:r w:rsidR="00DF4D57" w:rsidRPr="005D699B">
        <w:t>believes</w:t>
      </w:r>
      <w:r w:rsidR="00EA5340" w:rsidRPr="005D699B">
        <w:t xml:space="preserve"> these interferences </w:t>
      </w:r>
      <w:r w:rsidR="00DF4D57" w:rsidRPr="005D699B">
        <w:t>are</w:t>
      </w:r>
      <w:r w:rsidR="006B4B0C" w:rsidRPr="005D699B">
        <w:t xml:space="preserve"> justified in pursuit of the legitimate aims of preventing crime and protecting the rights of others</w:t>
      </w:r>
      <w:r w:rsidR="00F96427" w:rsidRPr="005D699B">
        <w:t>.</w:t>
      </w:r>
      <w:r w:rsidR="00363929">
        <w:rPr>
          <w:rStyle w:val="FootnoteReference"/>
        </w:rPr>
        <w:footnoteReference w:id="37"/>
      </w:r>
      <w:r w:rsidR="00F96427" w:rsidRPr="005D699B">
        <w:t xml:space="preserve"> As such, the</w:t>
      </w:r>
      <w:r w:rsidR="00AF4E15" w:rsidRPr="005D699B">
        <w:t xml:space="preserve"> Department</w:t>
      </w:r>
      <w:r w:rsidR="00C71A17" w:rsidRPr="005D699B">
        <w:t xml:space="preserve"> </w:t>
      </w:r>
      <w:r w:rsidR="00C71A17" w:rsidRPr="0063489A">
        <w:rPr>
          <w:color w:val="000000" w:themeColor="text1"/>
        </w:rPr>
        <w:t>of Justice</w:t>
      </w:r>
      <w:r w:rsidR="00AF4E15" w:rsidRPr="005D699B">
        <w:t xml:space="preserve"> </w:t>
      </w:r>
      <w:r w:rsidR="00F96427" w:rsidRPr="005D699B">
        <w:t>consider</w:t>
      </w:r>
      <w:r w:rsidR="00AF4E15" w:rsidRPr="005D699B">
        <w:t>s</w:t>
      </w:r>
      <w:r w:rsidR="00F96427" w:rsidRPr="005D699B">
        <w:t xml:space="preserve"> these measures to be proportionate</w:t>
      </w:r>
      <w:r w:rsidR="00A802D4" w:rsidRPr="005D699B">
        <w:t>.</w:t>
      </w:r>
      <w:r w:rsidR="00A802D4" w:rsidRPr="005D699B">
        <w:rPr>
          <w:rStyle w:val="FootnoteReference"/>
        </w:rPr>
        <w:footnoteReference w:id="38"/>
      </w:r>
      <w:r w:rsidR="00A802D4" w:rsidRPr="005D699B">
        <w:t xml:space="preserve"> </w:t>
      </w:r>
    </w:p>
    <w:p w14:paraId="7117EA09" w14:textId="77777777" w:rsidR="00B73F64" w:rsidRPr="005D699B" w:rsidRDefault="00B73F64" w:rsidP="005D699B">
      <w:pPr>
        <w:pStyle w:val="ListParagraph"/>
        <w:contextualSpacing w:val="0"/>
      </w:pPr>
    </w:p>
    <w:p w14:paraId="5FD992DE" w14:textId="0CC9C52C" w:rsidR="00C627BD" w:rsidRPr="005D699B" w:rsidRDefault="009C7F1E" w:rsidP="0063489A">
      <w:pPr>
        <w:pStyle w:val="ListParagraph"/>
        <w:numPr>
          <w:ilvl w:val="1"/>
          <w:numId w:val="38"/>
        </w:numPr>
        <w:contextualSpacing w:val="0"/>
      </w:pPr>
      <w:r w:rsidRPr="005D699B">
        <w:t xml:space="preserve">Similarly, </w:t>
      </w:r>
      <w:r w:rsidR="007E7DE8" w:rsidRPr="005D699B">
        <w:t>and as highlighted by the Department</w:t>
      </w:r>
      <w:r w:rsidR="00C71A17" w:rsidRPr="005D699B">
        <w:t xml:space="preserve"> </w:t>
      </w:r>
      <w:r w:rsidR="00C71A17" w:rsidRPr="005D699B">
        <w:rPr>
          <w:color w:val="000000" w:themeColor="text1"/>
        </w:rPr>
        <w:t>of Justice</w:t>
      </w:r>
      <w:r w:rsidR="007E7DE8" w:rsidRPr="005D699B">
        <w:t xml:space="preserve">, </w:t>
      </w:r>
      <w:r w:rsidRPr="005D699B">
        <w:t xml:space="preserve">the </w:t>
      </w:r>
      <w:r w:rsidR="00885AEF" w:rsidRPr="005D699B">
        <w:t>new offences could engage Article 10 of the ECHR by limiting defendants' freedom to hold opinions and share information without interference from public authorities</w:t>
      </w:r>
      <w:r w:rsidR="00D3326A" w:rsidRPr="005D699B">
        <w:t>.</w:t>
      </w:r>
      <w:r w:rsidR="00363929">
        <w:rPr>
          <w:rStyle w:val="FootnoteReference"/>
        </w:rPr>
        <w:footnoteReference w:id="39"/>
      </w:r>
      <w:r w:rsidR="000C057D" w:rsidRPr="005D699B">
        <w:t xml:space="preserve"> </w:t>
      </w:r>
      <w:r w:rsidR="000C79E5" w:rsidRPr="005D699B">
        <w:t xml:space="preserve">Article 10 </w:t>
      </w:r>
      <w:r w:rsidR="000F709C">
        <w:t xml:space="preserve">of the ECHR </w:t>
      </w:r>
      <w:r w:rsidR="00C64C43">
        <w:t>“</w:t>
      </w:r>
      <w:r w:rsidR="00D81C5D" w:rsidRPr="005D699B">
        <w:t>protects not only the substance of the ideas and information expressed</w:t>
      </w:r>
      <w:r w:rsidR="000F709C">
        <w:t>,</w:t>
      </w:r>
      <w:r w:rsidR="00D81C5D" w:rsidRPr="005D699B">
        <w:t xml:space="preserve"> but also the form in which they are conveyed</w:t>
      </w:r>
      <w:r w:rsidR="00C64C43">
        <w:t>”</w:t>
      </w:r>
      <w:r w:rsidR="00D81C5D" w:rsidRPr="005D699B">
        <w:t>.</w:t>
      </w:r>
      <w:r w:rsidR="00D81C5D" w:rsidRPr="005D699B">
        <w:rPr>
          <w:rStyle w:val="FootnoteReference"/>
        </w:rPr>
        <w:footnoteReference w:id="40"/>
      </w:r>
      <w:r w:rsidR="00D81C5D" w:rsidRPr="005D699B">
        <w:t xml:space="preserve"> </w:t>
      </w:r>
      <w:r w:rsidR="00B2464E">
        <w:t>Furthermore, t</w:t>
      </w:r>
      <w:r w:rsidR="000C057D" w:rsidRPr="005D699B">
        <w:t xml:space="preserve">he Internet </w:t>
      </w:r>
      <w:r w:rsidR="0033431F" w:rsidRPr="005D699B">
        <w:t xml:space="preserve">provides an </w:t>
      </w:r>
      <w:r w:rsidR="00E54F99">
        <w:t>“</w:t>
      </w:r>
      <w:r w:rsidR="0033431F" w:rsidRPr="005D699B">
        <w:t>unprecedented platform for the exercise of freedom of expression</w:t>
      </w:r>
      <w:r w:rsidR="00B2464E">
        <w:t>…</w:t>
      </w:r>
      <w:r w:rsidR="003E4418" w:rsidRPr="005D699B">
        <w:t xml:space="preserve"> enhancing the public’s access to news and facilitating the dissemination of information generally</w:t>
      </w:r>
      <w:r w:rsidR="00B2464E">
        <w:t>”</w:t>
      </w:r>
      <w:r w:rsidR="003E4418" w:rsidRPr="005D699B">
        <w:t>.</w:t>
      </w:r>
      <w:r w:rsidR="003E4418" w:rsidRPr="005D699B">
        <w:rPr>
          <w:rStyle w:val="FootnoteReference"/>
        </w:rPr>
        <w:footnoteReference w:id="41"/>
      </w:r>
      <w:r w:rsidR="00113200" w:rsidRPr="005D699B">
        <w:t xml:space="preserve"> </w:t>
      </w:r>
    </w:p>
    <w:p w14:paraId="14A25C3D" w14:textId="77777777" w:rsidR="00B73F64" w:rsidRPr="005D699B" w:rsidRDefault="00B73F64" w:rsidP="005D699B">
      <w:pPr>
        <w:pStyle w:val="ListParagraph"/>
        <w:contextualSpacing w:val="0"/>
      </w:pPr>
    </w:p>
    <w:p w14:paraId="5B9CE9EC" w14:textId="77777777" w:rsidR="0071122F" w:rsidRDefault="00AA5244" w:rsidP="0063489A">
      <w:pPr>
        <w:pStyle w:val="ListParagraph"/>
        <w:numPr>
          <w:ilvl w:val="1"/>
          <w:numId w:val="38"/>
        </w:numPr>
        <w:contextualSpacing w:val="0"/>
      </w:pPr>
      <w:r w:rsidRPr="005D699B">
        <w:t>As a qualified right, Article 10</w:t>
      </w:r>
      <w:r w:rsidR="00113200" w:rsidRPr="005D699B">
        <w:t xml:space="preserve"> </w:t>
      </w:r>
      <w:r w:rsidR="00F529B0">
        <w:t xml:space="preserve">of the ECHR </w:t>
      </w:r>
      <w:r w:rsidR="00113200" w:rsidRPr="005D699B">
        <w:t>may be subject to restriction</w:t>
      </w:r>
      <w:r w:rsidR="009F354F" w:rsidRPr="005D699B">
        <w:t>s prescribed by law,</w:t>
      </w:r>
      <w:r w:rsidR="00113200" w:rsidRPr="005D699B">
        <w:t xml:space="preserve"> where that is necessary in a democratic society to achieve </w:t>
      </w:r>
      <w:r w:rsidR="00DD5C9F" w:rsidRPr="005D699B">
        <w:t>one of the</w:t>
      </w:r>
      <w:r w:rsidR="00113200" w:rsidRPr="005D699B">
        <w:t xml:space="preserve"> legitimate aim</w:t>
      </w:r>
      <w:r w:rsidR="00DD5C9F" w:rsidRPr="005D699B">
        <w:t xml:space="preserve">s set out in </w:t>
      </w:r>
      <w:r w:rsidR="00697E79" w:rsidRPr="005D699B">
        <w:t>Article 10(2)</w:t>
      </w:r>
      <w:r w:rsidR="00F529B0">
        <w:t xml:space="preserve"> of the ECHR</w:t>
      </w:r>
      <w:r w:rsidR="00113200" w:rsidRPr="005D699B">
        <w:t>.</w:t>
      </w:r>
      <w:r w:rsidR="009A6C90" w:rsidRPr="005D699B">
        <w:rPr>
          <w:rStyle w:val="FootnoteReference"/>
        </w:rPr>
        <w:footnoteReference w:id="42"/>
      </w:r>
      <w:r w:rsidR="007633FD" w:rsidRPr="005D699B">
        <w:t xml:space="preserve"> </w:t>
      </w:r>
      <w:r w:rsidR="00CB59EE" w:rsidRPr="005D699B">
        <w:t>T</w:t>
      </w:r>
      <w:r w:rsidR="003C7F68" w:rsidRPr="005D699B">
        <w:t xml:space="preserve">hese legitimate aims </w:t>
      </w:r>
      <w:r w:rsidR="00CB59EE" w:rsidRPr="005D699B">
        <w:t>include preventing crime</w:t>
      </w:r>
      <w:r w:rsidR="00E0040C" w:rsidRPr="005D699B">
        <w:t xml:space="preserve"> and</w:t>
      </w:r>
      <w:r w:rsidR="00CB59EE" w:rsidRPr="005D699B">
        <w:t xml:space="preserve"> </w:t>
      </w:r>
      <w:r w:rsidR="00E0040C" w:rsidRPr="005D699B">
        <w:t>protecting</w:t>
      </w:r>
      <w:r w:rsidR="003C7F68" w:rsidRPr="005D699B">
        <w:t xml:space="preserve"> the rights and </w:t>
      </w:r>
      <w:r w:rsidR="00EC3F78" w:rsidRPr="005D699B">
        <w:t>reputation of others</w:t>
      </w:r>
      <w:r w:rsidR="005D7078" w:rsidRPr="005D699B">
        <w:t>.</w:t>
      </w:r>
      <w:r w:rsidR="00EC0BFF">
        <w:rPr>
          <w:rStyle w:val="FootnoteReference"/>
        </w:rPr>
        <w:footnoteReference w:id="43"/>
      </w:r>
      <w:r w:rsidR="00EC3F78" w:rsidRPr="005D699B">
        <w:t xml:space="preserve"> </w:t>
      </w:r>
      <w:r w:rsidR="005D7078" w:rsidRPr="005D699B">
        <w:t xml:space="preserve">This </w:t>
      </w:r>
      <w:r w:rsidR="00EC3F78" w:rsidRPr="005D699B">
        <w:t>is particularly relevant when it comes to</w:t>
      </w:r>
      <w:r w:rsidR="00535C4E" w:rsidRPr="005D699B">
        <w:t xml:space="preserve"> </w:t>
      </w:r>
      <w:r w:rsidR="00B106BD" w:rsidRPr="005D699B">
        <w:t xml:space="preserve">the publication of </w:t>
      </w:r>
      <w:r w:rsidR="00535C4E" w:rsidRPr="005D699B">
        <w:t>image</w:t>
      </w:r>
      <w:r w:rsidR="00B106BD" w:rsidRPr="005D699B">
        <w:t>s</w:t>
      </w:r>
      <w:r w:rsidR="005375CA" w:rsidRPr="005D699B">
        <w:t xml:space="preserve">, especially when they contain </w:t>
      </w:r>
      <w:r w:rsidR="00BD664A">
        <w:t>“</w:t>
      </w:r>
      <w:r w:rsidR="005375CA" w:rsidRPr="005D699B">
        <w:t xml:space="preserve">very personal </w:t>
      </w:r>
      <w:r w:rsidR="00BD664A">
        <w:t xml:space="preserve">or even </w:t>
      </w:r>
      <w:r w:rsidR="005375CA" w:rsidRPr="005D699B">
        <w:t>intimate information about an individual</w:t>
      </w:r>
      <w:r w:rsidR="00BD664A">
        <w:t xml:space="preserve"> or his or her [or </w:t>
      </w:r>
      <w:r w:rsidR="00BD664A">
        <w:lastRenderedPageBreak/>
        <w:t>their] family”.</w:t>
      </w:r>
      <w:r w:rsidR="00364105" w:rsidRPr="005D699B">
        <w:rPr>
          <w:rStyle w:val="FootnoteReference"/>
        </w:rPr>
        <w:footnoteReference w:id="44"/>
      </w:r>
      <w:r w:rsidR="005375CA" w:rsidRPr="005D699B">
        <w:t xml:space="preserve"> </w:t>
      </w:r>
      <w:r w:rsidR="009146FE">
        <w:t>Also,</w:t>
      </w:r>
      <w:r w:rsidR="005375CA" w:rsidRPr="005D699B">
        <w:t xml:space="preserve"> where </w:t>
      </w:r>
      <w:r w:rsidR="009146FE">
        <w:t>the images “</w:t>
      </w:r>
      <w:r w:rsidR="005375CA" w:rsidRPr="005D699B">
        <w:t xml:space="preserve">are taken on private premises and </w:t>
      </w:r>
      <w:r w:rsidR="009146FE">
        <w:t>clandestinely</w:t>
      </w:r>
      <w:r w:rsidR="005375CA" w:rsidRPr="005D699B">
        <w:t xml:space="preserve"> through the use of secret recording devices</w:t>
      </w:r>
      <w:r w:rsidR="00BF6528">
        <w:t>”</w:t>
      </w:r>
      <w:r w:rsidR="00535C4E" w:rsidRPr="005D699B">
        <w:t>.</w:t>
      </w:r>
      <w:r w:rsidR="00535C4E" w:rsidRPr="005D699B">
        <w:rPr>
          <w:rStyle w:val="FootnoteReference"/>
        </w:rPr>
        <w:footnoteReference w:id="45"/>
      </w:r>
      <w:r w:rsidR="000A4BAF" w:rsidRPr="005D699B">
        <w:t xml:space="preserve"> </w:t>
      </w:r>
      <w:r w:rsidR="002D1454" w:rsidRPr="005D699B">
        <w:t xml:space="preserve">The </w:t>
      </w:r>
      <w:r w:rsidR="009B2E4B" w:rsidRPr="005D699B">
        <w:t>ECtHR</w:t>
      </w:r>
      <w:r w:rsidR="002D1454" w:rsidRPr="005D699B">
        <w:t xml:space="preserve"> </w:t>
      </w:r>
      <w:r w:rsidR="008E6DA1">
        <w:t xml:space="preserve">has </w:t>
      </w:r>
      <w:r w:rsidR="00BF6528">
        <w:t xml:space="preserve">further </w:t>
      </w:r>
      <w:r w:rsidR="008E6DA1">
        <w:t>clarified</w:t>
      </w:r>
      <w:r w:rsidR="002D1454" w:rsidRPr="005D699B">
        <w:t xml:space="preserve"> that</w:t>
      </w:r>
      <w:r w:rsidR="0071122F">
        <w:t>:</w:t>
      </w:r>
    </w:p>
    <w:p w14:paraId="2DC6ECFC" w14:textId="77777777" w:rsidR="0071122F" w:rsidRDefault="0071122F" w:rsidP="0071122F">
      <w:pPr>
        <w:pStyle w:val="ListParagraph"/>
      </w:pPr>
    </w:p>
    <w:p w14:paraId="5964D676" w14:textId="752D5DCD" w:rsidR="003B7F19" w:rsidRPr="005D699B" w:rsidRDefault="00A23709" w:rsidP="00A23709">
      <w:pPr>
        <w:pStyle w:val="Quote"/>
      </w:pPr>
      <w:r>
        <w:t>a person’s image constitutes one of the chief attributes of his or her [or their] personality, as it reveals the person’s unique characteristics and distinguishes the person from his or her [or their] peers. The right to protection of one’s image is thus one of the essential components of personal development. It mainly presupposes the individual’s right to control the use of that image, including the right to refuse publication</w:t>
      </w:r>
      <w:r w:rsidR="002D1454" w:rsidRPr="005D699B">
        <w:t>.</w:t>
      </w:r>
      <w:r w:rsidR="00265DE2" w:rsidRPr="005D699B">
        <w:rPr>
          <w:rStyle w:val="FootnoteReference"/>
        </w:rPr>
        <w:footnoteReference w:id="46"/>
      </w:r>
    </w:p>
    <w:p w14:paraId="6A45E233" w14:textId="77777777" w:rsidR="00B73F64" w:rsidRPr="005D699B" w:rsidRDefault="00B73F64" w:rsidP="005D699B"/>
    <w:p w14:paraId="39F3D80C" w14:textId="0A7C37EE" w:rsidR="001D4DC3" w:rsidRDefault="001D4DC3" w:rsidP="0063489A">
      <w:pPr>
        <w:pStyle w:val="ListParagraph"/>
        <w:numPr>
          <w:ilvl w:val="1"/>
          <w:numId w:val="38"/>
        </w:numPr>
        <w:contextualSpacing w:val="0"/>
      </w:pPr>
      <w:r>
        <w:t>Furthermore, n</w:t>
      </w:r>
      <w:r w:rsidRPr="005D699B">
        <w:t>on-consensual sexually explicit deepfakes can</w:t>
      </w:r>
      <w:r>
        <w:t xml:space="preserve"> </w:t>
      </w:r>
      <w:r w:rsidRPr="005D699B">
        <w:t xml:space="preserve">restrict </w:t>
      </w:r>
      <w:r>
        <w:t>a victim’s</w:t>
      </w:r>
      <w:r w:rsidRPr="005D699B">
        <w:t xml:space="preserve"> freedom of expression under Article 10 of the ECHR.</w:t>
      </w:r>
      <w:r>
        <w:t xml:space="preserve"> This includes:</w:t>
      </w:r>
    </w:p>
    <w:p w14:paraId="5AB41355" w14:textId="77777777" w:rsidR="001D4DC3" w:rsidRDefault="001D4DC3" w:rsidP="001D4DC3">
      <w:pPr>
        <w:pStyle w:val="ListParagraph"/>
      </w:pPr>
    </w:p>
    <w:p w14:paraId="49568EF4" w14:textId="77777777" w:rsidR="001D4DC3" w:rsidRDefault="001D4DC3" w:rsidP="001D4DC3">
      <w:pPr>
        <w:pStyle w:val="Quote"/>
      </w:pPr>
      <w:r>
        <w:t>freedom of artistic expression – notably within freedom to receive and impart information and ideas – which affords the opportunity to take part in the public exchange of cultural, perform, distribute or exhibit works of art contribute to the exchange of ideas and opinions which is essential for a democratic society… It must be remembered that Article 10 [of the ECHR] protects not only the substance of the ideas and information expressed but also the form in which they are conveyed.</w:t>
      </w:r>
      <w:r w:rsidRPr="005D699B">
        <w:rPr>
          <w:rStyle w:val="FootnoteReference"/>
        </w:rPr>
        <w:footnoteReference w:id="47"/>
      </w:r>
      <w:r w:rsidRPr="005D699B">
        <w:t xml:space="preserve"> </w:t>
      </w:r>
    </w:p>
    <w:p w14:paraId="18B6EFC6" w14:textId="77777777" w:rsidR="001D4DC3" w:rsidRDefault="001D4DC3" w:rsidP="001D4DC3">
      <w:pPr>
        <w:pStyle w:val="ListParagraph"/>
      </w:pPr>
    </w:p>
    <w:p w14:paraId="2634281E" w14:textId="3D193D32" w:rsidR="001D4DC3" w:rsidRDefault="001D4DC3" w:rsidP="0063489A">
      <w:pPr>
        <w:pStyle w:val="ListParagraph"/>
        <w:numPr>
          <w:ilvl w:val="1"/>
          <w:numId w:val="38"/>
        </w:numPr>
        <w:contextualSpacing w:val="0"/>
      </w:pPr>
      <w:r w:rsidRPr="005D699B">
        <w:t xml:space="preserve">Article 10 </w:t>
      </w:r>
      <w:r>
        <w:t xml:space="preserve">of the ECHR </w:t>
      </w:r>
      <w:r w:rsidRPr="005D699B">
        <w:t xml:space="preserve">may require States to </w:t>
      </w:r>
      <w:r>
        <w:t>“</w:t>
      </w:r>
      <w:r w:rsidRPr="005D699B">
        <w:t>create</w:t>
      </w:r>
      <w:r>
        <w:t>…</w:t>
      </w:r>
      <w:r w:rsidRPr="005D699B">
        <w:t xml:space="preserve"> a favourable environment for participation in public debate of all </w:t>
      </w:r>
      <w:r>
        <w:t>persons</w:t>
      </w:r>
      <w:r w:rsidRPr="005D699B">
        <w:t xml:space="preserve"> concerned, enabling them to express their opinions and ideas without fear</w:t>
      </w:r>
      <w:r>
        <w:t>”</w:t>
      </w:r>
      <w:r w:rsidRPr="005D699B">
        <w:t>.</w:t>
      </w:r>
      <w:r w:rsidRPr="005D699B">
        <w:rPr>
          <w:rStyle w:val="FootnoteReference"/>
        </w:rPr>
        <w:footnoteReference w:id="48"/>
      </w:r>
      <w:r w:rsidRPr="005D699B">
        <w:t xml:space="preserve"> Research shows that </w:t>
      </w:r>
      <w:r>
        <w:t xml:space="preserve">women are often the main target of </w:t>
      </w:r>
      <w:r w:rsidRPr="005D699B">
        <w:t>non-consensual sexually explicit deepfakes</w:t>
      </w:r>
      <w:r w:rsidRPr="005D699B">
        <w:rPr>
          <w:rStyle w:val="FootnoteReference"/>
        </w:rPr>
        <w:footnoteReference w:id="49"/>
      </w:r>
      <w:r w:rsidRPr="005D699B">
        <w:t xml:space="preserve"> </w:t>
      </w:r>
      <w:r>
        <w:t xml:space="preserve">and that such deepfakes </w:t>
      </w:r>
      <w:r w:rsidRPr="005D699B">
        <w:t xml:space="preserve">can be weaponised </w:t>
      </w:r>
      <w:r>
        <w:t xml:space="preserve">with a view </w:t>
      </w:r>
      <w:r w:rsidRPr="005D699B">
        <w:t>to intimidat</w:t>
      </w:r>
      <w:r>
        <w:t>ing</w:t>
      </w:r>
      <w:r w:rsidRPr="005D699B">
        <w:t xml:space="preserve">, </w:t>
      </w:r>
      <w:r w:rsidRPr="005D699B">
        <w:lastRenderedPageBreak/>
        <w:t>discredit</w:t>
      </w:r>
      <w:r>
        <w:t>ing</w:t>
      </w:r>
      <w:r w:rsidRPr="005D699B">
        <w:t xml:space="preserve"> and silenc</w:t>
      </w:r>
      <w:r>
        <w:t>ing</w:t>
      </w:r>
      <w:r w:rsidRPr="005D699B">
        <w:t xml:space="preserve"> </w:t>
      </w:r>
      <w:r>
        <w:t>the victim</w:t>
      </w:r>
      <w:r w:rsidRPr="005D699B">
        <w:t>.</w:t>
      </w:r>
      <w:r w:rsidRPr="005D699B">
        <w:rPr>
          <w:rStyle w:val="FootnoteReference"/>
        </w:rPr>
        <w:footnoteReference w:id="50"/>
      </w:r>
      <w:r w:rsidRPr="005D699B">
        <w:t xml:space="preserve"> </w:t>
      </w:r>
      <w:r>
        <w:t>For example, n</w:t>
      </w:r>
      <w:r w:rsidRPr="005D699B">
        <w:t xml:space="preserve">on-consensual sexually explicit deepfakes </w:t>
      </w:r>
      <w:r>
        <w:t xml:space="preserve">can </w:t>
      </w:r>
      <w:r w:rsidRPr="005D699B">
        <w:t xml:space="preserve">have a </w:t>
      </w:r>
      <w:r>
        <w:t>“</w:t>
      </w:r>
      <w:r w:rsidRPr="005D699B">
        <w:t>silencing effect</w:t>
      </w:r>
      <w:r>
        <w:t>”</w:t>
      </w:r>
      <w:r w:rsidRPr="005D699B">
        <w:t xml:space="preserve"> </w:t>
      </w:r>
      <w:r>
        <w:t>with</w:t>
      </w:r>
      <w:r w:rsidRPr="005D699B">
        <w:t xml:space="preserve"> victims self-censor</w:t>
      </w:r>
      <w:r>
        <w:t>ing</w:t>
      </w:r>
      <w:r w:rsidRPr="005D699B">
        <w:t xml:space="preserve"> and feel</w:t>
      </w:r>
      <w:r>
        <w:t>ing</w:t>
      </w:r>
      <w:r w:rsidRPr="005D699B">
        <w:t xml:space="preserve"> discouraged from engaging in public debate and online activity</w:t>
      </w:r>
      <w:r>
        <w:t>,</w:t>
      </w:r>
      <w:r w:rsidRPr="005D699B">
        <w:t xml:space="preserve"> </w:t>
      </w:r>
      <w:r>
        <w:t>due to a fear that</w:t>
      </w:r>
      <w:r w:rsidRPr="005D699B">
        <w:t xml:space="preserve"> these images will be created and shared.</w:t>
      </w:r>
      <w:r w:rsidRPr="005D699B">
        <w:rPr>
          <w:rStyle w:val="FootnoteReference"/>
        </w:rPr>
        <w:footnoteReference w:id="51"/>
      </w:r>
      <w:r w:rsidRPr="005D699B">
        <w:t xml:space="preserve"> </w:t>
      </w:r>
      <w:r>
        <w:t>In NI, t</w:t>
      </w:r>
      <w:r w:rsidRPr="005D699B">
        <w:t xml:space="preserve">here are several documented cases of women journalists and politicians who have </w:t>
      </w:r>
      <w:r>
        <w:t>experienced</w:t>
      </w:r>
      <w:r w:rsidRPr="005D699B">
        <w:t xml:space="preserve"> the publication of deepfakes with their image in the context of reporting on issues of public interest, or during political campaigns.</w:t>
      </w:r>
      <w:r w:rsidRPr="005D699B">
        <w:rPr>
          <w:rStyle w:val="FootnoteReference"/>
        </w:rPr>
        <w:footnoteReference w:id="52"/>
      </w:r>
      <w:r w:rsidRPr="005D699B">
        <w:t xml:space="preserve"> In the case of </w:t>
      </w:r>
      <w:r w:rsidRPr="000C676E">
        <w:rPr>
          <w:i/>
          <w:iCs/>
        </w:rPr>
        <w:t xml:space="preserve">Khadija Ismayilova v Azerbaijan </w:t>
      </w:r>
      <w:r>
        <w:t>(2019)</w:t>
      </w:r>
      <w:r w:rsidRPr="005D699B">
        <w:t>, the ECtHR found a violation of Articles 8 and 10 of the ECHR for the State's failure to protect the applicant when intimate videos of her recorded covertly were disseminated online in an attempt to intimidate her.</w:t>
      </w:r>
      <w:r w:rsidRPr="005D699B">
        <w:rPr>
          <w:rStyle w:val="FootnoteReference"/>
        </w:rPr>
        <w:footnoteReference w:id="53"/>
      </w:r>
      <w:r w:rsidRPr="005D699B">
        <w:t xml:space="preserve"> </w:t>
      </w:r>
    </w:p>
    <w:p w14:paraId="4C158D49" w14:textId="77777777" w:rsidR="001D4DC3" w:rsidRDefault="001D4DC3" w:rsidP="001D4DC3">
      <w:pPr>
        <w:pStyle w:val="ListParagraph"/>
        <w:contextualSpacing w:val="0"/>
      </w:pPr>
    </w:p>
    <w:p w14:paraId="548128E0" w14:textId="76729E69" w:rsidR="009C7F1E" w:rsidRPr="005D699B" w:rsidRDefault="0053378D" w:rsidP="0063489A">
      <w:pPr>
        <w:pStyle w:val="ListParagraph"/>
        <w:numPr>
          <w:ilvl w:val="1"/>
          <w:numId w:val="38"/>
        </w:numPr>
        <w:contextualSpacing w:val="0"/>
      </w:pPr>
      <w:r w:rsidRPr="005D699B">
        <w:t>The Department</w:t>
      </w:r>
      <w:r w:rsidR="00C71A17" w:rsidRPr="005D699B">
        <w:t xml:space="preserve"> </w:t>
      </w:r>
      <w:r w:rsidR="00C71A17" w:rsidRPr="005D699B">
        <w:rPr>
          <w:color w:val="000000" w:themeColor="text1"/>
        </w:rPr>
        <w:t>of Justice</w:t>
      </w:r>
      <w:r w:rsidR="00B43495" w:rsidRPr="005D699B">
        <w:t xml:space="preserve"> considers </w:t>
      </w:r>
      <w:r w:rsidR="00145CD5" w:rsidRPr="005D699B">
        <w:t>the</w:t>
      </w:r>
      <w:r w:rsidR="00BF2FD3" w:rsidRPr="005D699B">
        <w:t xml:space="preserve"> proposed restrictions on freedom of expression </w:t>
      </w:r>
      <w:r w:rsidR="0053524A" w:rsidRPr="005D699B">
        <w:t xml:space="preserve">compatible with Article 10 </w:t>
      </w:r>
      <w:r w:rsidR="00307E5B">
        <w:t xml:space="preserve">of the ECHR </w:t>
      </w:r>
      <w:r w:rsidR="0053524A" w:rsidRPr="005D699B">
        <w:t xml:space="preserve">and justified </w:t>
      </w:r>
      <w:r w:rsidR="007E7D8F" w:rsidRPr="005D699B">
        <w:t>as necessary and</w:t>
      </w:r>
      <w:r w:rsidR="00223A70" w:rsidRPr="005D699B">
        <w:t xml:space="preserve"> proportionate</w:t>
      </w:r>
      <w:r w:rsidR="007E7D8F" w:rsidRPr="005D699B">
        <w:t xml:space="preserve"> measures to </w:t>
      </w:r>
      <w:r w:rsidR="00223A70" w:rsidRPr="005D699B">
        <w:t xml:space="preserve">protect individuals from the harms caused by </w:t>
      </w:r>
      <w:r w:rsidR="006C4272" w:rsidRPr="005D699B">
        <w:t xml:space="preserve">non-consensual </w:t>
      </w:r>
      <w:r w:rsidR="00223A70" w:rsidRPr="005D699B">
        <w:t>sexually explicit deepfake images.</w:t>
      </w:r>
      <w:r w:rsidR="000B7CCD" w:rsidRPr="005D699B">
        <w:rPr>
          <w:rStyle w:val="FootnoteReference"/>
        </w:rPr>
        <w:footnoteReference w:id="54"/>
      </w:r>
    </w:p>
    <w:p w14:paraId="02980BCD" w14:textId="77777777" w:rsidR="00B73F64" w:rsidRPr="005D699B" w:rsidRDefault="00B73F64" w:rsidP="005D699B">
      <w:pPr>
        <w:pStyle w:val="ListParagraph"/>
        <w:contextualSpacing w:val="0"/>
      </w:pPr>
    </w:p>
    <w:p w14:paraId="18B0AC5E" w14:textId="375A7F59" w:rsidR="003C73B6" w:rsidRPr="005D699B" w:rsidRDefault="00554768" w:rsidP="0063489A">
      <w:pPr>
        <w:pStyle w:val="ListParagraph"/>
        <w:numPr>
          <w:ilvl w:val="1"/>
          <w:numId w:val="38"/>
        </w:numPr>
      </w:pPr>
      <w:r>
        <w:t>Based on the</w:t>
      </w:r>
      <w:r w:rsidR="474F491F">
        <w:t xml:space="preserve"> information provided in the consultation document</w:t>
      </w:r>
      <w:r w:rsidR="00B6287A">
        <w:t>, the NIHRC has no concerns</w:t>
      </w:r>
      <w:r w:rsidR="00D8722E">
        <w:t xml:space="preserve"> with th</w:t>
      </w:r>
      <w:r w:rsidR="00045509">
        <w:t>e Department</w:t>
      </w:r>
      <w:r w:rsidR="00C71A17">
        <w:t xml:space="preserve"> </w:t>
      </w:r>
      <w:r w:rsidR="00C71A17" w:rsidRPr="3C64A035">
        <w:rPr>
          <w:color w:val="000000" w:themeColor="text1"/>
        </w:rPr>
        <w:t>of Justice</w:t>
      </w:r>
      <w:r w:rsidR="00045509">
        <w:t>’s</w:t>
      </w:r>
      <w:r w:rsidR="00D8722E">
        <w:t xml:space="preserve"> assessment</w:t>
      </w:r>
      <w:r w:rsidR="00B43495">
        <w:t xml:space="preserve"> of </w:t>
      </w:r>
      <w:r w:rsidR="006C4272">
        <w:t xml:space="preserve">the proposed offences’ </w:t>
      </w:r>
      <w:r w:rsidR="00B43495">
        <w:t xml:space="preserve">restrictions </w:t>
      </w:r>
      <w:r w:rsidR="006C4272">
        <w:t>on</w:t>
      </w:r>
      <w:r w:rsidR="00B43495">
        <w:t xml:space="preserve"> Articles 8 and 10 </w:t>
      </w:r>
      <w:r w:rsidR="00411C3B">
        <w:t xml:space="preserve">of the </w:t>
      </w:r>
      <w:r w:rsidR="00B43495">
        <w:t>ECHR</w:t>
      </w:r>
      <w:r w:rsidR="00D8722E">
        <w:t>. However, the Department</w:t>
      </w:r>
      <w:r w:rsidR="00C71A17">
        <w:t xml:space="preserve"> </w:t>
      </w:r>
      <w:r w:rsidR="00C71A17" w:rsidRPr="3C64A035">
        <w:rPr>
          <w:color w:val="000000" w:themeColor="text1"/>
        </w:rPr>
        <w:t>of Justice</w:t>
      </w:r>
      <w:r w:rsidR="00D8722E">
        <w:t xml:space="preserve"> needs to satisfy itself </w:t>
      </w:r>
      <w:r w:rsidR="00494849">
        <w:t>that the proposals strike a fair balance</w:t>
      </w:r>
      <w:r w:rsidR="008226D4">
        <w:t xml:space="preserve"> </w:t>
      </w:r>
      <w:r w:rsidR="00422402">
        <w:t xml:space="preserve">between the interests and rights at stake, both </w:t>
      </w:r>
      <w:r w:rsidR="008226D4">
        <w:t xml:space="preserve">at the time of introducing the offences into </w:t>
      </w:r>
      <w:r w:rsidR="37C1E516">
        <w:t>a</w:t>
      </w:r>
      <w:r w:rsidR="008226D4">
        <w:t xml:space="preserve"> Justice Bill and </w:t>
      </w:r>
      <w:r w:rsidR="00B6287A">
        <w:t xml:space="preserve">in </w:t>
      </w:r>
      <w:r w:rsidR="00B2382F">
        <w:t>the event of any amendments made during its passage</w:t>
      </w:r>
      <w:r w:rsidR="00B6287A">
        <w:t xml:space="preserve"> through the </w:t>
      </w:r>
      <w:r w:rsidR="00307E5B">
        <w:t xml:space="preserve">NI </w:t>
      </w:r>
      <w:r w:rsidR="00B6287A">
        <w:t>Assembly.</w:t>
      </w:r>
    </w:p>
    <w:p w14:paraId="6F6FED8D" w14:textId="77777777" w:rsidR="00B73F64" w:rsidRPr="005D699B" w:rsidRDefault="00B73F64" w:rsidP="005D699B">
      <w:pPr>
        <w:pStyle w:val="ListParagraph"/>
        <w:contextualSpacing w:val="0"/>
      </w:pPr>
    </w:p>
    <w:p w14:paraId="5EC79B0B" w14:textId="77777777" w:rsidR="005025E7" w:rsidRDefault="00521656" w:rsidP="0063489A">
      <w:pPr>
        <w:pStyle w:val="ListParagraph"/>
        <w:numPr>
          <w:ilvl w:val="1"/>
          <w:numId w:val="38"/>
        </w:numPr>
        <w:contextualSpacing w:val="0"/>
      </w:pPr>
      <w:r w:rsidRPr="005D699B">
        <w:t xml:space="preserve">Criminal offences that could </w:t>
      </w:r>
      <w:r w:rsidR="00211160" w:rsidRPr="005D699B">
        <w:t>attract</w:t>
      </w:r>
      <w:r w:rsidRPr="005D699B">
        <w:t xml:space="preserve"> prison penalties </w:t>
      </w:r>
      <w:r w:rsidR="00211160" w:rsidRPr="005D699B">
        <w:t>also engage</w:t>
      </w:r>
      <w:r w:rsidR="005062F0" w:rsidRPr="005D699B">
        <w:t xml:space="preserve"> Articles 5 and 7</w:t>
      </w:r>
      <w:r w:rsidR="004E07CF" w:rsidRPr="005D699B">
        <w:t xml:space="preserve"> </w:t>
      </w:r>
      <w:r w:rsidR="004B2F23" w:rsidRPr="005D699B">
        <w:t>of the ECHR</w:t>
      </w:r>
      <w:r w:rsidR="005062F0" w:rsidRPr="005D699B">
        <w:t xml:space="preserve">. Article 5 </w:t>
      </w:r>
      <w:r w:rsidR="00307E5B">
        <w:t xml:space="preserve">of the ECHR </w:t>
      </w:r>
      <w:r w:rsidR="005062F0" w:rsidRPr="005D699B">
        <w:t xml:space="preserve">includes the </w:t>
      </w:r>
      <w:r w:rsidR="005062F0" w:rsidRPr="005D699B">
        <w:lastRenderedPageBreak/>
        <w:t>principle of legal certainty</w:t>
      </w:r>
      <w:r w:rsidR="00D440E0">
        <w:t>, clarifying that it is not only about the existence of a law, but the “quality of the law”</w:t>
      </w:r>
      <w:r w:rsidR="005062F0" w:rsidRPr="005D699B">
        <w:t>.</w:t>
      </w:r>
      <w:r w:rsidR="003476DA" w:rsidRPr="005D699B">
        <w:rPr>
          <w:rStyle w:val="FootnoteReference"/>
        </w:rPr>
        <w:footnoteReference w:id="55"/>
      </w:r>
      <w:r w:rsidR="00D440E0">
        <w:t xml:space="preserve"> </w:t>
      </w:r>
      <w:r w:rsidR="005025E7">
        <w:t>Thus:</w:t>
      </w:r>
    </w:p>
    <w:p w14:paraId="2A93ED1C" w14:textId="77777777" w:rsidR="005025E7" w:rsidRDefault="005025E7" w:rsidP="005025E7">
      <w:pPr>
        <w:pStyle w:val="ListParagraph"/>
      </w:pPr>
    </w:p>
    <w:p w14:paraId="0D9A99FE" w14:textId="10A378B8" w:rsidR="00874B95" w:rsidRPr="005D699B" w:rsidRDefault="005025E7" w:rsidP="00E87D0A">
      <w:pPr>
        <w:pStyle w:val="Quote"/>
      </w:pPr>
      <w:r>
        <w:t>the ‘quality of law’ implies that where a national law authorises a deprivation of liberty</w:t>
      </w:r>
      <w:r w:rsidR="00D153FA">
        <w:t>, it must be sufficiently accessible, precise and foreseeable in its application to avoid all risk of arbitrariness. The standard of ‘lawfulness’ set by the [ECHR]… requires that all law be sufficiently precise to allow the person</w:t>
      </w:r>
      <w:r w:rsidR="00E87D0A">
        <w:t xml:space="preserve"> – if need be, with appropriate advice – to foresee, to a degree that is reasonable in the circumstances, the consequences which a given action may entail.</w:t>
      </w:r>
      <w:r w:rsidR="00E87D0A" w:rsidRPr="005D699B">
        <w:rPr>
          <w:rStyle w:val="FootnoteReference"/>
        </w:rPr>
        <w:footnoteReference w:id="56"/>
      </w:r>
      <w:r w:rsidR="00211160" w:rsidRPr="005D699B">
        <w:t xml:space="preserve"> </w:t>
      </w:r>
    </w:p>
    <w:p w14:paraId="4C6EAF41" w14:textId="77777777" w:rsidR="00B73F64" w:rsidRPr="005D699B" w:rsidRDefault="00B73F64" w:rsidP="005D699B">
      <w:pPr>
        <w:pStyle w:val="ListParagraph"/>
        <w:contextualSpacing w:val="0"/>
      </w:pPr>
    </w:p>
    <w:p w14:paraId="32DC65D8" w14:textId="77777777" w:rsidR="008F4E2A" w:rsidRDefault="002E08F6" w:rsidP="0063489A">
      <w:pPr>
        <w:pStyle w:val="ListParagraph"/>
        <w:numPr>
          <w:ilvl w:val="1"/>
          <w:numId w:val="38"/>
        </w:numPr>
        <w:contextualSpacing w:val="0"/>
      </w:pPr>
      <w:r>
        <w:t>The UN Human Rights Committee has also stated that “</w:t>
      </w:r>
      <w:r w:rsidR="008F4E2A">
        <w:t>any substantive grounds for arrest or detention must be prescribed by law and should be defined with sufficient precision to avoid overly broad or arbitrary interpretation or application”.</w:t>
      </w:r>
      <w:r w:rsidR="008F4E2A">
        <w:rPr>
          <w:rStyle w:val="FootnoteReference"/>
        </w:rPr>
        <w:footnoteReference w:id="57"/>
      </w:r>
      <w:r w:rsidR="008F4E2A">
        <w:t xml:space="preserve"> </w:t>
      </w:r>
    </w:p>
    <w:p w14:paraId="2EFFA991" w14:textId="77777777" w:rsidR="008F4E2A" w:rsidRDefault="008F4E2A" w:rsidP="008F4E2A">
      <w:pPr>
        <w:pStyle w:val="ListParagraph"/>
        <w:contextualSpacing w:val="0"/>
      </w:pPr>
    </w:p>
    <w:p w14:paraId="0BDC245D" w14:textId="606E2340" w:rsidR="00E87D0A" w:rsidRDefault="00E87D0A" w:rsidP="0063489A">
      <w:pPr>
        <w:pStyle w:val="ListParagraph"/>
        <w:numPr>
          <w:ilvl w:val="1"/>
          <w:numId w:val="38"/>
        </w:numPr>
        <w:contextualSpacing w:val="0"/>
      </w:pPr>
      <w:r>
        <w:t xml:space="preserve">While the above </w:t>
      </w:r>
      <w:r w:rsidR="00C253FC">
        <w:t>focuses</w:t>
      </w:r>
      <w:r>
        <w:t xml:space="preserve"> on a deprivation of liberty scenario, the </w:t>
      </w:r>
      <w:r w:rsidR="008F4E2A">
        <w:t>obligations</w:t>
      </w:r>
      <w:r w:rsidR="00805F78">
        <w:t xml:space="preserve"> outlined are beneficial in the broader context of understanding the principle of legal certainty.</w:t>
      </w:r>
    </w:p>
    <w:p w14:paraId="1D74C827" w14:textId="77777777" w:rsidR="00805F78" w:rsidRDefault="00805F78" w:rsidP="00805F78">
      <w:pPr>
        <w:pStyle w:val="ListParagraph"/>
        <w:contextualSpacing w:val="0"/>
      </w:pPr>
    </w:p>
    <w:p w14:paraId="269AD95B" w14:textId="2939669A" w:rsidR="00E724FC" w:rsidRPr="005D699B" w:rsidRDefault="003A741E" w:rsidP="0063489A">
      <w:pPr>
        <w:pStyle w:val="ListParagraph"/>
        <w:numPr>
          <w:ilvl w:val="1"/>
          <w:numId w:val="38"/>
        </w:numPr>
        <w:contextualSpacing w:val="0"/>
      </w:pPr>
      <w:r w:rsidRPr="005D699B">
        <w:t>Criminal offences must also comply with Article 7</w:t>
      </w:r>
      <w:r w:rsidR="007B4F41">
        <w:t xml:space="preserve"> of the ECHR</w:t>
      </w:r>
      <w:r w:rsidRPr="005D699B">
        <w:t xml:space="preserve">, which requires offences and penalties </w:t>
      </w:r>
      <w:r w:rsidR="00905C98" w:rsidRPr="005D699B">
        <w:t xml:space="preserve">to </w:t>
      </w:r>
      <w:r w:rsidRPr="005D699B">
        <w:t xml:space="preserve">be clearly defined by law. </w:t>
      </w:r>
      <w:r w:rsidR="001F0A72" w:rsidRPr="005D699B">
        <w:t>Offences’ d</w:t>
      </w:r>
      <w:r w:rsidRPr="005D699B">
        <w:t xml:space="preserve">efinitions and penalties must also be </w:t>
      </w:r>
      <w:r w:rsidR="000B063F">
        <w:t>“reasonably</w:t>
      </w:r>
      <w:r w:rsidR="004B75A3">
        <w:t>…</w:t>
      </w:r>
      <w:r w:rsidRPr="005D699B">
        <w:t xml:space="preserve"> foresee</w:t>
      </w:r>
      <w:r w:rsidR="000B063F">
        <w:t>n”</w:t>
      </w:r>
      <w:r w:rsidRPr="005D699B">
        <w:t>.</w:t>
      </w:r>
      <w:r w:rsidR="001F0A72" w:rsidRPr="005D699B">
        <w:rPr>
          <w:rStyle w:val="FootnoteReference"/>
        </w:rPr>
        <w:footnoteReference w:id="58"/>
      </w:r>
      <w:r w:rsidR="00562648" w:rsidRPr="005D699B">
        <w:t xml:space="preserve"> The ECtHR </w:t>
      </w:r>
      <w:r w:rsidR="00F33939" w:rsidRPr="005D699B">
        <w:t>has stated that</w:t>
      </w:r>
      <w:r w:rsidR="00773E2C">
        <w:t>, under Article 7 of the ECHR,</w:t>
      </w:r>
      <w:r w:rsidR="00F33939" w:rsidRPr="005D699B">
        <w:t xml:space="preserve"> </w:t>
      </w:r>
      <w:r w:rsidR="0070233C">
        <w:t>‘</w:t>
      </w:r>
      <w:r w:rsidR="00F33939" w:rsidRPr="005D699B">
        <w:t>quality of law</w:t>
      </w:r>
      <w:r w:rsidR="0070233C">
        <w:t>’</w:t>
      </w:r>
      <w:r w:rsidR="00F33939" w:rsidRPr="005D699B">
        <w:t xml:space="preserve"> </w:t>
      </w:r>
      <w:r w:rsidR="0070233C">
        <w:t xml:space="preserve">is a key consideration </w:t>
      </w:r>
      <w:r w:rsidR="00F33939" w:rsidRPr="005D699B">
        <w:t>regarding offence definitions and penalties.</w:t>
      </w:r>
      <w:r w:rsidR="00F33939" w:rsidRPr="005D699B">
        <w:rPr>
          <w:rStyle w:val="FootnoteReference"/>
        </w:rPr>
        <w:footnoteReference w:id="59"/>
      </w:r>
      <w:r w:rsidR="003F1647">
        <w:t xml:space="preserve"> This requires </w:t>
      </w:r>
      <w:r w:rsidR="003A482F">
        <w:t xml:space="preserve">law to have </w:t>
      </w:r>
      <w:r w:rsidR="003F1647">
        <w:t xml:space="preserve">“sufficient precision as to enable the </w:t>
      </w:r>
      <w:r w:rsidR="003A482F">
        <w:t>[individual]…</w:t>
      </w:r>
      <w:r w:rsidR="003F1647">
        <w:t xml:space="preserve"> to discern, even with appropriate advice, to a degree that was reasonable in the circumstances</w:t>
      </w:r>
      <w:r w:rsidR="003A482F">
        <w:t>”.</w:t>
      </w:r>
      <w:r w:rsidR="003A482F" w:rsidRPr="005D699B">
        <w:rPr>
          <w:rStyle w:val="FootnoteReference"/>
        </w:rPr>
        <w:footnoteReference w:id="60"/>
      </w:r>
    </w:p>
    <w:p w14:paraId="29B0B01B" w14:textId="77777777" w:rsidR="00B73F64" w:rsidRPr="005D699B" w:rsidRDefault="00B73F64" w:rsidP="005D699B">
      <w:pPr>
        <w:pStyle w:val="ListParagraph"/>
        <w:contextualSpacing w:val="0"/>
      </w:pPr>
    </w:p>
    <w:p w14:paraId="053B4BD2" w14:textId="0582039E" w:rsidR="00B73F64" w:rsidRPr="005D699B" w:rsidRDefault="00C836A8" w:rsidP="0063489A">
      <w:pPr>
        <w:pStyle w:val="ListParagraph"/>
        <w:numPr>
          <w:ilvl w:val="1"/>
          <w:numId w:val="38"/>
        </w:numPr>
        <w:contextualSpacing w:val="0"/>
      </w:pPr>
      <w:r w:rsidRPr="005D699B">
        <w:lastRenderedPageBreak/>
        <w:t xml:space="preserve">This </w:t>
      </w:r>
      <w:r w:rsidR="005132DB" w:rsidRPr="005D699B">
        <w:t>would be</w:t>
      </w:r>
      <w:r w:rsidRPr="005D699B">
        <w:t xml:space="preserve"> the first time</w:t>
      </w:r>
      <w:r w:rsidR="00D86320" w:rsidRPr="005D699B">
        <w:t xml:space="preserve"> this type of </w:t>
      </w:r>
      <w:r w:rsidR="005132DB" w:rsidRPr="005D699B">
        <w:t>image-based sexual abuse</w:t>
      </w:r>
      <w:r w:rsidR="006C649A" w:rsidRPr="005D699B">
        <w:t xml:space="preserve"> </w:t>
      </w:r>
      <w:r w:rsidR="00EA6776">
        <w:t>is</w:t>
      </w:r>
      <w:r w:rsidR="006C649A" w:rsidRPr="005D699B">
        <w:t xml:space="preserve"> criminalised in NI</w:t>
      </w:r>
      <w:r w:rsidR="00BA4AFC" w:rsidRPr="005D699B">
        <w:t>.</w:t>
      </w:r>
      <w:r w:rsidR="006C649A" w:rsidRPr="005D699B">
        <w:t xml:space="preserve"> </w:t>
      </w:r>
      <w:r w:rsidR="001E5073" w:rsidRPr="005D699B">
        <w:t>In line with the obligations of Articles 5 and 7 of the E</w:t>
      </w:r>
      <w:r w:rsidR="005132DB" w:rsidRPr="005D699B">
        <w:t>CHR</w:t>
      </w:r>
      <w:r w:rsidR="001E5073" w:rsidRPr="005D699B">
        <w:t>, t</w:t>
      </w:r>
      <w:r w:rsidR="00BA4AFC" w:rsidRPr="005D699B">
        <w:t>he</w:t>
      </w:r>
      <w:r w:rsidR="006C649A" w:rsidRPr="005D699B">
        <w:t xml:space="preserve"> Department</w:t>
      </w:r>
      <w:r w:rsidR="00C71A17" w:rsidRPr="005D699B">
        <w:t xml:space="preserve"> </w:t>
      </w:r>
      <w:r w:rsidR="00C71A17" w:rsidRPr="005D699B">
        <w:rPr>
          <w:color w:val="000000" w:themeColor="text1"/>
        </w:rPr>
        <w:t>of Justice</w:t>
      </w:r>
      <w:r w:rsidR="006C649A" w:rsidRPr="005D699B">
        <w:t xml:space="preserve"> </w:t>
      </w:r>
      <w:r w:rsidR="00B34ED6" w:rsidRPr="005D699B">
        <w:t>needs to ensure the law is clear and accessible</w:t>
      </w:r>
      <w:r w:rsidR="00DE3D9B">
        <w:t xml:space="preserve">, with a view to </w:t>
      </w:r>
      <w:r w:rsidR="00A4514C" w:rsidRPr="005D699B">
        <w:t>individuals</w:t>
      </w:r>
      <w:r w:rsidR="00BA4AFC" w:rsidRPr="005D699B">
        <w:t xml:space="preserve"> </w:t>
      </w:r>
      <w:r w:rsidR="00DE3D9B">
        <w:t>being</w:t>
      </w:r>
      <w:r w:rsidR="00A4514C" w:rsidRPr="005D699B">
        <w:t xml:space="preserve"> able to </w:t>
      </w:r>
      <w:r w:rsidR="00D765AE" w:rsidRPr="005D699B">
        <w:t>anticipate</w:t>
      </w:r>
      <w:r w:rsidR="00A4514C" w:rsidRPr="005D699B">
        <w:t xml:space="preserve"> the consequences</w:t>
      </w:r>
      <w:r w:rsidR="00D765AE" w:rsidRPr="005D699B">
        <w:t xml:space="preserve"> of their online activity</w:t>
      </w:r>
      <w:r w:rsidR="00883D42" w:rsidRPr="005D699B">
        <w:t xml:space="preserve">, </w:t>
      </w:r>
      <w:r w:rsidR="00D40792" w:rsidRPr="005D699B">
        <w:t xml:space="preserve">and that </w:t>
      </w:r>
      <w:r w:rsidR="00F662B1" w:rsidRPr="005D699B">
        <w:t xml:space="preserve">the offences do not </w:t>
      </w:r>
      <w:r w:rsidR="000F548F" w:rsidRPr="005D699B">
        <w:t xml:space="preserve">unintentionally </w:t>
      </w:r>
      <w:r w:rsidR="001E5073" w:rsidRPr="005D699B">
        <w:t>catch</w:t>
      </w:r>
      <w:r w:rsidR="00F662B1" w:rsidRPr="005D699B">
        <w:t xml:space="preserve"> situations</w:t>
      </w:r>
      <w:r w:rsidR="001E5073" w:rsidRPr="005D699B">
        <w:t xml:space="preserve"> that should not be criminalised</w:t>
      </w:r>
      <w:r w:rsidR="00811029" w:rsidRPr="005D699B">
        <w:t xml:space="preserve"> (such as actions needed to report a crime)</w:t>
      </w:r>
      <w:r w:rsidR="001E5073" w:rsidRPr="005D699B">
        <w:t>.</w:t>
      </w:r>
      <w:r w:rsidR="00105563" w:rsidRPr="005D699B">
        <w:t xml:space="preserve"> The NIHRC has no general concerns with the </w:t>
      </w:r>
      <w:r w:rsidR="004E1981" w:rsidRPr="005D699B">
        <w:t xml:space="preserve">clarity of the proposed offences, notwithstanding some </w:t>
      </w:r>
      <w:r w:rsidR="00110F57" w:rsidRPr="005D699B">
        <w:t>specific issues</w:t>
      </w:r>
      <w:r w:rsidR="004E1981" w:rsidRPr="005D699B">
        <w:t xml:space="preserve"> </w:t>
      </w:r>
      <w:r w:rsidR="009623CB">
        <w:t>raised</w:t>
      </w:r>
      <w:r w:rsidR="005A26E1" w:rsidRPr="005D699B">
        <w:t xml:space="preserve"> below</w:t>
      </w:r>
      <w:r w:rsidR="00086989" w:rsidRPr="005D699B">
        <w:t>,</w:t>
      </w:r>
      <w:r w:rsidR="005A26E1" w:rsidRPr="005D699B">
        <w:t xml:space="preserve"> </w:t>
      </w:r>
      <w:r w:rsidR="009623CB">
        <w:t>particularly regarding</w:t>
      </w:r>
      <w:r w:rsidR="005A26E1" w:rsidRPr="005D699B">
        <w:t xml:space="preserve"> motives and </w:t>
      </w:r>
      <w:r w:rsidR="003763A7" w:rsidRPr="005D699B">
        <w:t xml:space="preserve">the definition of sexually explicit deepfake images. </w:t>
      </w:r>
    </w:p>
    <w:p w14:paraId="340B5D1A" w14:textId="5C3C0291" w:rsidR="009B3B93" w:rsidRPr="005D699B" w:rsidRDefault="00A4514C" w:rsidP="005D699B">
      <w:pPr>
        <w:pStyle w:val="ListParagraph"/>
        <w:contextualSpacing w:val="0"/>
      </w:pPr>
      <w:r w:rsidRPr="005D699B">
        <w:t xml:space="preserve"> </w:t>
      </w:r>
      <w:r w:rsidR="00B34ED6" w:rsidRPr="005D699B">
        <w:t xml:space="preserve"> </w:t>
      </w:r>
      <w:r w:rsidR="009B3B93" w:rsidRPr="005D699B">
        <w:t xml:space="preserve"> </w:t>
      </w:r>
    </w:p>
    <w:p w14:paraId="2CC7BEB1" w14:textId="5A2499EC" w:rsidR="000464ED" w:rsidRPr="005D699B" w:rsidRDefault="00B60319" w:rsidP="0063489A">
      <w:pPr>
        <w:pStyle w:val="ListParagraph"/>
        <w:numPr>
          <w:ilvl w:val="1"/>
          <w:numId w:val="38"/>
        </w:numPr>
        <w:contextualSpacing w:val="0"/>
      </w:pPr>
      <w:r>
        <w:t>Additionally</w:t>
      </w:r>
      <w:r w:rsidR="008D14BD" w:rsidRPr="005D699B">
        <w:t xml:space="preserve">, failure to </w:t>
      </w:r>
      <w:r w:rsidR="007B7B2F" w:rsidRPr="005D699B">
        <w:t xml:space="preserve">tackle image-based sexual abuse </w:t>
      </w:r>
      <w:r w:rsidR="006035B3" w:rsidRPr="005D699B">
        <w:t xml:space="preserve">effectively could engage </w:t>
      </w:r>
      <w:r w:rsidR="009623CB">
        <w:t xml:space="preserve">a </w:t>
      </w:r>
      <w:r w:rsidR="002764C0" w:rsidRPr="005D699B">
        <w:t>victim</w:t>
      </w:r>
      <w:r w:rsidR="009623CB">
        <w:t>’s rights under</w:t>
      </w:r>
      <w:r w:rsidR="006035B3" w:rsidRPr="005D699B">
        <w:t xml:space="preserve"> Article</w:t>
      </w:r>
      <w:r w:rsidR="009623CB">
        <w:t>s</w:t>
      </w:r>
      <w:r w:rsidR="006035B3" w:rsidRPr="005D699B">
        <w:t xml:space="preserve"> </w:t>
      </w:r>
      <w:r w:rsidR="00683D74" w:rsidRPr="005D699B">
        <w:t>3</w:t>
      </w:r>
      <w:r w:rsidR="005B6CC7" w:rsidRPr="005D699B">
        <w:t xml:space="preserve"> (freedom from torture</w:t>
      </w:r>
      <w:r w:rsidR="00E378F9" w:rsidRPr="005D699B">
        <w:t xml:space="preserve"> and ill treatment)</w:t>
      </w:r>
      <w:r w:rsidR="00683D74" w:rsidRPr="005D699B">
        <w:t>,</w:t>
      </w:r>
      <w:r w:rsidR="00B80CD9" w:rsidRPr="005D699B">
        <w:rPr>
          <w:rStyle w:val="FootnoteReference"/>
        </w:rPr>
        <w:footnoteReference w:id="61"/>
      </w:r>
      <w:r w:rsidR="00683D74" w:rsidRPr="005D699B">
        <w:t xml:space="preserve"> 13</w:t>
      </w:r>
      <w:r w:rsidR="00E378F9" w:rsidRPr="005D699B">
        <w:t xml:space="preserve"> (</w:t>
      </w:r>
      <w:r w:rsidR="005F7B4C" w:rsidRPr="005D699B">
        <w:t>right to an effective remedy)</w:t>
      </w:r>
      <w:r w:rsidR="000663BF" w:rsidRPr="005D699B">
        <w:rPr>
          <w:rStyle w:val="FootnoteReference"/>
        </w:rPr>
        <w:footnoteReference w:id="62"/>
      </w:r>
      <w:r w:rsidR="00683D74" w:rsidRPr="005D699B">
        <w:t xml:space="preserve"> and 14</w:t>
      </w:r>
      <w:r w:rsidR="00106E6C" w:rsidRPr="005D699B">
        <w:t xml:space="preserve"> (prohibition of discrimination)</w:t>
      </w:r>
      <w:r w:rsidR="003223A9" w:rsidRPr="005D699B">
        <w:rPr>
          <w:rStyle w:val="FootnoteReference"/>
        </w:rPr>
        <w:footnoteReference w:id="63"/>
      </w:r>
      <w:r w:rsidR="00683D74" w:rsidRPr="005D699B">
        <w:t xml:space="preserve"> </w:t>
      </w:r>
      <w:r w:rsidR="00EA4474" w:rsidRPr="005D699B">
        <w:t xml:space="preserve">of the </w:t>
      </w:r>
      <w:r w:rsidR="00683D74" w:rsidRPr="005D699B">
        <w:t>ECHR.</w:t>
      </w:r>
      <w:r w:rsidR="00720F7D" w:rsidRPr="005D699B">
        <w:t xml:space="preserve"> In extreme cases</w:t>
      </w:r>
      <w:r w:rsidR="00114398">
        <w:t xml:space="preserve"> that lead to a threat to life </w:t>
      </w:r>
      <w:r w:rsidR="008F3900">
        <w:t>or actual loss of life</w:t>
      </w:r>
      <w:r w:rsidR="00611950" w:rsidRPr="005D699B">
        <w:t xml:space="preserve">, it could </w:t>
      </w:r>
      <w:r w:rsidR="009623CB">
        <w:t xml:space="preserve">also </w:t>
      </w:r>
      <w:r w:rsidR="00611950" w:rsidRPr="005D699B">
        <w:t>engage Article 2 (right to life)</w:t>
      </w:r>
      <w:r w:rsidR="00EA4474" w:rsidRPr="005D699B">
        <w:t xml:space="preserve"> of the ECHR</w:t>
      </w:r>
      <w:r w:rsidR="00611950" w:rsidRPr="005D699B">
        <w:t>.</w:t>
      </w:r>
      <w:r w:rsidR="00B80CD9" w:rsidRPr="005D699B">
        <w:rPr>
          <w:rStyle w:val="FootnoteReference"/>
        </w:rPr>
        <w:footnoteReference w:id="64"/>
      </w:r>
      <w:r w:rsidR="00683D74" w:rsidRPr="005D699B">
        <w:t xml:space="preserve"> </w:t>
      </w:r>
    </w:p>
    <w:p w14:paraId="2E1F902D" w14:textId="77777777" w:rsidR="00B73F64" w:rsidRPr="005D699B" w:rsidRDefault="00B73F64" w:rsidP="005D699B">
      <w:pPr>
        <w:pStyle w:val="ListParagraph"/>
        <w:contextualSpacing w:val="0"/>
      </w:pPr>
    </w:p>
    <w:p w14:paraId="4F63FA9F" w14:textId="5F333974" w:rsidR="005733AE" w:rsidRDefault="00CA3804" w:rsidP="0063489A">
      <w:pPr>
        <w:pStyle w:val="ListParagraph"/>
        <w:numPr>
          <w:ilvl w:val="1"/>
          <w:numId w:val="38"/>
        </w:numPr>
        <w:contextualSpacing w:val="0"/>
      </w:pPr>
      <w:r w:rsidRPr="005D699B">
        <w:t xml:space="preserve">Depending on the severity, </w:t>
      </w:r>
      <w:r w:rsidR="002751B3" w:rsidRPr="005D699B">
        <w:t xml:space="preserve">rights under </w:t>
      </w:r>
      <w:r w:rsidR="005E2A37" w:rsidRPr="005D699B">
        <w:t>Articles</w:t>
      </w:r>
      <w:r w:rsidR="000B0417" w:rsidRPr="005D699B">
        <w:t xml:space="preserve"> </w:t>
      </w:r>
      <w:r w:rsidR="002751B3" w:rsidRPr="005D699B">
        <w:t xml:space="preserve">2, </w:t>
      </w:r>
      <w:r w:rsidR="00B27BF8" w:rsidRPr="005D699B">
        <w:t xml:space="preserve">8, </w:t>
      </w:r>
      <w:r w:rsidR="002751B3" w:rsidRPr="005D699B">
        <w:t xml:space="preserve">and/or </w:t>
      </w:r>
      <w:r w:rsidR="00B27BF8" w:rsidRPr="005D699B">
        <w:t xml:space="preserve">3 </w:t>
      </w:r>
      <w:r w:rsidR="002751B3" w:rsidRPr="005D699B">
        <w:t xml:space="preserve">of the </w:t>
      </w:r>
      <w:r w:rsidR="005E2A37" w:rsidRPr="005D699B">
        <w:t>ECHR</w:t>
      </w:r>
      <w:r w:rsidR="008B7B8E">
        <w:t xml:space="preserve"> can be restricted in the context of sexual abuse</w:t>
      </w:r>
      <w:r w:rsidR="000B0417" w:rsidRPr="005D699B">
        <w:t>.</w:t>
      </w:r>
      <w:r w:rsidR="00425D0A" w:rsidRPr="005D699B">
        <w:t xml:space="preserve"> The ECtHR has held that State</w:t>
      </w:r>
      <w:r w:rsidR="006E3A3D" w:rsidRPr="005D699B">
        <w:t>s</w:t>
      </w:r>
      <w:r w:rsidR="00425D0A" w:rsidRPr="005D699B">
        <w:t xml:space="preserve"> </w:t>
      </w:r>
      <w:r w:rsidR="00721300" w:rsidRPr="005D699B">
        <w:t>have</w:t>
      </w:r>
      <w:r w:rsidR="00425D0A" w:rsidRPr="005D699B">
        <w:t xml:space="preserve"> a responsibility to protect individuals from violence by third parties.</w:t>
      </w:r>
      <w:r w:rsidR="00763891" w:rsidRPr="005D699B">
        <w:rPr>
          <w:rStyle w:val="FootnoteReference"/>
        </w:rPr>
        <w:footnoteReference w:id="65"/>
      </w:r>
      <w:r w:rsidR="00425D0A" w:rsidRPr="005D699B">
        <w:t xml:space="preserve"> </w:t>
      </w:r>
      <w:r w:rsidR="005733AE" w:rsidRPr="005D699B">
        <w:t>This has been particularly true in cases involving victims of domestic violence.</w:t>
      </w:r>
      <w:r w:rsidR="006C541B" w:rsidRPr="005D699B">
        <w:rPr>
          <w:rStyle w:val="FootnoteReference"/>
        </w:rPr>
        <w:footnoteReference w:id="66"/>
      </w:r>
      <w:r w:rsidR="005733AE" w:rsidRPr="005D699B">
        <w:t xml:space="preserve"> </w:t>
      </w:r>
      <w:r w:rsidR="00503CF2" w:rsidRPr="005D699B">
        <w:t>Under Article 8</w:t>
      </w:r>
      <w:r w:rsidR="00E63DC4">
        <w:t xml:space="preserve"> of the ECHR</w:t>
      </w:r>
      <w:r w:rsidR="00B13FC0" w:rsidRPr="005D699B">
        <w:t>,</w:t>
      </w:r>
      <w:r w:rsidR="00503CF2" w:rsidRPr="005D699B">
        <w:t xml:space="preserve"> States have a duty to protect the physical and moral integrity of individual</w:t>
      </w:r>
      <w:r w:rsidR="00AC3D2D" w:rsidRPr="005D699B">
        <w:t>s</w:t>
      </w:r>
      <w:r w:rsidR="00503CF2" w:rsidRPr="005D699B">
        <w:t xml:space="preserve"> from other persons</w:t>
      </w:r>
      <w:r w:rsidR="00B13FC0" w:rsidRPr="005D699B">
        <w:t>,</w:t>
      </w:r>
      <w:r w:rsidR="009D55F1" w:rsidRPr="005D699B">
        <w:rPr>
          <w:rStyle w:val="FootnoteReference"/>
        </w:rPr>
        <w:footnoteReference w:id="67"/>
      </w:r>
      <w:r w:rsidR="00B13FC0" w:rsidRPr="005D699B">
        <w:t xml:space="preserve"> which </w:t>
      </w:r>
      <w:r w:rsidR="00AC3D2D" w:rsidRPr="005D699B">
        <w:t>requires</w:t>
      </w:r>
      <w:r w:rsidR="00B13FC0" w:rsidRPr="005D699B">
        <w:t xml:space="preserve"> </w:t>
      </w:r>
      <w:r w:rsidR="00721300" w:rsidRPr="005D699B">
        <w:t>establish</w:t>
      </w:r>
      <w:r w:rsidR="00AC3D2D" w:rsidRPr="005D699B">
        <w:t>ing</w:t>
      </w:r>
      <w:r w:rsidR="006D314D" w:rsidRPr="005D699B">
        <w:t xml:space="preserve"> a</w:t>
      </w:r>
      <w:r w:rsidR="00721300" w:rsidRPr="005D699B">
        <w:t>n adequate legal framework affording protection against acts of violence by private individuals.</w:t>
      </w:r>
      <w:r w:rsidR="00721300" w:rsidRPr="005D699B">
        <w:rPr>
          <w:rStyle w:val="FootnoteReference"/>
        </w:rPr>
        <w:footnoteReference w:id="68"/>
      </w:r>
      <w:r w:rsidR="00721300" w:rsidRPr="005D699B">
        <w:t xml:space="preserve"> </w:t>
      </w:r>
      <w:r w:rsidR="00F140D0" w:rsidRPr="005D699B">
        <w:t xml:space="preserve">Article 8 </w:t>
      </w:r>
      <w:r w:rsidR="00E63DC4">
        <w:t xml:space="preserve">of the ECHR </w:t>
      </w:r>
      <w:r w:rsidR="00F140D0" w:rsidRPr="005D699B">
        <w:t>also protects</w:t>
      </w:r>
      <w:r w:rsidR="00B7138D" w:rsidRPr="005D699B">
        <w:t xml:space="preserve"> </w:t>
      </w:r>
      <w:r w:rsidR="00E63DC4">
        <w:t>an individual’s</w:t>
      </w:r>
      <w:r w:rsidR="00B7138D" w:rsidRPr="005D699B">
        <w:t xml:space="preserve"> image</w:t>
      </w:r>
      <w:r w:rsidR="00AC19D6" w:rsidRPr="005D699B">
        <w:t xml:space="preserve"> as an essential component of personal development.</w:t>
      </w:r>
      <w:r w:rsidR="00AC19D6" w:rsidRPr="005D699B">
        <w:rPr>
          <w:rStyle w:val="FootnoteReference"/>
        </w:rPr>
        <w:footnoteReference w:id="69"/>
      </w:r>
      <w:r w:rsidR="00F140D0" w:rsidRPr="005D699B">
        <w:t xml:space="preserve"> </w:t>
      </w:r>
      <w:r w:rsidR="00F61696" w:rsidRPr="005D699B">
        <w:t>The ECtHR has found that</w:t>
      </w:r>
      <w:r w:rsidR="00E33585" w:rsidRPr="005D699B">
        <w:t xml:space="preserve"> information regarding intimate or sexual life is highly private information</w:t>
      </w:r>
      <w:r w:rsidR="0078010E" w:rsidRPr="005D699B">
        <w:t xml:space="preserve"> </w:t>
      </w:r>
      <w:r w:rsidR="001F42A8" w:rsidRPr="005D699B">
        <w:t xml:space="preserve">protected </w:t>
      </w:r>
      <w:r w:rsidR="00DD1BD9" w:rsidRPr="005D699B">
        <w:t xml:space="preserve">by a </w:t>
      </w:r>
      <w:r w:rsidR="00612859" w:rsidRPr="005D699B">
        <w:t xml:space="preserve">high threshold </w:t>
      </w:r>
      <w:r w:rsidR="000056F7">
        <w:t>regarding</w:t>
      </w:r>
      <w:r w:rsidR="0078010E" w:rsidRPr="005D699B">
        <w:t xml:space="preserve"> publication </w:t>
      </w:r>
      <w:r w:rsidR="001F42A8" w:rsidRPr="005D699B">
        <w:lastRenderedPageBreak/>
        <w:t>without</w:t>
      </w:r>
      <w:r w:rsidR="0078010E" w:rsidRPr="005D699B">
        <w:t xml:space="preserve"> consent.</w:t>
      </w:r>
      <w:r w:rsidR="00A13F04" w:rsidRPr="005D699B">
        <w:rPr>
          <w:rStyle w:val="FootnoteReference"/>
        </w:rPr>
        <w:footnoteReference w:id="70"/>
      </w:r>
      <w:r w:rsidR="0078010E" w:rsidRPr="005D699B">
        <w:t xml:space="preserve"> </w:t>
      </w:r>
      <w:r w:rsidR="006573C0" w:rsidRPr="005D699B">
        <w:t>The ECtHR has determined that e</w:t>
      </w:r>
      <w:r w:rsidR="00B744FC" w:rsidRPr="005D699B">
        <w:t>ffective deterrence against serious acts, where fundamental values and essential aspects of private life are at stake, requires efficient criminal law provisions.</w:t>
      </w:r>
      <w:r w:rsidR="002F03C6" w:rsidRPr="005D699B">
        <w:rPr>
          <w:rStyle w:val="FootnoteReference"/>
        </w:rPr>
        <w:footnoteReference w:id="71"/>
      </w:r>
    </w:p>
    <w:p w14:paraId="7D6E7201" w14:textId="77777777" w:rsidR="001C2CC6" w:rsidRDefault="001C2CC6" w:rsidP="001C2CC6">
      <w:pPr>
        <w:pStyle w:val="ListParagraph"/>
      </w:pPr>
    </w:p>
    <w:p w14:paraId="0730FD34" w14:textId="32C7E583" w:rsidR="001C2CC6" w:rsidRPr="005D699B" w:rsidRDefault="001C2CC6" w:rsidP="0063489A">
      <w:pPr>
        <w:pStyle w:val="ListParagraph"/>
        <w:numPr>
          <w:ilvl w:val="1"/>
          <w:numId w:val="38"/>
        </w:numPr>
        <w:contextualSpacing w:val="0"/>
      </w:pPr>
      <w:r>
        <w:t>It is also worth noting that t</w:t>
      </w:r>
      <w:r w:rsidRPr="00C80B36">
        <w:t xml:space="preserve">he UN CAT Committee </w:t>
      </w:r>
      <w:r>
        <w:t xml:space="preserve">has specifically </w:t>
      </w:r>
      <w:r w:rsidRPr="00C80B36">
        <w:t xml:space="preserve">recommended </w:t>
      </w:r>
      <w:r>
        <w:t>that the UK Government and NI Executive “</w:t>
      </w:r>
      <w:r w:rsidRPr="00C80B36">
        <w:t>ensure all cases of gender-based violence are thoroughly investigated, alleged perpetrators prosecuted and, if convicted, punished appropriately. Also, that victims or their families receive redress, including adequate compensation</w:t>
      </w:r>
      <w:r>
        <w:t>”</w:t>
      </w:r>
      <w:r w:rsidRPr="00C80B36">
        <w:t>.</w:t>
      </w:r>
      <w:r>
        <w:rPr>
          <w:rStyle w:val="FootnoteReference"/>
        </w:rPr>
        <w:footnoteReference w:id="72"/>
      </w:r>
      <w:r>
        <w:t xml:space="preserve"> </w:t>
      </w:r>
    </w:p>
    <w:p w14:paraId="29EF4BD1" w14:textId="04123A5A" w:rsidR="00931CD7" w:rsidRPr="005D699B" w:rsidRDefault="00797CE7" w:rsidP="005D699B">
      <w:r w:rsidRPr="005D699B">
        <w:t xml:space="preserve"> </w:t>
      </w:r>
    </w:p>
    <w:p w14:paraId="3FF52A9F" w14:textId="3E3BADD8" w:rsidR="001830B5" w:rsidRPr="005D699B" w:rsidRDefault="000F7F62" w:rsidP="0063489A">
      <w:pPr>
        <w:pStyle w:val="ListParagraph"/>
        <w:numPr>
          <w:ilvl w:val="1"/>
          <w:numId w:val="38"/>
        </w:numPr>
        <w:contextualSpacing w:val="0"/>
      </w:pPr>
      <w:r w:rsidRPr="005D699B">
        <w:t>The legal framework</w:t>
      </w:r>
      <w:r w:rsidR="00A93274" w:rsidRPr="005D699B">
        <w:t xml:space="preserve"> </w:t>
      </w:r>
      <w:r w:rsidR="00B77539">
        <w:t xml:space="preserve">in NI </w:t>
      </w:r>
      <w:r w:rsidR="00A93274" w:rsidRPr="005D699B">
        <w:t xml:space="preserve">needs </w:t>
      </w:r>
      <w:r w:rsidR="00AD0844" w:rsidRPr="005D699B">
        <w:t>to deter image-based sexual abuse and protect victims effectively</w:t>
      </w:r>
      <w:r w:rsidR="00931CD7" w:rsidRPr="005D699B">
        <w:t xml:space="preserve">. </w:t>
      </w:r>
      <w:r w:rsidR="00C668E3" w:rsidRPr="005D699B">
        <w:t xml:space="preserve">Otherwise, victims’ </w:t>
      </w:r>
      <w:r w:rsidR="00EF0777" w:rsidRPr="005D699B">
        <w:t xml:space="preserve">rights under </w:t>
      </w:r>
      <w:r w:rsidR="00676517" w:rsidRPr="005D699B">
        <w:t>Article 13</w:t>
      </w:r>
      <w:r w:rsidR="0047103D" w:rsidRPr="005D699B">
        <w:t xml:space="preserve"> of the ECHR</w:t>
      </w:r>
      <w:r w:rsidR="00676517" w:rsidRPr="005D699B">
        <w:t xml:space="preserve"> could also be engaged by the lack of </w:t>
      </w:r>
      <w:r w:rsidR="00FF7104" w:rsidRPr="005D699B">
        <w:t xml:space="preserve">an </w:t>
      </w:r>
      <w:r w:rsidR="00676517" w:rsidRPr="005D699B">
        <w:t>effective remedy</w:t>
      </w:r>
      <w:r w:rsidR="00FF7104" w:rsidRPr="005D699B">
        <w:t xml:space="preserve"> against non-consensual sexually explicit deepfakes.</w:t>
      </w:r>
      <w:r w:rsidR="00565882" w:rsidRPr="005D699B">
        <w:rPr>
          <w:rStyle w:val="FootnoteReference"/>
        </w:rPr>
        <w:footnoteReference w:id="73"/>
      </w:r>
      <w:r w:rsidR="009F75A9" w:rsidRPr="005D699B">
        <w:t xml:space="preserve"> </w:t>
      </w:r>
      <w:r w:rsidR="001A0F07">
        <w:t>This places an obligation on national authorities to “</w:t>
      </w:r>
      <w:r w:rsidR="000233BE">
        <w:t>protect human rights first and foremost within their own legal system</w:t>
      </w:r>
      <w:r w:rsidR="002E4DA7">
        <w:t>”.</w:t>
      </w:r>
      <w:r w:rsidR="002E4DA7" w:rsidRPr="005D699B">
        <w:rPr>
          <w:rStyle w:val="FootnoteReference"/>
        </w:rPr>
        <w:footnoteReference w:id="74"/>
      </w:r>
      <w:r w:rsidR="002E4DA7">
        <w:t xml:space="preserve"> This includes “preventing and putting right… violations” of the ECHR.</w:t>
      </w:r>
      <w:r w:rsidR="002E4DA7" w:rsidRPr="005D699B">
        <w:rPr>
          <w:rStyle w:val="FootnoteReference"/>
        </w:rPr>
        <w:footnoteReference w:id="75"/>
      </w:r>
      <w:r w:rsidR="002E4DA7">
        <w:t xml:space="preserve"> </w:t>
      </w:r>
      <w:r w:rsidR="009F75A9" w:rsidRPr="005D699B">
        <w:t xml:space="preserve">Since women and girls are </w:t>
      </w:r>
      <w:r w:rsidR="00D24461" w:rsidRPr="005D699B">
        <w:t>disproportionately</w:t>
      </w:r>
      <w:r w:rsidR="009F75A9" w:rsidRPr="005D699B">
        <w:t xml:space="preserve"> </w:t>
      </w:r>
      <w:r w:rsidR="00D3010C" w:rsidRPr="005D699B">
        <w:t xml:space="preserve">harmed </w:t>
      </w:r>
      <w:r w:rsidR="009F75A9" w:rsidRPr="005D699B">
        <w:t xml:space="preserve">by </w:t>
      </w:r>
      <w:r w:rsidR="00D24461" w:rsidRPr="005D699B">
        <w:t>these</w:t>
      </w:r>
      <w:r w:rsidR="009F75A9" w:rsidRPr="005D699B">
        <w:t xml:space="preserve"> </w:t>
      </w:r>
      <w:r w:rsidR="00F744DA" w:rsidRPr="005D699B">
        <w:t>images, a</w:t>
      </w:r>
      <w:r w:rsidR="00E075C5" w:rsidRPr="005D699B">
        <w:t>n ineffective</w:t>
      </w:r>
      <w:r w:rsidR="00CC5BA7" w:rsidRPr="005D699B">
        <w:t xml:space="preserve"> legal</w:t>
      </w:r>
      <w:r w:rsidR="00E075C5" w:rsidRPr="005D699B">
        <w:t xml:space="preserve"> </w:t>
      </w:r>
      <w:r w:rsidR="00CC5BA7" w:rsidRPr="005D699B">
        <w:t xml:space="preserve">framework could </w:t>
      </w:r>
      <w:r w:rsidR="00BA472A">
        <w:t xml:space="preserve">also </w:t>
      </w:r>
      <w:r w:rsidR="00CC5BA7" w:rsidRPr="005D699B">
        <w:t xml:space="preserve">restrict </w:t>
      </w:r>
      <w:r w:rsidR="00BA472A">
        <w:t xml:space="preserve">rights under </w:t>
      </w:r>
      <w:r w:rsidR="00CC5BA7" w:rsidRPr="005D699B">
        <w:t>Article 14</w:t>
      </w:r>
      <w:r w:rsidR="00BA472A">
        <w:t xml:space="preserve"> of the ECHR, in conjunction with Article 13 of the ECHR</w:t>
      </w:r>
      <w:r w:rsidR="00CC5BA7" w:rsidRPr="005D699B">
        <w:t>.</w:t>
      </w:r>
      <w:r w:rsidR="00CC5BA7" w:rsidRPr="005D699B">
        <w:rPr>
          <w:rStyle w:val="FootnoteReference"/>
        </w:rPr>
        <w:footnoteReference w:id="76"/>
      </w:r>
      <w:r w:rsidR="00CC5BA7" w:rsidRPr="005D699B">
        <w:t xml:space="preserve"> </w:t>
      </w:r>
    </w:p>
    <w:p w14:paraId="6F8596D1" w14:textId="77777777" w:rsidR="00BC6613" w:rsidRPr="00EA566D" w:rsidRDefault="00BC6613" w:rsidP="00EA566D">
      <w:pPr>
        <w:rPr>
          <w:b/>
          <w:bCs/>
        </w:rPr>
      </w:pPr>
    </w:p>
    <w:p w14:paraId="6C5FF2C7" w14:textId="45DB14EB" w:rsidR="00BC6613" w:rsidRDefault="00BC6613" w:rsidP="0063489A">
      <w:pPr>
        <w:pStyle w:val="ListParagraph"/>
        <w:numPr>
          <w:ilvl w:val="1"/>
          <w:numId w:val="38"/>
        </w:numPr>
        <w:contextualSpacing w:val="0"/>
        <w:rPr>
          <w:b/>
          <w:bCs/>
        </w:rPr>
      </w:pPr>
      <w:r>
        <w:rPr>
          <w:b/>
          <w:bCs/>
        </w:rPr>
        <w:t>T</w:t>
      </w:r>
      <w:r w:rsidR="007D3423" w:rsidRPr="00461EF8">
        <w:rPr>
          <w:b/>
          <w:bCs/>
        </w:rPr>
        <w:t xml:space="preserve">he </w:t>
      </w:r>
      <w:r w:rsidR="00461EF8">
        <w:rPr>
          <w:b/>
          <w:bCs/>
        </w:rPr>
        <w:t xml:space="preserve">NIHRC recommends that the </w:t>
      </w:r>
      <w:r w:rsidR="007D3423" w:rsidRPr="00461EF8">
        <w:rPr>
          <w:b/>
          <w:bCs/>
        </w:rPr>
        <w:t xml:space="preserve">Department </w:t>
      </w:r>
      <w:r w:rsidR="00C71A17" w:rsidRPr="00461EF8">
        <w:rPr>
          <w:b/>
          <w:bCs/>
          <w:color w:val="000000" w:themeColor="text1"/>
        </w:rPr>
        <w:t xml:space="preserve">of Justice </w:t>
      </w:r>
      <w:r w:rsidR="00461EF8">
        <w:rPr>
          <w:b/>
          <w:bCs/>
        </w:rPr>
        <w:t>ensures</w:t>
      </w:r>
      <w:r w:rsidR="00B17082" w:rsidRPr="00461EF8">
        <w:rPr>
          <w:b/>
          <w:bCs/>
        </w:rPr>
        <w:t xml:space="preserve"> that the </w:t>
      </w:r>
      <w:r w:rsidR="0083021A">
        <w:rPr>
          <w:b/>
          <w:bCs/>
        </w:rPr>
        <w:t xml:space="preserve">proposed </w:t>
      </w:r>
      <w:r w:rsidR="00B17082" w:rsidRPr="00461EF8">
        <w:rPr>
          <w:b/>
          <w:bCs/>
        </w:rPr>
        <w:t>l</w:t>
      </w:r>
      <w:r w:rsidR="0083021A">
        <w:rPr>
          <w:b/>
          <w:bCs/>
        </w:rPr>
        <w:t>egislation</w:t>
      </w:r>
      <w:r w:rsidR="00B17082" w:rsidRPr="00461EF8">
        <w:rPr>
          <w:b/>
          <w:bCs/>
        </w:rPr>
        <w:t xml:space="preserve"> is designed and implemented in a way that effectively protects victims from the online activities of third parties and </w:t>
      </w:r>
      <w:r w:rsidR="00B85C8C" w:rsidRPr="00461EF8">
        <w:rPr>
          <w:b/>
          <w:bCs/>
        </w:rPr>
        <w:t>safeguards</w:t>
      </w:r>
      <w:r w:rsidR="00B17082" w:rsidRPr="00461EF8">
        <w:rPr>
          <w:b/>
          <w:bCs/>
        </w:rPr>
        <w:t xml:space="preserve"> their meaningful participation </w:t>
      </w:r>
      <w:r w:rsidR="00B85C8C" w:rsidRPr="00461EF8">
        <w:rPr>
          <w:b/>
          <w:bCs/>
        </w:rPr>
        <w:t xml:space="preserve">in public life, </w:t>
      </w:r>
      <w:r w:rsidR="00B17082" w:rsidRPr="00461EF8">
        <w:rPr>
          <w:b/>
          <w:bCs/>
        </w:rPr>
        <w:t xml:space="preserve">both online and offline. </w:t>
      </w:r>
      <w:r w:rsidR="00766F82">
        <w:rPr>
          <w:b/>
          <w:bCs/>
        </w:rPr>
        <w:t>This requires a gender-sensitive approach.</w:t>
      </w:r>
    </w:p>
    <w:p w14:paraId="37F19FE0" w14:textId="77777777" w:rsidR="00BC6613" w:rsidRPr="00BC6613" w:rsidRDefault="00BC6613" w:rsidP="00BC6613">
      <w:pPr>
        <w:pStyle w:val="ListParagraph"/>
        <w:rPr>
          <w:b/>
          <w:bCs/>
        </w:rPr>
      </w:pPr>
    </w:p>
    <w:p w14:paraId="7A9B3993" w14:textId="1404BFA1" w:rsidR="00B73F64" w:rsidRDefault="00BC6613" w:rsidP="0063489A">
      <w:pPr>
        <w:pStyle w:val="ListParagraph"/>
        <w:numPr>
          <w:ilvl w:val="1"/>
          <w:numId w:val="38"/>
        </w:numPr>
        <w:contextualSpacing w:val="0"/>
        <w:rPr>
          <w:b/>
          <w:bCs/>
        </w:rPr>
      </w:pPr>
      <w:r>
        <w:rPr>
          <w:b/>
          <w:bCs/>
        </w:rPr>
        <w:lastRenderedPageBreak/>
        <w:t xml:space="preserve">The NIHRC recommends that the Department of Justice ensures that </w:t>
      </w:r>
      <w:r w:rsidR="00B17082" w:rsidRPr="00461EF8">
        <w:rPr>
          <w:b/>
          <w:bCs/>
        </w:rPr>
        <w:t xml:space="preserve">the </w:t>
      </w:r>
      <w:r w:rsidR="0083021A">
        <w:rPr>
          <w:b/>
          <w:bCs/>
        </w:rPr>
        <w:t>proposed legislation</w:t>
      </w:r>
      <w:r w:rsidR="00B17082" w:rsidRPr="00461EF8">
        <w:rPr>
          <w:b/>
          <w:bCs/>
        </w:rPr>
        <w:t xml:space="preserve"> </w:t>
      </w:r>
      <w:r>
        <w:rPr>
          <w:b/>
          <w:bCs/>
        </w:rPr>
        <w:t>provides for</w:t>
      </w:r>
      <w:r w:rsidR="00B17082" w:rsidRPr="00461EF8">
        <w:rPr>
          <w:b/>
          <w:bCs/>
        </w:rPr>
        <w:t xml:space="preserve"> </w:t>
      </w:r>
      <w:r w:rsidR="00AA4C97">
        <w:rPr>
          <w:b/>
          <w:bCs/>
        </w:rPr>
        <w:t>effective</w:t>
      </w:r>
      <w:r w:rsidR="00B17082" w:rsidRPr="00461EF8">
        <w:rPr>
          <w:b/>
          <w:bCs/>
        </w:rPr>
        <w:t xml:space="preserve"> remedies for victims of deepfakes, in accordance with Article 13 of the ECHR</w:t>
      </w:r>
      <w:r w:rsidR="006F6846" w:rsidRPr="00461EF8">
        <w:rPr>
          <w:b/>
          <w:bCs/>
        </w:rPr>
        <w:t xml:space="preserve">. </w:t>
      </w:r>
      <w:r w:rsidR="00F42578" w:rsidRPr="00461EF8">
        <w:rPr>
          <w:b/>
          <w:bCs/>
        </w:rPr>
        <w:t xml:space="preserve"> </w:t>
      </w:r>
      <w:r w:rsidR="00705AE1" w:rsidRPr="00461EF8">
        <w:rPr>
          <w:b/>
          <w:bCs/>
        </w:rPr>
        <w:t xml:space="preserve"> </w:t>
      </w:r>
    </w:p>
    <w:p w14:paraId="75A5ED03" w14:textId="77777777" w:rsidR="00F30F72" w:rsidRPr="00F30F72" w:rsidRDefault="00F30F72" w:rsidP="00F30F72">
      <w:pPr>
        <w:rPr>
          <w:b/>
          <w:bCs/>
        </w:rPr>
      </w:pPr>
    </w:p>
    <w:p w14:paraId="297C0B66" w14:textId="3AF78B31" w:rsidR="00DD3831" w:rsidRPr="005D699B" w:rsidRDefault="00C520F7" w:rsidP="002424F7">
      <w:pPr>
        <w:pStyle w:val="Heading3"/>
        <w:spacing w:before="240" w:after="240"/>
      </w:pPr>
      <w:bookmarkStart w:id="6" w:name="_The_UN_Convention"/>
      <w:bookmarkStart w:id="7" w:name="_Toc209087428"/>
      <w:bookmarkEnd w:id="6"/>
      <w:r w:rsidRPr="005D699B">
        <w:t xml:space="preserve">UN </w:t>
      </w:r>
      <w:r w:rsidR="009764EF" w:rsidRPr="005D699B">
        <w:t xml:space="preserve">CEDAW </w:t>
      </w:r>
      <w:r w:rsidR="00F71316" w:rsidRPr="005D699B">
        <w:t xml:space="preserve">and </w:t>
      </w:r>
      <w:proofErr w:type="spellStart"/>
      <w:r w:rsidRPr="005D699B">
        <w:t>CoE</w:t>
      </w:r>
      <w:proofErr w:type="spellEnd"/>
      <w:r w:rsidRPr="005D699B">
        <w:t xml:space="preserve"> </w:t>
      </w:r>
      <w:r w:rsidR="00567D67" w:rsidRPr="005D699B">
        <w:t>Istanbul Convention</w:t>
      </w:r>
      <w:bookmarkEnd w:id="7"/>
    </w:p>
    <w:p w14:paraId="2EF82043" w14:textId="7FFA7A82" w:rsidR="00E34FE8" w:rsidRDefault="00E34FE8" w:rsidP="0063489A">
      <w:pPr>
        <w:pStyle w:val="ListParagraph"/>
        <w:numPr>
          <w:ilvl w:val="1"/>
          <w:numId w:val="38"/>
        </w:numPr>
        <w:contextualSpacing w:val="0"/>
      </w:pPr>
      <w:r w:rsidRPr="00E34FE8">
        <w:t xml:space="preserve">The NIHRC welcomes the </w:t>
      </w:r>
      <w:r w:rsidRPr="00E34FE8">
        <w:rPr>
          <w:color w:val="000000" w:themeColor="text1"/>
        </w:rPr>
        <w:t>Department of Justice's acknowledgement that the non-consensual creation and sharing of sexually explicit deepfakes is a gender-based problem affecting mostly women and girls.</w:t>
      </w:r>
      <w:r w:rsidRPr="00E34FE8">
        <w:rPr>
          <w:rStyle w:val="FootnoteReference"/>
          <w:color w:val="000000" w:themeColor="text1"/>
        </w:rPr>
        <w:footnoteReference w:id="77"/>
      </w:r>
      <w:r w:rsidRPr="00E34FE8">
        <w:t xml:space="preserve"> </w:t>
      </w:r>
    </w:p>
    <w:p w14:paraId="7DCE3635" w14:textId="77777777" w:rsidR="00E34FE8" w:rsidRDefault="00E34FE8" w:rsidP="00E34FE8">
      <w:pPr>
        <w:pStyle w:val="ListParagraph"/>
        <w:contextualSpacing w:val="0"/>
      </w:pPr>
    </w:p>
    <w:p w14:paraId="7B3F797E" w14:textId="559ACEB0" w:rsidR="00C520F7" w:rsidRPr="005D699B" w:rsidRDefault="00F71316" w:rsidP="0063489A">
      <w:pPr>
        <w:pStyle w:val="ListParagraph"/>
        <w:numPr>
          <w:ilvl w:val="1"/>
          <w:numId w:val="38"/>
        </w:numPr>
        <w:contextualSpacing w:val="0"/>
      </w:pPr>
      <w:r w:rsidRPr="005D699B">
        <w:t xml:space="preserve">The </w:t>
      </w:r>
      <w:r w:rsidR="0077553A" w:rsidRPr="005D699B">
        <w:t xml:space="preserve">UN </w:t>
      </w:r>
      <w:r w:rsidRPr="005D699B">
        <w:t>CEDAW and Istanbul Convention</w:t>
      </w:r>
      <w:r w:rsidR="004300A1" w:rsidRPr="005D699B">
        <w:t xml:space="preserve"> stress the need to ensure that victim-centred and trauma-informed approaches are adopted </w:t>
      </w:r>
      <w:r w:rsidR="0061003F" w:rsidRPr="005D699B">
        <w:t>in</w:t>
      </w:r>
      <w:r w:rsidR="004300A1" w:rsidRPr="005D699B">
        <w:t xml:space="preserve"> scenarios involving victims and survivors of abuse and/or violence.</w:t>
      </w:r>
      <w:r w:rsidR="002908D0" w:rsidRPr="005D699B">
        <w:rPr>
          <w:rStyle w:val="FootnoteReference"/>
        </w:rPr>
        <w:footnoteReference w:id="78"/>
      </w:r>
      <w:r w:rsidR="004300A1" w:rsidRPr="005D699B">
        <w:t xml:space="preserve"> This also requires ensuring that a gender-sensitive approach is adopted, where necessary.</w:t>
      </w:r>
      <w:r w:rsidR="00030163" w:rsidRPr="005D699B">
        <w:rPr>
          <w:rStyle w:val="FootnoteReference"/>
        </w:rPr>
        <w:footnoteReference w:id="79"/>
      </w:r>
      <w:r w:rsidR="004300A1" w:rsidRPr="005D699B">
        <w:t xml:space="preserve"> </w:t>
      </w:r>
    </w:p>
    <w:p w14:paraId="7B288455" w14:textId="77777777" w:rsidR="00B73F64" w:rsidRPr="005D699B" w:rsidRDefault="00B73F64" w:rsidP="005D699B">
      <w:pPr>
        <w:pStyle w:val="ListParagraph"/>
        <w:contextualSpacing w:val="0"/>
      </w:pPr>
    </w:p>
    <w:p w14:paraId="4BAC101A" w14:textId="395F78CA" w:rsidR="00686CF4" w:rsidRDefault="00E46700" w:rsidP="0063489A">
      <w:pPr>
        <w:pStyle w:val="ListParagraph"/>
        <w:numPr>
          <w:ilvl w:val="1"/>
          <w:numId w:val="38"/>
        </w:numPr>
        <w:contextualSpacing w:val="0"/>
      </w:pPr>
      <w:r w:rsidRPr="005D699B">
        <w:t xml:space="preserve">The </w:t>
      </w:r>
      <w:r w:rsidR="005D3DB5" w:rsidRPr="005D699B">
        <w:t xml:space="preserve">UN </w:t>
      </w:r>
      <w:r w:rsidRPr="005D699B">
        <w:t xml:space="preserve">CEDAW Committee </w:t>
      </w:r>
      <w:r w:rsidR="00030163">
        <w:t>recognise</w:t>
      </w:r>
      <w:r w:rsidR="00A91639">
        <w:t>s</w:t>
      </w:r>
      <w:r w:rsidRPr="005D699B">
        <w:t xml:space="preserve"> online and technology-facilitated violence as a form of gender-based violence against women that is within the scope of the </w:t>
      </w:r>
      <w:r w:rsidR="006B61A0" w:rsidRPr="005D699B">
        <w:t xml:space="preserve">UN </w:t>
      </w:r>
      <w:r w:rsidRPr="005D699B">
        <w:t>CEDAW.</w:t>
      </w:r>
      <w:r w:rsidR="00586EE0" w:rsidRPr="005D699B">
        <w:rPr>
          <w:rStyle w:val="FootnoteReference"/>
        </w:rPr>
        <w:footnoteReference w:id="80"/>
      </w:r>
      <w:r w:rsidR="00B321F0" w:rsidRPr="005D699B">
        <w:t xml:space="preserve"> </w:t>
      </w:r>
      <w:r w:rsidR="00686CF4">
        <w:t>The UN CEDAW Committee has stated that:</w:t>
      </w:r>
    </w:p>
    <w:p w14:paraId="22F28000" w14:textId="77777777" w:rsidR="00686CF4" w:rsidRDefault="00686CF4" w:rsidP="00686CF4">
      <w:pPr>
        <w:pStyle w:val="ListParagraph"/>
      </w:pPr>
    </w:p>
    <w:p w14:paraId="46E01C59" w14:textId="7AE1C3EF" w:rsidR="00686CF4" w:rsidRDefault="00686CF4" w:rsidP="00D60BE3">
      <w:pPr>
        <w:pStyle w:val="Quote"/>
      </w:pPr>
      <w:r>
        <w:t>g</w:t>
      </w:r>
      <w:r w:rsidRPr="00C80B36">
        <w:t>ender-based violence against women occurs in all spaces and spheres of human interaction, whether public or private, including</w:t>
      </w:r>
      <w:r>
        <w:t>…</w:t>
      </w:r>
      <w:r w:rsidRPr="00C80B36">
        <w:t xml:space="preserve"> the redefinition of public and private through technology-mediated environments, such as contemporary forms of violence occurring online and in other digital environments. In all those settings, gender-based violence against women can result from acts or omissions of State or non-State actors.</w:t>
      </w:r>
      <w:r w:rsidR="00D60BE3" w:rsidRPr="005D699B">
        <w:rPr>
          <w:rStyle w:val="FootnoteReference"/>
        </w:rPr>
        <w:footnoteReference w:id="81"/>
      </w:r>
      <w:r w:rsidRPr="00C80B36">
        <w:t xml:space="preserve"> </w:t>
      </w:r>
    </w:p>
    <w:p w14:paraId="57895C70" w14:textId="77777777" w:rsidR="00686CF4" w:rsidRDefault="00686CF4" w:rsidP="00686CF4">
      <w:pPr>
        <w:pStyle w:val="ListParagraph"/>
      </w:pPr>
    </w:p>
    <w:p w14:paraId="4B691AF3" w14:textId="5B4AA8A5" w:rsidR="00E46700" w:rsidRPr="005D699B" w:rsidRDefault="00B009F5" w:rsidP="0063489A">
      <w:pPr>
        <w:pStyle w:val="ListParagraph"/>
        <w:numPr>
          <w:ilvl w:val="1"/>
          <w:numId w:val="38"/>
        </w:numPr>
        <w:contextualSpacing w:val="0"/>
      </w:pPr>
      <w:r>
        <w:lastRenderedPageBreak/>
        <w:t>The UN CEDAW Committee has also confirmed that g</w:t>
      </w:r>
      <w:r w:rsidRPr="005D699B">
        <w:t>ender-based violence against women is a form of discrimination.</w:t>
      </w:r>
      <w:r w:rsidRPr="005D699B">
        <w:rPr>
          <w:rStyle w:val="FootnoteReference"/>
        </w:rPr>
        <w:footnoteReference w:id="82"/>
      </w:r>
      <w:r w:rsidRPr="005D699B">
        <w:t xml:space="preserve"> </w:t>
      </w:r>
      <w:r w:rsidR="007E6B0A" w:rsidRPr="005D699B">
        <w:t xml:space="preserve">States have an obligation to eliminate all acts of discrimination against women perpetrated by </w:t>
      </w:r>
      <w:r w:rsidR="00E85DC1">
        <w:t>S</w:t>
      </w:r>
      <w:r w:rsidR="007E6B0A" w:rsidRPr="005D699B">
        <w:t>tate actors or third parties, including individuals, organisations, or companies</w:t>
      </w:r>
      <w:r w:rsidR="008F5A44" w:rsidRPr="005D699B">
        <w:t>.</w:t>
      </w:r>
      <w:r w:rsidR="00133B31" w:rsidRPr="005D699B">
        <w:rPr>
          <w:rStyle w:val="FootnoteReference"/>
        </w:rPr>
        <w:footnoteReference w:id="83"/>
      </w:r>
      <w:r w:rsidR="00EE16E0" w:rsidRPr="005D699B">
        <w:t xml:space="preserve"> </w:t>
      </w:r>
      <w:r w:rsidR="00AE64F5" w:rsidRPr="005D699B">
        <w:t>Regarding the ‘silencing effect’ of deepfakes mentioned above,</w:t>
      </w:r>
      <w:r w:rsidR="00E264BF" w:rsidRPr="005D699B">
        <w:t xml:space="preserve"> </w:t>
      </w:r>
      <w:r w:rsidR="00A91639">
        <w:t xml:space="preserve">the </w:t>
      </w:r>
      <w:r w:rsidR="00B73F64" w:rsidRPr="005D699B">
        <w:t xml:space="preserve">UN </w:t>
      </w:r>
      <w:r w:rsidR="00C91ECB" w:rsidRPr="005D699B">
        <w:t>CEDAW specifically protect</w:t>
      </w:r>
      <w:r w:rsidR="00A91639">
        <w:t>s</w:t>
      </w:r>
      <w:r w:rsidR="00C91ECB" w:rsidRPr="005D699B">
        <w:t xml:space="preserve"> </w:t>
      </w:r>
      <w:r w:rsidR="00EA25DE" w:rsidRPr="005D699B">
        <w:t xml:space="preserve">women’s </w:t>
      </w:r>
      <w:r w:rsidR="009A26D5" w:rsidRPr="005D699B">
        <w:t xml:space="preserve">right to </w:t>
      </w:r>
      <w:r w:rsidR="00EA25DE" w:rsidRPr="005D699B">
        <w:t>participation in public and political life.</w:t>
      </w:r>
      <w:r w:rsidR="00AE64F5" w:rsidRPr="005D699B">
        <w:rPr>
          <w:rStyle w:val="FootnoteReference"/>
        </w:rPr>
        <w:footnoteReference w:id="84"/>
      </w:r>
    </w:p>
    <w:p w14:paraId="5FFB8C2D" w14:textId="77777777" w:rsidR="00B73F64" w:rsidRPr="005D699B" w:rsidRDefault="00B73F64" w:rsidP="005D699B">
      <w:pPr>
        <w:pStyle w:val="ListParagraph"/>
        <w:contextualSpacing w:val="0"/>
      </w:pPr>
    </w:p>
    <w:p w14:paraId="09A08B79" w14:textId="46B381DE" w:rsidR="007A25F2" w:rsidRPr="005D699B" w:rsidRDefault="007A25F2" w:rsidP="0063489A">
      <w:pPr>
        <w:pStyle w:val="ListParagraph"/>
        <w:numPr>
          <w:ilvl w:val="1"/>
          <w:numId w:val="38"/>
        </w:numPr>
        <w:contextualSpacing w:val="0"/>
      </w:pPr>
      <w:r w:rsidRPr="005D699B">
        <w:t>The Istanbul Convention</w:t>
      </w:r>
      <w:r w:rsidR="00111FF0" w:rsidRPr="005D699B">
        <w:t xml:space="preserve"> provides a </w:t>
      </w:r>
      <w:r w:rsidR="005B510A" w:rsidRPr="005D699B">
        <w:t>European</w:t>
      </w:r>
      <w:r w:rsidR="00111FF0" w:rsidRPr="005D699B">
        <w:t xml:space="preserve"> framework for protection against all forms of </w:t>
      </w:r>
      <w:r w:rsidR="00DD3551" w:rsidRPr="005D699B">
        <w:t xml:space="preserve">gender-based </w:t>
      </w:r>
      <w:r w:rsidR="00111FF0" w:rsidRPr="005D699B">
        <w:t>violence</w:t>
      </w:r>
      <w:r w:rsidR="00BA18BD" w:rsidRPr="005D699B">
        <w:t xml:space="preserve"> against women</w:t>
      </w:r>
      <w:r w:rsidR="00111FF0" w:rsidRPr="005D699B">
        <w:t>. It can also be used as an indicator of best practice and provide guidance on how to develop legislation in relation to sexual offences</w:t>
      </w:r>
      <w:r w:rsidR="00637064">
        <w:t xml:space="preserve"> more broadly</w:t>
      </w:r>
      <w:r w:rsidR="00111FF0" w:rsidRPr="005D699B">
        <w:t>.</w:t>
      </w:r>
      <w:r w:rsidR="008E3DE0" w:rsidRPr="005D699B">
        <w:rPr>
          <w:rStyle w:val="FootnoteReference"/>
        </w:rPr>
        <w:footnoteReference w:id="85"/>
      </w:r>
    </w:p>
    <w:p w14:paraId="66167F63" w14:textId="77777777" w:rsidR="00B73F64" w:rsidRPr="005D699B" w:rsidRDefault="00B73F64" w:rsidP="005D699B">
      <w:pPr>
        <w:pStyle w:val="ListParagraph"/>
        <w:contextualSpacing w:val="0"/>
      </w:pPr>
    </w:p>
    <w:p w14:paraId="007F8798" w14:textId="1CB2059D" w:rsidR="00B73F64" w:rsidRDefault="00FF2E82" w:rsidP="0063489A">
      <w:pPr>
        <w:pStyle w:val="ListParagraph"/>
        <w:numPr>
          <w:ilvl w:val="1"/>
          <w:numId w:val="38"/>
        </w:numPr>
        <w:contextualSpacing w:val="0"/>
      </w:pPr>
      <w:r w:rsidRPr="005D699B">
        <w:t xml:space="preserve">The </w:t>
      </w:r>
      <w:proofErr w:type="spellStart"/>
      <w:r w:rsidRPr="005D699B">
        <w:t>CoE</w:t>
      </w:r>
      <w:proofErr w:type="spellEnd"/>
      <w:r w:rsidRPr="005D699B">
        <w:t xml:space="preserve"> Group of Experts on Action against Violence Against Women and Domestic Violence </w:t>
      </w:r>
      <w:r w:rsidR="00095206" w:rsidRPr="005D699B">
        <w:t>(</w:t>
      </w:r>
      <w:proofErr w:type="spellStart"/>
      <w:r w:rsidR="002E5F89" w:rsidRPr="005D699B">
        <w:t>CoE</w:t>
      </w:r>
      <w:proofErr w:type="spellEnd"/>
      <w:r w:rsidR="002E5F89" w:rsidRPr="005D699B">
        <w:t xml:space="preserve"> GREVIO Committee</w:t>
      </w:r>
      <w:r w:rsidR="00095206" w:rsidRPr="005D699B">
        <w:t>)</w:t>
      </w:r>
      <w:r w:rsidR="00791397" w:rsidRPr="005D699B">
        <w:t xml:space="preserve"> clarifies that</w:t>
      </w:r>
      <w:r w:rsidR="00095206" w:rsidRPr="005D699B">
        <w:t>:</w:t>
      </w:r>
    </w:p>
    <w:p w14:paraId="7EF04B72" w14:textId="77777777" w:rsidR="00B6029E" w:rsidRPr="005D699B" w:rsidRDefault="00B6029E" w:rsidP="00B6029E"/>
    <w:p w14:paraId="30FFAD9E" w14:textId="12FFE883" w:rsidR="00EB760E" w:rsidRPr="005D699B" w:rsidRDefault="00095206" w:rsidP="00981A16">
      <w:pPr>
        <w:pStyle w:val="Quote"/>
        <w:ind w:left="1440"/>
      </w:pPr>
      <w:r w:rsidRPr="005D699B">
        <w:t>n</w:t>
      </w:r>
      <w:r w:rsidR="00EB760E" w:rsidRPr="005D699B">
        <w:t>on-consensual image or video sharing, coercion and threats, including rape threats, sexualised bullying and other forms of intimidation, online sexual harassment, impersonation, online stalking or stalking via the Internet of Things as well as psychological abuse and economic harm perpetrated via digital means against women and girls all come under the</w:t>
      </w:r>
      <w:r w:rsidR="00B6029E">
        <w:t xml:space="preserve">… </w:t>
      </w:r>
      <w:r w:rsidR="00EB760E" w:rsidRPr="005D699B">
        <w:t>definition</w:t>
      </w:r>
      <w:r w:rsidR="0073310B" w:rsidRPr="005D699B">
        <w:t xml:space="preserve"> [of violence against women]</w:t>
      </w:r>
      <w:r w:rsidR="00791397" w:rsidRPr="005D699B">
        <w:t>.</w:t>
      </w:r>
      <w:r w:rsidR="00C36FF2" w:rsidRPr="005D699B">
        <w:rPr>
          <w:rStyle w:val="FootnoteReference"/>
        </w:rPr>
        <w:footnoteReference w:id="86"/>
      </w:r>
    </w:p>
    <w:p w14:paraId="291A78BB" w14:textId="77777777" w:rsidR="00B73F64" w:rsidRPr="005D699B" w:rsidRDefault="00B73F64" w:rsidP="005D699B"/>
    <w:p w14:paraId="285C371D" w14:textId="3ADCE726" w:rsidR="00095206" w:rsidRPr="005D699B" w:rsidRDefault="00095206" w:rsidP="0063489A">
      <w:pPr>
        <w:pStyle w:val="ListParagraph"/>
        <w:numPr>
          <w:ilvl w:val="1"/>
          <w:numId w:val="38"/>
        </w:numPr>
        <w:contextualSpacing w:val="0"/>
      </w:pPr>
      <w:r w:rsidRPr="005D699B">
        <w:t xml:space="preserve">The </w:t>
      </w:r>
      <w:proofErr w:type="spellStart"/>
      <w:r w:rsidRPr="005D699B">
        <w:t>CoE</w:t>
      </w:r>
      <w:proofErr w:type="spellEnd"/>
      <w:r w:rsidRPr="005D699B">
        <w:t xml:space="preserve"> GREVIO Committee recommends that States address this issue holistically, </w:t>
      </w:r>
      <w:r w:rsidR="000C79F1" w:rsidRPr="005D699B">
        <w:t xml:space="preserve">with a focus on </w:t>
      </w:r>
      <w:r w:rsidRPr="005D699B">
        <w:t xml:space="preserve">prevention, protection, prosecution, and coordinated </w:t>
      </w:r>
      <w:r w:rsidR="00E45CF1" w:rsidRPr="005D699B">
        <w:t>p</w:t>
      </w:r>
      <w:r w:rsidRPr="005D699B">
        <w:t>olicies.</w:t>
      </w:r>
      <w:r w:rsidRPr="005D699B">
        <w:rPr>
          <w:rStyle w:val="FootnoteReference"/>
        </w:rPr>
        <w:footnoteReference w:id="87"/>
      </w:r>
      <w:r w:rsidRPr="005D699B">
        <w:t xml:space="preserve"> </w:t>
      </w:r>
    </w:p>
    <w:p w14:paraId="3F8ED8F5" w14:textId="77777777" w:rsidR="00B73F64" w:rsidRPr="005D699B" w:rsidRDefault="00B73F64" w:rsidP="005D699B">
      <w:pPr>
        <w:pStyle w:val="ListParagraph"/>
        <w:contextualSpacing w:val="0"/>
      </w:pPr>
    </w:p>
    <w:p w14:paraId="5855DF52" w14:textId="17860643" w:rsidR="00033517" w:rsidRPr="005D699B" w:rsidRDefault="00301EFA" w:rsidP="0063489A">
      <w:pPr>
        <w:pStyle w:val="ListParagraph"/>
        <w:numPr>
          <w:ilvl w:val="1"/>
          <w:numId w:val="38"/>
        </w:numPr>
        <w:contextualSpacing w:val="0"/>
      </w:pPr>
      <w:r w:rsidRPr="005D699B">
        <w:t>The</w:t>
      </w:r>
      <w:r w:rsidR="00205413" w:rsidRPr="005D699B">
        <w:t>refore, the</w:t>
      </w:r>
      <w:r w:rsidRPr="005D699B">
        <w:t xml:space="preserve"> Istanbul Convention </w:t>
      </w:r>
      <w:r w:rsidR="00B6029E">
        <w:t>sets</w:t>
      </w:r>
      <w:r w:rsidR="00074155" w:rsidRPr="005D699B">
        <w:t xml:space="preserve"> the</w:t>
      </w:r>
      <w:r w:rsidR="00B6029E">
        <w:t xml:space="preserve"> minimum</w:t>
      </w:r>
      <w:r w:rsidR="00074155" w:rsidRPr="005D699B">
        <w:t xml:space="preserve"> standard for a holistic response to address </w:t>
      </w:r>
      <w:r w:rsidR="00327B13" w:rsidRPr="005D699B">
        <w:t xml:space="preserve">online and offline </w:t>
      </w:r>
      <w:r w:rsidR="00074155" w:rsidRPr="005D699B">
        <w:t>violence</w:t>
      </w:r>
      <w:r w:rsidR="007B31A3" w:rsidRPr="005D699B">
        <w:t xml:space="preserve"> against women</w:t>
      </w:r>
      <w:r w:rsidR="004011D2" w:rsidRPr="005D699B">
        <w:t xml:space="preserve"> that includes</w:t>
      </w:r>
      <w:r w:rsidR="00541BCF" w:rsidRPr="005D699B">
        <w:t xml:space="preserve"> taking steps to prevent </w:t>
      </w:r>
      <w:r w:rsidR="00033517" w:rsidRPr="005D699B">
        <w:t xml:space="preserve">through awareness </w:t>
      </w:r>
      <w:r w:rsidR="00033517" w:rsidRPr="005D699B">
        <w:lastRenderedPageBreak/>
        <w:t xml:space="preserve">raising and education, training professionals and </w:t>
      </w:r>
      <w:r w:rsidR="004F3F76" w:rsidRPr="005D699B">
        <w:t>intervention programmes for</w:t>
      </w:r>
      <w:r w:rsidR="00033517" w:rsidRPr="005D699B">
        <w:t xml:space="preserve"> perpetrators, </w:t>
      </w:r>
      <w:r w:rsidR="003C22E3" w:rsidRPr="005D699B">
        <w:t xml:space="preserve">and </w:t>
      </w:r>
      <w:r w:rsidR="00205413" w:rsidRPr="005D699B">
        <w:t>tackling</w:t>
      </w:r>
      <w:r w:rsidR="00033517" w:rsidRPr="005D699B">
        <w:t xml:space="preserve"> attitudes that perpetuate violence against women and girls. </w:t>
      </w:r>
      <w:r w:rsidR="004905C4" w:rsidRPr="005D699B">
        <w:t>A</w:t>
      </w:r>
      <w:r w:rsidR="00A114E2">
        <w:t>lso</w:t>
      </w:r>
      <w:r w:rsidR="00D805B8">
        <w:t>,</w:t>
      </w:r>
      <w:r w:rsidR="00A114E2">
        <w:t xml:space="preserve"> a</w:t>
      </w:r>
      <w:r w:rsidR="004905C4" w:rsidRPr="005D699B">
        <w:t xml:space="preserve"> victim-centred approach must </w:t>
      </w:r>
      <w:r w:rsidR="00497E69" w:rsidRPr="005D699B">
        <w:t xml:space="preserve">be adopted to protect </w:t>
      </w:r>
      <w:r w:rsidR="00033517" w:rsidRPr="005D699B">
        <w:t xml:space="preserve">and support victims and </w:t>
      </w:r>
      <w:r w:rsidR="00A114E2">
        <w:t>individuals</w:t>
      </w:r>
      <w:r w:rsidR="00033517" w:rsidRPr="005D699B">
        <w:t xml:space="preserve"> at risk. </w:t>
      </w:r>
      <w:r w:rsidR="00A114E2">
        <w:t>Furthermore</w:t>
      </w:r>
      <w:r w:rsidR="00405564" w:rsidRPr="005D699B">
        <w:t>, i</w:t>
      </w:r>
      <w:r w:rsidR="00033517" w:rsidRPr="005D699B">
        <w:t>nvestigations and criminal proceedings must be pursued to bring perpetrators to justice and ensure accountability.</w:t>
      </w:r>
      <w:r w:rsidR="00EC30DB" w:rsidRPr="005D699B">
        <w:rPr>
          <w:rStyle w:val="FootnoteReference"/>
        </w:rPr>
        <w:footnoteReference w:id="88"/>
      </w:r>
    </w:p>
    <w:p w14:paraId="0F616FB2" w14:textId="77777777" w:rsidR="00B73F64" w:rsidRPr="005D699B" w:rsidRDefault="00B73F64" w:rsidP="00E34FE8"/>
    <w:p w14:paraId="15020E1A" w14:textId="2A05F8A8" w:rsidR="006C1C68" w:rsidRPr="001D47D5" w:rsidRDefault="002A4CE6" w:rsidP="0063489A">
      <w:pPr>
        <w:pStyle w:val="ListParagraph"/>
        <w:numPr>
          <w:ilvl w:val="1"/>
          <w:numId w:val="38"/>
        </w:numPr>
        <w:contextualSpacing w:val="0"/>
        <w:rPr>
          <w:b/>
          <w:bCs/>
        </w:rPr>
      </w:pPr>
      <w:r w:rsidRPr="001D47D5">
        <w:rPr>
          <w:b/>
          <w:bCs/>
        </w:rPr>
        <w:t>The NIHRC recommends that the Department of Justice</w:t>
      </w:r>
      <w:r w:rsidR="007127E3" w:rsidRPr="001D47D5">
        <w:rPr>
          <w:b/>
          <w:bCs/>
        </w:rPr>
        <w:t xml:space="preserve"> </w:t>
      </w:r>
      <w:r w:rsidR="0040561D" w:rsidRPr="001D47D5">
        <w:rPr>
          <w:b/>
          <w:bCs/>
        </w:rPr>
        <w:t>ensure</w:t>
      </w:r>
      <w:r w:rsidRPr="001D47D5">
        <w:rPr>
          <w:b/>
          <w:bCs/>
        </w:rPr>
        <w:t>s that</w:t>
      </w:r>
      <w:r w:rsidR="0040561D" w:rsidRPr="001D47D5">
        <w:rPr>
          <w:b/>
          <w:bCs/>
        </w:rPr>
        <w:t xml:space="preserve"> </w:t>
      </w:r>
      <w:r w:rsidR="00F134F9" w:rsidRPr="001D47D5">
        <w:rPr>
          <w:b/>
          <w:bCs/>
        </w:rPr>
        <w:t xml:space="preserve">the </w:t>
      </w:r>
      <w:r w:rsidRPr="001D47D5">
        <w:rPr>
          <w:b/>
          <w:bCs/>
        </w:rPr>
        <w:t xml:space="preserve">proposed </w:t>
      </w:r>
      <w:r w:rsidR="00F134F9" w:rsidRPr="001D47D5">
        <w:rPr>
          <w:b/>
          <w:bCs/>
        </w:rPr>
        <w:t xml:space="preserve">legislation </w:t>
      </w:r>
      <w:r w:rsidR="00CB467B" w:rsidRPr="001D47D5">
        <w:rPr>
          <w:b/>
          <w:bCs/>
        </w:rPr>
        <w:t xml:space="preserve">is aligned </w:t>
      </w:r>
      <w:r w:rsidR="002B0242" w:rsidRPr="001D47D5">
        <w:rPr>
          <w:b/>
          <w:bCs/>
        </w:rPr>
        <w:t>with</w:t>
      </w:r>
      <w:r w:rsidR="00CB467B" w:rsidRPr="001D47D5">
        <w:rPr>
          <w:b/>
          <w:bCs/>
        </w:rPr>
        <w:t xml:space="preserve"> the standards set out in </w:t>
      </w:r>
      <w:r w:rsidRPr="001D47D5">
        <w:rPr>
          <w:b/>
          <w:bCs/>
        </w:rPr>
        <w:t xml:space="preserve">UN </w:t>
      </w:r>
      <w:r w:rsidR="00CB467B" w:rsidRPr="001D47D5">
        <w:rPr>
          <w:b/>
          <w:bCs/>
        </w:rPr>
        <w:t xml:space="preserve">CEDAW and </w:t>
      </w:r>
      <w:r w:rsidR="002B0242" w:rsidRPr="001D47D5">
        <w:rPr>
          <w:b/>
          <w:bCs/>
        </w:rPr>
        <w:t xml:space="preserve">the </w:t>
      </w:r>
      <w:r w:rsidR="00CB467B" w:rsidRPr="001D47D5">
        <w:rPr>
          <w:b/>
          <w:bCs/>
        </w:rPr>
        <w:t>Istanbul Convention</w:t>
      </w:r>
      <w:r w:rsidR="00734A30" w:rsidRPr="001D47D5">
        <w:rPr>
          <w:b/>
          <w:bCs/>
        </w:rPr>
        <w:t xml:space="preserve"> to address </w:t>
      </w:r>
      <w:r w:rsidR="000C2038" w:rsidRPr="001D47D5">
        <w:rPr>
          <w:b/>
          <w:bCs/>
        </w:rPr>
        <w:t>the digital dimension of gender-based violence</w:t>
      </w:r>
      <w:r w:rsidR="002B0242" w:rsidRPr="001D47D5">
        <w:rPr>
          <w:b/>
          <w:bCs/>
        </w:rPr>
        <w:t xml:space="preserve">, particularly regarding </w:t>
      </w:r>
      <w:r w:rsidR="00951FCB" w:rsidRPr="001D47D5">
        <w:rPr>
          <w:b/>
          <w:bCs/>
        </w:rPr>
        <w:t xml:space="preserve">effective prevention, support for victims and a holistic response to </w:t>
      </w:r>
      <w:r w:rsidR="0085265B" w:rsidRPr="001D47D5">
        <w:rPr>
          <w:b/>
          <w:bCs/>
        </w:rPr>
        <w:t xml:space="preserve">non-consensual sexually explicit deepfakes. </w:t>
      </w:r>
      <w:r w:rsidR="002B0242" w:rsidRPr="001D47D5">
        <w:rPr>
          <w:b/>
          <w:bCs/>
        </w:rPr>
        <w:t xml:space="preserve"> </w:t>
      </w:r>
    </w:p>
    <w:p w14:paraId="18DC6601" w14:textId="77777777" w:rsidR="00B73F64" w:rsidRPr="005D699B" w:rsidRDefault="00B73F64" w:rsidP="001D47D5"/>
    <w:p w14:paraId="22D1C424" w14:textId="71920695" w:rsidR="00A554D1" w:rsidRPr="005D699B" w:rsidRDefault="00B73F64" w:rsidP="002424F7">
      <w:pPr>
        <w:pStyle w:val="Heading3"/>
        <w:spacing w:before="240" w:after="240"/>
      </w:pPr>
      <w:bookmarkStart w:id="11" w:name="_Toc209087429"/>
      <w:proofErr w:type="spellStart"/>
      <w:r w:rsidRPr="005D699B">
        <w:t>CoE</w:t>
      </w:r>
      <w:proofErr w:type="spellEnd"/>
      <w:r w:rsidRPr="005D699B">
        <w:t xml:space="preserve"> </w:t>
      </w:r>
      <w:r w:rsidR="00751B78" w:rsidRPr="005D699B">
        <w:t xml:space="preserve">Budapest Convention and the </w:t>
      </w:r>
      <w:proofErr w:type="spellStart"/>
      <w:r w:rsidR="00751B78" w:rsidRPr="005D699B">
        <w:t>CoE</w:t>
      </w:r>
      <w:proofErr w:type="spellEnd"/>
      <w:r w:rsidR="00751B78" w:rsidRPr="005D699B">
        <w:t xml:space="preserve"> Framework Convention on Artificial Intelligence and Human Rights, Democracy and the Rule of Law</w:t>
      </w:r>
      <w:bookmarkEnd w:id="11"/>
    </w:p>
    <w:p w14:paraId="2673F326" w14:textId="121338C4" w:rsidR="00646221" w:rsidRPr="005D699B" w:rsidRDefault="00546821" w:rsidP="0063489A">
      <w:pPr>
        <w:pStyle w:val="ListParagraph"/>
        <w:numPr>
          <w:ilvl w:val="1"/>
          <w:numId w:val="38"/>
        </w:numPr>
        <w:contextualSpacing w:val="0"/>
      </w:pPr>
      <w:r>
        <w:t>T</w:t>
      </w:r>
      <w:r w:rsidR="00FF143D" w:rsidRPr="005D699B">
        <w:t>he Budapest Convention</w:t>
      </w:r>
      <w:r w:rsidR="0078320D" w:rsidRPr="005D699B">
        <w:t xml:space="preserve"> focuses on cybercrime and electronic </w:t>
      </w:r>
      <w:r w:rsidR="00517C66" w:rsidRPr="005D699B">
        <w:t>evidence</w:t>
      </w:r>
      <w:r w:rsidR="00325AD1" w:rsidRPr="005D699B">
        <w:t>. It requires</w:t>
      </w:r>
      <w:r w:rsidR="00FF143D" w:rsidRPr="005D699B">
        <w:t xml:space="preserve"> States </w:t>
      </w:r>
      <w:r w:rsidR="00C04D41" w:rsidRPr="005D699B">
        <w:t xml:space="preserve">to criminalise internet and computer-based </w:t>
      </w:r>
      <w:r w:rsidR="00EF08A6" w:rsidRPr="005D699B">
        <w:t>offences and improve investigative techniques to secure electronic evidence</w:t>
      </w:r>
      <w:r w:rsidR="00596F61" w:rsidRPr="005D699B">
        <w:t>, and to facilitate international co-operation regarding investigation or proceedings</w:t>
      </w:r>
      <w:r w:rsidR="00851F0F" w:rsidRPr="005D699B">
        <w:t>.</w:t>
      </w:r>
      <w:r w:rsidR="00851F0F" w:rsidRPr="005D699B">
        <w:rPr>
          <w:rStyle w:val="FootnoteReference"/>
        </w:rPr>
        <w:footnoteReference w:id="89"/>
      </w:r>
    </w:p>
    <w:p w14:paraId="5A5815F2" w14:textId="77777777" w:rsidR="00B73F64" w:rsidRPr="005D699B" w:rsidRDefault="00B73F64" w:rsidP="005D699B">
      <w:pPr>
        <w:pStyle w:val="ListParagraph"/>
        <w:contextualSpacing w:val="0"/>
      </w:pPr>
    </w:p>
    <w:p w14:paraId="2ED1428A" w14:textId="77777777" w:rsidR="00766FC6" w:rsidRDefault="00103451" w:rsidP="0063489A">
      <w:pPr>
        <w:pStyle w:val="ListParagraph"/>
        <w:numPr>
          <w:ilvl w:val="1"/>
          <w:numId w:val="38"/>
        </w:numPr>
        <w:contextualSpacing w:val="0"/>
      </w:pPr>
      <w:r>
        <w:t>As a relatively new treaty, t</w:t>
      </w:r>
      <w:r w:rsidR="006E33D8" w:rsidRPr="005D699B">
        <w:t xml:space="preserve">he </w:t>
      </w:r>
      <w:proofErr w:type="spellStart"/>
      <w:r w:rsidR="006E33D8" w:rsidRPr="005D699B">
        <w:t>CoE</w:t>
      </w:r>
      <w:proofErr w:type="spellEnd"/>
      <w:r w:rsidR="006E33D8" w:rsidRPr="005D699B">
        <w:t xml:space="preserve"> Framework Convention on Artificial Intelligence</w:t>
      </w:r>
      <w:r w:rsidR="003E4894" w:rsidRPr="005D699B">
        <w:t xml:space="preserve">, </w:t>
      </w:r>
      <w:r w:rsidR="00EF0A50">
        <w:t xml:space="preserve">has been </w:t>
      </w:r>
      <w:r w:rsidR="003E4894" w:rsidRPr="005D699B">
        <w:t>signed</w:t>
      </w:r>
      <w:r w:rsidR="00EF0A50">
        <w:t>,</w:t>
      </w:r>
      <w:r w:rsidR="003E4894" w:rsidRPr="005D699B">
        <w:t xml:space="preserve"> but not yet </w:t>
      </w:r>
      <w:r w:rsidR="00D221E9" w:rsidRPr="005D699B">
        <w:t>ratified by the UK</w:t>
      </w:r>
      <w:r w:rsidR="00047CE4">
        <w:t xml:space="preserve">. </w:t>
      </w:r>
      <w:r w:rsidR="00D13038">
        <w:t>By taking this step the UK has agreed to “not defeat the object and purpose of the treaty”.</w:t>
      </w:r>
      <w:r w:rsidR="00757850">
        <w:rPr>
          <w:rStyle w:val="FootnoteReference"/>
        </w:rPr>
        <w:footnoteReference w:id="90"/>
      </w:r>
      <w:r w:rsidR="003E4894" w:rsidRPr="005D699B">
        <w:t xml:space="preserve"> </w:t>
      </w:r>
      <w:r w:rsidR="00CD3A08">
        <w:t xml:space="preserve">The </w:t>
      </w:r>
      <w:proofErr w:type="spellStart"/>
      <w:r w:rsidR="00CD3A08" w:rsidRPr="005D699B">
        <w:t>CoE</w:t>
      </w:r>
      <w:proofErr w:type="spellEnd"/>
      <w:r w:rsidR="00CD3A08" w:rsidRPr="005D699B">
        <w:t xml:space="preserve"> Framework Convention </w:t>
      </w:r>
      <w:r w:rsidR="009328DA" w:rsidRPr="005D699B">
        <w:t xml:space="preserve">aims </w:t>
      </w:r>
      <w:r w:rsidR="00CD3A08">
        <w:lastRenderedPageBreak/>
        <w:t>to ensure</w:t>
      </w:r>
      <w:r w:rsidR="009328DA" w:rsidRPr="005D699B">
        <w:t xml:space="preserve"> that all activities involved in artificial intelligence</w:t>
      </w:r>
      <w:r w:rsidR="009B4DD4" w:rsidRPr="005D699B">
        <w:t xml:space="preserve"> </w:t>
      </w:r>
      <w:r w:rsidR="009328DA" w:rsidRPr="005D699B">
        <w:t>systems respect human rights, democracy, and the rule of law</w:t>
      </w:r>
      <w:r w:rsidR="00B34723" w:rsidRPr="005D699B">
        <w:t xml:space="preserve">, while </w:t>
      </w:r>
      <w:r w:rsidR="009328DA" w:rsidRPr="005D699B">
        <w:t>support</w:t>
      </w:r>
      <w:r w:rsidR="00B34723" w:rsidRPr="005D699B">
        <w:t>ing</w:t>
      </w:r>
      <w:r w:rsidR="009328DA" w:rsidRPr="005D699B">
        <w:t xml:space="preserve"> technological progress and innovation.</w:t>
      </w:r>
      <w:r w:rsidR="00B34723" w:rsidRPr="005D699B">
        <w:t xml:space="preserve"> </w:t>
      </w:r>
      <w:r w:rsidR="0094203A" w:rsidRPr="005D699B">
        <w:t xml:space="preserve">The </w:t>
      </w:r>
      <w:proofErr w:type="spellStart"/>
      <w:r w:rsidR="00CD3A08" w:rsidRPr="005D699B">
        <w:t>CoE</w:t>
      </w:r>
      <w:proofErr w:type="spellEnd"/>
      <w:r w:rsidR="00CD3A08" w:rsidRPr="005D699B">
        <w:t xml:space="preserve"> Framework Convention </w:t>
      </w:r>
      <w:r w:rsidR="0094203A" w:rsidRPr="005D699B">
        <w:t xml:space="preserve">requires </w:t>
      </w:r>
      <w:r w:rsidR="00CD3A08">
        <w:t>S</w:t>
      </w:r>
      <w:r w:rsidR="0094203A" w:rsidRPr="005D699B">
        <w:t xml:space="preserve">tates to ensure </w:t>
      </w:r>
      <w:r w:rsidR="007E1ED4">
        <w:t>“that activities within the lifecycle of artificial intelligence systems are fully consistence with human rights, democracy and the rule of law”</w:t>
      </w:r>
      <w:r w:rsidR="00F16B80" w:rsidRPr="005D699B">
        <w:t>.</w:t>
      </w:r>
      <w:r w:rsidR="007E1ED4" w:rsidRPr="005D699B">
        <w:rPr>
          <w:rStyle w:val="FootnoteReference"/>
        </w:rPr>
        <w:footnoteReference w:id="91"/>
      </w:r>
      <w:r w:rsidR="007E1ED4" w:rsidRPr="005D699B">
        <w:t xml:space="preserve"> </w:t>
      </w:r>
      <w:r w:rsidR="00F16B80" w:rsidRPr="005D699B">
        <w:t xml:space="preserve">It also </w:t>
      </w:r>
      <w:r w:rsidR="00766FC6">
        <w:t>requires State Parties to:</w:t>
      </w:r>
    </w:p>
    <w:p w14:paraId="634A751D" w14:textId="77777777" w:rsidR="00766FC6" w:rsidRDefault="00766FC6" w:rsidP="003A3CC7">
      <w:pPr>
        <w:pStyle w:val="Quote"/>
      </w:pPr>
    </w:p>
    <w:p w14:paraId="242DAF43" w14:textId="3A7BC1E9" w:rsidR="00D91946" w:rsidRPr="005D699B" w:rsidRDefault="00766FC6" w:rsidP="003A3CC7">
      <w:pPr>
        <w:pStyle w:val="Quote"/>
      </w:pPr>
      <w:r>
        <w:t>assess the need for a moratorium or ban or other appropriate measures in respect of certain uses of artificial intelligence systems where it considers such uses incompatible with the respect for human rights, the functioning of democracy or the rule of law</w:t>
      </w:r>
      <w:r w:rsidR="00F16B80" w:rsidRPr="005D699B">
        <w:t>.</w:t>
      </w:r>
      <w:r w:rsidR="00496A9D" w:rsidRPr="005D699B">
        <w:rPr>
          <w:rStyle w:val="FootnoteReference"/>
        </w:rPr>
        <w:footnoteReference w:id="92"/>
      </w:r>
      <w:r w:rsidR="00F16B80" w:rsidRPr="005D699B">
        <w:t xml:space="preserve"> </w:t>
      </w:r>
    </w:p>
    <w:p w14:paraId="20446057" w14:textId="77777777" w:rsidR="00B73F64" w:rsidRPr="005D699B" w:rsidRDefault="00B73F64" w:rsidP="005D699B">
      <w:pPr>
        <w:pStyle w:val="ListParagraph"/>
        <w:contextualSpacing w:val="0"/>
      </w:pPr>
    </w:p>
    <w:p w14:paraId="1756A03B" w14:textId="2537DD73" w:rsidR="009D5BE6" w:rsidRPr="005D699B" w:rsidRDefault="0098146A" w:rsidP="0063489A">
      <w:pPr>
        <w:pStyle w:val="ListParagraph"/>
        <w:numPr>
          <w:ilvl w:val="1"/>
          <w:numId w:val="38"/>
        </w:numPr>
        <w:contextualSpacing w:val="0"/>
      </w:pPr>
      <w:r w:rsidRPr="005D699B">
        <w:t>The NIHRC welcomes the Department</w:t>
      </w:r>
      <w:r w:rsidR="00C71A17" w:rsidRPr="005D699B">
        <w:t xml:space="preserve"> </w:t>
      </w:r>
      <w:r w:rsidR="00C71A17" w:rsidRPr="005D699B">
        <w:rPr>
          <w:color w:val="000000" w:themeColor="text1"/>
        </w:rPr>
        <w:t>of Justice</w:t>
      </w:r>
      <w:r w:rsidRPr="005D699B">
        <w:t>’</w:t>
      </w:r>
      <w:r w:rsidR="007102C8" w:rsidRPr="005D699B">
        <w:t>s</w:t>
      </w:r>
      <w:r w:rsidRPr="005D699B">
        <w:t xml:space="preserve"> efforts to address the </w:t>
      </w:r>
      <w:r w:rsidR="00FC4C6D" w:rsidRPr="005D699B">
        <w:t xml:space="preserve">harmful human rights effects of </w:t>
      </w:r>
      <w:r w:rsidR="00832720" w:rsidRPr="005D699B">
        <w:t>artificial intelligence</w:t>
      </w:r>
      <w:r w:rsidR="00FC4C6D" w:rsidRPr="005D699B">
        <w:t>-facilitated sexual abuse</w:t>
      </w:r>
      <w:r w:rsidR="00766FC6">
        <w:t xml:space="preserve"> in the proposed consultation do</w:t>
      </w:r>
      <w:r w:rsidR="00C352B0">
        <w:t>c</w:t>
      </w:r>
      <w:r w:rsidR="00766FC6">
        <w:t>ument</w:t>
      </w:r>
      <w:r w:rsidR="00F33FFB" w:rsidRPr="005D699B">
        <w:t xml:space="preserve">. </w:t>
      </w:r>
      <w:r w:rsidR="00C352B0">
        <w:t>However, t</w:t>
      </w:r>
      <w:r w:rsidR="00F33FFB" w:rsidRPr="005D699B">
        <w:t xml:space="preserve">he Department </w:t>
      </w:r>
      <w:r w:rsidR="002A4CE6" w:rsidRPr="005D699B">
        <w:t xml:space="preserve">of Justice </w:t>
      </w:r>
      <w:r w:rsidR="00D54CC5" w:rsidRPr="005D699B">
        <w:t xml:space="preserve">needs to ensure </w:t>
      </w:r>
      <w:r w:rsidR="001A4AC9" w:rsidRPr="005D699B">
        <w:t xml:space="preserve">that </w:t>
      </w:r>
      <w:r w:rsidR="00A2572D" w:rsidRPr="005D699B">
        <w:t>the investigative techniques</w:t>
      </w:r>
      <w:r w:rsidR="00D54CC5" w:rsidRPr="005D699B">
        <w:t xml:space="preserve"> </w:t>
      </w:r>
      <w:r w:rsidR="00A7346E" w:rsidRPr="005D699B">
        <w:t>aimed at</w:t>
      </w:r>
      <w:r w:rsidR="00B958E0" w:rsidRPr="005D699B">
        <w:t xml:space="preserve"> tackling the proposed</w:t>
      </w:r>
      <w:r w:rsidR="001A4AC9" w:rsidRPr="005D699B">
        <w:t xml:space="preserve"> offences are </w:t>
      </w:r>
      <w:r w:rsidR="00CC7338" w:rsidRPr="005D699B">
        <w:t xml:space="preserve">effective </w:t>
      </w:r>
      <w:r w:rsidR="00042B10" w:rsidRPr="005D699B">
        <w:t>to secure proceedings</w:t>
      </w:r>
      <w:r w:rsidR="00BC26DF" w:rsidRPr="005D699B">
        <w:t xml:space="preserve"> </w:t>
      </w:r>
      <w:r w:rsidR="00042B10" w:rsidRPr="005D699B">
        <w:t>and</w:t>
      </w:r>
      <w:r w:rsidR="006E1827">
        <w:t>,</w:t>
      </w:r>
      <w:r w:rsidR="00042B10" w:rsidRPr="005D699B">
        <w:t xml:space="preserve"> eventually</w:t>
      </w:r>
      <w:r w:rsidR="006E1827">
        <w:t>,</w:t>
      </w:r>
      <w:r w:rsidR="00042B10" w:rsidRPr="005D699B">
        <w:t xml:space="preserve"> convictions</w:t>
      </w:r>
      <w:r w:rsidR="00B74E73" w:rsidRPr="005D699B">
        <w:t xml:space="preserve">. The legislation needs to </w:t>
      </w:r>
      <w:r w:rsidR="00E62FFB">
        <w:t>clearly</w:t>
      </w:r>
      <w:r w:rsidR="00C352B0">
        <w:t xml:space="preserve"> address </w:t>
      </w:r>
      <w:r w:rsidR="00E62FFB">
        <w:t xml:space="preserve">and protect against </w:t>
      </w:r>
      <w:r w:rsidR="00B74E73" w:rsidRPr="005D699B">
        <w:t xml:space="preserve">the different risks posed by </w:t>
      </w:r>
      <w:r w:rsidR="00832720" w:rsidRPr="005D699B">
        <w:t>artificial intelligence</w:t>
      </w:r>
      <w:r w:rsidR="00B74E73" w:rsidRPr="005D699B">
        <w:t xml:space="preserve"> </w:t>
      </w:r>
      <w:r w:rsidR="00E7775C" w:rsidRPr="005D699B">
        <w:t>deployment and</w:t>
      </w:r>
      <w:r w:rsidR="00B74E73" w:rsidRPr="005D699B">
        <w:t xml:space="preserve"> be flexible to adapt</w:t>
      </w:r>
      <w:r w:rsidR="003E6575" w:rsidRPr="005D699B">
        <w:t xml:space="preserve"> to new developments in the technology. </w:t>
      </w:r>
      <w:r w:rsidR="00B74E73" w:rsidRPr="005D699B">
        <w:t xml:space="preserve">  </w:t>
      </w:r>
    </w:p>
    <w:p w14:paraId="5BA2FD56" w14:textId="77777777" w:rsidR="00B73F64" w:rsidRPr="005D699B" w:rsidRDefault="00B73F64" w:rsidP="00766FC6">
      <w:pPr>
        <w:pStyle w:val="ListParagraph"/>
        <w:contextualSpacing w:val="0"/>
      </w:pPr>
    </w:p>
    <w:p w14:paraId="39159C1D" w14:textId="6AA8F47D" w:rsidR="00B73F64" w:rsidRPr="002424F7" w:rsidRDefault="009D5BE6" w:rsidP="0063489A">
      <w:pPr>
        <w:pStyle w:val="ListParagraph"/>
        <w:numPr>
          <w:ilvl w:val="1"/>
          <w:numId w:val="38"/>
        </w:numPr>
        <w:contextualSpacing w:val="0"/>
        <w:rPr>
          <w:b/>
          <w:bCs/>
        </w:rPr>
      </w:pPr>
      <w:r w:rsidRPr="005D699B">
        <w:rPr>
          <w:b/>
          <w:bCs/>
        </w:rPr>
        <w:t>The</w:t>
      </w:r>
      <w:r w:rsidR="00DA4BAD" w:rsidRPr="005D699B">
        <w:rPr>
          <w:b/>
          <w:bCs/>
        </w:rPr>
        <w:t xml:space="preserve"> NIHRC recommends that the Department</w:t>
      </w:r>
      <w:r w:rsidR="003128B9" w:rsidRPr="005D699B">
        <w:rPr>
          <w:b/>
          <w:bCs/>
        </w:rPr>
        <w:t xml:space="preserve"> of Justice</w:t>
      </w:r>
      <w:r w:rsidR="00DA4BAD" w:rsidRPr="005D699B">
        <w:rPr>
          <w:b/>
          <w:bCs/>
        </w:rPr>
        <w:t xml:space="preserve"> ensures that legislation criminalising creating</w:t>
      </w:r>
      <w:r w:rsidR="003128B9" w:rsidRPr="005D699B">
        <w:rPr>
          <w:b/>
          <w:bCs/>
        </w:rPr>
        <w:t xml:space="preserve"> or</w:t>
      </w:r>
      <w:r w:rsidR="002448AC" w:rsidRPr="005D699B">
        <w:rPr>
          <w:b/>
          <w:bCs/>
        </w:rPr>
        <w:t xml:space="preserve"> </w:t>
      </w:r>
      <w:r w:rsidR="00DA4BAD" w:rsidRPr="005D699B">
        <w:rPr>
          <w:b/>
          <w:bCs/>
        </w:rPr>
        <w:t>requesting the creation</w:t>
      </w:r>
      <w:r w:rsidR="003128B9" w:rsidRPr="005D699B">
        <w:rPr>
          <w:b/>
          <w:bCs/>
        </w:rPr>
        <w:t>,</w:t>
      </w:r>
      <w:r w:rsidR="00DA4BAD" w:rsidRPr="005D699B">
        <w:rPr>
          <w:b/>
          <w:bCs/>
        </w:rPr>
        <w:t xml:space="preserve"> or sharing</w:t>
      </w:r>
      <w:r w:rsidR="003128B9" w:rsidRPr="005D699B">
        <w:rPr>
          <w:b/>
          <w:bCs/>
        </w:rPr>
        <w:t xml:space="preserve"> or </w:t>
      </w:r>
      <w:r w:rsidR="00DA4BAD" w:rsidRPr="005D699B">
        <w:rPr>
          <w:b/>
          <w:bCs/>
        </w:rPr>
        <w:t>threatening to share</w:t>
      </w:r>
      <w:r w:rsidR="00112DF4" w:rsidRPr="005D699B">
        <w:rPr>
          <w:b/>
          <w:bCs/>
        </w:rPr>
        <w:t>,</w:t>
      </w:r>
      <w:r w:rsidR="00DA4BAD" w:rsidRPr="005D699B">
        <w:rPr>
          <w:b/>
          <w:bCs/>
        </w:rPr>
        <w:t xml:space="preserve"> non-consensual sexually explicit deepfakes is embedded in human rights law, including the standards applicable to digital gender-based violence</w:t>
      </w:r>
      <w:r w:rsidR="00112DF4" w:rsidRPr="005D699B">
        <w:rPr>
          <w:b/>
          <w:bCs/>
        </w:rPr>
        <w:t>. Also</w:t>
      </w:r>
      <w:r w:rsidR="00952924">
        <w:rPr>
          <w:b/>
          <w:bCs/>
        </w:rPr>
        <w:t>,</w:t>
      </w:r>
      <w:r w:rsidR="00112DF4" w:rsidRPr="005D699B">
        <w:rPr>
          <w:b/>
          <w:bCs/>
        </w:rPr>
        <w:t xml:space="preserve"> that this</w:t>
      </w:r>
      <w:r w:rsidR="00DA4BAD" w:rsidRPr="005D699B">
        <w:rPr>
          <w:b/>
          <w:bCs/>
        </w:rPr>
        <w:t xml:space="preserve"> is </w:t>
      </w:r>
      <w:r w:rsidR="00E62FFB">
        <w:rPr>
          <w:b/>
          <w:bCs/>
        </w:rPr>
        <w:t>clear</w:t>
      </w:r>
      <w:r w:rsidR="00DA4BAD" w:rsidRPr="005D699B">
        <w:rPr>
          <w:b/>
          <w:bCs/>
        </w:rPr>
        <w:t xml:space="preserve"> and adaptable to </w:t>
      </w:r>
      <w:r w:rsidR="002448AC" w:rsidRPr="005D699B">
        <w:rPr>
          <w:b/>
          <w:bCs/>
        </w:rPr>
        <w:t>artificial intelligence</w:t>
      </w:r>
      <w:r w:rsidR="00DA4BAD" w:rsidRPr="005D699B">
        <w:rPr>
          <w:b/>
          <w:bCs/>
        </w:rPr>
        <w:t xml:space="preserve"> developments, </w:t>
      </w:r>
      <w:r w:rsidR="00036125">
        <w:rPr>
          <w:b/>
          <w:bCs/>
        </w:rPr>
        <w:t>with</w:t>
      </w:r>
      <w:r w:rsidR="00825878">
        <w:rPr>
          <w:b/>
          <w:bCs/>
        </w:rPr>
        <w:t xml:space="preserve"> a</w:t>
      </w:r>
      <w:r w:rsidR="00036125">
        <w:rPr>
          <w:b/>
          <w:bCs/>
        </w:rPr>
        <w:t xml:space="preserve"> view to </w:t>
      </w:r>
      <w:r w:rsidR="00DA4BAD" w:rsidRPr="005D699B">
        <w:rPr>
          <w:b/>
          <w:bCs/>
        </w:rPr>
        <w:t>provid</w:t>
      </w:r>
      <w:r w:rsidR="00036125">
        <w:rPr>
          <w:b/>
          <w:bCs/>
        </w:rPr>
        <w:t>ing</w:t>
      </w:r>
      <w:r w:rsidR="00DA4BAD" w:rsidRPr="005D699B">
        <w:rPr>
          <w:b/>
          <w:bCs/>
        </w:rPr>
        <w:t xml:space="preserve"> for meaningful redress for victims </w:t>
      </w:r>
      <w:r w:rsidR="00036125">
        <w:rPr>
          <w:b/>
          <w:bCs/>
        </w:rPr>
        <w:t>and ensuring that perpetrators are effectively investigated,</w:t>
      </w:r>
      <w:r w:rsidR="00DA4BAD" w:rsidRPr="005D699B">
        <w:rPr>
          <w:b/>
          <w:bCs/>
        </w:rPr>
        <w:t xml:space="preserve"> prosecut</w:t>
      </w:r>
      <w:r w:rsidR="00036125">
        <w:rPr>
          <w:b/>
          <w:bCs/>
        </w:rPr>
        <w:t>ed</w:t>
      </w:r>
      <w:r w:rsidR="00DA4BAD" w:rsidRPr="005D699B">
        <w:rPr>
          <w:b/>
          <w:bCs/>
        </w:rPr>
        <w:t xml:space="preserve"> and convict</w:t>
      </w:r>
      <w:r w:rsidR="00036125">
        <w:rPr>
          <w:b/>
          <w:bCs/>
        </w:rPr>
        <w:t>ed</w:t>
      </w:r>
      <w:r w:rsidRPr="005D699B">
        <w:rPr>
          <w:b/>
          <w:bCs/>
        </w:rPr>
        <w:t>.</w:t>
      </w:r>
    </w:p>
    <w:p w14:paraId="684BA569" w14:textId="77777777" w:rsidR="00B73F64" w:rsidRPr="005D699B" w:rsidRDefault="00B73F64" w:rsidP="002424F7">
      <w:pPr>
        <w:spacing w:before="240" w:after="240"/>
        <w:rPr>
          <w:b/>
          <w:bCs/>
        </w:rPr>
      </w:pPr>
    </w:p>
    <w:p w14:paraId="7ED984AF" w14:textId="549CD38B" w:rsidR="00D77A42" w:rsidRPr="005D699B" w:rsidRDefault="00B73F64" w:rsidP="00924570">
      <w:pPr>
        <w:pStyle w:val="Heading1"/>
      </w:pPr>
      <w:bookmarkStart w:id="12" w:name="_Toc209087430"/>
      <w:r w:rsidRPr="005D699B">
        <w:lastRenderedPageBreak/>
        <w:t>3.0</w:t>
      </w:r>
      <w:r w:rsidR="008F54D2">
        <w:tab/>
      </w:r>
      <w:r w:rsidRPr="005D699B">
        <w:tab/>
      </w:r>
      <w:r w:rsidR="00B163B6" w:rsidRPr="005D699B">
        <w:t xml:space="preserve">Specific </w:t>
      </w:r>
      <w:r w:rsidRPr="005D699B">
        <w:t>I</w:t>
      </w:r>
      <w:r w:rsidR="00B163B6" w:rsidRPr="005D699B">
        <w:t xml:space="preserve">ssues within the </w:t>
      </w:r>
      <w:r w:rsidRPr="005D699B">
        <w:t>P</w:t>
      </w:r>
      <w:r w:rsidR="00D77A42" w:rsidRPr="005D699B">
        <w:t>roposals to Criminalise Sexually Explicit Deepfake Images</w:t>
      </w:r>
      <w:bookmarkEnd w:id="12"/>
    </w:p>
    <w:p w14:paraId="2703A1A0" w14:textId="5B9266B2" w:rsidR="00F31B4E" w:rsidRPr="005D699B" w:rsidRDefault="00F31B4E" w:rsidP="002424F7">
      <w:pPr>
        <w:pStyle w:val="Heading3"/>
        <w:spacing w:before="240" w:after="240"/>
        <w:rPr>
          <w:i/>
          <w:iCs/>
        </w:rPr>
      </w:pPr>
      <w:bookmarkStart w:id="13" w:name="_Toc209087431"/>
      <w:r w:rsidRPr="005D699B">
        <w:t>Victim-centred</w:t>
      </w:r>
      <w:r w:rsidR="006E2FF1" w:rsidRPr="005D699B">
        <w:t xml:space="preserve"> </w:t>
      </w:r>
      <w:r w:rsidRPr="005D699B">
        <w:t>approach</w:t>
      </w:r>
      <w:bookmarkEnd w:id="13"/>
    </w:p>
    <w:p w14:paraId="1FEF4772" w14:textId="77777777" w:rsidR="0063489A" w:rsidRPr="0063489A" w:rsidRDefault="00606D1D" w:rsidP="0063489A">
      <w:pPr>
        <w:pStyle w:val="ListParagraph"/>
        <w:numPr>
          <w:ilvl w:val="1"/>
          <w:numId w:val="37"/>
        </w:numPr>
        <w:rPr>
          <w:i/>
          <w:iCs/>
        </w:rPr>
      </w:pPr>
      <w:r w:rsidRPr="005D699B">
        <w:t>Victims of image-based sexual abuse can suffer severe psychological harm, harassment, damage to their reputation and career, and even financial losses due to extortion or legal actions taken to seek remedies.</w:t>
      </w:r>
      <w:r w:rsidRPr="005D699B">
        <w:rPr>
          <w:rStyle w:val="FootnoteReference"/>
        </w:rPr>
        <w:footnoteReference w:id="93"/>
      </w:r>
    </w:p>
    <w:p w14:paraId="14873D2A" w14:textId="77777777" w:rsidR="0063489A" w:rsidRPr="0063489A" w:rsidRDefault="0063489A" w:rsidP="0063489A">
      <w:pPr>
        <w:pStyle w:val="ListParagraph"/>
        <w:rPr>
          <w:i/>
          <w:iCs/>
        </w:rPr>
      </w:pPr>
    </w:p>
    <w:p w14:paraId="3E2AA6BC" w14:textId="77777777" w:rsidR="0063489A" w:rsidRPr="0063489A" w:rsidRDefault="001D24C7" w:rsidP="0063489A">
      <w:pPr>
        <w:pStyle w:val="ListParagraph"/>
        <w:numPr>
          <w:ilvl w:val="1"/>
          <w:numId w:val="37"/>
        </w:numPr>
        <w:rPr>
          <w:i/>
          <w:iCs/>
        </w:rPr>
      </w:pPr>
      <w:r w:rsidRPr="005D699B">
        <w:t>D</w:t>
      </w:r>
      <w:r w:rsidR="001D0C77" w:rsidRPr="005D699B">
        <w:t>espite acknowledging the particularly harmful consequences of non-consensual sexually explicit deepfakes for victims, the Department</w:t>
      </w:r>
      <w:r w:rsidR="00783883" w:rsidRPr="005D699B">
        <w:t xml:space="preserve"> of Justice</w:t>
      </w:r>
      <w:r w:rsidR="001D0C77" w:rsidRPr="005D699B">
        <w:t>’s proposal</w:t>
      </w:r>
      <w:r w:rsidR="00924344" w:rsidRPr="005D699B">
        <w:t>s</w:t>
      </w:r>
      <w:r w:rsidR="001D0C77" w:rsidRPr="005D699B">
        <w:t xml:space="preserve"> do not explicitly include a victim-centred approach to the legislation.</w:t>
      </w:r>
    </w:p>
    <w:p w14:paraId="054B42E8" w14:textId="77777777" w:rsidR="0063489A" w:rsidRDefault="0063489A" w:rsidP="0063489A">
      <w:pPr>
        <w:pStyle w:val="ListParagraph"/>
      </w:pPr>
    </w:p>
    <w:p w14:paraId="673E2B5F" w14:textId="77777777" w:rsidR="0063489A" w:rsidRPr="0063489A" w:rsidRDefault="006E78E3" w:rsidP="0063489A">
      <w:pPr>
        <w:pStyle w:val="ListParagraph"/>
        <w:numPr>
          <w:ilvl w:val="1"/>
          <w:numId w:val="37"/>
        </w:numPr>
        <w:rPr>
          <w:i/>
          <w:iCs/>
        </w:rPr>
      </w:pPr>
      <w:r w:rsidRPr="005D699B">
        <w:t xml:space="preserve">A victim-centred approach is advocated </w:t>
      </w:r>
      <w:r w:rsidR="00BB347E" w:rsidRPr="005D699B">
        <w:t>within the UN CEDAW</w:t>
      </w:r>
      <w:r w:rsidR="002535D3" w:rsidRPr="005D699B">
        <w:t>.</w:t>
      </w:r>
      <w:r w:rsidR="00D820EB" w:rsidRPr="005D699B">
        <w:rPr>
          <w:rStyle w:val="FootnoteReference"/>
        </w:rPr>
        <w:footnoteReference w:id="94"/>
      </w:r>
      <w:r w:rsidR="00BB347E" w:rsidRPr="005D699B">
        <w:t xml:space="preserve"> </w:t>
      </w:r>
      <w:r w:rsidR="00800FF9" w:rsidRPr="005D699B">
        <w:t>Similarly,</w:t>
      </w:r>
      <w:r w:rsidR="00B920B8" w:rsidRPr="005D699B">
        <w:t xml:space="preserve"> the Istanbul Convention provides that States must take measures to protect the rights and needs of victims</w:t>
      </w:r>
      <w:r w:rsidR="002138E2" w:rsidRPr="005D699B">
        <w:t xml:space="preserve"> throughout</w:t>
      </w:r>
      <w:r w:rsidR="00B920B8" w:rsidRPr="005D699B">
        <w:t xml:space="preserve"> judicial proceedings, including “providing for their protection, as well as that of their families and witnesses, from intimidation, retaliation and repeat victimisation”.</w:t>
      </w:r>
      <w:r w:rsidR="000407EC" w:rsidRPr="005D699B">
        <w:rPr>
          <w:rStyle w:val="FootnoteReference"/>
        </w:rPr>
        <w:footnoteReference w:id="95"/>
      </w:r>
      <w:r w:rsidR="00B920B8" w:rsidRPr="005D699B">
        <w:t xml:space="preserve">  </w:t>
      </w:r>
    </w:p>
    <w:p w14:paraId="5712BD97" w14:textId="77777777" w:rsidR="0063489A" w:rsidRDefault="0063489A" w:rsidP="0063489A">
      <w:pPr>
        <w:pStyle w:val="ListParagraph"/>
      </w:pPr>
    </w:p>
    <w:p w14:paraId="6BEA63E9" w14:textId="77777777" w:rsidR="0063489A" w:rsidRPr="0063489A" w:rsidRDefault="00F1593C" w:rsidP="0063489A">
      <w:pPr>
        <w:pStyle w:val="ListParagraph"/>
        <w:numPr>
          <w:ilvl w:val="1"/>
          <w:numId w:val="37"/>
        </w:numPr>
        <w:rPr>
          <w:i/>
          <w:iCs/>
        </w:rPr>
      </w:pPr>
      <w:r w:rsidRPr="005D699B">
        <w:t>According to the</w:t>
      </w:r>
      <w:r w:rsidR="00F64B41" w:rsidRPr="005D699B">
        <w:t xml:space="preserve"> </w:t>
      </w:r>
      <w:r w:rsidR="00BE302E" w:rsidRPr="005D699B">
        <w:t>UN Basic Principles of Justice for Victims of Crime and Abuse of Power “victims should be treated with compassion and respect for dignity”.</w:t>
      </w:r>
      <w:r w:rsidR="00BE302E" w:rsidRPr="005D699B">
        <w:rPr>
          <w:vertAlign w:val="superscript"/>
        </w:rPr>
        <w:footnoteReference w:id="96"/>
      </w:r>
      <w:r w:rsidR="00BE302E" w:rsidRPr="005D699B">
        <w:t xml:space="preserve"> The UN Basic Principles and Guidelines on the Right to a Remedy and Reparation for Victims also provides that </w:t>
      </w:r>
      <w:r w:rsidR="00BE302E" w:rsidRPr="005D699B">
        <w:lastRenderedPageBreak/>
        <w:t xml:space="preserve">appropriate measures </w:t>
      </w:r>
      <w:r w:rsidR="00FD2B95" w:rsidRPr="005D699B">
        <w:t>must be taken to ensure the safety, well-being and privacy of victims and their families</w:t>
      </w:r>
      <w:r w:rsidR="00BE302E" w:rsidRPr="005D699B">
        <w:t xml:space="preserve"> and “that a victim who has suffered violence or trauma should benefit from special consideration and care to avoid his or her re-traumatisation”.</w:t>
      </w:r>
      <w:r w:rsidR="00BE302E" w:rsidRPr="005D699B">
        <w:rPr>
          <w:vertAlign w:val="superscript"/>
        </w:rPr>
        <w:footnoteReference w:id="97"/>
      </w:r>
      <w:r w:rsidR="00BE302E" w:rsidRPr="005D699B">
        <w:t xml:space="preserve"> </w:t>
      </w:r>
      <w:r w:rsidR="003B1153" w:rsidRPr="005D699B">
        <w:t>T</w:t>
      </w:r>
      <w:r w:rsidR="00BE302E" w:rsidRPr="005D699B">
        <w:t xml:space="preserve">he UN CAT </w:t>
      </w:r>
      <w:r w:rsidR="003B1153" w:rsidRPr="005D699B">
        <w:t>Committee makes a similar recommendation</w:t>
      </w:r>
      <w:r w:rsidR="00BE302E" w:rsidRPr="005D699B">
        <w:t xml:space="preserve"> </w:t>
      </w:r>
      <w:r w:rsidR="003B1153" w:rsidRPr="005D699B">
        <w:t xml:space="preserve">and </w:t>
      </w:r>
      <w:r w:rsidR="00BE302E" w:rsidRPr="005D699B">
        <w:t>calls for sensitivity towards marginalised or high</w:t>
      </w:r>
      <w:r w:rsidR="00056E12" w:rsidRPr="005D699B">
        <w:t>-</w:t>
      </w:r>
      <w:r w:rsidR="00BE302E" w:rsidRPr="005D699B">
        <w:t>risk groups or individuals for the purposes of preventing re-traumatisation and stigmatisation.</w:t>
      </w:r>
      <w:r w:rsidR="00BE302E" w:rsidRPr="005D699B">
        <w:rPr>
          <w:vertAlign w:val="superscript"/>
        </w:rPr>
        <w:footnoteReference w:id="98"/>
      </w:r>
      <w:r w:rsidR="00BE302E" w:rsidRPr="005D699B">
        <w:t xml:space="preserve"> </w:t>
      </w:r>
    </w:p>
    <w:p w14:paraId="1A07CE71" w14:textId="77777777" w:rsidR="0063489A" w:rsidRDefault="0063489A" w:rsidP="0063489A">
      <w:pPr>
        <w:pStyle w:val="ListParagraph"/>
      </w:pPr>
    </w:p>
    <w:p w14:paraId="27F97B6A" w14:textId="77777777" w:rsidR="0063489A" w:rsidRPr="0063489A" w:rsidRDefault="00631043" w:rsidP="0063489A">
      <w:pPr>
        <w:pStyle w:val="ListParagraph"/>
        <w:numPr>
          <w:ilvl w:val="1"/>
          <w:numId w:val="37"/>
        </w:numPr>
        <w:rPr>
          <w:i/>
          <w:iCs/>
        </w:rPr>
      </w:pPr>
      <w:r w:rsidRPr="005D699B">
        <w:t>F</w:t>
      </w:r>
      <w:r w:rsidR="001738C4" w:rsidRPr="005D699B">
        <w:t>ailure to provide appropriate protection for victims poses an obstacle to the right to an effective remedy</w:t>
      </w:r>
      <w:r w:rsidRPr="005D699B">
        <w:t>.</w:t>
      </w:r>
      <w:r w:rsidR="00EF4CA2" w:rsidRPr="005D699B">
        <w:rPr>
          <w:rStyle w:val="FootnoteReference"/>
        </w:rPr>
        <w:footnoteReference w:id="99"/>
      </w:r>
      <w:r w:rsidRPr="005D699B">
        <w:t xml:space="preserve"> </w:t>
      </w:r>
      <w:r w:rsidR="00AC6F3B">
        <w:t>Moreover, r</w:t>
      </w:r>
      <w:r w:rsidRPr="005D699B">
        <w:t>e-victimisation</w:t>
      </w:r>
      <w:r w:rsidR="00933366" w:rsidRPr="005D699B">
        <w:t xml:space="preserve"> </w:t>
      </w:r>
      <w:r w:rsidR="00EF4CA2" w:rsidRPr="005D699B">
        <w:t>during</w:t>
      </w:r>
      <w:r w:rsidR="00933366" w:rsidRPr="005D699B">
        <w:t xml:space="preserve"> criminal </w:t>
      </w:r>
      <w:r w:rsidR="00EF4CA2" w:rsidRPr="005D699B">
        <w:t>investigations</w:t>
      </w:r>
      <w:r w:rsidR="00933366" w:rsidRPr="005D699B">
        <w:t xml:space="preserve"> and proceedings</w:t>
      </w:r>
      <w:r w:rsidR="008B5844" w:rsidRPr="005D699B">
        <w:t xml:space="preserve"> </w:t>
      </w:r>
      <w:r w:rsidR="00002FA0" w:rsidRPr="005D699B">
        <w:t>may inhibit victims from making complaints due to fears of secondary victimisation by the process.</w:t>
      </w:r>
      <w:r w:rsidR="00002FA0" w:rsidRPr="005D699B">
        <w:rPr>
          <w:rStyle w:val="FootnoteReference"/>
        </w:rPr>
        <w:footnoteReference w:id="100"/>
      </w:r>
      <w:r w:rsidR="001738C4" w:rsidRPr="005D699B">
        <w:t xml:space="preserve"> </w:t>
      </w:r>
    </w:p>
    <w:p w14:paraId="290063C8" w14:textId="77777777" w:rsidR="0063489A" w:rsidRPr="0063489A" w:rsidRDefault="0063489A" w:rsidP="0063489A">
      <w:pPr>
        <w:pStyle w:val="ListParagraph"/>
        <w:rPr>
          <w:b/>
          <w:bCs/>
        </w:rPr>
      </w:pPr>
    </w:p>
    <w:p w14:paraId="1EF53E4A" w14:textId="6A751026" w:rsidR="00B73F64" w:rsidRPr="0063489A" w:rsidRDefault="00E26DA9" w:rsidP="0063489A">
      <w:pPr>
        <w:pStyle w:val="ListParagraph"/>
        <w:numPr>
          <w:ilvl w:val="1"/>
          <w:numId w:val="37"/>
        </w:numPr>
        <w:rPr>
          <w:i/>
          <w:iCs/>
        </w:rPr>
      </w:pPr>
      <w:r w:rsidRPr="0063489A">
        <w:rPr>
          <w:b/>
          <w:bCs/>
        </w:rPr>
        <w:t>T</w:t>
      </w:r>
      <w:r w:rsidR="003A1F96" w:rsidRPr="0063489A">
        <w:rPr>
          <w:b/>
          <w:bCs/>
        </w:rPr>
        <w:t xml:space="preserve">he </w:t>
      </w:r>
      <w:r w:rsidR="00C25417" w:rsidRPr="0063489A">
        <w:rPr>
          <w:b/>
          <w:bCs/>
        </w:rPr>
        <w:t xml:space="preserve">NIHRC recommends that the Department </w:t>
      </w:r>
      <w:r w:rsidR="00B73F64" w:rsidRPr="0063489A">
        <w:rPr>
          <w:b/>
          <w:bCs/>
        </w:rPr>
        <w:t xml:space="preserve">of Justice </w:t>
      </w:r>
      <w:r w:rsidR="00C25417" w:rsidRPr="0063489A">
        <w:rPr>
          <w:b/>
          <w:bCs/>
        </w:rPr>
        <w:t>adopts a victim-centred approach in the design</w:t>
      </w:r>
      <w:r w:rsidR="00F60005" w:rsidRPr="0063489A">
        <w:rPr>
          <w:b/>
          <w:bCs/>
        </w:rPr>
        <w:t>,</w:t>
      </w:r>
      <w:r w:rsidR="00C25417" w:rsidRPr="0063489A">
        <w:rPr>
          <w:b/>
          <w:bCs/>
        </w:rPr>
        <w:t xml:space="preserve"> implementation </w:t>
      </w:r>
      <w:r w:rsidR="00F60005" w:rsidRPr="0063489A">
        <w:rPr>
          <w:b/>
          <w:bCs/>
        </w:rPr>
        <w:t xml:space="preserve">and monitoring </w:t>
      </w:r>
      <w:r w:rsidR="00C25417" w:rsidRPr="0063489A">
        <w:rPr>
          <w:b/>
          <w:bCs/>
        </w:rPr>
        <w:t>of the legislation</w:t>
      </w:r>
      <w:r w:rsidR="003A1F96" w:rsidRPr="0063489A">
        <w:rPr>
          <w:b/>
          <w:bCs/>
        </w:rPr>
        <w:t>.</w:t>
      </w:r>
      <w:r w:rsidR="00B87BA7" w:rsidRPr="0063489A">
        <w:rPr>
          <w:b/>
          <w:bCs/>
        </w:rPr>
        <w:t xml:space="preserve"> </w:t>
      </w:r>
      <w:r w:rsidR="00F60005" w:rsidRPr="0063489A">
        <w:rPr>
          <w:b/>
          <w:bCs/>
        </w:rPr>
        <w:t>This includes consideration of ensuring that a holistic approach is adopted.</w:t>
      </w:r>
    </w:p>
    <w:p w14:paraId="4595EF7D" w14:textId="77777777" w:rsidR="00057E0C" w:rsidRPr="00057E0C" w:rsidRDefault="00057E0C" w:rsidP="00057E0C">
      <w:pPr>
        <w:rPr>
          <w:b/>
          <w:bCs/>
        </w:rPr>
      </w:pPr>
    </w:p>
    <w:p w14:paraId="085174D4" w14:textId="0CDFB2A0" w:rsidR="00711E92" w:rsidRPr="005D699B" w:rsidRDefault="008D61EE" w:rsidP="00105D8E">
      <w:pPr>
        <w:pStyle w:val="Heading3"/>
        <w:spacing w:before="240" w:after="240"/>
        <w:rPr>
          <w:i/>
          <w:iCs/>
        </w:rPr>
      </w:pPr>
      <w:bookmarkStart w:id="14" w:name="_Toc209087432"/>
      <w:r w:rsidRPr="005D699B">
        <w:t xml:space="preserve">Gender-sensitive </w:t>
      </w:r>
      <w:r w:rsidR="00711E92" w:rsidRPr="005D699B">
        <w:t>approach</w:t>
      </w:r>
      <w:bookmarkEnd w:id="14"/>
    </w:p>
    <w:p w14:paraId="65FF8B42" w14:textId="4194875C" w:rsidR="005045E6" w:rsidRPr="0063489A" w:rsidRDefault="00B6162C" w:rsidP="0063489A">
      <w:pPr>
        <w:pStyle w:val="ListParagraph"/>
        <w:numPr>
          <w:ilvl w:val="1"/>
          <w:numId w:val="37"/>
        </w:numPr>
        <w:rPr>
          <w:vertAlign w:val="superscript"/>
        </w:rPr>
      </w:pPr>
      <w:r w:rsidRPr="005D699B">
        <w:t xml:space="preserve">The </w:t>
      </w:r>
      <w:r w:rsidR="00DA5E4C" w:rsidRPr="005D699B">
        <w:t>Department</w:t>
      </w:r>
      <w:r w:rsidR="00226EC4" w:rsidRPr="005D699B">
        <w:t xml:space="preserve"> of Justice</w:t>
      </w:r>
      <w:r w:rsidR="00DA5E4C" w:rsidRPr="005D699B">
        <w:t xml:space="preserve">’s consultation mentions that </w:t>
      </w:r>
      <w:r w:rsidR="00177F68" w:rsidRPr="0063489A">
        <w:rPr>
          <w:color w:val="000000" w:themeColor="text1"/>
        </w:rPr>
        <w:t>the non-consensual creation</w:t>
      </w:r>
      <w:r w:rsidR="00007DB1" w:rsidRPr="0063489A">
        <w:rPr>
          <w:color w:val="000000" w:themeColor="text1"/>
        </w:rPr>
        <w:t xml:space="preserve"> or </w:t>
      </w:r>
      <w:r w:rsidR="004F291C" w:rsidRPr="0063489A">
        <w:rPr>
          <w:color w:val="000000" w:themeColor="text1"/>
        </w:rPr>
        <w:t>request to create</w:t>
      </w:r>
      <w:r w:rsidR="00177F68" w:rsidRPr="0063489A">
        <w:rPr>
          <w:color w:val="000000" w:themeColor="text1"/>
        </w:rPr>
        <w:t xml:space="preserve"> and sharing</w:t>
      </w:r>
      <w:r w:rsidR="00007DB1" w:rsidRPr="0063489A">
        <w:rPr>
          <w:color w:val="000000" w:themeColor="text1"/>
        </w:rPr>
        <w:t xml:space="preserve"> or </w:t>
      </w:r>
      <w:r w:rsidR="004F291C" w:rsidRPr="0063489A">
        <w:rPr>
          <w:color w:val="000000" w:themeColor="text1"/>
        </w:rPr>
        <w:t>threat to share</w:t>
      </w:r>
      <w:r w:rsidR="00177F68" w:rsidRPr="0063489A">
        <w:rPr>
          <w:color w:val="000000" w:themeColor="text1"/>
        </w:rPr>
        <w:t xml:space="preserve"> sexually explicit deepfakes is a gender-based </w:t>
      </w:r>
      <w:r w:rsidR="002765F5" w:rsidRPr="0063489A">
        <w:rPr>
          <w:color w:val="000000" w:themeColor="text1"/>
        </w:rPr>
        <w:t>phenomenon</w:t>
      </w:r>
      <w:r w:rsidR="00177F68" w:rsidRPr="0063489A">
        <w:rPr>
          <w:color w:val="000000" w:themeColor="text1"/>
        </w:rPr>
        <w:t xml:space="preserve"> affecting mostly women and girls.</w:t>
      </w:r>
      <w:r w:rsidR="009C78CC" w:rsidRPr="005D699B">
        <w:rPr>
          <w:rStyle w:val="FootnoteReference"/>
          <w:color w:val="000000" w:themeColor="text1"/>
        </w:rPr>
        <w:footnoteReference w:id="101"/>
      </w:r>
      <w:r w:rsidR="002765F5" w:rsidRPr="0063489A">
        <w:rPr>
          <w:color w:val="000000" w:themeColor="text1"/>
        </w:rPr>
        <w:t xml:space="preserve"> </w:t>
      </w:r>
      <w:r w:rsidR="00F10201" w:rsidRPr="0063489A">
        <w:rPr>
          <w:color w:val="000000" w:themeColor="text1"/>
        </w:rPr>
        <w:t>The NIHRC welcomes this approach.</w:t>
      </w:r>
      <w:r w:rsidR="00A6662D" w:rsidRPr="0063489A">
        <w:rPr>
          <w:color w:val="000000" w:themeColor="text1"/>
        </w:rPr>
        <w:t xml:space="preserve"> However, consideration of intersectionality is missing.</w:t>
      </w:r>
    </w:p>
    <w:p w14:paraId="00DBB78B" w14:textId="77777777" w:rsidR="00B73F64" w:rsidRPr="005D699B" w:rsidRDefault="00B73F64" w:rsidP="005D699B">
      <w:pPr>
        <w:pStyle w:val="ListParagraph"/>
        <w:contextualSpacing w:val="0"/>
        <w:rPr>
          <w:vertAlign w:val="superscript"/>
        </w:rPr>
      </w:pPr>
    </w:p>
    <w:p w14:paraId="6E93246B" w14:textId="31ACABC3" w:rsidR="00D015DF" w:rsidRPr="005D699B" w:rsidRDefault="00D015DF" w:rsidP="0063489A">
      <w:pPr>
        <w:pStyle w:val="ListParagraph"/>
        <w:numPr>
          <w:ilvl w:val="1"/>
          <w:numId w:val="37"/>
        </w:numPr>
        <w:contextualSpacing w:val="0"/>
      </w:pPr>
      <w:r w:rsidRPr="005D699B">
        <w:lastRenderedPageBreak/>
        <w:t xml:space="preserve">Technology-facilitated gender-based violence is </w:t>
      </w:r>
      <w:r w:rsidR="002C1934">
        <w:t xml:space="preserve">recognised as </w:t>
      </w:r>
      <w:r w:rsidRPr="005D699B">
        <w:t>a form of gender-based discrimination</w:t>
      </w:r>
      <w:r w:rsidR="002C1934">
        <w:t>. It is</w:t>
      </w:r>
      <w:r w:rsidRPr="005D699B">
        <w:t xml:space="preserve"> defined as:</w:t>
      </w:r>
    </w:p>
    <w:p w14:paraId="02914E28" w14:textId="77777777" w:rsidR="00B73F64" w:rsidRPr="005D699B" w:rsidRDefault="00B73F64" w:rsidP="005D699B"/>
    <w:p w14:paraId="1DE90B3F" w14:textId="77777777" w:rsidR="00D015DF" w:rsidRPr="005D699B" w:rsidRDefault="00D015DF" w:rsidP="005D699B">
      <w:pPr>
        <w:pStyle w:val="Quote"/>
      </w:pPr>
      <w:r w:rsidRPr="005D699B">
        <w:t xml:space="preserve">any act that is committed, assisted, aggravated, or amplified </w:t>
      </w:r>
      <w:proofErr w:type="gramStart"/>
      <w:r w:rsidRPr="005D699B">
        <w:t>by the use of</w:t>
      </w:r>
      <w:proofErr w:type="gramEnd"/>
      <w:r w:rsidRPr="005D699B">
        <w:t xml:space="preserve"> information communication technologies or other digital tools, that results in or is likely to result in physical, sexual, psychological, social, political, or economic harm, or other infringements of rights and freedoms.</w:t>
      </w:r>
      <w:r w:rsidRPr="005D699B">
        <w:rPr>
          <w:rStyle w:val="FootnoteReference"/>
        </w:rPr>
        <w:footnoteReference w:id="102"/>
      </w:r>
    </w:p>
    <w:p w14:paraId="66494A3B" w14:textId="77777777" w:rsidR="00B73F64" w:rsidRPr="005D699B" w:rsidRDefault="00B73F64" w:rsidP="005D699B"/>
    <w:p w14:paraId="681B6AEC" w14:textId="35F566A6" w:rsidR="00A82A12" w:rsidRPr="005D699B" w:rsidRDefault="000077E0" w:rsidP="0063489A">
      <w:pPr>
        <w:pStyle w:val="ListParagraph"/>
        <w:numPr>
          <w:ilvl w:val="1"/>
          <w:numId w:val="37"/>
        </w:numPr>
        <w:contextualSpacing w:val="0"/>
      </w:pPr>
      <w:r>
        <w:t>It is recognised that t</w:t>
      </w:r>
      <w:r w:rsidRPr="005D699B">
        <w:t xml:space="preserve">echnology-facilitated gender-based violence </w:t>
      </w:r>
      <w:r w:rsidR="002346C6">
        <w:t>can</w:t>
      </w:r>
      <w:r w:rsidR="00D015DF" w:rsidRPr="005D699B">
        <w:t xml:space="preserve"> intersect with other grounds of discrimination.</w:t>
      </w:r>
      <w:r w:rsidR="00D015DF" w:rsidRPr="005D699B">
        <w:rPr>
          <w:rStyle w:val="FootnoteReference"/>
        </w:rPr>
        <w:footnoteReference w:id="103"/>
      </w:r>
      <w:r w:rsidR="00D015DF" w:rsidRPr="005D699B">
        <w:t xml:space="preserve"> </w:t>
      </w:r>
      <w:r w:rsidR="00A82A12" w:rsidRPr="005D699B">
        <w:t>Human rights law requires that an individual’s specific characteristics or needs are considered and that, where necessary, positive action or special measures are taken to ensure that individuals are not discriminated against.</w:t>
      </w:r>
      <w:r w:rsidR="00A82A12" w:rsidRPr="005D699B">
        <w:rPr>
          <w:vertAlign w:val="superscript"/>
        </w:rPr>
        <w:footnoteReference w:id="104"/>
      </w:r>
      <w:r w:rsidR="00E51F46" w:rsidRPr="005D699B">
        <w:t xml:space="preserve"> Article 6 of the Istanbul Convention highlights the need for gender-sensitive policies</w:t>
      </w:r>
      <w:r w:rsidR="00D663A2">
        <w:t xml:space="preserve"> by stating that</w:t>
      </w:r>
      <w:r w:rsidR="00D663A2" w:rsidRPr="00D663A2">
        <w:t xml:space="preserve"> </w:t>
      </w:r>
      <w:r w:rsidR="00D663A2">
        <w:t>State P</w:t>
      </w:r>
      <w:r w:rsidR="00D663A2" w:rsidRPr="00D663A2">
        <w:t xml:space="preserve">arties </w:t>
      </w:r>
      <w:r w:rsidR="00D663A2">
        <w:t>“</w:t>
      </w:r>
      <w:r w:rsidR="00D663A2" w:rsidRPr="00D663A2">
        <w:t xml:space="preserve">shall undertake to include a gender perspective in the implementation and evaluation of the impact of the provisions of </w:t>
      </w:r>
      <w:r w:rsidR="00D663A2">
        <w:t>[the Istanbul]</w:t>
      </w:r>
      <w:r w:rsidR="00D663A2" w:rsidRPr="00D663A2">
        <w:t xml:space="preserve"> Convention and to promote and effectively implement policies of equality between women and men and the empowerment of women</w:t>
      </w:r>
      <w:r w:rsidR="00D663A2">
        <w:t>”</w:t>
      </w:r>
      <w:r w:rsidR="00E51F46" w:rsidRPr="005D699B">
        <w:t>.</w:t>
      </w:r>
      <w:r w:rsidR="0098605B" w:rsidRPr="005D699B">
        <w:t xml:space="preserve"> </w:t>
      </w:r>
      <w:r w:rsidR="00B6363C">
        <w:t>The UN CEDAW Committee has also confirmed that t</w:t>
      </w:r>
      <w:r w:rsidR="0098605B" w:rsidRPr="005D699B">
        <w:t xml:space="preserve">his includes considering the intersectional dimension of discrimination when it comes to </w:t>
      </w:r>
      <w:r w:rsidR="00DC10C9" w:rsidRPr="005D699B">
        <w:rPr>
          <w:color w:val="000000" w:themeColor="text1"/>
        </w:rPr>
        <w:t>l</w:t>
      </w:r>
      <w:r w:rsidR="00DC10C9" w:rsidRPr="005D699B">
        <w:t xml:space="preserve">esbian, </w:t>
      </w:r>
      <w:r w:rsidR="00DC10C9">
        <w:t>g</w:t>
      </w:r>
      <w:r w:rsidR="00DC10C9" w:rsidRPr="005D699B">
        <w:t xml:space="preserve">ay, </w:t>
      </w:r>
      <w:r w:rsidR="00DC10C9">
        <w:t>b</w:t>
      </w:r>
      <w:r w:rsidR="00DC10C9" w:rsidRPr="005D699B">
        <w:t xml:space="preserve">isexual, </w:t>
      </w:r>
      <w:r w:rsidR="00DC10C9">
        <w:t>t</w:t>
      </w:r>
      <w:r w:rsidR="00DC10C9" w:rsidRPr="005D699B">
        <w:t xml:space="preserve">ransgender, </w:t>
      </w:r>
      <w:r w:rsidR="00DC10C9">
        <w:t>q</w:t>
      </w:r>
      <w:r w:rsidR="00DC10C9" w:rsidRPr="005D699B">
        <w:t xml:space="preserve">ueer or </w:t>
      </w:r>
      <w:r w:rsidR="00DC10C9">
        <w:t>q</w:t>
      </w:r>
      <w:r w:rsidR="00DC10C9" w:rsidRPr="005D699B">
        <w:t xml:space="preserve">uestioning, </w:t>
      </w:r>
      <w:r w:rsidR="00DC10C9">
        <w:t>i</w:t>
      </w:r>
      <w:r w:rsidR="00DC10C9" w:rsidRPr="005D699B">
        <w:t>ntersex</w:t>
      </w:r>
      <w:r w:rsidR="00DC10C9">
        <w:t xml:space="preserve"> and a</w:t>
      </w:r>
      <w:r w:rsidR="00DC10C9" w:rsidRPr="005D699B">
        <w:t>sexual persons</w:t>
      </w:r>
      <w:r w:rsidR="0098605B" w:rsidRPr="005D699B">
        <w:t xml:space="preserve">, </w:t>
      </w:r>
      <w:r w:rsidR="0050516C">
        <w:t>d/Deaf and disabled persons</w:t>
      </w:r>
      <w:r w:rsidR="0098605B" w:rsidRPr="005D699B">
        <w:t>, racial and ethnic minorities, and children, among others.</w:t>
      </w:r>
      <w:r w:rsidR="0098605B" w:rsidRPr="005D699B">
        <w:rPr>
          <w:rStyle w:val="FootnoteReference"/>
        </w:rPr>
        <w:footnoteReference w:id="105"/>
      </w:r>
    </w:p>
    <w:p w14:paraId="3BECF676" w14:textId="77777777" w:rsidR="00B73F64" w:rsidRPr="005D699B" w:rsidRDefault="00B73F64" w:rsidP="009A42CE">
      <w:pPr>
        <w:pStyle w:val="ListParagraph"/>
        <w:contextualSpacing w:val="0"/>
      </w:pPr>
    </w:p>
    <w:p w14:paraId="107532E9" w14:textId="47114087" w:rsidR="005045E6" w:rsidRPr="005D699B" w:rsidRDefault="00483F28" w:rsidP="0063489A">
      <w:pPr>
        <w:pStyle w:val="ListParagraph"/>
        <w:numPr>
          <w:ilvl w:val="1"/>
          <w:numId w:val="37"/>
        </w:numPr>
        <w:contextualSpacing w:val="0"/>
        <w:rPr>
          <w:b/>
          <w:bCs/>
        </w:rPr>
      </w:pPr>
      <w:r w:rsidRPr="005D699B">
        <w:rPr>
          <w:b/>
          <w:bCs/>
        </w:rPr>
        <w:t>The</w:t>
      </w:r>
      <w:r w:rsidR="00B427B1" w:rsidRPr="005D699B">
        <w:rPr>
          <w:b/>
          <w:bCs/>
        </w:rPr>
        <w:t xml:space="preserve"> NIHRC recommends that the </w:t>
      </w:r>
      <w:r w:rsidRPr="005D699B">
        <w:rPr>
          <w:b/>
          <w:bCs/>
        </w:rPr>
        <w:t xml:space="preserve">Department </w:t>
      </w:r>
      <w:r w:rsidR="00B73F64" w:rsidRPr="005D699B">
        <w:rPr>
          <w:b/>
          <w:bCs/>
        </w:rPr>
        <w:t xml:space="preserve">of Justice </w:t>
      </w:r>
      <w:r w:rsidRPr="005D699B">
        <w:rPr>
          <w:b/>
          <w:bCs/>
        </w:rPr>
        <w:t>adopt</w:t>
      </w:r>
      <w:r w:rsidR="00B427B1" w:rsidRPr="005D699B">
        <w:rPr>
          <w:b/>
          <w:bCs/>
        </w:rPr>
        <w:t>s</w:t>
      </w:r>
      <w:r w:rsidRPr="005D699B">
        <w:rPr>
          <w:b/>
          <w:bCs/>
        </w:rPr>
        <w:t xml:space="preserve"> a gender</w:t>
      </w:r>
      <w:r w:rsidR="0094591E" w:rsidRPr="005D699B">
        <w:rPr>
          <w:b/>
          <w:bCs/>
        </w:rPr>
        <w:t>-sensit</w:t>
      </w:r>
      <w:r w:rsidR="001B1523" w:rsidRPr="005D699B">
        <w:rPr>
          <w:b/>
          <w:bCs/>
        </w:rPr>
        <w:t>i</w:t>
      </w:r>
      <w:r w:rsidR="0094591E" w:rsidRPr="005D699B">
        <w:rPr>
          <w:b/>
          <w:bCs/>
        </w:rPr>
        <w:t>ve</w:t>
      </w:r>
      <w:r w:rsidRPr="005D699B">
        <w:rPr>
          <w:b/>
          <w:bCs/>
        </w:rPr>
        <w:t xml:space="preserve"> approach </w:t>
      </w:r>
      <w:r w:rsidR="00294A50" w:rsidRPr="005D699B">
        <w:rPr>
          <w:b/>
          <w:bCs/>
        </w:rPr>
        <w:t>in the design</w:t>
      </w:r>
      <w:r w:rsidR="0094591E" w:rsidRPr="005D699B">
        <w:rPr>
          <w:b/>
          <w:bCs/>
        </w:rPr>
        <w:t>,</w:t>
      </w:r>
      <w:r w:rsidR="00294A50" w:rsidRPr="005D699B">
        <w:rPr>
          <w:b/>
          <w:bCs/>
        </w:rPr>
        <w:t xml:space="preserve"> implementation </w:t>
      </w:r>
      <w:r w:rsidR="0094591E" w:rsidRPr="005D699B">
        <w:rPr>
          <w:b/>
          <w:bCs/>
        </w:rPr>
        <w:t xml:space="preserve">and monitoring </w:t>
      </w:r>
      <w:r w:rsidR="00294A50" w:rsidRPr="005D699B">
        <w:rPr>
          <w:b/>
          <w:bCs/>
        </w:rPr>
        <w:t>of the legislation, with due consideration of intersectionality</w:t>
      </w:r>
      <w:r w:rsidRPr="005D699B">
        <w:rPr>
          <w:b/>
          <w:bCs/>
        </w:rPr>
        <w:t>.</w:t>
      </w:r>
    </w:p>
    <w:p w14:paraId="465F7AE4" w14:textId="77777777" w:rsidR="00B73F64" w:rsidRPr="005D699B" w:rsidRDefault="00B73F64" w:rsidP="009A42CE">
      <w:pPr>
        <w:rPr>
          <w:b/>
          <w:bCs/>
        </w:rPr>
      </w:pPr>
    </w:p>
    <w:p w14:paraId="69292E2F" w14:textId="29276678" w:rsidR="007D6CDE" w:rsidRPr="005D699B" w:rsidRDefault="007D6CDE" w:rsidP="00780A9D">
      <w:pPr>
        <w:pStyle w:val="Heading3"/>
        <w:spacing w:before="240" w:after="240"/>
        <w:rPr>
          <w:i/>
          <w:iCs/>
        </w:rPr>
      </w:pPr>
      <w:bookmarkStart w:id="15" w:name="_Toc209087433"/>
      <w:r w:rsidRPr="005D699B">
        <w:lastRenderedPageBreak/>
        <w:t>Consent</w:t>
      </w:r>
      <w:bookmarkEnd w:id="15"/>
    </w:p>
    <w:p w14:paraId="2272B4EB" w14:textId="226E4939" w:rsidR="00B73F64" w:rsidRPr="005D699B" w:rsidRDefault="0051465F" w:rsidP="0063489A">
      <w:pPr>
        <w:pStyle w:val="ListParagraph"/>
        <w:numPr>
          <w:ilvl w:val="1"/>
          <w:numId w:val="37"/>
        </w:numPr>
        <w:rPr>
          <w:i/>
          <w:iCs/>
        </w:rPr>
      </w:pPr>
      <w:r>
        <w:t xml:space="preserve">The NIHRC welcomes </w:t>
      </w:r>
      <w:r w:rsidR="00EA1001">
        <w:t>that the scope of the new offences will</w:t>
      </w:r>
      <w:r w:rsidR="00CF0822">
        <w:t xml:space="preserve"> focus on non-</w:t>
      </w:r>
      <w:r w:rsidR="004E3CF7">
        <w:t>consensual</w:t>
      </w:r>
      <w:r w:rsidR="00CF0822">
        <w:t xml:space="preserve"> </w:t>
      </w:r>
      <w:r w:rsidR="004E3CF7">
        <w:t>actions or lack of reasonable belief in consent</w:t>
      </w:r>
      <w:r w:rsidR="007D6CDE">
        <w:t xml:space="preserve"> as a requirement to attract criminal responsibility. However,</w:t>
      </w:r>
      <w:r w:rsidR="00F56A67">
        <w:t xml:space="preserve"> the Department</w:t>
      </w:r>
      <w:r w:rsidR="00D40BC4">
        <w:t xml:space="preserve"> of Justice</w:t>
      </w:r>
      <w:r w:rsidR="00F56A67">
        <w:t>’s consultation</w:t>
      </w:r>
      <w:r w:rsidR="000F0CED">
        <w:t xml:space="preserve"> does not </w:t>
      </w:r>
      <w:r w:rsidR="00FC6E43">
        <w:t xml:space="preserve">define consent or </w:t>
      </w:r>
      <w:r w:rsidR="124B24EA">
        <w:t>set out</w:t>
      </w:r>
      <w:r w:rsidR="0028771A">
        <w:t xml:space="preserve"> how to deal with consent not freely given</w:t>
      </w:r>
      <w:r w:rsidR="00FC6E43">
        <w:t>.</w:t>
      </w:r>
    </w:p>
    <w:p w14:paraId="093D512E" w14:textId="1299698B" w:rsidR="00340E31" w:rsidRPr="005D699B" w:rsidRDefault="00FC6E43" w:rsidP="005D699B">
      <w:pPr>
        <w:pStyle w:val="ListParagraph"/>
        <w:contextualSpacing w:val="0"/>
        <w:rPr>
          <w:i/>
          <w:iCs/>
        </w:rPr>
      </w:pPr>
      <w:r w:rsidRPr="005D699B">
        <w:t xml:space="preserve"> </w:t>
      </w:r>
    </w:p>
    <w:p w14:paraId="51E92B0D" w14:textId="2FBB8B7C" w:rsidR="004A336E" w:rsidRPr="005D699B" w:rsidRDefault="00340E31" w:rsidP="0063489A">
      <w:pPr>
        <w:pStyle w:val="ListParagraph"/>
        <w:numPr>
          <w:ilvl w:val="1"/>
          <w:numId w:val="37"/>
        </w:numPr>
        <w:contextualSpacing w:val="0"/>
        <w:rPr>
          <w:i/>
          <w:iCs/>
        </w:rPr>
      </w:pPr>
      <w:r w:rsidRPr="005D699B">
        <w:t xml:space="preserve">The </w:t>
      </w:r>
      <w:r w:rsidR="0071263B" w:rsidRPr="005D699B">
        <w:t xml:space="preserve">Istanbul Convention </w:t>
      </w:r>
      <w:r w:rsidR="00D418D1" w:rsidRPr="005D699B">
        <w:t>says consent “</w:t>
      </w:r>
      <w:r w:rsidR="002E13A4" w:rsidRPr="005D699B">
        <w:t>must be given voluntarily as the result of the person’s free will assessed in the context of the surrounding circumstances</w:t>
      </w:r>
      <w:r w:rsidR="00D418D1" w:rsidRPr="005D699B">
        <w:t>”</w:t>
      </w:r>
      <w:r w:rsidR="002E13A4" w:rsidRPr="005D699B">
        <w:t>.</w:t>
      </w:r>
      <w:r w:rsidR="002E13A4" w:rsidRPr="005D699B">
        <w:rPr>
          <w:rStyle w:val="FootnoteReference"/>
        </w:rPr>
        <w:footnoteReference w:id="106"/>
      </w:r>
      <w:r w:rsidR="00CF0822" w:rsidRPr="005D699B">
        <w:t xml:space="preserve"> </w:t>
      </w:r>
      <w:r w:rsidR="00AD384E" w:rsidRPr="005D699B">
        <w:t xml:space="preserve">UK data protection law </w:t>
      </w:r>
      <w:r w:rsidR="006D0F54">
        <w:t xml:space="preserve">also requires that </w:t>
      </w:r>
      <w:r w:rsidR="00AD4201" w:rsidRPr="005D699B">
        <w:t>c</w:t>
      </w:r>
      <w:r w:rsidR="003D6420" w:rsidRPr="005D699B">
        <w:t>onsent must be freely given, specific, informed and unambiguous.</w:t>
      </w:r>
      <w:r w:rsidR="009745DD" w:rsidRPr="005D699B">
        <w:rPr>
          <w:rStyle w:val="FootnoteReference"/>
        </w:rPr>
        <w:footnoteReference w:id="107"/>
      </w:r>
      <w:r w:rsidR="004A336E" w:rsidRPr="005D699B">
        <w:rPr>
          <w:i/>
          <w:iCs/>
        </w:rPr>
        <w:t xml:space="preserve"> </w:t>
      </w:r>
    </w:p>
    <w:p w14:paraId="51D5FCB7" w14:textId="77777777" w:rsidR="00B73F64" w:rsidRPr="005D699B" w:rsidRDefault="00B73F64" w:rsidP="005D699B">
      <w:pPr>
        <w:rPr>
          <w:i/>
          <w:iCs/>
        </w:rPr>
      </w:pPr>
    </w:p>
    <w:p w14:paraId="3B8F8404" w14:textId="55BCD334" w:rsidR="00B73F64" w:rsidRPr="005D699B" w:rsidRDefault="00273155" w:rsidP="0063489A">
      <w:pPr>
        <w:pStyle w:val="ListParagraph"/>
        <w:numPr>
          <w:ilvl w:val="1"/>
          <w:numId w:val="37"/>
        </w:numPr>
        <w:contextualSpacing w:val="0"/>
        <w:rPr>
          <w:i/>
          <w:iCs/>
        </w:rPr>
      </w:pPr>
      <w:r w:rsidRPr="005D699B">
        <w:t>A clear</w:t>
      </w:r>
      <w:r w:rsidR="00E47DCD" w:rsidRPr="005D699B">
        <w:t xml:space="preserve"> definition of consent </w:t>
      </w:r>
      <w:r w:rsidR="00101BE2" w:rsidRPr="005D699B">
        <w:t xml:space="preserve">in the legislation </w:t>
      </w:r>
      <w:r w:rsidRPr="005D699B">
        <w:t xml:space="preserve">would be useful in </w:t>
      </w:r>
      <w:r w:rsidR="004B2268" w:rsidRPr="005D699B">
        <w:t>address</w:t>
      </w:r>
      <w:r w:rsidRPr="005D699B">
        <w:t>ing</w:t>
      </w:r>
      <w:r w:rsidR="004B2268" w:rsidRPr="005D699B">
        <w:t xml:space="preserve"> situation</w:t>
      </w:r>
      <w:r w:rsidR="002D51FF" w:rsidRPr="005D699B">
        <w:t>s</w:t>
      </w:r>
      <w:r w:rsidR="004B2268" w:rsidRPr="005D699B">
        <w:t xml:space="preserve"> where consent might </w:t>
      </w:r>
      <w:r w:rsidR="00580429">
        <w:t>not be given freely</w:t>
      </w:r>
      <w:r w:rsidR="006C068B" w:rsidRPr="005D699B">
        <w:t xml:space="preserve">, for example, in situations of </w:t>
      </w:r>
      <w:r w:rsidR="007B0A25" w:rsidRPr="005D699B">
        <w:t xml:space="preserve">fraud, duress, undue influence or mistake, including </w:t>
      </w:r>
      <w:r w:rsidR="006C068B" w:rsidRPr="005D699B">
        <w:t>coercive control</w:t>
      </w:r>
      <w:r w:rsidR="000F49E7" w:rsidRPr="005D699B">
        <w:t xml:space="preserve"> </w:t>
      </w:r>
      <w:r w:rsidR="008C34FA" w:rsidRPr="005D699B">
        <w:t>and</w:t>
      </w:r>
      <w:r w:rsidR="000F49E7" w:rsidRPr="005D699B">
        <w:t xml:space="preserve"> domestic abuse</w:t>
      </w:r>
      <w:r w:rsidR="00ED4801" w:rsidRPr="005D699B">
        <w:t xml:space="preserve">. </w:t>
      </w:r>
    </w:p>
    <w:p w14:paraId="686310FC" w14:textId="77777777" w:rsidR="00B73F64" w:rsidRPr="005D699B" w:rsidRDefault="00B73F64" w:rsidP="001D4254">
      <w:pPr>
        <w:rPr>
          <w:i/>
          <w:iCs/>
        </w:rPr>
      </w:pPr>
    </w:p>
    <w:p w14:paraId="1957F031" w14:textId="2E873A58" w:rsidR="003A1F96" w:rsidRPr="005D699B" w:rsidRDefault="00A87791" w:rsidP="0063489A">
      <w:pPr>
        <w:pStyle w:val="ListParagraph"/>
        <w:numPr>
          <w:ilvl w:val="1"/>
          <w:numId w:val="37"/>
        </w:numPr>
        <w:rPr>
          <w:b/>
          <w:bCs/>
          <w:i/>
          <w:iCs/>
        </w:rPr>
      </w:pPr>
      <w:r w:rsidRPr="3C64A035">
        <w:rPr>
          <w:b/>
          <w:bCs/>
        </w:rPr>
        <w:t xml:space="preserve">The NIHRC recommends that the Department </w:t>
      </w:r>
      <w:r w:rsidR="00273155" w:rsidRPr="3C64A035">
        <w:rPr>
          <w:b/>
          <w:bCs/>
        </w:rPr>
        <w:t xml:space="preserve">of Justice </w:t>
      </w:r>
      <w:r w:rsidR="00261FCC" w:rsidRPr="3C64A035">
        <w:rPr>
          <w:b/>
          <w:bCs/>
        </w:rPr>
        <w:t xml:space="preserve">includes a definition of consent </w:t>
      </w:r>
      <w:r w:rsidR="00580429" w:rsidRPr="3C64A035">
        <w:rPr>
          <w:b/>
          <w:bCs/>
        </w:rPr>
        <w:t xml:space="preserve">within the legislation </w:t>
      </w:r>
      <w:r w:rsidR="00261FCC" w:rsidRPr="3C64A035">
        <w:rPr>
          <w:b/>
          <w:bCs/>
        </w:rPr>
        <w:t xml:space="preserve">that ensures </w:t>
      </w:r>
      <w:r w:rsidR="00580429" w:rsidRPr="3C64A035">
        <w:rPr>
          <w:b/>
          <w:bCs/>
        </w:rPr>
        <w:t>consent</w:t>
      </w:r>
      <w:r w:rsidR="00261FCC" w:rsidRPr="3C64A035">
        <w:rPr>
          <w:b/>
          <w:bCs/>
        </w:rPr>
        <w:t xml:space="preserve"> is freely given</w:t>
      </w:r>
      <w:r w:rsidR="00B83362">
        <w:rPr>
          <w:b/>
          <w:bCs/>
        </w:rPr>
        <w:t xml:space="preserve"> and addresses circumstances where informed consent has not been given</w:t>
      </w:r>
      <w:r w:rsidRPr="3C64A035">
        <w:rPr>
          <w:b/>
          <w:bCs/>
        </w:rPr>
        <w:t>.</w:t>
      </w:r>
    </w:p>
    <w:p w14:paraId="3987C14E" w14:textId="77777777" w:rsidR="00B73F64" w:rsidRPr="005D699B" w:rsidRDefault="00B73F64" w:rsidP="00430D80"/>
    <w:p w14:paraId="2636DF5D" w14:textId="77777777" w:rsidR="004B14C2" w:rsidRPr="005D699B" w:rsidRDefault="004B14C2" w:rsidP="00780A9D">
      <w:pPr>
        <w:pStyle w:val="Heading3"/>
        <w:spacing w:before="240" w:after="240"/>
      </w:pPr>
      <w:bookmarkStart w:id="16" w:name="_Toc209087434"/>
      <w:r w:rsidRPr="005D699B">
        <w:t>Potential gaps in the offences as described</w:t>
      </w:r>
      <w:bookmarkEnd w:id="16"/>
    </w:p>
    <w:p w14:paraId="6B2D2E0F" w14:textId="309BC9CE" w:rsidR="00B73F64" w:rsidRDefault="0081759C" w:rsidP="0063489A">
      <w:pPr>
        <w:pStyle w:val="ListParagraph"/>
        <w:numPr>
          <w:ilvl w:val="1"/>
          <w:numId w:val="37"/>
        </w:numPr>
      </w:pPr>
      <w:r>
        <w:t>Considering</w:t>
      </w:r>
      <w:r w:rsidRPr="005D699B">
        <w:t xml:space="preserve"> Articles 5 and 7 of the ECHR</w:t>
      </w:r>
      <w:r>
        <w:t>,</w:t>
      </w:r>
      <w:r w:rsidRPr="005D699B">
        <w:rPr>
          <w:rStyle w:val="FootnoteReference"/>
        </w:rPr>
        <w:footnoteReference w:id="108"/>
      </w:r>
      <w:r>
        <w:t xml:space="preserve"> t</w:t>
      </w:r>
      <w:r w:rsidR="00495C61" w:rsidRPr="005D699B">
        <w:t xml:space="preserve">he NIHRC welcomes the </w:t>
      </w:r>
      <w:r w:rsidR="006B1EC3">
        <w:t xml:space="preserve">intention to include </w:t>
      </w:r>
      <w:r w:rsidR="00B91535" w:rsidRPr="005D699B">
        <w:t>description</w:t>
      </w:r>
      <w:r w:rsidR="006B1EC3">
        <w:t>s</w:t>
      </w:r>
      <w:r w:rsidR="00B91535">
        <w:t xml:space="preserve"> of the </w:t>
      </w:r>
      <w:r w:rsidR="00784464" w:rsidRPr="005D699B">
        <w:t>offences</w:t>
      </w:r>
      <w:r w:rsidR="006B1EC3">
        <w:t xml:space="preserve"> in the legislation, </w:t>
      </w:r>
      <w:proofErr w:type="gramStart"/>
      <w:r w:rsidR="006B1EC3">
        <w:t>as a way to</w:t>
      </w:r>
      <w:proofErr w:type="gramEnd"/>
      <w:r w:rsidR="006B1EC3">
        <w:t xml:space="preserve"> provid</w:t>
      </w:r>
      <w:r w:rsidR="0EC4C932">
        <w:t>e</w:t>
      </w:r>
      <w:r w:rsidR="006B1EC3">
        <w:t xml:space="preserve"> clarity in the law</w:t>
      </w:r>
      <w:r w:rsidR="00AB729B" w:rsidRPr="005D699B">
        <w:t>.</w:t>
      </w:r>
      <w:r w:rsidR="00E45221" w:rsidRPr="005D699B">
        <w:t xml:space="preserve"> However, </w:t>
      </w:r>
      <w:r w:rsidR="007418EA" w:rsidRPr="005D699B">
        <w:t>it would be beneficial for the Department of Justice</w:t>
      </w:r>
      <w:r w:rsidR="00E45221" w:rsidRPr="005D699B">
        <w:t xml:space="preserve"> to clarify some aspects of the offences, to </w:t>
      </w:r>
      <w:r w:rsidR="006257A9">
        <w:t xml:space="preserve">ensure all relevant cases of </w:t>
      </w:r>
      <w:r w:rsidR="00E76430" w:rsidRPr="005D699B">
        <w:t xml:space="preserve">gender-based </w:t>
      </w:r>
      <w:r w:rsidR="00E76430" w:rsidRPr="005D699B">
        <w:lastRenderedPageBreak/>
        <w:t xml:space="preserve">violence </w:t>
      </w:r>
      <w:r w:rsidR="006257A9">
        <w:t>are covered</w:t>
      </w:r>
      <w:r w:rsidR="00E76430" w:rsidRPr="005D699B">
        <w:t xml:space="preserve">, in line with </w:t>
      </w:r>
      <w:r w:rsidR="007418EA" w:rsidRPr="005D699B">
        <w:t xml:space="preserve">UN </w:t>
      </w:r>
      <w:r w:rsidR="0017635E" w:rsidRPr="005D699B">
        <w:t>CEDAW and Istanbul Convention</w:t>
      </w:r>
      <w:r w:rsidR="00E45221" w:rsidRPr="005D699B">
        <w:t>.</w:t>
      </w:r>
      <w:r w:rsidR="005D197A" w:rsidRPr="005D699B">
        <w:rPr>
          <w:rStyle w:val="FootnoteReference"/>
        </w:rPr>
        <w:footnoteReference w:id="109"/>
      </w:r>
    </w:p>
    <w:p w14:paraId="08D414C9" w14:textId="77777777" w:rsidR="000B0406" w:rsidRPr="005D699B" w:rsidRDefault="000B0406" w:rsidP="002C39A5">
      <w:pPr>
        <w:pStyle w:val="ListParagraph"/>
        <w:contextualSpacing w:val="0"/>
      </w:pPr>
    </w:p>
    <w:p w14:paraId="4CE55D53" w14:textId="170A5FC7" w:rsidR="00B73F64" w:rsidRPr="000B0406" w:rsidRDefault="00D20F54" w:rsidP="0063489A">
      <w:pPr>
        <w:pStyle w:val="ListParagraph"/>
        <w:numPr>
          <w:ilvl w:val="1"/>
          <w:numId w:val="37"/>
        </w:numPr>
        <w:contextualSpacing w:val="0"/>
        <w:rPr>
          <w:i/>
          <w:iCs/>
        </w:rPr>
      </w:pPr>
      <w:r w:rsidRPr="005D699B">
        <w:t xml:space="preserve">For example, the </w:t>
      </w:r>
      <w:r w:rsidR="006257A9">
        <w:t xml:space="preserve">proposed </w:t>
      </w:r>
      <w:r w:rsidR="00210647" w:rsidRPr="005D699B">
        <w:t>offences do</w:t>
      </w:r>
      <w:r w:rsidR="00553562" w:rsidRPr="005D699B">
        <w:t xml:space="preserve"> not </w:t>
      </w:r>
      <w:r w:rsidR="00210647" w:rsidRPr="005D699B">
        <w:t>include control</w:t>
      </w:r>
      <w:r w:rsidR="00432001" w:rsidRPr="005D699B">
        <w:t xml:space="preserve"> or coercion</w:t>
      </w:r>
      <w:r w:rsidR="00210647" w:rsidRPr="005D699B">
        <w:t xml:space="preserve"> as one of the motives for </w:t>
      </w:r>
      <w:r w:rsidR="00F40BFA" w:rsidRPr="005D699B">
        <w:t>creating/requesting the creation or sharing/threatening to share a non-consensual sexually explicit deepfake</w:t>
      </w:r>
      <w:r w:rsidR="00E51EFC" w:rsidRPr="005D699B">
        <w:t>s</w:t>
      </w:r>
      <w:r w:rsidR="0089173C" w:rsidRPr="005D699B">
        <w:t xml:space="preserve">. </w:t>
      </w:r>
    </w:p>
    <w:p w14:paraId="756404DC" w14:textId="77777777" w:rsidR="000B0406" w:rsidRPr="000B0406" w:rsidRDefault="000B0406" w:rsidP="000B0406">
      <w:pPr>
        <w:pStyle w:val="ListParagraph"/>
        <w:contextualSpacing w:val="0"/>
        <w:rPr>
          <w:i/>
          <w:iCs/>
        </w:rPr>
      </w:pPr>
    </w:p>
    <w:p w14:paraId="07EEB372" w14:textId="3BCA9557" w:rsidR="00F40BFA" w:rsidRPr="005D699B" w:rsidRDefault="007418EA" w:rsidP="0063489A">
      <w:pPr>
        <w:pStyle w:val="ListParagraph"/>
        <w:numPr>
          <w:ilvl w:val="1"/>
          <w:numId w:val="37"/>
        </w:numPr>
        <w:contextualSpacing w:val="0"/>
        <w:rPr>
          <w:i/>
          <w:iCs/>
        </w:rPr>
      </w:pPr>
      <w:r w:rsidRPr="005D699B">
        <w:t>The</w:t>
      </w:r>
      <w:r w:rsidR="00EE5DF3" w:rsidRPr="005D699B">
        <w:t xml:space="preserve"> </w:t>
      </w:r>
      <w:proofErr w:type="spellStart"/>
      <w:r w:rsidRPr="005D699B">
        <w:t>CoE</w:t>
      </w:r>
      <w:proofErr w:type="spellEnd"/>
      <w:r w:rsidRPr="005D699B">
        <w:t xml:space="preserve"> </w:t>
      </w:r>
      <w:r w:rsidR="00EE5DF3" w:rsidRPr="005D699B">
        <w:t xml:space="preserve">GREVIO </w:t>
      </w:r>
      <w:r w:rsidRPr="005D699B">
        <w:t xml:space="preserve">Committee has </w:t>
      </w:r>
      <w:r w:rsidR="00EE5DF3" w:rsidRPr="005D699B">
        <w:t>observe</w:t>
      </w:r>
      <w:r w:rsidRPr="005D699B">
        <w:t>d</w:t>
      </w:r>
      <w:r w:rsidR="00EE5DF3" w:rsidRPr="005D699B">
        <w:t xml:space="preserve"> that “technology can be misused by perpetrators to further intensify the coercive and controlling behaviour, manipulation and surveillance exerted on their former and current partners, therefore increasing the fear, anxiety and gradual isolation from friends and family experienced by victims”.</w:t>
      </w:r>
      <w:r w:rsidR="00EE5DF3" w:rsidRPr="005D699B">
        <w:rPr>
          <w:rStyle w:val="FootnoteReference"/>
        </w:rPr>
        <w:footnoteReference w:id="110"/>
      </w:r>
    </w:p>
    <w:p w14:paraId="50F122B8" w14:textId="77777777" w:rsidR="00B73F64" w:rsidRPr="005D699B" w:rsidRDefault="00B73F64" w:rsidP="005D699B">
      <w:pPr>
        <w:rPr>
          <w:i/>
          <w:iCs/>
        </w:rPr>
      </w:pPr>
    </w:p>
    <w:p w14:paraId="692571D8" w14:textId="556765B2" w:rsidR="00F61671" w:rsidRPr="005D699B" w:rsidRDefault="0069262A" w:rsidP="0063489A">
      <w:pPr>
        <w:pStyle w:val="ListParagraph"/>
        <w:numPr>
          <w:ilvl w:val="1"/>
          <w:numId w:val="37"/>
        </w:numPr>
        <w:contextualSpacing w:val="0"/>
      </w:pPr>
      <w:r w:rsidRPr="005D699B">
        <w:t>M</w:t>
      </w:r>
      <w:r w:rsidR="003217AC" w:rsidRPr="005D699B">
        <w:t xml:space="preserve">aking and sharing these images is </w:t>
      </w:r>
      <w:r w:rsidRPr="005D699B">
        <w:t xml:space="preserve">often </w:t>
      </w:r>
      <w:r w:rsidR="003217AC" w:rsidRPr="005D699B">
        <w:t>an attempt to control or coerce victims by using fear o</w:t>
      </w:r>
      <w:r w:rsidR="00AA3C9C">
        <w:t>r</w:t>
      </w:r>
      <w:r w:rsidR="003217AC" w:rsidRPr="005D699B">
        <w:t xml:space="preserve"> shame.</w:t>
      </w:r>
      <w:r w:rsidR="003217AC" w:rsidRPr="005D699B">
        <w:rPr>
          <w:rStyle w:val="FootnoteReference"/>
        </w:rPr>
        <w:footnoteReference w:id="111"/>
      </w:r>
      <w:r w:rsidR="003217AC" w:rsidRPr="005D699B">
        <w:t xml:space="preserve"> </w:t>
      </w:r>
      <w:r w:rsidR="00452EEA" w:rsidRPr="005D699B">
        <w:t xml:space="preserve">It </w:t>
      </w:r>
      <w:r w:rsidR="00401EE9" w:rsidRPr="005D699B">
        <w:t>c</w:t>
      </w:r>
      <w:r w:rsidR="00452EEA" w:rsidRPr="005D699B">
        <w:t>ould be useful to</w:t>
      </w:r>
      <w:r w:rsidR="007365FF" w:rsidRPr="005D699B">
        <w:t xml:space="preserve"> clarify whether the intention to control</w:t>
      </w:r>
      <w:r w:rsidR="00452EEA" w:rsidRPr="005D699B">
        <w:t xml:space="preserve"> or </w:t>
      </w:r>
      <w:r w:rsidR="00D73AAB" w:rsidRPr="005D699B">
        <w:t>coerce</w:t>
      </w:r>
      <w:r w:rsidR="007365FF" w:rsidRPr="005D699B">
        <w:t xml:space="preserve"> </w:t>
      </w:r>
      <w:r w:rsidR="00BB2ED2" w:rsidRPr="005D699B">
        <w:t xml:space="preserve">falls within the intention to cause </w:t>
      </w:r>
      <w:r w:rsidR="00283A9E" w:rsidRPr="005D699B">
        <w:t>“humiliation, alarm or distress”</w:t>
      </w:r>
      <w:r w:rsidR="00452EEA" w:rsidRPr="005D699B">
        <w:t>,</w:t>
      </w:r>
      <w:r w:rsidR="007365FF" w:rsidRPr="005D699B">
        <w:t xml:space="preserve"> </w:t>
      </w:r>
      <w:r w:rsidR="00283A9E" w:rsidRPr="005D699B">
        <w:t>or if an additional specific motive should be added.</w:t>
      </w:r>
      <w:r w:rsidR="00063686" w:rsidRPr="005D699B">
        <w:t xml:space="preserve"> Alternatively, </w:t>
      </w:r>
      <w:r w:rsidR="00452EEA" w:rsidRPr="005D699B">
        <w:t>it could be useful to</w:t>
      </w:r>
      <w:r w:rsidR="00063686" w:rsidRPr="005D699B">
        <w:t xml:space="preserve"> clarify whether </w:t>
      </w:r>
      <w:r w:rsidR="00311E07" w:rsidRPr="005D699B">
        <w:t>creating</w:t>
      </w:r>
      <w:r w:rsidR="00787F03">
        <w:t xml:space="preserve"> or </w:t>
      </w:r>
      <w:r w:rsidR="00007234" w:rsidRPr="005D699B">
        <w:t>requesting the creation</w:t>
      </w:r>
      <w:r w:rsidR="00311E07" w:rsidRPr="005D699B">
        <w:t xml:space="preserve"> or sharing</w:t>
      </w:r>
      <w:r w:rsidR="00787F03">
        <w:t xml:space="preserve"> or </w:t>
      </w:r>
      <w:r w:rsidR="001E1405" w:rsidRPr="005D699B">
        <w:t>threatening to share</w:t>
      </w:r>
      <w:r w:rsidR="00311E07" w:rsidRPr="005D699B">
        <w:t xml:space="preserve"> a</w:t>
      </w:r>
      <w:r w:rsidR="00780EF1" w:rsidRPr="005D699B">
        <w:t xml:space="preserve"> non-consensual sexually explicit deepfake</w:t>
      </w:r>
      <w:r w:rsidR="00311E07" w:rsidRPr="005D699B">
        <w:t xml:space="preserve"> </w:t>
      </w:r>
      <w:r w:rsidR="00780EF1" w:rsidRPr="005D699B">
        <w:t xml:space="preserve">with the </w:t>
      </w:r>
      <w:r w:rsidR="00063686" w:rsidRPr="005D699B">
        <w:t>intention to control or coerce would</w:t>
      </w:r>
      <w:r w:rsidR="00BB6C0A" w:rsidRPr="005D699B">
        <w:t xml:space="preserve"> be covered by the legislation on </w:t>
      </w:r>
      <w:r w:rsidR="009F428B">
        <w:t xml:space="preserve">controlling and </w:t>
      </w:r>
      <w:r w:rsidR="00BB6C0A" w:rsidRPr="005D699B">
        <w:t>coercive behaviour</w:t>
      </w:r>
      <w:r w:rsidR="00422DF4" w:rsidRPr="005D699B">
        <w:t xml:space="preserve"> </w:t>
      </w:r>
      <w:r w:rsidR="00E53CB4" w:rsidRPr="005D699B">
        <w:t xml:space="preserve">(or other legislation) </w:t>
      </w:r>
      <w:r w:rsidR="00422DF4" w:rsidRPr="005D699B">
        <w:t>instead</w:t>
      </w:r>
      <w:r w:rsidR="00BB6C0A" w:rsidRPr="005D699B">
        <w:t>.</w:t>
      </w:r>
      <w:r w:rsidR="008A5FEA">
        <w:rPr>
          <w:rStyle w:val="FootnoteReference"/>
        </w:rPr>
        <w:footnoteReference w:id="112"/>
      </w:r>
      <w:r w:rsidR="00BB6C0A" w:rsidRPr="005D699B">
        <w:t xml:space="preserve"> </w:t>
      </w:r>
    </w:p>
    <w:p w14:paraId="26330D5B" w14:textId="77777777" w:rsidR="00B73F64" w:rsidRPr="005D699B" w:rsidRDefault="00B73F64" w:rsidP="005D699B"/>
    <w:p w14:paraId="6D77FCB4" w14:textId="6D45383E" w:rsidR="006C072D" w:rsidRPr="005D699B" w:rsidRDefault="00C05033" w:rsidP="0063489A">
      <w:pPr>
        <w:pStyle w:val="ListParagraph"/>
        <w:numPr>
          <w:ilvl w:val="1"/>
          <w:numId w:val="37"/>
        </w:numPr>
        <w:contextualSpacing w:val="0"/>
        <w:rPr>
          <w:b/>
          <w:bCs/>
        </w:rPr>
      </w:pPr>
      <w:r w:rsidRPr="005D699B">
        <w:rPr>
          <w:b/>
          <w:bCs/>
        </w:rPr>
        <w:t>The NIHRC recommends that the Department</w:t>
      </w:r>
      <w:r w:rsidR="00401EE9" w:rsidRPr="005D699B">
        <w:rPr>
          <w:b/>
          <w:bCs/>
        </w:rPr>
        <w:t xml:space="preserve"> of Justice</w:t>
      </w:r>
      <w:r w:rsidRPr="005D699B">
        <w:rPr>
          <w:b/>
          <w:bCs/>
        </w:rPr>
        <w:t xml:space="preserve"> clarifies whether the intention to control or coerce falls within the intention to cause ‘humiliation, alarm or distress’</w:t>
      </w:r>
      <w:r w:rsidR="00AA55EF">
        <w:rPr>
          <w:b/>
          <w:bCs/>
        </w:rPr>
        <w:t>,</w:t>
      </w:r>
      <w:r w:rsidRPr="005D699B">
        <w:rPr>
          <w:b/>
          <w:bCs/>
        </w:rPr>
        <w:t xml:space="preserve"> or if an additional specific motive should be added</w:t>
      </w:r>
      <w:r w:rsidR="00726352">
        <w:rPr>
          <w:b/>
          <w:bCs/>
        </w:rPr>
        <w:t xml:space="preserve"> to the proposed legislation</w:t>
      </w:r>
      <w:r w:rsidRPr="005D699B">
        <w:rPr>
          <w:b/>
          <w:bCs/>
        </w:rPr>
        <w:t>. Alternatively, whether creating</w:t>
      </w:r>
      <w:r w:rsidR="00401EE9" w:rsidRPr="005D699B">
        <w:rPr>
          <w:b/>
          <w:bCs/>
        </w:rPr>
        <w:t xml:space="preserve"> or </w:t>
      </w:r>
      <w:r w:rsidRPr="005D699B">
        <w:rPr>
          <w:b/>
          <w:bCs/>
        </w:rPr>
        <w:t>requesting the creation</w:t>
      </w:r>
      <w:r w:rsidR="00401EE9" w:rsidRPr="005D699B">
        <w:rPr>
          <w:b/>
          <w:bCs/>
        </w:rPr>
        <w:t>,</w:t>
      </w:r>
      <w:r w:rsidRPr="005D699B">
        <w:rPr>
          <w:b/>
          <w:bCs/>
        </w:rPr>
        <w:t xml:space="preserve"> or</w:t>
      </w:r>
      <w:r w:rsidR="003C3E55" w:rsidRPr="005D699B">
        <w:rPr>
          <w:b/>
          <w:bCs/>
        </w:rPr>
        <w:t xml:space="preserve"> </w:t>
      </w:r>
      <w:r w:rsidRPr="005D699B">
        <w:rPr>
          <w:b/>
          <w:bCs/>
        </w:rPr>
        <w:t>sharing</w:t>
      </w:r>
      <w:r w:rsidR="00401EE9" w:rsidRPr="005D699B">
        <w:rPr>
          <w:b/>
          <w:bCs/>
        </w:rPr>
        <w:t xml:space="preserve"> or </w:t>
      </w:r>
      <w:r w:rsidRPr="005D699B">
        <w:rPr>
          <w:b/>
          <w:bCs/>
        </w:rPr>
        <w:t xml:space="preserve">threatening to share a non-consensual sexually explicit deepfake with the intention to control or coerce would be covered by the legislation on </w:t>
      </w:r>
      <w:r w:rsidR="00FA5FD9">
        <w:rPr>
          <w:b/>
          <w:bCs/>
        </w:rPr>
        <w:t xml:space="preserve">controlling and </w:t>
      </w:r>
      <w:r w:rsidRPr="005D699B">
        <w:rPr>
          <w:b/>
          <w:bCs/>
        </w:rPr>
        <w:t>coercive behaviour instead.</w:t>
      </w:r>
      <w:r w:rsidR="00F61671" w:rsidRPr="005D699B">
        <w:rPr>
          <w:b/>
          <w:bCs/>
        </w:rPr>
        <w:t xml:space="preserve"> </w:t>
      </w:r>
      <w:r w:rsidR="00283A9E" w:rsidRPr="005D699B">
        <w:rPr>
          <w:b/>
          <w:bCs/>
        </w:rPr>
        <w:t xml:space="preserve">  </w:t>
      </w:r>
    </w:p>
    <w:p w14:paraId="621E7102" w14:textId="77777777" w:rsidR="00B73F64" w:rsidRPr="005D699B" w:rsidRDefault="00B73F64" w:rsidP="005D699B">
      <w:pPr>
        <w:rPr>
          <w:b/>
          <w:bCs/>
        </w:rPr>
      </w:pPr>
    </w:p>
    <w:p w14:paraId="1C44232E" w14:textId="24BC279C" w:rsidR="00E21E90" w:rsidRPr="005D699B" w:rsidRDefault="005749B8" w:rsidP="0063489A">
      <w:pPr>
        <w:pStyle w:val="ListParagraph"/>
        <w:numPr>
          <w:ilvl w:val="1"/>
          <w:numId w:val="37"/>
        </w:numPr>
        <w:contextualSpacing w:val="0"/>
      </w:pPr>
      <w:r w:rsidRPr="005D699B">
        <w:t>Additionally, t</w:t>
      </w:r>
      <w:r w:rsidR="004043C8" w:rsidRPr="005D699B">
        <w:t>he offences</w:t>
      </w:r>
      <w:r w:rsidR="00EF4CB1" w:rsidRPr="005D699B">
        <w:t xml:space="preserve"> </w:t>
      </w:r>
      <w:r w:rsidR="00401EE9" w:rsidRPr="005D699B">
        <w:t xml:space="preserve">proposed in the consultation document </w:t>
      </w:r>
      <w:r w:rsidR="00D0057B" w:rsidRPr="005D699B">
        <w:t>do</w:t>
      </w:r>
      <w:r w:rsidR="00EF4CB1" w:rsidRPr="005D699B">
        <w:t xml:space="preserve"> not</w:t>
      </w:r>
      <w:r w:rsidR="00E103F6" w:rsidRPr="005D699B">
        <w:t xml:space="preserve"> cover the perpetrator’s intention to cause </w:t>
      </w:r>
      <w:r w:rsidR="009C0D58" w:rsidRPr="005D699B">
        <w:t>‘</w:t>
      </w:r>
      <w:r w:rsidR="00E103F6" w:rsidRPr="005D699B">
        <w:t>humiliation, alarm or distress</w:t>
      </w:r>
      <w:r w:rsidR="009C0D58" w:rsidRPr="005D699B">
        <w:t>’</w:t>
      </w:r>
      <w:r w:rsidR="008852F4" w:rsidRPr="005D699B">
        <w:t xml:space="preserve"> </w:t>
      </w:r>
      <w:r w:rsidR="00F14B0D" w:rsidRPr="005D699B">
        <w:t>to anyone other than the person depicted in the image, such as family members or partners</w:t>
      </w:r>
      <w:r w:rsidR="008852F4" w:rsidRPr="005D699B">
        <w:t xml:space="preserve">. </w:t>
      </w:r>
    </w:p>
    <w:p w14:paraId="52712001" w14:textId="77777777" w:rsidR="00B73F64" w:rsidRPr="005D699B" w:rsidRDefault="00B73F64" w:rsidP="005D699B"/>
    <w:p w14:paraId="1B89E435" w14:textId="570D1A33" w:rsidR="002C087A" w:rsidRPr="005D699B" w:rsidRDefault="00A81353" w:rsidP="0063489A">
      <w:pPr>
        <w:pStyle w:val="ListParagraph"/>
        <w:numPr>
          <w:ilvl w:val="1"/>
          <w:numId w:val="37"/>
        </w:numPr>
        <w:contextualSpacing w:val="0"/>
      </w:pPr>
      <w:r w:rsidRPr="005D699B">
        <w:t xml:space="preserve">These types of images can be used for several </w:t>
      </w:r>
      <w:r w:rsidR="007E22EA" w:rsidRPr="005D699B">
        <w:t xml:space="preserve">malicious </w:t>
      </w:r>
      <w:r w:rsidRPr="005D699B">
        <w:t>purposes, including extortion</w:t>
      </w:r>
      <w:r w:rsidR="007E22EA" w:rsidRPr="005D699B">
        <w:t>,</w:t>
      </w:r>
      <w:r w:rsidR="00F37425" w:rsidRPr="005D699B">
        <w:t xml:space="preserve"> </w:t>
      </w:r>
      <w:r w:rsidR="000C4AD8" w:rsidRPr="005D699B">
        <w:t>blackmail, communications offences, controlling or coercive behaviour, harassment and stalking</w:t>
      </w:r>
      <w:r w:rsidR="00F37425" w:rsidRPr="005D699B">
        <w:t>.</w:t>
      </w:r>
      <w:r w:rsidR="00147765" w:rsidRPr="005D699B">
        <w:rPr>
          <w:rStyle w:val="FootnoteReference"/>
        </w:rPr>
        <w:footnoteReference w:id="113"/>
      </w:r>
      <w:r w:rsidR="00F37425" w:rsidRPr="005D699B">
        <w:t xml:space="preserve"> </w:t>
      </w:r>
      <w:r w:rsidR="00A57A79">
        <w:t>Perpetrators</w:t>
      </w:r>
      <w:r w:rsidR="002C087A" w:rsidRPr="005D699B">
        <w:t xml:space="preserve"> can target the person </w:t>
      </w:r>
      <w:r w:rsidR="00A57A79">
        <w:t xml:space="preserve">depicted </w:t>
      </w:r>
      <w:r w:rsidR="002C087A" w:rsidRPr="005D699B">
        <w:t>in the image</w:t>
      </w:r>
      <w:r w:rsidR="00D715F0">
        <w:t>,</w:t>
      </w:r>
      <w:r w:rsidR="002C087A" w:rsidRPr="005D699B">
        <w:t xml:space="preserve"> as well as others close to them who may also be affected by the creation or sharing of these images</w:t>
      </w:r>
      <w:r w:rsidR="00B44733" w:rsidRPr="005D699B">
        <w:t>.</w:t>
      </w:r>
      <w:r w:rsidR="00CE7049" w:rsidRPr="005D699B">
        <w:t xml:space="preserve"> </w:t>
      </w:r>
    </w:p>
    <w:p w14:paraId="703919EE" w14:textId="77777777" w:rsidR="00B73F64" w:rsidRPr="005D699B" w:rsidRDefault="00B73F64" w:rsidP="005D699B"/>
    <w:p w14:paraId="77C2FA34" w14:textId="732F3459" w:rsidR="00B73F64" w:rsidRPr="005D699B" w:rsidRDefault="00FE165A" w:rsidP="0063489A">
      <w:pPr>
        <w:pStyle w:val="ListParagraph"/>
        <w:numPr>
          <w:ilvl w:val="1"/>
          <w:numId w:val="37"/>
        </w:numPr>
        <w:contextualSpacing w:val="0"/>
      </w:pPr>
      <w:r>
        <w:t>O</w:t>
      </w:r>
      <w:r w:rsidR="009A69B0" w:rsidRPr="005D699B">
        <w:t>ne way to address this is to</w:t>
      </w:r>
      <w:r w:rsidR="00CE7049" w:rsidRPr="005D699B">
        <w:t xml:space="preserve"> </w:t>
      </w:r>
      <w:r w:rsidR="00C920C2" w:rsidRPr="005D699B">
        <w:t>criminalis</w:t>
      </w:r>
      <w:r w:rsidR="009A69B0" w:rsidRPr="005D699B">
        <w:t>e</w:t>
      </w:r>
      <w:r w:rsidR="00C920C2" w:rsidRPr="005D699B">
        <w:t xml:space="preserve"> </w:t>
      </w:r>
      <w:r w:rsidR="00AB53C8" w:rsidRPr="005D699B">
        <w:t>a</w:t>
      </w:r>
      <w:r w:rsidR="00021677" w:rsidRPr="005D699B">
        <w:t xml:space="preserve"> scenario</w:t>
      </w:r>
      <w:r w:rsidR="00C920C2" w:rsidRPr="005D699B">
        <w:t xml:space="preserve"> where perpetrators inten</w:t>
      </w:r>
      <w:r w:rsidR="00C862A9" w:rsidRPr="005D699B">
        <w:t>d</w:t>
      </w:r>
      <w:r w:rsidR="00C920C2" w:rsidRPr="005D699B">
        <w:t xml:space="preserve"> to ca</w:t>
      </w:r>
      <w:r w:rsidR="00BA6F92" w:rsidRPr="005D699B">
        <w:t>use distress to another person who knows</w:t>
      </w:r>
      <w:r w:rsidR="00FA583C">
        <w:t>,</w:t>
      </w:r>
      <w:r w:rsidR="00BA6F92" w:rsidRPr="005D699B">
        <w:t xml:space="preserve"> or is close to</w:t>
      </w:r>
      <w:r w:rsidR="00FA583C">
        <w:t>,</w:t>
      </w:r>
      <w:r w:rsidR="00BA6F92" w:rsidRPr="005D699B">
        <w:t xml:space="preserve"> the person depicted in the non-consensual sexually explicit deepfake.</w:t>
      </w:r>
      <w:r w:rsidR="00AF5891" w:rsidRPr="005D699B">
        <w:t xml:space="preserve"> This</w:t>
      </w:r>
      <w:r w:rsidR="00256C73" w:rsidRPr="005D699B">
        <w:t xml:space="preserve"> </w:t>
      </w:r>
      <w:r w:rsidR="009A644A" w:rsidRPr="005D699B">
        <w:t xml:space="preserve">approach </w:t>
      </w:r>
      <w:r w:rsidR="00256C73" w:rsidRPr="005D699B">
        <w:t xml:space="preserve">should </w:t>
      </w:r>
      <w:r w:rsidR="009A644A" w:rsidRPr="005D699B">
        <w:t>include</w:t>
      </w:r>
      <w:r w:rsidR="00256C73" w:rsidRPr="005D699B">
        <w:t xml:space="preserve"> offences related to </w:t>
      </w:r>
      <w:r w:rsidR="00801374" w:rsidRPr="005D699B">
        <w:t xml:space="preserve">the </w:t>
      </w:r>
      <w:r w:rsidR="00256C73" w:rsidRPr="005D699B">
        <w:t>creation and sharing</w:t>
      </w:r>
      <w:r w:rsidR="002B2CE1" w:rsidRPr="005D699B">
        <w:t xml:space="preserve"> of images</w:t>
      </w:r>
      <w:r w:rsidR="00256C73" w:rsidRPr="005D699B">
        <w:t xml:space="preserve">. </w:t>
      </w:r>
    </w:p>
    <w:p w14:paraId="4FC5F132" w14:textId="77777777" w:rsidR="00B73F64" w:rsidRPr="005D699B" w:rsidRDefault="00B73F64" w:rsidP="005D699B">
      <w:pPr>
        <w:pStyle w:val="ListParagraph"/>
        <w:contextualSpacing w:val="0"/>
      </w:pPr>
    </w:p>
    <w:p w14:paraId="3DD046E9" w14:textId="248810B3" w:rsidR="004043C8" w:rsidRPr="005D699B" w:rsidRDefault="00115A2C" w:rsidP="0063489A">
      <w:pPr>
        <w:pStyle w:val="ListParagraph"/>
        <w:numPr>
          <w:ilvl w:val="1"/>
          <w:numId w:val="37"/>
        </w:numPr>
        <w:rPr>
          <w:b/>
          <w:bCs/>
        </w:rPr>
      </w:pPr>
      <w:r w:rsidRPr="3C64A035">
        <w:rPr>
          <w:b/>
          <w:bCs/>
        </w:rPr>
        <w:t>The NIHRC recommends that the Department</w:t>
      </w:r>
      <w:r w:rsidR="009A69B0" w:rsidRPr="3C64A035">
        <w:rPr>
          <w:b/>
          <w:bCs/>
        </w:rPr>
        <w:t xml:space="preserve"> of Justice</w:t>
      </w:r>
      <w:r w:rsidRPr="3C64A035">
        <w:rPr>
          <w:b/>
          <w:bCs/>
        </w:rPr>
        <w:t xml:space="preserve"> </w:t>
      </w:r>
      <w:r w:rsidR="095A380B" w:rsidRPr="3C64A035">
        <w:rPr>
          <w:b/>
          <w:bCs/>
        </w:rPr>
        <w:t xml:space="preserve">considers </w:t>
      </w:r>
      <w:r w:rsidRPr="3C64A035">
        <w:rPr>
          <w:b/>
          <w:bCs/>
        </w:rPr>
        <w:t>extend</w:t>
      </w:r>
      <w:r w:rsidR="367ACF12" w:rsidRPr="3C64A035">
        <w:rPr>
          <w:b/>
          <w:bCs/>
        </w:rPr>
        <w:t>ing</w:t>
      </w:r>
      <w:r w:rsidRPr="3C64A035">
        <w:rPr>
          <w:b/>
          <w:bCs/>
        </w:rPr>
        <w:t xml:space="preserve"> the offences</w:t>
      </w:r>
      <w:r w:rsidR="007814AB" w:rsidRPr="3C64A035">
        <w:rPr>
          <w:b/>
          <w:bCs/>
        </w:rPr>
        <w:t xml:space="preserve"> within the proposed legislation</w:t>
      </w:r>
      <w:r w:rsidRPr="3C64A035">
        <w:rPr>
          <w:b/>
          <w:bCs/>
        </w:rPr>
        <w:t xml:space="preserve"> to </w:t>
      </w:r>
      <w:r w:rsidR="00FA583C" w:rsidRPr="3C64A035">
        <w:rPr>
          <w:b/>
          <w:bCs/>
        </w:rPr>
        <w:t>include scenarios</w:t>
      </w:r>
      <w:r w:rsidRPr="3C64A035">
        <w:rPr>
          <w:b/>
          <w:bCs/>
        </w:rPr>
        <w:t xml:space="preserve"> where the perpetrator is targeting a person </w:t>
      </w:r>
      <w:r w:rsidR="00FA583C" w:rsidRPr="3C64A035">
        <w:rPr>
          <w:b/>
          <w:bCs/>
        </w:rPr>
        <w:t xml:space="preserve">who is close </w:t>
      </w:r>
      <w:r w:rsidRPr="3C64A035">
        <w:rPr>
          <w:b/>
          <w:bCs/>
        </w:rPr>
        <w:t xml:space="preserve">to the </w:t>
      </w:r>
      <w:r w:rsidR="00FA583C" w:rsidRPr="3C64A035">
        <w:rPr>
          <w:b/>
          <w:bCs/>
        </w:rPr>
        <w:t>individual</w:t>
      </w:r>
      <w:r w:rsidRPr="3C64A035">
        <w:rPr>
          <w:b/>
          <w:bCs/>
        </w:rPr>
        <w:t xml:space="preserve"> depicted in the image.</w:t>
      </w:r>
      <w:r w:rsidR="0009645A" w:rsidRPr="3C64A035">
        <w:rPr>
          <w:b/>
          <w:bCs/>
        </w:rPr>
        <w:t xml:space="preserve"> </w:t>
      </w:r>
      <w:r w:rsidR="000950B3" w:rsidRPr="3C64A035">
        <w:rPr>
          <w:b/>
          <w:bCs/>
        </w:rPr>
        <w:t xml:space="preserve"> </w:t>
      </w:r>
      <w:r w:rsidR="001E5688" w:rsidRPr="3C64A035">
        <w:rPr>
          <w:b/>
          <w:bCs/>
        </w:rPr>
        <w:t xml:space="preserve"> </w:t>
      </w:r>
    </w:p>
    <w:p w14:paraId="7EEAE9A5" w14:textId="77777777" w:rsidR="00B73F64" w:rsidRPr="005D699B" w:rsidRDefault="00B73F64" w:rsidP="005D699B">
      <w:pPr>
        <w:pStyle w:val="ListParagraph"/>
        <w:contextualSpacing w:val="0"/>
        <w:rPr>
          <w:b/>
          <w:bCs/>
        </w:rPr>
      </w:pPr>
    </w:p>
    <w:p w14:paraId="5D65CFE0" w14:textId="7CEACC1D" w:rsidR="00B73F64" w:rsidRPr="005D699B" w:rsidRDefault="004F3726" w:rsidP="0063489A">
      <w:pPr>
        <w:pStyle w:val="ListParagraph"/>
        <w:numPr>
          <w:ilvl w:val="1"/>
          <w:numId w:val="37"/>
        </w:numPr>
        <w:contextualSpacing w:val="0"/>
      </w:pPr>
      <w:r w:rsidRPr="005D699B">
        <w:t>Furthermore, t</w:t>
      </w:r>
      <w:r w:rsidR="003370BF" w:rsidRPr="005D699B">
        <w:t xml:space="preserve">he offences </w:t>
      </w:r>
      <w:r w:rsidR="00092AB4" w:rsidRPr="005D699B">
        <w:t xml:space="preserve">where the motive is </w:t>
      </w:r>
      <w:r w:rsidR="003370BF" w:rsidRPr="005D699B">
        <w:t xml:space="preserve">obtaining sexual gratification do not appear to be limited to the </w:t>
      </w:r>
      <w:r w:rsidR="0013501E" w:rsidRPr="005D699B">
        <w:t>gratification of the</w:t>
      </w:r>
      <w:r w:rsidR="003370BF" w:rsidRPr="005D699B">
        <w:t xml:space="preserve"> perpetrator alone</w:t>
      </w:r>
      <w:r w:rsidR="00DF74DF" w:rsidRPr="005D699B">
        <w:t>,</w:t>
      </w:r>
      <w:r w:rsidR="0013501E" w:rsidRPr="005D699B">
        <w:t xml:space="preserve"> but potentially </w:t>
      </w:r>
      <w:r w:rsidR="00DF74DF" w:rsidRPr="005D699B">
        <w:t xml:space="preserve">the sexual gratification of </w:t>
      </w:r>
      <w:r w:rsidR="0013501E" w:rsidRPr="005D699B">
        <w:t>others</w:t>
      </w:r>
      <w:r w:rsidR="003370BF" w:rsidRPr="005D699B">
        <w:t>.</w:t>
      </w:r>
      <w:r w:rsidR="00DF74DF" w:rsidRPr="005D699B">
        <w:t xml:space="preserve"> The NIHRC </w:t>
      </w:r>
      <w:r w:rsidR="00EB761D" w:rsidRPr="005D699B">
        <w:t>welcome</w:t>
      </w:r>
      <w:r w:rsidR="007814AB">
        <w:t>s</w:t>
      </w:r>
      <w:r w:rsidR="00EB761D" w:rsidRPr="005D699B">
        <w:t xml:space="preserve"> this</w:t>
      </w:r>
      <w:r w:rsidR="000023D1" w:rsidRPr="005D699B">
        <w:t xml:space="preserve"> </w:t>
      </w:r>
      <w:r w:rsidR="007741EE" w:rsidRPr="005D699B">
        <w:t>approach</w:t>
      </w:r>
      <w:r w:rsidR="00B67653" w:rsidRPr="005D699B">
        <w:t xml:space="preserve">. </w:t>
      </w:r>
      <w:r w:rsidR="005E5056">
        <w:t>However, t</w:t>
      </w:r>
      <w:r w:rsidR="003370BF" w:rsidRPr="005D699B">
        <w:t xml:space="preserve">he Department </w:t>
      </w:r>
      <w:r w:rsidR="00E406EC" w:rsidRPr="005D699B">
        <w:rPr>
          <w:color w:val="000000" w:themeColor="text1"/>
        </w:rPr>
        <w:t xml:space="preserve">of Justice </w:t>
      </w:r>
      <w:r w:rsidR="003370BF" w:rsidRPr="005D699B">
        <w:t xml:space="preserve">may </w:t>
      </w:r>
      <w:r w:rsidR="005F1A38">
        <w:t>wish</w:t>
      </w:r>
      <w:r w:rsidR="003370BF" w:rsidRPr="005D699B">
        <w:t xml:space="preserve"> to </w:t>
      </w:r>
      <w:r w:rsidR="00E12FA7" w:rsidRPr="005D699B">
        <w:t>clarify if these offences relate solely to the perpetrator's gratification</w:t>
      </w:r>
      <w:r w:rsidR="005F1A38">
        <w:t>,</w:t>
      </w:r>
      <w:r w:rsidR="00E12FA7" w:rsidRPr="005D699B">
        <w:t xml:space="preserve"> or if they also include </w:t>
      </w:r>
      <w:r w:rsidR="00F032C4" w:rsidRPr="005D699B">
        <w:t xml:space="preserve">the gratification </w:t>
      </w:r>
      <w:r w:rsidR="00E12FA7" w:rsidRPr="005D699B">
        <w:t>of others</w:t>
      </w:r>
      <w:r w:rsidR="00062A59">
        <w:t>. Such an approach</w:t>
      </w:r>
      <w:r w:rsidR="00DC6BA9" w:rsidRPr="005D699B">
        <w:t xml:space="preserve"> could help avoid a gap in accountability for individuals creating</w:t>
      </w:r>
      <w:r w:rsidR="00D047A1" w:rsidRPr="005D699B">
        <w:t xml:space="preserve"> or sharing these images for the sexual gratification of another person</w:t>
      </w:r>
      <w:r w:rsidR="004E02BD" w:rsidRPr="005D699B">
        <w:t>.</w:t>
      </w:r>
    </w:p>
    <w:p w14:paraId="42FFE875" w14:textId="1FA6CF27" w:rsidR="00036453" w:rsidRPr="005D699B" w:rsidRDefault="004E02BD" w:rsidP="005D699B">
      <w:r w:rsidRPr="005D699B">
        <w:t xml:space="preserve"> </w:t>
      </w:r>
    </w:p>
    <w:p w14:paraId="2D9367C3" w14:textId="7D101B55" w:rsidR="0009645A" w:rsidRPr="005D699B" w:rsidRDefault="00B83F75" w:rsidP="0063489A">
      <w:pPr>
        <w:pStyle w:val="ListParagraph"/>
        <w:numPr>
          <w:ilvl w:val="1"/>
          <w:numId w:val="37"/>
        </w:numPr>
        <w:contextualSpacing w:val="0"/>
        <w:rPr>
          <w:b/>
          <w:bCs/>
        </w:rPr>
      </w:pPr>
      <w:r w:rsidRPr="005D699B">
        <w:rPr>
          <w:b/>
          <w:bCs/>
        </w:rPr>
        <w:t xml:space="preserve">The NIHRC recommends that the Department </w:t>
      </w:r>
      <w:r w:rsidR="00FB329F" w:rsidRPr="005D699B">
        <w:rPr>
          <w:b/>
          <w:bCs/>
        </w:rPr>
        <w:t xml:space="preserve">of Justice </w:t>
      </w:r>
      <w:r w:rsidR="000B0E4E" w:rsidRPr="005D699B">
        <w:rPr>
          <w:b/>
          <w:bCs/>
        </w:rPr>
        <w:t xml:space="preserve">specifies </w:t>
      </w:r>
      <w:r w:rsidR="00062A59">
        <w:rPr>
          <w:b/>
          <w:bCs/>
        </w:rPr>
        <w:t xml:space="preserve">within the </w:t>
      </w:r>
      <w:r w:rsidR="005E5056">
        <w:rPr>
          <w:b/>
          <w:bCs/>
        </w:rPr>
        <w:t xml:space="preserve">proposed </w:t>
      </w:r>
      <w:r w:rsidR="00062A59">
        <w:rPr>
          <w:b/>
          <w:bCs/>
        </w:rPr>
        <w:t xml:space="preserve">legislation </w:t>
      </w:r>
      <w:r w:rsidR="000B0E4E" w:rsidRPr="005D699B">
        <w:rPr>
          <w:b/>
          <w:bCs/>
        </w:rPr>
        <w:t>that</w:t>
      </w:r>
      <w:r w:rsidRPr="005D699B">
        <w:rPr>
          <w:b/>
          <w:bCs/>
        </w:rPr>
        <w:t xml:space="preserve"> offences </w:t>
      </w:r>
      <w:r w:rsidR="00297CF5" w:rsidRPr="005D699B">
        <w:rPr>
          <w:b/>
          <w:bCs/>
        </w:rPr>
        <w:t>with</w:t>
      </w:r>
      <w:r w:rsidRPr="005D699B">
        <w:rPr>
          <w:b/>
          <w:bCs/>
        </w:rPr>
        <w:t xml:space="preserve"> </w:t>
      </w:r>
      <w:r w:rsidRPr="005D699B">
        <w:rPr>
          <w:b/>
          <w:bCs/>
        </w:rPr>
        <w:lastRenderedPageBreak/>
        <w:t xml:space="preserve">the motive </w:t>
      </w:r>
      <w:r w:rsidR="00297CF5" w:rsidRPr="005D699B">
        <w:rPr>
          <w:b/>
          <w:bCs/>
        </w:rPr>
        <w:t>of</w:t>
      </w:r>
      <w:r w:rsidRPr="005D699B">
        <w:rPr>
          <w:b/>
          <w:bCs/>
        </w:rPr>
        <w:t xml:space="preserve"> obtaining sexual gratification </w:t>
      </w:r>
      <w:r w:rsidR="000B0E4E" w:rsidRPr="005D699B">
        <w:rPr>
          <w:b/>
          <w:bCs/>
        </w:rPr>
        <w:t>can include</w:t>
      </w:r>
      <w:r w:rsidRPr="005D699B">
        <w:rPr>
          <w:b/>
          <w:bCs/>
        </w:rPr>
        <w:t xml:space="preserve"> the perpetrator's gratification or that of other individuals.</w:t>
      </w:r>
      <w:r w:rsidR="0009645A" w:rsidRPr="005D699B">
        <w:rPr>
          <w:b/>
          <w:bCs/>
        </w:rPr>
        <w:t xml:space="preserve"> </w:t>
      </w:r>
    </w:p>
    <w:p w14:paraId="6816B4F3" w14:textId="77777777" w:rsidR="00B73F64" w:rsidRPr="005D699B" w:rsidRDefault="00B73F64" w:rsidP="005D699B">
      <w:pPr>
        <w:rPr>
          <w:b/>
          <w:bCs/>
        </w:rPr>
      </w:pPr>
    </w:p>
    <w:p w14:paraId="7B80423A" w14:textId="5C089D23" w:rsidR="00C06A53" w:rsidRPr="005D699B" w:rsidRDefault="00C06A53" w:rsidP="0063489A">
      <w:pPr>
        <w:pStyle w:val="ListParagraph"/>
        <w:numPr>
          <w:ilvl w:val="1"/>
          <w:numId w:val="37"/>
        </w:numPr>
        <w:contextualSpacing w:val="0"/>
      </w:pPr>
      <w:r w:rsidRPr="005D699B">
        <w:t>Moreover, the offences do</w:t>
      </w:r>
      <w:r w:rsidR="00FB329F" w:rsidRPr="005D699B">
        <w:t xml:space="preserve"> </w:t>
      </w:r>
      <w:r w:rsidRPr="005D699B">
        <w:t>n</w:t>
      </w:r>
      <w:r w:rsidR="00FB329F" w:rsidRPr="005D699B">
        <w:t>o</w:t>
      </w:r>
      <w:r w:rsidRPr="005D699B">
        <w:t>t seem to require proof of harm</w:t>
      </w:r>
      <w:r w:rsidR="005B16C8" w:rsidRPr="005D699B">
        <w:t>,</w:t>
      </w:r>
      <w:r w:rsidRPr="005D699B">
        <w:t xml:space="preserve"> </w:t>
      </w:r>
      <w:r w:rsidR="00FC0BBB" w:rsidRPr="005D699B">
        <w:t>which is something the NIHRC welcomes</w:t>
      </w:r>
      <w:r w:rsidR="0027142A" w:rsidRPr="005D699B">
        <w:t xml:space="preserve">. Proof of harm </w:t>
      </w:r>
      <w:r w:rsidR="005736D6" w:rsidRPr="005D699B">
        <w:t xml:space="preserve">at the reporting stages </w:t>
      </w:r>
      <w:r w:rsidR="0027142A" w:rsidRPr="005D699B">
        <w:t xml:space="preserve">could negatively </w:t>
      </w:r>
      <w:r w:rsidR="00CB28F7" w:rsidRPr="005D699B">
        <w:t xml:space="preserve">affect </w:t>
      </w:r>
      <w:r w:rsidR="0027142A" w:rsidRPr="005D699B">
        <w:t>victims</w:t>
      </w:r>
      <w:r w:rsidR="00D74263" w:rsidRPr="005D699B">
        <w:t xml:space="preserve"> by re-victimising </w:t>
      </w:r>
      <w:r w:rsidR="00D92C61" w:rsidRPr="005D699B">
        <w:t>them and</w:t>
      </w:r>
      <w:r w:rsidR="00D74263" w:rsidRPr="005D699B">
        <w:t xml:space="preserve"> could be</w:t>
      </w:r>
      <w:r w:rsidR="005B16C8" w:rsidRPr="005D699B">
        <w:t xml:space="preserve"> an evidential obstacle to </w:t>
      </w:r>
      <w:r w:rsidR="00A767C0" w:rsidRPr="005D699B">
        <w:t>prosecutions</w:t>
      </w:r>
      <w:r w:rsidR="005B16C8" w:rsidRPr="005D699B">
        <w:t>.</w:t>
      </w:r>
      <w:r w:rsidR="00C82B47" w:rsidRPr="005D699B">
        <w:t xml:space="preserve"> The UN Basic Principles and Guidelines on the Right to a Remedy and Reparation for Victims are clear that </w:t>
      </w:r>
      <w:r w:rsidR="000D72EC" w:rsidRPr="005D699B">
        <w:t>“care [should be taken] to avoid… re-traumatisation”.</w:t>
      </w:r>
      <w:r w:rsidR="000D72EC" w:rsidRPr="005D699B">
        <w:rPr>
          <w:rStyle w:val="FootnoteReference"/>
        </w:rPr>
        <w:footnoteReference w:id="114"/>
      </w:r>
      <w:r w:rsidR="000D72EC" w:rsidRPr="005D699B">
        <w:t xml:space="preserve"> </w:t>
      </w:r>
      <w:r w:rsidR="005B16C8" w:rsidRPr="005D699B">
        <w:t xml:space="preserve"> </w:t>
      </w:r>
    </w:p>
    <w:p w14:paraId="7B8C92E6" w14:textId="77777777" w:rsidR="00B73F64" w:rsidRPr="005D699B" w:rsidRDefault="00B73F64" w:rsidP="00062A59"/>
    <w:p w14:paraId="5D608439" w14:textId="53EC5C64" w:rsidR="0009645A" w:rsidRPr="005D699B" w:rsidRDefault="001B3930" w:rsidP="0063489A">
      <w:pPr>
        <w:pStyle w:val="ListParagraph"/>
        <w:numPr>
          <w:ilvl w:val="1"/>
          <w:numId w:val="37"/>
        </w:numPr>
        <w:contextualSpacing w:val="0"/>
        <w:rPr>
          <w:b/>
          <w:bCs/>
        </w:rPr>
      </w:pPr>
      <w:r w:rsidRPr="005D699B">
        <w:rPr>
          <w:b/>
          <w:bCs/>
        </w:rPr>
        <w:t xml:space="preserve">The NIHRC recommends that the Department </w:t>
      </w:r>
      <w:r w:rsidR="005736D6" w:rsidRPr="005D699B">
        <w:rPr>
          <w:b/>
          <w:bCs/>
        </w:rPr>
        <w:t xml:space="preserve">of Justice </w:t>
      </w:r>
      <w:r w:rsidR="000A18BC" w:rsidRPr="005D699B">
        <w:rPr>
          <w:b/>
          <w:bCs/>
        </w:rPr>
        <w:t>clarifies that the offences</w:t>
      </w:r>
      <w:r w:rsidR="005A17C4">
        <w:rPr>
          <w:b/>
          <w:bCs/>
        </w:rPr>
        <w:t xml:space="preserve"> within the proposed legislation</w:t>
      </w:r>
      <w:r w:rsidR="000A18BC" w:rsidRPr="005D699B">
        <w:rPr>
          <w:b/>
          <w:bCs/>
        </w:rPr>
        <w:t xml:space="preserve"> do</w:t>
      </w:r>
      <w:r w:rsidR="005736D6" w:rsidRPr="005D699B">
        <w:rPr>
          <w:b/>
          <w:bCs/>
        </w:rPr>
        <w:t xml:space="preserve"> not</w:t>
      </w:r>
      <w:r w:rsidR="000A18BC" w:rsidRPr="005D699B">
        <w:rPr>
          <w:b/>
          <w:bCs/>
        </w:rPr>
        <w:t xml:space="preserve"> require proof of harm to protect victims from re-victimisation and excessive restrictions on prosecutions</w:t>
      </w:r>
      <w:r w:rsidRPr="005D699B">
        <w:rPr>
          <w:b/>
          <w:bCs/>
        </w:rPr>
        <w:t>.</w:t>
      </w:r>
    </w:p>
    <w:p w14:paraId="14FAA2A1" w14:textId="77777777" w:rsidR="00B73F64" w:rsidRPr="005D699B" w:rsidRDefault="00B73F64" w:rsidP="00871DAC">
      <w:pPr>
        <w:rPr>
          <w:b/>
          <w:bCs/>
        </w:rPr>
      </w:pPr>
    </w:p>
    <w:p w14:paraId="1BEEFCF7" w14:textId="77777777" w:rsidR="007127BD" w:rsidRPr="005D699B" w:rsidRDefault="007127BD" w:rsidP="00A018F4">
      <w:pPr>
        <w:pStyle w:val="Heading3"/>
        <w:spacing w:before="240" w:after="240"/>
      </w:pPr>
      <w:bookmarkStart w:id="17" w:name="_Toc209087435"/>
      <w:r w:rsidRPr="005D699B">
        <w:t>Hybrid offences with specific motivations</w:t>
      </w:r>
      <w:bookmarkEnd w:id="17"/>
    </w:p>
    <w:p w14:paraId="1A616CBB" w14:textId="629DD4F1" w:rsidR="007127BD" w:rsidRPr="005D699B" w:rsidRDefault="00C724A3" w:rsidP="0063489A">
      <w:pPr>
        <w:pStyle w:val="ListParagraph"/>
        <w:numPr>
          <w:ilvl w:val="1"/>
          <w:numId w:val="37"/>
        </w:numPr>
        <w:contextualSpacing w:val="0"/>
      </w:pPr>
      <w:r w:rsidRPr="005D699B">
        <w:t>T</w:t>
      </w:r>
      <w:r w:rsidR="008E7BD5" w:rsidRPr="005D699B">
        <w:t xml:space="preserve">he </w:t>
      </w:r>
      <w:r w:rsidRPr="005D699B">
        <w:t xml:space="preserve">Department </w:t>
      </w:r>
      <w:r w:rsidR="00E43B5E" w:rsidRPr="005D699B">
        <w:t xml:space="preserve">of Justice </w:t>
      </w:r>
      <w:r w:rsidRPr="005D699B">
        <w:t xml:space="preserve">is proposing to make the </w:t>
      </w:r>
      <w:r w:rsidR="008E7BD5" w:rsidRPr="005D699B">
        <w:t xml:space="preserve">offences </w:t>
      </w:r>
      <w:r w:rsidR="00A756B7" w:rsidRPr="005D699B">
        <w:t>hybrid</w:t>
      </w:r>
      <w:r w:rsidRPr="005D699B">
        <w:t xml:space="preserve">, </w:t>
      </w:r>
      <w:r w:rsidR="00922D3E" w:rsidRPr="005D699B">
        <w:t xml:space="preserve">to </w:t>
      </w:r>
      <w:r w:rsidR="00044A54" w:rsidRPr="005D699B">
        <w:t>broaden the</w:t>
      </w:r>
      <w:r w:rsidR="00A756B7" w:rsidRPr="005D699B">
        <w:t xml:space="preserve"> range of available options to deal with different degrees of seriousness. </w:t>
      </w:r>
      <w:r w:rsidR="00B243A0" w:rsidRPr="005D699B">
        <w:t xml:space="preserve">The </w:t>
      </w:r>
      <w:r w:rsidR="00B80EC5" w:rsidRPr="005D699B">
        <w:t>proposed</w:t>
      </w:r>
      <w:r w:rsidR="002B4044" w:rsidRPr="005D699B">
        <w:t xml:space="preserve"> offences </w:t>
      </w:r>
      <w:r w:rsidR="00E01C00" w:rsidRPr="005D699B">
        <w:t xml:space="preserve">require </w:t>
      </w:r>
      <w:r w:rsidR="00E1135A" w:rsidRPr="005D699B">
        <w:t xml:space="preserve">specific motivations of intention of </w:t>
      </w:r>
      <w:r w:rsidR="000F3D55" w:rsidRPr="005D699B">
        <w:t xml:space="preserve">causing humiliation, alarm or distress to the person depicted in the </w:t>
      </w:r>
      <w:proofErr w:type="gramStart"/>
      <w:r w:rsidR="000F3D55" w:rsidRPr="005D699B">
        <w:t>image, and</w:t>
      </w:r>
      <w:proofErr w:type="gramEnd"/>
      <w:r w:rsidR="000F3D55" w:rsidRPr="005D699B">
        <w:t xml:space="preserve"> </w:t>
      </w:r>
      <w:r w:rsidR="00714165" w:rsidRPr="005D699B">
        <w:t>obtaining sexual gratification.</w:t>
      </w:r>
    </w:p>
    <w:p w14:paraId="01CB2026" w14:textId="77777777" w:rsidR="00B73F64" w:rsidRPr="005D699B" w:rsidRDefault="00B73F64" w:rsidP="005D699B">
      <w:pPr>
        <w:pStyle w:val="ListParagraph"/>
        <w:contextualSpacing w:val="0"/>
      </w:pPr>
    </w:p>
    <w:p w14:paraId="503DBEFF" w14:textId="74B4E453" w:rsidR="00F7783C" w:rsidRPr="005D699B" w:rsidRDefault="00F7783C" w:rsidP="0063489A">
      <w:pPr>
        <w:pStyle w:val="ListParagraph"/>
        <w:numPr>
          <w:ilvl w:val="1"/>
          <w:numId w:val="37"/>
        </w:numPr>
      </w:pPr>
      <w:r>
        <w:t xml:space="preserve">The NIHRC </w:t>
      </w:r>
      <w:r w:rsidR="008A11F2">
        <w:t xml:space="preserve">welcomes that the </w:t>
      </w:r>
      <w:r w:rsidR="005A17C4">
        <w:t xml:space="preserve">proposed </w:t>
      </w:r>
      <w:r w:rsidR="008A11F2">
        <w:t xml:space="preserve">offences allow for </w:t>
      </w:r>
      <w:r w:rsidR="00497CFB">
        <w:t xml:space="preserve">different responses depending on the </w:t>
      </w:r>
      <w:r w:rsidR="0008098D">
        <w:t>severity</w:t>
      </w:r>
      <w:r w:rsidR="00497CFB">
        <w:t xml:space="preserve"> of the behaviour. </w:t>
      </w:r>
      <w:r w:rsidR="00E206BE">
        <w:t xml:space="preserve">However, the NIHRC is concerned that </w:t>
      </w:r>
      <w:r w:rsidR="00E24AE1">
        <w:t xml:space="preserve">requiring </w:t>
      </w:r>
      <w:r w:rsidR="00E206BE">
        <w:t>specific intent for all offences</w:t>
      </w:r>
      <w:r w:rsidR="00595CB9">
        <w:t xml:space="preserve"> </w:t>
      </w:r>
      <w:r w:rsidR="00E206BE">
        <w:t>may be overly restrictive</w:t>
      </w:r>
      <w:r w:rsidR="005E3FB2">
        <w:t xml:space="preserve">. </w:t>
      </w:r>
    </w:p>
    <w:p w14:paraId="71B1445D" w14:textId="77777777" w:rsidR="00B73F64" w:rsidRPr="005D699B" w:rsidRDefault="00B73F64" w:rsidP="005D699B"/>
    <w:p w14:paraId="3AF93008" w14:textId="4F9823A2" w:rsidR="00FB4957" w:rsidRPr="005D699B" w:rsidRDefault="009E23C5" w:rsidP="0063489A">
      <w:pPr>
        <w:pStyle w:val="ListParagraph"/>
        <w:numPr>
          <w:ilvl w:val="1"/>
          <w:numId w:val="37"/>
        </w:numPr>
        <w:contextualSpacing w:val="0"/>
      </w:pPr>
      <w:r w:rsidRPr="005D699B">
        <w:t xml:space="preserve">The Department </w:t>
      </w:r>
      <w:r w:rsidR="00E406EC" w:rsidRPr="005D699B">
        <w:rPr>
          <w:color w:val="000000" w:themeColor="text1"/>
        </w:rPr>
        <w:t xml:space="preserve">of Justice </w:t>
      </w:r>
      <w:r w:rsidR="00146E82" w:rsidRPr="005D699B">
        <w:t xml:space="preserve">needs to ensure that the </w:t>
      </w:r>
      <w:r w:rsidR="00C23E8B" w:rsidRPr="005D699B">
        <w:t>way the legislation is designed does</w:t>
      </w:r>
      <w:r w:rsidR="00BE1DD6" w:rsidRPr="005D699B">
        <w:t xml:space="preserve"> </w:t>
      </w:r>
      <w:r w:rsidR="00C23E8B" w:rsidRPr="005D699B">
        <w:t>n</w:t>
      </w:r>
      <w:r w:rsidR="00BE1DD6" w:rsidRPr="005D699B">
        <w:t>o</w:t>
      </w:r>
      <w:r w:rsidR="00C23E8B" w:rsidRPr="005D699B">
        <w:t xml:space="preserve">t become an excessive barrier to </w:t>
      </w:r>
      <w:r w:rsidR="002B52B4" w:rsidRPr="005D699B">
        <w:t xml:space="preserve">bringing </w:t>
      </w:r>
      <w:r w:rsidR="00CA7F5D" w:rsidRPr="005D699B">
        <w:t xml:space="preserve">prosecutions and </w:t>
      </w:r>
      <w:r w:rsidR="005A4E14">
        <w:t>obtaining</w:t>
      </w:r>
      <w:r w:rsidR="00C23E8B" w:rsidRPr="005D699B">
        <w:t xml:space="preserve"> convictions</w:t>
      </w:r>
      <w:r w:rsidR="00704860" w:rsidRPr="005D699B">
        <w:t xml:space="preserve">. </w:t>
      </w:r>
      <w:r w:rsidR="00802816" w:rsidRPr="005D699B">
        <w:t xml:space="preserve">The Istanbul Convention is clear that </w:t>
      </w:r>
      <w:r w:rsidR="00704860" w:rsidRPr="005D699B">
        <w:t xml:space="preserve">legislation needs to be </w:t>
      </w:r>
      <w:r w:rsidR="005119B2" w:rsidRPr="005D699B">
        <w:t xml:space="preserve">effective </w:t>
      </w:r>
      <w:r w:rsidR="00704860" w:rsidRPr="005D699B">
        <w:t>in tackling</w:t>
      </w:r>
      <w:r w:rsidR="00177414" w:rsidRPr="005D699B">
        <w:t xml:space="preserve"> </w:t>
      </w:r>
      <w:r w:rsidR="00177414" w:rsidRPr="005D699B">
        <w:lastRenderedPageBreak/>
        <w:t>abuse and violence</w:t>
      </w:r>
      <w:r w:rsidR="007D12D6" w:rsidRPr="005D699B">
        <w:t xml:space="preserve"> and bring redress for victims</w:t>
      </w:r>
      <w:r w:rsidR="00177414" w:rsidRPr="005D699B">
        <w:t>, particularly in cases of gender-based violence.</w:t>
      </w:r>
      <w:r w:rsidR="00957F25" w:rsidRPr="005D699B">
        <w:rPr>
          <w:rStyle w:val="FootnoteReference"/>
        </w:rPr>
        <w:footnoteReference w:id="115"/>
      </w:r>
    </w:p>
    <w:p w14:paraId="146DEECC" w14:textId="77777777" w:rsidR="00B73F64" w:rsidRPr="005D699B" w:rsidRDefault="00B73F64" w:rsidP="005D699B"/>
    <w:p w14:paraId="2F02F7C0" w14:textId="4D8FA5A2" w:rsidR="00563561" w:rsidRPr="005D699B" w:rsidRDefault="00F360B9" w:rsidP="0063489A">
      <w:pPr>
        <w:pStyle w:val="ListParagraph"/>
        <w:numPr>
          <w:ilvl w:val="1"/>
          <w:numId w:val="37"/>
        </w:numPr>
      </w:pPr>
      <w:r>
        <w:t>S</w:t>
      </w:r>
      <w:r w:rsidR="00F125C7" w:rsidRPr="005D699B">
        <w:t>ometimes the creation or sharing of these images lacks a specific motivation.</w:t>
      </w:r>
      <w:r w:rsidR="00CA51B5">
        <w:rPr>
          <w:rStyle w:val="FootnoteReference"/>
        </w:rPr>
        <w:footnoteReference w:id="116"/>
      </w:r>
      <w:r w:rsidR="00F125C7" w:rsidRPr="005D699B">
        <w:t xml:space="preserve"> </w:t>
      </w:r>
      <w:r>
        <w:t>Yet, t</w:t>
      </w:r>
      <w:r w:rsidR="00F125C7" w:rsidRPr="005D699B">
        <w:t>he effects on victims can be devastating</w:t>
      </w:r>
      <w:r w:rsidR="00CA372E" w:rsidRPr="005D699B">
        <w:t xml:space="preserve">, </w:t>
      </w:r>
      <w:r w:rsidR="00D03846" w:rsidRPr="005D699B">
        <w:t>no matter the motive</w:t>
      </w:r>
      <w:r w:rsidR="00F125C7" w:rsidRPr="005D699B">
        <w:t>.</w:t>
      </w:r>
      <w:r w:rsidR="00A85B94" w:rsidRPr="005D699B">
        <w:rPr>
          <w:rStyle w:val="FootnoteReference"/>
        </w:rPr>
        <w:footnoteReference w:id="117"/>
      </w:r>
      <w:r w:rsidR="00B37F46" w:rsidRPr="005D699B">
        <w:t xml:space="preserve"> Thus, it may be beneficial to</w:t>
      </w:r>
      <w:r w:rsidR="00FB4957" w:rsidRPr="005D699B">
        <w:t xml:space="preserve"> </w:t>
      </w:r>
      <w:r w:rsidR="0046282C" w:rsidRPr="005D699B">
        <w:t>add a summary-only bas</w:t>
      </w:r>
      <w:r w:rsidR="00EA3152" w:rsidRPr="005D699B">
        <w:t>e</w:t>
      </w:r>
      <w:r w:rsidR="0046282C" w:rsidRPr="005D699B">
        <w:t xml:space="preserve"> offence of intentionally </w:t>
      </w:r>
      <w:r w:rsidR="00DB28BF" w:rsidRPr="005D699B">
        <w:t>creating</w:t>
      </w:r>
      <w:r w:rsidR="00B37F46" w:rsidRPr="005D699B">
        <w:t xml:space="preserve"> or </w:t>
      </w:r>
      <w:r w:rsidR="00DB28BF" w:rsidRPr="005D699B">
        <w:t>requesting the creation or sharing</w:t>
      </w:r>
      <w:r w:rsidR="00B37F46" w:rsidRPr="005D699B">
        <w:t xml:space="preserve"> or </w:t>
      </w:r>
      <w:r w:rsidR="00DB28BF" w:rsidRPr="005D699B">
        <w:t>threatening to share</w:t>
      </w:r>
      <w:r w:rsidR="0046282C" w:rsidRPr="005D699B">
        <w:t xml:space="preserve"> </w:t>
      </w:r>
      <w:r w:rsidR="00AB3FA4" w:rsidRPr="005D699B">
        <w:t>a</w:t>
      </w:r>
      <w:r w:rsidR="0046282C" w:rsidRPr="005D699B">
        <w:t xml:space="preserve"> </w:t>
      </w:r>
      <w:r w:rsidR="00AB3FA4" w:rsidRPr="005D699B">
        <w:t xml:space="preserve">sexually explicit deepfake </w:t>
      </w:r>
      <w:r w:rsidR="0046282C" w:rsidRPr="005D699B">
        <w:t xml:space="preserve">without consent, </w:t>
      </w:r>
      <w:r w:rsidR="00D03865" w:rsidRPr="005D699B">
        <w:t>or a reasonable belief in consent</w:t>
      </w:r>
      <w:r w:rsidR="0046282C" w:rsidRPr="005D699B">
        <w:t>, regardless of motive.</w:t>
      </w:r>
      <w:r w:rsidR="00F45BDF" w:rsidRPr="005D699B">
        <w:t xml:space="preserve"> Such an approach </w:t>
      </w:r>
      <w:r w:rsidR="00C1284A" w:rsidRPr="005D699B">
        <w:t xml:space="preserve">may help </w:t>
      </w:r>
      <w:r w:rsidR="007C3AE6" w:rsidRPr="005D699B">
        <w:t>close</w:t>
      </w:r>
      <w:r w:rsidR="00C1284A" w:rsidRPr="005D699B">
        <w:t xml:space="preserve"> a</w:t>
      </w:r>
      <w:r w:rsidR="00A34CE6" w:rsidRPr="005D699B">
        <w:t xml:space="preserve"> potential</w:t>
      </w:r>
      <w:r w:rsidR="00C1284A" w:rsidRPr="005D699B">
        <w:t xml:space="preserve"> </w:t>
      </w:r>
      <w:r w:rsidR="00403A24" w:rsidRPr="005D699B">
        <w:t>accountability</w:t>
      </w:r>
      <w:r w:rsidR="00C1284A" w:rsidRPr="005D699B">
        <w:t xml:space="preserve"> gap when the </w:t>
      </w:r>
      <w:r w:rsidR="00057176" w:rsidRPr="005D699B">
        <w:t xml:space="preserve">Public Prosecution Service </w:t>
      </w:r>
      <w:r w:rsidR="00C1284A" w:rsidRPr="005D699B">
        <w:t>or P</w:t>
      </w:r>
      <w:r w:rsidR="00057176" w:rsidRPr="005D699B">
        <w:t xml:space="preserve">olice </w:t>
      </w:r>
      <w:r w:rsidR="00C1284A" w:rsidRPr="005D699B">
        <w:t>S</w:t>
      </w:r>
      <w:r w:rsidR="00057176" w:rsidRPr="005D699B">
        <w:t xml:space="preserve">ervice of </w:t>
      </w:r>
      <w:r w:rsidR="00C1284A" w:rsidRPr="005D699B">
        <w:t xml:space="preserve">NI </w:t>
      </w:r>
      <w:r w:rsidR="00057176" w:rsidRPr="005D699B">
        <w:t>lack</w:t>
      </w:r>
      <w:r w:rsidR="00C1284A" w:rsidRPr="005D699B">
        <w:t xml:space="preserve"> evidence of a specific motive</w:t>
      </w:r>
      <w:r w:rsidR="00153B76" w:rsidRPr="005D699B">
        <w:t xml:space="preserve">. </w:t>
      </w:r>
      <w:r w:rsidR="00646B08" w:rsidRPr="005D699B">
        <w:t>T</w:t>
      </w:r>
      <w:r w:rsidR="00D97337" w:rsidRPr="005D699B">
        <w:t>he</w:t>
      </w:r>
      <w:r w:rsidR="00646B08" w:rsidRPr="005D699B">
        <w:t xml:space="preserve"> creation or sharing must have been </w:t>
      </w:r>
      <w:r w:rsidR="00C41DBB" w:rsidRPr="005D699B">
        <w:t xml:space="preserve">intentional, so mistakes or accidents </w:t>
      </w:r>
      <w:r w:rsidR="00612387" w:rsidRPr="005D699B">
        <w:t>fall</w:t>
      </w:r>
      <w:r w:rsidR="00C41DBB" w:rsidRPr="005D699B">
        <w:t xml:space="preserve"> outside the scope of the offence.</w:t>
      </w:r>
      <w:r w:rsidR="002D5F4C" w:rsidRPr="005D699B">
        <w:t xml:space="preserve"> </w:t>
      </w:r>
    </w:p>
    <w:p w14:paraId="742CC6E9" w14:textId="77777777" w:rsidR="00B73F64" w:rsidRPr="005D699B" w:rsidRDefault="00B73F64" w:rsidP="005D699B"/>
    <w:p w14:paraId="28DDF1BA" w14:textId="2DF4F214" w:rsidR="00335A33" w:rsidRPr="005D699B" w:rsidRDefault="00F45BDF" w:rsidP="0063489A">
      <w:pPr>
        <w:pStyle w:val="ListParagraph"/>
        <w:numPr>
          <w:ilvl w:val="1"/>
          <w:numId w:val="37"/>
        </w:numPr>
        <w:contextualSpacing w:val="0"/>
      </w:pPr>
      <w:r w:rsidRPr="005D699B">
        <w:t xml:space="preserve">Additionally, </w:t>
      </w:r>
      <w:r w:rsidR="00D33976" w:rsidRPr="005D699B">
        <w:t xml:space="preserve">while this may not be needed regarding the creation of a non-consensual sexually explicit deepfake, </w:t>
      </w:r>
      <w:r w:rsidRPr="005D699B">
        <w:t>it may be beneficial to introduce</w:t>
      </w:r>
      <w:r w:rsidR="00DE1235" w:rsidRPr="005D699B">
        <w:t xml:space="preserve"> </w:t>
      </w:r>
      <w:r w:rsidR="002D5F4C" w:rsidRPr="005D699B">
        <w:t>a defence of reasonable excuse to avoid over-criminalisation</w:t>
      </w:r>
      <w:r w:rsidR="009346F6" w:rsidRPr="005D699B">
        <w:t xml:space="preserve"> when sharing this type of image </w:t>
      </w:r>
      <w:r w:rsidR="00537CFA" w:rsidRPr="005D699B">
        <w:t xml:space="preserve">is necessary for </w:t>
      </w:r>
      <w:r w:rsidR="00622662" w:rsidRPr="005D699B">
        <w:t>reportin</w:t>
      </w:r>
      <w:r w:rsidR="00C27846" w:rsidRPr="005D699B">
        <w:t xml:space="preserve">g, </w:t>
      </w:r>
      <w:r w:rsidR="00537CFA" w:rsidRPr="005D699B">
        <w:t>preventing, detecting, investigating, or prosecuting a crime,</w:t>
      </w:r>
      <w:r w:rsidR="00AE1449" w:rsidRPr="005D699B">
        <w:t xml:space="preserve"> or for the administration of justice.</w:t>
      </w:r>
      <w:r w:rsidR="0007216C" w:rsidRPr="005D699B">
        <w:t xml:space="preserve"> For example, </w:t>
      </w:r>
      <w:r w:rsidR="006510D9" w:rsidRPr="005D699B">
        <w:t>someone might share a</w:t>
      </w:r>
      <w:r w:rsidR="0046203B" w:rsidRPr="005D699B">
        <w:t>n image to</w:t>
      </w:r>
      <w:r w:rsidR="00241E34" w:rsidRPr="005D699B">
        <w:t xml:space="preserve"> report a</w:t>
      </w:r>
      <w:r w:rsidR="00E12157" w:rsidRPr="005D699B">
        <w:t xml:space="preserve"> crime or</w:t>
      </w:r>
      <w:r w:rsidR="0046203B" w:rsidRPr="005D699B">
        <w:t xml:space="preserve"> alert the victim</w:t>
      </w:r>
      <w:r w:rsidR="00241E34" w:rsidRPr="005D699B">
        <w:t xml:space="preserve"> </w:t>
      </w:r>
      <w:r w:rsidR="00074311" w:rsidRPr="005D699B">
        <w:t>about</w:t>
      </w:r>
      <w:r w:rsidR="00241E34" w:rsidRPr="005D699B">
        <w:t xml:space="preserve"> its existence</w:t>
      </w:r>
      <w:r w:rsidR="00E12157" w:rsidRPr="005D699B">
        <w:t>.</w:t>
      </w:r>
      <w:r w:rsidR="00074311" w:rsidRPr="005D699B">
        <w:t xml:space="preserve"> </w:t>
      </w:r>
      <w:r w:rsidR="006003F1" w:rsidRPr="005D699B">
        <w:t xml:space="preserve">Any reasonable excuse defence must be clearly defined and balanced to avoid unintentionally criminalising </w:t>
      </w:r>
      <w:r w:rsidR="00BB32E1">
        <w:t>individuals</w:t>
      </w:r>
      <w:r w:rsidR="006003F1" w:rsidRPr="005D699B">
        <w:t xml:space="preserve"> who report crimes, while also ensuring that perpetrators remain accountable for their actions. </w:t>
      </w:r>
      <w:r w:rsidR="00BB6D18" w:rsidRPr="005D699B">
        <w:t xml:space="preserve">Human rights standards emphasise the need to </w:t>
      </w:r>
      <w:r w:rsidR="00D33976" w:rsidRPr="005D699B">
        <w:t>adopt a</w:t>
      </w:r>
      <w:r w:rsidR="006003F1" w:rsidRPr="005D699B">
        <w:t xml:space="preserve"> </w:t>
      </w:r>
      <w:r w:rsidR="00495A12" w:rsidRPr="005D699B">
        <w:t>victim-centred</w:t>
      </w:r>
      <w:r w:rsidR="006003F1" w:rsidRPr="005D699B">
        <w:t xml:space="preserve"> approach </w:t>
      </w:r>
      <w:r w:rsidR="00D33976" w:rsidRPr="005D699B">
        <w:t>in</w:t>
      </w:r>
      <w:r w:rsidR="006003F1" w:rsidRPr="005D699B">
        <w:t xml:space="preserve"> the development of such provisions</w:t>
      </w:r>
      <w:r w:rsidR="00EF2B7B" w:rsidRPr="005D699B">
        <w:t>.</w:t>
      </w:r>
      <w:r w:rsidR="006D11ED" w:rsidRPr="005D699B">
        <w:rPr>
          <w:rStyle w:val="FootnoteReference"/>
        </w:rPr>
        <w:footnoteReference w:id="118"/>
      </w:r>
    </w:p>
    <w:p w14:paraId="3C45EB3C" w14:textId="77777777" w:rsidR="00B73F64" w:rsidRPr="005D699B" w:rsidRDefault="00B73F64" w:rsidP="005D699B"/>
    <w:p w14:paraId="400DA908" w14:textId="77777777" w:rsidR="00C9032E" w:rsidRPr="005D699B" w:rsidRDefault="00CD3DA2" w:rsidP="0063489A">
      <w:pPr>
        <w:pStyle w:val="ListParagraph"/>
        <w:numPr>
          <w:ilvl w:val="1"/>
          <w:numId w:val="37"/>
        </w:numPr>
        <w:contextualSpacing w:val="0"/>
      </w:pPr>
      <w:r w:rsidRPr="005D699B">
        <w:lastRenderedPageBreak/>
        <w:t xml:space="preserve">This </w:t>
      </w:r>
      <w:r w:rsidR="00BC6A02" w:rsidRPr="005D699B">
        <w:t>summary-only</w:t>
      </w:r>
      <w:r w:rsidR="00EA3152" w:rsidRPr="005D699B">
        <w:t xml:space="preserve"> offence </w:t>
      </w:r>
      <w:r w:rsidR="00205DFC" w:rsidRPr="005D699B">
        <w:t xml:space="preserve">would </w:t>
      </w:r>
      <w:r w:rsidR="00B37E69" w:rsidRPr="005D699B">
        <w:t>complement</w:t>
      </w:r>
      <w:r w:rsidR="00217DB8" w:rsidRPr="005D699B">
        <w:t xml:space="preserve"> the more serious </w:t>
      </w:r>
      <w:r w:rsidR="00BC6A02" w:rsidRPr="005D699B">
        <w:t xml:space="preserve">hybrid </w:t>
      </w:r>
      <w:r w:rsidR="00217DB8" w:rsidRPr="005D699B">
        <w:t>offences</w:t>
      </w:r>
      <w:r w:rsidR="00725BF3" w:rsidRPr="005D699B">
        <w:t xml:space="preserve"> that have</w:t>
      </w:r>
      <w:r w:rsidR="00B37E69" w:rsidRPr="005D699B">
        <w:t xml:space="preserve"> specific intention</w:t>
      </w:r>
      <w:r w:rsidR="00BC6A02" w:rsidRPr="005D699B">
        <w:t>s</w:t>
      </w:r>
      <w:r w:rsidR="00B37E69" w:rsidRPr="005D699B">
        <w:t xml:space="preserve"> behind the conduct</w:t>
      </w:r>
      <w:r w:rsidR="00725BF3" w:rsidRPr="005D699B">
        <w:t>,</w:t>
      </w:r>
      <w:r w:rsidR="00B37E69" w:rsidRPr="005D699B">
        <w:t xml:space="preserve"> </w:t>
      </w:r>
      <w:r w:rsidR="00BC6A02" w:rsidRPr="005D699B">
        <w:t>addressing</w:t>
      </w:r>
      <w:r w:rsidR="00217DB8" w:rsidRPr="005D699B">
        <w:t xml:space="preserve"> more culpable behaviour.</w:t>
      </w:r>
    </w:p>
    <w:p w14:paraId="14D0EC0B" w14:textId="77777777" w:rsidR="00B73F64" w:rsidRPr="005D699B" w:rsidRDefault="00B73F64" w:rsidP="005D699B"/>
    <w:p w14:paraId="22391DF7" w14:textId="0183512C" w:rsidR="00426003" w:rsidRPr="005D699B" w:rsidRDefault="006C7FD3" w:rsidP="0063489A">
      <w:pPr>
        <w:pStyle w:val="ListParagraph"/>
        <w:numPr>
          <w:ilvl w:val="1"/>
          <w:numId w:val="37"/>
        </w:numPr>
        <w:contextualSpacing w:val="0"/>
      </w:pPr>
      <w:r w:rsidRPr="005D699B">
        <w:t>Notably,</w:t>
      </w:r>
      <w:r w:rsidR="0048627C" w:rsidRPr="005D699B">
        <w:t xml:space="preserve"> </w:t>
      </w:r>
      <w:r w:rsidR="001B4724">
        <w:t xml:space="preserve">there is a tiered approach in </w:t>
      </w:r>
      <w:r w:rsidR="00C9032E" w:rsidRPr="005D699B">
        <w:t>England and Wales</w:t>
      </w:r>
      <w:r w:rsidR="00A70920" w:rsidRPr="005D699B">
        <w:t xml:space="preserve">, </w:t>
      </w:r>
      <w:r w:rsidR="0070388B" w:rsidRPr="005D699B">
        <w:t>with</w:t>
      </w:r>
      <w:r w:rsidR="00A70920" w:rsidRPr="005D699B">
        <w:t xml:space="preserve"> </w:t>
      </w:r>
      <w:r w:rsidR="00C06CE4" w:rsidRPr="005D699B">
        <w:t xml:space="preserve">strict liability offences </w:t>
      </w:r>
      <w:r w:rsidR="00DB7872" w:rsidRPr="005D699B">
        <w:t xml:space="preserve">that do not </w:t>
      </w:r>
      <w:r w:rsidR="00260932" w:rsidRPr="005D699B">
        <w:t>require</w:t>
      </w:r>
      <w:r w:rsidR="00E26584" w:rsidRPr="005D699B">
        <w:t xml:space="preserve"> proof of intent</w:t>
      </w:r>
      <w:r w:rsidR="00A70920" w:rsidRPr="005D699B">
        <w:t>.</w:t>
      </w:r>
      <w:r w:rsidR="00316E85" w:rsidRPr="005D699B">
        <w:rPr>
          <w:rStyle w:val="FootnoteReference"/>
        </w:rPr>
        <w:footnoteReference w:id="119"/>
      </w:r>
      <w:r w:rsidR="00DB7872" w:rsidRPr="005D699B">
        <w:t xml:space="preserve"> </w:t>
      </w:r>
      <w:r w:rsidR="00C35AD2">
        <w:t>By comparison, the proposed approach by the Department of Justice</w:t>
      </w:r>
      <w:r w:rsidR="005C0318" w:rsidRPr="005D699B">
        <w:t xml:space="preserve"> could cause a disparity </w:t>
      </w:r>
      <w:r w:rsidR="000939F1">
        <w:t xml:space="preserve">in NI </w:t>
      </w:r>
      <w:r w:rsidR="00753355">
        <w:t>regarding</w:t>
      </w:r>
      <w:r w:rsidR="000939F1">
        <w:t xml:space="preserve"> the</w:t>
      </w:r>
      <w:r w:rsidR="00C6540A" w:rsidRPr="005D699B">
        <w:t xml:space="preserve"> protection</w:t>
      </w:r>
      <w:r w:rsidR="005C0318" w:rsidRPr="005D699B">
        <w:t xml:space="preserve"> </w:t>
      </w:r>
      <w:r w:rsidR="001B4724">
        <w:t>offered</w:t>
      </w:r>
      <w:r w:rsidR="008258CD" w:rsidRPr="005D699B">
        <w:t xml:space="preserve"> </w:t>
      </w:r>
      <w:r w:rsidR="006A1CC0" w:rsidRPr="005D699B">
        <w:t>to victims of non-consensual sexually explicit deepfakes.</w:t>
      </w:r>
      <w:r w:rsidR="00DF35A3" w:rsidRPr="005D699B">
        <w:t xml:space="preserve"> This </w:t>
      </w:r>
      <w:r w:rsidR="00A90064" w:rsidRPr="005D699B">
        <w:t xml:space="preserve">disparity </w:t>
      </w:r>
      <w:r w:rsidR="00DF35A3" w:rsidRPr="005D699B">
        <w:t xml:space="preserve">is also relevant considering this is a crime that takes place online and across </w:t>
      </w:r>
      <w:r w:rsidR="00A9357F" w:rsidRPr="005D699B">
        <w:t>jurisdictions.</w:t>
      </w:r>
      <w:r w:rsidR="006A1CC0" w:rsidRPr="005D699B">
        <w:t xml:space="preserve"> </w:t>
      </w:r>
      <w:r w:rsidR="00ED518B" w:rsidRPr="005D699B">
        <w:t>It raises a concern that</w:t>
      </w:r>
      <w:r w:rsidR="00B23CD9" w:rsidRPr="005D699B">
        <w:t xml:space="preserve"> there </w:t>
      </w:r>
      <w:r w:rsidR="00ED518B" w:rsidRPr="005D699B">
        <w:t>could be an</w:t>
      </w:r>
      <w:r w:rsidR="00B23CD9" w:rsidRPr="005D699B">
        <w:t xml:space="preserve"> </w:t>
      </w:r>
      <w:r w:rsidR="00CB000A" w:rsidRPr="005D699B">
        <w:t xml:space="preserve">unintended gap in protection </w:t>
      </w:r>
      <w:r w:rsidR="00335A77" w:rsidRPr="005D699B">
        <w:t>in NI</w:t>
      </w:r>
      <w:r w:rsidR="00025DE8" w:rsidRPr="005D699B">
        <w:t>, which</w:t>
      </w:r>
      <w:r w:rsidR="0049413D" w:rsidRPr="005D699B">
        <w:t xml:space="preserve"> </w:t>
      </w:r>
      <w:r w:rsidR="005E75C2" w:rsidRPr="005D699B">
        <w:t>leads to a disproportionate approach regarding</w:t>
      </w:r>
      <w:r w:rsidR="0049413D" w:rsidRPr="005D699B">
        <w:t xml:space="preserve"> the</w:t>
      </w:r>
      <w:r w:rsidR="00C6640B" w:rsidRPr="005D699B">
        <w:t xml:space="preserve"> rights of victims </w:t>
      </w:r>
      <w:r w:rsidR="00CD6F92" w:rsidRPr="005D699B">
        <w:t xml:space="preserve">and people at risk, </w:t>
      </w:r>
      <w:r w:rsidR="00C6640B" w:rsidRPr="005D699B">
        <w:t>and defendants.</w:t>
      </w:r>
    </w:p>
    <w:p w14:paraId="5D799707" w14:textId="77777777" w:rsidR="00B73F64" w:rsidRPr="005D699B" w:rsidRDefault="00B73F64" w:rsidP="005D699B"/>
    <w:p w14:paraId="025C5FC7" w14:textId="194733B4" w:rsidR="00221FEB" w:rsidRDefault="00B036AC" w:rsidP="0063489A">
      <w:pPr>
        <w:pStyle w:val="ListParagraph"/>
        <w:numPr>
          <w:ilvl w:val="1"/>
          <w:numId w:val="37"/>
        </w:numPr>
        <w:contextualSpacing w:val="0"/>
        <w:rPr>
          <w:b/>
          <w:bCs/>
        </w:rPr>
      </w:pPr>
      <w:r w:rsidRPr="005D699B">
        <w:rPr>
          <w:b/>
          <w:bCs/>
        </w:rPr>
        <w:t>T</w:t>
      </w:r>
      <w:r w:rsidR="005E7312" w:rsidRPr="005D699B">
        <w:rPr>
          <w:b/>
          <w:bCs/>
        </w:rPr>
        <w:t xml:space="preserve">he NIHRC recommends that the Department </w:t>
      </w:r>
      <w:r w:rsidR="009F0097" w:rsidRPr="005D699B">
        <w:rPr>
          <w:b/>
          <w:bCs/>
        </w:rPr>
        <w:t xml:space="preserve">of Justice </w:t>
      </w:r>
      <w:r w:rsidR="005E7312" w:rsidRPr="005D699B">
        <w:rPr>
          <w:b/>
          <w:bCs/>
        </w:rPr>
        <w:t xml:space="preserve">introduces </w:t>
      </w:r>
      <w:r w:rsidR="00753355">
        <w:rPr>
          <w:b/>
          <w:bCs/>
        </w:rPr>
        <w:t>within the proposed</w:t>
      </w:r>
      <w:r w:rsidR="00C14416">
        <w:rPr>
          <w:b/>
          <w:bCs/>
        </w:rPr>
        <w:t xml:space="preserve"> legislation </w:t>
      </w:r>
      <w:r w:rsidR="005E7312" w:rsidRPr="005D699B">
        <w:rPr>
          <w:b/>
          <w:bCs/>
        </w:rPr>
        <w:t>a summary-only base offence of intentionally creating</w:t>
      </w:r>
      <w:r w:rsidR="000528FD">
        <w:rPr>
          <w:b/>
          <w:bCs/>
        </w:rPr>
        <w:t xml:space="preserve"> or </w:t>
      </w:r>
      <w:r w:rsidR="005E7312" w:rsidRPr="005D699B">
        <w:rPr>
          <w:b/>
          <w:bCs/>
        </w:rPr>
        <w:t>requesting the creation or sharing</w:t>
      </w:r>
      <w:r w:rsidR="000528FD">
        <w:rPr>
          <w:b/>
          <w:bCs/>
        </w:rPr>
        <w:t xml:space="preserve"> or </w:t>
      </w:r>
      <w:r w:rsidR="005E7312" w:rsidRPr="005D699B">
        <w:rPr>
          <w:b/>
          <w:bCs/>
        </w:rPr>
        <w:t>threatening to share a sexually explicit deepfake image without consent, or a reasonable belief in consent, regardless of motive</w:t>
      </w:r>
      <w:r w:rsidR="00152E5A" w:rsidRPr="005D699B">
        <w:rPr>
          <w:b/>
          <w:bCs/>
        </w:rPr>
        <w:t xml:space="preserve">. </w:t>
      </w:r>
    </w:p>
    <w:p w14:paraId="2CD30AB8" w14:textId="77777777" w:rsidR="00221FEB" w:rsidRPr="00221FEB" w:rsidRDefault="00221FEB" w:rsidP="009A49E2">
      <w:pPr>
        <w:pStyle w:val="ListParagraph"/>
        <w:rPr>
          <w:b/>
          <w:bCs/>
        </w:rPr>
      </w:pPr>
    </w:p>
    <w:p w14:paraId="046FD3E9" w14:textId="38D683D4" w:rsidR="00152E5A" w:rsidRPr="005D699B" w:rsidRDefault="009A49E2" w:rsidP="0063489A">
      <w:pPr>
        <w:pStyle w:val="ListParagraph"/>
        <w:numPr>
          <w:ilvl w:val="1"/>
          <w:numId w:val="37"/>
        </w:numPr>
        <w:contextualSpacing w:val="0"/>
        <w:rPr>
          <w:b/>
          <w:bCs/>
        </w:rPr>
      </w:pPr>
      <w:r>
        <w:rPr>
          <w:b/>
          <w:bCs/>
        </w:rPr>
        <w:t>T</w:t>
      </w:r>
      <w:r w:rsidR="003B0078" w:rsidRPr="005D699B">
        <w:rPr>
          <w:b/>
          <w:bCs/>
        </w:rPr>
        <w:t xml:space="preserve">he NIHRC recommends that the Department of Justice includes </w:t>
      </w:r>
      <w:r w:rsidR="00753355">
        <w:rPr>
          <w:b/>
          <w:bCs/>
        </w:rPr>
        <w:t xml:space="preserve">within the proposed legislation </w:t>
      </w:r>
      <w:r w:rsidR="003B0078" w:rsidRPr="005D699B">
        <w:rPr>
          <w:b/>
          <w:bCs/>
        </w:rPr>
        <w:t xml:space="preserve">a </w:t>
      </w:r>
      <w:r w:rsidR="00954D25" w:rsidRPr="005D699B">
        <w:rPr>
          <w:b/>
          <w:bCs/>
        </w:rPr>
        <w:t xml:space="preserve">reasonable excuse defence to avoid over-criminalisation when sharing this type of image is necessary for reporting, preventing, detecting, investigating, or prosecuting a crime, or for the administration of justice. </w:t>
      </w:r>
      <w:r w:rsidR="002D4B75" w:rsidRPr="005D699B">
        <w:rPr>
          <w:b/>
          <w:bCs/>
        </w:rPr>
        <w:t xml:space="preserve">This defence must be clearly defined and balanced, </w:t>
      </w:r>
      <w:r w:rsidR="00923B02" w:rsidRPr="005D699B">
        <w:rPr>
          <w:b/>
          <w:bCs/>
        </w:rPr>
        <w:t>to ensure</w:t>
      </w:r>
      <w:r w:rsidR="004C0C59" w:rsidRPr="005D699B">
        <w:rPr>
          <w:b/>
          <w:bCs/>
        </w:rPr>
        <w:t xml:space="preserve"> </w:t>
      </w:r>
      <w:r w:rsidR="004739E4" w:rsidRPr="005D699B">
        <w:rPr>
          <w:b/>
          <w:bCs/>
        </w:rPr>
        <w:t xml:space="preserve">accountability without </w:t>
      </w:r>
      <w:r w:rsidR="00E0176B" w:rsidRPr="005D699B">
        <w:rPr>
          <w:b/>
          <w:bCs/>
        </w:rPr>
        <w:t xml:space="preserve">unintentionally criminalising </w:t>
      </w:r>
      <w:r>
        <w:rPr>
          <w:b/>
          <w:bCs/>
        </w:rPr>
        <w:t>individuals</w:t>
      </w:r>
      <w:r w:rsidR="00E0176B" w:rsidRPr="005D699B">
        <w:rPr>
          <w:b/>
          <w:bCs/>
        </w:rPr>
        <w:t xml:space="preserve"> who report crimes. </w:t>
      </w:r>
      <w:r w:rsidR="003B0078" w:rsidRPr="005D699B">
        <w:rPr>
          <w:b/>
          <w:bCs/>
        </w:rPr>
        <w:t xml:space="preserve"> </w:t>
      </w:r>
    </w:p>
    <w:p w14:paraId="5AF21A1E" w14:textId="77777777" w:rsidR="00BB1C23" w:rsidRPr="005D699B" w:rsidRDefault="00BB1C23" w:rsidP="009A49E2">
      <w:pPr>
        <w:pStyle w:val="ListParagraph"/>
        <w:contextualSpacing w:val="0"/>
        <w:rPr>
          <w:b/>
          <w:bCs/>
        </w:rPr>
      </w:pPr>
    </w:p>
    <w:p w14:paraId="054B2049" w14:textId="6D696B29" w:rsidR="00B73F64" w:rsidRDefault="00BB1C23" w:rsidP="0063489A">
      <w:pPr>
        <w:pStyle w:val="ListParagraph"/>
        <w:numPr>
          <w:ilvl w:val="1"/>
          <w:numId w:val="37"/>
        </w:numPr>
        <w:contextualSpacing w:val="0"/>
        <w:rPr>
          <w:b/>
          <w:bCs/>
        </w:rPr>
      </w:pPr>
      <w:r w:rsidRPr="005D699B">
        <w:rPr>
          <w:b/>
          <w:bCs/>
        </w:rPr>
        <w:t>The NIHRC recommends that the Department of Justice</w:t>
      </w:r>
      <w:r w:rsidR="003E3D0F" w:rsidRPr="005D699B">
        <w:rPr>
          <w:b/>
          <w:bCs/>
        </w:rPr>
        <w:t xml:space="preserve"> ensures </w:t>
      </w:r>
      <w:r w:rsidR="00753355">
        <w:rPr>
          <w:b/>
          <w:bCs/>
        </w:rPr>
        <w:t>the proposed legislation does not create an</w:t>
      </w:r>
      <w:r w:rsidR="003E3D0F" w:rsidRPr="005D699B">
        <w:rPr>
          <w:b/>
          <w:bCs/>
        </w:rPr>
        <w:t xml:space="preserve"> </w:t>
      </w:r>
      <w:r w:rsidR="004D3338" w:rsidRPr="005D699B">
        <w:rPr>
          <w:b/>
          <w:bCs/>
        </w:rPr>
        <w:t>unintended gap in protection for victims in NI compared to other UK jurisdictions.</w:t>
      </w:r>
    </w:p>
    <w:p w14:paraId="6338D0EB" w14:textId="77777777" w:rsidR="00E14D4F" w:rsidRPr="005D699B" w:rsidRDefault="00E14D4F" w:rsidP="00305D72">
      <w:pPr>
        <w:spacing w:before="240" w:after="240"/>
        <w:rPr>
          <w:b/>
          <w:bCs/>
        </w:rPr>
      </w:pPr>
    </w:p>
    <w:p w14:paraId="1EEF71D2" w14:textId="77777777" w:rsidR="00BB1FE0" w:rsidRPr="005D699B" w:rsidRDefault="00BB1FE0" w:rsidP="00305D72">
      <w:pPr>
        <w:pStyle w:val="Heading3"/>
        <w:spacing w:before="240" w:after="240"/>
      </w:pPr>
      <w:bookmarkStart w:id="18" w:name="_Toc209087436"/>
      <w:r w:rsidRPr="005D699B">
        <w:lastRenderedPageBreak/>
        <w:t>Definition of sexually explicit deepfakes</w:t>
      </w:r>
      <w:bookmarkEnd w:id="18"/>
    </w:p>
    <w:p w14:paraId="1FA4243B" w14:textId="0148FF73" w:rsidR="00B32C72" w:rsidRPr="005D699B" w:rsidRDefault="00B32C72" w:rsidP="0063489A">
      <w:pPr>
        <w:pStyle w:val="ListParagraph"/>
        <w:numPr>
          <w:ilvl w:val="1"/>
          <w:numId w:val="37"/>
        </w:numPr>
        <w:contextualSpacing w:val="0"/>
      </w:pPr>
      <w:r w:rsidRPr="005D699B">
        <w:t xml:space="preserve">The Department </w:t>
      </w:r>
      <w:r w:rsidR="007F037A" w:rsidRPr="005D699B">
        <w:t xml:space="preserve">of Justice </w:t>
      </w:r>
      <w:r w:rsidRPr="005D699B">
        <w:t xml:space="preserve">is not proposing </w:t>
      </w:r>
      <w:r w:rsidR="00BD1356" w:rsidRPr="005D699B">
        <w:t xml:space="preserve">a definition of </w:t>
      </w:r>
      <w:r w:rsidR="00BD04E9" w:rsidRPr="005D699B">
        <w:t>sexually explicit deepfake images for the purposes of the new offences</w:t>
      </w:r>
      <w:r w:rsidR="003C6321" w:rsidRPr="005D699B">
        <w:t xml:space="preserve"> at this point. </w:t>
      </w:r>
      <w:r w:rsidR="00285C72" w:rsidRPr="005D699B">
        <w:t xml:space="preserve">The Department </w:t>
      </w:r>
      <w:r w:rsidR="007F037A" w:rsidRPr="005D699B">
        <w:t xml:space="preserve">of Justice </w:t>
      </w:r>
      <w:r w:rsidR="00285C72" w:rsidRPr="005D699B">
        <w:t xml:space="preserve">recognises that definitions need to be able to capture all aspects </w:t>
      </w:r>
      <w:r w:rsidR="009F1F4F" w:rsidRPr="005D699B">
        <w:t xml:space="preserve">of this type of </w:t>
      </w:r>
      <w:r w:rsidR="00A14EAB" w:rsidRPr="005D699B">
        <w:t>image and keep pace with technological advancements</w:t>
      </w:r>
      <w:r w:rsidR="009F1F4F" w:rsidRPr="005D699B">
        <w:t xml:space="preserve">. </w:t>
      </w:r>
    </w:p>
    <w:p w14:paraId="5D6D745A" w14:textId="77777777" w:rsidR="00E14D4F" w:rsidRPr="005D699B" w:rsidRDefault="00E14D4F" w:rsidP="0058051B">
      <w:pPr>
        <w:pStyle w:val="ListParagraph"/>
        <w:contextualSpacing w:val="0"/>
      </w:pPr>
    </w:p>
    <w:p w14:paraId="69BF34F5" w14:textId="69200E7F" w:rsidR="00BB1FE0" w:rsidRPr="005D699B" w:rsidRDefault="009B4C0F" w:rsidP="0063489A">
      <w:pPr>
        <w:pStyle w:val="ListParagraph"/>
        <w:numPr>
          <w:ilvl w:val="1"/>
          <w:numId w:val="37"/>
        </w:numPr>
        <w:contextualSpacing w:val="0"/>
      </w:pPr>
      <w:r w:rsidRPr="005D699B">
        <w:t>Regarding</w:t>
      </w:r>
      <w:r w:rsidR="006931E2" w:rsidRPr="005D699B">
        <w:t xml:space="preserve"> </w:t>
      </w:r>
      <w:r w:rsidR="00911FA2">
        <w:t xml:space="preserve">the </w:t>
      </w:r>
      <w:r w:rsidR="006931E2" w:rsidRPr="005D699B">
        <w:t xml:space="preserve">definition of </w:t>
      </w:r>
      <w:r w:rsidR="00911FA2">
        <w:t xml:space="preserve">a </w:t>
      </w:r>
      <w:r w:rsidR="006931E2" w:rsidRPr="005D699B">
        <w:t xml:space="preserve">sexually explicit deepfake, human rights standards require offences </w:t>
      </w:r>
      <w:r w:rsidR="00911FA2">
        <w:t xml:space="preserve">have legal certainty, including that they </w:t>
      </w:r>
      <w:r w:rsidR="003530E6" w:rsidRPr="005D699B">
        <w:t>are</w:t>
      </w:r>
      <w:r w:rsidR="006931E2" w:rsidRPr="005D699B">
        <w:t xml:space="preserve"> clear and accessible.</w:t>
      </w:r>
      <w:r w:rsidR="006931E2" w:rsidRPr="005D699B">
        <w:rPr>
          <w:rStyle w:val="FootnoteReference"/>
        </w:rPr>
        <w:footnoteReference w:id="120"/>
      </w:r>
      <w:r w:rsidR="006931E2" w:rsidRPr="005D699B">
        <w:t xml:space="preserve"> </w:t>
      </w:r>
      <w:r w:rsidR="00333D48" w:rsidRPr="005D699B">
        <w:t>L</w:t>
      </w:r>
      <w:r w:rsidR="00BB1FE0" w:rsidRPr="005D699B">
        <w:t xml:space="preserve">egal definitions (and the legal framework in general) should be </w:t>
      </w:r>
      <w:r w:rsidR="00911FA2">
        <w:t>clear</w:t>
      </w:r>
      <w:r w:rsidR="00BB1FE0" w:rsidRPr="005D699B">
        <w:t xml:space="preserve"> </w:t>
      </w:r>
      <w:r w:rsidR="00A47C0E" w:rsidRPr="005D699B">
        <w:t>enough</w:t>
      </w:r>
      <w:r w:rsidR="00BB1FE0" w:rsidRPr="005D699B">
        <w:t xml:space="preserve"> to capture and keep pace with rapidly evolving </w:t>
      </w:r>
      <w:r w:rsidR="003530E6" w:rsidRPr="005D699B">
        <w:t xml:space="preserve">artificial intelligence </w:t>
      </w:r>
      <w:r w:rsidR="00BB1FE0" w:rsidRPr="005D699B">
        <w:t>technology and its different uses (</w:t>
      </w:r>
      <w:r w:rsidR="00911FA2">
        <w:t xml:space="preserve">for example, </w:t>
      </w:r>
      <w:r w:rsidR="00BB1FE0" w:rsidRPr="005D699B">
        <w:t>creating, sharing, consumption, etc).</w:t>
      </w:r>
      <w:r w:rsidR="00A26691" w:rsidRPr="005D699B">
        <w:rPr>
          <w:rStyle w:val="FootnoteReference"/>
        </w:rPr>
        <w:footnoteReference w:id="121"/>
      </w:r>
      <w:r w:rsidR="003530E6" w:rsidRPr="005D699B">
        <w:t xml:space="preserve"> Thus,</w:t>
      </w:r>
      <w:r w:rsidR="00BB1FE0" w:rsidRPr="005D699B">
        <w:t xml:space="preserve"> </w:t>
      </w:r>
      <w:r w:rsidR="003530E6" w:rsidRPr="005D699B">
        <w:t xml:space="preserve">the </w:t>
      </w:r>
      <w:r w:rsidR="00BB1FE0" w:rsidRPr="005D699B">
        <w:t xml:space="preserve">definition </w:t>
      </w:r>
      <w:r w:rsidR="003530E6" w:rsidRPr="005D699B">
        <w:t xml:space="preserve">of sexually explicit deepfake should have </w:t>
      </w:r>
      <w:r w:rsidR="00BB1FE0" w:rsidRPr="005D699B">
        <w:t>the capacity to respond promptly to new ways of committing these offences</w:t>
      </w:r>
      <w:r w:rsidR="001862F6" w:rsidRPr="005D699B">
        <w:t>, and</w:t>
      </w:r>
      <w:r w:rsidR="00BB1FE0" w:rsidRPr="005D699B">
        <w:t xml:space="preserve"> to </w:t>
      </w:r>
      <w:r w:rsidR="00911FA2">
        <w:t xml:space="preserve">ensuring that </w:t>
      </w:r>
      <w:r w:rsidR="00BB1FE0" w:rsidRPr="005D699B">
        <w:t xml:space="preserve">victims’ human rights </w:t>
      </w:r>
      <w:r w:rsidR="00911FA2">
        <w:t xml:space="preserve">are </w:t>
      </w:r>
      <w:r w:rsidR="00BB1FE0" w:rsidRPr="005D699B">
        <w:t>adequately</w:t>
      </w:r>
      <w:r w:rsidR="00911FA2">
        <w:t xml:space="preserve"> protected</w:t>
      </w:r>
      <w:r w:rsidR="00BB1FE0" w:rsidRPr="005D699B">
        <w:t xml:space="preserve">. </w:t>
      </w:r>
    </w:p>
    <w:p w14:paraId="5591474F" w14:textId="77777777" w:rsidR="00E14D4F" w:rsidRPr="005D699B" w:rsidRDefault="00E14D4F" w:rsidP="0058051B"/>
    <w:p w14:paraId="607F7BEE" w14:textId="7D3874A8" w:rsidR="0070534E" w:rsidRPr="005D699B" w:rsidRDefault="0066273B" w:rsidP="0063489A">
      <w:pPr>
        <w:pStyle w:val="ListParagraph"/>
        <w:numPr>
          <w:ilvl w:val="1"/>
          <w:numId w:val="37"/>
        </w:numPr>
        <w:contextualSpacing w:val="0"/>
      </w:pPr>
      <w:r w:rsidRPr="005D699B">
        <w:t>To ensure a balance between clarity and future protections</w:t>
      </w:r>
      <w:r w:rsidR="00B9711D" w:rsidRPr="005D699B">
        <w:t>,</w:t>
      </w:r>
      <w:r w:rsidRPr="005D699B">
        <w:t xml:space="preserve"> it would also be beneficial to</w:t>
      </w:r>
      <w:r w:rsidR="00BB1FE0" w:rsidRPr="005D699B">
        <w:t xml:space="preserve"> include provisions to give the Minister the power to make regulations to include new technologies or methods of committing the offence in the legislation. An example of this power is already being proposed for the Justice Bill in relation to the review mechanism for convictions that cannot become spent.</w:t>
      </w:r>
      <w:r w:rsidR="00BB1FE0" w:rsidRPr="005D699B">
        <w:rPr>
          <w:rStyle w:val="FootnoteReference"/>
        </w:rPr>
        <w:footnoteReference w:id="122"/>
      </w:r>
      <w:r w:rsidR="006E27F6" w:rsidRPr="005D699B">
        <w:t xml:space="preserve"> </w:t>
      </w:r>
    </w:p>
    <w:p w14:paraId="6F1CB868" w14:textId="77777777" w:rsidR="00E14D4F" w:rsidRPr="005D699B" w:rsidRDefault="00E14D4F" w:rsidP="0058051B"/>
    <w:p w14:paraId="61609A5F" w14:textId="26098EAC" w:rsidR="00F61B2E" w:rsidRDefault="0066273B" w:rsidP="0063489A">
      <w:pPr>
        <w:pStyle w:val="ListParagraph"/>
        <w:numPr>
          <w:ilvl w:val="1"/>
          <w:numId w:val="37"/>
        </w:numPr>
        <w:contextualSpacing w:val="0"/>
      </w:pPr>
      <w:r w:rsidRPr="005D699B">
        <w:t xml:space="preserve">Additionally, </w:t>
      </w:r>
      <w:r w:rsidR="008907CB">
        <w:t>in the</w:t>
      </w:r>
      <w:r w:rsidRPr="005D699B">
        <w:t xml:space="preserve"> new era of technological developments, it would be beneficial </w:t>
      </w:r>
      <w:r w:rsidR="0070534E" w:rsidRPr="005D699B">
        <w:t xml:space="preserve">for the Department of Justice to </w:t>
      </w:r>
      <w:r w:rsidR="007A482C" w:rsidRPr="005D699B">
        <w:t xml:space="preserve">explore and consider whether there are more innovative and effective ways to </w:t>
      </w:r>
      <w:r w:rsidR="00D85265" w:rsidRPr="005D699B">
        <w:t xml:space="preserve">enable legislation to capture </w:t>
      </w:r>
      <w:r w:rsidR="00D26490" w:rsidRPr="005D699B">
        <w:t xml:space="preserve">new </w:t>
      </w:r>
      <w:r w:rsidR="00AF5827" w:rsidRPr="005D699B">
        <w:t>technologies</w:t>
      </w:r>
      <w:r w:rsidR="00E259DF" w:rsidRPr="005D699B">
        <w:t>.</w:t>
      </w:r>
      <w:r w:rsidR="00E259DF" w:rsidRPr="005D699B">
        <w:rPr>
          <w:rStyle w:val="FootnoteReference"/>
        </w:rPr>
        <w:footnoteReference w:id="123"/>
      </w:r>
      <w:r w:rsidR="00D85265" w:rsidRPr="005D699B">
        <w:t xml:space="preserve"> </w:t>
      </w:r>
    </w:p>
    <w:p w14:paraId="520F0BDF" w14:textId="77777777" w:rsidR="00F61B2E" w:rsidRPr="00F61B2E" w:rsidRDefault="00F61B2E" w:rsidP="0058051B">
      <w:pPr>
        <w:pStyle w:val="ListParagraph"/>
        <w:rPr>
          <w:b/>
          <w:bCs/>
        </w:rPr>
      </w:pPr>
    </w:p>
    <w:p w14:paraId="7E553F81" w14:textId="7C300F6C" w:rsidR="005A6EF4" w:rsidRPr="00F61B2E" w:rsidRDefault="00236E74" w:rsidP="0063489A">
      <w:pPr>
        <w:pStyle w:val="ListParagraph"/>
        <w:numPr>
          <w:ilvl w:val="1"/>
          <w:numId w:val="37"/>
        </w:numPr>
        <w:contextualSpacing w:val="0"/>
      </w:pPr>
      <w:r w:rsidRPr="00F61B2E">
        <w:rPr>
          <w:b/>
          <w:bCs/>
        </w:rPr>
        <w:lastRenderedPageBreak/>
        <w:t>T</w:t>
      </w:r>
      <w:r w:rsidR="005A6EF4" w:rsidRPr="00F61B2E">
        <w:rPr>
          <w:b/>
          <w:bCs/>
        </w:rPr>
        <w:t xml:space="preserve">he </w:t>
      </w:r>
      <w:r w:rsidRPr="00F61B2E">
        <w:rPr>
          <w:b/>
          <w:bCs/>
        </w:rPr>
        <w:t xml:space="preserve">NIHRC recommends that the Department </w:t>
      </w:r>
      <w:r w:rsidR="009D28D9" w:rsidRPr="00F61B2E">
        <w:rPr>
          <w:b/>
          <w:bCs/>
        </w:rPr>
        <w:t xml:space="preserve">of Justice </w:t>
      </w:r>
      <w:r w:rsidR="00A66CEE">
        <w:rPr>
          <w:b/>
          <w:bCs/>
        </w:rPr>
        <w:t>includes</w:t>
      </w:r>
      <w:r w:rsidRPr="00F61B2E">
        <w:rPr>
          <w:b/>
          <w:bCs/>
        </w:rPr>
        <w:t xml:space="preserve"> a definition of sexually explicit deepfakes </w:t>
      </w:r>
      <w:r w:rsidR="00A66CEE">
        <w:rPr>
          <w:b/>
          <w:bCs/>
        </w:rPr>
        <w:t xml:space="preserve">within the </w:t>
      </w:r>
      <w:r w:rsidR="00D5791A">
        <w:rPr>
          <w:b/>
          <w:bCs/>
        </w:rPr>
        <w:t xml:space="preserve">proposed </w:t>
      </w:r>
      <w:r w:rsidR="00A66CEE">
        <w:rPr>
          <w:b/>
          <w:bCs/>
        </w:rPr>
        <w:t xml:space="preserve">legislation </w:t>
      </w:r>
      <w:r w:rsidRPr="00F61B2E">
        <w:rPr>
          <w:b/>
          <w:bCs/>
        </w:rPr>
        <w:t xml:space="preserve">that is </w:t>
      </w:r>
      <w:r w:rsidR="00A66CEE">
        <w:rPr>
          <w:b/>
          <w:bCs/>
        </w:rPr>
        <w:t>clear</w:t>
      </w:r>
      <w:r w:rsidRPr="00F61B2E">
        <w:rPr>
          <w:b/>
          <w:bCs/>
        </w:rPr>
        <w:t xml:space="preserve"> enough to capture and keep pace with rapidly evolving </w:t>
      </w:r>
      <w:r w:rsidR="009D28D9" w:rsidRPr="00F61B2E">
        <w:rPr>
          <w:b/>
          <w:bCs/>
        </w:rPr>
        <w:t xml:space="preserve">artificial intelligence </w:t>
      </w:r>
      <w:r w:rsidRPr="00F61B2E">
        <w:rPr>
          <w:b/>
          <w:bCs/>
        </w:rPr>
        <w:t xml:space="preserve">technology and its different uses, </w:t>
      </w:r>
      <w:r w:rsidR="00A66CEE">
        <w:rPr>
          <w:b/>
          <w:bCs/>
        </w:rPr>
        <w:t>with a view to ensuring that victims are adequately protected</w:t>
      </w:r>
      <w:r w:rsidR="005A6EF4" w:rsidRPr="00F61B2E">
        <w:rPr>
          <w:b/>
          <w:bCs/>
        </w:rPr>
        <w:t>.</w:t>
      </w:r>
    </w:p>
    <w:p w14:paraId="0997EE54" w14:textId="77777777" w:rsidR="00E14D4F" w:rsidRPr="005D699B" w:rsidRDefault="00E14D4F" w:rsidP="0058051B">
      <w:pPr>
        <w:rPr>
          <w:b/>
          <w:bCs/>
        </w:rPr>
      </w:pPr>
    </w:p>
    <w:p w14:paraId="4C0BF4FD" w14:textId="77777777" w:rsidR="00B842D9" w:rsidRPr="005D699B" w:rsidRDefault="00B842D9" w:rsidP="00305D72">
      <w:pPr>
        <w:pStyle w:val="Heading3"/>
        <w:spacing w:before="240" w:after="240"/>
      </w:pPr>
      <w:bookmarkStart w:id="19" w:name="_Toc209087437"/>
      <w:r w:rsidRPr="005D699B">
        <w:t>Child perpetrators</w:t>
      </w:r>
      <w:bookmarkEnd w:id="19"/>
    </w:p>
    <w:p w14:paraId="01C27491" w14:textId="6EFD78F5" w:rsidR="00B842D9" w:rsidRPr="005D699B" w:rsidRDefault="006A54D7" w:rsidP="0063489A">
      <w:pPr>
        <w:pStyle w:val="ListParagraph"/>
        <w:numPr>
          <w:ilvl w:val="1"/>
          <w:numId w:val="37"/>
        </w:numPr>
      </w:pPr>
      <w:r w:rsidRPr="005D699B">
        <w:t>T</w:t>
      </w:r>
      <w:r w:rsidR="00B842D9" w:rsidRPr="005D699B">
        <w:t xml:space="preserve">he Department </w:t>
      </w:r>
      <w:r w:rsidR="00E14D4F" w:rsidRPr="005D699B">
        <w:t xml:space="preserve">of Justice </w:t>
      </w:r>
      <w:r w:rsidR="00691C74" w:rsidRPr="005D699B">
        <w:t xml:space="preserve">is proposing </w:t>
      </w:r>
      <w:r w:rsidR="00B842D9" w:rsidRPr="005D699B">
        <w:t xml:space="preserve">to qualify the application of </w:t>
      </w:r>
      <w:r w:rsidR="3FCA6223" w:rsidRPr="005D699B">
        <w:t>Sex Offender n</w:t>
      </w:r>
      <w:r w:rsidR="00B842D9" w:rsidRPr="005D699B">
        <w:t xml:space="preserve">otification requirements to offenders under 18 years of age, to recognise their potential </w:t>
      </w:r>
      <w:r w:rsidR="008155AE">
        <w:t>effects</w:t>
      </w:r>
      <w:r w:rsidR="00B842D9" w:rsidRPr="005D699B">
        <w:t xml:space="preserve"> on young people and to </w:t>
      </w:r>
      <w:r w:rsidR="008155AE">
        <w:t>ensure an age-appropriate approach</w:t>
      </w:r>
      <w:r w:rsidR="00B842D9" w:rsidRPr="005D699B">
        <w:t>.</w:t>
      </w:r>
      <w:r w:rsidR="00B842D9" w:rsidRPr="005D699B">
        <w:rPr>
          <w:rStyle w:val="FootnoteReference"/>
        </w:rPr>
        <w:footnoteReference w:id="124"/>
      </w:r>
      <w:r w:rsidR="00B842D9" w:rsidRPr="005D699B">
        <w:t xml:space="preserve"> </w:t>
      </w:r>
    </w:p>
    <w:p w14:paraId="4BF7A684" w14:textId="77777777" w:rsidR="000242F5" w:rsidRPr="005D699B" w:rsidRDefault="000242F5" w:rsidP="005D699B">
      <w:pPr>
        <w:pStyle w:val="ListParagraph"/>
        <w:contextualSpacing w:val="0"/>
      </w:pPr>
    </w:p>
    <w:p w14:paraId="1BFE8C4F" w14:textId="5ACCA788" w:rsidR="00B842D9" w:rsidRPr="005D699B" w:rsidRDefault="00B842D9" w:rsidP="0063489A">
      <w:pPr>
        <w:pStyle w:val="ListParagraph"/>
        <w:numPr>
          <w:ilvl w:val="1"/>
          <w:numId w:val="37"/>
        </w:numPr>
        <w:contextualSpacing w:val="0"/>
      </w:pPr>
      <w:r w:rsidRPr="005D699B">
        <w:t>The best interest</w:t>
      </w:r>
      <w:r w:rsidR="00D5791A">
        <w:t>s</w:t>
      </w:r>
      <w:r w:rsidRPr="005D699B">
        <w:t xml:space="preserve"> of the child </w:t>
      </w:r>
      <w:r w:rsidR="00912EAF" w:rsidRPr="005D699B">
        <w:t>principle</w:t>
      </w:r>
      <w:r w:rsidR="002D2F99" w:rsidRPr="005D699B">
        <w:t xml:space="preserve"> in the UN CRC</w:t>
      </w:r>
      <w:r w:rsidR="00912EAF" w:rsidRPr="005D699B">
        <w:t xml:space="preserve"> </w:t>
      </w:r>
      <w:r w:rsidRPr="005D699B">
        <w:t xml:space="preserve">requires an assessment </w:t>
      </w:r>
      <w:r w:rsidR="00F51EE9">
        <w:t>and application of what is</w:t>
      </w:r>
      <w:r w:rsidRPr="005D699B">
        <w:t xml:space="preserve"> appropriate to the specific context and tailored to the individual circumstances of the child.</w:t>
      </w:r>
      <w:r w:rsidR="00E6262B" w:rsidRPr="005D699B">
        <w:rPr>
          <w:rStyle w:val="FootnoteReference"/>
        </w:rPr>
        <w:footnoteReference w:id="125"/>
      </w:r>
      <w:r w:rsidRPr="005D699B">
        <w:t xml:space="preserve"> This includes considering the child’s age, sex, level of maturity, experience, belonging to a minority group, having a physical, sensory or intellectual disability, as well as the social and cultural context in which the child or children find themselves.</w:t>
      </w:r>
      <w:r w:rsidRPr="005D699B">
        <w:rPr>
          <w:rStyle w:val="FootnoteReference"/>
        </w:rPr>
        <w:footnoteReference w:id="126"/>
      </w:r>
      <w:r w:rsidRPr="005D699B">
        <w:t xml:space="preserve"> This principle means that when dealing with child offenders, the traditional objectives of criminal justice, such as repression or retribution, must give way to rehabilitation and restorative justice objectives.</w:t>
      </w:r>
      <w:r w:rsidRPr="005D699B">
        <w:rPr>
          <w:rStyle w:val="FootnoteReference"/>
        </w:rPr>
        <w:footnoteReference w:id="127"/>
      </w:r>
      <w:r w:rsidRPr="005D699B">
        <w:t xml:space="preserve"> </w:t>
      </w:r>
    </w:p>
    <w:p w14:paraId="2AEA591E" w14:textId="77777777" w:rsidR="000242F5" w:rsidRPr="005D699B" w:rsidRDefault="000242F5" w:rsidP="005D699B"/>
    <w:p w14:paraId="109EF082" w14:textId="5E7F0C87" w:rsidR="000242F5" w:rsidRPr="005D699B" w:rsidRDefault="00E6262B" w:rsidP="0063489A">
      <w:pPr>
        <w:pStyle w:val="ListParagraph"/>
        <w:numPr>
          <w:ilvl w:val="1"/>
          <w:numId w:val="37"/>
        </w:numPr>
        <w:contextualSpacing w:val="0"/>
      </w:pPr>
      <w:r w:rsidRPr="005D699B">
        <w:t>The NIHRC welcomes the proposed approach. However, it would be beneficial to</w:t>
      </w:r>
      <w:r w:rsidR="00B842D9" w:rsidRPr="005D699B">
        <w:t xml:space="preserve"> include express mention </w:t>
      </w:r>
      <w:r w:rsidR="00630130">
        <w:t xml:space="preserve">within the proposed legislation </w:t>
      </w:r>
      <w:r w:rsidR="00B842D9" w:rsidRPr="005D699B">
        <w:t>of the best interests of the child principle</w:t>
      </w:r>
      <w:r w:rsidR="00C156CC">
        <w:t>,</w:t>
      </w:r>
      <w:r w:rsidR="00B842D9" w:rsidRPr="005D699B">
        <w:t xml:space="preserve"> as a primary consideration</w:t>
      </w:r>
      <w:r w:rsidR="00C156CC">
        <w:t>,</w:t>
      </w:r>
      <w:r w:rsidR="00B842D9" w:rsidRPr="005D699B">
        <w:t xml:space="preserve"> regarding child offenders.</w:t>
      </w:r>
    </w:p>
    <w:p w14:paraId="0F597DEF" w14:textId="550DE1DE" w:rsidR="00B842D9" w:rsidRPr="005D699B" w:rsidRDefault="00B842D9" w:rsidP="005D699B">
      <w:r w:rsidRPr="005D699B">
        <w:t xml:space="preserve">  </w:t>
      </w:r>
    </w:p>
    <w:p w14:paraId="7740EC06" w14:textId="2CFA65EA" w:rsidR="00B842D9" w:rsidRPr="005D699B" w:rsidRDefault="00B842D9" w:rsidP="0063489A">
      <w:pPr>
        <w:pStyle w:val="ListParagraph"/>
        <w:numPr>
          <w:ilvl w:val="1"/>
          <w:numId w:val="37"/>
        </w:numPr>
        <w:contextualSpacing w:val="0"/>
      </w:pPr>
      <w:r w:rsidRPr="005D699B">
        <w:t xml:space="preserve">The </w:t>
      </w:r>
      <w:proofErr w:type="spellStart"/>
      <w:r w:rsidRPr="005D699B">
        <w:t>Barnahus</w:t>
      </w:r>
      <w:proofErr w:type="spellEnd"/>
      <w:r w:rsidRPr="005D699B">
        <w:t xml:space="preserve"> model on a child-centred approach to justice can be taken as a good practice example </w:t>
      </w:r>
      <w:r w:rsidR="0058674E">
        <w:t>regarding</w:t>
      </w:r>
      <w:r w:rsidRPr="005D699B">
        <w:t xml:space="preserve"> capacity building, </w:t>
      </w:r>
      <w:r w:rsidRPr="005D699B">
        <w:lastRenderedPageBreak/>
        <w:t>prevention, securing evidence and respecting due process</w:t>
      </w:r>
      <w:r w:rsidR="00B97B85" w:rsidRPr="005D699B">
        <w:t xml:space="preserve"> in this regard</w:t>
      </w:r>
      <w:r w:rsidRPr="005D699B">
        <w:t>.</w:t>
      </w:r>
      <w:r w:rsidRPr="005D699B">
        <w:rPr>
          <w:rStyle w:val="FootnoteReference"/>
        </w:rPr>
        <w:footnoteReference w:id="128"/>
      </w:r>
      <w:r w:rsidRPr="005D699B">
        <w:t xml:space="preserve"> </w:t>
      </w:r>
    </w:p>
    <w:p w14:paraId="1827422F" w14:textId="77777777" w:rsidR="000242F5" w:rsidRPr="005D699B" w:rsidRDefault="000242F5" w:rsidP="00F61B2E"/>
    <w:p w14:paraId="2DE7C993" w14:textId="4B10772D" w:rsidR="005A6EF4" w:rsidRDefault="005A6EF4" w:rsidP="0063489A">
      <w:pPr>
        <w:pStyle w:val="ListParagraph"/>
        <w:numPr>
          <w:ilvl w:val="1"/>
          <w:numId w:val="37"/>
        </w:numPr>
        <w:contextualSpacing w:val="0"/>
        <w:rPr>
          <w:b/>
          <w:bCs/>
        </w:rPr>
      </w:pPr>
      <w:r w:rsidRPr="005D699B">
        <w:rPr>
          <w:b/>
          <w:bCs/>
        </w:rPr>
        <w:t>The</w:t>
      </w:r>
      <w:r w:rsidR="005F1543" w:rsidRPr="005D699B">
        <w:rPr>
          <w:b/>
          <w:bCs/>
        </w:rPr>
        <w:t xml:space="preserve"> NIHRC recommends that the Department </w:t>
      </w:r>
      <w:r w:rsidR="00B97B85" w:rsidRPr="005D699B">
        <w:rPr>
          <w:b/>
          <w:bCs/>
        </w:rPr>
        <w:t xml:space="preserve">of Justice </w:t>
      </w:r>
      <w:r w:rsidR="005F1543" w:rsidRPr="005D699B">
        <w:rPr>
          <w:b/>
          <w:bCs/>
        </w:rPr>
        <w:t xml:space="preserve">includes </w:t>
      </w:r>
      <w:r w:rsidR="00630130">
        <w:rPr>
          <w:b/>
          <w:bCs/>
        </w:rPr>
        <w:t xml:space="preserve">within the proposed legislation </w:t>
      </w:r>
      <w:r w:rsidR="005F1543" w:rsidRPr="005D699B">
        <w:rPr>
          <w:b/>
          <w:bCs/>
        </w:rPr>
        <w:t>express mention of the best interests of the child principle</w:t>
      </w:r>
      <w:r w:rsidR="00B97B85" w:rsidRPr="005D699B">
        <w:rPr>
          <w:b/>
          <w:bCs/>
        </w:rPr>
        <w:t>,</w:t>
      </w:r>
      <w:r w:rsidR="005F1543" w:rsidRPr="005D699B">
        <w:rPr>
          <w:b/>
          <w:bCs/>
        </w:rPr>
        <w:t xml:space="preserve"> </w:t>
      </w:r>
      <w:r w:rsidR="00B97B85" w:rsidRPr="005D699B">
        <w:rPr>
          <w:b/>
          <w:bCs/>
        </w:rPr>
        <w:t>as a primary consideration</w:t>
      </w:r>
      <w:r w:rsidR="00C156CC">
        <w:rPr>
          <w:b/>
          <w:bCs/>
        </w:rPr>
        <w:t>,</w:t>
      </w:r>
      <w:r w:rsidR="00B97B85" w:rsidRPr="005D699B">
        <w:rPr>
          <w:b/>
          <w:bCs/>
        </w:rPr>
        <w:t xml:space="preserve"> regarding child offenders</w:t>
      </w:r>
      <w:r w:rsidRPr="005D699B">
        <w:rPr>
          <w:b/>
          <w:bCs/>
        </w:rPr>
        <w:t>.</w:t>
      </w:r>
    </w:p>
    <w:p w14:paraId="2C19C405" w14:textId="77777777" w:rsidR="00F61B2E" w:rsidRPr="00F61B2E" w:rsidRDefault="00F61B2E" w:rsidP="00F61B2E">
      <w:pPr>
        <w:rPr>
          <w:b/>
          <w:bCs/>
        </w:rPr>
      </w:pPr>
    </w:p>
    <w:p w14:paraId="48D695D2" w14:textId="4D8C8BC8" w:rsidR="00817665" w:rsidRPr="005D699B" w:rsidRDefault="00743C7F" w:rsidP="00305D72">
      <w:pPr>
        <w:pStyle w:val="Heading3"/>
        <w:spacing w:before="240" w:after="240"/>
      </w:pPr>
      <w:bookmarkStart w:id="20" w:name="_Toc209087438"/>
      <w:r w:rsidRPr="005D699B">
        <w:t>Takedowns</w:t>
      </w:r>
      <w:bookmarkEnd w:id="20"/>
      <w:r w:rsidRPr="005D699B">
        <w:t xml:space="preserve"> </w:t>
      </w:r>
    </w:p>
    <w:p w14:paraId="6AB4D673" w14:textId="0A574DB1" w:rsidR="000242F5" w:rsidRDefault="00077261" w:rsidP="0063489A">
      <w:pPr>
        <w:pStyle w:val="ListParagraph"/>
        <w:numPr>
          <w:ilvl w:val="1"/>
          <w:numId w:val="37"/>
        </w:numPr>
        <w:contextualSpacing w:val="0"/>
      </w:pPr>
      <w:r w:rsidRPr="005D699B">
        <w:t xml:space="preserve">The </w:t>
      </w:r>
      <w:r w:rsidR="00B97B85" w:rsidRPr="005D699B">
        <w:t xml:space="preserve">Department of Justice’s </w:t>
      </w:r>
      <w:r w:rsidRPr="005D699B">
        <w:t xml:space="preserve">proposals do not include provisions </w:t>
      </w:r>
      <w:r w:rsidR="001C2BFF" w:rsidRPr="005D699B">
        <w:t xml:space="preserve">that enable </w:t>
      </w:r>
      <w:r w:rsidR="007155BD" w:rsidRPr="005D699B">
        <w:t>the removal of</w:t>
      </w:r>
      <w:r w:rsidR="001C2BFF" w:rsidRPr="005D699B">
        <w:t xml:space="preserve"> images </w:t>
      </w:r>
      <w:r w:rsidR="007155BD" w:rsidRPr="005D699B">
        <w:t>from the Internet or servers.</w:t>
      </w:r>
    </w:p>
    <w:p w14:paraId="082AF7AD" w14:textId="77777777" w:rsidR="0058674E" w:rsidRPr="005D699B" w:rsidRDefault="0058674E" w:rsidP="0058674E">
      <w:pPr>
        <w:pStyle w:val="ListParagraph"/>
        <w:contextualSpacing w:val="0"/>
      </w:pPr>
    </w:p>
    <w:p w14:paraId="55CC32BA" w14:textId="77777777" w:rsidR="00305D72" w:rsidRDefault="00533C5D" w:rsidP="0063489A">
      <w:pPr>
        <w:pStyle w:val="ListParagraph"/>
        <w:numPr>
          <w:ilvl w:val="1"/>
          <w:numId w:val="37"/>
        </w:numPr>
        <w:contextualSpacing w:val="0"/>
      </w:pPr>
      <w:r w:rsidRPr="005D699B">
        <w:t xml:space="preserve">The UN CAT Committee </w:t>
      </w:r>
      <w:r w:rsidR="00C268D4" w:rsidRPr="005D699B">
        <w:t xml:space="preserve">has </w:t>
      </w:r>
      <w:r w:rsidRPr="005D699B">
        <w:t xml:space="preserve">specifically recommended that the UK </w:t>
      </w:r>
      <w:r w:rsidR="00C268D4" w:rsidRPr="005D699B">
        <w:t xml:space="preserve">Government </w:t>
      </w:r>
      <w:r w:rsidRPr="005D699B">
        <w:t xml:space="preserve">and NI </w:t>
      </w:r>
      <w:r w:rsidR="00C268D4" w:rsidRPr="005D699B">
        <w:t>Executive</w:t>
      </w:r>
      <w:r w:rsidRPr="005D699B">
        <w:t>:</w:t>
      </w:r>
    </w:p>
    <w:p w14:paraId="66B154BC" w14:textId="551305A3" w:rsidR="000242F5" w:rsidRPr="005D699B" w:rsidRDefault="00533C5D" w:rsidP="00305D72">
      <w:pPr>
        <w:pStyle w:val="ListParagraph"/>
        <w:contextualSpacing w:val="0"/>
      </w:pPr>
      <w:r w:rsidRPr="005D699B">
        <w:t xml:space="preserve"> </w:t>
      </w:r>
    </w:p>
    <w:p w14:paraId="63D315AD" w14:textId="739B65AD" w:rsidR="00305D72" w:rsidRDefault="00C268D4" w:rsidP="00305D72">
      <w:pPr>
        <w:pStyle w:val="Quote"/>
        <w:ind w:left="1440"/>
      </w:pPr>
      <w:r w:rsidRPr="005D699B">
        <w:t>t</w:t>
      </w:r>
      <w:r w:rsidR="00342A63" w:rsidRPr="005D699B">
        <w:t>ake effective measures to address low prosecution and conviction rates for domestic abuse and sexual violence in the State party, and to ensure that all cases of gender-based violence</w:t>
      </w:r>
      <w:r w:rsidR="005D57B3" w:rsidRPr="005D699B">
        <w:t>…</w:t>
      </w:r>
      <w:r w:rsidR="00342A63" w:rsidRPr="005D699B">
        <w:t xml:space="preserve"> are thoroughly investigated, that the alleged perpetrators are prosecuted and, if convicted, punished appropriately, and that the victims or their families receive redress, including adequate compensation</w:t>
      </w:r>
      <w:r w:rsidR="005D57B3" w:rsidRPr="005D699B">
        <w:t>.</w:t>
      </w:r>
      <w:r w:rsidR="00941912" w:rsidRPr="005D699B">
        <w:rPr>
          <w:rStyle w:val="FootnoteReference"/>
        </w:rPr>
        <w:footnoteReference w:id="129"/>
      </w:r>
    </w:p>
    <w:p w14:paraId="1A905106" w14:textId="77777777" w:rsidR="00305D72" w:rsidRPr="00305D72" w:rsidRDefault="00305D72" w:rsidP="00305D72"/>
    <w:p w14:paraId="416911FE" w14:textId="114F23DB" w:rsidR="00A83133" w:rsidRPr="005D699B" w:rsidRDefault="00A83133" w:rsidP="0063489A">
      <w:pPr>
        <w:pStyle w:val="ListParagraph"/>
        <w:numPr>
          <w:ilvl w:val="1"/>
          <w:numId w:val="37"/>
        </w:numPr>
        <w:contextualSpacing w:val="0"/>
      </w:pPr>
      <w:r w:rsidRPr="005D699B">
        <w:t xml:space="preserve">Generative </w:t>
      </w:r>
      <w:r w:rsidR="00C268D4" w:rsidRPr="005D699B">
        <w:t xml:space="preserve">artificial intelligence </w:t>
      </w:r>
      <w:r w:rsidRPr="005D699B">
        <w:t>is enabling the rapid creation and distribution of sexually explicit images, reaching wider audiences with hyper-realistic quality.</w:t>
      </w:r>
      <w:r w:rsidRPr="005D699B">
        <w:rPr>
          <w:rStyle w:val="FootnoteReference"/>
        </w:rPr>
        <w:footnoteReference w:id="130"/>
      </w:r>
      <w:r w:rsidRPr="005D699B">
        <w:t xml:space="preserve"> This poses significant challenges in combating the spread of sexual abuse, particularly for victims.</w:t>
      </w:r>
      <w:r w:rsidRPr="005D699B">
        <w:rPr>
          <w:rStyle w:val="FootnoteReference"/>
        </w:rPr>
        <w:footnoteReference w:id="131"/>
      </w:r>
      <w:r w:rsidRPr="005D699B">
        <w:t xml:space="preserve"> </w:t>
      </w:r>
    </w:p>
    <w:p w14:paraId="13F497CE" w14:textId="77777777" w:rsidR="000242F5" w:rsidRPr="005D699B" w:rsidRDefault="000242F5" w:rsidP="005D699B">
      <w:pPr>
        <w:pStyle w:val="ListParagraph"/>
        <w:contextualSpacing w:val="0"/>
      </w:pPr>
    </w:p>
    <w:p w14:paraId="70AC2048" w14:textId="64637BC1" w:rsidR="00093A48" w:rsidRPr="005D699B" w:rsidRDefault="00BA5AF5" w:rsidP="0063489A">
      <w:pPr>
        <w:pStyle w:val="ListParagraph"/>
        <w:numPr>
          <w:ilvl w:val="1"/>
          <w:numId w:val="37"/>
        </w:numPr>
        <w:contextualSpacing w:val="0"/>
      </w:pPr>
      <w:r w:rsidRPr="005D699B">
        <w:lastRenderedPageBreak/>
        <w:t xml:space="preserve">Despite the criminal liability for perpetrators, victims will continue to suffer harm as long as this digital content remains available online </w:t>
      </w:r>
      <w:r w:rsidR="00B309E4" w:rsidRPr="005D699B">
        <w:t>to</w:t>
      </w:r>
      <w:r w:rsidRPr="005D699B">
        <w:t xml:space="preserve"> view and shar</w:t>
      </w:r>
      <w:r w:rsidR="00B309E4" w:rsidRPr="005D699B">
        <w:t>e</w:t>
      </w:r>
      <w:r w:rsidR="0049293C" w:rsidRPr="005D699B">
        <w:t xml:space="preserve">. </w:t>
      </w:r>
      <w:r w:rsidR="00FB30C1" w:rsidRPr="005D699B">
        <w:t xml:space="preserve">The </w:t>
      </w:r>
      <w:r w:rsidR="00B76C4B" w:rsidRPr="005D699B">
        <w:t xml:space="preserve">potential </w:t>
      </w:r>
      <w:r w:rsidR="004F1764" w:rsidRPr="005D699B">
        <w:t>perpetual</w:t>
      </w:r>
      <w:r w:rsidR="00B76C4B" w:rsidRPr="005D699B">
        <w:t xml:space="preserve"> </w:t>
      </w:r>
      <w:r w:rsidR="00FB30C1" w:rsidRPr="005D699B">
        <w:t>permanence</w:t>
      </w:r>
      <w:r w:rsidR="00B76C4B" w:rsidRPr="005D699B">
        <w:t xml:space="preserve"> and sharing</w:t>
      </w:r>
      <w:r w:rsidR="00FB30C1" w:rsidRPr="005D699B">
        <w:t xml:space="preserve"> of the images online can re-victimise </w:t>
      </w:r>
      <w:r w:rsidR="00FA02AE" w:rsidRPr="005D699B">
        <w:t>them</w:t>
      </w:r>
      <w:r w:rsidR="00FB30C1" w:rsidRPr="005D699B">
        <w:t xml:space="preserve"> </w:t>
      </w:r>
      <w:r w:rsidR="00EF4D4D" w:rsidRPr="005D699B">
        <w:t>continuously and</w:t>
      </w:r>
      <w:r w:rsidR="004F1764" w:rsidRPr="005D699B">
        <w:t xml:space="preserve"> </w:t>
      </w:r>
      <w:r w:rsidR="003D132C" w:rsidRPr="005D699B">
        <w:t>huge</w:t>
      </w:r>
      <w:r w:rsidR="00EC0237" w:rsidRPr="005D699B">
        <w:t xml:space="preserve">ly disrupt </w:t>
      </w:r>
      <w:r w:rsidR="003D132C" w:rsidRPr="005D699B">
        <w:t>their lives.</w:t>
      </w:r>
      <w:r w:rsidR="002F3E55" w:rsidRPr="005D699B">
        <w:rPr>
          <w:rStyle w:val="FootnoteReference"/>
        </w:rPr>
        <w:footnoteReference w:id="132"/>
      </w:r>
      <w:r w:rsidR="003D132C" w:rsidRPr="005D699B">
        <w:t xml:space="preserve"> </w:t>
      </w:r>
      <w:r w:rsidR="00EF4D4D" w:rsidRPr="005D699B">
        <w:t xml:space="preserve">This violence can affect their </w:t>
      </w:r>
      <w:r w:rsidR="00DB5DD6" w:rsidRPr="005D699B">
        <w:t>family</w:t>
      </w:r>
      <w:r w:rsidR="00EC0237" w:rsidRPr="005D699B">
        <w:t xml:space="preserve"> members</w:t>
      </w:r>
      <w:r w:rsidR="00DB5DD6" w:rsidRPr="005D699B">
        <w:t>, children, relationships, jobs,</w:t>
      </w:r>
      <w:r w:rsidR="00130CC3" w:rsidRPr="005D699B">
        <w:t xml:space="preserve"> and their overall mental and physical health</w:t>
      </w:r>
      <w:r w:rsidR="00406EAB" w:rsidRPr="005D699B">
        <w:t xml:space="preserve"> and life quality</w:t>
      </w:r>
      <w:r w:rsidR="00130CC3" w:rsidRPr="005D699B">
        <w:t>.</w:t>
      </w:r>
      <w:r w:rsidR="00406EAB" w:rsidRPr="005D699B">
        <w:rPr>
          <w:rStyle w:val="FootnoteReference"/>
        </w:rPr>
        <w:footnoteReference w:id="133"/>
      </w:r>
      <w:r w:rsidR="00130CC3" w:rsidRPr="005D699B">
        <w:t xml:space="preserve"> </w:t>
      </w:r>
      <w:r w:rsidR="00A147FC" w:rsidRPr="005D699B">
        <w:t>Thus, consideration should be given to</w:t>
      </w:r>
      <w:r w:rsidR="004F64FB" w:rsidRPr="005D699B">
        <w:t xml:space="preserve"> including </w:t>
      </w:r>
      <w:r w:rsidR="00E80D88" w:rsidRPr="005D699B">
        <w:t xml:space="preserve">specific provisions that </w:t>
      </w:r>
      <w:r w:rsidR="0074059A" w:rsidRPr="005D699B">
        <w:t>help</w:t>
      </w:r>
      <w:r w:rsidR="00E80D88" w:rsidRPr="005D699B">
        <w:t xml:space="preserve"> law enforcement </w:t>
      </w:r>
      <w:r w:rsidR="00515B46" w:rsidRPr="005D699B">
        <w:t xml:space="preserve">agencies </w:t>
      </w:r>
      <w:r w:rsidR="00E80D88" w:rsidRPr="005D699B">
        <w:t xml:space="preserve">and victims </w:t>
      </w:r>
      <w:r w:rsidR="00515B46" w:rsidRPr="005D699B">
        <w:t>in removing this content from apps, platforms, websites, servers,</w:t>
      </w:r>
      <w:r w:rsidR="00D43AE6" w:rsidRPr="005D699B">
        <w:t xml:space="preserve"> and devices. </w:t>
      </w:r>
    </w:p>
    <w:p w14:paraId="723424D4" w14:textId="77777777" w:rsidR="000242F5" w:rsidRPr="005D699B" w:rsidRDefault="000242F5" w:rsidP="005D699B">
      <w:pPr>
        <w:pStyle w:val="ListParagraph"/>
        <w:contextualSpacing w:val="0"/>
      </w:pPr>
    </w:p>
    <w:p w14:paraId="667D7355" w14:textId="278A3838" w:rsidR="00AE777D" w:rsidRPr="005D699B" w:rsidRDefault="00967920" w:rsidP="0063489A">
      <w:pPr>
        <w:pStyle w:val="ListParagraph"/>
        <w:numPr>
          <w:ilvl w:val="1"/>
          <w:numId w:val="37"/>
        </w:numPr>
        <w:contextualSpacing w:val="0"/>
      </w:pPr>
      <w:r w:rsidRPr="005D699B">
        <w:t>I</w:t>
      </w:r>
      <w:r w:rsidR="00E564FC" w:rsidRPr="005D699B">
        <w:t xml:space="preserve">n some cases, </w:t>
      </w:r>
      <w:r w:rsidRPr="005D699B">
        <w:t xml:space="preserve">however, </w:t>
      </w:r>
      <w:r w:rsidR="00E564FC" w:rsidRPr="005D699B">
        <w:t xml:space="preserve">removing content might be ineffective or too difficult, due </w:t>
      </w:r>
      <w:r w:rsidR="003B0270" w:rsidRPr="005D699B">
        <w:t xml:space="preserve">to the nature of this </w:t>
      </w:r>
      <w:r w:rsidR="007D0865" w:rsidRPr="005D699B">
        <w:t>type of sexual abuse</w:t>
      </w:r>
      <w:r w:rsidR="00E564FC" w:rsidRPr="005D699B">
        <w:t xml:space="preserve"> (ease of replicating, sharing, searching and accessing this content online)</w:t>
      </w:r>
      <w:r w:rsidR="00DC3C74" w:rsidRPr="005D699B">
        <w:t>,</w:t>
      </w:r>
      <w:r w:rsidR="007B605A" w:rsidRPr="005D699B">
        <w:rPr>
          <w:rStyle w:val="FootnoteReference"/>
        </w:rPr>
        <w:footnoteReference w:id="134"/>
      </w:r>
      <w:r w:rsidR="00BA1B75" w:rsidRPr="005D699B">
        <w:t xml:space="preserve"> </w:t>
      </w:r>
      <w:r w:rsidR="008E6C03" w:rsidRPr="005D699B">
        <w:t>topped with</w:t>
      </w:r>
      <w:r w:rsidR="00BA1B75" w:rsidRPr="005D699B">
        <w:t xml:space="preserve"> difficulties </w:t>
      </w:r>
      <w:r w:rsidR="00AF5AF3" w:rsidRPr="005D699B">
        <w:t xml:space="preserve">in </w:t>
      </w:r>
      <w:r w:rsidR="00C12590" w:rsidRPr="005D699B">
        <w:t xml:space="preserve">artificial intelligence </w:t>
      </w:r>
      <w:r w:rsidR="00AF5AF3" w:rsidRPr="005D699B">
        <w:t>governance</w:t>
      </w:r>
      <w:r w:rsidR="00B974D5" w:rsidRPr="005D699B">
        <w:t xml:space="preserve"> and safety</w:t>
      </w:r>
      <w:r w:rsidR="00AF5AF3" w:rsidRPr="005D699B">
        <w:t>.</w:t>
      </w:r>
      <w:r w:rsidR="00A4149C" w:rsidRPr="005D699B">
        <w:rPr>
          <w:rStyle w:val="FootnoteReference"/>
        </w:rPr>
        <w:footnoteReference w:id="135"/>
      </w:r>
      <w:r w:rsidR="0097785D" w:rsidRPr="005D699B">
        <w:t xml:space="preserve"> </w:t>
      </w:r>
      <w:r w:rsidR="00FF496A" w:rsidRPr="005D699B">
        <w:t>If efforts to remove harmful content fail in a specific case, victims should be given appropriate compensation, or alternative redress mechanisms should be established, in accordance with Articles 8 and 13 of the ECHR</w:t>
      </w:r>
      <w:r w:rsidR="001A66EB" w:rsidRPr="005D699B">
        <w:t>.</w:t>
      </w:r>
      <w:r w:rsidR="001A66EB" w:rsidRPr="005D699B">
        <w:rPr>
          <w:rStyle w:val="FootnoteReference"/>
        </w:rPr>
        <w:footnoteReference w:id="136"/>
      </w:r>
      <w:r w:rsidR="001A66EB" w:rsidRPr="005D699B">
        <w:t xml:space="preserve"> </w:t>
      </w:r>
      <w:r w:rsidR="00AE777D" w:rsidRPr="005D699B">
        <w:t>Article 14(1) of the UN CAT also provides that:</w:t>
      </w:r>
    </w:p>
    <w:p w14:paraId="506AE8D7" w14:textId="77777777" w:rsidR="000242F5" w:rsidRPr="005D699B" w:rsidRDefault="000242F5" w:rsidP="005D699B">
      <w:pPr>
        <w:pStyle w:val="ListParagraph"/>
        <w:contextualSpacing w:val="0"/>
      </w:pPr>
    </w:p>
    <w:p w14:paraId="7BD9AA5A" w14:textId="076293F9" w:rsidR="000242F5" w:rsidRPr="005D699B" w:rsidRDefault="00AE777D" w:rsidP="00F16DF4">
      <w:pPr>
        <w:pStyle w:val="Quote"/>
        <w:ind w:left="1440"/>
      </w:pPr>
      <w:r w:rsidRPr="005D699B">
        <w:t xml:space="preserve">each State Party shall ensure in its legal system that the victim of an act of torture obtains redress and has an enforceable right to fair and adequate compensation, including the means for as full rehabilitation as possible. In the event of the death of the victim </w:t>
      </w:r>
      <w:proofErr w:type="gramStart"/>
      <w:r w:rsidRPr="005D699B">
        <w:t>as a result of</w:t>
      </w:r>
      <w:proofErr w:type="gramEnd"/>
      <w:r w:rsidRPr="005D699B">
        <w:t xml:space="preserve"> an act of torture, his dependants shall be entitled to compensation</w:t>
      </w:r>
      <w:r w:rsidR="000242F5" w:rsidRPr="005D699B">
        <w:t>.</w:t>
      </w:r>
    </w:p>
    <w:p w14:paraId="02B634BB" w14:textId="77777777" w:rsidR="000242F5" w:rsidRPr="005D699B" w:rsidRDefault="000242F5" w:rsidP="005D699B"/>
    <w:p w14:paraId="0EB5532F" w14:textId="2A888632" w:rsidR="00F61B2E" w:rsidRDefault="005130F9" w:rsidP="0063489A">
      <w:pPr>
        <w:pStyle w:val="ListParagraph"/>
        <w:numPr>
          <w:ilvl w:val="1"/>
          <w:numId w:val="37"/>
        </w:numPr>
        <w:contextualSpacing w:val="0"/>
        <w:rPr>
          <w:b/>
          <w:bCs/>
        </w:rPr>
      </w:pPr>
      <w:r w:rsidRPr="005D699B">
        <w:rPr>
          <w:b/>
          <w:bCs/>
        </w:rPr>
        <w:lastRenderedPageBreak/>
        <w:t xml:space="preserve">The </w:t>
      </w:r>
      <w:r w:rsidR="005C491F" w:rsidRPr="005D699B">
        <w:rPr>
          <w:b/>
          <w:bCs/>
        </w:rPr>
        <w:t xml:space="preserve">NIHRC recommends that the Department </w:t>
      </w:r>
      <w:r w:rsidR="00E048A4" w:rsidRPr="005D699B">
        <w:rPr>
          <w:b/>
          <w:bCs/>
        </w:rPr>
        <w:t xml:space="preserve">of Justice </w:t>
      </w:r>
      <w:r w:rsidR="005C491F" w:rsidRPr="005D699B">
        <w:rPr>
          <w:b/>
          <w:bCs/>
        </w:rPr>
        <w:t xml:space="preserve">introduces specific provisions </w:t>
      </w:r>
      <w:r w:rsidR="000822C8">
        <w:rPr>
          <w:b/>
          <w:bCs/>
        </w:rPr>
        <w:t xml:space="preserve">within the </w:t>
      </w:r>
      <w:r w:rsidR="00C136A6">
        <w:rPr>
          <w:b/>
          <w:bCs/>
        </w:rPr>
        <w:t xml:space="preserve">proposed </w:t>
      </w:r>
      <w:r w:rsidR="000822C8">
        <w:rPr>
          <w:b/>
          <w:bCs/>
        </w:rPr>
        <w:t xml:space="preserve">legislation </w:t>
      </w:r>
      <w:r w:rsidR="005C491F" w:rsidRPr="005D699B">
        <w:rPr>
          <w:b/>
          <w:bCs/>
        </w:rPr>
        <w:t xml:space="preserve">that </w:t>
      </w:r>
      <w:r w:rsidR="00C136A6">
        <w:rPr>
          <w:b/>
          <w:bCs/>
        </w:rPr>
        <w:t>assist</w:t>
      </w:r>
      <w:r w:rsidR="005C491F" w:rsidRPr="005D699B">
        <w:rPr>
          <w:b/>
          <w:bCs/>
        </w:rPr>
        <w:t xml:space="preserve"> law enforcement agencies and victims </w:t>
      </w:r>
      <w:r w:rsidR="00C136A6">
        <w:rPr>
          <w:b/>
          <w:bCs/>
        </w:rPr>
        <w:t>to</w:t>
      </w:r>
      <w:r w:rsidR="005C491F" w:rsidRPr="005D699B">
        <w:rPr>
          <w:b/>
          <w:bCs/>
        </w:rPr>
        <w:t xml:space="preserve"> remov</w:t>
      </w:r>
      <w:r w:rsidR="00C136A6">
        <w:rPr>
          <w:b/>
          <w:bCs/>
        </w:rPr>
        <w:t>e</w:t>
      </w:r>
      <w:r w:rsidR="005C491F" w:rsidRPr="005D699B">
        <w:rPr>
          <w:b/>
          <w:bCs/>
        </w:rPr>
        <w:t xml:space="preserve"> </w:t>
      </w:r>
      <w:r w:rsidR="006F4F36" w:rsidRPr="005D699B">
        <w:rPr>
          <w:b/>
          <w:bCs/>
        </w:rPr>
        <w:t>non-consensual sexually explicit deepfakes</w:t>
      </w:r>
      <w:r w:rsidR="005C491F" w:rsidRPr="005D699B">
        <w:rPr>
          <w:b/>
          <w:bCs/>
        </w:rPr>
        <w:t xml:space="preserve"> from the internet to prevent re-victimisation. </w:t>
      </w:r>
    </w:p>
    <w:p w14:paraId="795E1DCA" w14:textId="77777777" w:rsidR="00F61B2E" w:rsidRPr="00F61B2E" w:rsidRDefault="00F61B2E" w:rsidP="00F61B2E">
      <w:pPr>
        <w:pStyle w:val="ListParagraph"/>
        <w:contextualSpacing w:val="0"/>
        <w:rPr>
          <w:b/>
          <w:bCs/>
        </w:rPr>
      </w:pPr>
    </w:p>
    <w:p w14:paraId="61D33AED" w14:textId="69D3813B" w:rsidR="003C6987" w:rsidRPr="005D699B" w:rsidRDefault="00901A0F" w:rsidP="0063489A">
      <w:pPr>
        <w:pStyle w:val="ListParagraph"/>
        <w:numPr>
          <w:ilvl w:val="1"/>
          <w:numId w:val="37"/>
        </w:numPr>
        <w:contextualSpacing w:val="0"/>
        <w:rPr>
          <w:b/>
          <w:bCs/>
        </w:rPr>
      </w:pPr>
      <w:r w:rsidRPr="005D699B">
        <w:rPr>
          <w:b/>
          <w:bCs/>
        </w:rPr>
        <w:t>The NIHRC r</w:t>
      </w:r>
      <w:r w:rsidR="00354C7A" w:rsidRPr="005D699B">
        <w:rPr>
          <w:b/>
          <w:bCs/>
        </w:rPr>
        <w:t xml:space="preserve">ecommends that </w:t>
      </w:r>
      <w:r w:rsidR="006F4F36" w:rsidRPr="005D699B">
        <w:rPr>
          <w:b/>
          <w:bCs/>
        </w:rPr>
        <w:t xml:space="preserve">the Department </w:t>
      </w:r>
      <w:r w:rsidR="00354C7A" w:rsidRPr="005D699B">
        <w:rPr>
          <w:b/>
          <w:bCs/>
        </w:rPr>
        <w:t xml:space="preserve">of Justice </w:t>
      </w:r>
      <w:r w:rsidR="00924DFA" w:rsidRPr="005D699B">
        <w:rPr>
          <w:b/>
          <w:bCs/>
        </w:rPr>
        <w:t xml:space="preserve">ensures there is </w:t>
      </w:r>
      <w:r w:rsidR="005C491F" w:rsidRPr="005D699B">
        <w:rPr>
          <w:b/>
          <w:bCs/>
        </w:rPr>
        <w:t xml:space="preserve">access to adequate compensation </w:t>
      </w:r>
      <w:r w:rsidR="00924DFA" w:rsidRPr="005D699B">
        <w:rPr>
          <w:b/>
          <w:bCs/>
        </w:rPr>
        <w:t>and</w:t>
      </w:r>
      <w:r w:rsidR="005C491F" w:rsidRPr="005D699B">
        <w:rPr>
          <w:b/>
          <w:bCs/>
        </w:rPr>
        <w:t xml:space="preserve"> appropriate redress mechanisms </w:t>
      </w:r>
      <w:r w:rsidR="00A54BAB" w:rsidRPr="005D699B">
        <w:rPr>
          <w:b/>
          <w:bCs/>
        </w:rPr>
        <w:t xml:space="preserve">for harm caused by the </w:t>
      </w:r>
      <w:r w:rsidR="00D6299F" w:rsidRPr="005D699B">
        <w:rPr>
          <w:b/>
          <w:bCs/>
        </w:rPr>
        <w:t xml:space="preserve">creation or sharing of non-consensual sexually explicit deepfakes, particularly </w:t>
      </w:r>
      <w:r w:rsidR="005C491F" w:rsidRPr="005D699B">
        <w:rPr>
          <w:b/>
          <w:bCs/>
        </w:rPr>
        <w:t>when removing content is unsuccessful or ineffective</w:t>
      </w:r>
      <w:r w:rsidR="003C6987" w:rsidRPr="005D699B">
        <w:rPr>
          <w:b/>
          <w:bCs/>
        </w:rPr>
        <w:t>.</w:t>
      </w:r>
    </w:p>
    <w:p w14:paraId="6AEA9478" w14:textId="77777777" w:rsidR="000242F5" w:rsidRPr="005D699B" w:rsidRDefault="000242F5" w:rsidP="00F61B2E">
      <w:pPr>
        <w:rPr>
          <w:b/>
          <w:bCs/>
        </w:rPr>
      </w:pPr>
    </w:p>
    <w:p w14:paraId="4CA520C0" w14:textId="3BA32F66" w:rsidR="00AD6A78" w:rsidRPr="005D699B" w:rsidRDefault="00AD6A78" w:rsidP="00305D72">
      <w:pPr>
        <w:pStyle w:val="Heading3"/>
        <w:spacing w:before="240" w:after="240"/>
      </w:pPr>
      <w:bookmarkStart w:id="21" w:name="_Toc209087439"/>
      <w:r w:rsidRPr="005D699B">
        <w:t>Specialised Training</w:t>
      </w:r>
      <w:bookmarkEnd w:id="21"/>
    </w:p>
    <w:p w14:paraId="6CAFB5BD" w14:textId="5DCCC35D" w:rsidR="00AD6A78" w:rsidRPr="005D699B" w:rsidRDefault="005C491F" w:rsidP="0063489A">
      <w:pPr>
        <w:pStyle w:val="ListParagraph"/>
        <w:numPr>
          <w:ilvl w:val="1"/>
          <w:numId w:val="37"/>
        </w:numPr>
        <w:contextualSpacing w:val="0"/>
      </w:pPr>
      <w:r w:rsidRPr="005D699B">
        <w:t>The Department</w:t>
      </w:r>
      <w:r w:rsidR="00D6299F" w:rsidRPr="005D699B">
        <w:t xml:space="preserve"> of Justice</w:t>
      </w:r>
      <w:r w:rsidRPr="005D699B">
        <w:t>’s proposals do not include provisions for specialised training</w:t>
      </w:r>
      <w:r w:rsidR="002E701A" w:rsidRPr="005D699B">
        <w:t>.</w:t>
      </w:r>
      <w:r w:rsidR="00F96CDE">
        <w:t xml:space="preserve"> </w:t>
      </w:r>
      <w:r w:rsidR="005A66FA">
        <w:t>A decision may be taken that this is not for inclusion within the legislation itself</w:t>
      </w:r>
      <w:r w:rsidR="00F96CDE">
        <w:t>, but there must be a clear plan</w:t>
      </w:r>
      <w:r w:rsidR="005A66FA">
        <w:t>,</w:t>
      </w:r>
      <w:r w:rsidR="00F96CDE">
        <w:t xml:space="preserve"> with committed </w:t>
      </w:r>
      <w:r w:rsidR="00FA4324">
        <w:t>resources</w:t>
      </w:r>
      <w:r w:rsidR="00F96CDE">
        <w:t xml:space="preserve"> in place</w:t>
      </w:r>
      <w:r w:rsidR="005A66FA">
        <w:t>,</w:t>
      </w:r>
      <w:r w:rsidR="00F96CDE">
        <w:t xml:space="preserve"> to </w:t>
      </w:r>
      <w:r w:rsidR="00331294">
        <w:t>ensure the necessary training i</w:t>
      </w:r>
      <w:r w:rsidR="00255113">
        <w:t>s</w:t>
      </w:r>
      <w:r w:rsidR="00331294">
        <w:t xml:space="preserve"> undertaken, as and when required. This is a key component of ensuring that implementation of the legislation is effective.</w:t>
      </w:r>
    </w:p>
    <w:p w14:paraId="76E1631E" w14:textId="77777777" w:rsidR="000242F5" w:rsidRPr="005D699B" w:rsidRDefault="000242F5" w:rsidP="00F61B2E">
      <w:pPr>
        <w:pStyle w:val="ListParagraph"/>
        <w:contextualSpacing w:val="0"/>
      </w:pPr>
    </w:p>
    <w:p w14:paraId="180E759E" w14:textId="27F55D25" w:rsidR="00A54212" w:rsidRPr="005D699B" w:rsidRDefault="00A95B8A" w:rsidP="0063489A">
      <w:pPr>
        <w:pStyle w:val="ListParagraph"/>
        <w:numPr>
          <w:ilvl w:val="1"/>
          <w:numId w:val="37"/>
        </w:numPr>
        <w:contextualSpacing w:val="0"/>
      </w:pPr>
      <w:r w:rsidRPr="005D699B">
        <w:t xml:space="preserve">As best practice on this issue, </w:t>
      </w:r>
      <w:r w:rsidR="001D7E6A" w:rsidRPr="005D699B">
        <w:t xml:space="preserve">Article 15 of the </w:t>
      </w:r>
      <w:r w:rsidRPr="005D699B">
        <w:t xml:space="preserve">Istanbul </w:t>
      </w:r>
      <w:r w:rsidR="001D7E6A" w:rsidRPr="005D699B">
        <w:t xml:space="preserve">Convention </w:t>
      </w:r>
      <w:r w:rsidRPr="005D699B">
        <w:t xml:space="preserve">provides </w:t>
      </w:r>
      <w:r w:rsidR="001D7E6A" w:rsidRPr="005D699B">
        <w:t>that</w:t>
      </w:r>
      <w:r w:rsidR="00A54212" w:rsidRPr="005D699B">
        <w:t>:</w:t>
      </w:r>
    </w:p>
    <w:p w14:paraId="1D66816B" w14:textId="77777777" w:rsidR="000242F5" w:rsidRPr="005D699B" w:rsidRDefault="000242F5" w:rsidP="005D699B"/>
    <w:p w14:paraId="54C0DC30" w14:textId="64E272C5" w:rsidR="000242F5" w:rsidRPr="005D699B" w:rsidRDefault="00D718C6" w:rsidP="00F16DF4">
      <w:pPr>
        <w:pStyle w:val="Quote"/>
        <w:ind w:left="1440"/>
      </w:pPr>
      <w:r w:rsidRPr="005D699B">
        <w:t>p</w:t>
      </w:r>
      <w:r w:rsidR="001D7E6A" w:rsidRPr="005D699B">
        <w:t xml:space="preserve">arties shall provide or strengthen appropriate training for the relevant professionals dealing with victims or perpetrators of all acts of violence covered by the scope of </w:t>
      </w:r>
      <w:r w:rsidR="00255113">
        <w:t xml:space="preserve">[the Istanbul </w:t>
      </w:r>
      <w:proofErr w:type="gramStart"/>
      <w:r w:rsidR="00255113">
        <w:t>Convention]…</w:t>
      </w:r>
      <w:proofErr w:type="gramEnd"/>
      <w:r w:rsidR="001D7E6A" w:rsidRPr="005D699B">
        <w:t xml:space="preserve"> on the prevention and detection of such violence, equality between women and men, the needs and rights of victims, as well as on how to prevent secondary victimisation.</w:t>
      </w:r>
    </w:p>
    <w:p w14:paraId="5DC928F4" w14:textId="77777777" w:rsidR="000242F5" w:rsidRPr="005D699B" w:rsidRDefault="000242F5" w:rsidP="005D699B"/>
    <w:p w14:paraId="293B0A58" w14:textId="31A0A073" w:rsidR="000242F5" w:rsidRDefault="00AE7423" w:rsidP="0063489A">
      <w:pPr>
        <w:pStyle w:val="ListParagraph"/>
        <w:numPr>
          <w:ilvl w:val="1"/>
          <w:numId w:val="37"/>
        </w:numPr>
      </w:pPr>
      <w:r w:rsidRPr="005D699B">
        <w:t xml:space="preserve">Specialised training </w:t>
      </w:r>
      <w:r w:rsidR="00EC19E1" w:rsidRPr="005D699B">
        <w:t xml:space="preserve">is essential for </w:t>
      </w:r>
      <w:r w:rsidR="007515F2" w:rsidRPr="005D699B">
        <w:t>successfully</w:t>
      </w:r>
      <w:r w:rsidR="009A02BC" w:rsidRPr="005D699B">
        <w:t xml:space="preserve"> </w:t>
      </w:r>
      <w:r w:rsidR="00EC19E1" w:rsidRPr="005D699B">
        <w:t xml:space="preserve">identifying the different types of tech-facilitated gender-based violence early and </w:t>
      </w:r>
      <w:r w:rsidR="00EC19E1" w:rsidRPr="005D699B">
        <w:lastRenderedPageBreak/>
        <w:t>ensuring</w:t>
      </w:r>
      <w:r w:rsidR="00AC7232" w:rsidRPr="005D699B">
        <w:t xml:space="preserve"> effective responses</w:t>
      </w:r>
      <w:r w:rsidR="00C3205D" w:rsidRPr="005D699B">
        <w:t>.</w:t>
      </w:r>
      <w:r w:rsidR="00560427" w:rsidRPr="005D699B">
        <w:rPr>
          <w:rStyle w:val="FootnoteReference"/>
        </w:rPr>
        <w:footnoteReference w:id="137"/>
      </w:r>
      <w:r w:rsidRPr="005D699B">
        <w:t xml:space="preserve"> </w:t>
      </w:r>
      <w:r w:rsidR="00877156" w:rsidRPr="005D699B">
        <w:t xml:space="preserve">This training should be </w:t>
      </w:r>
      <w:r w:rsidR="00702793" w:rsidRPr="005D699B">
        <w:t>sensitive</w:t>
      </w:r>
      <w:r w:rsidR="00B54EA5" w:rsidRPr="005D699B">
        <w:t xml:space="preserve"> to </w:t>
      </w:r>
      <w:r w:rsidR="00702793" w:rsidRPr="005D699B">
        <w:t xml:space="preserve">gender-based violence </w:t>
      </w:r>
      <w:r w:rsidR="008707C2" w:rsidRPr="005D699B">
        <w:t xml:space="preserve">and sexual abuse, as well as </w:t>
      </w:r>
      <w:r w:rsidR="00CE0C6C" w:rsidRPr="005D699B">
        <w:t>to</w:t>
      </w:r>
      <w:r w:rsidR="00A322EF" w:rsidRPr="005D699B">
        <w:t xml:space="preserve"> the experience</w:t>
      </w:r>
      <w:r w:rsidR="00CE0C6C" w:rsidRPr="005D699B">
        <w:t>s</w:t>
      </w:r>
      <w:r w:rsidR="00A322EF" w:rsidRPr="005D699B">
        <w:t xml:space="preserve"> of marginalised groups such as </w:t>
      </w:r>
      <w:r w:rsidR="005E18AF" w:rsidRPr="005D699B">
        <w:t xml:space="preserve">d/Deaf and </w:t>
      </w:r>
      <w:r w:rsidR="00A322EF" w:rsidRPr="005D699B">
        <w:t xml:space="preserve">disabled persons, </w:t>
      </w:r>
      <w:r w:rsidR="00DA52D1">
        <w:t>l</w:t>
      </w:r>
      <w:r w:rsidR="008A4271" w:rsidRPr="005D699B">
        <w:t xml:space="preserve">esbian, </w:t>
      </w:r>
      <w:r w:rsidR="00DA52D1">
        <w:t>g</w:t>
      </w:r>
      <w:r w:rsidR="008A4271" w:rsidRPr="005D699B">
        <w:t xml:space="preserve">ay, </w:t>
      </w:r>
      <w:r w:rsidR="00DA52D1">
        <w:t>b</w:t>
      </w:r>
      <w:r w:rsidR="008A4271" w:rsidRPr="005D699B">
        <w:t xml:space="preserve">isexual, </w:t>
      </w:r>
      <w:r w:rsidR="00DA52D1">
        <w:t>t</w:t>
      </w:r>
      <w:r w:rsidR="008A4271" w:rsidRPr="005D699B">
        <w:t xml:space="preserve">ransgender, </w:t>
      </w:r>
      <w:r w:rsidR="00DA52D1">
        <w:t>q</w:t>
      </w:r>
      <w:r w:rsidR="008A4271" w:rsidRPr="005D699B">
        <w:t xml:space="preserve">ueer or </w:t>
      </w:r>
      <w:r w:rsidR="00DA52D1">
        <w:t>q</w:t>
      </w:r>
      <w:r w:rsidR="008A4271" w:rsidRPr="005D699B">
        <w:t xml:space="preserve">uestioning, </w:t>
      </w:r>
      <w:r w:rsidR="00DA52D1">
        <w:t>i</w:t>
      </w:r>
      <w:r w:rsidR="008A4271" w:rsidRPr="005D699B">
        <w:t xml:space="preserve">ntersex, </w:t>
      </w:r>
      <w:r w:rsidR="00DA52D1">
        <w:t>a</w:t>
      </w:r>
      <w:r w:rsidR="008A4271" w:rsidRPr="005D699B">
        <w:t>sexual</w:t>
      </w:r>
      <w:r w:rsidR="00A322EF" w:rsidRPr="005D699B">
        <w:t xml:space="preserve"> persons, </w:t>
      </w:r>
      <w:r w:rsidR="00366069" w:rsidRPr="005D699B">
        <w:t xml:space="preserve">children, </w:t>
      </w:r>
      <w:r w:rsidR="00A322EF" w:rsidRPr="005D699B">
        <w:t>and persons of national or ethnic minority background</w:t>
      </w:r>
      <w:r w:rsidR="00CE0C6C" w:rsidRPr="005D699B">
        <w:t>s</w:t>
      </w:r>
      <w:r w:rsidR="00A322EF" w:rsidRPr="005D699B">
        <w:t>.</w:t>
      </w:r>
      <w:r w:rsidR="00CA2584" w:rsidRPr="005D699B">
        <w:t xml:space="preserve"> Such training should span across a victim</w:t>
      </w:r>
      <w:r w:rsidR="00970B29">
        <w:t>’s journey</w:t>
      </w:r>
      <w:r w:rsidR="00706786" w:rsidRPr="005D699B">
        <w:t xml:space="preserve"> through the criminal justice system</w:t>
      </w:r>
      <w:r w:rsidR="00361302" w:rsidRPr="005D699B">
        <w:t xml:space="preserve">. </w:t>
      </w:r>
      <w:r w:rsidR="006178A5" w:rsidRPr="005D699B">
        <w:t xml:space="preserve">This may require different forms of training depending on the recipient of the training, but it </w:t>
      </w:r>
      <w:r w:rsidR="00361302" w:rsidRPr="005D699B">
        <w:t xml:space="preserve">requires consideration of who a victim would </w:t>
      </w:r>
      <w:r w:rsidR="006178A5" w:rsidRPr="005D699B">
        <w:t>encounter</w:t>
      </w:r>
      <w:r w:rsidR="00361302" w:rsidRPr="005D699B">
        <w:t xml:space="preserve"> during </w:t>
      </w:r>
      <w:r w:rsidR="00706786" w:rsidRPr="005D699B">
        <w:t>this</w:t>
      </w:r>
      <w:r w:rsidR="00361302" w:rsidRPr="005D699B">
        <w:t xml:space="preserve"> journey</w:t>
      </w:r>
      <w:r w:rsidR="00706786" w:rsidRPr="005D699B">
        <w:t>. This includes receptionists and security guards, who are often the first point of contact and are instrumental in ensuring a victim feels supported to report the crime in the first place.</w:t>
      </w:r>
      <w:r w:rsidR="008603B8" w:rsidRPr="005D699B">
        <w:t xml:space="preserve"> </w:t>
      </w:r>
      <w:r w:rsidR="0019085C" w:rsidRPr="005D699B">
        <w:t xml:space="preserve">It also requires specialised training for professionals who may not </w:t>
      </w:r>
      <w:proofErr w:type="gramStart"/>
      <w:r w:rsidR="0019085C" w:rsidRPr="005D699B">
        <w:t>come in contact with</w:t>
      </w:r>
      <w:proofErr w:type="gramEnd"/>
      <w:r w:rsidR="0019085C" w:rsidRPr="005D699B">
        <w:t xml:space="preserve"> a victim, but would be considering their case or complaint</w:t>
      </w:r>
      <w:r w:rsidR="00EB6164" w:rsidRPr="005D699B">
        <w:t xml:space="preserve">, to ensure a victim-centred approach is adopted. Consideration should also be given to providing specialised </w:t>
      </w:r>
      <w:r w:rsidR="005149FA" w:rsidRPr="005D699B">
        <w:t xml:space="preserve">training on a </w:t>
      </w:r>
      <w:r w:rsidR="00EB6164" w:rsidRPr="005D699B">
        <w:t xml:space="preserve">trauma-informed </w:t>
      </w:r>
      <w:r w:rsidR="005149FA" w:rsidRPr="005D699B">
        <w:t>approach.</w:t>
      </w:r>
    </w:p>
    <w:p w14:paraId="36C31854" w14:textId="77777777" w:rsidR="00305D72" w:rsidRPr="005D699B" w:rsidRDefault="00305D72" w:rsidP="00305D72">
      <w:pPr>
        <w:pStyle w:val="ListParagraph"/>
        <w:contextualSpacing w:val="0"/>
      </w:pPr>
    </w:p>
    <w:p w14:paraId="7A9D9B75" w14:textId="215A0893" w:rsidR="00305D72" w:rsidRPr="00E32C68" w:rsidRDefault="00727BA5" w:rsidP="0063489A">
      <w:pPr>
        <w:pStyle w:val="ListParagraph"/>
        <w:numPr>
          <w:ilvl w:val="1"/>
          <w:numId w:val="37"/>
        </w:numPr>
        <w:contextualSpacing w:val="0"/>
      </w:pPr>
      <w:r w:rsidRPr="00E32C68">
        <w:t xml:space="preserve">In addition to </w:t>
      </w:r>
      <w:r w:rsidR="00604243" w:rsidRPr="00E32C68">
        <w:t xml:space="preserve">training, law enforcement agencies should receive </w:t>
      </w:r>
      <w:r w:rsidR="003A4615" w:rsidRPr="00E32C68">
        <w:t>additional</w:t>
      </w:r>
      <w:r w:rsidR="00604243" w:rsidRPr="00E32C68">
        <w:t xml:space="preserve"> support </w:t>
      </w:r>
      <w:r w:rsidR="00FA2FCD" w:rsidRPr="00E32C68">
        <w:t xml:space="preserve">regarding capacity building, with a view </w:t>
      </w:r>
      <w:r w:rsidR="00604243" w:rsidRPr="00E32C68">
        <w:t>to improv</w:t>
      </w:r>
      <w:r w:rsidR="00FA2FCD" w:rsidRPr="00E32C68">
        <w:t>ing</w:t>
      </w:r>
      <w:r w:rsidR="00604243" w:rsidRPr="00E32C68">
        <w:t xml:space="preserve"> the ability to detect deepfakes and </w:t>
      </w:r>
      <w:r w:rsidR="00FA04B4" w:rsidRPr="00E32C68">
        <w:t>help with</w:t>
      </w:r>
      <w:r w:rsidR="00604243" w:rsidRPr="00E32C68">
        <w:t xml:space="preserve"> evidence collection.</w:t>
      </w:r>
      <w:r w:rsidR="00B7628D" w:rsidRPr="00E32C68">
        <w:t xml:space="preserve"> This should include </w:t>
      </w:r>
      <w:r w:rsidR="004122D3" w:rsidRPr="00E32C68">
        <w:t>adequate</w:t>
      </w:r>
      <w:r w:rsidR="00767395" w:rsidRPr="00E32C68">
        <w:t xml:space="preserve"> human</w:t>
      </w:r>
      <w:r w:rsidR="004122D3" w:rsidRPr="00E32C68">
        <w:t>, f</w:t>
      </w:r>
      <w:r w:rsidR="00767395" w:rsidRPr="00E32C68">
        <w:t>inancial and technical resources</w:t>
      </w:r>
      <w:r w:rsidR="00D93444" w:rsidRPr="00E32C68">
        <w:t xml:space="preserve"> </w:t>
      </w:r>
      <w:r w:rsidR="00C05F51" w:rsidRPr="00E32C68">
        <w:t>to investigate and prosecute these crimes effectively.</w:t>
      </w:r>
      <w:r w:rsidR="00C85E41" w:rsidRPr="00E32C68">
        <w:rPr>
          <w:rStyle w:val="FootnoteReference"/>
        </w:rPr>
        <w:footnoteReference w:id="138"/>
      </w:r>
    </w:p>
    <w:p w14:paraId="74D9FF86" w14:textId="4D9F7D7A" w:rsidR="000242F5" w:rsidRPr="00305D72" w:rsidRDefault="00C05F51" w:rsidP="00305D72">
      <w:pPr>
        <w:rPr>
          <w:b/>
          <w:bCs/>
        </w:rPr>
      </w:pPr>
      <w:r w:rsidRPr="005D699B">
        <w:t xml:space="preserve"> </w:t>
      </w:r>
    </w:p>
    <w:p w14:paraId="1A6CA430" w14:textId="175A6196" w:rsidR="003C6987" w:rsidRPr="00A759DA" w:rsidRDefault="00796C57" w:rsidP="0063489A">
      <w:pPr>
        <w:pStyle w:val="ListParagraph"/>
        <w:numPr>
          <w:ilvl w:val="1"/>
          <w:numId w:val="37"/>
        </w:numPr>
        <w:contextualSpacing w:val="0"/>
        <w:rPr>
          <w:b/>
          <w:bCs/>
        </w:rPr>
      </w:pPr>
      <w:r w:rsidRPr="00A759DA">
        <w:rPr>
          <w:b/>
          <w:bCs/>
        </w:rPr>
        <w:t>T</w:t>
      </w:r>
      <w:r w:rsidR="00520883" w:rsidRPr="00A759DA">
        <w:rPr>
          <w:b/>
          <w:bCs/>
        </w:rPr>
        <w:t xml:space="preserve">he NIHRC recommends that the Department </w:t>
      </w:r>
      <w:r w:rsidR="002B25E6" w:rsidRPr="00A759DA">
        <w:rPr>
          <w:b/>
          <w:bCs/>
        </w:rPr>
        <w:t xml:space="preserve">of Justice </w:t>
      </w:r>
      <w:r w:rsidR="003E6272" w:rsidRPr="00A759DA">
        <w:rPr>
          <w:b/>
          <w:bCs/>
        </w:rPr>
        <w:t xml:space="preserve">has a clear plan, with committed </w:t>
      </w:r>
      <w:r w:rsidR="007339AC">
        <w:rPr>
          <w:b/>
          <w:bCs/>
        </w:rPr>
        <w:t>resources</w:t>
      </w:r>
      <w:r w:rsidR="003E6272" w:rsidRPr="00A759DA">
        <w:rPr>
          <w:b/>
          <w:bCs/>
        </w:rPr>
        <w:t xml:space="preserve"> in place,</w:t>
      </w:r>
      <w:r w:rsidR="00520883" w:rsidRPr="00A759DA">
        <w:rPr>
          <w:b/>
          <w:bCs/>
        </w:rPr>
        <w:t xml:space="preserve"> </w:t>
      </w:r>
      <w:r w:rsidR="003E6272" w:rsidRPr="00A759DA">
        <w:rPr>
          <w:b/>
          <w:bCs/>
        </w:rPr>
        <w:t>to ensure up-to-date</w:t>
      </w:r>
      <w:r w:rsidR="00520883" w:rsidRPr="00A759DA">
        <w:rPr>
          <w:b/>
          <w:bCs/>
        </w:rPr>
        <w:t xml:space="preserve"> specialised training </w:t>
      </w:r>
      <w:r w:rsidR="003E6272" w:rsidRPr="00A759DA">
        <w:rPr>
          <w:b/>
          <w:bCs/>
        </w:rPr>
        <w:t xml:space="preserve">is available and provided </w:t>
      </w:r>
      <w:r w:rsidR="00A759DA" w:rsidRPr="00A759DA">
        <w:rPr>
          <w:b/>
          <w:bCs/>
        </w:rPr>
        <w:t xml:space="preserve">as required </w:t>
      </w:r>
      <w:r w:rsidR="00A759DA">
        <w:rPr>
          <w:b/>
          <w:bCs/>
        </w:rPr>
        <w:t xml:space="preserve">(including refresher training) </w:t>
      </w:r>
      <w:r w:rsidR="003E6272" w:rsidRPr="00A759DA">
        <w:rPr>
          <w:b/>
          <w:bCs/>
        </w:rPr>
        <w:t>to</w:t>
      </w:r>
      <w:r w:rsidR="00520883" w:rsidRPr="00A759DA">
        <w:rPr>
          <w:b/>
          <w:bCs/>
        </w:rPr>
        <w:t xml:space="preserve"> relevant professionals and anyone who may </w:t>
      </w:r>
      <w:proofErr w:type="gramStart"/>
      <w:r w:rsidR="00520883" w:rsidRPr="00A759DA">
        <w:rPr>
          <w:b/>
          <w:bCs/>
        </w:rPr>
        <w:t>come in contact with</w:t>
      </w:r>
      <w:proofErr w:type="gramEnd"/>
      <w:r w:rsidR="00520883" w:rsidRPr="00A759DA">
        <w:rPr>
          <w:b/>
          <w:bCs/>
        </w:rPr>
        <w:t xml:space="preserve"> victims</w:t>
      </w:r>
      <w:r w:rsidR="00110EDB" w:rsidRPr="00A759DA">
        <w:rPr>
          <w:b/>
          <w:bCs/>
        </w:rPr>
        <w:t xml:space="preserve"> or deal with </w:t>
      </w:r>
      <w:r w:rsidR="00DF3C78" w:rsidRPr="00A759DA">
        <w:rPr>
          <w:b/>
          <w:bCs/>
        </w:rPr>
        <w:t>a</w:t>
      </w:r>
      <w:r w:rsidR="00110EDB" w:rsidRPr="00A759DA">
        <w:rPr>
          <w:b/>
          <w:bCs/>
        </w:rPr>
        <w:t xml:space="preserve"> </w:t>
      </w:r>
      <w:r w:rsidR="0019085C" w:rsidRPr="00A759DA">
        <w:rPr>
          <w:b/>
          <w:bCs/>
        </w:rPr>
        <w:t xml:space="preserve">complaint </w:t>
      </w:r>
      <w:r w:rsidR="00110EDB" w:rsidRPr="00A759DA">
        <w:rPr>
          <w:b/>
          <w:bCs/>
        </w:rPr>
        <w:t xml:space="preserve">during </w:t>
      </w:r>
      <w:r w:rsidR="00077F62" w:rsidRPr="00A759DA">
        <w:rPr>
          <w:b/>
          <w:bCs/>
        </w:rPr>
        <w:t xml:space="preserve">a victim’s </w:t>
      </w:r>
      <w:r w:rsidR="00110EDB" w:rsidRPr="00A759DA">
        <w:rPr>
          <w:b/>
          <w:bCs/>
        </w:rPr>
        <w:t>journey through the criminal justice system</w:t>
      </w:r>
      <w:r w:rsidR="00520883" w:rsidRPr="00A759DA">
        <w:rPr>
          <w:b/>
          <w:bCs/>
        </w:rPr>
        <w:t xml:space="preserve">. This training should be sensitive to gender-based violence and sexual abuse, as well as to the experiences of marginalised groups such as disabled persons, </w:t>
      </w:r>
      <w:r w:rsidR="00DA52D1" w:rsidRPr="00A759DA">
        <w:rPr>
          <w:b/>
          <w:bCs/>
        </w:rPr>
        <w:t xml:space="preserve">lesbian, gay, bisexual, transgender, queer </w:t>
      </w:r>
      <w:r w:rsidR="00DA52D1" w:rsidRPr="00A759DA">
        <w:rPr>
          <w:b/>
          <w:bCs/>
        </w:rPr>
        <w:lastRenderedPageBreak/>
        <w:t>or questioning, intersex, asexual</w:t>
      </w:r>
      <w:r w:rsidR="00520883" w:rsidRPr="00A759DA">
        <w:rPr>
          <w:b/>
          <w:bCs/>
        </w:rPr>
        <w:t xml:space="preserve"> persons, children, and persons of national or ethnic minority backgrounds</w:t>
      </w:r>
      <w:r w:rsidR="003C6987" w:rsidRPr="00A759DA">
        <w:rPr>
          <w:b/>
          <w:bCs/>
        </w:rPr>
        <w:t>.</w:t>
      </w:r>
    </w:p>
    <w:p w14:paraId="265A85DD" w14:textId="77777777" w:rsidR="000242F5" w:rsidRPr="005D699B" w:rsidRDefault="000242F5" w:rsidP="00F61B2E">
      <w:pPr>
        <w:pStyle w:val="ListParagraph"/>
        <w:contextualSpacing w:val="0"/>
        <w:rPr>
          <w:b/>
          <w:bCs/>
        </w:rPr>
      </w:pPr>
    </w:p>
    <w:p w14:paraId="7FF2F1ED" w14:textId="0E63421B" w:rsidR="000242F5" w:rsidRDefault="00465B66" w:rsidP="0063489A">
      <w:pPr>
        <w:pStyle w:val="ListParagraph"/>
        <w:numPr>
          <w:ilvl w:val="1"/>
          <w:numId w:val="37"/>
        </w:numPr>
        <w:contextualSpacing w:val="0"/>
        <w:rPr>
          <w:b/>
          <w:bCs/>
        </w:rPr>
      </w:pPr>
      <w:r w:rsidRPr="005D699B">
        <w:rPr>
          <w:b/>
          <w:bCs/>
        </w:rPr>
        <w:t>T</w:t>
      </w:r>
      <w:r w:rsidR="00520883" w:rsidRPr="005D699B">
        <w:rPr>
          <w:b/>
          <w:bCs/>
        </w:rPr>
        <w:t xml:space="preserve">he NIHRC recommends that the Department </w:t>
      </w:r>
      <w:r w:rsidR="00077F62" w:rsidRPr="005D699B">
        <w:rPr>
          <w:b/>
          <w:bCs/>
        </w:rPr>
        <w:t xml:space="preserve">of Justice </w:t>
      </w:r>
      <w:r w:rsidR="00DF12C5">
        <w:rPr>
          <w:b/>
          <w:bCs/>
        </w:rPr>
        <w:t>ensures that there is adequate</w:t>
      </w:r>
      <w:r w:rsidR="00520883" w:rsidRPr="005D699B">
        <w:rPr>
          <w:b/>
          <w:bCs/>
        </w:rPr>
        <w:t xml:space="preserve"> capacity </w:t>
      </w:r>
      <w:r w:rsidR="00DF12C5">
        <w:rPr>
          <w:b/>
          <w:bCs/>
        </w:rPr>
        <w:t>within</w:t>
      </w:r>
      <w:r w:rsidR="00520883" w:rsidRPr="005D699B">
        <w:rPr>
          <w:b/>
          <w:bCs/>
        </w:rPr>
        <w:t xml:space="preserve"> law enforcement agencies to detect deepfakes and facilitate the collection of evidence, to enable effective investigations and prosecutions</w:t>
      </w:r>
      <w:r w:rsidR="003C6987" w:rsidRPr="005D699B">
        <w:rPr>
          <w:b/>
          <w:bCs/>
        </w:rPr>
        <w:t>.</w:t>
      </w:r>
    </w:p>
    <w:p w14:paraId="01FF4ABF" w14:textId="77777777" w:rsidR="00F61B2E" w:rsidRPr="00F61B2E" w:rsidRDefault="00F61B2E" w:rsidP="00F61B2E">
      <w:pPr>
        <w:rPr>
          <w:b/>
          <w:bCs/>
        </w:rPr>
      </w:pPr>
    </w:p>
    <w:p w14:paraId="019B0068" w14:textId="17DC2B92" w:rsidR="00604243" w:rsidRPr="005D699B" w:rsidRDefault="00604243" w:rsidP="006B08A5">
      <w:pPr>
        <w:pStyle w:val="Heading3"/>
        <w:spacing w:before="240" w:after="240"/>
      </w:pPr>
      <w:bookmarkStart w:id="22" w:name="_Toc209087440"/>
      <w:r w:rsidRPr="005D699B">
        <w:t>Education and awareness raising</w:t>
      </w:r>
      <w:bookmarkEnd w:id="22"/>
    </w:p>
    <w:p w14:paraId="38D0D37F" w14:textId="2B3EA6DB" w:rsidR="00175153" w:rsidRPr="005D699B" w:rsidRDefault="00847FA3" w:rsidP="0063489A">
      <w:pPr>
        <w:pStyle w:val="ListParagraph"/>
        <w:numPr>
          <w:ilvl w:val="1"/>
          <w:numId w:val="37"/>
        </w:numPr>
        <w:contextualSpacing w:val="0"/>
      </w:pPr>
      <w:r w:rsidRPr="005D699B">
        <w:t>The Department</w:t>
      </w:r>
      <w:r w:rsidR="00077F62" w:rsidRPr="005D699B">
        <w:t xml:space="preserve"> of Justice</w:t>
      </w:r>
      <w:r w:rsidRPr="005D699B">
        <w:t xml:space="preserve">’s proposals do not include provisions for </w:t>
      </w:r>
      <w:r w:rsidR="00585597" w:rsidRPr="005D699B">
        <w:t>special education and awareness-raising initiatives.</w:t>
      </w:r>
      <w:r w:rsidRPr="005D699B">
        <w:t xml:space="preserve"> </w:t>
      </w:r>
      <w:r w:rsidR="00155B9A">
        <w:t xml:space="preserve">Similarly, a decision may be taken that this is not for inclusion within the legislation itself, but there must be a clear plan, with committed </w:t>
      </w:r>
      <w:r w:rsidR="00D964C5">
        <w:t>resources</w:t>
      </w:r>
      <w:r w:rsidR="00155B9A">
        <w:t xml:space="preserve"> in place to accommodate these.</w:t>
      </w:r>
    </w:p>
    <w:p w14:paraId="7B65778D" w14:textId="77777777" w:rsidR="000242F5" w:rsidRPr="005D699B" w:rsidRDefault="000242F5" w:rsidP="005D699B">
      <w:pPr>
        <w:pStyle w:val="ListParagraph"/>
        <w:contextualSpacing w:val="0"/>
      </w:pPr>
    </w:p>
    <w:p w14:paraId="15799CD9" w14:textId="5709BD4A" w:rsidR="007E180C" w:rsidRPr="005D699B" w:rsidRDefault="00EA7400" w:rsidP="0063489A">
      <w:pPr>
        <w:pStyle w:val="ListParagraph"/>
        <w:numPr>
          <w:ilvl w:val="1"/>
          <w:numId w:val="37"/>
        </w:numPr>
        <w:contextualSpacing w:val="0"/>
      </w:pPr>
      <w:r w:rsidRPr="005D699B">
        <w:t>Article 13 of the Istanbul Convention</w:t>
      </w:r>
      <w:r w:rsidR="00155B9A">
        <w:t>, in establishing best practice,</w:t>
      </w:r>
      <w:r w:rsidRPr="005D699B">
        <w:t xml:space="preserve"> requires </w:t>
      </w:r>
      <w:r w:rsidR="00D37061" w:rsidRPr="005D699B">
        <w:t>S</w:t>
      </w:r>
      <w:r w:rsidRPr="005D699B">
        <w:t>tates to</w:t>
      </w:r>
      <w:r w:rsidR="00585597" w:rsidRPr="005D699B">
        <w:t xml:space="preserve">: </w:t>
      </w:r>
    </w:p>
    <w:p w14:paraId="109F8932" w14:textId="77777777" w:rsidR="000242F5" w:rsidRPr="005D699B" w:rsidRDefault="000242F5" w:rsidP="005D699B">
      <w:pPr>
        <w:pStyle w:val="ListParagraph"/>
        <w:contextualSpacing w:val="0"/>
      </w:pPr>
    </w:p>
    <w:p w14:paraId="37B31A74" w14:textId="3F69A2CA" w:rsidR="00585597" w:rsidRPr="005D699B" w:rsidRDefault="002E26A4" w:rsidP="005D699B">
      <w:pPr>
        <w:pStyle w:val="Quote"/>
        <w:ind w:left="1440"/>
      </w:pPr>
      <w:r w:rsidRPr="005D699B">
        <w:t xml:space="preserve">promote or conduct, on a regular basis and at all levels, awareness-raising campaigns or programmes, including in co-operation with national human rights institutions and equality bodies, civil society and non-governmental organisations, especially women’s organisations, where appropriate, to increase awareness and understanding among the general public of the different manifestations of all forms of violence covered by the scope of this Convention, their consequences on children and the need to prevent such violence. Parties shall ensure the wide dissemination among the </w:t>
      </w:r>
      <w:proofErr w:type="gramStart"/>
      <w:r w:rsidRPr="005D699B">
        <w:t>general public</w:t>
      </w:r>
      <w:proofErr w:type="gramEnd"/>
      <w:r w:rsidRPr="005D699B">
        <w:t xml:space="preserve"> of information on measures available to prevent acts of violence covered by the scope of</w:t>
      </w:r>
      <w:r w:rsidR="004D0A7E" w:rsidRPr="005D699B">
        <w:t>… [the Istanbul]</w:t>
      </w:r>
      <w:r w:rsidRPr="005D699B">
        <w:t xml:space="preserve"> Convention</w:t>
      </w:r>
      <w:r w:rsidR="00585597" w:rsidRPr="005D699B">
        <w:t>.</w:t>
      </w:r>
    </w:p>
    <w:p w14:paraId="50FED35C" w14:textId="77777777" w:rsidR="000242F5" w:rsidRPr="005D699B" w:rsidRDefault="000242F5" w:rsidP="005D699B"/>
    <w:p w14:paraId="5E31A566" w14:textId="29C88DC6" w:rsidR="00551FBF" w:rsidRPr="005D699B" w:rsidRDefault="00CD2BEA" w:rsidP="0063489A">
      <w:pPr>
        <w:pStyle w:val="ListParagraph"/>
        <w:numPr>
          <w:ilvl w:val="1"/>
          <w:numId w:val="37"/>
        </w:numPr>
      </w:pPr>
      <w:r w:rsidRPr="005D699B">
        <w:t xml:space="preserve">Education and awareness-raising initiatives should cover essential topics such as the meaning of consent, healthy relationships, and the prevention of gender-based violence. Additionally, they should </w:t>
      </w:r>
      <w:r w:rsidRPr="005D699B">
        <w:lastRenderedPageBreak/>
        <w:t>address privacy, promote non-discrimination and gender equality, and enhance digital literacy and online safety</w:t>
      </w:r>
      <w:r w:rsidR="00F713A7" w:rsidRPr="005D699B">
        <w:t>.</w:t>
      </w:r>
      <w:r w:rsidR="00533B34" w:rsidRPr="005D699B">
        <w:rPr>
          <w:rStyle w:val="FootnoteReference"/>
        </w:rPr>
        <w:footnoteReference w:id="139"/>
      </w:r>
      <w:r w:rsidR="00F713A7" w:rsidRPr="005D699B">
        <w:t xml:space="preserve"> </w:t>
      </w:r>
      <w:r w:rsidR="00092095" w:rsidRPr="005D699B">
        <w:t>These elements are vital for creating a safer and more trustworthy digital environment</w:t>
      </w:r>
      <w:r w:rsidR="00717383" w:rsidRPr="005D699B">
        <w:t xml:space="preserve">. </w:t>
      </w:r>
      <w:r w:rsidR="00FF3103">
        <w:t xml:space="preserve">There may </w:t>
      </w:r>
      <w:r w:rsidR="00055FF0">
        <w:t xml:space="preserve">also </w:t>
      </w:r>
      <w:r w:rsidR="00FF3103">
        <w:t xml:space="preserve">be scope for </w:t>
      </w:r>
      <w:r w:rsidR="0075120C">
        <w:t>a cross over with relationships and sexuality education in schools.</w:t>
      </w:r>
    </w:p>
    <w:p w14:paraId="161EF7C8" w14:textId="4BFB6C68" w:rsidR="00077F62" w:rsidRPr="005D699B" w:rsidRDefault="00077F62" w:rsidP="00F61B2E">
      <w:pPr>
        <w:pStyle w:val="ListParagraph"/>
        <w:contextualSpacing w:val="0"/>
      </w:pPr>
      <w:r w:rsidRPr="005D699B">
        <w:t xml:space="preserve"> </w:t>
      </w:r>
    </w:p>
    <w:p w14:paraId="111F85B7" w14:textId="53AD785D" w:rsidR="00870E65" w:rsidRDefault="00554AC0" w:rsidP="0063489A">
      <w:pPr>
        <w:pStyle w:val="ListParagraph"/>
        <w:numPr>
          <w:ilvl w:val="1"/>
          <w:numId w:val="37"/>
        </w:numPr>
        <w:contextualSpacing w:val="0"/>
        <w:rPr>
          <w:b/>
          <w:bCs/>
        </w:rPr>
      </w:pPr>
      <w:r w:rsidRPr="005D699B">
        <w:rPr>
          <w:b/>
          <w:bCs/>
        </w:rPr>
        <w:t>T</w:t>
      </w:r>
      <w:r w:rsidR="00522C96" w:rsidRPr="005D699B">
        <w:rPr>
          <w:b/>
          <w:bCs/>
        </w:rPr>
        <w:t xml:space="preserve">he NIHRC recommends that the Department </w:t>
      </w:r>
      <w:r w:rsidR="00753E28" w:rsidRPr="005D699B">
        <w:rPr>
          <w:b/>
          <w:bCs/>
        </w:rPr>
        <w:t xml:space="preserve">of Justice </w:t>
      </w:r>
      <w:r w:rsidR="00055FF0" w:rsidRPr="00A759DA">
        <w:rPr>
          <w:b/>
          <w:bCs/>
        </w:rPr>
        <w:t xml:space="preserve">has a clear plan, with committed </w:t>
      </w:r>
      <w:r w:rsidR="00D964C5">
        <w:rPr>
          <w:b/>
          <w:bCs/>
        </w:rPr>
        <w:t>resources</w:t>
      </w:r>
      <w:r w:rsidR="00055FF0" w:rsidRPr="00A759DA">
        <w:rPr>
          <w:b/>
          <w:bCs/>
        </w:rPr>
        <w:t xml:space="preserve"> in place,</w:t>
      </w:r>
      <w:r w:rsidR="00055FF0">
        <w:rPr>
          <w:b/>
          <w:bCs/>
        </w:rPr>
        <w:t xml:space="preserve"> for </w:t>
      </w:r>
      <w:r w:rsidR="00522C96" w:rsidRPr="005D699B">
        <w:rPr>
          <w:b/>
          <w:bCs/>
        </w:rPr>
        <w:t>promoting education and awareness raising initiatives, focusing on prevention and encouraging reporting, the meaning of consent, healthy relationships, and the prevention of gender-based violence. It should also address privacy, promote non-discrimination and gender equality, digital literacy and online safety</w:t>
      </w:r>
      <w:r w:rsidR="003C6987" w:rsidRPr="005D699B">
        <w:rPr>
          <w:b/>
          <w:bCs/>
        </w:rPr>
        <w:t>.</w:t>
      </w:r>
    </w:p>
    <w:p w14:paraId="4DB62EA2" w14:textId="77777777" w:rsidR="006B08A5" w:rsidRPr="006B08A5" w:rsidRDefault="006B08A5" w:rsidP="00055FF0">
      <w:pPr>
        <w:rPr>
          <w:b/>
          <w:bCs/>
        </w:rPr>
      </w:pPr>
    </w:p>
    <w:p w14:paraId="6E95EB21" w14:textId="694FC04F" w:rsidR="00E23BA1" w:rsidRPr="005D699B" w:rsidRDefault="00E23BA1" w:rsidP="006B08A5">
      <w:pPr>
        <w:pStyle w:val="Heading3"/>
        <w:spacing w:before="240" w:after="240"/>
      </w:pPr>
      <w:bookmarkStart w:id="23" w:name="_Toc209087441"/>
      <w:r w:rsidRPr="005D699B">
        <w:t>Business and human rights</w:t>
      </w:r>
      <w:bookmarkEnd w:id="23"/>
    </w:p>
    <w:p w14:paraId="4EA4A49D" w14:textId="2A5B5236" w:rsidR="00FE7CEF" w:rsidRPr="005D699B" w:rsidRDefault="00D921B3" w:rsidP="0063489A">
      <w:pPr>
        <w:pStyle w:val="ListParagraph"/>
        <w:numPr>
          <w:ilvl w:val="1"/>
          <w:numId w:val="37"/>
        </w:numPr>
        <w:contextualSpacing w:val="0"/>
      </w:pPr>
      <w:r w:rsidRPr="005D699B">
        <w:t>As acknowledged by the Department</w:t>
      </w:r>
      <w:r w:rsidR="00870E65" w:rsidRPr="005D699B">
        <w:t xml:space="preserve"> of Justice</w:t>
      </w:r>
      <w:r w:rsidRPr="005D699B">
        <w:t>,</w:t>
      </w:r>
      <w:r w:rsidR="005B378C" w:rsidRPr="005D699B">
        <w:rPr>
          <w:rStyle w:val="FootnoteReference"/>
        </w:rPr>
        <w:footnoteReference w:id="140"/>
      </w:r>
      <w:r w:rsidRPr="005D699B">
        <w:t xml:space="preserve"> the</w:t>
      </w:r>
      <w:r w:rsidR="00A268DD" w:rsidRPr="005D699B">
        <w:t xml:space="preserve">re is a growing </w:t>
      </w:r>
      <w:r w:rsidR="00870E65" w:rsidRPr="005D699B">
        <w:t xml:space="preserve">artificial intelligence </w:t>
      </w:r>
      <w:r w:rsidR="00A268DD" w:rsidRPr="005D699B">
        <w:t xml:space="preserve">industry </w:t>
      </w:r>
      <w:r w:rsidR="00802F2E" w:rsidRPr="005D699B">
        <w:t>for services and products that create harmful content,</w:t>
      </w:r>
      <w:r w:rsidR="00017BEF" w:rsidRPr="005D699B">
        <w:t xml:space="preserve"> almost </w:t>
      </w:r>
      <w:r w:rsidR="00A81409" w:rsidRPr="005D699B">
        <w:t>exclusively</w:t>
      </w:r>
      <w:r w:rsidR="00017BEF" w:rsidRPr="005D699B">
        <w:t xml:space="preserve"> target</w:t>
      </w:r>
      <w:r w:rsidR="002C69F5" w:rsidRPr="005D699B">
        <w:t>ing</w:t>
      </w:r>
      <w:r w:rsidR="00017BEF" w:rsidRPr="005D699B">
        <w:t xml:space="preserve"> women who have not consented to </w:t>
      </w:r>
      <w:r w:rsidR="002C69F5" w:rsidRPr="005D699B">
        <w:t>its</w:t>
      </w:r>
      <w:r w:rsidR="00A81409" w:rsidRPr="005D699B">
        <w:t xml:space="preserve"> creation</w:t>
      </w:r>
      <w:r w:rsidR="006902E5" w:rsidRPr="005D699B">
        <w:t>.</w:t>
      </w:r>
      <w:r w:rsidR="005B378C" w:rsidRPr="005D699B">
        <w:rPr>
          <w:rStyle w:val="FootnoteReference"/>
        </w:rPr>
        <w:footnoteReference w:id="141"/>
      </w:r>
      <w:r w:rsidR="006902E5" w:rsidRPr="005D699B">
        <w:t xml:space="preserve"> </w:t>
      </w:r>
      <w:r w:rsidR="002F6094" w:rsidRPr="005D699B">
        <w:t>This non-consensual deepfake economy includes online platforms for content creation, advertisers, and credit card companies that process payments for sexually exploitative videos and images</w:t>
      </w:r>
      <w:r w:rsidR="003A2441" w:rsidRPr="005D699B">
        <w:t>.</w:t>
      </w:r>
      <w:r w:rsidR="003A2441" w:rsidRPr="005D699B">
        <w:rPr>
          <w:rStyle w:val="FootnoteReference"/>
        </w:rPr>
        <w:footnoteReference w:id="142"/>
      </w:r>
      <w:r w:rsidR="00111B75" w:rsidRPr="005D699B">
        <w:t xml:space="preserve"> </w:t>
      </w:r>
      <w:r w:rsidR="00217ED0" w:rsidRPr="005D699B">
        <w:t>However, the Department</w:t>
      </w:r>
      <w:r w:rsidR="00870E65" w:rsidRPr="005D699B">
        <w:t xml:space="preserve"> of Justice</w:t>
      </w:r>
      <w:r w:rsidR="00217ED0" w:rsidRPr="005D699B">
        <w:t xml:space="preserve">’s proposals do not include any provisions for dealing with the role of companies in </w:t>
      </w:r>
      <w:r w:rsidR="00891C9A" w:rsidRPr="005D699B">
        <w:t>enabling this type of image-based sexual abuse.</w:t>
      </w:r>
      <w:r w:rsidR="00217ED0" w:rsidRPr="005D699B">
        <w:t xml:space="preserve"> </w:t>
      </w:r>
    </w:p>
    <w:p w14:paraId="291243B4" w14:textId="77777777" w:rsidR="000242F5" w:rsidRPr="005D699B" w:rsidRDefault="000242F5" w:rsidP="00F61B2E">
      <w:pPr>
        <w:pStyle w:val="ListParagraph"/>
        <w:contextualSpacing w:val="0"/>
      </w:pPr>
    </w:p>
    <w:p w14:paraId="53D9B2D9" w14:textId="6F8D10CF" w:rsidR="003A2441" w:rsidRPr="005D699B" w:rsidRDefault="00111B75" w:rsidP="0063489A">
      <w:pPr>
        <w:pStyle w:val="ListParagraph"/>
        <w:numPr>
          <w:ilvl w:val="1"/>
          <w:numId w:val="37"/>
        </w:numPr>
        <w:contextualSpacing w:val="0"/>
      </w:pPr>
      <w:r w:rsidRPr="005D699B">
        <w:t>Th</w:t>
      </w:r>
      <w:r w:rsidR="002F6094" w:rsidRPr="005D699B">
        <w:t>ese</w:t>
      </w:r>
      <w:r w:rsidR="00BE470C" w:rsidRPr="005D699B">
        <w:t xml:space="preserve"> and other</w:t>
      </w:r>
      <w:r w:rsidRPr="005D699B">
        <w:t xml:space="preserve"> </w:t>
      </w:r>
      <w:r w:rsidR="00870E65" w:rsidRPr="005D699B">
        <w:t xml:space="preserve">artificial intelligence </w:t>
      </w:r>
      <w:r w:rsidR="006C09EC" w:rsidRPr="005D699B">
        <w:t>deployment</w:t>
      </w:r>
      <w:r w:rsidR="00BE470C" w:rsidRPr="005D699B">
        <w:t xml:space="preserve">s fall within the </w:t>
      </w:r>
      <w:r w:rsidR="00497A65" w:rsidRPr="005D699B">
        <w:t>UN</w:t>
      </w:r>
      <w:r w:rsidR="002B3094" w:rsidRPr="005D699B">
        <w:t xml:space="preserve"> Guiding Principles on Business and Human Rights,</w:t>
      </w:r>
      <w:r w:rsidR="005015D4" w:rsidRPr="005D699B">
        <w:t xml:space="preserve"> </w:t>
      </w:r>
      <w:r w:rsidR="00E6242B" w:rsidRPr="005D699B">
        <w:t xml:space="preserve">which outline the responsibilities of both </w:t>
      </w:r>
      <w:r w:rsidR="004716AF" w:rsidRPr="005D699B">
        <w:t>S</w:t>
      </w:r>
      <w:r w:rsidR="00E6242B" w:rsidRPr="005D699B">
        <w:t>tates and businesses</w:t>
      </w:r>
      <w:r w:rsidR="00DE7740" w:rsidRPr="005D699B">
        <w:t>.</w:t>
      </w:r>
      <w:r w:rsidR="00DE7740" w:rsidRPr="005D699B">
        <w:rPr>
          <w:rStyle w:val="FootnoteReference"/>
        </w:rPr>
        <w:footnoteReference w:id="143"/>
      </w:r>
      <w:r w:rsidR="006C09EC" w:rsidRPr="005D699B">
        <w:t xml:space="preserve"> </w:t>
      </w:r>
      <w:r w:rsidRPr="005D699B">
        <w:t xml:space="preserve"> </w:t>
      </w:r>
    </w:p>
    <w:p w14:paraId="4422B2F1" w14:textId="77777777" w:rsidR="000242F5" w:rsidRPr="005D699B" w:rsidRDefault="000242F5" w:rsidP="005D699B">
      <w:pPr>
        <w:pStyle w:val="ListParagraph"/>
        <w:contextualSpacing w:val="0"/>
      </w:pPr>
    </w:p>
    <w:p w14:paraId="017C9080" w14:textId="640C3F15" w:rsidR="000A1542" w:rsidRPr="005D699B" w:rsidRDefault="0065075A" w:rsidP="0063489A">
      <w:pPr>
        <w:pStyle w:val="ListParagraph"/>
        <w:numPr>
          <w:ilvl w:val="1"/>
          <w:numId w:val="37"/>
        </w:numPr>
        <w:contextualSpacing w:val="0"/>
      </w:pPr>
      <w:r w:rsidRPr="005D699B">
        <w:t xml:space="preserve">The </w:t>
      </w:r>
      <w:r w:rsidR="004716AF" w:rsidRPr="005D699B">
        <w:t>UN Guiding Principles on Business and Human Rights</w:t>
      </w:r>
      <w:r w:rsidRPr="005D699B">
        <w:t xml:space="preserve"> provide a framework to prevent and address negative human rights impacts from business activities, including </w:t>
      </w:r>
      <w:r w:rsidR="00230E0A" w:rsidRPr="005D699B">
        <w:t xml:space="preserve">the use of </w:t>
      </w:r>
      <w:r w:rsidR="00255175" w:rsidRPr="005D699B">
        <w:t>artificial intelligence</w:t>
      </w:r>
      <w:r w:rsidR="00044BA2" w:rsidRPr="005D699B">
        <w:t>, through three pillars</w:t>
      </w:r>
      <w:r w:rsidR="00255175" w:rsidRPr="005D699B">
        <w:t>. These are</w:t>
      </w:r>
      <w:r w:rsidR="00044BA2" w:rsidRPr="005D699B">
        <w:t xml:space="preserve"> States'</w:t>
      </w:r>
      <w:r w:rsidR="003B3D9E" w:rsidRPr="005D699B">
        <w:t xml:space="preserve"> duty to protect</w:t>
      </w:r>
      <w:r w:rsidR="00600D66" w:rsidRPr="005D699B">
        <w:t xml:space="preserve">; </w:t>
      </w:r>
      <w:r w:rsidR="000F1110" w:rsidRPr="005D699B">
        <w:t xml:space="preserve">businesses’ responsibility to respect human rights, and </w:t>
      </w:r>
      <w:r w:rsidR="001941AA" w:rsidRPr="005D699B">
        <w:t>victims’ right to access an effective remedy for business-related human rights harm</w:t>
      </w:r>
      <w:r w:rsidRPr="005D699B">
        <w:t>.</w:t>
      </w:r>
      <w:r w:rsidR="001941AA" w:rsidRPr="005D699B">
        <w:rPr>
          <w:rStyle w:val="FootnoteReference"/>
        </w:rPr>
        <w:footnoteReference w:id="144"/>
      </w:r>
      <w:r w:rsidRPr="005D699B">
        <w:t xml:space="preserve"> States must protect individuals and communities from abuses by businesses in their value chains.</w:t>
      </w:r>
      <w:r w:rsidR="000B6253" w:rsidRPr="005D699B">
        <w:rPr>
          <w:rStyle w:val="FootnoteReference"/>
        </w:rPr>
        <w:footnoteReference w:id="145"/>
      </w:r>
      <w:r w:rsidRPr="005D699B">
        <w:t xml:space="preserve"> Businesses are responsible for respecting human rights throughout the life cycle of </w:t>
      </w:r>
      <w:r w:rsidR="00A90B20" w:rsidRPr="005D699B">
        <w:t xml:space="preserve">the </w:t>
      </w:r>
      <w:r w:rsidR="00255175" w:rsidRPr="005D699B">
        <w:t xml:space="preserve">artificial intelligence </w:t>
      </w:r>
      <w:r w:rsidRPr="005D699B">
        <w:t>systems they use.</w:t>
      </w:r>
      <w:r w:rsidR="000B6253" w:rsidRPr="005D699B">
        <w:rPr>
          <w:rStyle w:val="FootnoteReference"/>
        </w:rPr>
        <w:footnoteReference w:id="146"/>
      </w:r>
      <w:r w:rsidRPr="005D699B">
        <w:t xml:space="preserve"> Victims of human rights abuses related to </w:t>
      </w:r>
      <w:r w:rsidR="00255175" w:rsidRPr="005D699B">
        <w:t xml:space="preserve">artificial intelligence </w:t>
      </w:r>
      <w:r w:rsidRPr="005D699B">
        <w:t xml:space="preserve">deployment by </w:t>
      </w:r>
      <w:r w:rsidR="004642F1" w:rsidRPr="005D699B">
        <w:t>S</w:t>
      </w:r>
      <w:r w:rsidRPr="005D699B">
        <w:t>tates and businesses should have access to effective remedies.</w:t>
      </w:r>
      <w:r w:rsidR="0049281C" w:rsidRPr="005D699B">
        <w:rPr>
          <w:rStyle w:val="FootnoteReference"/>
        </w:rPr>
        <w:footnoteReference w:id="147"/>
      </w:r>
    </w:p>
    <w:p w14:paraId="41AA94EB" w14:textId="77777777" w:rsidR="000242F5" w:rsidRPr="005D699B" w:rsidRDefault="000242F5" w:rsidP="005D699B">
      <w:pPr>
        <w:pStyle w:val="ListParagraph"/>
        <w:contextualSpacing w:val="0"/>
      </w:pPr>
    </w:p>
    <w:p w14:paraId="74E7E1DC" w14:textId="1BD5F37D" w:rsidR="00164843" w:rsidRPr="005D699B" w:rsidRDefault="000F4510" w:rsidP="0063489A">
      <w:pPr>
        <w:pStyle w:val="ListParagraph"/>
        <w:numPr>
          <w:ilvl w:val="1"/>
          <w:numId w:val="37"/>
        </w:numPr>
        <w:contextualSpacing w:val="0"/>
      </w:pPr>
      <w:r w:rsidRPr="005D699B">
        <w:t>Implementing all of this in practice includes</w:t>
      </w:r>
      <w:r w:rsidR="00164843" w:rsidRPr="005D699B">
        <w:t xml:space="preserve"> ensur</w:t>
      </w:r>
      <w:r w:rsidRPr="005D699B">
        <w:t>ing</w:t>
      </w:r>
      <w:r w:rsidR="00164843" w:rsidRPr="005D699B">
        <w:t xml:space="preserve"> the </w:t>
      </w:r>
      <w:r w:rsidR="00C77AD4" w:rsidRPr="005D699B">
        <w:t>integration</w:t>
      </w:r>
      <w:r w:rsidR="00164843" w:rsidRPr="005D699B">
        <w:t xml:space="preserve"> of a human rights-based approach into the deployment of </w:t>
      </w:r>
      <w:r w:rsidRPr="005D699B">
        <w:t xml:space="preserve">artificial intelligence </w:t>
      </w:r>
      <w:r w:rsidR="00164843" w:rsidRPr="005D699B">
        <w:t>systems</w:t>
      </w:r>
      <w:r w:rsidR="00CB66E6" w:rsidRPr="005D699B">
        <w:t xml:space="preserve"> by businesses</w:t>
      </w:r>
      <w:r w:rsidR="00164843" w:rsidRPr="005D699B">
        <w:t xml:space="preserve"> in</w:t>
      </w:r>
      <w:r w:rsidR="00D21F29" w:rsidRPr="005D699B">
        <w:t>to</w:t>
      </w:r>
      <w:r w:rsidR="00164843" w:rsidRPr="005D699B">
        <w:t xml:space="preserve"> their operations, products and services</w:t>
      </w:r>
      <w:r w:rsidR="00520095" w:rsidRPr="005D699B">
        <w:t xml:space="preserve">. </w:t>
      </w:r>
    </w:p>
    <w:p w14:paraId="48C3CF4F" w14:textId="77777777" w:rsidR="000242F5" w:rsidRPr="005D699B" w:rsidRDefault="000242F5" w:rsidP="005D699B">
      <w:pPr>
        <w:pStyle w:val="ListParagraph"/>
        <w:contextualSpacing w:val="0"/>
      </w:pPr>
    </w:p>
    <w:p w14:paraId="73412B40" w14:textId="0B003778" w:rsidR="002E6EFF" w:rsidRPr="005D699B" w:rsidRDefault="000F4510" w:rsidP="0063489A">
      <w:pPr>
        <w:pStyle w:val="ListParagraph"/>
        <w:numPr>
          <w:ilvl w:val="1"/>
          <w:numId w:val="37"/>
        </w:numPr>
        <w:contextualSpacing w:val="0"/>
      </w:pPr>
      <w:r w:rsidRPr="005D699B">
        <w:t xml:space="preserve">It involves requiring </w:t>
      </w:r>
      <w:r w:rsidR="00CB66E6" w:rsidRPr="005D699B">
        <w:t>businesses</w:t>
      </w:r>
      <w:r w:rsidR="000140AF" w:rsidRPr="005D699B">
        <w:t xml:space="preserve"> to proactively identify risks of harm</w:t>
      </w:r>
      <w:r w:rsidR="00130515" w:rsidRPr="005D699B">
        <w:t xml:space="preserve"> and</w:t>
      </w:r>
      <w:r w:rsidR="000140AF" w:rsidRPr="005D699B">
        <w:t xml:space="preserve"> take effective measures to address incidents</w:t>
      </w:r>
      <w:r w:rsidR="00AA17EC" w:rsidRPr="005D699B">
        <w:t xml:space="preserve">, including </w:t>
      </w:r>
      <w:r w:rsidR="00391B7E" w:rsidRPr="005D699B">
        <w:t>robust content moderation and removal</w:t>
      </w:r>
      <w:r w:rsidR="00AA17EC" w:rsidRPr="005D699B">
        <w:t xml:space="preserve">. Additionally, </w:t>
      </w:r>
      <w:r w:rsidRPr="005D699B">
        <w:t xml:space="preserve">businesses </w:t>
      </w:r>
      <w:r w:rsidR="00AA17EC" w:rsidRPr="005D699B">
        <w:t>should be required to cooperate</w:t>
      </w:r>
      <w:r w:rsidR="000140AF" w:rsidRPr="005D699B">
        <w:t xml:space="preserve"> with law enforcement agencies, civil society, and public authorities in </w:t>
      </w:r>
      <w:r w:rsidRPr="005D699B">
        <w:t>NI</w:t>
      </w:r>
      <w:r w:rsidR="000140AF" w:rsidRPr="005D699B">
        <w:t xml:space="preserve"> and internationally to protect individuals from harm and prevent </w:t>
      </w:r>
      <w:r w:rsidR="00566603" w:rsidRPr="005D699B">
        <w:t xml:space="preserve">abuse and </w:t>
      </w:r>
      <w:r w:rsidR="000140AF" w:rsidRPr="005D699B">
        <w:t>re-victimisation</w:t>
      </w:r>
      <w:r w:rsidR="00D32D5C" w:rsidRPr="005D699B">
        <w:t>.</w:t>
      </w:r>
      <w:r w:rsidR="000140AF" w:rsidRPr="005D699B">
        <w:rPr>
          <w:rStyle w:val="FootnoteReference"/>
        </w:rPr>
        <w:footnoteReference w:id="148"/>
      </w:r>
      <w:r w:rsidR="00D32D5C" w:rsidRPr="005D699B">
        <w:t xml:space="preserve"> </w:t>
      </w:r>
    </w:p>
    <w:p w14:paraId="4F532B34" w14:textId="77777777" w:rsidR="000242F5" w:rsidRPr="005D699B" w:rsidRDefault="000242F5" w:rsidP="005D699B">
      <w:pPr>
        <w:pStyle w:val="ListParagraph"/>
        <w:contextualSpacing w:val="0"/>
      </w:pPr>
    </w:p>
    <w:p w14:paraId="453720BA" w14:textId="3D7B8B60" w:rsidR="003C6987" w:rsidRPr="005D699B" w:rsidRDefault="00BB4326" w:rsidP="0063489A">
      <w:pPr>
        <w:pStyle w:val="ListParagraph"/>
        <w:numPr>
          <w:ilvl w:val="1"/>
          <w:numId w:val="37"/>
        </w:numPr>
        <w:contextualSpacing w:val="0"/>
      </w:pPr>
      <w:r w:rsidRPr="005D699B">
        <w:t xml:space="preserve">Furthermore, </w:t>
      </w:r>
      <w:r w:rsidR="006D18E0" w:rsidRPr="005D699B">
        <w:t xml:space="preserve">introducing a ban on </w:t>
      </w:r>
      <w:r w:rsidR="00EE6D32" w:rsidRPr="005D699B">
        <w:t>online platforms</w:t>
      </w:r>
      <w:r w:rsidR="006D18E0" w:rsidRPr="005D699B">
        <w:t xml:space="preserve"> </w:t>
      </w:r>
      <w:r w:rsidR="00192810" w:rsidRPr="005D699B">
        <w:t>that primarily facilitate the</w:t>
      </w:r>
      <w:r w:rsidR="006D18E0" w:rsidRPr="005D699B">
        <w:t xml:space="preserve"> </w:t>
      </w:r>
      <w:r w:rsidR="00EE6D32" w:rsidRPr="005D699B">
        <w:t>creat</w:t>
      </w:r>
      <w:r w:rsidR="00192810" w:rsidRPr="005D699B">
        <w:t>ion of</w:t>
      </w:r>
      <w:r w:rsidR="00EE6D32" w:rsidRPr="005D699B">
        <w:t xml:space="preserve"> non-consensual sexually explicit deepfake content</w:t>
      </w:r>
      <w:r w:rsidR="00192810" w:rsidRPr="005D699B">
        <w:t>, such as</w:t>
      </w:r>
      <w:r w:rsidR="0093150B" w:rsidRPr="005D699B">
        <w:t xml:space="preserve"> </w:t>
      </w:r>
      <w:r w:rsidR="0035070F" w:rsidRPr="005D699B">
        <w:t xml:space="preserve">tools marketed as </w:t>
      </w:r>
      <w:r w:rsidR="00E74176" w:rsidRPr="005D699B">
        <w:t>‘</w:t>
      </w:r>
      <w:proofErr w:type="spellStart"/>
      <w:r w:rsidR="0035070F" w:rsidRPr="005D699B">
        <w:t>nudif</w:t>
      </w:r>
      <w:r w:rsidR="00E74176" w:rsidRPr="005D699B">
        <w:t>ying</w:t>
      </w:r>
      <w:proofErr w:type="spellEnd"/>
      <w:r w:rsidR="00E74176" w:rsidRPr="005D699B">
        <w:t>’</w:t>
      </w:r>
      <w:r w:rsidR="0035070F" w:rsidRPr="005D699B">
        <w:t xml:space="preserve"> services</w:t>
      </w:r>
      <w:r w:rsidR="00A75CAA" w:rsidRPr="005D699B">
        <w:t>,</w:t>
      </w:r>
      <w:r w:rsidR="00101F35" w:rsidRPr="005D699B">
        <w:t xml:space="preserve"> would be beneficial</w:t>
      </w:r>
      <w:r w:rsidR="00192810" w:rsidRPr="005D699B">
        <w:t>.</w:t>
      </w:r>
      <w:r w:rsidR="007832CB" w:rsidRPr="005D699B">
        <w:t xml:space="preserve"> When individuals have easy access to a wide range of </w:t>
      </w:r>
      <w:r w:rsidR="00387BBA" w:rsidRPr="005D699B">
        <w:t xml:space="preserve">platforms and websites </w:t>
      </w:r>
      <w:r w:rsidR="00FC54B3" w:rsidRPr="005D699B">
        <w:t xml:space="preserve">that offer and promote the creation of these </w:t>
      </w:r>
      <w:r w:rsidR="00FC54B3" w:rsidRPr="005D699B">
        <w:lastRenderedPageBreak/>
        <w:t xml:space="preserve">non-consensual images, they may naturally assume it is legal to do so. A ban would help avoid the normalisation of this phenomenon and </w:t>
      </w:r>
      <w:r w:rsidR="00EE6D32" w:rsidRPr="005D699B">
        <w:t xml:space="preserve">protect </w:t>
      </w:r>
      <w:r w:rsidR="00CA3379" w:rsidRPr="005D699B">
        <w:t xml:space="preserve">people at risk of </w:t>
      </w:r>
      <w:r w:rsidR="0001570F" w:rsidRPr="005D699B">
        <w:t>becoming</w:t>
      </w:r>
      <w:r w:rsidR="00CA3379" w:rsidRPr="005D699B">
        <w:t xml:space="preserve"> victim</w:t>
      </w:r>
      <w:r w:rsidR="0001570F" w:rsidRPr="005D699B">
        <w:t>s</w:t>
      </w:r>
      <w:r w:rsidR="00CA3379" w:rsidRPr="005D699B">
        <w:t xml:space="preserve"> or </w:t>
      </w:r>
      <w:r w:rsidR="007A03FD" w:rsidRPr="005D699B">
        <w:t>inadvertently</w:t>
      </w:r>
      <w:r w:rsidR="00CA3379" w:rsidRPr="005D699B">
        <w:t xml:space="preserve"> committing offence</w:t>
      </w:r>
      <w:r w:rsidR="0001570F" w:rsidRPr="005D699B">
        <w:t>s</w:t>
      </w:r>
      <w:r w:rsidR="00CA3379" w:rsidRPr="005D699B">
        <w:t>.</w:t>
      </w:r>
      <w:r w:rsidR="004B5B4F" w:rsidRPr="005D699B">
        <w:rPr>
          <w:rStyle w:val="FootnoteReference"/>
        </w:rPr>
        <w:footnoteReference w:id="149"/>
      </w:r>
    </w:p>
    <w:p w14:paraId="59B8A60F" w14:textId="77777777" w:rsidR="000242F5" w:rsidRPr="005D699B" w:rsidRDefault="000242F5" w:rsidP="005D699B">
      <w:pPr>
        <w:pStyle w:val="ListParagraph"/>
        <w:contextualSpacing w:val="0"/>
      </w:pPr>
    </w:p>
    <w:p w14:paraId="2F616970" w14:textId="3EE52BA3" w:rsidR="00631048" w:rsidRPr="005D699B" w:rsidRDefault="00631048" w:rsidP="0063489A">
      <w:pPr>
        <w:pStyle w:val="ListParagraph"/>
        <w:numPr>
          <w:ilvl w:val="1"/>
          <w:numId w:val="37"/>
        </w:numPr>
        <w:contextualSpacing w:val="0"/>
        <w:rPr>
          <w:b/>
          <w:bCs/>
        </w:rPr>
      </w:pPr>
      <w:r w:rsidRPr="005D699B">
        <w:rPr>
          <w:b/>
          <w:bCs/>
        </w:rPr>
        <w:t xml:space="preserve">The NIHRC recommends that the Department </w:t>
      </w:r>
      <w:r w:rsidR="00201212" w:rsidRPr="005D699B">
        <w:rPr>
          <w:b/>
          <w:bCs/>
        </w:rPr>
        <w:t xml:space="preserve">of Justice </w:t>
      </w:r>
      <w:r w:rsidRPr="005D699B">
        <w:rPr>
          <w:b/>
          <w:bCs/>
        </w:rPr>
        <w:t xml:space="preserve">works with </w:t>
      </w:r>
      <w:r w:rsidR="006D3261">
        <w:rPr>
          <w:b/>
          <w:bCs/>
        </w:rPr>
        <w:t>the NI Executive</w:t>
      </w:r>
      <w:r w:rsidRPr="005D699B">
        <w:rPr>
          <w:b/>
          <w:bCs/>
        </w:rPr>
        <w:t xml:space="preserve"> to ensure the integration of a human rights-based approach into the deployment of </w:t>
      </w:r>
      <w:r w:rsidR="00201212" w:rsidRPr="005D699B">
        <w:rPr>
          <w:b/>
          <w:bCs/>
        </w:rPr>
        <w:t xml:space="preserve">artificial intelligence </w:t>
      </w:r>
      <w:r w:rsidRPr="005D699B">
        <w:rPr>
          <w:b/>
          <w:bCs/>
        </w:rPr>
        <w:t xml:space="preserve">systems by businesses into their operations, products and services. This includes ensuring that businesses are required to </w:t>
      </w:r>
      <w:r w:rsidR="00285148">
        <w:rPr>
          <w:b/>
          <w:bCs/>
        </w:rPr>
        <w:t xml:space="preserve">undertake </w:t>
      </w:r>
      <w:r w:rsidR="00285148" w:rsidRPr="005D699B">
        <w:rPr>
          <w:b/>
          <w:bCs/>
        </w:rPr>
        <w:t>robust content moderation and removal</w:t>
      </w:r>
      <w:r w:rsidR="00285148">
        <w:rPr>
          <w:b/>
          <w:bCs/>
        </w:rPr>
        <w:t xml:space="preserve"> through </w:t>
      </w:r>
      <w:r w:rsidRPr="005D699B">
        <w:rPr>
          <w:b/>
          <w:bCs/>
        </w:rPr>
        <w:t>proactively identify risks of harm, tak</w:t>
      </w:r>
      <w:r w:rsidR="00C53427">
        <w:rPr>
          <w:b/>
          <w:bCs/>
        </w:rPr>
        <w:t>ing</w:t>
      </w:r>
      <w:r w:rsidRPr="005D699B">
        <w:rPr>
          <w:b/>
          <w:bCs/>
        </w:rPr>
        <w:t xml:space="preserve"> effective measures to address incidents, and cooperat</w:t>
      </w:r>
      <w:r w:rsidR="00C53427">
        <w:rPr>
          <w:b/>
          <w:bCs/>
        </w:rPr>
        <w:t>ing</w:t>
      </w:r>
      <w:r w:rsidRPr="005D699B">
        <w:rPr>
          <w:b/>
          <w:bCs/>
        </w:rPr>
        <w:t xml:space="preserve"> with law enforcement agencies, civil society, and public authorities in </w:t>
      </w:r>
      <w:r w:rsidR="00201212" w:rsidRPr="005D699B">
        <w:rPr>
          <w:b/>
          <w:bCs/>
        </w:rPr>
        <w:t>NI</w:t>
      </w:r>
      <w:r w:rsidRPr="005D699B">
        <w:rPr>
          <w:b/>
          <w:bCs/>
        </w:rPr>
        <w:t xml:space="preserve"> and internationally to protect individuals from harm and prevent re-victimisation.</w:t>
      </w:r>
    </w:p>
    <w:p w14:paraId="336849E7" w14:textId="77777777" w:rsidR="000242F5" w:rsidRPr="005D699B" w:rsidRDefault="000242F5" w:rsidP="005D699B">
      <w:pPr>
        <w:pStyle w:val="ListParagraph"/>
        <w:contextualSpacing w:val="0"/>
        <w:rPr>
          <w:b/>
          <w:bCs/>
        </w:rPr>
      </w:pPr>
    </w:p>
    <w:p w14:paraId="20B727CF" w14:textId="79DB20D8" w:rsidR="006D18E0" w:rsidRPr="005D699B" w:rsidRDefault="00631048" w:rsidP="0063489A">
      <w:pPr>
        <w:pStyle w:val="ListParagraph"/>
        <w:numPr>
          <w:ilvl w:val="1"/>
          <w:numId w:val="37"/>
        </w:numPr>
        <w:contextualSpacing w:val="0"/>
      </w:pPr>
      <w:r w:rsidRPr="005D699B">
        <w:rPr>
          <w:b/>
          <w:bCs/>
        </w:rPr>
        <w:t xml:space="preserve">The NIHRC recommends that the Department </w:t>
      </w:r>
      <w:r w:rsidR="00A75E28" w:rsidRPr="005D699B">
        <w:rPr>
          <w:b/>
          <w:bCs/>
        </w:rPr>
        <w:t xml:space="preserve">of Justice </w:t>
      </w:r>
      <w:r w:rsidRPr="005D699B">
        <w:rPr>
          <w:b/>
          <w:bCs/>
        </w:rPr>
        <w:t>introduce</w:t>
      </w:r>
      <w:r w:rsidR="00A75E28" w:rsidRPr="005D699B">
        <w:rPr>
          <w:b/>
          <w:bCs/>
        </w:rPr>
        <w:t>s</w:t>
      </w:r>
      <w:r w:rsidRPr="005D699B">
        <w:rPr>
          <w:b/>
          <w:bCs/>
        </w:rPr>
        <w:t xml:space="preserve"> a ban on online platforms that primarily facilitate the creation of non-consensual sexually explicit deepfake content, such as tools marketed as </w:t>
      </w:r>
      <w:r w:rsidR="00B73F64" w:rsidRPr="005D699B">
        <w:rPr>
          <w:b/>
          <w:bCs/>
        </w:rPr>
        <w:t>‘</w:t>
      </w:r>
      <w:proofErr w:type="spellStart"/>
      <w:r w:rsidRPr="005D699B">
        <w:rPr>
          <w:b/>
          <w:bCs/>
        </w:rPr>
        <w:t>nudifying</w:t>
      </w:r>
      <w:proofErr w:type="spellEnd"/>
      <w:r w:rsidR="00B73F64" w:rsidRPr="005D699B">
        <w:rPr>
          <w:b/>
          <w:bCs/>
        </w:rPr>
        <w:t>’</w:t>
      </w:r>
      <w:r w:rsidRPr="005D699B">
        <w:rPr>
          <w:b/>
          <w:bCs/>
        </w:rPr>
        <w:t xml:space="preserve"> services to protect people at risk of becoming victims or offenders.</w:t>
      </w:r>
      <w:r w:rsidR="00CA3379" w:rsidRPr="005D699B">
        <w:t xml:space="preserve"> </w:t>
      </w:r>
    </w:p>
    <w:p w14:paraId="08BD0985" w14:textId="74A98034" w:rsidR="008423EC" w:rsidRPr="005D699B" w:rsidRDefault="008423EC" w:rsidP="005D699B"/>
    <w:p w14:paraId="014DF36B" w14:textId="2628FBD1" w:rsidR="003C6987" w:rsidRPr="005D699B" w:rsidRDefault="003C6987" w:rsidP="005D699B">
      <w:pPr>
        <w:spacing w:line="278" w:lineRule="auto"/>
        <w:rPr>
          <w:rFonts w:eastAsia="Yu Mincho" w:cs="Arial"/>
          <w:b/>
          <w:bCs/>
          <w:color w:val="77328A"/>
          <w:kern w:val="0"/>
          <w:sz w:val="36"/>
          <w:szCs w:val="36"/>
          <w14:ligatures w14:val="none"/>
        </w:rPr>
      </w:pPr>
      <w:r w:rsidRPr="005D699B">
        <w:rPr>
          <w:rFonts w:eastAsia="Yu Mincho" w:cs="Arial"/>
          <w:b/>
          <w:bCs/>
          <w:color w:val="77328A"/>
          <w:kern w:val="0"/>
          <w:sz w:val="36"/>
          <w:szCs w:val="36"/>
          <w14:ligatures w14:val="none"/>
        </w:rPr>
        <w:br w:type="page"/>
      </w:r>
    </w:p>
    <w:p w14:paraId="0D515470" w14:textId="77777777" w:rsidR="00670BB5" w:rsidRPr="004526FD" w:rsidRDefault="00670BB5" w:rsidP="00943AC6">
      <w:pPr>
        <w:ind w:left="720" w:hanging="720"/>
        <w:jc w:val="center"/>
        <w:rPr>
          <w:rFonts w:eastAsia="Yu Mincho" w:cs="Arial"/>
          <w:b/>
          <w:bCs/>
          <w:color w:val="77328A"/>
          <w:kern w:val="0"/>
          <w:sz w:val="36"/>
          <w:szCs w:val="36"/>
          <w14:ligatures w14:val="none"/>
        </w:rPr>
      </w:pPr>
    </w:p>
    <w:p w14:paraId="16D5C2D5" w14:textId="77777777" w:rsidR="000242F5" w:rsidRPr="004526FD" w:rsidRDefault="000242F5" w:rsidP="00943AC6">
      <w:pPr>
        <w:ind w:left="720" w:hanging="720"/>
        <w:jc w:val="center"/>
        <w:rPr>
          <w:rFonts w:eastAsia="Yu Mincho" w:cs="Arial"/>
          <w:b/>
          <w:bCs/>
          <w:color w:val="77328A"/>
          <w:kern w:val="0"/>
          <w:sz w:val="36"/>
          <w:szCs w:val="36"/>
          <w14:ligatures w14:val="none"/>
        </w:rPr>
      </w:pPr>
    </w:p>
    <w:p w14:paraId="157EDFE4" w14:textId="77777777" w:rsidR="000242F5" w:rsidRPr="004526FD" w:rsidRDefault="000242F5" w:rsidP="00943AC6">
      <w:pPr>
        <w:ind w:left="720" w:hanging="720"/>
        <w:jc w:val="center"/>
        <w:rPr>
          <w:rFonts w:eastAsia="Yu Mincho" w:cs="Arial"/>
          <w:b/>
          <w:bCs/>
          <w:color w:val="77328A"/>
          <w:kern w:val="0"/>
          <w:sz w:val="36"/>
          <w:szCs w:val="36"/>
          <w14:ligatures w14:val="none"/>
        </w:rPr>
      </w:pPr>
    </w:p>
    <w:p w14:paraId="5B7E8894" w14:textId="77777777" w:rsidR="000242F5" w:rsidRPr="004526FD" w:rsidRDefault="000242F5" w:rsidP="00943AC6">
      <w:pPr>
        <w:ind w:left="720" w:hanging="720"/>
        <w:jc w:val="center"/>
        <w:rPr>
          <w:rFonts w:eastAsia="Yu Mincho" w:cs="Arial"/>
          <w:b/>
          <w:bCs/>
          <w:color w:val="77328A"/>
          <w:kern w:val="0"/>
          <w:sz w:val="36"/>
          <w:szCs w:val="36"/>
          <w14:ligatures w14:val="none"/>
        </w:rPr>
      </w:pPr>
    </w:p>
    <w:p w14:paraId="624C631E" w14:textId="77777777" w:rsidR="000242F5" w:rsidRPr="004526FD" w:rsidRDefault="000242F5" w:rsidP="00943AC6">
      <w:pPr>
        <w:ind w:left="720" w:hanging="720"/>
        <w:jc w:val="center"/>
        <w:rPr>
          <w:rFonts w:eastAsia="Yu Mincho" w:cs="Arial"/>
          <w:b/>
          <w:bCs/>
          <w:color w:val="77328A"/>
          <w:kern w:val="0"/>
          <w:sz w:val="36"/>
          <w:szCs w:val="36"/>
          <w14:ligatures w14:val="none"/>
        </w:rPr>
      </w:pPr>
    </w:p>
    <w:p w14:paraId="131B7ED9" w14:textId="451CEA1B" w:rsidR="00792F71" w:rsidRPr="004526FD" w:rsidRDefault="00792F71" w:rsidP="00943AC6">
      <w:pPr>
        <w:ind w:left="720" w:hanging="720"/>
        <w:jc w:val="center"/>
        <w:rPr>
          <w:rFonts w:eastAsia="Yu Mincho" w:cs="Arial"/>
          <w:kern w:val="0"/>
          <w:sz w:val="44"/>
          <w:szCs w:val="44"/>
          <w14:ligatures w14:val="none"/>
        </w:rPr>
      </w:pPr>
      <w:r w:rsidRPr="004526FD">
        <w:rPr>
          <w:rFonts w:eastAsia="Yu Mincho" w:cs="Arial"/>
          <w:b/>
          <w:bCs/>
          <w:color w:val="77328A"/>
          <w:kern w:val="0"/>
          <w:sz w:val="44"/>
          <w:szCs w:val="44"/>
          <w14:ligatures w14:val="none"/>
        </w:rPr>
        <w:t>Contact us</w:t>
      </w:r>
    </w:p>
    <w:p w14:paraId="20DE04E7" w14:textId="77777777" w:rsidR="00792F71" w:rsidRPr="004526FD" w:rsidRDefault="00792F71" w:rsidP="00943AC6">
      <w:pPr>
        <w:widowControl w:val="0"/>
        <w:suppressAutoHyphens/>
        <w:autoSpaceDE w:val="0"/>
        <w:autoSpaceDN w:val="0"/>
        <w:adjustRightInd w:val="0"/>
        <w:jc w:val="center"/>
        <w:textAlignment w:val="center"/>
        <w:rPr>
          <w:rFonts w:eastAsia="Yu Mincho" w:cs="Arial"/>
          <w:b/>
          <w:color w:val="77328A"/>
          <w:kern w:val="0"/>
          <w:sz w:val="36"/>
          <w:szCs w:val="36"/>
          <w14:ligatures w14:val="none"/>
        </w:rPr>
      </w:pPr>
    </w:p>
    <w:p w14:paraId="006EE2FF" w14:textId="5DA3F30A" w:rsidR="00792F71" w:rsidRPr="004526FD" w:rsidRDefault="00792F71" w:rsidP="00943AC6">
      <w:pPr>
        <w:jc w:val="center"/>
        <w:rPr>
          <w:rFonts w:eastAsia="Yu Mincho" w:cs="Arial"/>
          <w:b/>
          <w:color w:val="232120"/>
          <w:kern w:val="0"/>
          <w:sz w:val="28"/>
          <w:szCs w:val="28"/>
          <w14:ligatures w14:val="none"/>
        </w:rPr>
      </w:pPr>
      <w:r w:rsidRPr="004526FD">
        <w:rPr>
          <w:rFonts w:eastAsia="Yu Mincho" w:cs="Arial"/>
          <w:b/>
          <w:color w:val="232120"/>
          <w:kern w:val="0"/>
          <w:sz w:val="28"/>
          <w:szCs w:val="28"/>
          <w14:ligatures w14:val="none"/>
        </w:rPr>
        <w:t>Please send any queries to</w:t>
      </w:r>
      <w:r w:rsidRPr="004526FD">
        <w:rPr>
          <w:rFonts w:eastAsia="Yu Mincho" w:cs="Arial"/>
          <w:b/>
          <w:kern w:val="0"/>
          <w:sz w:val="28"/>
          <w:szCs w:val="28"/>
          <w14:ligatures w14:val="none"/>
        </w:rPr>
        <w:t xml:space="preserve"> </w:t>
      </w:r>
      <w:hyperlink r:id="rId12" w:history="1">
        <w:r w:rsidR="0004522D" w:rsidRPr="004526FD">
          <w:rPr>
            <w:rStyle w:val="Hyperlink"/>
            <w:rFonts w:eastAsia="Yu Mincho" w:cs="Arial"/>
            <w:b/>
            <w:kern w:val="0"/>
            <w:sz w:val="28"/>
            <w:szCs w:val="28"/>
            <w14:ligatures w14:val="none"/>
          </w:rPr>
          <w:t>Colin.Caughey@nihrc.org</w:t>
        </w:r>
      </w:hyperlink>
      <w:r w:rsidR="0004522D" w:rsidRPr="004526FD">
        <w:rPr>
          <w:rFonts w:eastAsia="Yu Mincho" w:cs="Arial"/>
          <w:b/>
          <w:kern w:val="0"/>
          <w:sz w:val="28"/>
          <w:szCs w:val="28"/>
          <w14:ligatures w14:val="none"/>
        </w:rPr>
        <w:t xml:space="preserve"> </w:t>
      </w:r>
    </w:p>
    <w:p w14:paraId="3906F248" w14:textId="77777777" w:rsidR="00792F71" w:rsidRPr="004526FD" w:rsidRDefault="00792F71" w:rsidP="00943AC6">
      <w:pPr>
        <w:rPr>
          <w:rFonts w:eastAsia="Yu Mincho" w:cs="Arial"/>
          <w:b/>
          <w:color w:val="232120"/>
          <w:kern w:val="0"/>
          <w:sz w:val="30"/>
          <w:szCs w:val="30"/>
          <w14:ligatures w14:val="none"/>
        </w:rPr>
      </w:pPr>
    </w:p>
    <w:p w14:paraId="5A897CFD" w14:textId="77777777" w:rsidR="00792F71" w:rsidRPr="004526FD" w:rsidRDefault="00792F71" w:rsidP="00943AC6">
      <w:pPr>
        <w:jc w:val="center"/>
        <w:rPr>
          <w:rFonts w:eastAsia="Yu Mincho" w:cs="Arial"/>
          <w:b/>
          <w:color w:val="232120"/>
          <w:kern w:val="0"/>
          <w:sz w:val="30"/>
          <w:szCs w:val="30"/>
          <w14:ligatures w14:val="none"/>
        </w:rPr>
      </w:pPr>
    </w:p>
    <w:p w14:paraId="678CCA21" w14:textId="77777777" w:rsidR="00792F71" w:rsidRPr="004526FD" w:rsidRDefault="00792F71" w:rsidP="00943AC6">
      <w:pPr>
        <w:jc w:val="center"/>
        <w:rPr>
          <w:rFonts w:eastAsia="Yu Mincho" w:cs="Arial"/>
          <w:b/>
          <w:color w:val="232120"/>
          <w:kern w:val="0"/>
          <w:sz w:val="30"/>
          <w:szCs w:val="30"/>
          <w14:ligatures w14:val="none"/>
        </w:rPr>
      </w:pPr>
    </w:p>
    <w:p w14:paraId="1F333420" w14:textId="03A316BD" w:rsidR="00792F71" w:rsidRPr="004526FD" w:rsidRDefault="0004522D" w:rsidP="00943AC6">
      <w:pPr>
        <w:jc w:val="center"/>
        <w:rPr>
          <w:rFonts w:eastAsia="Yu Mincho" w:cs="Arial"/>
          <w:color w:val="232120"/>
          <w:kern w:val="0"/>
          <w:sz w:val="28"/>
          <w:szCs w:val="28"/>
          <w14:ligatures w14:val="none"/>
        </w:rPr>
      </w:pPr>
      <w:hyperlink r:id="rId13" w:history="1">
        <w:r w:rsidRPr="004526FD">
          <w:rPr>
            <w:rStyle w:val="Hyperlink"/>
            <w:rFonts w:eastAsia="Yu Mincho" w:cs="Arial"/>
            <w:kern w:val="0"/>
            <w:sz w:val="28"/>
            <w:szCs w:val="28"/>
            <w:lang w:val="en-US"/>
            <w14:ligatures w14:val="none"/>
          </w:rPr>
          <w:t>www.nihrc.org</w:t>
        </w:r>
      </w:hyperlink>
      <w:r w:rsidRPr="004526FD">
        <w:rPr>
          <w:rFonts w:eastAsia="Yu Mincho" w:cs="Arial"/>
          <w:color w:val="232120"/>
          <w:kern w:val="0"/>
          <w:sz w:val="28"/>
          <w:szCs w:val="28"/>
          <w:lang w:val="en-US"/>
          <w14:ligatures w14:val="none"/>
        </w:rPr>
        <w:t xml:space="preserve"> </w:t>
      </w:r>
      <w:r w:rsidR="00792F71" w:rsidRPr="004526FD">
        <w:rPr>
          <w:rFonts w:eastAsia="Yu Mincho" w:cs="Arial"/>
          <w:color w:val="232120"/>
          <w:kern w:val="0"/>
          <w:sz w:val="28"/>
          <w:szCs w:val="28"/>
          <w:lang w:val="en-US"/>
          <w14:ligatures w14:val="none"/>
        </w:rPr>
        <w:t xml:space="preserve"> |  </w:t>
      </w:r>
      <w:hyperlink r:id="rId14" w:history="1">
        <w:r w:rsidRPr="004526FD">
          <w:rPr>
            <w:rStyle w:val="Hyperlink"/>
            <w:rFonts w:eastAsia="Yu Mincho" w:cs="Arial"/>
            <w:kern w:val="0"/>
            <w:sz w:val="28"/>
            <w:szCs w:val="28"/>
            <w:lang w:val="en-US"/>
            <w14:ligatures w14:val="none"/>
          </w:rPr>
          <w:t>info@nihrc.org</w:t>
        </w:r>
      </w:hyperlink>
      <w:r w:rsidRPr="004526FD">
        <w:rPr>
          <w:rFonts w:eastAsia="Yu Mincho" w:cs="Arial"/>
          <w:color w:val="232120"/>
          <w:kern w:val="0"/>
          <w:sz w:val="28"/>
          <w:szCs w:val="28"/>
          <w:lang w:val="en-US"/>
          <w14:ligatures w14:val="none"/>
        </w:rPr>
        <w:t xml:space="preserve"> </w:t>
      </w:r>
      <w:r w:rsidR="00792F71" w:rsidRPr="004526FD">
        <w:rPr>
          <w:rFonts w:eastAsia="Yu Mincho" w:cs="Arial"/>
          <w:color w:val="232120"/>
          <w:kern w:val="0"/>
          <w:sz w:val="28"/>
          <w:szCs w:val="28"/>
          <w:lang w:val="en-US"/>
          <w14:ligatures w14:val="none"/>
        </w:rPr>
        <w:t xml:space="preserve">  | +44 (0)28 9024 3987</w:t>
      </w:r>
    </w:p>
    <w:p w14:paraId="0A6364D4" w14:textId="77777777" w:rsidR="00792F71" w:rsidRPr="004526FD" w:rsidRDefault="00792F71" w:rsidP="00943AC6">
      <w:pPr>
        <w:jc w:val="center"/>
        <w:rPr>
          <w:rFonts w:eastAsia="Yu Mincho" w:cs="Arial"/>
          <w:color w:val="232120"/>
          <w:kern w:val="0"/>
          <w:sz w:val="28"/>
          <w:szCs w:val="28"/>
          <w14:ligatures w14:val="none"/>
        </w:rPr>
      </w:pPr>
      <w:r w:rsidRPr="004526FD">
        <w:rPr>
          <w:rFonts w:eastAsia="Yu Mincho" w:cs="Arial"/>
          <w:color w:val="232120"/>
          <w:kern w:val="0"/>
          <w:sz w:val="28"/>
          <w:szCs w:val="28"/>
          <w:lang w:val="en-US"/>
          <w14:ligatures w14:val="none"/>
        </w:rPr>
        <w:t>4</w:t>
      </w:r>
      <w:r w:rsidRPr="004526FD">
        <w:rPr>
          <w:rFonts w:eastAsia="Yu Mincho" w:cs="Arial"/>
          <w:color w:val="232120"/>
          <w:kern w:val="0"/>
          <w:sz w:val="28"/>
          <w:szCs w:val="28"/>
          <w:vertAlign w:val="superscript"/>
          <w:lang w:val="en-US"/>
          <w14:ligatures w14:val="none"/>
        </w:rPr>
        <w:t>th</w:t>
      </w:r>
      <w:r w:rsidRPr="004526FD">
        <w:rPr>
          <w:rFonts w:eastAsia="Yu Mincho" w:cs="Arial"/>
          <w:color w:val="232120"/>
          <w:kern w:val="0"/>
          <w:sz w:val="28"/>
          <w:szCs w:val="28"/>
          <w:lang w:val="en-US"/>
          <w14:ligatures w14:val="none"/>
        </w:rPr>
        <w:t xml:space="preserve"> Floor, Alfred House, 19-21 Alfred Street, Belfast, BT2 8ED</w:t>
      </w:r>
    </w:p>
    <w:p w14:paraId="221FCB25" w14:textId="77777777" w:rsidR="00792F71" w:rsidRPr="004526FD" w:rsidRDefault="00792F71" w:rsidP="00943AC6">
      <w:pPr>
        <w:jc w:val="center"/>
        <w:rPr>
          <w:rFonts w:eastAsia="Yu Mincho" w:cs="Arial"/>
          <w:b/>
          <w:color w:val="232120"/>
          <w:kern w:val="0"/>
          <w:sz w:val="28"/>
          <w:szCs w:val="28"/>
          <w14:ligatures w14:val="none"/>
        </w:rPr>
      </w:pPr>
    </w:p>
    <w:p w14:paraId="38C111C6" w14:textId="77777777" w:rsidR="00792F71" w:rsidRPr="004526FD" w:rsidRDefault="00792F71" w:rsidP="00943AC6">
      <w:pPr>
        <w:jc w:val="center"/>
        <w:rPr>
          <w:rFonts w:eastAsia="Yu Mincho" w:cs="Arial"/>
          <w:color w:val="232120"/>
          <w:kern w:val="0"/>
          <w:sz w:val="20"/>
          <w:szCs w:val="20"/>
          <w14:ligatures w14:val="none"/>
        </w:rPr>
      </w:pPr>
    </w:p>
    <w:p w14:paraId="61D3AFC5" w14:textId="2CCE1DA5" w:rsidR="00792F71" w:rsidRPr="004526FD" w:rsidRDefault="00423A00" w:rsidP="00943AC6">
      <w:pPr>
        <w:widowControl w:val="0"/>
        <w:suppressAutoHyphens/>
        <w:autoSpaceDE w:val="0"/>
        <w:autoSpaceDN w:val="0"/>
        <w:adjustRightInd w:val="0"/>
        <w:spacing w:line="240" w:lineRule="auto"/>
        <w:jc w:val="center"/>
        <w:textAlignment w:val="center"/>
        <w:rPr>
          <w:rFonts w:eastAsia="Yu Mincho" w:cs="Arial"/>
          <w:color w:val="232120"/>
          <w:kern w:val="0"/>
          <w:sz w:val="28"/>
          <w:szCs w:val="28"/>
          <w14:ligatures w14:val="none"/>
        </w:rPr>
      </w:pPr>
      <w:r w:rsidRPr="004526FD">
        <w:rPr>
          <w:noProof/>
        </w:rPr>
        <w:drawing>
          <wp:inline distT="0" distB="0" distL="0" distR="0" wp14:anchorId="306D8637" wp14:editId="7E317933">
            <wp:extent cx="2952750" cy="400050"/>
            <wp:effectExtent l="0" t="0" r="0" b="0"/>
            <wp:docPr id="877899199" name="Picture 87789919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99199" name="Picture 877899199" descr="A black and whit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52750" cy="400050"/>
                    </a:xfrm>
                    <a:prstGeom prst="rect">
                      <a:avLst/>
                    </a:prstGeom>
                  </pic:spPr>
                </pic:pic>
              </a:graphicData>
            </a:graphic>
          </wp:inline>
        </w:drawing>
      </w:r>
    </w:p>
    <w:p w14:paraId="110B066A" w14:textId="77777777" w:rsidR="00792F71" w:rsidRPr="004526FD" w:rsidRDefault="00792F71" w:rsidP="00943AC6">
      <w:pPr>
        <w:spacing w:line="240" w:lineRule="auto"/>
        <w:rPr>
          <w:rFonts w:eastAsia="Calibri" w:cs="Times New Roman"/>
          <w:kern w:val="0"/>
          <w:sz w:val="20"/>
          <w:szCs w:val="20"/>
          <w14:ligatures w14:val="none"/>
        </w:rPr>
      </w:pPr>
    </w:p>
    <w:p w14:paraId="658BACD1" w14:textId="3751A3F3" w:rsidR="00D35646" w:rsidRPr="004526FD" w:rsidRDefault="00D35646" w:rsidP="00943AC6">
      <w:pPr>
        <w:tabs>
          <w:tab w:val="left" w:pos="2523"/>
        </w:tabs>
      </w:pPr>
    </w:p>
    <w:sectPr w:rsidR="00D35646" w:rsidRPr="004526FD" w:rsidSect="00045312">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A93E" w14:textId="77777777" w:rsidR="00A8434D" w:rsidRDefault="00A8434D" w:rsidP="008A3B93">
      <w:pPr>
        <w:spacing w:line="240" w:lineRule="auto"/>
      </w:pPr>
      <w:r>
        <w:separator/>
      </w:r>
    </w:p>
  </w:endnote>
  <w:endnote w:type="continuationSeparator" w:id="0">
    <w:p w14:paraId="6EE195DC" w14:textId="77777777" w:rsidR="00A8434D" w:rsidRDefault="00A8434D" w:rsidP="008A3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77328A"/>
        <w:sz w:val="16"/>
        <w:szCs w:val="16"/>
      </w:rPr>
      <w:id w:val="1170135296"/>
      <w:docPartObj>
        <w:docPartGallery w:val="Page Numbers (Bottom of Page)"/>
        <w:docPartUnique/>
      </w:docPartObj>
    </w:sdtPr>
    <w:sdtEndPr>
      <w:rPr>
        <w:noProof/>
      </w:rPr>
    </w:sdtEndPr>
    <w:sdtContent>
      <w:p w14:paraId="6E3AB3F3" w14:textId="7B0250B6" w:rsidR="00291061" w:rsidRPr="007708E8" w:rsidRDefault="00291061">
        <w:pPr>
          <w:pStyle w:val="Footer"/>
          <w:jc w:val="right"/>
          <w:rPr>
            <w:b/>
            <w:bCs/>
            <w:color w:val="77328A"/>
            <w:sz w:val="16"/>
            <w:szCs w:val="16"/>
          </w:rPr>
        </w:pPr>
        <w:r w:rsidRPr="00B73F64">
          <w:rPr>
            <w:color w:val="77328A"/>
          </w:rPr>
          <w:fldChar w:fldCharType="begin"/>
        </w:r>
        <w:r w:rsidRPr="00B73F64">
          <w:rPr>
            <w:color w:val="77328A"/>
          </w:rPr>
          <w:instrText xml:space="preserve"> PAGE   \* MERGEFORMAT </w:instrText>
        </w:r>
        <w:r w:rsidRPr="00B73F64">
          <w:rPr>
            <w:color w:val="77328A"/>
          </w:rPr>
          <w:fldChar w:fldCharType="separate"/>
        </w:r>
        <w:r w:rsidRPr="00B73F64">
          <w:rPr>
            <w:noProof/>
            <w:color w:val="77328A"/>
          </w:rPr>
          <w:t>2</w:t>
        </w:r>
        <w:r w:rsidRPr="00B73F64">
          <w:rPr>
            <w:noProof/>
            <w:color w:val="77328A"/>
          </w:rPr>
          <w:fldChar w:fldCharType="end"/>
        </w:r>
      </w:p>
    </w:sdtContent>
  </w:sdt>
  <w:p w14:paraId="1B626D9A" w14:textId="77777777" w:rsidR="00291061" w:rsidRPr="007708E8" w:rsidRDefault="00291061">
    <w:pPr>
      <w:pStyle w:val="Footer"/>
      <w:rPr>
        <w:b/>
        <w:bCs/>
        <w:color w:val="77328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7A9E" w14:textId="77777777" w:rsidR="00A8434D" w:rsidRDefault="00A8434D" w:rsidP="008A3B93">
      <w:pPr>
        <w:spacing w:line="240" w:lineRule="auto"/>
      </w:pPr>
      <w:r>
        <w:separator/>
      </w:r>
    </w:p>
  </w:footnote>
  <w:footnote w:type="continuationSeparator" w:id="0">
    <w:p w14:paraId="46DC6D6F" w14:textId="77777777" w:rsidR="00A8434D" w:rsidRDefault="00A8434D" w:rsidP="008A3B93">
      <w:pPr>
        <w:spacing w:line="240" w:lineRule="auto"/>
      </w:pPr>
      <w:r>
        <w:continuationSeparator/>
      </w:r>
    </w:p>
  </w:footnote>
  <w:footnote w:id="1">
    <w:p w14:paraId="30728DD4" w14:textId="77777777" w:rsidR="008A3B93" w:rsidRPr="00C80B36" w:rsidRDefault="008A3B93" w:rsidP="009B3DC1">
      <w:pPr>
        <w:pStyle w:val="NIHRCFootnotes"/>
      </w:pPr>
      <w:r w:rsidRPr="00C80B36">
        <w:rPr>
          <w:rStyle w:val="FootnoteReference"/>
        </w:rPr>
        <w:footnoteRef/>
      </w:r>
      <w:r w:rsidRPr="00C80B36">
        <w:t xml:space="preserve"> Ratified by the UK in 1951.</w:t>
      </w:r>
    </w:p>
  </w:footnote>
  <w:footnote w:id="2">
    <w:p w14:paraId="55EA5BD8" w14:textId="0AED40CB" w:rsidR="008F138D" w:rsidRDefault="008F138D" w:rsidP="009B3DC1">
      <w:pPr>
        <w:pStyle w:val="NIHRCFootnotes"/>
      </w:pPr>
      <w:r>
        <w:rPr>
          <w:rStyle w:val="FootnoteReference"/>
        </w:rPr>
        <w:footnoteRef/>
      </w:r>
      <w:r>
        <w:t xml:space="preserve"> </w:t>
      </w:r>
      <w:r w:rsidR="00C8714D">
        <w:t>Ratified by the UK in 1969.</w:t>
      </w:r>
    </w:p>
  </w:footnote>
  <w:footnote w:id="3">
    <w:p w14:paraId="35B7DBE7" w14:textId="77777777" w:rsidR="008A3B93" w:rsidRPr="00C80B36" w:rsidRDefault="008A3B93" w:rsidP="009B3DC1">
      <w:pPr>
        <w:pStyle w:val="NIHRCFootnotes"/>
      </w:pPr>
      <w:r w:rsidRPr="00C80B36">
        <w:rPr>
          <w:rStyle w:val="FootnoteReference"/>
        </w:rPr>
        <w:footnoteRef/>
      </w:r>
      <w:r w:rsidRPr="00C80B36">
        <w:t xml:space="preserve"> Ratified by the UK in 1966.  </w:t>
      </w:r>
    </w:p>
  </w:footnote>
  <w:footnote w:id="4">
    <w:p w14:paraId="697BF73F" w14:textId="77777777" w:rsidR="008A3B93" w:rsidRPr="00C80B36" w:rsidRDefault="008A3B93" w:rsidP="009B3DC1">
      <w:pPr>
        <w:pStyle w:val="NIHRCFootnotes"/>
      </w:pPr>
      <w:r w:rsidRPr="00C80B36">
        <w:rPr>
          <w:rStyle w:val="FootnoteReference"/>
        </w:rPr>
        <w:footnoteRef/>
      </w:r>
      <w:r w:rsidRPr="00C80B36">
        <w:t xml:space="preserve"> Ratified by the UK in 1986.</w:t>
      </w:r>
    </w:p>
  </w:footnote>
  <w:footnote w:id="5">
    <w:p w14:paraId="53C90CEB" w14:textId="77777777" w:rsidR="008A3B93" w:rsidRPr="00C80B36" w:rsidRDefault="008A3B93" w:rsidP="009B3DC1">
      <w:pPr>
        <w:pStyle w:val="NIHRCFootnotes"/>
      </w:pPr>
      <w:r w:rsidRPr="00C80B36">
        <w:rPr>
          <w:rStyle w:val="FootnoteReference"/>
        </w:rPr>
        <w:footnoteRef/>
      </w:r>
      <w:r w:rsidRPr="00C80B36">
        <w:t xml:space="preserve"> Ratified by the UK in 1988.</w:t>
      </w:r>
    </w:p>
  </w:footnote>
  <w:footnote w:id="6">
    <w:p w14:paraId="630175D3" w14:textId="77777777" w:rsidR="008A3B93" w:rsidRPr="00C80B36" w:rsidRDefault="008A3B93" w:rsidP="009B3DC1">
      <w:pPr>
        <w:pStyle w:val="NIHRCFootnotes"/>
      </w:pPr>
      <w:r w:rsidRPr="00C80B36">
        <w:rPr>
          <w:rStyle w:val="FootnoteReference"/>
        </w:rPr>
        <w:footnoteRef/>
      </w:r>
      <w:r w:rsidRPr="00C80B36">
        <w:t xml:space="preserve"> Ratified by the UK in 1989.</w:t>
      </w:r>
    </w:p>
  </w:footnote>
  <w:footnote w:id="7">
    <w:p w14:paraId="78A0B48D" w14:textId="77777777" w:rsidR="006F29F8" w:rsidRPr="00C80B36" w:rsidRDefault="006F29F8" w:rsidP="009B3DC1">
      <w:pPr>
        <w:pStyle w:val="NIHRCFootnotes"/>
      </w:pPr>
      <w:r w:rsidRPr="00C80B36">
        <w:rPr>
          <w:rStyle w:val="FootnoteReference"/>
        </w:rPr>
        <w:footnoteRef/>
      </w:r>
      <w:r w:rsidRPr="00C80B36">
        <w:t xml:space="preserve"> Ratified by the UK in 2011.</w:t>
      </w:r>
    </w:p>
  </w:footnote>
  <w:footnote w:id="8">
    <w:p w14:paraId="4AC10BDB" w14:textId="2BC3A1D3" w:rsidR="00582522" w:rsidRDefault="00582522" w:rsidP="009B3DC1">
      <w:pPr>
        <w:pStyle w:val="NIHRCFootnotes"/>
      </w:pPr>
      <w:r>
        <w:rPr>
          <w:rStyle w:val="FootnoteReference"/>
        </w:rPr>
        <w:footnoteRef/>
      </w:r>
      <w:r>
        <w:t xml:space="preserve"> </w:t>
      </w:r>
      <w:r w:rsidR="00B13AE8">
        <w:t>Ratified by the UK in 2009.</w:t>
      </w:r>
    </w:p>
  </w:footnote>
  <w:footnote w:id="9">
    <w:p w14:paraId="4A12136B" w14:textId="77777777" w:rsidR="008A3B93" w:rsidRPr="00C80B36" w:rsidRDefault="008A3B93" w:rsidP="009B3DC1">
      <w:pPr>
        <w:pStyle w:val="NIHRCFootnotes"/>
      </w:pPr>
      <w:r w:rsidRPr="00C80B36">
        <w:rPr>
          <w:rStyle w:val="FootnoteReference"/>
        </w:rPr>
        <w:footnoteRef/>
      </w:r>
      <w:r w:rsidRPr="00C80B36">
        <w:t xml:space="preserve"> Ratified by the UK in 2022.</w:t>
      </w:r>
    </w:p>
  </w:footnote>
  <w:footnote w:id="10">
    <w:p w14:paraId="695094F9" w14:textId="642AEAB0" w:rsidR="008A3B93" w:rsidRPr="00C80B36" w:rsidRDefault="008A3B93" w:rsidP="009B3DC1">
      <w:pPr>
        <w:pStyle w:val="NIHRCFootnotes"/>
      </w:pPr>
      <w:r w:rsidRPr="00C80B36">
        <w:rPr>
          <w:rStyle w:val="FootnoteReference"/>
        </w:rPr>
        <w:footnoteRef/>
      </w:r>
      <w:r w:rsidRPr="00C80B36">
        <w:t xml:space="preserve"> The UK signed the Council of Europe Framework Convention on Artificial Intelligence on 5 September 2024 but has yet to ratify it. </w:t>
      </w:r>
    </w:p>
  </w:footnote>
  <w:footnote w:id="11">
    <w:p w14:paraId="0ADF4826" w14:textId="77777777" w:rsidR="003A5BF5" w:rsidRPr="000D1367" w:rsidRDefault="003A5BF5" w:rsidP="009B3DC1">
      <w:pPr>
        <w:pStyle w:val="NIHRCFootnotes"/>
      </w:pPr>
      <w:r w:rsidRPr="000D1367">
        <w:rPr>
          <w:rStyle w:val="FootnoteReference"/>
        </w:rPr>
        <w:footnoteRef/>
      </w:r>
      <w:r w:rsidRPr="000D1367">
        <w:t xml:space="preserve"> UN Declaration of Basic Principles of Justice for Victims of Crime and Abuse of Power, 29 November 1985.</w:t>
      </w:r>
    </w:p>
  </w:footnote>
  <w:footnote w:id="12">
    <w:p w14:paraId="43D7AA94" w14:textId="6AA02289" w:rsidR="00CD0AA6" w:rsidRPr="000D1367" w:rsidRDefault="00CD0AA6" w:rsidP="009B3DC1">
      <w:pPr>
        <w:pStyle w:val="NIHRCFootnotes"/>
      </w:pPr>
      <w:r w:rsidRPr="000D1367">
        <w:rPr>
          <w:rStyle w:val="FootnoteReference"/>
        </w:rPr>
        <w:footnoteRef/>
      </w:r>
      <w:r w:rsidRPr="000D1367">
        <w:t xml:space="preserve"> UN General Assembly, ‘Declaration on the Elimination of Violence </w:t>
      </w:r>
      <w:r w:rsidR="00321276">
        <w:t>A</w:t>
      </w:r>
      <w:r w:rsidRPr="000D1367">
        <w:t>gainst Women’, 20 December 1993.</w:t>
      </w:r>
    </w:p>
  </w:footnote>
  <w:footnote w:id="13">
    <w:p w14:paraId="50EFE479" w14:textId="77777777" w:rsidR="00C97D90" w:rsidRPr="000D1367" w:rsidRDefault="00C97D90" w:rsidP="009B3DC1">
      <w:pPr>
        <w:pStyle w:val="NIHRCFootnotes"/>
      </w:pPr>
      <w:r w:rsidRPr="000D1367">
        <w:rPr>
          <w:rStyle w:val="FootnoteReference"/>
        </w:rPr>
        <w:footnoteRef/>
      </w:r>
      <w:r w:rsidRPr="000D1367">
        <w:t xml:space="preserve"> A/52/38, ‘UN CEDAW Committee General Recommendation No 23: Political and Public Life’, 1997.</w:t>
      </w:r>
    </w:p>
  </w:footnote>
  <w:footnote w:id="14">
    <w:p w14:paraId="16D52F5B" w14:textId="77777777" w:rsidR="00CD0AA6" w:rsidRPr="000D1367" w:rsidRDefault="00CD0AA6" w:rsidP="009B3DC1">
      <w:pPr>
        <w:pStyle w:val="NIHRCFootnotes"/>
      </w:pPr>
      <w:r w:rsidRPr="000D1367">
        <w:rPr>
          <w:rStyle w:val="FootnoteReference"/>
        </w:rPr>
        <w:footnoteRef/>
      </w:r>
      <w:r w:rsidRPr="000D1367">
        <w:t xml:space="preserve"> E/CN.4/1997/47, ‘Report of the UN Special Rapporteur on Violence Against Women, Its Causes and Consequences, Ms Radhika Coomaraswamy’, 12 February 1997, at para 22.</w:t>
      </w:r>
    </w:p>
  </w:footnote>
  <w:footnote w:id="15">
    <w:p w14:paraId="7F6CAA68" w14:textId="77777777" w:rsidR="009540F6" w:rsidRPr="000D1367" w:rsidRDefault="009540F6" w:rsidP="009B3DC1">
      <w:pPr>
        <w:pStyle w:val="NIHRCFootnotes"/>
      </w:pPr>
      <w:r w:rsidRPr="000D1367">
        <w:rPr>
          <w:rStyle w:val="FootnoteReference"/>
        </w:rPr>
        <w:footnoteRef/>
      </w:r>
      <w:r w:rsidRPr="000D1367">
        <w:t xml:space="preserve"> UN General Assembly, ‘UN Basic Principles and Guidelines on the Right to a Remedy and Reparation for Victims of Gross Violations of International Human Rights Law and Serious Violations of International Humanitarian Law’, 16 December 2005.</w:t>
      </w:r>
    </w:p>
  </w:footnote>
  <w:footnote w:id="16">
    <w:p w14:paraId="02FC8162" w14:textId="1AE6890A" w:rsidR="003A5BF5" w:rsidRPr="000D1367" w:rsidRDefault="003A5BF5" w:rsidP="009B3DC1">
      <w:pPr>
        <w:pStyle w:val="NIHRCFootnotes"/>
      </w:pPr>
      <w:r w:rsidRPr="000D1367">
        <w:rPr>
          <w:rStyle w:val="FootnoteReference"/>
        </w:rPr>
        <w:footnoteRef/>
      </w:r>
      <w:r w:rsidRPr="000D1367">
        <w:t xml:space="preserve"> CCPR/C/GC/32, ‘UN Human Rights Committee General Comment No 32: Right to Equality Before the Courts and Tribunals and to a Fair Trial’, 23 August 2007.</w:t>
      </w:r>
    </w:p>
  </w:footnote>
  <w:footnote w:id="17">
    <w:p w14:paraId="34F85306" w14:textId="77777777" w:rsidR="009959FF" w:rsidRPr="00C80B36" w:rsidRDefault="009959FF" w:rsidP="009B3DC1">
      <w:pPr>
        <w:pStyle w:val="NIHRCFootnotes"/>
      </w:pPr>
      <w:r w:rsidRPr="00C80B36">
        <w:rPr>
          <w:rStyle w:val="FootnoteReference"/>
        </w:rPr>
        <w:footnoteRef/>
      </w:r>
      <w:r w:rsidRPr="00C80B36">
        <w:t xml:space="preserve"> Office of the High Commissioner for Human Rights, ‘Guiding Principles on Business and Human Rights: Implementing the United Nations “Protect, Respect and Remedy” Framework’ (OHCHR, 2011).</w:t>
      </w:r>
    </w:p>
  </w:footnote>
  <w:footnote w:id="18">
    <w:p w14:paraId="1C062A69" w14:textId="77777777" w:rsidR="002A698C" w:rsidRDefault="002A698C" w:rsidP="009B3DC1">
      <w:pPr>
        <w:pStyle w:val="NIHRCFootnotes"/>
      </w:pPr>
      <w:r w:rsidRPr="000D1367">
        <w:rPr>
          <w:rStyle w:val="FootnoteReference"/>
        </w:rPr>
        <w:footnoteRef/>
      </w:r>
      <w:r w:rsidRPr="000D1367">
        <w:t xml:space="preserve"> </w:t>
      </w:r>
      <w:r w:rsidRPr="00C80B36">
        <w:t>CAT/C/GC/3, ‘UN CAT Committee General Comment No 3: Implementation of Article 14 by States Parties’, 13 December 2012</w:t>
      </w:r>
      <w:r>
        <w:t>.</w:t>
      </w:r>
    </w:p>
  </w:footnote>
  <w:footnote w:id="19">
    <w:p w14:paraId="54C5E927" w14:textId="77885FE3" w:rsidR="00EB1299" w:rsidRPr="00C80B36" w:rsidRDefault="00EB1299" w:rsidP="009B3DC1">
      <w:pPr>
        <w:pStyle w:val="NIHRCFootnotes"/>
      </w:pPr>
      <w:r w:rsidRPr="00C80B36">
        <w:rPr>
          <w:rStyle w:val="FootnoteReference"/>
        </w:rPr>
        <w:footnoteRef/>
      </w:r>
      <w:r w:rsidRPr="00C80B36">
        <w:t xml:space="preserve"> CRC/C/GC/14, ‘UN CRC Committee General Comment No 14: Right of the Child to Have His or Her Best Interests Taken as a Primary Consideration</w:t>
      </w:r>
      <w:r w:rsidR="003B0EEF">
        <w:t>’</w:t>
      </w:r>
      <w:r w:rsidRPr="00C80B36">
        <w:t>, 29 May 2013.</w:t>
      </w:r>
    </w:p>
  </w:footnote>
  <w:footnote w:id="20">
    <w:p w14:paraId="4CED2573" w14:textId="689C2EF5" w:rsidR="003A5BF5" w:rsidRPr="000D1367" w:rsidRDefault="003A5BF5" w:rsidP="009B3DC1">
      <w:pPr>
        <w:pStyle w:val="NIHRCFootnotes"/>
      </w:pPr>
      <w:r w:rsidRPr="000D1367">
        <w:rPr>
          <w:rStyle w:val="FootnoteReference"/>
        </w:rPr>
        <w:footnoteRef/>
      </w:r>
      <w:r w:rsidRPr="000D1367">
        <w:t xml:space="preserve"> CCPR/C/GC/35, ‘</w:t>
      </w:r>
      <w:r w:rsidR="00837208">
        <w:t xml:space="preserve">UN </w:t>
      </w:r>
      <w:r w:rsidRPr="000D1367">
        <w:t>Human Rights Committee General Comment No</w:t>
      </w:r>
      <w:r w:rsidR="003B0EEF">
        <w:t xml:space="preserve"> 35: </w:t>
      </w:r>
      <w:r w:rsidRPr="000D1367">
        <w:t xml:space="preserve">Liberty and </w:t>
      </w:r>
      <w:r w:rsidR="003B0EEF">
        <w:t>S</w:t>
      </w:r>
      <w:r w:rsidRPr="000D1367">
        <w:t xml:space="preserve">ecurity of </w:t>
      </w:r>
      <w:r w:rsidR="003B0EEF">
        <w:t>P</w:t>
      </w:r>
      <w:r w:rsidRPr="000D1367">
        <w:t>erson’, 16 December 2014.</w:t>
      </w:r>
    </w:p>
  </w:footnote>
  <w:footnote w:id="21">
    <w:p w14:paraId="7C5150FA" w14:textId="77777777" w:rsidR="00C97D90" w:rsidRPr="000D1367" w:rsidRDefault="00C97D90" w:rsidP="009B3DC1">
      <w:pPr>
        <w:pStyle w:val="NIHRCFootnotes"/>
      </w:pPr>
      <w:r w:rsidRPr="000D1367">
        <w:rPr>
          <w:rStyle w:val="FootnoteReference"/>
        </w:rPr>
        <w:footnoteRef/>
      </w:r>
      <w:r w:rsidRPr="000D1367">
        <w:t xml:space="preserve"> CEDAW/C/GC/35, ‘UN CEDAW Committee General Recommendation No 35: Gender-based Violence Against Women, Updating General Recommendation No 19’, 26 July 2017.</w:t>
      </w:r>
    </w:p>
  </w:footnote>
  <w:footnote w:id="22">
    <w:p w14:paraId="2FCFCF96" w14:textId="77777777" w:rsidR="005B3B96" w:rsidRPr="000D1367" w:rsidRDefault="005B3B96" w:rsidP="009B3DC1">
      <w:pPr>
        <w:pStyle w:val="NIHRCFootnotes"/>
      </w:pPr>
      <w:r w:rsidRPr="000D1367">
        <w:rPr>
          <w:rStyle w:val="FootnoteReference"/>
        </w:rPr>
        <w:footnoteRef/>
      </w:r>
      <w:r w:rsidRPr="000D1367">
        <w:t xml:space="preserve"> CEDAW/C/GBR/CO/8, ‘UN CEDAW Committee Concluding Observations on the UK Eighth Periodic Report’, 8 March 2019.</w:t>
      </w:r>
    </w:p>
  </w:footnote>
  <w:footnote w:id="23">
    <w:p w14:paraId="0A66D809" w14:textId="77777777" w:rsidR="00EB1299" w:rsidRPr="00C80B36" w:rsidRDefault="00EB1299" w:rsidP="009B3DC1">
      <w:pPr>
        <w:pStyle w:val="NIHRCFootnotes"/>
      </w:pPr>
      <w:r w:rsidRPr="00C80B36">
        <w:rPr>
          <w:rStyle w:val="FootnoteReference"/>
        </w:rPr>
        <w:footnoteRef/>
      </w:r>
      <w:r w:rsidRPr="00C80B36">
        <w:t xml:space="preserve"> CAT/C/GBR/CO/6, ‘UN CAT Committee Concluding Observations on the Sixth Periodic Report of the UK of Great Britain and NI’, 7 June 2019.</w:t>
      </w:r>
    </w:p>
  </w:footnote>
  <w:footnote w:id="24">
    <w:p w14:paraId="5AA058DF" w14:textId="7BC77A2F" w:rsidR="00C97D90" w:rsidRPr="000D1367" w:rsidRDefault="00C97D90" w:rsidP="009B3DC1">
      <w:pPr>
        <w:pStyle w:val="NIHRCFootnotes"/>
      </w:pPr>
      <w:r w:rsidRPr="000D1367">
        <w:rPr>
          <w:rStyle w:val="FootnoteReference"/>
        </w:rPr>
        <w:footnoteRef/>
      </w:r>
      <w:r w:rsidRPr="000D1367">
        <w:t xml:space="preserve"> </w:t>
      </w:r>
      <w:r w:rsidRPr="000D1367">
        <w:t>GREVIO(2021)20, ‘</w:t>
      </w:r>
      <w:r w:rsidR="008529E2">
        <w:t xml:space="preserve">CoE </w:t>
      </w:r>
      <w:r w:rsidRPr="000D1367">
        <w:t>GREVIO</w:t>
      </w:r>
      <w:r w:rsidR="008529E2">
        <w:t xml:space="preserve"> Committee</w:t>
      </w:r>
      <w:r w:rsidRPr="000D1367">
        <w:t xml:space="preserve"> General Recommendation No</w:t>
      </w:r>
      <w:r w:rsidR="008529E2">
        <w:t xml:space="preserve"> </w:t>
      </w:r>
      <w:r w:rsidRPr="000D1367">
        <w:t>1</w:t>
      </w:r>
      <w:r w:rsidR="008529E2">
        <w:t>:</w:t>
      </w:r>
      <w:r w:rsidRPr="000D1367">
        <w:t xml:space="preserve"> </w:t>
      </w:r>
      <w:r w:rsidR="008529E2">
        <w:t>D</w:t>
      </w:r>
      <w:r w:rsidRPr="000D1367">
        <w:t xml:space="preserve">igital </w:t>
      </w:r>
      <w:r w:rsidR="008529E2">
        <w:t>D</w:t>
      </w:r>
      <w:r w:rsidRPr="000D1367">
        <w:t xml:space="preserve">imension of </w:t>
      </w:r>
      <w:r w:rsidR="008529E2">
        <w:t>V</w:t>
      </w:r>
      <w:r w:rsidRPr="000D1367">
        <w:t xml:space="preserve">iolence </w:t>
      </w:r>
      <w:r w:rsidR="008529E2">
        <w:t>A</w:t>
      </w:r>
      <w:r w:rsidRPr="000D1367">
        <w:t xml:space="preserve">gainst </w:t>
      </w:r>
      <w:r w:rsidR="008529E2">
        <w:t>W</w:t>
      </w:r>
      <w:r w:rsidRPr="000D1367">
        <w:t>omen’ (GREVIO, 2021).</w:t>
      </w:r>
    </w:p>
  </w:footnote>
  <w:footnote w:id="25">
    <w:p w14:paraId="4156CFF5" w14:textId="0B6DFFC0" w:rsidR="00CD0AA6" w:rsidRPr="000D1367" w:rsidRDefault="00CD0AA6" w:rsidP="009B3DC1">
      <w:pPr>
        <w:pStyle w:val="NIHRCFootnotes"/>
      </w:pPr>
      <w:r w:rsidRPr="000D1367">
        <w:rPr>
          <w:rStyle w:val="FootnoteReference"/>
        </w:rPr>
        <w:footnoteRef/>
      </w:r>
      <w:r w:rsidRPr="000D1367">
        <w:t xml:space="preserve">  A/RES/79/152, ‘UN General Assembly Resolution</w:t>
      </w:r>
      <w:r w:rsidR="001A314A">
        <w:t xml:space="preserve"> on</w:t>
      </w:r>
      <w:r w:rsidRPr="000D1367">
        <w:t xml:space="preserve"> Intensification of </w:t>
      </w:r>
      <w:r w:rsidR="001A314A">
        <w:t>E</w:t>
      </w:r>
      <w:r w:rsidRPr="000D1367">
        <w:t xml:space="preserve">fforts to </w:t>
      </w:r>
      <w:r w:rsidR="001A314A">
        <w:t>P</w:t>
      </w:r>
      <w:r w:rsidRPr="000D1367">
        <w:t xml:space="preserve">revent and </w:t>
      </w:r>
      <w:r w:rsidR="001A314A">
        <w:t>E</w:t>
      </w:r>
      <w:r w:rsidRPr="000D1367">
        <w:t xml:space="preserve">liminate </w:t>
      </w:r>
      <w:r w:rsidR="001A314A">
        <w:t>A</w:t>
      </w:r>
      <w:r w:rsidRPr="000D1367">
        <w:t xml:space="preserve">ll </w:t>
      </w:r>
      <w:r w:rsidR="001A314A">
        <w:t>F</w:t>
      </w:r>
      <w:r w:rsidRPr="000D1367">
        <w:t xml:space="preserve">orms of </w:t>
      </w:r>
      <w:r w:rsidR="001A314A">
        <w:t>V</w:t>
      </w:r>
      <w:r w:rsidRPr="000D1367">
        <w:t xml:space="preserve">iolence </w:t>
      </w:r>
      <w:r w:rsidR="001A314A">
        <w:t>A</w:t>
      </w:r>
      <w:r w:rsidRPr="000D1367">
        <w:t xml:space="preserve">gainst </w:t>
      </w:r>
      <w:r w:rsidR="001A314A">
        <w:t>W</w:t>
      </w:r>
      <w:r w:rsidRPr="000D1367">
        <w:t xml:space="preserve">omen and </w:t>
      </w:r>
      <w:r w:rsidR="001A314A">
        <w:t>G</w:t>
      </w:r>
      <w:r w:rsidRPr="000D1367">
        <w:t xml:space="preserve">irls: </w:t>
      </w:r>
      <w:r w:rsidR="001A314A">
        <w:t>T</w:t>
      </w:r>
      <w:r w:rsidRPr="000D1367">
        <w:t xml:space="preserve">he </w:t>
      </w:r>
      <w:r w:rsidR="001A314A">
        <w:t>D</w:t>
      </w:r>
      <w:r w:rsidRPr="000D1367">
        <w:t xml:space="preserve">igital </w:t>
      </w:r>
      <w:r w:rsidR="001A314A">
        <w:t>E</w:t>
      </w:r>
      <w:r w:rsidRPr="000D1367">
        <w:t>nvironment’, 17 December 2024.</w:t>
      </w:r>
    </w:p>
  </w:footnote>
  <w:footnote w:id="26">
    <w:p w14:paraId="68D7D84C" w14:textId="21840FC7" w:rsidR="00173EC5" w:rsidRPr="00C80B36" w:rsidRDefault="00173EC5" w:rsidP="009B3DC1">
      <w:pPr>
        <w:pStyle w:val="NIHRCFootnotes"/>
      </w:pPr>
      <w:r w:rsidRPr="00C80B36">
        <w:rPr>
          <w:rStyle w:val="FootnoteReference"/>
        </w:rPr>
        <w:footnoteRef/>
      </w:r>
      <w:r w:rsidRPr="00C80B36">
        <w:t xml:space="preserve"> A/HRC/59/53, ‘</w:t>
      </w:r>
      <w:r w:rsidR="00D14EDE">
        <w:t>UN</w:t>
      </w:r>
      <w:r w:rsidRPr="00C80B36">
        <w:t xml:space="preserve"> Working Group on Business and Human Rights Artificial </w:t>
      </w:r>
      <w:r w:rsidR="00D14EDE">
        <w:t>I</w:t>
      </w:r>
      <w:r w:rsidRPr="00C80B36">
        <w:t xml:space="preserve">ntelligence </w:t>
      </w:r>
      <w:r w:rsidR="00D14EDE">
        <w:t>P</w:t>
      </w:r>
      <w:r w:rsidRPr="00C80B36">
        <w:t xml:space="preserve">rocurement and </w:t>
      </w:r>
      <w:r w:rsidR="00D14EDE">
        <w:t>D</w:t>
      </w:r>
      <w:r w:rsidRPr="00C80B36">
        <w:t xml:space="preserve">eployment: </w:t>
      </w:r>
      <w:r w:rsidR="00D14EDE">
        <w:t>E</w:t>
      </w:r>
      <w:r w:rsidRPr="00C80B36">
        <w:t xml:space="preserve">nsuring </w:t>
      </w:r>
      <w:r w:rsidR="00D14EDE">
        <w:t>A</w:t>
      </w:r>
      <w:r w:rsidRPr="00C80B36">
        <w:t xml:space="preserve">lignment with the Guiding Principles on Business and Human Rights - Report of the Working Group on the </w:t>
      </w:r>
      <w:r w:rsidR="00D14EDE">
        <w:t>I</w:t>
      </w:r>
      <w:r w:rsidRPr="00C80B36">
        <w:t xml:space="preserve">ssue of </w:t>
      </w:r>
      <w:r w:rsidR="00D14EDE">
        <w:t>H</w:t>
      </w:r>
      <w:r w:rsidRPr="00C80B36">
        <w:t xml:space="preserve">uman </w:t>
      </w:r>
      <w:r w:rsidR="00D14EDE">
        <w:t>R</w:t>
      </w:r>
      <w:r w:rsidRPr="00C80B36">
        <w:t xml:space="preserve">ights and </w:t>
      </w:r>
      <w:r w:rsidR="00D14EDE">
        <w:t>T</w:t>
      </w:r>
      <w:r w:rsidRPr="00C80B36">
        <w:t xml:space="preserve">ransnational </w:t>
      </w:r>
      <w:r w:rsidR="00D14EDE">
        <w:t>C</w:t>
      </w:r>
      <w:r w:rsidRPr="00C80B36">
        <w:t xml:space="preserve">orporations and </w:t>
      </w:r>
      <w:r w:rsidR="00D14EDE">
        <w:t>O</w:t>
      </w:r>
      <w:r w:rsidRPr="00C80B36">
        <w:t xml:space="preserve">ther </w:t>
      </w:r>
      <w:r w:rsidR="00D14EDE">
        <w:t>B</w:t>
      </w:r>
      <w:r w:rsidRPr="00C80B36">
        <w:t xml:space="preserve">usiness </w:t>
      </w:r>
      <w:r w:rsidR="00D14EDE">
        <w:t>E</w:t>
      </w:r>
      <w:r w:rsidRPr="00C80B36">
        <w:t xml:space="preserve">nterprises’ (OHCHR, 2025). </w:t>
      </w:r>
    </w:p>
  </w:footnote>
  <w:footnote w:id="27">
    <w:p w14:paraId="1ADD0712" w14:textId="78662230" w:rsidR="001426A0" w:rsidRDefault="001426A0" w:rsidP="009B3DC1">
      <w:pPr>
        <w:pStyle w:val="NIHRCFootnotes"/>
      </w:pPr>
      <w:r>
        <w:rPr>
          <w:rStyle w:val="FootnoteReference"/>
        </w:rPr>
        <w:footnoteRef/>
      </w:r>
      <w:r>
        <w:t xml:space="preserve"> </w:t>
      </w:r>
      <w:r w:rsidRPr="00C80B36">
        <w:t>Department of Justice, ‘A Consultation on Proposals to Criminalise Sexually Explicit Deepfake Images’ (DoJ, 2025)</w:t>
      </w:r>
      <w:r>
        <w:t>.</w:t>
      </w:r>
    </w:p>
  </w:footnote>
  <w:footnote w:id="28">
    <w:p w14:paraId="5EF9EF20" w14:textId="31337142" w:rsidR="001426A0" w:rsidRDefault="001426A0" w:rsidP="009B3DC1">
      <w:pPr>
        <w:pStyle w:val="NIHRCFootnotes"/>
      </w:pPr>
      <w:r>
        <w:rPr>
          <w:rStyle w:val="FootnoteReference"/>
        </w:rPr>
        <w:footnoteRef/>
      </w:r>
      <w:r>
        <w:t xml:space="preserve"> </w:t>
      </w:r>
      <w:r w:rsidR="00FA3BD6">
        <w:t>Ibid</w:t>
      </w:r>
      <w:r>
        <w:t>.</w:t>
      </w:r>
    </w:p>
  </w:footnote>
  <w:footnote w:id="29">
    <w:p w14:paraId="165E3A1B" w14:textId="1CD38E20" w:rsidR="00B85BDE" w:rsidRPr="00C80B36" w:rsidRDefault="00B85BDE" w:rsidP="009B3DC1">
      <w:pPr>
        <w:pStyle w:val="NIHRCFootnotes"/>
      </w:pPr>
      <w:r w:rsidRPr="00C80B36">
        <w:rPr>
          <w:rStyle w:val="FootnoteReference"/>
        </w:rPr>
        <w:footnoteRef/>
      </w:r>
      <w:r w:rsidRPr="00C80B36">
        <w:t xml:space="preserve"> </w:t>
      </w:r>
      <w:r w:rsidR="00482CFA">
        <w:t xml:space="preserve">See also </w:t>
      </w:r>
      <w:r w:rsidR="00F8103D" w:rsidRPr="00C80B36">
        <w:t>Article 17</w:t>
      </w:r>
      <w:r w:rsidR="00482CFA">
        <w:t xml:space="preserve">, </w:t>
      </w:r>
      <w:r w:rsidR="00F8103D" w:rsidRPr="00C80B36">
        <w:t>UN ICCPR</w:t>
      </w:r>
      <w:r w:rsidR="003C7FAC" w:rsidRPr="00C80B36">
        <w:t xml:space="preserve">; </w:t>
      </w:r>
      <w:r w:rsidR="00B7202C" w:rsidRPr="00C80B36">
        <w:t>Article 22</w:t>
      </w:r>
      <w:r w:rsidR="00482CFA">
        <w:t>,</w:t>
      </w:r>
      <w:r w:rsidR="00B7202C" w:rsidRPr="00C80B36">
        <w:t xml:space="preserve"> </w:t>
      </w:r>
      <w:r w:rsidR="002F5452" w:rsidRPr="00C80B36">
        <w:t>UN CRPD</w:t>
      </w:r>
      <w:r w:rsidR="00482CFA">
        <w:t>;</w:t>
      </w:r>
      <w:r w:rsidR="00BE00B6" w:rsidRPr="00C80B36">
        <w:t xml:space="preserve"> Article 16</w:t>
      </w:r>
      <w:r w:rsidR="00482CFA">
        <w:t>,</w:t>
      </w:r>
      <w:r w:rsidR="00BE00B6" w:rsidRPr="00C80B36">
        <w:t xml:space="preserve"> UN CRC</w:t>
      </w:r>
      <w:r w:rsidR="00F8103D" w:rsidRPr="00C80B36">
        <w:t xml:space="preserve">. </w:t>
      </w:r>
      <w:r w:rsidRPr="00C80B36">
        <w:t xml:space="preserve"> </w:t>
      </w:r>
    </w:p>
  </w:footnote>
  <w:footnote w:id="30">
    <w:p w14:paraId="725AEE48" w14:textId="425BCF6F" w:rsidR="00057C3C" w:rsidRPr="00C80B36" w:rsidRDefault="00057C3C" w:rsidP="009B3DC1">
      <w:pPr>
        <w:pStyle w:val="NIHRCFootnotes"/>
      </w:pPr>
      <w:r w:rsidRPr="00C80B36">
        <w:rPr>
          <w:rStyle w:val="FootnoteReference"/>
        </w:rPr>
        <w:footnoteRef/>
      </w:r>
      <w:r w:rsidRPr="00C80B36">
        <w:t xml:space="preserve"> </w:t>
      </w:r>
      <w:r w:rsidR="00482CFA">
        <w:t xml:space="preserve">See also </w:t>
      </w:r>
      <w:r w:rsidRPr="00C80B36">
        <w:t>Article 19</w:t>
      </w:r>
      <w:r w:rsidR="00482CFA">
        <w:t>,</w:t>
      </w:r>
      <w:r w:rsidRPr="00C80B36">
        <w:t xml:space="preserve"> UN ICCPR</w:t>
      </w:r>
      <w:r w:rsidR="00C80D97" w:rsidRPr="00C80B36">
        <w:t>; Article</w:t>
      </w:r>
      <w:r w:rsidR="00B60BBF" w:rsidRPr="00C80B36">
        <w:t xml:space="preserve"> 21</w:t>
      </w:r>
      <w:r w:rsidR="00482CFA">
        <w:t>,</w:t>
      </w:r>
      <w:r w:rsidR="00B60BBF" w:rsidRPr="00C80B36">
        <w:t xml:space="preserve"> </w:t>
      </w:r>
      <w:r w:rsidR="00482CFA">
        <w:t xml:space="preserve">UN </w:t>
      </w:r>
      <w:r w:rsidR="00B60BBF" w:rsidRPr="00C80B36">
        <w:t>CRPD</w:t>
      </w:r>
      <w:r w:rsidR="00482CFA">
        <w:t xml:space="preserve">; </w:t>
      </w:r>
      <w:r w:rsidR="00B60BBF" w:rsidRPr="00C80B36">
        <w:t>Article 13</w:t>
      </w:r>
      <w:r w:rsidR="00482CFA">
        <w:t>,</w:t>
      </w:r>
      <w:r w:rsidR="00B60BBF" w:rsidRPr="00C80B36">
        <w:t xml:space="preserve"> UN CRC</w:t>
      </w:r>
      <w:r w:rsidRPr="00C80B36">
        <w:t>.</w:t>
      </w:r>
    </w:p>
  </w:footnote>
  <w:footnote w:id="31">
    <w:p w14:paraId="4CDCF141" w14:textId="542FF8BD" w:rsidR="00AD1176" w:rsidRPr="00C80B36" w:rsidRDefault="00AD1176" w:rsidP="009B3DC1">
      <w:pPr>
        <w:pStyle w:val="NIHRCFootnotes"/>
      </w:pPr>
      <w:r w:rsidRPr="00C80B36">
        <w:rPr>
          <w:rStyle w:val="FootnoteReference"/>
        </w:rPr>
        <w:footnoteRef/>
      </w:r>
      <w:r w:rsidRPr="00C80B36">
        <w:t xml:space="preserve"> </w:t>
      </w:r>
      <w:r w:rsidR="00482CFA">
        <w:t>See also</w:t>
      </w:r>
      <w:r w:rsidRPr="00C80B36">
        <w:t xml:space="preserve"> Article 9</w:t>
      </w:r>
      <w:r w:rsidR="00482CFA">
        <w:t xml:space="preserve">, </w:t>
      </w:r>
      <w:r w:rsidRPr="00C80B36">
        <w:t>UN ICCPR</w:t>
      </w:r>
      <w:r w:rsidR="00B56E63" w:rsidRPr="00C80B36">
        <w:t>; Article 14</w:t>
      </w:r>
      <w:r w:rsidR="00482CFA">
        <w:t>, UN</w:t>
      </w:r>
      <w:r w:rsidR="00B56E63" w:rsidRPr="00C80B36">
        <w:t xml:space="preserve"> CRPD</w:t>
      </w:r>
      <w:r w:rsidR="00482CFA">
        <w:t xml:space="preserve">; </w:t>
      </w:r>
      <w:r w:rsidR="00374426" w:rsidRPr="00C80B36">
        <w:t>Article 37(b</w:t>
      </w:r>
      <w:r w:rsidR="00482CFA">
        <w:t>),</w:t>
      </w:r>
      <w:r w:rsidR="00374426" w:rsidRPr="00C80B36">
        <w:t xml:space="preserve"> UN CRC</w:t>
      </w:r>
      <w:r w:rsidRPr="00C80B36">
        <w:t>.</w:t>
      </w:r>
    </w:p>
  </w:footnote>
  <w:footnote w:id="32">
    <w:p w14:paraId="2A77FB3E" w14:textId="33110CC3" w:rsidR="00AD1176" w:rsidRPr="00C80B36" w:rsidRDefault="00AD1176" w:rsidP="009B3DC1">
      <w:pPr>
        <w:pStyle w:val="NIHRCFootnotes"/>
      </w:pPr>
      <w:r w:rsidRPr="00C80B36">
        <w:rPr>
          <w:rStyle w:val="FootnoteReference"/>
        </w:rPr>
        <w:footnoteRef/>
      </w:r>
      <w:r w:rsidRPr="00C80B36">
        <w:t xml:space="preserve"> </w:t>
      </w:r>
      <w:r w:rsidR="00482CFA">
        <w:t>See also</w:t>
      </w:r>
      <w:r w:rsidR="000220AE" w:rsidRPr="00C80B36">
        <w:t xml:space="preserve"> Article 15</w:t>
      </w:r>
      <w:r w:rsidR="00482CFA">
        <w:t xml:space="preserve">, </w:t>
      </w:r>
      <w:r w:rsidR="000220AE" w:rsidRPr="00C80B36">
        <w:t>UN ICCPR</w:t>
      </w:r>
      <w:r w:rsidR="00482CFA">
        <w:t xml:space="preserve">; </w:t>
      </w:r>
      <w:r w:rsidR="002C5B64" w:rsidRPr="00C80B36">
        <w:t>Article 40(2)</w:t>
      </w:r>
      <w:r w:rsidR="00FA48CF" w:rsidRPr="00C80B36">
        <w:t>(a)</w:t>
      </w:r>
      <w:r w:rsidR="00482CFA">
        <w:t xml:space="preserve">, </w:t>
      </w:r>
      <w:r w:rsidR="002C5B64" w:rsidRPr="00C80B36">
        <w:t>UN CRC</w:t>
      </w:r>
      <w:r w:rsidR="000220AE" w:rsidRPr="00C80B36">
        <w:t>.</w:t>
      </w:r>
    </w:p>
  </w:footnote>
  <w:footnote w:id="33">
    <w:p w14:paraId="67AE50B3" w14:textId="77777777" w:rsidR="003C73B6" w:rsidRPr="00C80B36" w:rsidRDefault="003C73B6" w:rsidP="009B3DC1">
      <w:pPr>
        <w:pStyle w:val="NIHRCFootnotes"/>
      </w:pPr>
      <w:r w:rsidRPr="00C80B36">
        <w:rPr>
          <w:rStyle w:val="FootnoteReference"/>
        </w:rPr>
        <w:footnoteRef/>
      </w:r>
      <w:r w:rsidRPr="00C80B36">
        <w:t xml:space="preserve"> </w:t>
      </w:r>
      <w:r w:rsidRPr="00C80B36">
        <w:rPr>
          <w:i/>
          <w:iCs/>
        </w:rPr>
        <w:t>Libert v France</w:t>
      </w:r>
      <w:r w:rsidRPr="00C80B36">
        <w:t xml:space="preserve"> (2018) ECHR 185.</w:t>
      </w:r>
    </w:p>
  </w:footnote>
  <w:footnote w:id="34">
    <w:p w14:paraId="64837F48" w14:textId="04042359" w:rsidR="008A6253" w:rsidRPr="00C80B36" w:rsidRDefault="008A6253" w:rsidP="009B3DC1">
      <w:pPr>
        <w:pStyle w:val="NIHRCFootnotes"/>
      </w:pPr>
      <w:r w:rsidRPr="00C80B36">
        <w:rPr>
          <w:rStyle w:val="FootnoteReference"/>
        </w:rPr>
        <w:footnoteRef/>
      </w:r>
      <w:r w:rsidRPr="00C80B36">
        <w:t xml:space="preserve"> Article 8(2) of the ECHR </w:t>
      </w:r>
      <w:r w:rsidR="00AA154D">
        <w:t>states that</w:t>
      </w:r>
      <w:r w:rsidR="006557F6">
        <w:t xml:space="preserve"> “</w:t>
      </w:r>
      <w:r w:rsidR="00AA154D">
        <w:t>t</w:t>
      </w:r>
      <w:r w:rsidR="00C11AB5" w:rsidRPr="00C80B36">
        <w: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C80B36">
        <w:t>”</w:t>
      </w:r>
      <w:r w:rsidR="006557F6">
        <w:t>.</w:t>
      </w:r>
    </w:p>
  </w:footnote>
  <w:footnote w:id="35">
    <w:p w14:paraId="255AE28F" w14:textId="46036A4D" w:rsidR="003C73B6" w:rsidRPr="00C80B36" w:rsidRDefault="003C73B6" w:rsidP="009B3DC1">
      <w:pPr>
        <w:pStyle w:val="NIHRCFootnotes"/>
      </w:pPr>
      <w:r w:rsidRPr="00C80B36">
        <w:rPr>
          <w:rStyle w:val="FootnoteReference"/>
        </w:rPr>
        <w:footnoteRef/>
      </w:r>
      <w:r w:rsidRPr="00C80B36">
        <w:t xml:space="preserve"> </w:t>
      </w:r>
      <w:r w:rsidRPr="00C80B36">
        <w:rPr>
          <w:i/>
          <w:iCs/>
        </w:rPr>
        <w:t xml:space="preserve">Dudgeon v UK </w:t>
      </w:r>
      <w:r w:rsidRPr="00C80B36">
        <w:t xml:space="preserve">(1983) ECHR 2, at paras 51-53; </w:t>
      </w:r>
      <w:r w:rsidRPr="00C80B36">
        <w:rPr>
          <w:i/>
          <w:iCs/>
        </w:rPr>
        <w:t>Phillips v UK</w:t>
      </w:r>
      <w:r w:rsidRPr="00C80B36">
        <w:t xml:space="preserve"> (2001) ECHR 437, at paras 51-52.</w:t>
      </w:r>
    </w:p>
  </w:footnote>
  <w:footnote w:id="36">
    <w:p w14:paraId="7E4F537A" w14:textId="4878E385" w:rsidR="00301923" w:rsidRPr="00C80B36" w:rsidRDefault="00301923" w:rsidP="009B3DC1">
      <w:pPr>
        <w:pStyle w:val="NIHRCFootnotes"/>
      </w:pPr>
      <w:r w:rsidRPr="00C80B36">
        <w:rPr>
          <w:rStyle w:val="FootnoteReference"/>
        </w:rPr>
        <w:footnoteRef/>
      </w:r>
      <w:r w:rsidRPr="00C80B36">
        <w:t xml:space="preserve"> </w:t>
      </w:r>
      <w:r w:rsidR="00BE7272" w:rsidRPr="00C80B36">
        <w:t>Department of Justice, ‘</w:t>
      </w:r>
      <w:r w:rsidR="004C65F1" w:rsidRPr="00C80B36">
        <w:t>A Consultation on Proposals to Criminalise Sexually Explicit Deepfake Images</w:t>
      </w:r>
      <w:r w:rsidR="00BE7272" w:rsidRPr="00C80B36">
        <w:t>’</w:t>
      </w:r>
      <w:r w:rsidR="004C65F1" w:rsidRPr="00C80B36">
        <w:t xml:space="preserve"> (DoJ, 2025)</w:t>
      </w:r>
      <w:r w:rsidR="002260A1">
        <w:t>,</w:t>
      </w:r>
      <w:r w:rsidR="004C65F1" w:rsidRPr="00C80B36">
        <w:t xml:space="preserve"> at 26.</w:t>
      </w:r>
      <w:r w:rsidRPr="00C80B36">
        <w:t xml:space="preserve"> </w:t>
      </w:r>
    </w:p>
  </w:footnote>
  <w:footnote w:id="37">
    <w:p w14:paraId="6CB83AD9" w14:textId="3B1AAFFF" w:rsidR="00363929" w:rsidRDefault="00363929" w:rsidP="009B3DC1">
      <w:pPr>
        <w:pStyle w:val="NIHRCFootnotes"/>
      </w:pPr>
      <w:r>
        <w:rPr>
          <w:rStyle w:val="FootnoteReference"/>
        </w:rPr>
        <w:footnoteRef/>
      </w:r>
      <w:r>
        <w:t xml:space="preserve"> </w:t>
      </w:r>
      <w:r w:rsidR="006C3360">
        <w:t>Ibid</w:t>
      </w:r>
      <w:r w:rsidRPr="00C80B36">
        <w:t>.</w:t>
      </w:r>
    </w:p>
  </w:footnote>
  <w:footnote w:id="38">
    <w:p w14:paraId="6E3F062E" w14:textId="14D02B30" w:rsidR="00A802D4" w:rsidRPr="00C80B36" w:rsidRDefault="00A802D4" w:rsidP="009B3DC1">
      <w:pPr>
        <w:pStyle w:val="NIHRCFootnotes"/>
      </w:pPr>
      <w:r w:rsidRPr="00C80B36">
        <w:rPr>
          <w:rStyle w:val="FootnoteReference"/>
        </w:rPr>
        <w:footnoteRef/>
      </w:r>
      <w:r w:rsidRPr="00C80B36">
        <w:t xml:space="preserve"> </w:t>
      </w:r>
      <w:r w:rsidR="006C3360">
        <w:t>Ibid</w:t>
      </w:r>
      <w:r w:rsidR="00E916C1" w:rsidRPr="00C80B36">
        <w:t>.</w:t>
      </w:r>
    </w:p>
  </w:footnote>
  <w:footnote w:id="39">
    <w:p w14:paraId="2355CDFD" w14:textId="5F4929A9" w:rsidR="00363929" w:rsidRDefault="00363929" w:rsidP="009B3DC1">
      <w:pPr>
        <w:pStyle w:val="NIHRCFootnotes"/>
      </w:pPr>
      <w:r>
        <w:rPr>
          <w:rStyle w:val="FootnoteReference"/>
        </w:rPr>
        <w:footnoteRef/>
      </w:r>
      <w:r>
        <w:t xml:space="preserve"> </w:t>
      </w:r>
      <w:r w:rsidR="006C3360">
        <w:t>Ibid</w:t>
      </w:r>
      <w:r w:rsidRPr="00C80B36">
        <w:t>.</w:t>
      </w:r>
    </w:p>
  </w:footnote>
  <w:footnote w:id="40">
    <w:p w14:paraId="5F0947EB" w14:textId="45610046" w:rsidR="00D81C5D" w:rsidRPr="00C80B36" w:rsidRDefault="00D81C5D" w:rsidP="009B3DC1">
      <w:pPr>
        <w:pStyle w:val="NIHRCFootnotes"/>
      </w:pPr>
      <w:r w:rsidRPr="00C80B36">
        <w:rPr>
          <w:rStyle w:val="FootnoteReference"/>
        </w:rPr>
        <w:footnoteRef/>
      </w:r>
      <w:r w:rsidRPr="00C80B36">
        <w:t xml:space="preserve"> </w:t>
      </w:r>
      <w:r w:rsidRPr="00C80B36">
        <w:rPr>
          <w:i/>
          <w:iCs/>
        </w:rPr>
        <w:t>Karatas v Turkey</w:t>
      </w:r>
      <w:r w:rsidRPr="00C80B36">
        <w:t xml:space="preserve"> (1999) ECHR 47, at 49.</w:t>
      </w:r>
    </w:p>
  </w:footnote>
  <w:footnote w:id="41">
    <w:p w14:paraId="5CDD52F2" w14:textId="4B861C1F" w:rsidR="003E4418" w:rsidRPr="00C80B36" w:rsidRDefault="003E4418" w:rsidP="009B3DC1">
      <w:pPr>
        <w:pStyle w:val="NIHRCFootnotes"/>
      </w:pPr>
      <w:r w:rsidRPr="00C80B36">
        <w:rPr>
          <w:rStyle w:val="FootnoteReference"/>
        </w:rPr>
        <w:footnoteRef/>
      </w:r>
      <w:r w:rsidRPr="00C80B36">
        <w:t xml:space="preserve"> </w:t>
      </w:r>
      <w:r w:rsidR="00E532ED" w:rsidRPr="00C80B36">
        <w:rPr>
          <w:i/>
          <w:iCs/>
        </w:rPr>
        <w:t xml:space="preserve">Delfi AS v Estonia </w:t>
      </w:r>
      <w:r w:rsidR="00E532ED" w:rsidRPr="00C80B36">
        <w:t>(</w:t>
      </w:r>
      <w:r w:rsidR="005B3885" w:rsidRPr="00C80B36">
        <w:t>2015</w:t>
      </w:r>
      <w:r w:rsidR="00E532ED" w:rsidRPr="00C80B36">
        <w:t>)</w:t>
      </w:r>
      <w:r w:rsidR="005B3885" w:rsidRPr="00C80B36">
        <w:t xml:space="preserve"> ECHR 586</w:t>
      </w:r>
      <w:r w:rsidR="00E532ED" w:rsidRPr="00C80B36">
        <w:t>,</w:t>
      </w:r>
      <w:r w:rsidR="00ED2560" w:rsidRPr="00C80B36">
        <w:t xml:space="preserve"> at paras</w:t>
      </w:r>
      <w:r w:rsidR="00E532ED" w:rsidRPr="00C80B36">
        <w:t xml:space="preserve"> </w:t>
      </w:r>
      <w:r w:rsidR="00ED2560" w:rsidRPr="00C80B36">
        <w:t>110 and 133.</w:t>
      </w:r>
    </w:p>
  </w:footnote>
  <w:footnote w:id="42">
    <w:p w14:paraId="1F912746" w14:textId="7F6846CB" w:rsidR="009A6C90" w:rsidRPr="00C80B36" w:rsidRDefault="009A6C90" w:rsidP="009B3DC1">
      <w:pPr>
        <w:pStyle w:val="NIHRCFootnotes"/>
      </w:pPr>
      <w:r w:rsidRPr="00C80B36">
        <w:rPr>
          <w:rStyle w:val="FootnoteReference"/>
        </w:rPr>
        <w:footnoteRef/>
      </w:r>
      <w:r w:rsidRPr="00C80B36">
        <w:t xml:space="preserve"> Article 10</w:t>
      </w:r>
      <w:r w:rsidR="00E227B9" w:rsidRPr="00C80B36">
        <w:t>(2)</w:t>
      </w:r>
      <w:r w:rsidRPr="00C80B36">
        <w:t xml:space="preserve"> </w:t>
      </w:r>
      <w:r w:rsidR="00C11AB5" w:rsidRPr="00C80B36">
        <w:t xml:space="preserve">of the ECHR </w:t>
      </w:r>
      <w:r w:rsidRPr="00C80B36">
        <w:t>s</w:t>
      </w:r>
      <w:r w:rsidR="00EC0BFF">
        <w:t>tates that</w:t>
      </w:r>
      <w:r w:rsidR="00E227B9" w:rsidRPr="00C80B36">
        <w:t xml:space="preserve"> “</w:t>
      </w:r>
      <w:r w:rsidR="000418FE" w:rsidRPr="00C80B36">
        <w:t>t</w:t>
      </w:r>
      <w:r w:rsidR="00E227B9" w:rsidRPr="00C80B36">
        <w: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00EC0BFF">
        <w:t>.</w:t>
      </w:r>
      <w:r w:rsidRPr="00C80B36">
        <w:t xml:space="preserve"> </w:t>
      </w:r>
    </w:p>
  </w:footnote>
  <w:footnote w:id="43">
    <w:p w14:paraId="2B887AF7" w14:textId="086692B9" w:rsidR="00EC0BFF" w:rsidRDefault="00EC0BFF" w:rsidP="009B3DC1">
      <w:pPr>
        <w:pStyle w:val="NIHRCFootnotes"/>
      </w:pPr>
      <w:r>
        <w:rPr>
          <w:rStyle w:val="FootnoteReference"/>
        </w:rPr>
        <w:footnoteRef/>
      </w:r>
      <w:r>
        <w:t xml:space="preserve"> Article 10(2), ECHR.</w:t>
      </w:r>
    </w:p>
  </w:footnote>
  <w:footnote w:id="44">
    <w:p w14:paraId="22CA8F7B" w14:textId="77777777" w:rsidR="00364105" w:rsidRPr="00C80B36" w:rsidRDefault="00364105" w:rsidP="009B3DC1">
      <w:pPr>
        <w:pStyle w:val="NIHRCFootnotes"/>
      </w:pPr>
      <w:r w:rsidRPr="00C80B36">
        <w:rPr>
          <w:rStyle w:val="FootnoteReference"/>
        </w:rPr>
        <w:footnoteRef/>
      </w:r>
      <w:r w:rsidRPr="00C80B36">
        <w:t xml:space="preserve"> </w:t>
      </w:r>
      <w:r w:rsidRPr="00C80B36">
        <w:rPr>
          <w:i/>
          <w:iCs/>
        </w:rPr>
        <w:t>Von Hannover v Germany (</w:t>
      </w:r>
      <w:r>
        <w:rPr>
          <w:i/>
          <w:iCs/>
        </w:rPr>
        <w:t>No 2</w:t>
      </w:r>
      <w:r w:rsidRPr="00C80B36">
        <w:rPr>
          <w:i/>
          <w:iCs/>
        </w:rPr>
        <w:t xml:space="preserve">) </w:t>
      </w:r>
      <w:r w:rsidRPr="00C80B36">
        <w:t xml:space="preserve">(2012) ECHR 228, at para 103; </w:t>
      </w:r>
      <w:r w:rsidRPr="00C80B36">
        <w:rPr>
          <w:i/>
          <w:iCs/>
        </w:rPr>
        <w:t xml:space="preserve">Mosley v </w:t>
      </w:r>
      <w:r>
        <w:rPr>
          <w:i/>
          <w:iCs/>
        </w:rPr>
        <w:t>UK</w:t>
      </w:r>
      <w:r w:rsidRPr="00C80B36">
        <w:t xml:space="preserve"> (2011) ECHR 774, at para 115.</w:t>
      </w:r>
    </w:p>
  </w:footnote>
  <w:footnote w:id="45">
    <w:p w14:paraId="387AEA78" w14:textId="7A417B8F" w:rsidR="00535C4E" w:rsidRPr="00C80B36" w:rsidRDefault="00535C4E" w:rsidP="009B3DC1">
      <w:pPr>
        <w:pStyle w:val="NIHRCFootnotes"/>
      </w:pPr>
      <w:r w:rsidRPr="00C80B36">
        <w:rPr>
          <w:rStyle w:val="FootnoteReference"/>
        </w:rPr>
        <w:footnoteRef/>
      </w:r>
      <w:r w:rsidRPr="00C80B36">
        <w:t xml:space="preserve"> </w:t>
      </w:r>
      <w:r w:rsidR="00150304">
        <w:t>Ibid</w:t>
      </w:r>
      <w:r w:rsidR="00D15F89" w:rsidRPr="00C80B36">
        <w:t>.</w:t>
      </w:r>
    </w:p>
  </w:footnote>
  <w:footnote w:id="46">
    <w:p w14:paraId="06ACB2F8" w14:textId="3FAE8291" w:rsidR="00265DE2" w:rsidRPr="00C80B36" w:rsidRDefault="00265DE2" w:rsidP="009B3DC1">
      <w:pPr>
        <w:pStyle w:val="NIHRCFootnotes"/>
      </w:pPr>
      <w:r w:rsidRPr="00C80B36">
        <w:rPr>
          <w:rStyle w:val="FootnoteReference"/>
        </w:rPr>
        <w:footnoteRef/>
      </w:r>
      <w:r w:rsidRPr="00C80B36">
        <w:t xml:space="preserve"> </w:t>
      </w:r>
      <w:r w:rsidRPr="00C80B36">
        <w:rPr>
          <w:i/>
          <w:iCs/>
        </w:rPr>
        <w:t>Von Hannover v Germany (</w:t>
      </w:r>
      <w:r w:rsidR="00AA154D">
        <w:rPr>
          <w:i/>
          <w:iCs/>
        </w:rPr>
        <w:t>No 2</w:t>
      </w:r>
      <w:r w:rsidRPr="00C80B36">
        <w:rPr>
          <w:i/>
          <w:iCs/>
        </w:rPr>
        <w:t xml:space="preserve">) </w:t>
      </w:r>
      <w:r w:rsidRPr="00C80B36">
        <w:t>(2012) ECHR 228, at para 96.</w:t>
      </w:r>
    </w:p>
  </w:footnote>
  <w:footnote w:id="47">
    <w:p w14:paraId="0C4D7ED5" w14:textId="77777777" w:rsidR="001D4DC3" w:rsidRPr="00C80B36" w:rsidRDefault="001D4DC3" w:rsidP="009B3DC1">
      <w:pPr>
        <w:pStyle w:val="NIHRCFootnotes"/>
      </w:pPr>
      <w:r w:rsidRPr="00C80B36">
        <w:rPr>
          <w:rStyle w:val="FootnoteReference"/>
        </w:rPr>
        <w:footnoteRef/>
      </w:r>
      <w:r w:rsidRPr="00C80B36">
        <w:t xml:space="preserve"> </w:t>
      </w:r>
      <w:r w:rsidRPr="00C80B36">
        <w:rPr>
          <w:i/>
          <w:iCs/>
        </w:rPr>
        <w:t>Karatas v Turkey</w:t>
      </w:r>
      <w:r w:rsidRPr="00C80B36">
        <w:t xml:space="preserve"> (1999) ECHR 47, at 49</w:t>
      </w:r>
      <w:r>
        <w:t xml:space="preserve">; </w:t>
      </w:r>
      <w:r w:rsidRPr="00C80B36">
        <w:rPr>
          <w:i/>
          <w:iCs/>
        </w:rPr>
        <w:t>Handyside v</w:t>
      </w:r>
      <w:r>
        <w:rPr>
          <w:i/>
          <w:iCs/>
        </w:rPr>
        <w:t xml:space="preserve"> UK </w:t>
      </w:r>
      <w:r w:rsidRPr="00C80B36">
        <w:t>(1990) ECHR 32.</w:t>
      </w:r>
    </w:p>
  </w:footnote>
  <w:footnote w:id="48">
    <w:p w14:paraId="140778CA" w14:textId="77777777" w:rsidR="001D4DC3" w:rsidRPr="00C80B36" w:rsidRDefault="001D4DC3" w:rsidP="009B3DC1">
      <w:pPr>
        <w:pStyle w:val="NIHRCFootnotes"/>
      </w:pPr>
      <w:r w:rsidRPr="00C80B36">
        <w:rPr>
          <w:rStyle w:val="FootnoteReference"/>
        </w:rPr>
        <w:footnoteRef/>
      </w:r>
      <w:r w:rsidRPr="00C80B36">
        <w:t xml:space="preserve"> </w:t>
      </w:r>
      <w:r w:rsidRPr="00C80B36">
        <w:rPr>
          <w:i/>
          <w:iCs/>
        </w:rPr>
        <w:t>Khadija Ismayilova v Azerbaijan</w:t>
      </w:r>
      <w:r w:rsidRPr="00C80B36">
        <w:t xml:space="preserve"> (2019) ECHR 11, at para 158.</w:t>
      </w:r>
    </w:p>
  </w:footnote>
  <w:footnote w:id="49">
    <w:p w14:paraId="7DB194D4" w14:textId="77777777" w:rsidR="001D4DC3" w:rsidRPr="00C80B36" w:rsidRDefault="001D4DC3" w:rsidP="009B3DC1">
      <w:pPr>
        <w:pStyle w:val="NIHRCFootnotes"/>
      </w:pPr>
      <w:r w:rsidRPr="00C80B36">
        <w:rPr>
          <w:rStyle w:val="FootnoteReference"/>
        </w:rPr>
        <w:footnoteRef/>
      </w:r>
      <w:r w:rsidRPr="00C80B36">
        <w:t xml:space="preserve"> Security Hero, ‘2023 State of Deepfakes: Realities, Threats, and Impact’. Available at: https://www.securityhero.io/state-of-deepfakes/ </w:t>
      </w:r>
    </w:p>
  </w:footnote>
  <w:footnote w:id="50">
    <w:p w14:paraId="20A772BE" w14:textId="77777777" w:rsidR="001D4DC3" w:rsidRPr="00C80B36" w:rsidRDefault="001D4DC3" w:rsidP="009B3DC1">
      <w:pPr>
        <w:pStyle w:val="NIHRCFootnotes"/>
      </w:pPr>
      <w:r w:rsidRPr="00C80B36">
        <w:rPr>
          <w:rStyle w:val="FootnoteReference"/>
        </w:rPr>
        <w:footnoteRef/>
      </w:r>
      <w:r w:rsidRPr="00C80B36">
        <w:t xml:space="preserve"> Can Yavuz, ‘Adverse </w:t>
      </w:r>
      <w:r>
        <w:t>H</w:t>
      </w:r>
      <w:r w:rsidRPr="00C80B36">
        <w:t xml:space="preserve">uman </w:t>
      </w:r>
      <w:r>
        <w:t>R</w:t>
      </w:r>
      <w:r w:rsidRPr="00C80B36">
        <w:t xml:space="preserve">ights </w:t>
      </w:r>
      <w:r>
        <w:t>I</w:t>
      </w:r>
      <w:r w:rsidRPr="00C80B36">
        <w:t xml:space="preserve">mpacts of </w:t>
      </w:r>
      <w:r>
        <w:t>D</w:t>
      </w:r>
      <w:r w:rsidRPr="00C80B36">
        <w:t xml:space="preserve">issemination of </w:t>
      </w:r>
      <w:r>
        <w:t>N</w:t>
      </w:r>
      <w:r w:rsidRPr="00C80B36">
        <w:t xml:space="preserve">onconsensual </w:t>
      </w:r>
      <w:r>
        <w:t>S</w:t>
      </w:r>
      <w:r w:rsidRPr="00C80B36">
        <w:t xml:space="preserve">exual </w:t>
      </w:r>
      <w:r>
        <w:t>D</w:t>
      </w:r>
      <w:r w:rsidRPr="00C80B36">
        <w:t xml:space="preserve">eepfakes in the </w:t>
      </w:r>
      <w:r>
        <w:t>F</w:t>
      </w:r>
      <w:r w:rsidRPr="00C80B36">
        <w:t xml:space="preserve">ramework of </w:t>
      </w:r>
      <w:r>
        <w:t>the ECHR</w:t>
      </w:r>
      <w:r w:rsidRPr="00C80B36">
        <w:t xml:space="preserve">: A </w:t>
      </w:r>
      <w:r>
        <w:t>V</w:t>
      </w:r>
      <w:r w:rsidRPr="00C80B36">
        <w:t>ictim-</w:t>
      </w:r>
      <w:r>
        <w:t>C</w:t>
      </w:r>
      <w:r w:rsidRPr="00C80B36">
        <w:t xml:space="preserve">entered </w:t>
      </w:r>
      <w:r>
        <w:t>P</w:t>
      </w:r>
      <w:r w:rsidRPr="00C80B36">
        <w:t>erspective’ (</w:t>
      </w:r>
      <w:r>
        <w:t xml:space="preserve">2025) 56 </w:t>
      </w:r>
      <w:r w:rsidRPr="004A15EB">
        <w:rPr>
          <w:i/>
          <w:iCs/>
        </w:rPr>
        <w:t>Computer Law and Security Review</w:t>
      </w:r>
      <w:r w:rsidRPr="00C80B36">
        <w:t>,</w:t>
      </w:r>
      <w:r>
        <w:t xml:space="preserve"> </w:t>
      </w:r>
      <w:r w:rsidRPr="00C80B36">
        <w:t>at</w:t>
      </w:r>
      <w:r>
        <w:t xml:space="preserve"> </w:t>
      </w:r>
      <w:r w:rsidRPr="00C80B36">
        <w:t>13.</w:t>
      </w:r>
    </w:p>
  </w:footnote>
  <w:footnote w:id="51">
    <w:p w14:paraId="52E9A1E3" w14:textId="0F8E2E9B" w:rsidR="001D4DC3" w:rsidRPr="00C80B36" w:rsidRDefault="001D4DC3" w:rsidP="009B3DC1">
      <w:pPr>
        <w:pStyle w:val="NIHRCFootnotes"/>
      </w:pPr>
      <w:r w:rsidRPr="00C80B36">
        <w:rPr>
          <w:rStyle w:val="FootnoteReference"/>
        </w:rPr>
        <w:footnoteRef/>
      </w:r>
      <w:r w:rsidRPr="00C80B36">
        <w:t xml:space="preserve"> </w:t>
      </w:r>
      <w:r w:rsidR="0069591C">
        <w:t>Ibid</w:t>
      </w:r>
      <w:r w:rsidRPr="00C80B36">
        <w:t>.</w:t>
      </w:r>
    </w:p>
  </w:footnote>
  <w:footnote w:id="52">
    <w:p w14:paraId="67F46A83" w14:textId="77777777" w:rsidR="001D4DC3" w:rsidRPr="00C80B36" w:rsidRDefault="001D4DC3" w:rsidP="009B3DC1">
      <w:pPr>
        <w:pStyle w:val="NIHRCFootnotes"/>
      </w:pPr>
      <w:r w:rsidRPr="00C80B36">
        <w:rPr>
          <w:rStyle w:val="FootnoteReference"/>
        </w:rPr>
        <w:footnoteRef/>
      </w:r>
      <w:r w:rsidRPr="00C80B36">
        <w:t xml:space="preserve"> Equality Now, ‘Tech-facilitated </w:t>
      </w:r>
      <w:r>
        <w:t>G</w:t>
      </w:r>
      <w:r w:rsidRPr="00C80B36">
        <w:t xml:space="preserve">ender-based </w:t>
      </w:r>
      <w:r>
        <w:t>V</w:t>
      </w:r>
      <w:r w:rsidRPr="00C80B36">
        <w:t xml:space="preserve">iolence’. Available at: </w:t>
      </w:r>
      <w:hyperlink r:id="rId1" w:history="1">
        <w:r w:rsidRPr="00C80B36">
          <w:rPr>
            <w:rStyle w:val="Hyperlink"/>
            <w:i/>
            <w:iCs/>
            <w:color w:val="77328A"/>
          </w:rPr>
          <w:t>Tech-facilitated gender-based violence (TFGBV) | Equality Now</w:t>
        </w:r>
      </w:hyperlink>
      <w:r w:rsidRPr="00C80B36">
        <w:t>; Cara Hunter, ‘How a Deepfake Almost Ruined My Political Career’</w:t>
      </w:r>
      <w:r>
        <w:t>, TED Talk, 19 October 2024</w:t>
      </w:r>
      <w:r w:rsidRPr="00C80B36">
        <w:t xml:space="preserve">; Jim Waterson, ‘British female politicians targeted by fake pornography’, </w:t>
      </w:r>
      <w:r w:rsidRPr="00C80B36">
        <w:rPr>
          <w:i/>
          <w:iCs/>
        </w:rPr>
        <w:t>The Guardian</w:t>
      </w:r>
      <w:r w:rsidRPr="00C80B36">
        <w:t>,</w:t>
      </w:r>
      <w:r>
        <w:t xml:space="preserve"> </w:t>
      </w:r>
      <w:r w:rsidRPr="00C80B36">
        <w:t xml:space="preserve">1 July 2024; Can Yavuz, ‘Adverse </w:t>
      </w:r>
      <w:r>
        <w:t>H</w:t>
      </w:r>
      <w:r w:rsidRPr="00C80B36">
        <w:t xml:space="preserve">uman </w:t>
      </w:r>
      <w:r>
        <w:t>R</w:t>
      </w:r>
      <w:r w:rsidRPr="00C80B36">
        <w:t xml:space="preserve">ights </w:t>
      </w:r>
      <w:r>
        <w:t>I</w:t>
      </w:r>
      <w:r w:rsidRPr="00C80B36">
        <w:t xml:space="preserve">mpacts of </w:t>
      </w:r>
      <w:r>
        <w:t>D</w:t>
      </w:r>
      <w:r w:rsidRPr="00C80B36">
        <w:t xml:space="preserve">issemination of </w:t>
      </w:r>
      <w:r>
        <w:t>N</w:t>
      </w:r>
      <w:r w:rsidRPr="00C80B36">
        <w:t xml:space="preserve">onconsensual </w:t>
      </w:r>
      <w:r>
        <w:t>S</w:t>
      </w:r>
      <w:r w:rsidRPr="00C80B36">
        <w:t xml:space="preserve">exual </w:t>
      </w:r>
      <w:r>
        <w:t>D</w:t>
      </w:r>
      <w:r w:rsidRPr="00C80B36">
        <w:t xml:space="preserve">eepfakes in the </w:t>
      </w:r>
      <w:r>
        <w:t>F</w:t>
      </w:r>
      <w:r w:rsidRPr="00C80B36">
        <w:t xml:space="preserve">ramework of </w:t>
      </w:r>
      <w:r>
        <w:t>the ECHR</w:t>
      </w:r>
      <w:r w:rsidRPr="00C80B36">
        <w:t xml:space="preserve">: A </w:t>
      </w:r>
      <w:r>
        <w:t>V</w:t>
      </w:r>
      <w:r w:rsidRPr="00C80B36">
        <w:t>ictim-</w:t>
      </w:r>
      <w:r>
        <w:t>C</w:t>
      </w:r>
      <w:r w:rsidRPr="00C80B36">
        <w:t xml:space="preserve">entered </w:t>
      </w:r>
      <w:r>
        <w:t>P</w:t>
      </w:r>
      <w:r w:rsidRPr="00C80B36">
        <w:t>erspective’ (</w:t>
      </w:r>
      <w:r>
        <w:t xml:space="preserve">2025) 56 </w:t>
      </w:r>
      <w:r w:rsidRPr="004A15EB">
        <w:rPr>
          <w:i/>
          <w:iCs/>
        </w:rPr>
        <w:t>Computer Law and Security Review</w:t>
      </w:r>
      <w:r w:rsidRPr="00C80B36">
        <w:t>,</w:t>
      </w:r>
      <w:r>
        <w:t xml:space="preserve"> </w:t>
      </w:r>
      <w:r w:rsidRPr="00C80B36">
        <w:t>at 13-14</w:t>
      </w:r>
      <w:r>
        <w:t>.</w:t>
      </w:r>
    </w:p>
  </w:footnote>
  <w:footnote w:id="53">
    <w:p w14:paraId="26A716C2" w14:textId="77777777" w:rsidR="001D4DC3" w:rsidRPr="00C80B36" w:rsidRDefault="001D4DC3" w:rsidP="009B3DC1">
      <w:pPr>
        <w:pStyle w:val="NIHRCFootnotes"/>
        <w:rPr>
          <w:lang w:val="es-CL"/>
        </w:rPr>
      </w:pPr>
      <w:r w:rsidRPr="00C80B36">
        <w:rPr>
          <w:rStyle w:val="FootnoteReference"/>
        </w:rPr>
        <w:footnoteRef/>
      </w:r>
      <w:r w:rsidRPr="00C80B36">
        <w:rPr>
          <w:lang w:val="es-CL"/>
        </w:rPr>
        <w:t xml:space="preserve"> </w:t>
      </w:r>
      <w:r w:rsidRPr="00C80B36">
        <w:rPr>
          <w:i/>
          <w:iCs/>
          <w:lang w:val="es-CL"/>
        </w:rPr>
        <w:t xml:space="preserve">Khadija </w:t>
      </w:r>
      <w:r w:rsidRPr="00C80B36">
        <w:rPr>
          <w:i/>
          <w:iCs/>
          <w:lang w:val="es-CL"/>
        </w:rPr>
        <w:t>Ismayilova v Azerbaijan</w:t>
      </w:r>
      <w:r w:rsidRPr="00C80B36">
        <w:rPr>
          <w:lang w:val="es-CL"/>
        </w:rPr>
        <w:t xml:space="preserve"> (2019) ECHR 11.</w:t>
      </w:r>
    </w:p>
  </w:footnote>
  <w:footnote w:id="54">
    <w:p w14:paraId="2E0E8AD4" w14:textId="24D3C17B" w:rsidR="000B7CCD" w:rsidRPr="00C80B36" w:rsidRDefault="000B7CCD" w:rsidP="009B3DC1">
      <w:pPr>
        <w:pStyle w:val="NIHRCFootnotes"/>
      </w:pPr>
      <w:r w:rsidRPr="00C80B36">
        <w:rPr>
          <w:rStyle w:val="FootnoteReference"/>
        </w:rPr>
        <w:footnoteRef/>
      </w:r>
      <w:r w:rsidRPr="00C80B36">
        <w:t xml:space="preserve"> </w:t>
      </w:r>
      <w:r w:rsidR="00E916C1" w:rsidRPr="00C80B36">
        <w:t xml:space="preserve"> Department of Justice, ‘A Consultation on Proposals to Criminalise Sexually Explicit Deepfake Images’ (DoJ, 2025)</w:t>
      </w:r>
      <w:r w:rsidR="00AA154D">
        <w:t>,</w:t>
      </w:r>
      <w:r w:rsidR="00E916C1" w:rsidRPr="00C80B36">
        <w:t xml:space="preserve"> at 28.</w:t>
      </w:r>
    </w:p>
  </w:footnote>
  <w:footnote w:id="55">
    <w:p w14:paraId="3B15F939" w14:textId="3094E0E6" w:rsidR="003476DA" w:rsidRPr="00C80B36" w:rsidRDefault="003476DA" w:rsidP="009B3DC1">
      <w:pPr>
        <w:pStyle w:val="NIHRCFootnotes"/>
      </w:pPr>
      <w:r w:rsidRPr="00C80B36">
        <w:rPr>
          <w:rStyle w:val="FootnoteReference"/>
        </w:rPr>
        <w:footnoteRef/>
      </w:r>
      <w:r w:rsidRPr="00C80B36">
        <w:t xml:space="preserve"> </w:t>
      </w:r>
      <w:r w:rsidR="00EF40C1" w:rsidRPr="00C80B36">
        <w:t xml:space="preserve">The </w:t>
      </w:r>
      <w:r w:rsidR="00AA154D">
        <w:t xml:space="preserve">UN </w:t>
      </w:r>
      <w:r w:rsidR="00EF40C1" w:rsidRPr="00C80B36">
        <w:t xml:space="preserve">Human Rights Committee </w:t>
      </w:r>
      <w:r w:rsidR="00EF40C1">
        <w:t>has</w:t>
      </w:r>
      <w:r w:rsidR="00EF40C1" w:rsidRPr="00C80B36">
        <w:t xml:space="preserve"> also emphasised that grounds for arrest or detention must be defined by law and specified clearly to prevent broad or arbitrary interpretation. </w:t>
      </w:r>
      <w:r w:rsidR="00EF40C1">
        <w:t xml:space="preserve">See </w:t>
      </w:r>
      <w:r w:rsidRPr="00C80B36">
        <w:rPr>
          <w:i/>
          <w:iCs/>
        </w:rPr>
        <w:t>Del Río Prada v Spain</w:t>
      </w:r>
      <w:r w:rsidRPr="00C80B36">
        <w:t xml:space="preserve"> (2013) ECHR 1004, at para 125; </w:t>
      </w:r>
      <w:r w:rsidRPr="009D4D20">
        <w:rPr>
          <w:i/>
          <w:iCs/>
        </w:rPr>
        <w:t>Medvedyev and Others v France</w:t>
      </w:r>
      <w:r w:rsidRPr="00C80B36">
        <w:t xml:space="preserve"> (2010) ECHR 384, at para 80</w:t>
      </w:r>
      <w:r w:rsidR="00EF40C1">
        <w:t>;</w:t>
      </w:r>
      <w:r w:rsidR="009866BD" w:rsidRPr="00C80B36">
        <w:t xml:space="preserve"> CCPR/C/GC/35, ‘Human Rights Committee General Comment No 35</w:t>
      </w:r>
      <w:r w:rsidR="00EF40C1">
        <w:t>:</w:t>
      </w:r>
      <w:r w:rsidR="009866BD" w:rsidRPr="00C80B36">
        <w:t xml:space="preserve"> Article 9’, 16 December 2014, at para 22.</w:t>
      </w:r>
    </w:p>
  </w:footnote>
  <w:footnote w:id="56">
    <w:p w14:paraId="2D076B13" w14:textId="056A5D20" w:rsidR="00E87D0A" w:rsidRPr="00C80B36" w:rsidRDefault="00E87D0A" w:rsidP="009B3DC1">
      <w:pPr>
        <w:pStyle w:val="NIHRCFootnotes"/>
      </w:pPr>
      <w:r w:rsidRPr="00C80B36">
        <w:rPr>
          <w:rStyle w:val="FootnoteReference"/>
        </w:rPr>
        <w:footnoteRef/>
      </w:r>
      <w:r w:rsidRPr="00C80B36">
        <w:t xml:space="preserve"> </w:t>
      </w:r>
      <w:r w:rsidRPr="00C80B36">
        <w:rPr>
          <w:i/>
          <w:iCs/>
        </w:rPr>
        <w:t>Del Río Prada v Spain</w:t>
      </w:r>
      <w:r w:rsidRPr="00C80B36">
        <w:t xml:space="preserve"> (2013) ECHR 1004, at para 125; </w:t>
      </w:r>
      <w:r w:rsidRPr="009D4D20">
        <w:rPr>
          <w:i/>
          <w:iCs/>
        </w:rPr>
        <w:t>Medvedyev and Others v France</w:t>
      </w:r>
      <w:r w:rsidRPr="00C80B36">
        <w:t xml:space="preserve"> (2010) ECHR 384, at para 80.</w:t>
      </w:r>
    </w:p>
  </w:footnote>
  <w:footnote w:id="57">
    <w:p w14:paraId="5CDE8AB8" w14:textId="56E423C7" w:rsidR="008F4E2A" w:rsidRDefault="008F4E2A" w:rsidP="009B3DC1">
      <w:pPr>
        <w:pStyle w:val="NIHRCFootnotes"/>
      </w:pPr>
      <w:r>
        <w:rPr>
          <w:rStyle w:val="FootnoteReference"/>
        </w:rPr>
        <w:footnoteRef/>
      </w:r>
      <w:r>
        <w:t xml:space="preserve"> </w:t>
      </w:r>
      <w:r w:rsidRPr="00C80B36">
        <w:t>CCPR/C/GC/35, ‘Human Rights Committee General Comment No 35</w:t>
      </w:r>
      <w:r>
        <w:t>:</w:t>
      </w:r>
      <w:r w:rsidRPr="00C80B36">
        <w:t xml:space="preserve"> Article 9’, 16 December 2014, at para 22</w:t>
      </w:r>
      <w:r>
        <w:t>.</w:t>
      </w:r>
    </w:p>
  </w:footnote>
  <w:footnote w:id="58">
    <w:p w14:paraId="7C0F5B10" w14:textId="77777777" w:rsidR="001F0A72" w:rsidRPr="00C80B36" w:rsidRDefault="001F0A72" w:rsidP="009B3DC1">
      <w:pPr>
        <w:pStyle w:val="NIHRCFootnotes"/>
      </w:pPr>
      <w:r w:rsidRPr="00C80B36">
        <w:rPr>
          <w:rStyle w:val="FootnoteReference"/>
        </w:rPr>
        <w:footnoteRef/>
      </w:r>
      <w:r w:rsidRPr="00C80B36">
        <w:t xml:space="preserve"> </w:t>
      </w:r>
      <w:r w:rsidRPr="00C80B36">
        <w:rPr>
          <w:i/>
          <w:iCs/>
        </w:rPr>
        <w:t>Jorgic v Germany</w:t>
      </w:r>
      <w:r w:rsidRPr="00C80B36">
        <w:t xml:space="preserve"> (2007) ECHR 583, at paras 103-114; </w:t>
      </w:r>
      <w:r w:rsidRPr="00C80B36">
        <w:rPr>
          <w:i/>
          <w:iCs/>
        </w:rPr>
        <w:t>Kafkaris v Cyprus</w:t>
      </w:r>
      <w:r w:rsidRPr="00C80B36">
        <w:t xml:space="preserve"> (2008) ECHR 143, at para 150.</w:t>
      </w:r>
    </w:p>
  </w:footnote>
  <w:footnote w:id="59">
    <w:p w14:paraId="3855C40B" w14:textId="77777777" w:rsidR="00F33939" w:rsidRPr="00C80B36" w:rsidRDefault="00F33939" w:rsidP="009B3DC1">
      <w:pPr>
        <w:pStyle w:val="NIHRCFootnotes"/>
      </w:pPr>
      <w:r w:rsidRPr="00C80B36">
        <w:rPr>
          <w:rStyle w:val="FootnoteReference"/>
        </w:rPr>
        <w:footnoteRef/>
      </w:r>
      <w:r w:rsidRPr="00C80B36">
        <w:t xml:space="preserve"> </w:t>
      </w:r>
      <w:r w:rsidRPr="00C80B36">
        <w:rPr>
          <w:i/>
          <w:iCs/>
        </w:rPr>
        <w:t>Kafkaris v Cyprus</w:t>
      </w:r>
      <w:r w:rsidRPr="00C80B36">
        <w:t xml:space="preserve"> (2008) ECHR 143, at paras 150-152.</w:t>
      </w:r>
    </w:p>
  </w:footnote>
  <w:footnote w:id="60">
    <w:p w14:paraId="1A21D86C" w14:textId="277A38F6" w:rsidR="003A482F" w:rsidRPr="00C80B36" w:rsidRDefault="003A482F" w:rsidP="009B3DC1">
      <w:pPr>
        <w:pStyle w:val="NIHRCFootnotes"/>
      </w:pPr>
      <w:r w:rsidRPr="00C80B36">
        <w:rPr>
          <w:rStyle w:val="FootnoteReference"/>
        </w:rPr>
        <w:footnoteRef/>
      </w:r>
      <w:r w:rsidRPr="00C80B36">
        <w:t xml:space="preserve"> </w:t>
      </w:r>
      <w:r w:rsidR="009D4D20">
        <w:t>Ibid</w:t>
      </w:r>
      <w:r w:rsidRPr="00C80B36">
        <w:t>.</w:t>
      </w:r>
    </w:p>
  </w:footnote>
  <w:footnote w:id="61">
    <w:p w14:paraId="575801FE" w14:textId="162A476D" w:rsidR="00B80CD9" w:rsidRPr="00C80B36" w:rsidRDefault="00B80CD9" w:rsidP="009B3DC1">
      <w:pPr>
        <w:pStyle w:val="NIHRCFootnotes"/>
      </w:pPr>
      <w:r w:rsidRPr="00C80B36">
        <w:rPr>
          <w:rStyle w:val="FootnoteReference"/>
        </w:rPr>
        <w:footnoteRef/>
      </w:r>
      <w:r w:rsidRPr="00C80B36">
        <w:t xml:space="preserve"> </w:t>
      </w:r>
      <w:r w:rsidR="008F4E2A">
        <w:t>See also</w:t>
      </w:r>
      <w:r w:rsidRPr="00C80B36">
        <w:t xml:space="preserve"> Article 7</w:t>
      </w:r>
      <w:r w:rsidR="008F4E2A">
        <w:t>,</w:t>
      </w:r>
      <w:r w:rsidRPr="00C80B36">
        <w:t xml:space="preserve"> UN ICCPR</w:t>
      </w:r>
      <w:r w:rsidR="00A86E72" w:rsidRPr="00C80B36">
        <w:t xml:space="preserve">; </w:t>
      </w:r>
      <w:r w:rsidR="00C351A1" w:rsidRPr="00C80B36">
        <w:t>Article 2</w:t>
      </w:r>
      <w:r w:rsidR="008F4E2A">
        <w:t>,</w:t>
      </w:r>
      <w:r w:rsidR="00C351A1" w:rsidRPr="00C80B36">
        <w:t xml:space="preserve"> </w:t>
      </w:r>
      <w:r w:rsidR="00A86E72" w:rsidRPr="00C80B36">
        <w:t>UN</w:t>
      </w:r>
      <w:r w:rsidR="0017601B" w:rsidRPr="00C80B36">
        <w:t xml:space="preserve"> CAT</w:t>
      </w:r>
      <w:r w:rsidR="00C351A1" w:rsidRPr="00C80B36">
        <w:t>; Article 15</w:t>
      </w:r>
      <w:r w:rsidR="008F4E2A">
        <w:t>,</w:t>
      </w:r>
      <w:r w:rsidR="00C351A1" w:rsidRPr="00C80B36">
        <w:t xml:space="preserve"> UN CRPD</w:t>
      </w:r>
      <w:r w:rsidR="008F4E2A">
        <w:t xml:space="preserve">; </w:t>
      </w:r>
      <w:r w:rsidR="005D2372" w:rsidRPr="00C80B36">
        <w:t>Article 37(a)</w:t>
      </w:r>
      <w:r w:rsidR="008F4E2A">
        <w:t>,</w:t>
      </w:r>
      <w:r w:rsidR="005D2372" w:rsidRPr="00C80B36">
        <w:t xml:space="preserve"> UN CRC</w:t>
      </w:r>
      <w:r w:rsidRPr="00C80B36">
        <w:t xml:space="preserve">. </w:t>
      </w:r>
    </w:p>
  </w:footnote>
  <w:footnote w:id="62">
    <w:p w14:paraId="21CAC8C2" w14:textId="5885BDF8" w:rsidR="000663BF" w:rsidRPr="00C80B36" w:rsidRDefault="000663BF" w:rsidP="009B3DC1">
      <w:pPr>
        <w:pStyle w:val="NIHRCFootnotes"/>
      </w:pPr>
      <w:r w:rsidRPr="00C80B36">
        <w:rPr>
          <w:rStyle w:val="FootnoteReference"/>
        </w:rPr>
        <w:footnoteRef/>
      </w:r>
      <w:r w:rsidRPr="00C80B36">
        <w:t xml:space="preserve"> </w:t>
      </w:r>
      <w:r w:rsidR="008F4E2A">
        <w:t>See also</w:t>
      </w:r>
      <w:r w:rsidR="003223A9" w:rsidRPr="00C80B36">
        <w:t xml:space="preserve"> Article 2</w:t>
      </w:r>
      <w:r w:rsidR="008F4E2A">
        <w:t xml:space="preserve">, </w:t>
      </w:r>
      <w:r w:rsidR="003223A9" w:rsidRPr="00C80B36">
        <w:t>UN ICCPR</w:t>
      </w:r>
      <w:r w:rsidR="008A5B81" w:rsidRPr="00C80B36">
        <w:t>; Article 6</w:t>
      </w:r>
      <w:r w:rsidR="008F4E2A">
        <w:t>,</w:t>
      </w:r>
      <w:r w:rsidR="008A5B81" w:rsidRPr="00C80B36">
        <w:t xml:space="preserve"> UN CERD</w:t>
      </w:r>
      <w:r w:rsidR="006516B6" w:rsidRPr="00C80B36">
        <w:t xml:space="preserve">; </w:t>
      </w:r>
      <w:r w:rsidR="00C65F62" w:rsidRPr="00C80B36">
        <w:t>Article 14</w:t>
      </w:r>
      <w:r w:rsidR="008F4E2A">
        <w:t>,</w:t>
      </w:r>
      <w:r w:rsidR="00C65F62" w:rsidRPr="00C80B36">
        <w:t xml:space="preserve"> UN CAT</w:t>
      </w:r>
      <w:r w:rsidR="008F4E2A">
        <w:t xml:space="preserve">; </w:t>
      </w:r>
      <w:r w:rsidR="00D54186" w:rsidRPr="00C80B36">
        <w:t>Article 13</w:t>
      </w:r>
      <w:r w:rsidR="008F4E2A">
        <w:t>,</w:t>
      </w:r>
      <w:r w:rsidR="00D54186" w:rsidRPr="00C80B36">
        <w:t xml:space="preserve"> UN CRPD</w:t>
      </w:r>
      <w:r w:rsidR="003223A9" w:rsidRPr="00C80B36">
        <w:t xml:space="preserve">. </w:t>
      </w:r>
    </w:p>
  </w:footnote>
  <w:footnote w:id="63">
    <w:p w14:paraId="7565CB3D" w14:textId="2EAFE79E" w:rsidR="003223A9" w:rsidRPr="00C80B36" w:rsidRDefault="003223A9" w:rsidP="009B3DC1">
      <w:pPr>
        <w:pStyle w:val="NIHRCFootnotes"/>
      </w:pPr>
      <w:r w:rsidRPr="00C80B36">
        <w:rPr>
          <w:rStyle w:val="FootnoteReference"/>
        </w:rPr>
        <w:footnoteRef/>
      </w:r>
      <w:r w:rsidRPr="00C80B36">
        <w:t xml:space="preserve"> </w:t>
      </w:r>
      <w:r w:rsidR="008F4E2A">
        <w:t>See also</w:t>
      </w:r>
      <w:r w:rsidR="00B80CD9" w:rsidRPr="00C80B36">
        <w:t xml:space="preserve"> Article </w:t>
      </w:r>
      <w:r w:rsidR="0091535F" w:rsidRPr="00C80B36">
        <w:t>26</w:t>
      </w:r>
      <w:r w:rsidR="008F4E2A">
        <w:t xml:space="preserve">, </w:t>
      </w:r>
      <w:r w:rsidR="00B80CD9" w:rsidRPr="00C80B36">
        <w:t>UN ICCPR</w:t>
      </w:r>
      <w:r w:rsidR="00572A9F" w:rsidRPr="00C80B36">
        <w:t>; Article 2(2)</w:t>
      </w:r>
      <w:r w:rsidR="008F4E2A">
        <w:t>,</w:t>
      </w:r>
      <w:r w:rsidR="00572A9F" w:rsidRPr="00C80B36">
        <w:t xml:space="preserve"> UN </w:t>
      </w:r>
      <w:r w:rsidR="00314732" w:rsidRPr="00C80B36">
        <w:t>ICESCR</w:t>
      </w:r>
      <w:r w:rsidR="00607F17" w:rsidRPr="00C80B36">
        <w:t>; Article 2</w:t>
      </w:r>
      <w:r w:rsidR="008F4E2A">
        <w:t>,</w:t>
      </w:r>
      <w:r w:rsidR="00607F17" w:rsidRPr="00C80B36">
        <w:t xml:space="preserve"> UN CRC</w:t>
      </w:r>
      <w:r w:rsidR="008F4E2A">
        <w:t xml:space="preserve">; UN </w:t>
      </w:r>
      <w:r w:rsidR="00DB4E87" w:rsidRPr="00C80B36">
        <w:t>CERD</w:t>
      </w:r>
      <w:r w:rsidR="008F4E2A">
        <w:t>;</w:t>
      </w:r>
      <w:r w:rsidR="00785FB8" w:rsidRPr="00C80B36">
        <w:t xml:space="preserve"> UN</w:t>
      </w:r>
      <w:r w:rsidR="00DB4E87" w:rsidRPr="00C80B36">
        <w:t xml:space="preserve"> CEDAW</w:t>
      </w:r>
      <w:r w:rsidR="008F4E2A">
        <w:t>;</w:t>
      </w:r>
      <w:r w:rsidR="00DB4E87" w:rsidRPr="00C80B36">
        <w:t xml:space="preserve"> </w:t>
      </w:r>
      <w:r w:rsidR="008F4E2A">
        <w:t xml:space="preserve">UN </w:t>
      </w:r>
      <w:r w:rsidR="00DB4E87" w:rsidRPr="00C80B36">
        <w:t>CRPD</w:t>
      </w:r>
      <w:r w:rsidR="00B80CD9" w:rsidRPr="00C80B36">
        <w:t xml:space="preserve">. </w:t>
      </w:r>
    </w:p>
  </w:footnote>
  <w:footnote w:id="64">
    <w:p w14:paraId="57053680" w14:textId="07D90428" w:rsidR="00B80CD9" w:rsidRPr="00C80B36" w:rsidRDefault="00B80CD9" w:rsidP="009B3DC1">
      <w:pPr>
        <w:pStyle w:val="NIHRCFootnotes"/>
      </w:pPr>
      <w:r w:rsidRPr="00C80B36">
        <w:rPr>
          <w:rStyle w:val="FootnoteReference"/>
        </w:rPr>
        <w:footnoteRef/>
      </w:r>
      <w:r w:rsidRPr="00C80B36">
        <w:t xml:space="preserve"> </w:t>
      </w:r>
      <w:r w:rsidR="008F4E2A">
        <w:t>See also</w:t>
      </w:r>
      <w:r w:rsidRPr="00C80B36">
        <w:t xml:space="preserve"> Article </w:t>
      </w:r>
      <w:r w:rsidR="008F4E2A">
        <w:t xml:space="preserve">6, </w:t>
      </w:r>
      <w:r w:rsidRPr="00C80B36">
        <w:t>UN ICCPR</w:t>
      </w:r>
      <w:r w:rsidR="007A0B99" w:rsidRPr="00C80B36">
        <w:t>; Article 10</w:t>
      </w:r>
      <w:r w:rsidR="008F4E2A">
        <w:t>,</w:t>
      </w:r>
      <w:r w:rsidR="007A0B99" w:rsidRPr="00C80B36">
        <w:t xml:space="preserve"> UN CRPD</w:t>
      </w:r>
      <w:r w:rsidR="008F4E2A">
        <w:t xml:space="preserve">; </w:t>
      </w:r>
      <w:r w:rsidR="007A0B99" w:rsidRPr="00C80B36">
        <w:t>Article 6</w:t>
      </w:r>
      <w:r w:rsidR="008F4E2A">
        <w:t>,</w:t>
      </w:r>
      <w:r w:rsidR="007A0B99" w:rsidRPr="00C80B36">
        <w:t xml:space="preserve"> UN CRC</w:t>
      </w:r>
      <w:r w:rsidRPr="00C80B36">
        <w:t xml:space="preserve">. </w:t>
      </w:r>
    </w:p>
  </w:footnote>
  <w:footnote w:id="65">
    <w:p w14:paraId="68546102" w14:textId="2B811CCB" w:rsidR="00763891" w:rsidRPr="00C80B36" w:rsidRDefault="00763891" w:rsidP="009B3DC1">
      <w:pPr>
        <w:pStyle w:val="NIHRCFootnotes"/>
      </w:pPr>
      <w:r w:rsidRPr="00C80B36">
        <w:rPr>
          <w:rStyle w:val="FootnoteReference"/>
        </w:rPr>
        <w:footnoteRef/>
      </w:r>
      <w:r w:rsidRPr="00C80B36">
        <w:t xml:space="preserve"> </w:t>
      </w:r>
      <w:r w:rsidRPr="00C80B36">
        <w:rPr>
          <w:i/>
          <w:iCs/>
        </w:rPr>
        <w:t>C v Romania</w:t>
      </w:r>
      <w:r w:rsidRPr="00C80B36">
        <w:t xml:space="preserve"> (2022)</w:t>
      </w:r>
      <w:r w:rsidR="00E51FA4" w:rsidRPr="00C80B36">
        <w:t xml:space="preserve"> ECHR 635</w:t>
      </w:r>
      <w:r w:rsidRPr="00C80B36">
        <w:t>, at paras 62-66</w:t>
      </w:r>
      <w:r w:rsidR="002E4153" w:rsidRPr="00C80B36">
        <w:t>.</w:t>
      </w:r>
    </w:p>
  </w:footnote>
  <w:footnote w:id="66">
    <w:p w14:paraId="0F24E26C" w14:textId="334EBC98" w:rsidR="006C541B" w:rsidRPr="00C80B36" w:rsidRDefault="006C541B" w:rsidP="009B3DC1">
      <w:pPr>
        <w:pStyle w:val="NIHRCFootnotes"/>
      </w:pPr>
      <w:r w:rsidRPr="00C80B36">
        <w:rPr>
          <w:rStyle w:val="FootnoteReference"/>
        </w:rPr>
        <w:footnoteRef/>
      </w:r>
      <w:r w:rsidRPr="00C80B36">
        <w:t xml:space="preserve"> </w:t>
      </w:r>
      <w:r w:rsidRPr="00C80B36">
        <w:rPr>
          <w:i/>
          <w:iCs/>
        </w:rPr>
        <w:t>Buturugă v Romania</w:t>
      </w:r>
      <w:r w:rsidR="00C8098F">
        <w:t xml:space="preserve"> (2020) ECHR 136</w:t>
      </w:r>
      <w:r w:rsidR="009E0D5B" w:rsidRPr="00C80B36">
        <w:t xml:space="preserve">. </w:t>
      </w:r>
    </w:p>
  </w:footnote>
  <w:footnote w:id="67">
    <w:p w14:paraId="3789A823" w14:textId="12B8E280" w:rsidR="009D55F1" w:rsidRPr="00C80B36" w:rsidRDefault="009D55F1" w:rsidP="009B3DC1">
      <w:pPr>
        <w:pStyle w:val="NIHRCFootnotes"/>
      </w:pPr>
      <w:r w:rsidRPr="00C80B36">
        <w:rPr>
          <w:rStyle w:val="FootnoteReference"/>
        </w:rPr>
        <w:footnoteRef/>
      </w:r>
      <w:r w:rsidRPr="00C80B36">
        <w:t xml:space="preserve"> Including </w:t>
      </w:r>
      <w:r w:rsidR="00C54C57" w:rsidRPr="00C80B36">
        <w:t>cyberbullying by a person’s intimate partner</w:t>
      </w:r>
      <w:r w:rsidR="003841CA" w:rsidRPr="00C80B36">
        <w:t>.</w:t>
      </w:r>
      <w:r w:rsidR="00351203" w:rsidRPr="00C80B36">
        <w:t xml:space="preserve"> </w:t>
      </w:r>
      <w:r w:rsidR="00C8098F">
        <w:t xml:space="preserve">See </w:t>
      </w:r>
      <w:r w:rsidR="003841CA" w:rsidRPr="00C80B36">
        <w:rPr>
          <w:i/>
          <w:iCs/>
        </w:rPr>
        <w:t>Buturugă v Romania</w:t>
      </w:r>
      <w:r w:rsidR="003841CA" w:rsidRPr="00C80B36">
        <w:t xml:space="preserve"> </w:t>
      </w:r>
      <w:r w:rsidR="00C8098F">
        <w:t>(2020) ECHR 136</w:t>
      </w:r>
      <w:r w:rsidR="00C54C57" w:rsidRPr="00C80B36">
        <w:t xml:space="preserve">, </w:t>
      </w:r>
      <w:r w:rsidR="00351203" w:rsidRPr="00C80B36">
        <w:t>at paras</w:t>
      </w:r>
      <w:r w:rsidR="00C54C57" w:rsidRPr="00C80B36">
        <w:t xml:space="preserve"> 74, 78-79; </w:t>
      </w:r>
      <w:r w:rsidR="00C54C57" w:rsidRPr="00C80B36">
        <w:rPr>
          <w:i/>
          <w:iCs/>
        </w:rPr>
        <w:t>Volodina v</w:t>
      </w:r>
      <w:r w:rsidR="00351203" w:rsidRPr="00C80B36">
        <w:rPr>
          <w:i/>
          <w:iCs/>
        </w:rPr>
        <w:t xml:space="preserve"> </w:t>
      </w:r>
      <w:r w:rsidR="00C54C57" w:rsidRPr="00C80B36">
        <w:rPr>
          <w:i/>
          <w:iCs/>
        </w:rPr>
        <w:t>Russia</w:t>
      </w:r>
      <w:r w:rsidR="00C54C57" w:rsidRPr="00C80B36">
        <w:t xml:space="preserve"> (</w:t>
      </w:r>
      <w:r w:rsidR="00C8098F">
        <w:t>No</w:t>
      </w:r>
      <w:r w:rsidR="00C54C57" w:rsidRPr="00C80B36">
        <w:t xml:space="preserve"> 2)</w:t>
      </w:r>
      <w:r w:rsidR="00704821" w:rsidRPr="00C80B36">
        <w:t xml:space="preserve"> (</w:t>
      </w:r>
      <w:r w:rsidR="00C54C57" w:rsidRPr="00C80B36">
        <w:t>2021</w:t>
      </w:r>
      <w:r w:rsidR="00704821" w:rsidRPr="00C80B36">
        <w:t>) ECHR 745</w:t>
      </w:r>
      <w:r w:rsidR="00C54C57" w:rsidRPr="00C80B36">
        <w:t xml:space="preserve">, </w:t>
      </w:r>
      <w:r w:rsidR="00351203" w:rsidRPr="00C80B36">
        <w:t>at paras</w:t>
      </w:r>
      <w:r w:rsidR="00C54C57" w:rsidRPr="00C80B36">
        <w:t xml:space="preserve"> 48-49</w:t>
      </w:r>
      <w:r w:rsidR="00351203" w:rsidRPr="00C80B36">
        <w:t>;</w:t>
      </w:r>
      <w:r w:rsidR="00C54C57" w:rsidRPr="00C80B36">
        <w:t xml:space="preserve"> </w:t>
      </w:r>
      <w:r w:rsidR="00C54C57" w:rsidRPr="00C80B36">
        <w:rPr>
          <w:i/>
          <w:iCs/>
        </w:rPr>
        <w:t>MȘD</w:t>
      </w:r>
      <w:r w:rsidR="00351203" w:rsidRPr="00C80B36">
        <w:rPr>
          <w:i/>
          <w:iCs/>
        </w:rPr>
        <w:t xml:space="preserve"> </w:t>
      </w:r>
      <w:r w:rsidR="00C54C57" w:rsidRPr="00C80B36">
        <w:rPr>
          <w:i/>
          <w:iCs/>
        </w:rPr>
        <w:t>v Romania</w:t>
      </w:r>
      <w:r w:rsidR="00F61833" w:rsidRPr="00C80B36">
        <w:t xml:space="preserve"> (</w:t>
      </w:r>
      <w:r w:rsidR="00C54C57" w:rsidRPr="00C80B36">
        <w:t>2024</w:t>
      </w:r>
      <w:r w:rsidR="00F61833" w:rsidRPr="00C80B36">
        <w:t>) ECHR 887</w:t>
      </w:r>
      <w:r w:rsidR="00C54C57" w:rsidRPr="00C80B36">
        <w:t xml:space="preserve">, </w:t>
      </w:r>
      <w:r w:rsidR="00351203" w:rsidRPr="00C80B36">
        <w:t>at paras</w:t>
      </w:r>
      <w:r w:rsidR="00C54C57" w:rsidRPr="00C80B36">
        <w:t xml:space="preserve"> 118-1</w:t>
      </w:r>
      <w:r w:rsidR="00C8098F">
        <w:t>1</w:t>
      </w:r>
      <w:r w:rsidR="00C54C57" w:rsidRPr="00C80B36">
        <w:t>9</w:t>
      </w:r>
      <w:r w:rsidR="00B470F2" w:rsidRPr="00C80B36">
        <w:t xml:space="preserve">; </w:t>
      </w:r>
      <w:r w:rsidR="00C54C57" w:rsidRPr="00C80B36">
        <w:rPr>
          <w:i/>
          <w:iCs/>
        </w:rPr>
        <w:t>Špadijer v Montenegro</w:t>
      </w:r>
      <w:r w:rsidR="00A23037" w:rsidRPr="00C80B36">
        <w:t xml:space="preserve"> (</w:t>
      </w:r>
      <w:r w:rsidR="00C54C57" w:rsidRPr="00C80B36">
        <w:t>2021</w:t>
      </w:r>
      <w:r w:rsidR="00A23037" w:rsidRPr="00C80B36">
        <w:t>) ECHR 921</w:t>
      </w:r>
      <w:r w:rsidR="00C54C57" w:rsidRPr="00C80B36">
        <w:t>,</w:t>
      </w:r>
      <w:r w:rsidR="00351203" w:rsidRPr="00C80B36">
        <w:t xml:space="preserve"> at para</w:t>
      </w:r>
      <w:r w:rsidR="00C54C57" w:rsidRPr="00C80B36">
        <w:t xml:space="preserve"> 100</w:t>
      </w:r>
      <w:r w:rsidR="00A23037" w:rsidRPr="00C80B36">
        <w:t xml:space="preserve">; </w:t>
      </w:r>
      <w:r w:rsidR="00A23037" w:rsidRPr="00C80B36">
        <w:rPr>
          <w:i/>
          <w:iCs/>
        </w:rPr>
        <w:t>C v Romania</w:t>
      </w:r>
      <w:r w:rsidR="00A23037" w:rsidRPr="00C80B36">
        <w:t xml:space="preserve"> (2022) ECHR 635, at paras</w:t>
      </w:r>
      <w:r w:rsidR="00C54C57" w:rsidRPr="00C80B36">
        <w:t xml:space="preserve"> 67-87</w:t>
      </w:r>
      <w:r w:rsidR="00351203" w:rsidRPr="00C80B36">
        <w:t xml:space="preserve">. </w:t>
      </w:r>
    </w:p>
  </w:footnote>
  <w:footnote w:id="68">
    <w:p w14:paraId="1CECBE49" w14:textId="0872AF78" w:rsidR="00721300" w:rsidRPr="00C80B36" w:rsidRDefault="00721300" w:rsidP="009B3DC1">
      <w:pPr>
        <w:pStyle w:val="NIHRCFootnotes"/>
      </w:pPr>
      <w:r w:rsidRPr="00C80B36">
        <w:rPr>
          <w:rStyle w:val="FootnoteReference"/>
        </w:rPr>
        <w:footnoteRef/>
      </w:r>
      <w:r w:rsidRPr="00C80B36">
        <w:t xml:space="preserve"> </w:t>
      </w:r>
      <w:r w:rsidR="008B4625" w:rsidRPr="00C80B36">
        <w:rPr>
          <w:i/>
          <w:iCs/>
        </w:rPr>
        <w:t>Sandra Janković v Croatia</w:t>
      </w:r>
      <w:r w:rsidR="008B4625" w:rsidRPr="00C80B36">
        <w:t xml:space="preserve"> (2008) ECHR 24</w:t>
      </w:r>
      <w:r w:rsidR="008A25E2" w:rsidRPr="00C80B36">
        <w:t>, at para 45.</w:t>
      </w:r>
    </w:p>
  </w:footnote>
  <w:footnote w:id="69">
    <w:p w14:paraId="29FFB509" w14:textId="48A76312" w:rsidR="00AC19D6" w:rsidRPr="00C80B36" w:rsidRDefault="00AC19D6" w:rsidP="009B3DC1">
      <w:pPr>
        <w:pStyle w:val="NIHRCFootnotes"/>
      </w:pPr>
      <w:r w:rsidRPr="00C80B36">
        <w:rPr>
          <w:rStyle w:val="FootnoteReference"/>
        </w:rPr>
        <w:footnoteRef/>
      </w:r>
      <w:r w:rsidRPr="00C80B36">
        <w:t xml:space="preserve"> </w:t>
      </w:r>
      <w:r w:rsidRPr="00C80B36">
        <w:rPr>
          <w:i/>
          <w:iCs/>
        </w:rPr>
        <w:t>López Ribalda and Others v Spain</w:t>
      </w:r>
      <w:r w:rsidRPr="00C80B36">
        <w:t xml:space="preserve"> (2019)</w:t>
      </w:r>
      <w:r w:rsidR="00F42CF7" w:rsidRPr="00C80B36">
        <w:t xml:space="preserve"> ECHR 752</w:t>
      </w:r>
      <w:r w:rsidRPr="00C80B36">
        <w:t>, at paras 87-91.</w:t>
      </w:r>
    </w:p>
  </w:footnote>
  <w:footnote w:id="70">
    <w:p w14:paraId="74A6AEAC" w14:textId="15E24052" w:rsidR="00A13F04" w:rsidRPr="00C80B36" w:rsidRDefault="00A13F04" w:rsidP="009B3DC1">
      <w:pPr>
        <w:pStyle w:val="NIHRCFootnotes"/>
      </w:pPr>
      <w:r w:rsidRPr="00C80B36">
        <w:rPr>
          <w:rStyle w:val="FootnoteReference"/>
        </w:rPr>
        <w:footnoteRef/>
      </w:r>
      <w:r w:rsidRPr="00C80B36">
        <w:t xml:space="preserve"> </w:t>
      </w:r>
      <w:r w:rsidR="002076F1" w:rsidRPr="00C80B36">
        <w:rPr>
          <w:i/>
          <w:iCs/>
        </w:rPr>
        <w:t>Biriuk v Lithuania</w:t>
      </w:r>
      <w:r w:rsidR="002076F1" w:rsidRPr="00C80B36">
        <w:t xml:space="preserve"> (2008) ECHR 1528, at paras</w:t>
      </w:r>
      <w:r w:rsidR="00603FAA" w:rsidRPr="00C80B36">
        <w:t xml:space="preserve"> 39-42.</w:t>
      </w:r>
    </w:p>
  </w:footnote>
  <w:footnote w:id="71">
    <w:p w14:paraId="354AC377" w14:textId="54148890" w:rsidR="002F03C6" w:rsidRPr="00C80B36" w:rsidRDefault="002F03C6" w:rsidP="009B3DC1">
      <w:pPr>
        <w:pStyle w:val="NIHRCFootnotes"/>
      </w:pPr>
      <w:r w:rsidRPr="00C80B36">
        <w:rPr>
          <w:rStyle w:val="FootnoteReference"/>
        </w:rPr>
        <w:footnoteRef/>
      </w:r>
      <w:r w:rsidRPr="00C80B36">
        <w:t xml:space="preserve"> </w:t>
      </w:r>
      <w:r w:rsidRPr="00C80B36">
        <w:rPr>
          <w:i/>
          <w:iCs/>
        </w:rPr>
        <w:t>MC v Bulgaria</w:t>
      </w:r>
      <w:r w:rsidRPr="00C80B36">
        <w:t xml:space="preserve"> (2003) ECHR 646, at para 166</w:t>
      </w:r>
      <w:r w:rsidR="008E3507" w:rsidRPr="00C80B36">
        <w:t xml:space="preserve">; </w:t>
      </w:r>
      <w:r w:rsidR="008E3507" w:rsidRPr="00C80B36">
        <w:rPr>
          <w:i/>
          <w:iCs/>
        </w:rPr>
        <w:t>Söderman v Sweden</w:t>
      </w:r>
      <w:r w:rsidR="008E3507" w:rsidRPr="00C80B36">
        <w:t xml:space="preserve"> </w:t>
      </w:r>
      <w:r w:rsidR="00476D3D" w:rsidRPr="00C80B36">
        <w:t>(</w:t>
      </w:r>
      <w:r w:rsidR="008E3507" w:rsidRPr="00C80B36">
        <w:t>2013</w:t>
      </w:r>
      <w:r w:rsidR="00476D3D" w:rsidRPr="00C80B36">
        <w:t xml:space="preserve">) </w:t>
      </w:r>
      <w:r w:rsidR="00B41C26" w:rsidRPr="00C80B36">
        <w:t>ECHR 128</w:t>
      </w:r>
      <w:r w:rsidR="00E52D88" w:rsidRPr="00C80B36">
        <w:t>.</w:t>
      </w:r>
    </w:p>
  </w:footnote>
  <w:footnote w:id="72">
    <w:p w14:paraId="39BCAD54" w14:textId="11076EEF" w:rsidR="001C2CC6" w:rsidRDefault="001C2CC6" w:rsidP="009B3DC1">
      <w:pPr>
        <w:pStyle w:val="NIHRCFootnotes"/>
      </w:pPr>
      <w:r>
        <w:rPr>
          <w:rStyle w:val="FootnoteReference"/>
        </w:rPr>
        <w:footnoteRef/>
      </w:r>
      <w:r>
        <w:t xml:space="preserve"> </w:t>
      </w:r>
      <w:r w:rsidRPr="00C80B36">
        <w:t>CAT/C/GBR/CO/6, ‘UN CAT Committee Concluding Observations on the Sixth Periodic Report of the UK of Great Britain and NI’, 7 June 2019</w:t>
      </w:r>
      <w:r>
        <w:t>,</w:t>
      </w:r>
      <w:r w:rsidRPr="00C80B36">
        <w:t xml:space="preserve"> at para 57(a)</w:t>
      </w:r>
      <w:r>
        <w:t>.</w:t>
      </w:r>
    </w:p>
  </w:footnote>
  <w:footnote w:id="73">
    <w:p w14:paraId="60B6BF38" w14:textId="156867A0" w:rsidR="00565882" w:rsidRPr="00C80B36" w:rsidRDefault="00565882" w:rsidP="009B3DC1">
      <w:pPr>
        <w:pStyle w:val="NIHRCFootnotes"/>
      </w:pPr>
      <w:r w:rsidRPr="00C80B36">
        <w:rPr>
          <w:rStyle w:val="FootnoteReference"/>
        </w:rPr>
        <w:footnoteRef/>
      </w:r>
      <w:r w:rsidRPr="00C80B36">
        <w:t xml:space="preserve"> </w:t>
      </w:r>
      <w:r w:rsidR="007075CE" w:rsidRPr="00C80B36">
        <w:rPr>
          <w:i/>
          <w:iCs/>
        </w:rPr>
        <w:t>Kudła v Poland</w:t>
      </w:r>
      <w:r w:rsidR="007075CE" w:rsidRPr="00C80B36">
        <w:t xml:space="preserve"> (2000)</w:t>
      </w:r>
      <w:r w:rsidR="005C53D2" w:rsidRPr="00C80B36">
        <w:t xml:space="preserve"> ECHR 512</w:t>
      </w:r>
      <w:r w:rsidR="007075CE" w:rsidRPr="00C80B36">
        <w:t>, at para 152</w:t>
      </w:r>
      <w:r w:rsidR="00FB3B3F" w:rsidRPr="00C80B36">
        <w:t>.</w:t>
      </w:r>
    </w:p>
  </w:footnote>
  <w:footnote w:id="74">
    <w:p w14:paraId="17C36663" w14:textId="634AA8BE" w:rsidR="002E4DA7" w:rsidRPr="00C80B36" w:rsidRDefault="002E4DA7" w:rsidP="009B3DC1">
      <w:pPr>
        <w:pStyle w:val="NIHRCFootnotes"/>
      </w:pPr>
      <w:r w:rsidRPr="00C80B36">
        <w:rPr>
          <w:rStyle w:val="FootnoteReference"/>
        </w:rPr>
        <w:footnoteRef/>
      </w:r>
      <w:r w:rsidRPr="00C80B36">
        <w:t xml:space="preserve"> </w:t>
      </w:r>
      <w:r w:rsidR="00426404">
        <w:t>Ibid</w:t>
      </w:r>
      <w:r w:rsidRPr="00C80B36">
        <w:t>.</w:t>
      </w:r>
    </w:p>
  </w:footnote>
  <w:footnote w:id="75">
    <w:p w14:paraId="1289150F" w14:textId="07E8979D" w:rsidR="002E4DA7" w:rsidRPr="00C80B36" w:rsidRDefault="002E4DA7" w:rsidP="009B3DC1">
      <w:pPr>
        <w:pStyle w:val="NIHRCFootnotes"/>
      </w:pPr>
      <w:r w:rsidRPr="00C80B36">
        <w:rPr>
          <w:rStyle w:val="FootnoteReference"/>
        </w:rPr>
        <w:footnoteRef/>
      </w:r>
      <w:r w:rsidRPr="00C80B36">
        <w:t xml:space="preserve"> </w:t>
      </w:r>
      <w:r w:rsidR="00426404">
        <w:t>Ibid</w:t>
      </w:r>
      <w:r w:rsidRPr="00C80B36">
        <w:t>.</w:t>
      </w:r>
    </w:p>
  </w:footnote>
  <w:footnote w:id="76">
    <w:p w14:paraId="5AD69653" w14:textId="5718A58C" w:rsidR="00CC5BA7" w:rsidRPr="00C80B36" w:rsidRDefault="00CC5BA7" w:rsidP="009B3DC1">
      <w:pPr>
        <w:pStyle w:val="NIHRCFootnotes"/>
      </w:pPr>
      <w:r w:rsidRPr="00C80B36">
        <w:rPr>
          <w:rStyle w:val="FootnoteReference"/>
        </w:rPr>
        <w:footnoteRef/>
      </w:r>
      <w:r w:rsidRPr="00C80B36">
        <w:t xml:space="preserve"> </w:t>
      </w:r>
      <w:r w:rsidR="00E860E7" w:rsidRPr="00C80B36">
        <w:t xml:space="preserve">Article 14 </w:t>
      </w:r>
      <w:r w:rsidR="00305069" w:rsidRPr="00C80B36">
        <w:t xml:space="preserve">of the </w:t>
      </w:r>
      <w:r w:rsidR="00E860E7" w:rsidRPr="00C80B36">
        <w:t xml:space="preserve">ECHR </w:t>
      </w:r>
      <w:r w:rsidR="00F46D64">
        <w:t>states that “t</w:t>
      </w:r>
      <w:r w:rsidR="00040B40" w:rsidRPr="00C80B36">
        <w:t>he enjoyment of the rights and freedoms set forth in [the</w:t>
      </w:r>
      <w:r w:rsidR="00F30F72">
        <w:t xml:space="preserve"> </w:t>
      </w:r>
      <w:r w:rsidR="00F30F72">
        <w:t>ECHR</w:t>
      </w:r>
      <w:r w:rsidR="00040B40" w:rsidRPr="00C80B36">
        <w:t>]</w:t>
      </w:r>
      <w:r w:rsidR="00F30F72">
        <w:t>…</w:t>
      </w:r>
      <w:r w:rsidR="00040B40" w:rsidRPr="00C80B36">
        <w:t xml:space="preserve"> shall be secured without discrimination on any ground such as sex, race, colour, language, religion, political or other opinion, national or social origin, association with a national minority, property, birth or other status”</w:t>
      </w:r>
      <w:r w:rsidR="007D75AD" w:rsidRPr="00C80B36">
        <w:t xml:space="preserve">. </w:t>
      </w:r>
      <w:r w:rsidR="00E91737" w:rsidRPr="00C80B36">
        <w:t xml:space="preserve">This means that Article 14 </w:t>
      </w:r>
      <w:r w:rsidR="00F30F72">
        <w:t xml:space="preserve">of the ECHR </w:t>
      </w:r>
      <w:r w:rsidR="00E91737" w:rsidRPr="00C80B36">
        <w:t>does not prohibit discrimination as such, but only discrimination in the enjoyment of the “rights and freedoms set forth in the Convention”</w:t>
      </w:r>
      <w:r w:rsidR="00B94996" w:rsidRPr="00C80B36">
        <w:t xml:space="preserve">. Thus, </w:t>
      </w:r>
      <w:r w:rsidR="004724E7" w:rsidRPr="00C80B36">
        <w:t xml:space="preserve">Article 14 </w:t>
      </w:r>
      <w:r w:rsidR="00F30F72">
        <w:t xml:space="preserve">of the ECHR </w:t>
      </w:r>
      <w:r w:rsidR="004724E7" w:rsidRPr="00C80B36">
        <w:t>is not a ‘free-standing’ right, but is</w:t>
      </w:r>
      <w:r w:rsidR="00E91737" w:rsidRPr="00C80B36">
        <w:t xml:space="preserve"> of an</w:t>
      </w:r>
      <w:r w:rsidR="007D75AD" w:rsidRPr="00C80B36">
        <w:t xml:space="preserve"> </w:t>
      </w:r>
      <w:r w:rsidR="002269EB" w:rsidRPr="00C80B36">
        <w:t xml:space="preserve">ancillary </w:t>
      </w:r>
      <w:r w:rsidR="00E91737" w:rsidRPr="00C80B36">
        <w:t>nature to other EHRC rights.</w:t>
      </w:r>
      <w:r w:rsidR="00E11789" w:rsidRPr="00C80B36">
        <w:t xml:space="preserve"> </w:t>
      </w:r>
      <w:r w:rsidR="00152E62">
        <w:t xml:space="preserve">See </w:t>
      </w:r>
      <w:r w:rsidR="00E11789" w:rsidRPr="00C80B36">
        <w:t>ECtHR</w:t>
      </w:r>
      <w:r w:rsidR="00955E22" w:rsidRPr="00C80B36">
        <w:t>,</w:t>
      </w:r>
      <w:r w:rsidR="00E11789" w:rsidRPr="00C80B36">
        <w:t xml:space="preserve"> </w:t>
      </w:r>
      <w:r w:rsidR="00955E22" w:rsidRPr="00C80B36">
        <w:t>‘</w:t>
      </w:r>
      <w:r w:rsidR="003115C9" w:rsidRPr="00C80B36">
        <w:t>Guide on Article 14 of the European Convention on Human Rights and on Article 1 of Protocol No 12 to the Convention</w:t>
      </w:r>
      <w:r w:rsidR="00955E22" w:rsidRPr="00C80B36">
        <w:t>’ (</w:t>
      </w:r>
      <w:r w:rsidR="00955E22" w:rsidRPr="00C80B36">
        <w:t>CoE,</w:t>
      </w:r>
      <w:r w:rsidR="007F5BA0" w:rsidRPr="00C80B36">
        <w:t xml:space="preserve"> 2025), at</w:t>
      </w:r>
      <w:r w:rsidR="00E11789" w:rsidRPr="00C80B36">
        <w:t xml:space="preserve"> 7.</w:t>
      </w:r>
    </w:p>
  </w:footnote>
  <w:footnote w:id="77">
    <w:p w14:paraId="473ADB11" w14:textId="77777777" w:rsidR="00E34FE8" w:rsidRPr="00C80B36" w:rsidRDefault="00E34FE8" w:rsidP="009B3DC1">
      <w:pPr>
        <w:pStyle w:val="NIHRCFootnotes"/>
      </w:pPr>
      <w:r w:rsidRPr="00C80B36">
        <w:rPr>
          <w:rStyle w:val="FootnoteReference"/>
        </w:rPr>
        <w:footnoteRef/>
      </w:r>
      <w:r w:rsidRPr="00C80B36">
        <w:t xml:space="preserve"> Department of Justice, ‘A Consultation on Proposals to Criminalise Sexually Explicit Deepfake Images’ (DoJ, 2025). </w:t>
      </w:r>
    </w:p>
  </w:footnote>
  <w:footnote w:id="78">
    <w:p w14:paraId="72342666" w14:textId="5683B438" w:rsidR="002908D0" w:rsidRPr="00C80B36" w:rsidRDefault="002908D0" w:rsidP="009B3DC1">
      <w:pPr>
        <w:pStyle w:val="NIHRCFootnotes"/>
      </w:pPr>
      <w:r w:rsidRPr="00C80B36">
        <w:rPr>
          <w:rStyle w:val="FootnoteReference"/>
        </w:rPr>
        <w:footnoteRef/>
      </w:r>
      <w:r w:rsidRPr="00C80B36">
        <w:t xml:space="preserve"> </w:t>
      </w:r>
      <w:bookmarkStart w:id="8" w:name="_bookmark0"/>
      <w:bookmarkStart w:id="9" w:name="_bookmark1"/>
      <w:bookmarkStart w:id="10" w:name="_bookmark2"/>
      <w:bookmarkEnd w:id="8"/>
      <w:bookmarkEnd w:id="9"/>
      <w:bookmarkEnd w:id="10"/>
      <w:r w:rsidR="00A01645" w:rsidRPr="00C80B36">
        <w:t>CEDAW/C/GC/35, ‘UN CEDAW Committee General Recommendation No 35: Gender-based Violence Against Women,</w:t>
      </w:r>
      <w:r w:rsidR="00EE0265" w:rsidRPr="00C80B36">
        <w:t xml:space="preserve"> </w:t>
      </w:r>
      <w:r w:rsidR="00A01645" w:rsidRPr="00C80B36">
        <w:t>Updating General Recommendation No 19’, 26 July 2017, at para 29(c)(</w:t>
      </w:r>
      <w:r w:rsidR="00A01645" w:rsidRPr="00C80B36">
        <w:t>i); CoE Convention on Preventing and Combating Violence Against Women and Domestic Violence 2011.</w:t>
      </w:r>
    </w:p>
  </w:footnote>
  <w:footnote w:id="79">
    <w:p w14:paraId="2352EF7A" w14:textId="7043BA23" w:rsidR="00030163" w:rsidRPr="00C80B36" w:rsidRDefault="00030163" w:rsidP="009B3DC1">
      <w:pPr>
        <w:pStyle w:val="NIHRCFootnotes"/>
      </w:pPr>
      <w:r w:rsidRPr="00C80B36">
        <w:rPr>
          <w:rStyle w:val="FootnoteReference"/>
        </w:rPr>
        <w:footnoteRef/>
      </w:r>
      <w:r w:rsidRPr="00C80B36">
        <w:t xml:space="preserve"> </w:t>
      </w:r>
      <w:r w:rsidR="00426404">
        <w:t>Ibid</w:t>
      </w:r>
      <w:r w:rsidRPr="00C80B36">
        <w:t>.</w:t>
      </w:r>
    </w:p>
  </w:footnote>
  <w:footnote w:id="80">
    <w:p w14:paraId="29798F60" w14:textId="77338703" w:rsidR="00586EE0" w:rsidRPr="00C80B36" w:rsidRDefault="00586EE0" w:rsidP="009B3DC1">
      <w:pPr>
        <w:pStyle w:val="NIHRCFootnotes"/>
      </w:pPr>
      <w:r w:rsidRPr="00C80B36">
        <w:rPr>
          <w:rStyle w:val="FootnoteReference"/>
        </w:rPr>
        <w:footnoteRef/>
      </w:r>
      <w:r w:rsidRPr="00C80B36">
        <w:t xml:space="preserve"> CEDAW/C/GC/35, ‘UN CEDAW Committee General Recommendation No 35: Gender-based Violence Against Women, Updating General Recommendation No 19’, 26 July 2017, at para 2</w:t>
      </w:r>
      <w:r w:rsidR="00FB50EF" w:rsidRPr="00C80B36">
        <w:t>0</w:t>
      </w:r>
      <w:r w:rsidRPr="00C80B36">
        <w:t>.</w:t>
      </w:r>
    </w:p>
  </w:footnote>
  <w:footnote w:id="81">
    <w:p w14:paraId="4226ABC6" w14:textId="047E2A90" w:rsidR="00D60BE3" w:rsidRPr="00C80B36" w:rsidRDefault="00D60BE3" w:rsidP="009B3DC1">
      <w:pPr>
        <w:pStyle w:val="NIHRCFootnotes"/>
      </w:pPr>
      <w:r w:rsidRPr="00C80B36">
        <w:rPr>
          <w:rStyle w:val="FootnoteReference"/>
        </w:rPr>
        <w:footnoteRef/>
      </w:r>
      <w:r w:rsidRPr="00C80B36">
        <w:t xml:space="preserve"> </w:t>
      </w:r>
      <w:r w:rsidR="00426404">
        <w:t>Ibid</w:t>
      </w:r>
      <w:r w:rsidRPr="00C80B36">
        <w:t>.</w:t>
      </w:r>
    </w:p>
  </w:footnote>
  <w:footnote w:id="82">
    <w:p w14:paraId="59169F4C" w14:textId="39A4DB4F" w:rsidR="00B009F5" w:rsidRPr="00C80B36" w:rsidRDefault="00B009F5" w:rsidP="009B3DC1">
      <w:pPr>
        <w:pStyle w:val="NIHRCFootnotes"/>
      </w:pPr>
      <w:r w:rsidRPr="00C80B36">
        <w:rPr>
          <w:rStyle w:val="FootnoteReference"/>
        </w:rPr>
        <w:footnoteRef/>
      </w:r>
      <w:r w:rsidRPr="00C80B36">
        <w:t xml:space="preserve"> </w:t>
      </w:r>
      <w:r w:rsidR="00426404">
        <w:t>Ibid</w:t>
      </w:r>
      <w:r w:rsidRPr="00C80B36">
        <w:t>, at para 21.</w:t>
      </w:r>
    </w:p>
  </w:footnote>
  <w:footnote w:id="83">
    <w:p w14:paraId="31990AC0" w14:textId="498E9098" w:rsidR="00133B31" w:rsidRPr="00C80B36" w:rsidRDefault="00133B31" w:rsidP="009B3DC1">
      <w:pPr>
        <w:pStyle w:val="NIHRCFootnotes"/>
      </w:pPr>
      <w:r w:rsidRPr="00C80B36">
        <w:rPr>
          <w:rStyle w:val="FootnoteReference"/>
        </w:rPr>
        <w:footnoteRef/>
      </w:r>
      <w:r w:rsidRPr="00C80B36">
        <w:t xml:space="preserve"> </w:t>
      </w:r>
      <w:r w:rsidR="00426404">
        <w:t>Ibid</w:t>
      </w:r>
      <w:r w:rsidRPr="00C80B36">
        <w:t>.</w:t>
      </w:r>
    </w:p>
  </w:footnote>
  <w:footnote w:id="84">
    <w:p w14:paraId="252DB300" w14:textId="3F062B84" w:rsidR="00AE64F5" w:rsidRPr="00C80B36" w:rsidRDefault="00AE64F5" w:rsidP="009B3DC1">
      <w:pPr>
        <w:pStyle w:val="NIHRCFootnotes"/>
      </w:pPr>
      <w:r w:rsidRPr="00C80B36">
        <w:rPr>
          <w:rStyle w:val="FootnoteReference"/>
        </w:rPr>
        <w:footnoteRef/>
      </w:r>
      <w:r w:rsidRPr="00C80B36">
        <w:t xml:space="preserve"> Article 7</w:t>
      </w:r>
      <w:r w:rsidR="00637064">
        <w:t>, UN</w:t>
      </w:r>
      <w:r w:rsidRPr="00C80B36">
        <w:t xml:space="preserve"> C</w:t>
      </w:r>
      <w:r w:rsidR="00637064">
        <w:t>onvention on the Elimination of All Forms of Discrimination against Women 1981</w:t>
      </w:r>
      <w:r w:rsidRPr="00C80B36">
        <w:t>;</w:t>
      </w:r>
      <w:r w:rsidR="00722A2C" w:rsidRPr="00C80B36">
        <w:t xml:space="preserve"> </w:t>
      </w:r>
      <w:r w:rsidR="009668E4" w:rsidRPr="00C80B36">
        <w:t>A/52/38, ‘UN CEDAW Committee General Recommendation No</w:t>
      </w:r>
      <w:r w:rsidR="00911647" w:rsidRPr="00C80B36">
        <w:t xml:space="preserve"> </w:t>
      </w:r>
      <w:r w:rsidR="00722A2C" w:rsidRPr="00C80B36">
        <w:t>23: Political and Public Life</w:t>
      </w:r>
      <w:r w:rsidR="009668E4" w:rsidRPr="00C80B36">
        <w:t>’</w:t>
      </w:r>
      <w:r w:rsidR="00DC6101" w:rsidRPr="00C80B36">
        <w:t>,</w:t>
      </w:r>
      <w:r w:rsidR="008F0B29" w:rsidRPr="00C80B36">
        <w:t xml:space="preserve"> 1997.</w:t>
      </w:r>
    </w:p>
  </w:footnote>
  <w:footnote w:id="85">
    <w:p w14:paraId="705C9DE7" w14:textId="1B849BF5" w:rsidR="008E3DE0" w:rsidRPr="00C80B36" w:rsidRDefault="008E3DE0" w:rsidP="009B3DC1">
      <w:pPr>
        <w:pStyle w:val="NIHRCFootnotes"/>
      </w:pPr>
      <w:r w:rsidRPr="00C80B36">
        <w:rPr>
          <w:rStyle w:val="FootnoteReference"/>
        </w:rPr>
        <w:footnoteRef/>
      </w:r>
      <w:r w:rsidRPr="00C80B36">
        <w:t xml:space="preserve"> See </w:t>
      </w:r>
      <w:r w:rsidR="00637064">
        <w:t>A</w:t>
      </w:r>
      <w:r w:rsidRPr="00C80B36">
        <w:t xml:space="preserve">rticles 33, 34, 35, 36, 40 and 49 of the Istanbul Convention. </w:t>
      </w:r>
    </w:p>
  </w:footnote>
  <w:footnote w:id="86">
    <w:p w14:paraId="751704AE" w14:textId="5D2444BB" w:rsidR="00C36FF2" w:rsidRPr="00C80B36" w:rsidRDefault="00C36FF2" w:rsidP="009B3DC1">
      <w:pPr>
        <w:pStyle w:val="NIHRCFootnotes"/>
      </w:pPr>
      <w:r w:rsidRPr="00C80B36">
        <w:rPr>
          <w:rStyle w:val="FootnoteReference"/>
        </w:rPr>
        <w:footnoteRef/>
      </w:r>
      <w:r w:rsidRPr="00C80B36">
        <w:t xml:space="preserve"> </w:t>
      </w:r>
      <w:r w:rsidR="00CB5739" w:rsidRPr="00C80B36">
        <w:t>GREVIO(2021)20, ‘</w:t>
      </w:r>
      <w:r w:rsidR="009C0337">
        <w:t xml:space="preserve">CoE </w:t>
      </w:r>
      <w:r w:rsidR="00CB5739" w:rsidRPr="00C80B36">
        <w:t>GREVIO</w:t>
      </w:r>
      <w:r w:rsidR="009C0337">
        <w:t xml:space="preserve"> Committee</w:t>
      </w:r>
      <w:r w:rsidR="00CB5739" w:rsidRPr="00C80B36">
        <w:t xml:space="preserve"> General Recommendation No 1</w:t>
      </w:r>
      <w:r w:rsidR="009C0337">
        <w:t>: D</w:t>
      </w:r>
      <w:r w:rsidR="00CB5739" w:rsidRPr="00C80B36">
        <w:t xml:space="preserve">igital </w:t>
      </w:r>
      <w:r w:rsidR="009C0337">
        <w:t>D</w:t>
      </w:r>
      <w:r w:rsidR="00CB5739" w:rsidRPr="00C80B36">
        <w:t xml:space="preserve">imension of </w:t>
      </w:r>
      <w:r w:rsidR="009C0337">
        <w:t>V</w:t>
      </w:r>
      <w:r w:rsidR="00CB5739" w:rsidRPr="00C80B36">
        <w:t xml:space="preserve">iolence </w:t>
      </w:r>
      <w:r w:rsidR="009C0337">
        <w:t>A</w:t>
      </w:r>
      <w:r w:rsidR="00CB5739" w:rsidRPr="00C80B36">
        <w:t xml:space="preserve">gainst </w:t>
      </w:r>
      <w:r w:rsidR="009C0337">
        <w:t>W</w:t>
      </w:r>
      <w:r w:rsidR="00CB5739" w:rsidRPr="00C80B36">
        <w:t>omen’ (GREVIO, 2021)</w:t>
      </w:r>
      <w:r w:rsidR="009C0337">
        <w:t>,</w:t>
      </w:r>
      <w:r w:rsidR="00CB5739" w:rsidRPr="00C80B36">
        <w:t xml:space="preserve"> at para 33.</w:t>
      </w:r>
    </w:p>
  </w:footnote>
  <w:footnote w:id="87">
    <w:p w14:paraId="0C0F7921" w14:textId="092F923A" w:rsidR="00095206" w:rsidRPr="00C80B36" w:rsidRDefault="00095206" w:rsidP="009B3DC1">
      <w:pPr>
        <w:pStyle w:val="NIHRCFootnotes"/>
      </w:pPr>
      <w:r w:rsidRPr="00C80B36">
        <w:rPr>
          <w:rStyle w:val="FootnoteReference"/>
        </w:rPr>
        <w:footnoteRef/>
      </w:r>
      <w:r w:rsidRPr="00C80B36">
        <w:t xml:space="preserve"> Article 7</w:t>
      </w:r>
      <w:r w:rsidR="009C0337">
        <w:t xml:space="preserve">, </w:t>
      </w:r>
      <w:r w:rsidRPr="00C80B36">
        <w:t xml:space="preserve">Istanbul Convention; </w:t>
      </w:r>
      <w:r w:rsidR="009C0337" w:rsidRPr="00C80B36">
        <w:t>GREVIO(2021)20, ‘</w:t>
      </w:r>
      <w:r w:rsidR="009C0337">
        <w:t xml:space="preserve">CoE </w:t>
      </w:r>
      <w:r w:rsidR="009C0337" w:rsidRPr="00C80B36">
        <w:t>GREVIO</w:t>
      </w:r>
      <w:r w:rsidR="009C0337">
        <w:t xml:space="preserve"> Committee</w:t>
      </w:r>
      <w:r w:rsidR="009C0337" w:rsidRPr="00C80B36">
        <w:t xml:space="preserve"> General Recommendation No 1</w:t>
      </w:r>
      <w:r w:rsidR="009C0337">
        <w:t>: D</w:t>
      </w:r>
      <w:r w:rsidR="009C0337" w:rsidRPr="00C80B36">
        <w:t xml:space="preserve">igital </w:t>
      </w:r>
      <w:r w:rsidR="009C0337">
        <w:t>D</w:t>
      </w:r>
      <w:r w:rsidR="009C0337" w:rsidRPr="00C80B36">
        <w:t xml:space="preserve">imension of </w:t>
      </w:r>
      <w:r w:rsidR="009C0337">
        <w:t>V</w:t>
      </w:r>
      <w:r w:rsidR="009C0337" w:rsidRPr="00C80B36">
        <w:t xml:space="preserve">iolence </w:t>
      </w:r>
      <w:r w:rsidR="009C0337">
        <w:t>A</w:t>
      </w:r>
      <w:r w:rsidR="009C0337" w:rsidRPr="00C80B36">
        <w:t xml:space="preserve">gainst </w:t>
      </w:r>
      <w:r w:rsidR="009C0337">
        <w:t>W</w:t>
      </w:r>
      <w:r w:rsidR="009C0337" w:rsidRPr="00C80B36">
        <w:t>omen’ (GREVIO, 2021)</w:t>
      </w:r>
      <w:r w:rsidR="009C0337">
        <w:t>.</w:t>
      </w:r>
    </w:p>
  </w:footnote>
  <w:footnote w:id="88">
    <w:p w14:paraId="7861E46A" w14:textId="66DE847A" w:rsidR="00EC30DB" w:rsidRPr="00C80B36" w:rsidRDefault="00EC30DB" w:rsidP="009B3DC1">
      <w:pPr>
        <w:pStyle w:val="NIHRCFootnotes"/>
      </w:pPr>
      <w:r w:rsidRPr="00C80B36">
        <w:rPr>
          <w:rStyle w:val="FootnoteReference"/>
        </w:rPr>
        <w:footnoteRef/>
      </w:r>
      <w:r w:rsidRPr="00C80B36">
        <w:t xml:space="preserve"> </w:t>
      </w:r>
      <w:r w:rsidR="006143AD" w:rsidRPr="00C80B36">
        <w:rPr>
          <w:rStyle w:val="FootnoteReference"/>
          <w:vertAlign w:val="baseline"/>
        </w:rPr>
        <w:t>Article 5(2) of the Istanbul Convention requires States to take the necessary legislative and other measures</w:t>
      </w:r>
      <w:r w:rsidR="00F45CE2" w:rsidRPr="00C80B36">
        <w:t xml:space="preserve"> </w:t>
      </w:r>
      <w:r w:rsidR="006143AD" w:rsidRPr="00C80B36">
        <w:rPr>
          <w:rStyle w:val="FootnoteReference"/>
          <w:vertAlign w:val="baseline"/>
        </w:rPr>
        <w:t>to exercise due diligence in preventing, investigating, punishing, and providing reparation for acts of violence</w:t>
      </w:r>
      <w:r w:rsidR="00F45CE2" w:rsidRPr="00C80B36">
        <w:t xml:space="preserve"> </w:t>
      </w:r>
      <w:r w:rsidR="006143AD" w:rsidRPr="00C80B36">
        <w:rPr>
          <w:rStyle w:val="FootnoteReference"/>
          <w:vertAlign w:val="baseline"/>
        </w:rPr>
        <w:t>covered by the Convention</w:t>
      </w:r>
      <w:r w:rsidR="00AE097A" w:rsidRPr="00C80B36">
        <w:t xml:space="preserve"> perpetrated by non-state actors. </w:t>
      </w:r>
      <w:r w:rsidR="0094166F" w:rsidRPr="00C80B36">
        <w:t xml:space="preserve">Similarly, </w:t>
      </w:r>
      <w:r w:rsidR="007C64E1" w:rsidRPr="00C80B36">
        <w:t>Article 49</w:t>
      </w:r>
      <w:r w:rsidR="00D85755" w:rsidRPr="00C80B36">
        <w:t xml:space="preserve"> </w:t>
      </w:r>
      <w:r w:rsidR="00886F68" w:rsidRPr="00C80B36">
        <w:t xml:space="preserve">of the </w:t>
      </w:r>
      <w:r w:rsidR="00E25ABA">
        <w:t xml:space="preserve">Istanbul </w:t>
      </w:r>
      <w:r w:rsidR="00886F68" w:rsidRPr="00C80B36">
        <w:t>Convention</w:t>
      </w:r>
      <w:r w:rsidR="0094166F" w:rsidRPr="00C80B36">
        <w:t xml:space="preserve"> requires States to </w:t>
      </w:r>
      <w:r w:rsidR="00E23179" w:rsidRPr="00C80B36">
        <w:t>ensure that investigations and judicial proceedings</w:t>
      </w:r>
      <w:r w:rsidR="002B5287" w:rsidRPr="00C80B36">
        <w:t xml:space="preserve"> are carried out without undue delay while taking into consideration the rights of the victim during all stages of the criminal proceedings and having regard to the gendered understanding of violence</w:t>
      </w:r>
      <w:r w:rsidR="00D85755" w:rsidRPr="00C80B36">
        <w:t>.</w:t>
      </w:r>
    </w:p>
  </w:footnote>
  <w:footnote w:id="89">
    <w:p w14:paraId="4EF941D8" w14:textId="50B1792B" w:rsidR="00851F0F" w:rsidRPr="00C80B36" w:rsidRDefault="00851F0F" w:rsidP="009B3DC1">
      <w:pPr>
        <w:pStyle w:val="NIHRCFootnotes"/>
      </w:pPr>
      <w:r w:rsidRPr="00C80B36">
        <w:rPr>
          <w:rStyle w:val="FootnoteReference"/>
        </w:rPr>
        <w:footnoteRef/>
      </w:r>
      <w:r w:rsidRPr="00C80B36">
        <w:t xml:space="preserve"> </w:t>
      </w:r>
      <w:r w:rsidR="00E25ABA">
        <w:t xml:space="preserve">CoE </w:t>
      </w:r>
      <w:r w:rsidR="001544BA" w:rsidRPr="00C80B36">
        <w:t xml:space="preserve">European Convention on Cybercrime (Budapest Convention); </w:t>
      </w:r>
      <w:r w:rsidR="00A46554" w:rsidRPr="00C80B36">
        <w:t xml:space="preserve">Adriane van der Wilk, ‘Protecting Women and Girls from Violence in the Digital Age: The </w:t>
      </w:r>
      <w:r w:rsidR="00E25ABA">
        <w:t>R</w:t>
      </w:r>
      <w:r w:rsidR="00A46554" w:rsidRPr="00C80B36">
        <w:t>elevance of the Istanbul Convention and the Budapest Convention on Cybercrime in addressing online and technology-facilitated violence against women’ (CoE, 2021), at</w:t>
      </w:r>
      <w:r w:rsidR="001544BA" w:rsidRPr="00C80B36">
        <w:t xml:space="preserve"> 1</w:t>
      </w:r>
      <w:r w:rsidR="008063B4" w:rsidRPr="00C80B36">
        <w:t xml:space="preserve">7. </w:t>
      </w:r>
    </w:p>
  </w:footnote>
  <w:footnote w:id="90">
    <w:p w14:paraId="114F5EFC" w14:textId="322B1B4C" w:rsidR="00757850" w:rsidRDefault="00757850" w:rsidP="009B3DC1">
      <w:pPr>
        <w:pStyle w:val="NIHRCFootnotes"/>
      </w:pPr>
      <w:r>
        <w:rPr>
          <w:rStyle w:val="FootnoteReference"/>
        </w:rPr>
        <w:footnoteRef/>
      </w:r>
      <w:r>
        <w:t xml:space="preserve"> Article 18, Vienna Convention </w:t>
      </w:r>
      <w:r w:rsidR="00CD3A08">
        <w:t>on the Law of Treaties 1969.</w:t>
      </w:r>
    </w:p>
  </w:footnote>
  <w:footnote w:id="91">
    <w:p w14:paraId="186CFE1A" w14:textId="6BCAC21A" w:rsidR="007E1ED4" w:rsidRPr="00C80B36" w:rsidRDefault="007E1ED4" w:rsidP="009B3DC1">
      <w:pPr>
        <w:pStyle w:val="NIHRCFootnotes"/>
      </w:pPr>
      <w:r w:rsidRPr="00C80B36">
        <w:rPr>
          <w:rStyle w:val="FootnoteReference"/>
        </w:rPr>
        <w:footnoteRef/>
      </w:r>
      <w:r w:rsidRPr="00C80B36">
        <w:t xml:space="preserve"> Article </w:t>
      </w:r>
      <w:r>
        <w:t>1(1),</w:t>
      </w:r>
      <w:r w:rsidRPr="00C80B36">
        <w:t xml:space="preserve"> </w:t>
      </w:r>
      <w:r>
        <w:t>CoE</w:t>
      </w:r>
      <w:r w:rsidRPr="00C80B36">
        <w:t xml:space="preserve"> Europe Framework Convention on Artificial Intelligence and Human Rights, Democracy and the Rule of Law</w:t>
      </w:r>
      <w:r>
        <w:t xml:space="preserve"> 2024</w:t>
      </w:r>
      <w:r w:rsidRPr="00C80B36">
        <w:t>.</w:t>
      </w:r>
    </w:p>
  </w:footnote>
  <w:footnote w:id="92">
    <w:p w14:paraId="382F4E7D" w14:textId="787EF85C" w:rsidR="00496A9D" w:rsidRPr="00C80B36" w:rsidRDefault="00496A9D" w:rsidP="009B3DC1">
      <w:pPr>
        <w:pStyle w:val="NIHRCFootnotes"/>
      </w:pPr>
      <w:r w:rsidRPr="00C80B36">
        <w:rPr>
          <w:rStyle w:val="FootnoteReference"/>
        </w:rPr>
        <w:footnoteRef/>
      </w:r>
      <w:r w:rsidR="00504AC5" w:rsidRPr="00C80B36">
        <w:t xml:space="preserve"> </w:t>
      </w:r>
      <w:r w:rsidR="002A670F" w:rsidRPr="00C80B36">
        <w:t>Article 16</w:t>
      </w:r>
      <w:r w:rsidR="00CD3A08">
        <w:t>(</w:t>
      </w:r>
      <w:r w:rsidR="002A670F" w:rsidRPr="00C80B36">
        <w:t>4</w:t>
      </w:r>
      <w:r w:rsidR="00CD3A08">
        <w:t>),</w:t>
      </w:r>
      <w:r w:rsidR="002A670F" w:rsidRPr="00C80B36">
        <w:t xml:space="preserve"> </w:t>
      </w:r>
      <w:r w:rsidR="00CD3A08">
        <w:t>CoE</w:t>
      </w:r>
      <w:r w:rsidR="00504AC5" w:rsidRPr="00C80B36">
        <w:t xml:space="preserve"> Europe Framework Convention on Artificial Intelligence and Human Rights, Democracy and the Rule of Law</w:t>
      </w:r>
      <w:r w:rsidR="00CD3A08">
        <w:t xml:space="preserve"> 2024</w:t>
      </w:r>
      <w:r w:rsidR="00504AC5" w:rsidRPr="00C80B36">
        <w:t>.</w:t>
      </w:r>
    </w:p>
  </w:footnote>
  <w:footnote w:id="93">
    <w:p w14:paraId="790BE6D7" w14:textId="0051766F" w:rsidR="00606D1D" w:rsidRPr="00C80B36" w:rsidRDefault="00606D1D" w:rsidP="009B3DC1">
      <w:pPr>
        <w:pStyle w:val="NIHRCFootnotes"/>
      </w:pPr>
      <w:r w:rsidRPr="00C80B36">
        <w:rPr>
          <w:rStyle w:val="FootnoteReference"/>
        </w:rPr>
        <w:footnoteRef/>
      </w:r>
      <w:r w:rsidRPr="00C80B36">
        <w:t xml:space="preserve"> Felipe Romero Moreno, ‘Generative A</w:t>
      </w:r>
      <w:r w:rsidR="00651954">
        <w:t>rtificial Intelligence</w:t>
      </w:r>
      <w:r w:rsidRPr="00C80B36">
        <w:t xml:space="preserve"> and </w:t>
      </w:r>
      <w:r w:rsidR="00651954">
        <w:t>D</w:t>
      </w:r>
      <w:r w:rsidRPr="00C80B36">
        <w:t xml:space="preserve">eepfakes: </w:t>
      </w:r>
      <w:r w:rsidR="00651954">
        <w:t>A</w:t>
      </w:r>
      <w:r w:rsidRPr="00C80B36">
        <w:t xml:space="preserve"> </w:t>
      </w:r>
      <w:r w:rsidR="00651954">
        <w:t>H</w:t>
      </w:r>
      <w:r w:rsidRPr="00C80B36">
        <w:t xml:space="preserve">uman </w:t>
      </w:r>
      <w:r w:rsidR="00651954">
        <w:t>R</w:t>
      </w:r>
      <w:r w:rsidRPr="00C80B36">
        <w:t xml:space="preserve">ights </w:t>
      </w:r>
      <w:r w:rsidR="00651954">
        <w:t>A</w:t>
      </w:r>
      <w:r w:rsidRPr="00C80B36">
        <w:t xml:space="preserve">pproach to </w:t>
      </w:r>
      <w:r w:rsidR="00651954">
        <w:t>T</w:t>
      </w:r>
      <w:r w:rsidRPr="00C80B36">
        <w:t xml:space="preserve">ackling </w:t>
      </w:r>
      <w:r w:rsidR="00651954">
        <w:t>H</w:t>
      </w:r>
      <w:r w:rsidRPr="00C80B36">
        <w:t xml:space="preserve">armful </w:t>
      </w:r>
      <w:r w:rsidR="00651954">
        <w:t>C</w:t>
      </w:r>
      <w:r w:rsidRPr="00C80B36">
        <w:t xml:space="preserve">ontent’ </w:t>
      </w:r>
      <w:r w:rsidR="00651954">
        <w:t>(2024)</w:t>
      </w:r>
      <w:r w:rsidR="004370C5">
        <w:t xml:space="preserve"> 38</w:t>
      </w:r>
      <w:r w:rsidR="00651954">
        <w:t xml:space="preserve"> </w:t>
      </w:r>
      <w:r w:rsidRPr="00651954">
        <w:rPr>
          <w:i/>
          <w:iCs/>
        </w:rPr>
        <w:t xml:space="preserve">International Review of Law, Computers </w:t>
      </w:r>
      <w:r w:rsidR="00651954">
        <w:rPr>
          <w:i/>
          <w:iCs/>
        </w:rPr>
        <w:t>and</w:t>
      </w:r>
      <w:r w:rsidRPr="00651954">
        <w:rPr>
          <w:i/>
          <w:iCs/>
        </w:rPr>
        <w:t xml:space="preserve"> Technology</w:t>
      </w:r>
      <w:r w:rsidR="004370C5">
        <w:rPr>
          <w:i/>
          <w:iCs/>
        </w:rPr>
        <w:t xml:space="preserve"> </w:t>
      </w:r>
      <w:r w:rsidR="004370C5">
        <w:t>297</w:t>
      </w:r>
      <w:r w:rsidRPr="00C80B36">
        <w:t xml:space="preserve">; Equality Now, ‘Briefing </w:t>
      </w:r>
      <w:r w:rsidR="00651954">
        <w:t>P</w:t>
      </w:r>
      <w:r w:rsidRPr="00C80B36">
        <w:t xml:space="preserve">aper: Deepfake </w:t>
      </w:r>
      <w:r w:rsidR="00651954">
        <w:t>I</w:t>
      </w:r>
      <w:r w:rsidRPr="00C80B36">
        <w:t xml:space="preserve">mage-based </w:t>
      </w:r>
      <w:r w:rsidR="00651954">
        <w:t>S</w:t>
      </w:r>
      <w:r w:rsidRPr="00C80B36">
        <w:t xml:space="preserve">exual </w:t>
      </w:r>
      <w:r w:rsidR="00651954">
        <w:t>A</w:t>
      </w:r>
      <w:r w:rsidRPr="00C80B36">
        <w:t xml:space="preserve">buse, </w:t>
      </w:r>
      <w:r w:rsidR="00651954">
        <w:t>T</w:t>
      </w:r>
      <w:r w:rsidRPr="00C80B36">
        <w:t xml:space="preserve">ech-facilitated </w:t>
      </w:r>
      <w:r w:rsidR="00651954">
        <w:t>S</w:t>
      </w:r>
      <w:r w:rsidRPr="00C80B36">
        <w:t xml:space="preserve">exual </w:t>
      </w:r>
      <w:r w:rsidR="00651954">
        <w:t>E</w:t>
      </w:r>
      <w:r w:rsidRPr="00C80B36">
        <w:t xml:space="preserve">xploitation and the </w:t>
      </w:r>
      <w:r w:rsidR="00651954">
        <w:t>L</w:t>
      </w:r>
      <w:r w:rsidRPr="00C80B36">
        <w:t>aw’ (</w:t>
      </w:r>
      <w:r w:rsidRPr="00C80B36">
        <w:t xml:space="preserve">AUDRi, 2024), at 4; Mariëtte van Huijstee </w:t>
      </w:r>
      <w:r w:rsidR="00651954">
        <w:t>et al</w:t>
      </w:r>
      <w:r w:rsidRPr="00C80B36">
        <w:t xml:space="preserve">, ‘Tackling </w:t>
      </w:r>
      <w:r w:rsidR="00651954">
        <w:t>D</w:t>
      </w:r>
      <w:r w:rsidRPr="00C80B36">
        <w:t xml:space="preserve">eepfakes in European </w:t>
      </w:r>
      <w:r w:rsidR="00651954">
        <w:t>P</w:t>
      </w:r>
      <w:r w:rsidRPr="00C80B36">
        <w:t>olicy’ (EPRS, 2021), at 30.</w:t>
      </w:r>
    </w:p>
  </w:footnote>
  <w:footnote w:id="94">
    <w:p w14:paraId="4BF2A350" w14:textId="42E3ED29" w:rsidR="00D820EB" w:rsidRPr="00C80B36" w:rsidRDefault="00D820EB" w:rsidP="009B3DC1">
      <w:pPr>
        <w:pStyle w:val="NIHRCFootnotes"/>
      </w:pPr>
      <w:r w:rsidRPr="00C80B36">
        <w:rPr>
          <w:rStyle w:val="FootnoteReference"/>
        </w:rPr>
        <w:footnoteRef/>
      </w:r>
      <w:r w:rsidRPr="00C80B36">
        <w:t xml:space="preserve"> CEDAW/C/GC/35, ‘UN CEDAW Committee General Recommendation No 35: Gender-based Violence Against Women, Updating General Recommendation No 19’, 26 July 2017, at para 32.</w:t>
      </w:r>
    </w:p>
  </w:footnote>
  <w:footnote w:id="95">
    <w:p w14:paraId="14A4827A" w14:textId="6D537FC1" w:rsidR="000407EC" w:rsidRPr="00C80B36" w:rsidRDefault="000407EC" w:rsidP="009B3DC1">
      <w:pPr>
        <w:pStyle w:val="NIHRCFootnotes"/>
      </w:pPr>
      <w:r w:rsidRPr="00C80B36">
        <w:rPr>
          <w:rStyle w:val="FootnoteReference"/>
        </w:rPr>
        <w:footnoteRef/>
      </w:r>
      <w:r w:rsidRPr="00C80B36">
        <w:t xml:space="preserve"> Article 56</w:t>
      </w:r>
      <w:r w:rsidR="00C91537">
        <w:t xml:space="preserve">, </w:t>
      </w:r>
      <w:r w:rsidRPr="00C80B36">
        <w:t xml:space="preserve">Istanbul Convention; </w:t>
      </w:r>
      <w:r w:rsidR="00C91537" w:rsidRPr="00C80B36">
        <w:t>GREVIO(2021)20, ‘</w:t>
      </w:r>
      <w:r w:rsidR="00C91537">
        <w:t xml:space="preserve">CoE </w:t>
      </w:r>
      <w:r w:rsidR="00C91537" w:rsidRPr="00C80B36">
        <w:t>GREVIO</w:t>
      </w:r>
      <w:r w:rsidR="00C91537">
        <w:t xml:space="preserve"> Committee</w:t>
      </w:r>
      <w:r w:rsidR="00C91537" w:rsidRPr="00C80B36">
        <w:t xml:space="preserve"> General Recommendation No 1</w:t>
      </w:r>
      <w:r w:rsidR="00C91537">
        <w:t>: D</w:t>
      </w:r>
      <w:r w:rsidR="00C91537" w:rsidRPr="00C80B36">
        <w:t xml:space="preserve">igital </w:t>
      </w:r>
      <w:r w:rsidR="00C91537">
        <w:t>D</w:t>
      </w:r>
      <w:r w:rsidR="00C91537" w:rsidRPr="00C80B36">
        <w:t xml:space="preserve">imension of </w:t>
      </w:r>
      <w:r w:rsidR="00C91537">
        <w:t>V</w:t>
      </w:r>
      <w:r w:rsidR="00C91537" w:rsidRPr="00C80B36">
        <w:t xml:space="preserve">iolence </w:t>
      </w:r>
      <w:r w:rsidR="00C91537">
        <w:t>A</w:t>
      </w:r>
      <w:r w:rsidR="00C91537" w:rsidRPr="00C80B36">
        <w:t xml:space="preserve">gainst </w:t>
      </w:r>
      <w:r w:rsidR="00C91537">
        <w:t>W</w:t>
      </w:r>
      <w:r w:rsidR="00C91537" w:rsidRPr="00C80B36">
        <w:t>omen’ (GREVIO, 2021)</w:t>
      </w:r>
      <w:r w:rsidRPr="00C80B36">
        <w:t>.</w:t>
      </w:r>
    </w:p>
  </w:footnote>
  <w:footnote w:id="96">
    <w:p w14:paraId="0C7A56C1" w14:textId="77777777" w:rsidR="00BE302E" w:rsidRPr="00C80B36" w:rsidRDefault="00BE302E" w:rsidP="009B3DC1">
      <w:pPr>
        <w:pStyle w:val="NIHRCFootnotes"/>
      </w:pPr>
      <w:r w:rsidRPr="00C80B36">
        <w:rPr>
          <w:rStyle w:val="FootnoteReference"/>
        </w:rPr>
        <w:footnoteRef/>
      </w:r>
      <w:r w:rsidRPr="00C80B36">
        <w:t xml:space="preserve"> UN Declaration of Basic Principles of Justice for Victims of Crime and Abuse of Power, 29 November 1985, at Principle 4.</w:t>
      </w:r>
    </w:p>
  </w:footnote>
  <w:footnote w:id="97">
    <w:p w14:paraId="4C5EEA1A" w14:textId="77777777" w:rsidR="00BE302E" w:rsidRPr="00C80B36" w:rsidRDefault="00BE302E" w:rsidP="009B3DC1">
      <w:pPr>
        <w:pStyle w:val="NIHRCFootnotes"/>
      </w:pPr>
      <w:r w:rsidRPr="00C80B36">
        <w:rPr>
          <w:rStyle w:val="FootnoteReference"/>
        </w:rPr>
        <w:footnoteRef/>
      </w:r>
      <w:r w:rsidRPr="00C80B36">
        <w:t xml:space="preserve"> UN General Assembly, ‘UN Basic Principles and Guidelines on the Right to a Remedy and Reparation for Victims of Gross Violations of International Human Rights Law and Serious Violations of International Humanitarian Law’, 16 December 2005, at Principle 10.</w:t>
      </w:r>
    </w:p>
  </w:footnote>
  <w:footnote w:id="98">
    <w:p w14:paraId="0C81172D" w14:textId="76EC622F" w:rsidR="00BE302E" w:rsidRPr="00C80B36" w:rsidRDefault="00BE302E" w:rsidP="009B3DC1">
      <w:pPr>
        <w:pStyle w:val="NIHRCFootnotes"/>
      </w:pPr>
      <w:r w:rsidRPr="00C80B36">
        <w:rPr>
          <w:rStyle w:val="FootnoteReference"/>
        </w:rPr>
        <w:footnoteRef/>
      </w:r>
      <w:r w:rsidRPr="00C80B36">
        <w:t xml:space="preserve"> CAT/C/GC/3, ‘UN CAT Committee General Comment No 3: Implementation of Article 14 by States Parties’, 13 December 2012, at paras </w:t>
      </w:r>
      <w:r w:rsidR="001B5D56">
        <w:t xml:space="preserve">21, </w:t>
      </w:r>
      <w:r w:rsidRPr="00C80B36">
        <w:t>33, 34 and 36.</w:t>
      </w:r>
    </w:p>
  </w:footnote>
  <w:footnote w:id="99">
    <w:p w14:paraId="19497523" w14:textId="6E22B1C4" w:rsidR="00EF4CA2" w:rsidRPr="00C80B36" w:rsidRDefault="00EF4CA2" w:rsidP="009B3DC1">
      <w:pPr>
        <w:pStyle w:val="NIHRCFootnotes"/>
      </w:pPr>
      <w:r w:rsidRPr="00C80B36">
        <w:rPr>
          <w:rStyle w:val="FootnoteReference"/>
        </w:rPr>
        <w:footnoteRef/>
      </w:r>
      <w:r w:rsidRPr="00C80B36">
        <w:t xml:space="preserve"> </w:t>
      </w:r>
      <w:r w:rsidRPr="00C80B36">
        <w:rPr>
          <w:i/>
          <w:iCs/>
        </w:rPr>
        <w:t>Kudła v Poland</w:t>
      </w:r>
      <w:r w:rsidRPr="00C80B36">
        <w:t xml:space="preserve"> (2000) ECHR 512, at para 152</w:t>
      </w:r>
      <w:r w:rsidR="00AE786C" w:rsidRPr="00C80B36">
        <w:t>; CAT/C/GC/3, ‘UN CAT Committee General Comment No 3: Implementation of Article 14 by States Parties’, 13 December 2012, at para 38; UN General Assembly, ‘UN Basic Principles and Guidelines on the Right to a Remedy and Reparation for Victims of Gross Violations of International Human Rights Law and Serious Violations of International Humanitarian Law’, 16 December 2005, at Principle 3.</w:t>
      </w:r>
    </w:p>
  </w:footnote>
  <w:footnote w:id="100">
    <w:p w14:paraId="69656669" w14:textId="77777777" w:rsidR="00002FA0" w:rsidRPr="00C80B36" w:rsidRDefault="00002FA0" w:rsidP="009B3DC1">
      <w:pPr>
        <w:pStyle w:val="NIHRCFootnotes"/>
      </w:pPr>
      <w:r w:rsidRPr="00C80B36">
        <w:rPr>
          <w:rStyle w:val="FootnoteReference"/>
        </w:rPr>
        <w:footnoteRef/>
      </w:r>
      <w:r w:rsidRPr="00C80B36">
        <w:t xml:space="preserve"> </w:t>
      </w:r>
      <w:r w:rsidRPr="00C80B36">
        <w:rPr>
          <w:i/>
          <w:iCs/>
        </w:rPr>
        <w:t>L and Others v France</w:t>
      </w:r>
      <w:r w:rsidRPr="00C80B36">
        <w:t xml:space="preserve"> (2025) ECHR 98, at paras 200 and 232; E/CN.4/1997/47, ‘Report of the UN Special Rapporteur on Violence Against Women, Its Causes and Consequences, Ms Radhika Coomaraswamy’, 12 February 1997, at para 22.</w:t>
      </w:r>
    </w:p>
  </w:footnote>
  <w:footnote w:id="101">
    <w:p w14:paraId="138DAB68" w14:textId="66D14C62" w:rsidR="009C78CC" w:rsidRPr="00C80B36" w:rsidRDefault="009C78CC" w:rsidP="009B3DC1">
      <w:pPr>
        <w:pStyle w:val="NIHRCFootnotes"/>
      </w:pPr>
      <w:r w:rsidRPr="00C80B36">
        <w:rPr>
          <w:rStyle w:val="FootnoteReference"/>
        </w:rPr>
        <w:footnoteRef/>
      </w:r>
      <w:r w:rsidRPr="00C80B36">
        <w:t xml:space="preserve"> Department of Justice, ‘A Consultation on Proposals to Criminalise Sexually Explicit Deepfake Images’ (DoJ, 2025). </w:t>
      </w:r>
    </w:p>
  </w:footnote>
  <w:footnote w:id="102">
    <w:p w14:paraId="11B35083" w14:textId="77777777" w:rsidR="00D015DF" w:rsidRPr="00C80B36" w:rsidRDefault="00D015DF" w:rsidP="009B3DC1">
      <w:pPr>
        <w:pStyle w:val="NIHRCFootnotes"/>
      </w:pPr>
      <w:r w:rsidRPr="00C80B36">
        <w:rPr>
          <w:rStyle w:val="FootnoteReference"/>
        </w:rPr>
        <w:footnoteRef/>
      </w:r>
      <w:r w:rsidRPr="00C80B36">
        <w:t xml:space="preserve"> UN Women, ‘Repository of UN Women's Work on Technology-Facilitated Violence Against Women and Girls (March 2025)’ (UN Women, 2025), at 1.</w:t>
      </w:r>
    </w:p>
  </w:footnote>
  <w:footnote w:id="103">
    <w:p w14:paraId="272468F7" w14:textId="00BA6BD8" w:rsidR="00D015DF" w:rsidRPr="00C80B36" w:rsidRDefault="00D015DF" w:rsidP="009B3DC1">
      <w:pPr>
        <w:pStyle w:val="NIHRCFootnotes"/>
      </w:pPr>
      <w:r w:rsidRPr="00C80B36">
        <w:rPr>
          <w:rStyle w:val="FootnoteReference"/>
        </w:rPr>
        <w:footnoteRef/>
      </w:r>
      <w:r w:rsidRPr="00C80B36">
        <w:t xml:space="preserve"> UN Women, ‘Technology-facilitated </w:t>
      </w:r>
      <w:r w:rsidR="00260A2A">
        <w:t>G</w:t>
      </w:r>
      <w:r w:rsidRPr="00C80B36">
        <w:t xml:space="preserve">ender-based </w:t>
      </w:r>
      <w:r w:rsidR="00260A2A">
        <w:t>V</w:t>
      </w:r>
      <w:r w:rsidRPr="00C80B36">
        <w:t xml:space="preserve">iolence: Developing a </w:t>
      </w:r>
      <w:r w:rsidR="00260A2A">
        <w:t>S</w:t>
      </w:r>
      <w:r w:rsidRPr="00C80B36">
        <w:t xml:space="preserve">hared </w:t>
      </w:r>
      <w:r w:rsidR="00260A2A">
        <w:t>R</w:t>
      </w:r>
      <w:r w:rsidRPr="00C80B36">
        <w:t xml:space="preserve">esearch </w:t>
      </w:r>
      <w:r w:rsidR="00260A2A">
        <w:t>A</w:t>
      </w:r>
      <w:r w:rsidRPr="00C80B36">
        <w:t>genda’ (UN Women, 2024), at 4.</w:t>
      </w:r>
    </w:p>
  </w:footnote>
  <w:footnote w:id="104">
    <w:p w14:paraId="252A1AD0" w14:textId="0AC7E9E8" w:rsidR="00A82A12" w:rsidRPr="00C80B36" w:rsidRDefault="00A82A12" w:rsidP="009B3DC1">
      <w:pPr>
        <w:pStyle w:val="NIHRCFootnotes"/>
      </w:pPr>
      <w:r w:rsidRPr="00C80B36">
        <w:rPr>
          <w:rStyle w:val="FootnoteReference"/>
        </w:rPr>
        <w:footnoteRef/>
      </w:r>
      <w:r w:rsidRPr="00C80B36">
        <w:t xml:space="preserve"> </w:t>
      </w:r>
      <w:r w:rsidRPr="00C80B36">
        <w:rPr>
          <w:i/>
          <w:iCs/>
        </w:rPr>
        <w:t>Opuz v Turkey</w:t>
      </w:r>
      <w:r w:rsidRPr="00C80B36">
        <w:t xml:space="preserve"> (2009) ECHR 870</w:t>
      </w:r>
      <w:r w:rsidR="00A51D85" w:rsidRPr="00C80B36">
        <w:t>.</w:t>
      </w:r>
      <w:r w:rsidRPr="00C80B36">
        <w:t xml:space="preserve">  </w:t>
      </w:r>
    </w:p>
  </w:footnote>
  <w:footnote w:id="105">
    <w:p w14:paraId="04C8D2EB" w14:textId="2C4EBF21" w:rsidR="0098605B" w:rsidRPr="00C80B36" w:rsidRDefault="0098605B" w:rsidP="009B3DC1">
      <w:pPr>
        <w:pStyle w:val="NIHRCFootnotes"/>
      </w:pPr>
      <w:r w:rsidRPr="00C80B36">
        <w:rPr>
          <w:rStyle w:val="FootnoteReference"/>
        </w:rPr>
        <w:footnoteRef/>
      </w:r>
      <w:r w:rsidRPr="00C80B36">
        <w:t xml:space="preserve"> CEDAW/C/GC/28, ‘</w:t>
      </w:r>
      <w:r w:rsidR="00B6363C">
        <w:t>UN CEDAW Committee</w:t>
      </w:r>
      <w:r w:rsidRPr="00C80B36">
        <w:t xml:space="preserve"> General </w:t>
      </w:r>
      <w:r w:rsidR="00B6363C">
        <w:t>R</w:t>
      </w:r>
      <w:r w:rsidRPr="00C80B36">
        <w:t>ecommendation No 28</w:t>
      </w:r>
      <w:r w:rsidR="00B6363C">
        <w:t>: C</w:t>
      </w:r>
      <w:r w:rsidRPr="00C80B36">
        <w:t xml:space="preserve">ore </w:t>
      </w:r>
      <w:r w:rsidR="00B6363C">
        <w:t>O</w:t>
      </w:r>
      <w:r w:rsidRPr="00C80B36">
        <w:t xml:space="preserve">bligations of States </w:t>
      </w:r>
      <w:r w:rsidR="00B6363C">
        <w:t>P</w:t>
      </w:r>
      <w:r w:rsidRPr="00C80B36">
        <w:t xml:space="preserve">arties </w:t>
      </w:r>
      <w:r w:rsidR="00B6363C">
        <w:t>U</w:t>
      </w:r>
      <w:r w:rsidRPr="00C80B36">
        <w:t xml:space="preserve">nder </w:t>
      </w:r>
      <w:r w:rsidR="00B6363C">
        <w:t>A</w:t>
      </w:r>
      <w:r w:rsidRPr="00C80B36">
        <w:t xml:space="preserve">rticle 2 of the </w:t>
      </w:r>
      <w:r w:rsidR="00B6363C">
        <w:t>UN CEDAW</w:t>
      </w:r>
      <w:r w:rsidRPr="00C80B36">
        <w:t>’, at para 18</w:t>
      </w:r>
      <w:r w:rsidR="0050516C">
        <w:t xml:space="preserve">; </w:t>
      </w:r>
      <w:r w:rsidR="0050516C" w:rsidRPr="00C80B36">
        <w:t>UN Women and others, ‘Technology-facilitated gender-based violence: Developing a shared research agenda’ (UN Women, 2024), at 4.</w:t>
      </w:r>
    </w:p>
  </w:footnote>
  <w:footnote w:id="106">
    <w:p w14:paraId="14AC4238" w14:textId="5DE4BC58" w:rsidR="002E13A4" w:rsidRPr="00C80B36" w:rsidRDefault="002E13A4" w:rsidP="009B3DC1">
      <w:pPr>
        <w:pStyle w:val="NIHRCFootnotes"/>
      </w:pPr>
      <w:r w:rsidRPr="00C80B36">
        <w:rPr>
          <w:rStyle w:val="FootnoteReference"/>
        </w:rPr>
        <w:footnoteRef/>
      </w:r>
      <w:r w:rsidRPr="00C80B36">
        <w:t xml:space="preserve"> </w:t>
      </w:r>
      <w:r w:rsidR="00A15D41" w:rsidRPr="00C80B36">
        <w:t>Article 36</w:t>
      </w:r>
      <w:r w:rsidR="00B6363C">
        <w:t>(</w:t>
      </w:r>
      <w:r w:rsidR="00A15D41" w:rsidRPr="00C80B36">
        <w:t>2</w:t>
      </w:r>
      <w:r w:rsidR="00B6363C">
        <w:t>),</w:t>
      </w:r>
      <w:r w:rsidR="00A15D41" w:rsidRPr="00C80B36">
        <w:t xml:space="preserve"> Istanbul Convention.</w:t>
      </w:r>
    </w:p>
  </w:footnote>
  <w:footnote w:id="107">
    <w:p w14:paraId="0BF05DE2" w14:textId="276A1F85" w:rsidR="009745DD" w:rsidRPr="00C80B36" w:rsidRDefault="009745DD" w:rsidP="009B3DC1">
      <w:pPr>
        <w:pStyle w:val="NIHRCFootnotes"/>
      </w:pPr>
      <w:r w:rsidRPr="00C80B36">
        <w:rPr>
          <w:rStyle w:val="FootnoteReference"/>
        </w:rPr>
        <w:footnoteRef/>
      </w:r>
      <w:r w:rsidRPr="00C80B36">
        <w:t xml:space="preserve"> </w:t>
      </w:r>
      <w:r w:rsidR="00056BFA" w:rsidRPr="00C80B36">
        <w:t>Article</w:t>
      </w:r>
      <w:r w:rsidR="00DE68D7" w:rsidRPr="00C80B36">
        <w:t>s</w:t>
      </w:r>
      <w:r w:rsidR="00056BFA" w:rsidRPr="00C80B36">
        <w:t xml:space="preserve"> 4(11) and 7</w:t>
      </w:r>
      <w:r w:rsidR="00B6363C">
        <w:t>,</w:t>
      </w:r>
      <w:r w:rsidR="00056BFA" w:rsidRPr="00C80B36">
        <w:t xml:space="preserve"> UK G</w:t>
      </w:r>
      <w:r w:rsidR="00A80F32">
        <w:t xml:space="preserve">eneral </w:t>
      </w:r>
      <w:r w:rsidR="00056BFA" w:rsidRPr="00C80B36">
        <w:t>D</w:t>
      </w:r>
      <w:r w:rsidR="00A80F32">
        <w:t xml:space="preserve">ata </w:t>
      </w:r>
      <w:r w:rsidR="00056BFA" w:rsidRPr="00C80B36">
        <w:t>P</w:t>
      </w:r>
      <w:r w:rsidR="00A80F32">
        <w:t xml:space="preserve">rotection </w:t>
      </w:r>
      <w:r w:rsidR="00056BFA" w:rsidRPr="00C80B36">
        <w:t>R</w:t>
      </w:r>
      <w:r w:rsidR="00A80F32">
        <w:t xml:space="preserve">egulations </w:t>
      </w:r>
      <w:r w:rsidR="0011510F">
        <w:t>2018</w:t>
      </w:r>
      <w:r w:rsidR="002E155F" w:rsidRPr="00C80B36">
        <w:t>; I</w:t>
      </w:r>
      <w:r w:rsidR="00A80F32">
        <w:t>nformation Commissioner’s Office,</w:t>
      </w:r>
      <w:r w:rsidR="002E155F" w:rsidRPr="00C80B36">
        <w:t xml:space="preserve"> ‘What is </w:t>
      </w:r>
      <w:r w:rsidR="00B6363C">
        <w:t>V</w:t>
      </w:r>
      <w:r w:rsidR="002E155F" w:rsidRPr="00C80B36">
        <w:t xml:space="preserve">alid </w:t>
      </w:r>
      <w:r w:rsidR="00B6363C">
        <w:t>C</w:t>
      </w:r>
      <w:r w:rsidR="002E155F" w:rsidRPr="00C80B36">
        <w:t>onsent?’</w:t>
      </w:r>
      <w:r w:rsidR="003B50BF" w:rsidRPr="00C80B36">
        <w:t xml:space="preserve">. Available at: </w:t>
      </w:r>
      <w:hyperlink r:id="rId2" w:anchor="what1" w:history="1">
        <w:r w:rsidR="002E155F" w:rsidRPr="00C80B36">
          <w:rPr>
            <w:rStyle w:val="Hyperlink"/>
            <w:color w:val="77328A"/>
          </w:rPr>
          <w:t>What is valid consent? | ICO</w:t>
        </w:r>
      </w:hyperlink>
    </w:p>
  </w:footnote>
  <w:footnote w:id="108">
    <w:p w14:paraId="22149EFC" w14:textId="38A60943" w:rsidR="0081759C" w:rsidRPr="00C80B36" w:rsidRDefault="0081759C" w:rsidP="009B3DC1">
      <w:pPr>
        <w:pStyle w:val="NIHRCFootnotes"/>
      </w:pPr>
      <w:r w:rsidRPr="00C80B36">
        <w:rPr>
          <w:rStyle w:val="FootnoteReference"/>
        </w:rPr>
        <w:footnoteRef/>
      </w:r>
      <w:r w:rsidRPr="00C80B36">
        <w:t xml:space="preserve"> </w:t>
      </w:r>
      <w:r w:rsidRPr="00C80B36">
        <w:rPr>
          <w:i/>
          <w:iCs/>
        </w:rPr>
        <w:t>Del Río Prada v Spain</w:t>
      </w:r>
      <w:r w:rsidRPr="00C80B36">
        <w:t xml:space="preserve"> (2013) ECHR 1004, at para 125; </w:t>
      </w:r>
      <w:r w:rsidRPr="0011510F">
        <w:rPr>
          <w:i/>
          <w:iCs/>
        </w:rPr>
        <w:t>Medvedyev and Others v France</w:t>
      </w:r>
      <w:r w:rsidRPr="00C80B36">
        <w:t xml:space="preserve"> (2010) ECHR 384, at para 80; CCPR/C/GC/35, ‘</w:t>
      </w:r>
      <w:r w:rsidR="0011510F">
        <w:t xml:space="preserve">UN </w:t>
      </w:r>
      <w:r w:rsidRPr="00C80B36">
        <w:t>Human Rights Committee General Comment No 35</w:t>
      </w:r>
      <w:r w:rsidR="0011510F">
        <w:t xml:space="preserve">: </w:t>
      </w:r>
      <w:r w:rsidRPr="00C80B36">
        <w:t xml:space="preserve">Liberty and </w:t>
      </w:r>
      <w:r w:rsidR="0011510F">
        <w:t>S</w:t>
      </w:r>
      <w:r w:rsidRPr="00C80B36">
        <w:t xml:space="preserve">ecurity of </w:t>
      </w:r>
      <w:r w:rsidR="0011510F">
        <w:t>P</w:t>
      </w:r>
      <w:r w:rsidRPr="00C80B36">
        <w:t xml:space="preserve">erson’, 16 December 2014, at para 22; </w:t>
      </w:r>
      <w:r w:rsidRPr="00C80B36">
        <w:rPr>
          <w:i/>
          <w:iCs/>
        </w:rPr>
        <w:t>Jorgic v Germany</w:t>
      </w:r>
      <w:r w:rsidRPr="00C80B36">
        <w:t xml:space="preserve"> (2007) ECHR 583, at paras 103-114; </w:t>
      </w:r>
      <w:r w:rsidRPr="00C80B36">
        <w:rPr>
          <w:i/>
          <w:iCs/>
        </w:rPr>
        <w:t>Kafkaris v Cyprus</w:t>
      </w:r>
      <w:r w:rsidRPr="00C80B36">
        <w:t xml:space="preserve"> (2008) ECHR 143, at para 150.</w:t>
      </w:r>
    </w:p>
  </w:footnote>
  <w:footnote w:id="109">
    <w:p w14:paraId="13E1A895" w14:textId="0ADD01C5" w:rsidR="005D197A" w:rsidRPr="00C80B36" w:rsidRDefault="005D197A" w:rsidP="009B3DC1">
      <w:pPr>
        <w:pStyle w:val="NIHRCFootnotes"/>
      </w:pPr>
      <w:r w:rsidRPr="00C80B36">
        <w:rPr>
          <w:rStyle w:val="FootnoteReference"/>
        </w:rPr>
        <w:footnoteRef/>
      </w:r>
      <w:r w:rsidRPr="00C80B36">
        <w:t xml:space="preserve"> CEDAW/C/GC/35, ‘UN CEDAW Committee General Recommendation No 35: Gender-based Violence Against Women, Updating General Recommendation No 19’, 26 July 2017; </w:t>
      </w:r>
      <w:r w:rsidRPr="00C80B36">
        <w:t>GREVIO(2021)20, ‘</w:t>
      </w:r>
      <w:r w:rsidR="0011510F">
        <w:t xml:space="preserve">CoE </w:t>
      </w:r>
      <w:r w:rsidRPr="00C80B36">
        <w:t>GREVIO</w:t>
      </w:r>
      <w:r w:rsidR="0011510F">
        <w:t xml:space="preserve"> Committee</w:t>
      </w:r>
      <w:r w:rsidRPr="00C80B36">
        <w:t xml:space="preserve"> General Recommendation No 1</w:t>
      </w:r>
      <w:r w:rsidR="0011510F">
        <w:t>: D</w:t>
      </w:r>
      <w:r w:rsidRPr="00C80B36">
        <w:t xml:space="preserve">igital </w:t>
      </w:r>
      <w:r w:rsidR="0011510F">
        <w:t>D</w:t>
      </w:r>
      <w:r w:rsidRPr="00C80B36">
        <w:t xml:space="preserve">imension of </w:t>
      </w:r>
      <w:r w:rsidR="0011510F">
        <w:t>V</w:t>
      </w:r>
      <w:r w:rsidRPr="00C80B36">
        <w:t xml:space="preserve">iolence </w:t>
      </w:r>
      <w:r w:rsidR="0011510F">
        <w:t>A</w:t>
      </w:r>
      <w:r w:rsidRPr="00C80B36">
        <w:t xml:space="preserve">gainst </w:t>
      </w:r>
      <w:r w:rsidR="0011510F">
        <w:t>W</w:t>
      </w:r>
      <w:r w:rsidRPr="00C80B36">
        <w:t>omen’ (GREVIO, 2021).</w:t>
      </w:r>
    </w:p>
  </w:footnote>
  <w:footnote w:id="110">
    <w:p w14:paraId="07EE5FE6" w14:textId="2CE74845" w:rsidR="00EE5DF3" w:rsidRPr="00C80B36" w:rsidRDefault="00EE5DF3" w:rsidP="009B3DC1">
      <w:pPr>
        <w:pStyle w:val="NIHRCFootnotes"/>
      </w:pPr>
      <w:r w:rsidRPr="00C80B36">
        <w:rPr>
          <w:rStyle w:val="FootnoteReference"/>
        </w:rPr>
        <w:footnoteRef/>
      </w:r>
      <w:r w:rsidRPr="00C80B36">
        <w:t xml:space="preserve"> </w:t>
      </w:r>
      <w:r w:rsidR="0011510F" w:rsidRPr="00C80B36">
        <w:t>GREVIO(2021)20, ‘</w:t>
      </w:r>
      <w:r w:rsidR="0011510F">
        <w:t xml:space="preserve">CoE </w:t>
      </w:r>
      <w:r w:rsidR="0011510F" w:rsidRPr="00C80B36">
        <w:t>GREVIO</w:t>
      </w:r>
      <w:r w:rsidR="0011510F">
        <w:t xml:space="preserve"> Committee</w:t>
      </w:r>
      <w:r w:rsidR="0011510F" w:rsidRPr="00C80B36">
        <w:t xml:space="preserve"> General Recommendation No 1</w:t>
      </w:r>
      <w:r w:rsidR="0011510F">
        <w:t>: D</w:t>
      </w:r>
      <w:r w:rsidR="0011510F" w:rsidRPr="00C80B36">
        <w:t xml:space="preserve">igital </w:t>
      </w:r>
      <w:r w:rsidR="0011510F">
        <w:t>D</w:t>
      </w:r>
      <w:r w:rsidR="0011510F" w:rsidRPr="00C80B36">
        <w:t xml:space="preserve">imension of </w:t>
      </w:r>
      <w:r w:rsidR="0011510F">
        <w:t>V</w:t>
      </w:r>
      <w:r w:rsidR="0011510F" w:rsidRPr="00C80B36">
        <w:t xml:space="preserve">iolence </w:t>
      </w:r>
      <w:r w:rsidR="0011510F">
        <w:t>A</w:t>
      </w:r>
      <w:r w:rsidR="0011510F" w:rsidRPr="00C80B36">
        <w:t xml:space="preserve">gainst </w:t>
      </w:r>
      <w:r w:rsidR="0011510F">
        <w:t>W</w:t>
      </w:r>
      <w:r w:rsidR="0011510F" w:rsidRPr="00C80B36">
        <w:t>omen’ (GREVIO, 2021)</w:t>
      </w:r>
      <w:r w:rsidRPr="00C80B36">
        <w:t>.</w:t>
      </w:r>
    </w:p>
  </w:footnote>
  <w:footnote w:id="111">
    <w:p w14:paraId="762F3379" w14:textId="63A20309" w:rsidR="003217AC" w:rsidRPr="00C80B36" w:rsidRDefault="003217AC" w:rsidP="009B3DC1">
      <w:pPr>
        <w:pStyle w:val="NIHRCFootnotes"/>
      </w:pPr>
      <w:r w:rsidRPr="00C80B36">
        <w:rPr>
          <w:rStyle w:val="FootnoteReference"/>
        </w:rPr>
        <w:footnoteRef/>
      </w:r>
      <w:r w:rsidRPr="00C80B36">
        <w:t xml:space="preserve"> Law Commission, ‘Intimate </w:t>
      </w:r>
      <w:r w:rsidR="0011510F">
        <w:t>I</w:t>
      </w:r>
      <w:r w:rsidRPr="00C80B36">
        <w:t xml:space="preserve">mage </w:t>
      </w:r>
      <w:r w:rsidR="0011510F">
        <w:t>A</w:t>
      </w:r>
      <w:r w:rsidRPr="00C80B36">
        <w:t xml:space="preserve">buse: </w:t>
      </w:r>
      <w:r w:rsidR="0011510F">
        <w:t>A</w:t>
      </w:r>
      <w:r w:rsidRPr="00C80B36">
        <w:t xml:space="preserve"> </w:t>
      </w:r>
      <w:r w:rsidR="0011510F">
        <w:t>F</w:t>
      </w:r>
      <w:r w:rsidRPr="00C80B36">
        <w:t xml:space="preserve">inal </w:t>
      </w:r>
      <w:r w:rsidR="0011510F">
        <w:t>R</w:t>
      </w:r>
      <w:r w:rsidRPr="00C80B36">
        <w:t>eport’ (LC, 2022), at 87.</w:t>
      </w:r>
    </w:p>
  </w:footnote>
  <w:footnote w:id="112">
    <w:p w14:paraId="36F67D98" w14:textId="562FE011" w:rsidR="008A5FEA" w:rsidRDefault="008A5FEA" w:rsidP="009B3DC1">
      <w:pPr>
        <w:pStyle w:val="NIHRCFootnotes"/>
      </w:pPr>
      <w:r>
        <w:rPr>
          <w:rStyle w:val="FootnoteReference"/>
        </w:rPr>
        <w:footnoteRef/>
      </w:r>
      <w:r>
        <w:t xml:space="preserve"> </w:t>
      </w:r>
      <w:r w:rsidRPr="009E79D4">
        <w:t>Domestic Abuse and Civil Proceedings Act (NI) 2021.</w:t>
      </w:r>
    </w:p>
  </w:footnote>
  <w:footnote w:id="113">
    <w:p w14:paraId="067C3D35" w14:textId="02FB0DF6" w:rsidR="00147765" w:rsidRPr="00C80B36" w:rsidRDefault="00147765" w:rsidP="009B3DC1">
      <w:pPr>
        <w:pStyle w:val="NIHRCFootnotes"/>
      </w:pPr>
      <w:r w:rsidRPr="00C80B36">
        <w:rPr>
          <w:rStyle w:val="FootnoteReference"/>
        </w:rPr>
        <w:footnoteRef/>
      </w:r>
      <w:r w:rsidR="007F5109" w:rsidRPr="00C80B36">
        <w:t xml:space="preserve"> </w:t>
      </w:r>
      <w:r w:rsidR="0011510F" w:rsidRPr="00C80B36">
        <w:t xml:space="preserve">Law Commission, ‘Intimate </w:t>
      </w:r>
      <w:r w:rsidR="0011510F">
        <w:t>I</w:t>
      </w:r>
      <w:r w:rsidR="0011510F" w:rsidRPr="00C80B36">
        <w:t xml:space="preserve">mage </w:t>
      </w:r>
      <w:r w:rsidR="0011510F">
        <w:t>A</w:t>
      </w:r>
      <w:r w:rsidR="0011510F" w:rsidRPr="00C80B36">
        <w:t xml:space="preserve">buse: </w:t>
      </w:r>
      <w:r w:rsidR="0011510F">
        <w:t>A</w:t>
      </w:r>
      <w:r w:rsidR="0011510F" w:rsidRPr="00C80B36">
        <w:t xml:space="preserve"> </w:t>
      </w:r>
      <w:r w:rsidR="0011510F">
        <w:t>F</w:t>
      </w:r>
      <w:r w:rsidR="0011510F" w:rsidRPr="00C80B36">
        <w:t xml:space="preserve">inal </w:t>
      </w:r>
      <w:r w:rsidR="0011510F">
        <w:t>R</w:t>
      </w:r>
      <w:r w:rsidR="0011510F" w:rsidRPr="00C80B36">
        <w:t>eport’ (LC, 2022),</w:t>
      </w:r>
      <w:r w:rsidR="0011510F">
        <w:t xml:space="preserve"> </w:t>
      </w:r>
      <w:r w:rsidR="00ED528F" w:rsidRPr="00C80B36">
        <w:t>at 5</w:t>
      </w:r>
      <w:r w:rsidR="007F5109" w:rsidRPr="00C80B36">
        <w:t>;</w:t>
      </w:r>
      <w:r w:rsidRPr="00C80B36">
        <w:t xml:space="preserve"> </w:t>
      </w:r>
      <w:r w:rsidR="0011510F" w:rsidRPr="00C80B36">
        <w:t>Felipe Romero Moreno, ‘Generative A</w:t>
      </w:r>
      <w:r w:rsidR="0011510F">
        <w:t>rtificial Intelligence</w:t>
      </w:r>
      <w:r w:rsidR="0011510F" w:rsidRPr="00C80B36">
        <w:t xml:space="preserve"> and </w:t>
      </w:r>
      <w:r w:rsidR="0011510F">
        <w:t>D</w:t>
      </w:r>
      <w:r w:rsidR="0011510F" w:rsidRPr="00C80B36">
        <w:t xml:space="preserve">eepfakes: </w:t>
      </w:r>
      <w:r w:rsidR="0011510F">
        <w:t>A</w:t>
      </w:r>
      <w:r w:rsidR="0011510F" w:rsidRPr="00C80B36">
        <w:t xml:space="preserve"> </w:t>
      </w:r>
      <w:r w:rsidR="0011510F">
        <w:t>H</w:t>
      </w:r>
      <w:r w:rsidR="0011510F" w:rsidRPr="00C80B36">
        <w:t xml:space="preserve">uman </w:t>
      </w:r>
      <w:r w:rsidR="0011510F">
        <w:t>R</w:t>
      </w:r>
      <w:r w:rsidR="0011510F" w:rsidRPr="00C80B36">
        <w:t xml:space="preserve">ights </w:t>
      </w:r>
      <w:r w:rsidR="0011510F">
        <w:t>A</w:t>
      </w:r>
      <w:r w:rsidR="0011510F" w:rsidRPr="00C80B36">
        <w:t xml:space="preserve">pproach to </w:t>
      </w:r>
      <w:r w:rsidR="0011510F">
        <w:t>T</w:t>
      </w:r>
      <w:r w:rsidR="0011510F" w:rsidRPr="00C80B36">
        <w:t xml:space="preserve">ackling </w:t>
      </w:r>
      <w:r w:rsidR="0011510F">
        <w:t>H</w:t>
      </w:r>
      <w:r w:rsidR="0011510F" w:rsidRPr="00C80B36">
        <w:t xml:space="preserve">armful </w:t>
      </w:r>
      <w:r w:rsidR="0011510F">
        <w:t>C</w:t>
      </w:r>
      <w:r w:rsidR="0011510F" w:rsidRPr="00C80B36">
        <w:t xml:space="preserve">ontent’ </w:t>
      </w:r>
      <w:r w:rsidR="0011510F">
        <w:t xml:space="preserve">(2024) 38 </w:t>
      </w:r>
      <w:r w:rsidR="0011510F" w:rsidRPr="00651954">
        <w:rPr>
          <w:i/>
          <w:iCs/>
        </w:rPr>
        <w:t xml:space="preserve">International Review of Law, Computers </w:t>
      </w:r>
      <w:r w:rsidR="0011510F">
        <w:rPr>
          <w:i/>
          <w:iCs/>
        </w:rPr>
        <w:t>and</w:t>
      </w:r>
      <w:r w:rsidR="0011510F" w:rsidRPr="00651954">
        <w:rPr>
          <w:i/>
          <w:iCs/>
        </w:rPr>
        <w:t xml:space="preserve"> Technology</w:t>
      </w:r>
      <w:r w:rsidR="0011510F">
        <w:rPr>
          <w:i/>
          <w:iCs/>
        </w:rPr>
        <w:t xml:space="preserve"> </w:t>
      </w:r>
      <w:r w:rsidR="0011510F">
        <w:t>297</w:t>
      </w:r>
      <w:r w:rsidR="00BF2502" w:rsidRPr="00C80B36">
        <w:t>.</w:t>
      </w:r>
      <w:r w:rsidR="00586614" w:rsidRPr="00C80B36">
        <w:rPr>
          <w:highlight w:val="yellow"/>
        </w:rPr>
        <w:t xml:space="preserve"> </w:t>
      </w:r>
    </w:p>
  </w:footnote>
  <w:footnote w:id="114">
    <w:p w14:paraId="57143A77" w14:textId="77777777" w:rsidR="000D72EC" w:rsidRPr="00C80B36" w:rsidRDefault="000D72EC" w:rsidP="009B3DC1">
      <w:pPr>
        <w:pStyle w:val="NIHRCFootnotes"/>
      </w:pPr>
      <w:r w:rsidRPr="00C80B36">
        <w:rPr>
          <w:rStyle w:val="FootnoteReference"/>
        </w:rPr>
        <w:footnoteRef/>
      </w:r>
      <w:r w:rsidRPr="00C80B36">
        <w:t xml:space="preserve"> UN General Assembly, ‘UN Basic Principles and Guidelines on the Right to a Remedy and Reparation for Victims of Gross Violations of International Human Rights Law and Serious Violations of International Humanitarian Law’, 16 December 2005, at Principle 10.</w:t>
      </w:r>
    </w:p>
  </w:footnote>
  <w:footnote w:id="115">
    <w:p w14:paraId="36E72072" w14:textId="0E644027" w:rsidR="00957F25" w:rsidRPr="00C80B36" w:rsidRDefault="00957F25" w:rsidP="009B3DC1">
      <w:pPr>
        <w:pStyle w:val="NIHRCFootnotes"/>
      </w:pPr>
      <w:r w:rsidRPr="00C80B36">
        <w:rPr>
          <w:rStyle w:val="FootnoteReference"/>
        </w:rPr>
        <w:footnoteRef/>
      </w:r>
      <w:r w:rsidRPr="00C80B36">
        <w:t xml:space="preserve"> </w:t>
      </w:r>
      <w:r w:rsidRPr="00C80B36">
        <w:t>GREVIO(2021)20, ‘</w:t>
      </w:r>
      <w:r w:rsidR="0011510F">
        <w:t xml:space="preserve">CoE </w:t>
      </w:r>
      <w:r w:rsidRPr="00C80B36">
        <w:t>GREVIO</w:t>
      </w:r>
      <w:r w:rsidR="0011510F">
        <w:t xml:space="preserve"> Committee</w:t>
      </w:r>
      <w:r w:rsidRPr="00C80B36">
        <w:t xml:space="preserve"> General Recommendation No 1</w:t>
      </w:r>
      <w:r w:rsidR="0011510F">
        <w:t>:</w:t>
      </w:r>
      <w:r w:rsidRPr="00C80B36">
        <w:t xml:space="preserve"> </w:t>
      </w:r>
      <w:r w:rsidR="0011510F">
        <w:t>D</w:t>
      </w:r>
      <w:r w:rsidRPr="00C80B36">
        <w:t xml:space="preserve">igital </w:t>
      </w:r>
      <w:r w:rsidR="0011510F">
        <w:t>D</w:t>
      </w:r>
      <w:r w:rsidRPr="00C80B36">
        <w:t xml:space="preserve">imension of </w:t>
      </w:r>
      <w:r w:rsidR="0011510F">
        <w:t>V</w:t>
      </w:r>
      <w:r w:rsidRPr="00C80B36">
        <w:t xml:space="preserve">iolence </w:t>
      </w:r>
      <w:r w:rsidR="0011510F">
        <w:t>A</w:t>
      </w:r>
      <w:r w:rsidRPr="00C80B36">
        <w:t xml:space="preserve">gainst </w:t>
      </w:r>
      <w:r w:rsidR="0011510F">
        <w:t>W</w:t>
      </w:r>
      <w:r w:rsidRPr="00C80B36">
        <w:t>omen’ (GREVIO, 2021).</w:t>
      </w:r>
    </w:p>
  </w:footnote>
  <w:footnote w:id="116">
    <w:p w14:paraId="33658BBC" w14:textId="2C62B888" w:rsidR="00CA51B5" w:rsidRDefault="00CA51B5" w:rsidP="009B3DC1">
      <w:pPr>
        <w:pStyle w:val="NIHRCFootnotes"/>
      </w:pPr>
      <w:r w:rsidRPr="00F16DF4">
        <w:rPr>
          <w:rStyle w:val="FootnoteReference"/>
        </w:rPr>
        <w:footnoteRef/>
      </w:r>
      <w:r>
        <w:t xml:space="preserve"> </w:t>
      </w:r>
      <w:r w:rsidR="0011510F" w:rsidRPr="00C80B36">
        <w:t xml:space="preserve">Law Commission, ‘Intimate </w:t>
      </w:r>
      <w:r w:rsidR="0011510F">
        <w:t>I</w:t>
      </w:r>
      <w:r w:rsidR="0011510F" w:rsidRPr="00C80B36">
        <w:t xml:space="preserve">mage </w:t>
      </w:r>
      <w:r w:rsidR="0011510F">
        <w:t>A</w:t>
      </w:r>
      <w:r w:rsidR="0011510F" w:rsidRPr="00C80B36">
        <w:t xml:space="preserve">buse: </w:t>
      </w:r>
      <w:r w:rsidR="0011510F">
        <w:t>A</w:t>
      </w:r>
      <w:r w:rsidR="0011510F" w:rsidRPr="00C80B36">
        <w:t xml:space="preserve"> </w:t>
      </w:r>
      <w:r w:rsidR="0011510F">
        <w:t>F</w:t>
      </w:r>
      <w:r w:rsidR="0011510F" w:rsidRPr="00C80B36">
        <w:t xml:space="preserve">inal </w:t>
      </w:r>
      <w:r w:rsidR="0011510F">
        <w:t>R</w:t>
      </w:r>
      <w:r w:rsidR="0011510F" w:rsidRPr="00C80B36">
        <w:t>eport’ (LC, 2022),</w:t>
      </w:r>
      <w:r w:rsidRPr="00C80B36">
        <w:t xml:space="preserve"> at 7.</w:t>
      </w:r>
    </w:p>
  </w:footnote>
  <w:footnote w:id="117">
    <w:p w14:paraId="7451B76A" w14:textId="26A25E9F" w:rsidR="00A85B94" w:rsidRPr="00C80B36" w:rsidRDefault="00A85B94" w:rsidP="009B3DC1">
      <w:pPr>
        <w:pStyle w:val="NIHRCFootnotes"/>
      </w:pPr>
      <w:r w:rsidRPr="00C80B36">
        <w:rPr>
          <w:rStyle w:val="FootnoteReference"/>
        </w:rPr>
        <w:footnoteRef/>
      </w:r>
      <w:r w:rsidR="00BF2502" w:rsidRPr="00C80B36">
        <w:t xml:space="preserve"> </w:t>
      </w:r>
      <w:r w:rsidR="009E79D4">
        <w:t>Ibid</w:t>
      </w:r>
      <w:r w:rsidR="00BF2502" w:rsidRPr="00C80B36">
        <w:t>.</w:t>
      </w:r>
    </w:p>
  </w:footnote>
  <w:footnote w:id="118">
    <w:p w14:paraId="24A8B0F3" w14:textId="0D6880FA" w:rsidR="006D11ED" w:rsidRPr="00C80B36" w:rsidRDefault="006D11ED" w:rsidP="009B3DC1">
      <w:pPr>
        <w:pStyle w:val="NIHRCFootnotes"/>
      </w:pPr>
      <w:r w:rsidRPr="00C80B36">
        <w:rPr>
          <w:rStyle w:val="FootnoteReference"/>
        </w:rPr>
        <w:footnoteRef/>
      </w:r>
      <w:r w:rsidRPr="00C80B36">
        <w:t xml:space="preserve"> </w:t>
      </w:r>
      <w:r w:rsidR="00371BC4" w:rsidRPr="00C80B36">
        <w:t>CEDAW/C/GC/35, ‘UN CEDAW Committee General Recommendation No 35: Gender-based Violence Against Women, Updating General Recommendation No 19’, 26 July 2017, at para 32; GREVIO(2021)20, ‘</w:t>
      </w:r>
      <w:r w:rsidR="0011510F">
        <w:t xml:space="preserve">CoE </w:t>
      </w:r>
      <w:r w:rsidR="00371BC4" w:rsidRPr="00C80B36">
        <w:t>GREVIO</w:t>
      </w:r>
      <w:r w:rsidR="0011510F">
        <w:t xml:space="preserve"> Committee</w:t>
      </w:r>
      <w:r w:rsidR="00371BC4" w:rsidRPr="00C80B36">
        <w:t xml:space="preserve"> General Recommendation No 1</w:t>
      </w:r>
      <w:r w:rsidR="0011510F">
        <w:t>: D</w:t>
      </w:r>
      <w:r w:rsidR="00371BC4" w:rsidRPr="00C80B36">
        <w:t xml:space="preserve">igital </w:t>
      </w:r>
      <w:r w:rsidR="0011510F">
        <w:t>D</w:t>
      </w:r>
      <w:r w:rsidR="00371BC4" w:rsidRPr="00C80B36">
        <w:t xml:space="preserve">imension of </w:t>
      </w:r>
      <w:r w:rsidR="0011510F">
        <w:t>V</w:t>
      </w:r>
      <w:r w:rsidR="00371BC4" w:rsidRPr="00C80B36">
        <w:t xml:space="preserve">iolence </w:t>
      </w:r>
      <w:r w:rsidR="0011510F">
        <w:t>A</w:t>
      </w:r>
      <w:r w:rsidR="00371BC4" w:rsidRPr="00C80B36">
        <w:t xml:space="preserve">gainst </w:t>
      </w:r>
      <w:r w:rsidR="0011510F">
        <w:t>W</w:t>
      </w:r>
      <w:r w:rsidR="00371BC4" w:rsidRPr="00C80B36">
        <w:t>omen’ (GREVIO, 2021); UN Declaration of Basic Principles of Justice for Victims of Crime and Abuse of Power, 29 November 1985, at Principle 4; UN General Assembly, ‘UN Basic Principles and Guidelines on the Right to a Remedy and Reparation for Victims of Gross Violations of International Human Rights Law and Serious Violations of International Humanitarian Law’, 16 December 2005, at Principle 10; CAT/C/GC/3, ‘UN CAT Committee General Comment No 3: Implementation of Article 14 by States Parties’, 13 December 2012, at para 21; CAT/C/GC/3, ‘UN CAT Committee General Comment No 3: Implementation of Article 14 by States Parties’, 13 December 2012, at paras 33, 34 and 36.</w:t>
      </w:r>
    </w:p>
  </w:footnote>
  <w:footnote w:id="119">
    <w:p w14:paraId="5DB26484" w14:textId="414343F4" w:rsidR="00316E85" w:rsidRPr="00C80B36" w:rsidRDefault="00316E85" w:rsidP="009B3DC1">
      <w:pPr>
        <w:pStyle w:val="NIHRCFootnotes"/>
      </w:pPr>
      <w:r w:rsidRPr="00C80B36">
        <w:rPr>
          <w:rStyle w:val="FootnoteReference"/>
        </w:rPr>
        <w:footnoteRef/>
      </w:r>
      <w:r w:rsidRPr="00C80B36">
        <w:t xml:space="preserve"> With a defence available </w:t>
      </w:r>
      <w:r w:rsidR="00FF5A82" w:rsidRPr="00C80B36">
        <w:t xml:space="preserve">of reasonable excuse for committing the act. </w:t>
      </w:r>
      <w:r w:rsidR="00B64FB1">
        <w:t>See s</w:t>
      </w:r>
      <w:r w:rsidR="00D4033B" w:rsidRPr="00C80B36">
        <w:t xml:space="preserve">ections 66B to 66D, </w:t>
      </w:r>
      <w:r w:rsidR="00C31F9E" w:rsidRPr="00C80B36">
        <w:t>Sexual Offences Act 2003</w:t>
      </w:r>
      <w:r w:rsidR="00D4033B" w:rsidRPr="00C80B36">
        <w:t xml:space="preserve">. </w:t>
      </w:r>
    </w:p>
  </w:footnote>
  <w:footnote w:id="120">
    <w:p w14:paraId="19AC62CC" w14:textId="019F456D" w:rsidR="006931E2" w:rsidRPr="00C80B36" w:rsidRDefault="006931E2" w:rsidP="009B3DC1">
      <w:pPr>
        <w:pStyle w:val="NIHRCFootnotes"/>
      </w:pPr>
      <w:r w:rsidRPr="00C80B36">
        <w:rPr>
          <w:rStyle w:val="FootnoteReference"/>
        </w:rPr>
        <w:footnoteRef/>
      </w:r>
      <w:r w:rsidRPr="00C80B36">
        <w:t xml:space="preserve"> </w:t>
      </w:r>
      <w:r w:rsidR="00DB7910" w:rsidRPr="00C80B36">
        <w:rPr>
          <w:i/>
          <w:iCs/>
        </w:rPr>
        <w:t>Del Río Prada v Spain</w:t>
      </w:r>
      <w:r w:rsidR="00DB7910" w:rsidRPr="00C80B36">
        <w:t xml:space="preserve"> (2013) ECHR 1004, at para 125; </w:t>
      </w:r>
      <w:r w:rsidR="00DB7910" w:rsidRPr="00B64FB1">
        <w:rPr>
          <w:i/>
          <w:iCs/>
        </w:rPr>
        <w:t>Medvedyev and Others v France</w:t>
      </w:r>
      <w:r w:rsidR="00DB7910" w:rsidRPr="00C80B36">
        <w:t xml:space="preserve"> (2010) ECHR 384, at para 80; CCPR/C/GC/35, ‘</w:t>
      </w:r>
      <w:r w:rsidR="00B64FB1">
        <w:t xml:space="preserve">UN </w:t>
      </w:r>
      <w:r w:rsidR="00DB7910" w:rsidRPr="00C80B36">
        <w:t>Human Rights Committee General Comment No 35</w:t>
      </w:r>
      <w:r w:rsidR="00B64FB1">
        <w:t xml:space="preserve">: </w:t>
      </w:r>
      <w:r w:rsidR="00DB7910" w:rsidRPr="00C80B36">
        <w:t xml:space="preserve">Liberty and </w:t>
      </w:r>
      <w:r w:rsidR="00B64FB1">
        <w:t>S</w:t>
      </w:r>
      <w:r w:rsidR="00DB7910" w:rsidRPr="00C80B36">
        <w:t xml:space="preserve">ecurity of </w:t>
      </w:r>
      <w:r w:rsidR="00B64FB1">
        <w:t>P</w:t>
      </w:r>
      <w:r w:rsidR="00DB7910" w:rsidRPr="00C80B36">
        <w:t xml:space="preserve">erson’, 16 December 2014, at para 22; </w:t>
      </w:r>
      <w:r w:rsidR="00DB7910" w:rsidRPr="00C80B36">
        <w:rPr>
          <w:i/>
          <w:iCs/>
        </w:rPr>
        <w:t>Jorgic v Germany</w:t>
      </w:r>
      <w:r w:rsidR="00DB7910" w:rsidRPr="00C80B36">
        <w:t xml:space="preserve"> (2007) ECHR 583, at paras 103-114; </w:t>
      </w:r>
      <w:r w:rsidR="00DB7910" w:rsidRPr="00C80B36">
        <w:rPr>
          <w:i/>
          <w:iCs/>
        </w:rPr>
        <w:t>Kafkaris v Cyprus</w:t>
      </w:r>
      <w:r w:rsidR="00DB7910" w:rsidRPr="00C80B36">
        <w:t xml:space="preserve"> (2008) ECHR 143, at para 150.</w:t>
      </w:r>
    </w:p>
  </w:footnote>
  <w:footnote w:id="121">
    <w:p w14:paraId="5F5EEA28" w14:textId="3407D62E" w:rsidR="00A26691" w:rsidRPr="00C80B36" w:rsidRDefault="00A26691" w:rsidP="009B3DC1">
      <w:pPr>
        <w:pStyle w:val="NIHRCFootnotes"/>
      </w:pPr>
      <w:r w:rsidRPr="00C80B36">
        <w:rPr>
          <w:rStyle w:val="FootnoteReference"/>
        </w:rPr>
        <w:footnoteRef/>
      </w:r>
      <w:r w:rsidRPr="00C80B36">
        <w:t xml:space="preserve"> </w:t>
      </w:r>
      <w:r w:rsidR="002E2A67" w:rsidRPr="00C80B36">
        <w:t>GREVIO(2021)20, ‘</w:t>
      </w:r>
      <w:r w:rsidR="009B504E">
        <w:t xml:space="preserve">CoE </w:t>
      </w:r>
      <w:r w:rsidR="002E2A67" w:rsidRPr="00C80B36">
        <w:t>GREVIO</w:t>
      </w:r>
      <w:r w:rsidR="009B504E">
        <w:t xml:space="preserve"> Committee</w:t>
      </w:r>
      <w:r w:rsidR="002E2A67" w:rsidRPr="00C80B36">
        <w:t xml:space="preserve"> General Recommendation No 1</w:t>
      </w:r>
      <w:r w:rsidR="009B504E">
        <w:t>:</w:t>
      </w:r>
      <w:r w:rsidR="002E2A67" w:rsidRPr="00C80B36">
        <w:t xml:space="preserve"> </w:t>
      </w:r>
      <w:r w:rsidR="009B504E">
        <w:t>D</w:t>
      </w:r>
      <w:r w:rsidR="002E2A67" w:rsidRPr="00C80B36">
        <w:t xml:space="preserve">igital </w:t>
      </w:r>
      <w:r w:rsidR="009B504E">
        <w:t>D</w:t>
      </w:r>
      <w:r w:rsidR="002E2A67" w:rsidRPr="00C80B36">
        <w:t xml:space="preserve">imension of </w:t>
      </w:r>
      <w:r w:rsidR="009B504E">
        <w:t>V</w:t>
      </w:r>
      <w:r w:rsidR="002E2A67" w:rsidRPr="00C80B36">
        <w:t xml:space="preserve">iolence </w:t>
      </w:r>
      <w:r w:rsidR="009B504E">
        <w:t>A</w:t>
      </w:r>
      <w:r w:rsidR="002E2A67" w:rsidRPr="00C80B36">
        <w:t xml:space="preserve">gainst </w:t>
      </w:r>
      <w:r w:rsidR="009B504E">
        <w:t>W</w:t>
      </w:r>
      <w:r w:rsidR="002E2A67" w:rsidRPr="00C80B36">
        <w:t>omen’ (GREVIO, 2021).</w:t>
      </w:r>
    </w:p>
  </w:footnote>
  <w:footnote w:id="122">
    <w:p w14:paraId="45C8148E" w14:textId="1B6FEB26" w:rsidR="00BB1FE0" w:rsidRPr="00C80B36" w:rsidRDefault="00BB1FE0" w:rsidP="009B3DC1">
      <w:pPr>
        <w:pStyle w:val="NIHRCFootnotes"/>
      </w:pPr>
      <w:r w:rsidRPr="00C80B36">
        <w:rPr>
          <w:rStyle w:val="FootnoteReference"/>
        </w:rPr>
        <w:footnoteRef/>
      </w:r>
      <w:r w:rsidRPr="00C80B36">
        <w:t xml:space="preserve"> Clause 28B of the Justice Bill insert</w:t>
      </w:r>
      <w:r w:rsidR="006B29C9" w:rsidRPr="00C80B36">
        <w:t>s</w:t>
      </w:r>
      <w:r w:rsidRPr="00C80B36">
        <w:t xml:space="preserve"> a new Article 7A into the Rehabilitation of Offenders (</w:t>
      </w:r>
      <w:r w:rsidR="009B504E">
        <w:t>NI</w:t>
      </w:r>
      <w:r w:rsidRPr="00C80B36">
        <w:t>) Order 1978 to provide the Department of Justice with a regulation</w:t>
      </w:r>
      <w:r w:rsidR="006B29C9" w:rsidRPr="00C80B36">
        <w:t>-</w:t>
      </w:r>
      <w:r w:rsidRPr="00C80B36">
        <w:t>making power to allow for applications for rehabilitation in relation to sentences exceeding 10 years.</w:t>
      </w:r>
      <w:r w:rsidR="009B504E">
        <w:t xml:space="preserve"> See</w:t>
      </w:r>
      <w:r w:rsidRPr="00C80B36">
        <w:t xml:space="preserve"> Research and Information Service, ‘</w:t>
      </w:r>
      <w:r w:rsidR="000568F7" w:rsidRPr="00C80B36">
        <w:t xml:space="preserve">Briefing Paper, </w:t>
      </w:r>
      <w:r w:rsidRPr="00C80B36">
        <w:t>Justice Bill: Rehabilitation of Offenders Amendments’</w:t>
      </w:r>
      <w:r w:rsidR="00EE7350" w:rsidRPr="00C80B36">
        <w:t>,</w:t>
      </w:r>
      <w:r w:rsidRPr="00C80B36">
        <w:t xml:space="preserve"> 30 April 2025</w:t>
      </w:r>
      <w:r w:rsidR="000568F7" w:rsidRPr="00C80B36">
        <w:t>.</w:t>
      </w:r>
    </w:p>
  </w:footnote>
  <w:footnote w:id="123">
    <w:p w14:paraId="34F4F9D9" w14:textId="667CF493" w:rsidR="00E259DF" w:rsidRPr="00C80B36" w:rsidRDefault="00E259DF" w:rsidP="009B3DC1">
      <w:pPr>
        <w:pStyle w:val="NIHRCFootnotes"/>
      </w:pPr>
      <w:r w:rsidRPr="00C80B36">
        <w:rPr>
          <w:rStyle w:val="FootnoteReference"/>
        </w:rPr>
        <w:footnoteRef/>
      </w:r>
      <w:r w:rsidRPr="00C80B36">
        <w:t xml:space="preserve"> </w:t>
      </w:r>
      <w:r w:rsidR="00455DAA" w:rsidRPr="00C80B36">
        <w:t>‘What</w:t>
      </w:r>
      <w:r w:rsidR="000E56B7">
        <w:t xml:space="preserve"> D</w:t>
      </w:r>
      <w:r w:rsidR="00455DAA" w:rsidRPr="00C80B36">
        <w:t xml:space="preserve">oes a </w:t>
      </w:r>
      <w:r w:rsidR="000E56B7">
        <w:t>R</w:t>
      </w:r>
      <w:r w:rsidR="00455DAA" w:rsidRPr="00C80B36">
        <w:t xml:space="preserve">ights-based </w:t>
      </w:r>
      <w:r w:rsidR="000E56B7">
        <w:t>A</w:t>
      </w:r>
      <w:r w:rsidR="00455DAA" w:rsidRPr="00C80B36">
        <w:t xml:space="preserve">pproach to </w:t>
      </w:r>
      <w:r w:rsidR="000E56B7">
        <w:t>Artificial Intelligence</w:t>
      </w:r>
      <w:r w:rsidR="00455DAA" w:rsidRPr="00C80B36">
        <w:t xml:space="preserve"> </w:t>
      </w:r>
      <w:r w:rsidR="000E56B7">
        <w:t>L</w:t>
      </w:r>
      <w:r w:rsidR="00455DAA" w:rsidRPr="00C80B36">
        <w:t xml:space="preserve">ook </w:t>
      </w:r>
      <w:r w:rsidR="000E56B7">
        <w:t>L</w:t>
      </w:r>
      <w:r w:rsidR="00455DAA" w:rsidRPr="00C80B36">
        <w:t>ike in NI?’,</w:t>
      </w:r>
      <w:r w:rsidR="0083008E" w:rsidRPr="00C80B36">
        <w:t xml:space="preserve"> JUSTICE, Law Society of NI, 22 May 2025.</w:t>
      </w:r>
    </w:p>
  </w:footnote>
  <w:footnote w:id="124">
    <w:p w14:paraId="10AB96D9" w14:textId="0C1BC025" w:rsidR="00B842D9" w:rsidRPr="00C80B36" w:rsidRDefault="00B842D9" w:rsidP="009B3DC1">
      <w:pPr>
        <w:pStyle w:val="NIHRCFootnotes"/>
      </w:pPr>
      <w:r w:rsidRPr="00C80B36">
        <w:rPr>
          <w:rStyle w:val="FootnoteReference"/>
        </w:rPr>
        <w:footnoteRef/>
      </w:r>
      <w:r w:rsidRPr="00C80B36">
        <w:t xml:space="preserve">  </w:t>
      </w:r>
      <w:r w:rsidR="006B29C9" w:rsidRPr="00C80B36">
        <w:t xml:space="preserve">Ministry of Justice, ‘Press Release: Increased sentencing powers for magistrates to address prisons crisis’, 17 October 2024, at </w:t>
      </w:r>
      <w:r w:rsidRPr="00C80B36">
        <w:t>20</w:t>
      </w:r>
      <w:r w:rsidR="006B29C9" w:rsidRPr="00C80B36">
        <w:t>.</w:t>
      </w:r>
    </w:p>
  </w:footnote>
  <w:footnote w:id="125">
    <w:p w14:paraId="1F8345DA" w14:textId="77777777" w:rsidR="00E6262B" w:rsidRPr="00C80B36" w:rsidRDefault="00E6262B" w:rsidP="009B3DC1">
      <w:pPr>
        <w:pStyle w:val="NIHRCFootnotes"/>
      </w:pPr>
      <w:r w:rsidRPr="00C80B36">
        <w:rPr>
          <w:rStyle w:val="FootnoteReference"/>
        </w:rPr>
        <w:footnoteRef/>
      </w:r>
      <w:r w:rsidRPr="00C80B36">
        <w:t xml:space="preserve"> Article 3(1) of the UN CRC requires that “in all actions concerning children, whether undertaken by public or private social welfare institutions, courts of law, administrative authorities or legislative bodies, the best interests of the child shall be a primary consideration”.</w:t>
      </w:r>
    </w:p>
  </w:footnote>
  <w:footnote w:id="126">
    <w:p w14:paraId="5E3E9287" w14:textId="77777777" w:rsidR="00B842D9" w:rsidRPr="00C80B36" w:rsidRDefault="00B842D9" w:rsidP="009B3DC1">
      <w:pPr>
        <w:pStyle w:val="NIHRCFootnotes"/>
      </w:pPr>
      <w:r w:rsidRPr="00C80B36">
        <w:rPr>
          <w:rStyle w:val="FootnoteReference"/>
        </w:rPr>
        <w:footnoteRef/>
      </w:r>
      <w:r w:rsidRPr="00C80B36">
        <w:t xml:space="preserve"> CRC/C/GC/14, ‘UN CRC Committee General Comment No 14: Right of the Child to Have His or Her Best Interests Taken as a Primary Consideration”, 29 May 2013, at paras 3, 32 and 48.</w:t>
      </w:r>
    </w:p>
  </w:footnote>
  <w:footnote w:id="127">
    <w:p w14:paraId="2188222E" w14:textId="62DBEE9D" w:rsidR="00B842D9" w:rsidRPr="00C80B36" w:rsidRDefault="00B842D9" w:rsidP="009B3DC1">
      <w:pPr>
        <w:pStyle w:val="NIHRCFootnotes"/>
      </w:pPr>
      <w:r w:rsidRPr="00C80B36">
        <w:rPr>
          <w:rStyle w:val="FootnoteReference"/>
        </w:rPr>
        <w:footnoteRef/>
      </w:r>
      <w:r w:rsidRPr="00C80B36">
        <w:t xml:space="preserve"> </w:t>
      </w:r>
      <w:r w:rsidR="005245AB">
        <w:t>Ibid</w:t>
      </w:r>
      <w:r w:rsidRPr="00C80B36">
        <w:t>, at para 28.</w:t>
      </w:r>
    </w:p>
  </w:footnote>
  <w:footnote w:id="128">
    <w:p w14:paraId="7E941014" w14:textId="77777777" w:rsidR="00B842D9" w:rsidRPr="00C80B36" w:rsidRDefault="00B842D9" w:rsidP="009B3DC1">
      <w:pPr>
        <w:pStyle w:val="NIHRCFootnotes"/>
      </w:pPr>
      <w:r w:rsidRPr="00C80B36">
        <w:rPr>
          <w:rStyle w:val="FootnoteReference"/>
        </w:rPr>
        <w:footnoteRef/>
      </w:r>
      <w:r w:rsidRPr="00C80B36">
        <w:t xml:space="preserve"> Promise Project Series, ‘</w:t>
      </w:r>
      <w:r w:rsidRPr="00C80B36">
        <w:t>Barnahus Quality Standards: Guidance for Multidisciplinary and Interagency Response to Child Victims and Witnesses of Violence’ (PPS, 2017).</w:t>
      </w:r>
    </w:p>
  </w:footnote>
  <w:footnote w:id="129">
    <w:p w14:paraId="59F06419" w14:textId="6680EB26" w:rsidR="00941912" w:rsidRPr="00C80B36" w:rsidRDefault="00941912" w:rsidP="009B3DC1">
      <w:pPr>
        <w:pStyle w:val="NIHRCFootnotes"/>
      </w:pPr>
      <w:r w:rsidRPr="00C80B36">
        <w:rPr>
          <w:rStyle w:val="FootnoteReference"/>
        </w:rPr>
        <w:footnoteRef/>
      </w:r>
      <w:r w:rsidRPr="00C80B36">
        <w:t xml:space="preserve"> CAT/C/GBR/CO/6, ‘UN Committee against Torture Concluding Observations on the Sixth Periodic Report of the UK of Great Britain and NI’, 7 June 2019, at para 57(a).</w:t>
      </w:r>
    </w:p>
  </w:footnote>
  <w:footnote w:id="130">
    <w:p w14:paraId="42F2D5C1" w14:textId="3B55C8DC" w:rsidR="00A83133" w:rsidRPr="00C80B36" w:rsidRDefault="00A83133" w:rsidP="009B3DC1">
      <w:pPr>
        <w:pStyle w:val="NIHRCFootnotes"/>
      </w:pPr>
      <w:r w:rsidRPr="00C80B36">
        <w:rPr>
          <w:rStyle w:val="FootnoteReference"/>
        </w:rPr>
        <w:footnoteRef/>
      </w:r>
      <w:r w:rsidRPr="00C80B36">
        <w:t xml:space="preserve">  </w:t>
      </w:r>
      <w:r w:rsidR="0011510F" w:rsidRPr="00C80B36">
        <w:t>Felipe Romero Moreno, ‘Generative A</w:t>
      </w:r>
      <w:r w:rsidR="0011510F">
        <w:t>rtificial Intelligence</w:t>
      </w:r>
      <w:r w:rsidR="0011510F" w:rsidRPr="00C80B36">
        <w:t xml:space="preserve"> and </w:t>
      </w:r>
      <w:r w:rsidR="0011510F">
        <w:t>D</w:t>
      </w:r>
      <w:r w:rsidR="0011510F" w:rsidRPr="00C80B36">
        <w:t xml:space="preserve">eepfakes: </w:t>
      </w:r>
      <w:r w:rsidR="0011510F">
        <w:t>A</w:t>
      </w:r>
      <w:r w:rsidR="0011510F" w:rsidRPr="00C80B36">
        <w:t xml:space="preserve"> </w:t>
      </w:r>
      <w:r w:rsidR="0011510F">
        <w:t>H</w:t>
      </w:r>
      <w:r w:rsidR="0011510F" w:rsidRPr="00C80B36">
        <w:t xml:space="preserve">uman </w:t>
      </w:r>
      <w:r w:rsidR="0011510F">
        <w:t>R</w:t>
      </w:r>
      <w:r w:rsidR="0011510F" w:rsidRPr="00C80B36">
        <w:t xml:space="preserve">ights </w:t>
      </w:r>
      <w:r w:rsidR="0011510F">
        <w:t>A</w:t>
      </w:r>
      <w:r w:rsidR="0011510F" w:rsidRPr="00C80B36">
        <w:t xml:space="preserve">pproach to </w:t>
      </w:r>
      <w:r w:rsidR="0011510F">
        <w:t>T</w:t>
      </w:r>
      <w:r w:rsidR="0011510F" w:rsidRPr="00C80B36">
        <w:t xml:space="preserve">ackling </w:t>
      </w:r>
      <w:r w:rsidR="0011510F">
        <w:t>H</w:t>
      </w:r>
      <w:r w:rsidR="0011510F" w:rsidRPr="00C80B36">
        <w:t xml:space="preserve">armful </w:t>
      </w:r>
      <w:r w:rsidR="0011510F">
        <w:t>C</w:t>
      </w:r>
      <w:r w:rsidR="0011510F" w:rsidRPr="00C80B36">
        <w:t xml:space="preserve">ontent’ </w:t>
      </w:r>
      <w:r w:rsidR="0011510F">
        <w:t xml:space="preserve">(2024) 38 </w:t>
      </w:r>
      <w:r w:rsidR="0011510F" w:rsidRPr="00651954">
        <w:rPr>
          <w:i/>
          <w:iCs/>
        </w:rPr>
        <w:t xml:space="preserve">International Review of Law, Computers </w:t>
      </w:r>
      <w:r w:rsidR="0011510F">
        <w:rPr>
          <w:i/>
          <w:iCs/>
        </w:rPr>
        <w:t>and</w:t>
      </w:r>
      <w:r w:rsidR="0011510F" w:rsidRPr="00651954">
        <w:rPr>
          <w:i/>
          <w:iCs/>
        </w:rPr>
        <w:t xml:space="preserve"> Technology</w:t>
      </w:r>
      <w:r w:rsidR="0011510F">
        <w:rPr>
          <w:i/>
          <w:iCs/>
        </w:rPr>
        <w:t xml:space="preserve"> </w:t>
      </w:r>
      <w:r w:rsidR="0011510F">
        <w:t>297</w:t>
      </w:r>
      <w:r w:rsidRPr="00C80B36">
        <w:t>; Equality Now, ‘Briefing paper: Deepfake image-based sexual abuse, tech-facilitated sexual exploitation and the law’ (</w:t>
      </w:r>
      <w:r w:rsidRPr="00C80B36">
        <w:t xml:space="preserve">AUDRi, 2024), at 4; </w:t>
      </w:r>
      <w:r w:rsidR="00DA446C" w:rsidRPr="00C80B36">
        <w:t xml:space="preserve">Can Yavuz, ‘Adverse </w:t>
      </w:r>
      <w:r w:rsidR="00DA446C">
        <w:t>H</w:t>
      </w:r>
      <w:r w:rsidR="00DA446C" w:rsidRPr="00C80B36">
        <w:t xml:space="preserve">uman </w:t>
      </w:r>
      <w:r w:rsidR="00DA446C">
        <w:t>R</w:t>
      </w:r>
      <w:r w:rsidR="00DA446C" w:rsidRPr="00C80B36">
        <w:t xml:space="preserve">ights </w:t>
      </w:r>
      <w:r w:rsidR="00DA446C">
        <w:t>I</w:t>
      </w:r>
      <w:r w:rsidR="00DA446C" w:rsidRPr="00C80B36">
        <w:t xml:space="preserve">mpacts of </w:t>
      </w:r>
      <w:r w:rsidR="00DA446C">
        <w:t>D</w:t>
      </w:r>
      <w:r w:rsidR="00DA446C" w:rsidRPr="00C80B36">
        <w:t xml:space="preserve">issemination of </w:t>
      </w:r>
      <w:r w:rsidR="00DA446C">
        <w:t>N</w:t>
      </w:r>
      <w:r w:rsidR="00DA446C" w:rsidRPr="00C80B36">
        <w:t xml:space="preserve">onconsensual </w:t>
      </w:r>
      <w:r w:rsidR="00DA446C">
        <w:t>S</w:t>
      </w:r>
      <w:r w:rsidR="00DA446C" w:rsidRPr="00C80B36">
        <w:t xml:space="preserve">exual </w:t>
      </w:r>
      <w:r w:rsidR="00DA446C">
        <w:t>D</w:t>
      </w:r>
      <w:r w:rsidR="00DA446C" w:rsidRPr="00C80B36">
        <w:t xml:space="preserve">eepfakes in the </w:t>
      </w:r>
      <w:r w:rsidR="00DA446C">
        <w:t>F</w:t>
      </w:r>
      <w:r w:rsidR="00DA446C" w:rsidRPr="00C80B36">
        <w:t xml:space="preserve">ramework of </w:t>
      </w:r>
      <w:r w:rsidR="00DA446C">
        <w:t>the ECHR</w:t>
      </w:r>
      <w:r w:rsidR="00DA446C" w:rsidRPr="00C80B36">
        <w:t xml:space="preserve">: A </w:t>
      </w:r>
      <w:r w:rsidR="00DA446C">
        <w:t>V</w:t>
      </w:r>
      <w:r w:rsidR="00DA446C" w:rsidRPr="00C80B36">
        <w:t>ictim-</w:t>
      </w:r>
      <w:r w:rsidR="00DA446C">
        <w:t>C</w:t>
      </w:r>
      <w:r w:rsidR="00DA446C" w:rsidRPr="00C80B36">
        <w:t xml:space="preserve">entered </w:t>
      </w:r>
      <w:r w:rsidR="00DA446C">
        <w:t>P</w:t>
      </w:r>
      <w:r w:rsidR="00DA446C" w:rsidRPr="00C80B36">
        <w:t>erspective’ (</w:t>
      </w:r>
      <w:r w:rsidR="00DA446C">
        <w:t xml:space="preserve">2025) 56 </w:t>
      </w:r>
      <w:r w:rsidR="00DA446C" w:rsidRPr="004A15EB">
        <w:rPr>
          <w:i/>
          <w:iCs/>
        </w:rPr>
        <w:t>Computer Law and Security Review</w:t>
      </w:r>
      <w:r w:rsidR="00DA446C">
        <w:t>.</w:t>
      </w:r>
    </w:p>
  </w:footnote>
  <w:footnote w:id="131">
    <w:p w14:paraId="78FF387B" w14:textId="16507087" w:rsidR="00A83133" w:rsidRPr="00C80B36" w:rsidRDefault="00A83133" w:rsidP="009B3DC1">
      <w:pPr>
        <w:pStyle w:val="NIHRCFootnotes"/>
      </w:pPr>
      <w:r w:rsidRPr="00C80B36">
        <w:rPr>
          <w:rStyle w:val="FootnoteReference"/>
        </w:rPr>
        <w:footnoteRef/>
      </w:r>
      <w:r w:rsidRPr="00C80B36">
        <w:t xml:space="preserve"> Jane Wakefield, ‘Tackling deepfakes </w:t>
      </w:r>
      <w:r w:rsidR="00A03564">
        <w:t>“</w:t>
      </w:r>
      <w:r w:rsidRPr="00C80B36">
        <w:t>has turned into an arms race</w:t>
      </w:r>
      <w:r w:rsidR="00A03564">
        <w:t>”</w:t>
      </w:r>
      <w:r w:rsidRPr="00C80B36">
        <w:t>’,</w:t>
      </w:r>
      <w:r w:rsidRPr="00C80B36">
        <w:rPr>
          <w:i/>
          <w:iCs/>
        </w:rPr>
        <w:t xml:space="preserve"> BBC News</w:t>
      </w:r>
      <w:r w:rsidRPr="00C80B36">
        <w:t>, 27 March 2024.</w:t>
      </w:r>
    </w:p>
  </w:footnote>
  <w:footnote w:id="132">
    <w:p w14:paraId="4859FFF8" w14:textId="5C97ED87" w:rsidR="002F3E55" w:rsidRPr="00C80B36" w:rsidRDefault="002F3E55" w:rsidP="009B3DC1">
      <w:pPr>
        <w:pStyle w:val="NIHRCFootnotes"/>
      </w:pPr>
      <w:r w:rsidRPr="00C80B36">
        <w:rPr>
          <w:rStyle w:val="FootnoteReference"/>
        </w:rPr>
        <w:footnoteRef/>
      </w:r>
      <w:r w:rsidRPr="00C80B36">
        <w:t xml:space="preserve"> Adriane van der Wilk, ‘Protecting Women and Girls from Violence in the Digital Age: The </w:t>
      </w:r>
      <w:r w:rsidR="00A03564">
        <w:t>R</w:t>
      </w:r>
      <w:r w:rsidRPr="00C80B36">
        <w:t xml:space="preserve">elevance of the Istanbul Convention and the Budapest Convention on Cybercrime in </w:t>
      </w:r>
      <w:r w:rsidR="00A03564">
        <w:t>A</w:t>
      </w:r>
      <w:r w:rsidRPr="00C80B36">
        <w:t xml:space="preserve">ddressing </w:t>
      </w:r>
      <w:r w:rsidR="00A03564">
        <w:t>O</w:t>
      </w:r>
      <w:r w:rsidRPr="00C80B36">
        <w:t xml:space="preserve">nline and </w:t>
      </w:r>
      <w:r w:rsidR="00A03564">
        <w:t>T</w:t>
      </w:r>
      <w:r w:rsidRPr="00C80B36">
        <w:t xml:space="preserve">echnology-facilitated </w:t>
      </w:r>
      <w:r w:rsidR="00A03564">
        <w:t>V</w:t>
      </w:r>
      <w:r w:rsidRPr="00C80B36">
        <w:t xml:space="preserve">iolence </w:t>
      </w:r>
      <w:r w:rsidR="00A03564">
        <w:t>A</w:t>
      </w:r>
      <w:r w:rsidRPr="00C80B36">
        <w:t xml:space="preserve">gainst </w:t>
      </w:r>
      <w:r w:rsidR="00A03564">
        <w:t>W</w:t>
      </w:r>
      <w:r w:rsidRPr="00C80B36">
        <w:t>omen’ (</w:t>
      </w:r>
      <w:r w:rsidRPr="00C80B36">
        <w:t>CoE, 2021), at 11.</w:t>
      </w:r>
    </w:p>
  </w:footnote>
  <w:footnote w:id="133">
    <w:p w14:paraId="2BC03A73" w14:textId="6FE90CC2" w:rsidR="00406EAB" w:rsidRPr="00C80B36" w:rsidRDefault="00406EAB" w:rsidP="009B3DC1">
      <w:pPr>
        <w:pStyle w:val="NIHRCFootnotes"/>
      </w:pPr>
      <w:r w:rsidRPr="00C80B36">
        <w:rPr>
          <w:rStyle w:val="FootnoteReference"/>
        </w:rPr>
        <w:footnoteRef/>
      </w:r>
      <w:r w:rsidRPr="00C80B36">
        <w:t xml:space="preserve"> </w:t>
      </w:r>
      <w:r w:rsidR="00A03564">
        <w:t xml:space="preserve">An EU </w:t>
      </w:r>
      <w:r w:rsidR="00DD7386" w:rsidRPr="00C80B36">
        <w:t xml:space="preserve">study found that gender-based cyber harassment and stalking </w:t>
      </w:r>
      <w:r w:rsidR="002D78BC" w:rsidRPr="00C80B36">
        <w:t xml:space="preserve">primarily </w:t>
      </w:r>
      <w:r w:rsidR="00DD7386" w:rsidRPr="00C80B36">
        <w:t>harm women's mental health, causing anxiety, low self-esteem, depression, P</w:t>
      </w:r>
      <w:r w:rsidR="00A03564">
        <w:t xml:space="preserve">ost </w:t>
      </w:r>
      <w:r w:rsidR="00DD7386" w:rsidRPr="00C80B36">
        <w:t>T</w:t>
      </w:r>
      <w:r w:rsidR="00A03564">
        <w:t xml:space="preserve">raumatic </w:t>
      </w:r>
      <w:r w:rsidR="00DD7386" w:rsidRPr="00C80B36">
        <w:t>S</w:t>
      </w:r>
      <w:r w:rsidR="00A03564">
        <w:t xml:space="preserve">tress </w:t>
      </w:r>
      <w:r w:rsidR="00DD7386" w:rsidRPr="00C80B36">
        <w:t>D</w:t>
      </w:r>
      <w:r w:rsidR="00A03564">
        <w:t>isorder</w:t>
      </w:r>
      <w:r w:rsidR="00DD7386" w:rsidRPr="00C80B36">
        <w:t>, and a lack of trust and control. Additionally, these issues lead to significant social and economic consequences, including higher healthcare and legal costs, losses in the labour market, and a reduced quality of life. This leads to the 'silencing' of women, as they withdraw from public and online spaces to protect their safety</w:t>
      </w:r>
      <w:r w:rsidR="00BE5272" w:rsidRPr="00C80B36">
        <w:t xml:space="preserve">. </w:t>
      </w:r>
      <w:r w:rsidR="00C46DC4" w:rsidRPr="00C80B36">
        <w:t>Niombo Lomba</w:t>
      </w:r>
      <w:r w:rsidR="00537FA1" w:rsidRPr="00C80B36">
        <w:t xml:space="preserve"> </w:t>
      </w:r>
      <w:r w:rsidR="004C0304">
        <w:t>et al</w:t>
      </w:r>
      <w:r w:rsidR="00C46DC4" w:rsidRPr="00C80B36">
        <w:t>, ‘</w:t>
      </w:r>
      <w:r w:rsidR="00210DC9" w:rsidRPr="00C80B36">
        <w:t xml:space="preserve">Combating </w:t>
      </w:r>
      <w:r w:rsidR="004C0304">
        <w:t>G</w:t>
      </w:r>
      <w:r w:rsidR="00210DC9" w:rsidRPr="00C80B36">
        <w:t>ender</w:t>
      </w:r>
      <w:r w:rsidR="007E5569" w:rsidRPr="00C80B36">
        <w:t>-</w:t>
      </w:r>
      <w:r w:rsidR="00210DC9" w:rsidRPr="00C80B36">
        <w:t xml:space="preserve">based </w:t>
      </w:r>
      <w:r w:rsidR="004C0304">
        <w:t>V</w:t>
      </w:r>
      <w:r w:rsidR="00210DC9" w:rsidRPr="00C80B36">
        <w:t xml:space="preserve">iolence: Cyber </w:t>
      </w:r>
      <w:r w:rsidR="004C0304">
        <w:t>V</w:t>
      </w:r>
      <w:r w:rsidR="00210DC9" w:rsidRPr="00C80B36">
        <w:t>iolence</w:t>
      </w:r>
      <w:r w:rsidR="00C46DC4" w:rsidRPr="00C80B36">
        <w:t>’</w:t>
      </w:r>
      <w:r w:rsidR="00AA16EF" w:rsidRPr="00C80B36">
        <w:t xml:space="preserve"> </w:t>
      </w:r>
      <w:r w:rsidR="004C0304">
        <w:t>(</w:t>
      </w:r>
      <w:r w:rsidR="006F629A" w:rsidRPr="00C80B36">
        <w:t>EPRS</w:t>
      </w:r>
      <w:r w:rsidR="004C0304">
        <w:t xml:space="preserve">, </w:t>
      </w:r>
      <w:r w:rsidR="006F629A" w:rsidRPr="00C80B36">
        <w:t>2021), at</w:t>
      </w:r>
      <w:r w:rsidR="003377E7" w:rsidRPr="00C80B36">
        <w:t xml:space="preserve"> 14</w:t>
      </w:r>
      <w:r w:rsidR="00210DC9" w:rsidRPr="00C80B36">
        <w:t>.</w:t>
      </w:r>
    </w:p>
  </w:footnote>
  <w:footnote w:id="134">
    <w:p w14:paraId="5B8BC260" w14:textId="674AA860" w:rsidR="007B605A" w:rsidRPr="00C80B36" w:rsidRDefault="0011510F" w:rsidP="009B3DC1">
      <w:pPr>
        <w:pStyle w:val="NIHRCFootnotes"/>
      </w:pPr>
      <w:r w:rsidRPr="00C80B36">
        <w:t>Felipe Romero Moreno, ‘Generative A</w:t>
      </w:r>
      <w:r>
        <w:t>rtificial Intelligence</w:t>
      </w:r>
      <w:r w:rsidRPr="00C80B36">
        <w:t xml:space="preserve"> and </w:t>
      </w:r>
      <w:r>
        <w:t>D</w:t>
      </w:r>
      <w:r w:rsidRPr="00C80B36">
        <w:t xml:space="preserve">eepfakes: </w:t>
      </w:r>
      <w:r>
        <w:t>A</w:t>
      </w:r>
      <w:r w:rsidRPr="00C80B36">
        <w:t xml:space="preserve"> </w:t>
      </w:r>
      <w:r>
        <w:t>H</w:t>
      </w:r>
      <w:r w:rsidRPr="00C80B36">
        <w:t xml:space="preserve">uman </w:t>
      </w:r>
      <w:r>
        <w:t>R</w:t>
      </w:r>
      <w:r w:rsidRPr="00C80B36">
        <w:t xml:space="preserve">ights </w:t>
      </w:r>
      <w:r>
        <w:t>A</w:t>
      </w:r>
      <w:r w:rsidRPr="00C80B36">
        <w:t xml:space="preserve">pproach to </w:t>
      </w:r>
      <w:r>
        <w:t>T</w:t>
      </w:r>
      <w:r w:rsidRPr="00C80B36">
        <w:t xml:space="preserve">ackling </w:t>
      </w:r>
      <w:r>
        <w:t>H</w:t>
      </w:r>
      <w:r w:rsidRPr="00C80B36">
        <w:t xml:space="preserve">armful </w:t>
      </w:r>
      <w:r>
        <w:t>C</w:t>
      </w:r>
      <w:r w:rsidRPr="00C80B36">
        <w:t xml:space="preserve">ontent’ </w:t>
      </w:r>
      <w:r>
        <w:t xml:space="preserve">(2024) 38 </w:t>
      </w:r>
      <w:r w:rsidRPr="00651954">
        <w:rPr>
          <w:i/>
          <w:iCs/>
        </w:rPr>
        <w:t xml:space="preserve">International Review of Law, Computers </w:t>
      </w:r>
      <w:r>
        <w:rPr>
          <w:i/>
          <w:iCs/>
        </w:rPr>
        <w:t>and</w:t>
      </w:r>
      <w:r w:rsidRPr="00651954">
        <w:rPr>
          <w:i/>
          <w:iCs/>
        </w:rPr>
        <w:t xml:space="preserve"> Technology</w:t>
      </w:r>
      <w:r>
        <w:rPr>
          <w:i/>
          <w:iCs/>
        </w:rPr>
        <w:t xml:space="preserve"> </w:t>
      </w:r>
      <w:r>
        <w:t>297</w:t>
      </w:r>
      <w:r w:rsidR="00D678F8" w:rsidRPr="00C80B36">
        <w:t xml:space="preserve">; </w:t>
      </w:r>
      <w:r w:rsidR="00DA446C" w:rsidRPr="00C80B36">
        <w:t xml:space="preserve">Can Yavuz, ‘Adverse </w:t>
      </w:r>
      <w:r w:rsidR="00DA446C">
        <w:t>H</w:t>
      </w:r>
      <w:r w:rsidR="00DA446C" w:rsidRPr="00C80B36">
        <w:t xml:space="preserve">uman </w:t>
      </w:r>
      <w:r w:rsidR="00DA446C">
        <w:t>R</w:t>
      </w:r>
      <w:r w:rsidR="00DA446C" w:rsidRPr="00C80B36">
        <w:t xml:space="preserve">ights </w:t>
      </w:r>
      <w:r w:rsidR="00DA446C">
        <w:t>I</w:t>
      </w:r>
      <w:r w:rsidR="00DA446C" w:rsidRPr="00C80B36">
        <w:t xml:space="preserve">mpacts of </w:t>
      </w:r>
      <w:r w:rsidR="00DA446C">
        <w:t>D</w:t>
      </w:r>
      <w:r w:rsidR="00DA446C" w:rsidRPr="00C80B36">
        <w:t xml:space="preserve">issemination of </w:t>
      </w:r>
      <w:r w:rsidR="00DA446C">
        <w:t>N</w:t>
      </w:r>
      <w:r w:rsidR="00DA446C" w:rsidRPr="00C80B36">
        <w:t xml:space="preserve">onconsensual </w:t>
      </w:r>
      <w:r w:rsidR="00DA446C">
        <w:t>S</w:t>
      </w:r>
      <w:r w:rsidR="00DA446C" w:rsidRPr="00C80B36">
        <w:t xml:space="preserve">exual </w:t>
      </w:r>
      <w:r w:rsidR="00DA446C">
        <w:t>D</w:t>
      </w:r>
      <w:r w:rsidR="00DA446C" w:rsidRPr="00C80B36">
        <w:t xml:space="preserve">eepfakes in the </w:t>
      </w:r>
      <w:r w:rsidR="00DA446C">
        <w:t>F</w:t>
      </w:r>
      <w:r w:rsidR="00DA446C" w:rsidRPr="00C80B36">
        <w:t xml:space="preserve">ramework of </w:t>
      </w:r>
      <w:r w:rsidR="00DA446C">
        <w:t>the ECHR</w:t>
      </w:r>
      <w:r w:rsidR="00DA446C" w:rsidRPr="00C80B36">
        <w:t xml:space="preserve">: A </w:t>
      </w:r>
      <w:r w:rsidR="00DA446C">
        <w:t>V</w:t>
      </w:r>
      <w:r w:rsidR="00DA446C" w:rsidRPr="00C80B36">
        <w:t>ictim-</w:t>
      </w:r>
      <w:r w:rsidR="00DA446C">
        <w:t>C</w:t>
      </w:r>
      <w:r w:rsidR="00DA446C" w:rsidRPr="00C80B36">
        <w:t xml:space="preserve">entered </w:t>
      </w:r>
      <w:r w:rsidR="00DA446C">
        <w:t>P</w:t>
      </w:r>
      <w:r w:rsidR="00DA446C" w:rsidRPr="00C80B36">
        <w:t>erspective’ (</w:t>
      </w:r>
      <w:r w:rsidR="00DA446C">
        <w:t xml:space="preserve">2025) 56 </w:t>
      </w:r>
      <w:r w:rsidR="00DA446C" w:rsidRPr="004A15EB">
        <w:rPr>
          <w:i/>
          <w:iCs/>
        </w:rPr>
        <w:t>Computer Law and Security Review</w:t>
      </w:r>
      <w:r w:rsidR="00DA446C" w:rsidRPr="00C80B36">
        <w:t>,</w:t>
      </w:r>
      <w:r w:rsidR="00DA446C">
        <w:t xml:space="preserve"> </w:t>
      </w:r>
      <w:r w:rsidR="00D678F8" w:rsidRPr="00C80B36">
        <w:t>at 3</w:t>
      </w:r>
      <w:r w:rsidR="00284D83" w:rsidRPr="00C80B36">
        <w:t>.</w:t>
      </w:r>
    </w:p>
  </w:footnote>
  <w:footnote w:id="135">
    <w:p w14:paraId="406836FE" w14:textId="3F01322D" w:rsidR="00A4149C" w:rsidRPr="00C80B36" w:rsidRDefault="00A4149C" w:rsidP="009B3DC1">
      <w:pPr>
        <w:pStyle w:val="NIHRCFootnotes"/>
      </w:pPr>
      <w:r w:rsidRPr="00C80B36">
        <w:rPr>
          <w:rStyle w:val="FootnoteReference"/>
        </w:rPr>
        <w:footnoteRef/>
      </w:r>
      <w:r w:rsidRPr="00C80B36">
        <w:t xml:space="preserve"> </w:t>
      </w:r>
      <w:r w:rsidR="00F51464" w:rsidRPr="00C80B36">
        <w:t>Hannah Brown</w:t>
      </w:r>
      <w:r w:rsidR="0005579F" w:rsidRPr="00C80B36">
        <w:t xml:space="preserve"> </w:t>
      </w:r>
      <w:r w:rsidR="004C0304">
        <w:t>et al</w:t>
      </w:r>
      <w:r w:rsidR="0005579F" w:rsidRPr="00C80B36">
        <w:t>, ‘What Does it Mean for a Language Model to Preserve Privacy?’</w:t>
      </w:r>
      <w:r w:rsidR="00F51464" w:rsidRPr="00C80B36">
        <w:t xml:space="preserve"> </w:t>
      </w:r>
      <w:r w:rsidR="0005579F" w:rsidRPr="00C80B36">
        <w:t>(</w:t>
      </w:r>
      <w:r w:rsidR="00CF5C43" w:rsidRPr="00C80B36">
        <w:t xml:space="preserve">ACM, </w:t>
      </w:r>
      <w:r w:rsidR="00F51464" w:rsidRPr="00C80B36">
        <w:t>2022</w:t>
      </w:r>
      <w:r w:rsidR="00CF5C43" w:rsidRPr="00C80B36">
        <w:t>)</w:t>
      </w:r>
      <w:r w:rsidR="00F51464" w:rsidRPr="00C80B36">
        <w:t xml:space="preserve">. </w:t>
      </w:r>
    </w:p>
  </w:footnote>
  <w:footnote w:id="136">
    <w:p w14:paraId="0D33A1BD" w14:textId="57BAA1B9" w:rsidR="001A66EB" w:rsidRPr="00C80B36" w:rsidRDefault="001A66EB" w:rsidP="009B3DC1">
      <w:pPr>
        <w:pStyle w:val="NIHRCFootnotes"/>
      </w:pPr>
      <w:r w:rsidRPr="00C80B36">
        <w:rPr>
          <w:rStyle w:val="FootnoteReference"/>
        </w:rPr>
        <w:footnoteRef/>
      </w:r>
      <w:r w:rsidRPr="00C80B36">
        <w:rPr>
          <w:i/>
          <w:iCs/>
        </w:rPr>
        <w:t xml:space="preserve"> Kahn v Germany </w:t>
      </w:r>
      <w:r w:rsidRPr="00C80B36">
        <w:t>(2016)</w:t>
      </w:r>
      <w:r w:rsidR="00E00DFC" w:rsidRPr="00C80B36">
        <w:t xml:space="preserve"> ECHR 276</w:t>
      </w:r>
      <w:r w:rsidRPr="00C80B36">
        <w:t>, at para 75</w:t>
      </w:r>
      <w:r w:rsidR="00E00DFC" w:rsidRPr="00C80B36">
        <w:t>.</w:t>
      </w:r>
    </w:p>
  </w:footnote>
  <w:footnote w:id="137">
    <w:p w14:paraId="501E809A" w14:textId="0B5AB5A0" w:rsidR="00560427" w:rsidRPr="00C80B36" w:rsidRDefault="00560427" w:rsidP="009B3DC1">
      <w:pPr>
        <w:pStyle w:val="NIHRCFootnotes"/>
      </w:pPr>
      <w:r w:rsidRPr="00C80B36">
        <w:rPr>
          <w:rStyle w:val="FootnoteReference"/>
        </w:rPr>
        <w:footnoteRef/>
      </w:r>
      <w:r w:rsidRPr="00C80B36">
        <w:t xml:space="preserve"> </w:t>
      </w:r>
      <w:r w:rsidR="00FC262A" w:rsidRPr="00C80B36">
        <w:t xml:space="preserve">Adriane van der Wilk, ‘Protecting Women and Girls from Violence in the Digital Age: The </w:t>
      </w:r>
      <w:r w:rsidR="004C0304">
        <w:t>R</w:t>
      </w:r>
      <w:r w:rsidR="00FC262A" w:rsidRPr="00C80B36">
        <w:t xml:space="preserve">elevance of the Istanbul Convention and the Budapest Convention on Cybercrime in </w:t>
      </w:r>
      <w:r w:rsidR="004C0304">
        <w:t>A</w:t>
      </w:r>
      <w:r w:rsidR="00FC262A" w:rsidRPr="00C80B36">
        <w:t xml:space="preserve">ddressing </w:t>
      </w:r>
      <w:r w:rsidR="004C0304">
        <w:t>O</w:t>
      </w:r>
      <w:r w:rsidR="00FC262A" w:rsidRPr="00C80B36">
        <w:t xml:space="preserve">nline and </w:t>
      </w:r>
      <w:r w:rsidR="004C0304">
        <w:t>T</w:t>
      </w:r>
      <w:r w:rsidR="00FC262A" w:rsidRPr="00C80B36">
        <w:t xml:space="preserve">echnology-facilitated </w:t>
      </w:r>
      <w:r w:rsidR="004C0304">
        <w:t>V</w:t>
      </w:r>
      <w:r w:rsidR="00FC262A" w:rsidRPr="00C80B36">
        <w:t xml:space="preserve">iolence </w:t>
      </w:r>
      <w:r w:rsidR="004C0304">
        <w:t>A</w:t>
      </w:r>
      <w:r w:rsidR="00FC262A" w:rsidRPr="00C80B36">
        <w:t xml:space="preserve">gainst </w:t>
      </w:r>
      <w:r w:rsidR="004C0304">
        <w:t>W</w:t>
      </w:r>
      <w:r w:rsidR="00FC262A" w:rsidRPr="00C80B36">
        <w:t>omen’ (</w:t>
      </w:r>
      <w:r w:rsidR="00FC262A" w:rsidRPr="00C80B36">
        <w:t>CoE, 2021), at 11.</w:t>
      </w:r>
    </w:p>
  </w:footnote>
  <w:footnote w:id="138">
    <w:p w14:paraId="142CF241" w14:textId="31B9350F" w:rsidR="00C85E41" w:rsidRPr="00C80B36" w:rsidRDefault="00C85E41" w:rsidP="009B3DC1">
      <w:pPr>
        <w:pStyle w:val="NIHRCFootnotes"/>
      </w:pPr>
      <w:r w:rsidRPr="00C80B36">
        <w:rPr>
          <w:rStyle w:val="FootnoteReference"/>
        </w:rPr>
        <w:footnoteRef/>
      </w:r>
      <w:r w:rsidRPr="00C80B36">
        <w:t xml:space="preserve"> </w:t>
      </w:r>
      <w:r w:rsidR="00B1311C" w:rsidRPr="00C80B36">
        <w:t>GREVIO(2021)20, ‘</w:t>
      </w:r>
      <w:r w:rsidR="004C0304">
        <w:t xml:space="preserve">CoE </w:t>
      </w:r>
      <w:r w:rsidR="00B1311C" w:rsidRPr="00C80B36">
        <w:t>GREVIO</w:t>
      </w:r>
      <w:r w:rsidR="004C0304">
        <w:t xml:space="preserve"> Committee</w:t>
      </w:r>
      <w:r w:rsidR="00B1311C" w:rsidRPr="00C80B36">
        <w:t xml:space="preserve"> General Recommendation No 1</w:t>
      </w:r>
      <w:r w:rsidR="004C0304">
        <w:t>: D</w:t>
      </w:r>
      <w:r w:rsidR="00B1311C" w:rsidRPr="00C80B36">
        <w:t xml:space="preserve">igital </w:t>
      </w:r>
      <w:r w:rsidR="004C0304">
        <w:t>D</w:t>
      </w:r>
      <w:r w:rsidR="00B1311C" w:rsidRPr="00C80B36">
        <w:t xml:space="preserve">imension of </w:t>
      </w:r>
      <w:r w:rsidR="004C0304">
        <w:t>V</w:t>
      </w:r>
      <w:r w:rsidR="00B1311C" w:rsidRPr="00C80B36">
        <w:t xml:space="preserve">iolence </w:t>
      </w:r>
      <w:r w:rsidR="004C0304">
        <w:t>A</w:t>
      </w:r>
      <w:r w:rsidR="00B1311C" w:rsidRPr="00C80B36">
        <w:t xml:space="preserve">gainst </w:t>
      </w:r>
      <w:r w:rsidR="004C0304">
        <w:t>W</w:t>
      </w:r>
      <w:r w:rsidR="00B1311C" w:rsidRPr="00C80B36">
        <w:t>omen’ (GREVIO, 2021)</w:t>
      </w:r>
      <w:r w:rsidR="004C0304">
        <w:t>,</w:t>
      </w:r>
      <w:r w:rsidR="00B1311C" w:rsidRPr="00C80B36">
        <w:t xml:space="preserve"> at para </w:t>
      </w:r>
      <w:r w:rsidR="00AD28FD" w:rsidRPr="00C80B36">
        <w:t>57.</w:t>
      </w:r>
    </w:p>
  </w:footnote>
  <w:footnote w:id="139">
    <w:p w14:paraId="33A7E33D" w14:textId="7E3AE7B1" w:rsidR="00533B34" w:rsidRPr="00C80B36" w:rsidRDefault="00533B34" w:rsidP="009B3DC1">
      <w:pPr>
        <w:pStyle w:val="NIHRCFootnotes"/>
      </w:pPr>
      <w:r w:rsidRPr="00C80B36">
        <w:rPr>
          <w:rStyle w:val="FootnoteReference"/>
        </w:rPr>
        <w:footnoteRef/>
      </w:r>
      <w:r w:rsidRPr="00C80B36">
        <w:t xml:space="preserve"> </w:t>
      </w:r>
      <w:r w:rsidR="009A06FE">
        <w:t>Ibid</w:t>
      </w:r>
      <w:r w:rsidR="004C0304">
        <w:t>,</w:t>
      </w:r>
      <w:r w:rsidR="000107AD" w:rsidRPr="00C80B36">
        <w:t xml:space="preserve"> at para </w:t>
      </w:r>
      <w:r w:rsidR="009947F3" w:rsidRPr="00C80B36">
        <w:t>51.</w:t>
      </w:r>
    </w:p>
  </w:footnote>
  <w:footnote w:id="140">
    <w:p w14:paraId="21DE683C" w14:textId="16B71C76" w:rsidR="005B378C" w:rsidRPr="00C80B36" w:rsidRDefault="005B378C" w:rsidP="009B3DC1">
      <w:pPr>
        <w:pStyle w:val="NIHRCFootnotes"/>
      </w:pPr>
      <w:r w:rsidRPr="00C80B36">
        <w:rPr>
          <w:rStyle w:val="FootnoteReference"/>
        </w:rPr>
        <w:footnoteRef/>
      </w:r>
      <w:r w:rsidRPr="00C80B36">
        <w:t xml:space="preserve"> </w:t>
      </w:r>
      <w:r w:rsidR="0052552A" w:rsidRPr="00C80B36">
        <w:t>Department of Justice, ‘A Consultation on Proposals to Criminalise Sexually Explicit Deepfake Images’ (DoJ, 2025), at 5.</w:t>
      </w:r>
    </w:p>
  </w:footnote>
  <w:footnote w:id="141">
    <w:p w14:paraId="0DD136A8" w14:textId="0CAD600E" w:rsidR="005B378C" w:rsidRPr="00C80B36" w:rsidRDefault="005B378C" w:rsidP="009B3DC1">
      <w:pPr>
        <w:pStyle w:val="NIHRCFootnotes"/>
      </w:pPr>
      <w:r w:rsidRPr="00C80B36">
        <w:rPr>
          <w:rStyle w:val="FootnoteReference"/>
        </w:rPr>
        <w:footnoteRef/>
      </w:r>
      <w:r w:rsidR="009550A7" w:rsidRPr="00C80B36">
        <w:t xml:space="preserve"> </w:t>
      </w:r>
      <w:r w:rsidR="009C7AE4" w:rsidRPr="00C80B36">
        <w:t xml:space="preserve">Shivani Chaudhari, ‘Growing demand on the dark web for AI abuse images’, </w:t>
      </w:r>
      <w:r w:rsidR="009C7AE4" w:rsidRPr="00C80B36">
        <w:rPr>
          <w:i/>
          <w:iCs/>
        </w:rPr>
        <w:t>BBC News</w:t>
      </w:r>
      <w:r w:rsidR="009C7AE4" w:rsidRPr="00C80B36">
        <w:t xml:space="preserve">, 13 August 2024; Athena Stavrou, ‘Sexual violence a ‘national emergency’ in UK schools amid rise of AI deepfake porn, expert warns’, </w:t>
      </w:r>
      <w:r w:rsidR="009C7AE4" w:rsidRPr="00C80B36">
        <w:rPr>
          <w:i/>
          <w:iCs/>
        </w:rPr>
        <w:t>The</w:t>
      </w:r>
      <w:r w:rsidR="009C7AE4" w:rsidRPr="00C80B36">
        <w:t xml:space="preserve"> </w:t>
      </w:r>
      <w:r w:rsidR="009C7AE4" w:rsidRPr="00C80B36">
        <w:rPr>
          <w:i/>
          <w:iCs/>
        </w:rPr>
        <w:t>Independent</w:t>
      </w:r>
      <w:r w:rsidR="009C7AE4" w:rsidRPr="00C80B36">
        <w:t xml:space="preserve">, 26 May 2025; </w:t>
      </w:r>
      <w:r w:rsidR="009550A7" w:rsidRPr="00C80B36">
        <w:t>Kat Tenbarge,</w:t>
      </w:r>
      <w:r w:rsidRPr="00C80B36">
        <w:t xml:space="preserve"> </w:t>
      </w:r>
      <w:r w:rsidR="009550A7" w:rsidRPr="00C80B36">
        <w:t>‘</w:t>
      </w:r>
      <w:r w:rsidR="00B54C2F" w:rsidRPr="00C80B36">
        <w:t>Found through Google, bought with Visa and Mastercard: Inside the deepfake porn economy</w:t>
      </w:r>
      <w:r w:rsidR="00D739C2" w:rsidRPr="00C80B36">
        <w:t xml:space="preserve">’, </w:t>
      </w:r>
      <w:r w:rsidR="00D739C2" w:rsidRPr="00940EEB">
        <w:rPr>
          <w:i/>
          <w:iCs/>
        </w:rPr>
        <w:t>NBC News</w:t>
      </w:r>
      <w:r w:rsidR="00D739C2" w:rsidRPr="00C80B36">
        <w:t xml:space="preserve">, </w:t>
      </w:r>
      <w:r w:rsidR="00471D96" w:rsidRPr="00C80B36">
        <w:t>27 March 2023.</w:t>
      </w:r>
    </w:p>
  </w:footnote>
  <w:footnote w:id="142">
    <w:p w14:paraId="27077229" w14:textId="52D47292" w:rsidR="003A2441" w:rsidRPr="00C80B36" w:rsidRDefault="003A2441" w:rsidP="009B3DC1">
      <w:pPr>
        <w:pStyle w:val="NIHRCFootnotes"/>
      </w:pPr>
      <w:r w:rsidRPr="00C80B36">
        <w:rPr>
          <w:rStyle w:val="FootnoteReference"/>
        </w:rPr>
        <w:footnoteRef/>
      </w:r>
      <w:r w:rsidRPr="00C80B36">
        <w:t xml:space="preserve"> </w:t>
      </w:r>
      <w:r w:rsidR="004D1DD2" w:rsidRPr="00C80B36">
        <w:t xml:space="preserve">Kat Tenbarge, ‘Found through Google, bought with Visa and Mastercard: Inside the deepfake porn economy’, </w:t>
      </w:r>
      <w:r w:rsidR="004D1DD2" w:rsidRPr="00940EEB">
        <w:rPr>
          <w:i/>
          <w:iCs/>
        </w:rPr>
        <w:t>NBC News</w:t>
      </w:r>
      <w:r w:rsidR="004D1DD2" w:rsidRPr="00C80B36">
        <w:t>, 27 March 2023.</w:t>
      </w:r>
    </w:p>
  </w:footnote>
  <w:footnote w:id="143">
    <w:p w14:paraId="620B31AC" w14:textId="11BCF886" w:rsidR="00DE7740" w:rsidRPr="00C80B36" w:rsidRDefault="00DE7740" w:rsidP="009B3DC1">
      <w:pPr>
        <w:pStyle w:val="NIHRCFootnotes"/>
      </w:pPr>
      <w:r w:rsidRPr="00C80B36">
        <w:rPr>
          <w:rStyle w:val="FootnoteReference"/>
        </w:rPr>
        <w:footnoteRef/>
      </w:r>
      <w:r w:rsidRPr="00C80B36">
        <w:t xml:space="preserve"> </w:t>
      </w:r>
      <w:r w:rsidR="00E9576A" w:rsidRPr="00C80B36">
        <w:t>A/HRC/59/53</w:t>
      </w:r>
      <w:r w:rsidR="00233B5F" w:rsidRPr="00C80B36">
        <w:t>,</w:t>
      </w:r>
      <w:r w:rsidR="00E9576A" w:rsidRPr="00C80B36">
        <w:t xml:space="preserve"> </w:t>
      </w:r>
      <w:r w:rsidR="00233B5F" w:rsidRPr="00C80B36">
        <w:t>‘</w:t>
      </w:r>
      <w:r w:rsidR="00940EEB">
        <w:t>UN</w:t>
      </w:r>
      <w:r w:rsidR="00193F17" w:rsidRPr="00C80B36">
        <w:t xml:space="preserve"> Working Group on Business and Human Rights</w:t>
      </w:r>
      <w:r w:rsidR="00953F7F" w:rsidRPr="00C80B36">
        <w:t xml:space="preserve"> Artificial </w:t>
      </w:r>
      <w:r w:rsidR="00940EEB">
        <w:t>I</w:t>
      </w:r>
      <w:r w:rsidR="00953F7F" w:rsidRPr="00C80B36">
        <w:t xml:space="preserve">ntelligence </w:t>
      </w:r>
      <w:r w:rsidR="00940EEB">
        <w:t>P</w:t>
      </w:r>
      <w:r w:rsidR="00953F7F" w:rsidRPr="00C80B36">
        <w:t xml:space="preserve">rocurement and </w:t>
      </w:r>
      <w:r w:rsidR="00940EEB">
        <w:t>D</w:t>
      </w:r>
      <w:r w:rsidR="00953F7F" w:rsidRPr="00C80B36">
        <w:t xml:space="preserve">eployment: </w:t>
      </w:r>
      <w:r w:rsidR="00940EEB">
        <w:t>E</w:t>
      </w:r>
      <w:r w:rsidR="00953F7F" w:rsidRPr="00C80B36">
        <w:t xml:space="preserve">nsuring </w:t>
      </w:r>
      <w:r w:rsidR="00940EEB">
        <w:t>A</w:t>
      </w:r>
      <w:r w:rsidR="00953F7F" w:rsidRPr="00C80B36">
        <w:t xml:space="preserve">lignment with the Guiding Principles on Business and Human Rights - Report of the Working Group on the </w:t>
      </w:r>
      <w:r w:rsidR="00940EEB">
        <w:t>I</w:t>
      </w:r>
      <w:r w:rsidR="00953F7F" w:rsidRPr="00C80B36">
        <w:t xml:space="preserve">ssue of </w:t>
      </w:r>
      <w:r w:rsidR="00940EEB">
        <w:t>H</w:t>
      </w:r>
      <w:r w:rsidR="00953F7F" w:rsidRPr="00C80B36">
        <w:t xml:space="preserve">uman </w:t>
      </w:r>
      <w:r w:rsidR="00940EEB">
        <w:t>R</w:t>
      </w:r>
      <w:r w:rsidR="00953F7F" w:rsidRPr="00C80B36">
        <w:t xml:space="preserve">ights and </w:t>
      </w:r>
      <w:r w:rsidR="00940EEB">
        <w:t>T</w:t>
      </w:r>
      <w:r w:rsidR="00953F7F" w:rsidRPr="00C80B36">
        <w:t xml:space="preserve">ransnational </w:t>
      </w:r>
      <w:r w:rsidR="00940EEB">
        <w:t>C</w:t>
      </w:r>
      <w:r w:rsidR="00953F7F" w:rsidRPr="00C80B36">
        <w:t xml:space="preserve">orporations and </w:t>
      </w:r>
      <w:r w:rsidR="00940EEB">
        <w:t>O</w:t>
      </w:r>
      <w:r w:rsidR="00953F7F" w:rsidRPr="00C80B36">
        <w:t xml:space="preserve">ther </w:t>
      </w:r>
      <w:r w:rsidR="00940EEB">
        <w:t>B</w:t>
      </w:r>
      <w:r w:rsidR="00953F7F" w:rsidRPr="00C80B36">
        <w:t xml:space="preserve">usiness </w:t>
      </w:r>
      <w:r w:rsidR="00940EEB">
        <w:t>E</w:t>
      </w:r>
      <w:r w:rsidR="00953F7F" w:rsidRPr="00C80B36">
        <w:t>nterprises’</w:t>
      </w:r>
      <w:r w:rsidR="008D040C" w:rsidRPr="00C80B36">
        <w:t xml:space="preserve"> </w:t>
      </w:r>
      <w:r w:rsidR="008B4274" w:rsidRPr="00C80B36">
        <w:t>(</w:t>
      </w:r>
      <w:r w:rsidR="00850C24" w:rsidRPr="00C80B36">
        <w:t>OHCHR</w:t>
      </w:r>
      <w:r w:rsidR="008B4274" w:rsidRPr="00C80B36">
        <w:t>, 2025)</w:t>
      </w:r>
      <w:r w:rsidR="00DB6147" w:rsidRPr="00C80B36">
        <w:t>.</w:t>
      </w:r>
      <w:r w:rsidR="008B4274" w:rsidRPr="00C80B36">
        <w:t xml:space="preserve"> </w:t>
      </w:r>
    </w:p>
  </w:footnote>
  <w:footnote w:id="144">
    <w:p w14:paraId="7FA82182" w14:textId="57580377" w:rsidR="001941AA" w:rsidRPr="00C80B36" w:rsidRDefault="001941AA" w:rsidP="009B3DC1">
      <w:pPr>
        <w:pStyle w:val="NIHRCFootnotes"/>
      </w:pPr>
      <w:r w:rsidRPr="00C80B36">
        <w:rPr>
          <w:rStyle w:val="FootnoteReference"/>
        </w:rPr>
        <w:footnoteRef/>
      </w:r>
      <w:r w:rsidRPr="00C80B36">
        <w:t xml:space="preserve"> </w:t>
      </w:r>
      <w:r w:rsidR="00940EEB">
        <w:t xml:space="preserve">UN </w:t>
      </w:r>
      <w:r w:rsidR="00B53650" w:rsidRPr="00C80B36">
        <w:t>Office of the High Commissioner for Human Rights</w:t>
      </w:r>
      <w:r w:rsidR="000900E9" w:rsidRPr="00C80B36">
        <w:t xml:space="preserve">, </w:t>
      </w:r>
      <w:r w:rsidR="0052058A" w:rsidRPr="00C80B36">
        <w:t>‘</w:t>
      </w:r>
      <w:r w:rsidR="006573D2" w:rsidRPr="00C80B36">
        <w:t>Guiding Principles on Business and Human Rights</w:t>
      </w:r>
      <w:r w:rsidR="00800A23" w:rsidRPr="00C80B36">
        <w:t xml:space="preserve">: Implementing the </w:t>
      </w:r>
      <w:r w:rsidR="00940EEB">
        <w:t>UN</w:t>
      </w:r>
      <w:r w:rsidR="00800A23" w:rsidRPr="00C80B36">
        <w:t xml:space="preserve"> “Protect, Respect and Remedy” Framework</w:t>
      </w:r>
      <w:r w:rsidR="0052058A" w:rsidRPr="00C80B36">
        <w:t xml:space="preserve">’ </w:t>
      </w:r>
      <w:r w:rsidR="00D64A18" w:rsidRPr="00C80B36">
        <w:t>(OHCHR, 2011).</w:t>
      </w:r>
    </w:p>
  </w:footnote>
  <w:footnote w:id="145">
    <w:p w14:paraId="666FA4A5" w14:textId="5AA4C028" w:rsidR="000B6253" w:rsidRPr="00C80B36" w:rsidRDefault="000B6253" w:rsidP="009B3DC1">
      <w:pPr>
        <w:pStyle w:val="NIHRCFootnotes"/>
      </w:pPr>
      <w:r w:rsidRPr="00C80B36">
        <w:rPr>
          <w:rStyle w:val="FootnoteReference"/>
        </w:rPr>
        <w:footnoteRef/>
      </w:r>
      <w:r w:rsidRPr="00C80B36">
        <w:t xml:space="preserve"> </w:t>
      </w:r>
      <w:r w:rsidR="00940EEB" w:rsidRPr="00C80B36">
        <w:t>A/HRC/59/53, ‘</w:t>
      </w:r>
      <w:r w:rsidR="00940EEB">
        <w:t>UN</w:t>
      </w:r>
      <w:r w:rsidR="00940EEB" w:rsidRPr="00C80B36">
        <w:t xml:space="preserve"> Working Group on Business and Human Rights Artificial </w:t>
      </w:r>
      <w:r w:rsidR="00940EEB">
        <w:t>I</w:t>
      </w:r>
      <w:r w:rsidR="00940EEB" w:rsidRPr="00C80B36">
        <w:t xml:space="preserve">ntelligence </w:t>
      </w:r>
      <w:r w:rsidR="00940EEB">
        <w:t>P</w:t>
      </w:r>
      <w:r w:rsidR="00940EEB" w:rsidRPr="00C80B36">
        <w:t xml:space="preserve">rocurement and </w:t>
      </w:r>
      <w:r w:rsidR="00940EEB">
        <w:t>D</w:t>
      </w:r>
      <w:r w:rsidR="00940EEB" w:rsidRPr="00C80B36">
        <w:t xml:space="preserve">eployment: </w:t>
      </w:r>
      <w:r w:rsidR="00940EEB">
        <w:t>E</w:t>
      </w:r>
      <w:r w:rsidR="00940EEB" w:rsidRPr="00C80B36">
        <w:t xml:space="preserve">nsuring </w:t>
      </w:r>
      <w:r w:rsidR="00940EEB">
        <w:t>A</w:t>
      </w:r>
      <w:r w:rsidR="00940EEB" w:rsidRPr="00C80B36">
        <w:t xml:space="preserve">lignment with the Guiding Principles on Business and Human Rights - Report of the Working Group on the </w:t>
      </w:r>
      <w:r w:rsidR="00940EEB">
        <w:t>I</w:t>
      </w:r>
      <w:r w:rsidR="00940EEB" w:rsidRPr="00C80B36">
        <w:t xml:space="preserve">ssue of </w:t>
      </w:r>
      <w:r w:rsidR="00940EEB">
        <w:t>H</w:t>
      </w:r>
      <w:r w:rsidR="00940EEB" w:rsidRPr="00C80B36">
        <w:t xml:space="preserve">uman </w:t>
      </w:r>
      <w:r w:rsidR="00940EEB">
        <w:t>R</w:t>
      </w:r>
      <w:r w:rsidR="00940EEB" w:rsidRPr="00C80B36">
        <w:t xml:space="preserve">ights and </w:t>
      </w:r>
      <w:r w:rsidR="00940EEB">
        <w:t>T</w:t>
      </w:r>
      <w:r w:rsidR="00940EEB" w:rsidRPr="00C80B36">
        <w:t xml:space="preserve">ransnational </w:t>
      </w:r>
      <w:r w:rsidR="00940EEB">
        <w:t>C</w:t>
      </w:r>
      <w:r w:rsidR="00940EEB" w:rsidRPr="00C80B36">
        <w:t xml:space="preserve">orporations and </w:t>
      </w:r>
      <w:r w:rsidR="00940EEB">
        <w:t>O</w:t>
      </w:r>
      <w:r w:rsidR="00940EEB" w:rsidRPr="00C80B36">
        <w:t xml:space="preserve">ther </w:t>
      </w:r>
      <w:r w:rsidR="00940EEB">
        <w:t>B</w:t>
      </w:r>
      <w:r w:rsidR="00940EEB" w:rsidRPr="00C80B36">
        <w:t xml:space="preserve">usiness </w:t>
      </w:r>
      <w:r w:rsidR="00940EEB">
        <w:t>E</w:t>
      </w:r>
      <w:r w:rsidR="00940EEB" w:rsidRPr="00C80B36">
        <w:t>nterprises’ (OHCHR, 2025)</w:t>
      </w:r>
      <w:r w:rsidRPr="00C80B36">
        <w:t>, at para 5.</w:t>
      </w:r>
    </w:p>
  </w:footnote>
  <w:footnote w:id="146">
    <w:p w14:paraId="44DCED1C" w14:textId="44B1FBA6" w:rsidR="000B6253" w:rsidRPr="00C80B36" w:rsidRDefault="000B6253" w:rsidP="009B3DC1">
      <w:pPr>
        <w:pStyle w:val="NIHRCFootnotes"/>
      </w:pPr>
      <w:r w:rsidRPr="00C80B36">
        <w:rPr>
          <w:rStyle w:val="FootnoteReference"/>
        </w:rPr>
        <w:footnoteRef/>
      </w:r>
      <w:r w:rsidRPr="00C80B36">
        <w:t xml:space="preserve"> </w:t>
      </w:r>
      <w:r w:rsidR="009A06FE">
        <w:t>Ibid</w:t>
      </w:r>
      <w:r w:rsidRPr="00C80B36">
        <w:t>.</w:t>
      </w:r>
    </w:p>
  </w:footnote>
  <w:footnote w:id="147">
    <w:p w14:paraId="30AA5151" w14:textId="01F78B7B" w:rsidR="0049281C" w:rsidRPr="00C80B36" w:rsidRDefault="0049281C" w:rsidP="009B3DC1">
      <w:pPr>
        <w:pStyle w:val="NIHRCFootnotes"/>
      </w:pPr>
      <w:r w:rsidRPr="00C80B36">
        <w:rPr>
          <w:rStyle w:val="FootnoteReference"/>
        </w:rPr>
        <w:footnoteRef/>
      </w:r>
      <w:r w:rsidRPr="00C80B36">
        <w:t xml:space="preserve"> </w:t>
      </w:r>
      <w:r w:rsidR="009A06FE">
        <w:t>Ibid</w:t>
      </w:r>
      <w:r w:rsidR="009F4E2E" w:rsidRPr="00C80B36">
        <w:t>.</w:t>
      </w:r>
    </w:p>
  </w:footnote>
  <w:footnote w:id="148">
    <w:p w14:paraId="1F84C2AA" w14:textId="5E428777" w:rsidR="000140AF" w:rsidRPr="00C80B36" w:rsidRDefault="000140AF" w:rsidP="009B3DC1">
      <w:pPr>
        <w:pStyle w:val="NIHRCFootnotes"/>
      </w:pPr>
      <w:r w:rsidRPr="00C80B36">
        <w:rPr>
          <w:rStyle w:val="FootnoteReference"/>
        </w:rPr>
        <w:footnoteRef/>
      </w:r>
      <w:r w:rsidRPr="00C80B36">
        <w:t xml:space="preserve"> </w:t>
      </w:r>
      <w:r w:rsidR="00002A1C" w:rsidRPr="00C80B36">
        <w:t xml:space="preserve">Equality Now, ‘Briefing </w:t>
      </w:r>
      <w:r w:rsidR="00940EEB">
        <w:t>P</w:t>
      </w:r>
      <w:r w:rsidR="00002A1C" w:rsidRPr="00C80B36">
        <w:t xml:space="preserve">aper: Deepfake </w:t>
      </w:r>
      <w:r w:rsidR="00940EEB">
        <w:t>I</w:t>
      </w:r>
      <w:r w:rsidR="00002A1C" w:rsidRPr="00C80B36">
        <w:t xml:space="preserve">mage-based </w:t>
      </w:r>
      <w:r w:rsidR="00940EEB">
        <w:t>S</w:t>
      </w:r>
      <w:r w:rsidR="00002A1C" w:rsidRPr="00C80B36">
        <w:t xml:space="preserve">exual </w:t>
      </w:r>
      <w:r w:rsidR="005978F4">
        <w:t>A</w:t>
      </w:r>
      <w:r w:rsidR="00002A1C" w:rsidRPr="00C80B36">
        <w:t xml:space="preserve">buse, </w:t>
      </w:r>
      <w:r w:rsidR="005978F4">
        <w:t>T</w:t>
      </w:r>
      <w:r w:rsidR="00002A1C" w:rsidRPr="00C80B36">
        <w:t xml:space="preserve">ech-facilitated </w:t>
      </w:r>
      <w:r w:rsidR="005978F4">
        <w:t>S</w:t>
      </w:r>
      <w:r w:rsidR="00002A1C" w:rsidRPr="00C80B36">
        <w:t xml:space="preserve">exual </w:t>
      </w:r>
      <w:r w:rsidR="005978F4">
        <w:t>E</w:t>
      </w:r>
      <w:r w:rsidR="00002A1C" w:rsidRPr="00C80B36">
        <w:t xml:space="preserve">xploitation and the </w:t>
      </w:r>
      <w:r w:rsidR="005978F4">
        <w:t>L</w:t>
      </w:r>
      <w:r w:rsidR="00002A1C" w:rsidRPr="00C80B36">
        <w:t>aw’ (</w:t>
      </w:r>
      <w:r w:rsidR="00002A1C" w:rsidRPr="00C80B36">
        <w:t>AUDRi, 2024), at</w:t>
      </w:r>
      <w:r w:rsidRPr="00C80B36">
        <w:t xml:space="preserve"> 8; </w:t>
      </w:r>
      <w:r w:rsidR="0092637E" w:rsidRPr="00C80B36">
        <w:t xml:space="preserve">Equality Now, ‘Tech-facilitated </w:t>
      </w:r>
      <w:r w:rsidR="005978F4">
        <w:t>G</w:t>
      </w:r>
      <w:r w:rsidR="0092637E" w:rsidRPr="00C80B36">
        <w:t xml:space="preserve">ender-based </w:t>
      </w:r>
      <w:r w:rsidR="005978F4">
        <w:t>V</w:t>
      </w:r>
      <w:r w:rsidR="0092637E" w:rsidRPr="00C80B36">
        <w:t xml:space="preserve">iolence’. Available at: </w:t>
      </w:r>
      <w:hyperlink r:id="rId3" w:history="1">
        <w:r w:rsidR="0092637E" w:rsidRPr="00C80B36">
          <w:rPr>
            <w:rStyle w:val="Hyperlink"/>
            <w:i/>
            <w:iCs/>
            <w:color w:val="77328A"/>
          </w:rPr>
          <w:t>Tech-facilitated gender-based violence (TFGBV) | Equality Now</w:t>
        </w:r>
      </w:hyperlink>
      <w:r w:rsidR="00391B7E" w:rsidRPr="00C80B36">
        <w:t xml:space="preserve">; </w:t>
      </w:r>
      <w:r w:rsidR="00AD63C4" w:rsidRPr="00C80B36">
        <w:t>GREVIO(2021)20, ‘</w:t>
      </w:r>
      <w:r w:rsidR="005978F4">
        <w:t xml:space="preserve">CoE </w:t>
      </w:r>
      <w:r w:rsidR="00AD63C4" w:rsidRPr="00C80B36">
        <w:t>GREVIO</w:t>
      </w:r>
      <w:r w:rsidR="005978F4">
        <w:t xml:space="preserve"> Committee</w:t>
      </w:r>
      <w:r w:rsidR="00AD63C4" w:rsidRPr="00C80B36">
        <w:t xml:space="preserve"> General Recommendation No 1</w:t>
      </w:r>
      <w:r w:rsidR="005978F4">
        <w:t>: D</w:t>
      </w:r>
      <w:r w:rsidR="00AD63C4" w:rsidRPr="00C80B36">
        <w:t xml:space="preserve">igital </w:t>
      </w:r>
      <w:r w:rsidR="005978F4">
        <w:t>D</w:t>
      </w:r>
      <w:r w:rsidR="00AD63C4" w:rsidRPr="00C80B36">
        <w:t xml:space="preserve">imension of </w:t>
      </w:r>
      <w:r w:rsidR="005978F4">
        <w:t>V</w:t>
      </w:r>
      <w:r w:rsidR="00AD63C4" w:rsidRPr="00C80B36">
        <w:t xml:space="preserve">iolence </w:t>
      </w:r>
      <w:r w:rsidR="005978F4">
        <w:t>A</w:t>
      </w:r>
      <w:r w:rsidR="00AD63C4" w:rsidRPr="00C80B36">
        <w:t xml:space="preserve">gainst </w:t>
      </w:r>
      <w:r w:rsidR="005978F4">
        <w:t>W</w:t>
      </w:r>
      <w:r w:rsidR="00AD63C4" w:rsidRPr="00C80B36">
        <w:t>omen’ (GREVIO, 2021)</w:t>
      </w:r>
      <w:r w:rsidR="005978F4">
        <w:t>,</w:t>
      </w:r>
      <w:r w:rsidR="00AD63C4" w:rsidRPr="00C80B36">
        <w:t xml:space="preserve"> at para </w:t>
      </w:r>
      <w:r w:rsidR="00FA6774" w:rsidRPr="00C80B36">
        <w:t>55.</w:t>
      </w:r>
    </w:p>
  </w:footnote>
  <w:footnote w:id="149">
    <w:p w14:paraId="6B8A19DF" w14:textId="74B9D00D" w:rsidR="004B5B4F" w:rsidRPr="00C80B36" w:rsidRDefault="004B5B4F" w:rsidP="009B3DC1">
      <w:pPr>
        <w:pStyle w:val="NIHRCFootnotes"/>
      </w:pPr>
      <w:r w:rsidRPr="00C80B36">
        <w:rPr>
          <w:rStyle w:val="FootnoteReference"/>
        </w:rPr>
        <w:footnoteRef/>
      </w:r>
      <w:r w:rsidRPr="00C80B36">
        <w:t xml:space="preserve">  </w:t>
      </w:r>
      <w:r w:rsidR="00F65AF4" w:rsidRPr="00C80B36">
        <w:t xml:space="preserve">Rachel Hall, </w:t>
      </w:r>
      <w:r w:rsidRPr="00C80B36">
        <w:t>‘</w:t>
      </w:r>
      <w:r w:rsidR="00F65AF4" w:rsidRPr="00C80B36">
        <w:t>Commissioner calls for ban on apps that make deepfake nude images of children</w:t>
      </w:r>
      <w:r w:rsidRPr="00C80B36">
        <w:t>’</w:t>
      </w:r>
      <w:r w:rsidR="00F65AF4" w:rsidRPr="00C80B36">
        <w:t xml:space="preserve">, </w:t>
      </w:r>
      <w:r w:rsidR="00F65AF4" w:rsidRPr="00C80B36">
        <w:rPr>
          <w:i/>
          <w:iCs/>
        </w:rPr>
        <w:t>The Guardian</w:t>
      </w:r>
      <w:r w:rsidR="00F65AF4" w:rsidRPr="00C80B36">
        <w:t xml:space="preserve">, </w:t>
      </w:r>
      <w:r w:rsidR="005B5D90" w:rsidRPr="00C80B36">
        <w:t>28 April 2025; Rachel Hall, ‘</w:t>
      </w:r>
      <w:r w:rsidR="00524565" w:rsidRPr="00C80B36">
        <w:t>What are ‘</w:t>
      </w:r>
      <w:r w:rsidR="00524565" w:rsidRPr="00C80B36">
        <w:t>nudification’ apps and how would a ban in the UK work?</w:t>
      </w:r>
      <w:r w:rsidR="005B5D90" w:rsidRPr="00C80B36">
        <w:t>’</w:t>
      </w:r>
      <w:r w:rsidR="00524565" w:rsidRPr="00C80B36">
        <w:t xml:space="preserve">, </w:t>
      </w:r>
      <w:r w:rsidR="00524565" w:rsidRPr="00C80B36">
        <w:rPr>
          <w:i/>
          <w:iCs/>
        </w:rPr>
        <w:t>The Guardian</w:t>
      </w:r>
      <w:r w:rsidR="00524565" w:rsidRPr="00C80B36">
        <w:t>, 28 April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A378C"/>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0DF8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4685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454FBB"/>
    <w:multiLevelType w:val="hybridMultilevel"/>
    <w:tmpl w:val="1ABE2D5C"/>
    <w:lvl w:ilvl="0" w:tplc="7E24BFC2">
      <w:start w:val="1"/>
      <w:numFmt w:val="bullet"/>
      <w:lvlText w:val=""/>
      <w:lvlJc w:val="left"/>
      <w:pPr>
        <w:ind w:left="1080" w:hanging="360"/>
      </w:pPr>
      <w:rPr>
        <w:rFonts w:ascii="Symbol" w:hAnsi="Symbol"/>
      </w:rPr>
    </w:lvl>
    <w:lvl w:ilvl="1" w:tplc="10ACF7E0">
      <w:start w:val="1"/>
      <w:numFmt w:val="bullet"/>
      <w:lvlText w:val=""/>
      <w:lvlJc w:val="left"/>
      <w:pPr>
        <w:ind w:left="1080" w:hanging="360"/>
      </w:pPr>
      <w:rPr>
        <w:rFonts w:ascii="Symbol" w:hAnsi="Symbol"/>
      </w:rPr>
    </w:lvl>
    <w:lvl w:ilvl="2" w:tplc="F648B5EA">
      <w:start w:val="1"/>
      <w:numFmt w:val="bullet"/>
      <w:lvlText w:val=""/>
      <w:lvlJc w:val="left"/>
      <w:pPr>
        <w:ind w:left="1080" w:hanging="360"/>
      </w:pPr>
      <w:rPr>
        <w:rFonts w:ascii="Symbol" w:hAnsi="Symbol"/>
      </w:rPr>
    </w:lvl>
    <w:lvl w:ilvl="3" w:tplc="65226740">
      <w:start w:val="1"/>
      <w:numFmt w:val="bullet"/>
      <w:lvlText w:val=""/>
      <w:lvlJc w:val="left"/>
      <w:pPr>
        <w:ind w:left="1080" w:hanging="360"/>
      </w:pPr>
      <w:rPr>
        <w:rFonts w:ascii="Symbol" w:hAnsi="Symbol"/>
      </w:rPr>
    </w:lvl>
    <w:lvl w:ilvl="4" w:tplc="79AE99F0">
      <w:start w:val="1"/>
      <w:numFmt w:val="bullet"/>
      <w:lvlText w:val=""/>
      <w:lvlJc w:val="left"/>
      <w:pPr>
        <w:ind w:left="1080" w:hanging="360"/>
      </w:pPr>
      <w:rPr>
        <w:rFonts w:ascii="Symbol" w:hAnsi="Symbol"/>
      </w:rPr>
    </w:lvl>
    <w:lvl w:ilvl="5" w:tplc="37925560">
      <w:start w:val="1"/>
      <w:numFmt w:val="bullet"/>
      <w:lvlText w:val=""/>
      <w:lvlJc w:val="left"/>
      <w:pPr>
        <w:ind w:left="1080" w:hanging="360"/>
      </w:pPr>
      <w:rPr>
        <w:rFonts w:ascii="Symbol" w:hAnsi="Symbol"/>
      </w:rPr>
    </w:lvl>
    <w:lvl w:ilvl="6" w:tplc="C3842EA4">
      <w:start w:val="1"/>
      <w:numFmt w:val="bullet"/>
      <w:lvlText w:val=""/>
      <w:lvlJc w:val="left"/>
      <w:pPr>
        <w:ind w:left="1080" w:hanging="360"/>
      </w:pPr>
      <w:rPr>
        <w:rFonts w:ascii="Symbol" w:hAnsi="Symbol"/>
      </w:rPr>
    </w:lvl>
    <w:lvl w:ilvl="7" w:tplc="D0807596">
      <w:start w:val="1"/>
      <w:numFmt w:val="bullet"/>
      <w:lvlText w:val=""/>
      <w:lvlJc w:val="left"/>
      <w:pPr>
        <w:ind w:left="1080" w:hanging="360"/>
      </w:pPr>
      <w:rPr>
        <w:rFonts w:ascii="Symbol" w:hAnsi="Symbol"/>
      </w:rPr>
    </w:lvl>
    <w:lvl w:ilvl="8" w:tplc="94889B24">
      <w:start w:val="1"/>
      <w:numFmt w:val="bullet"/>
      <w:lvlText w:val=""/>
      <w:lvlJc w:val="left"/>
      <w:pPr>
        <w:ind w:left="1080" w:hanging="360"/>
      </w:pPr>
      <w:rPr>
        <w:rFonts w:ascii="Symbol" w:hAnsi="Symbol"/>
      </w:rPr>
    </w:lvl>
  </w:abstractNum>
  <w:abstractNum w:abstractNumId="4" w15:restartNumberingAfterBreak="0">
    <w:nsid w:val="0F6550C2"/>
    <w:multiLevelType w:val="multilevel"/>
    <w:tmpl w:val="1490160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1E234C3"/>
    <w:multiLevelType w:val="multilevel"/>
    <w:tmpl w:val="96BE8E14"/>
    <w:lvl w:ilvl="0">
      <w:start w:val="3"/>
      <w:numFmt w:val="decimal"/>
      <w:lvlText w:val="%1.0"/>
      <w:lvlJc w:val="left"/>
      <w:pPr>
        <w:ind w:left="1080" w:hanging="1080"/>
      </w:pPr>
      <w:rPr>
        <w:rFonts w:hint="default"/>
        <w:b/>
      </w:rPr>
    </w:lvl>
    <w:lvl w:ilvl="1">
      <w:start w:val="1"/>
      <w:numFmt w:val="decimal"/>
      <w:lvlText w:val="%1.%2"/>
      <w:lvlJc w:val="left"/>
      <w:pPr>
        <w:ind w:left="1800" w:hanging="1080"/>
      </w:pPr>
      <w:rPr>
        <w:rFonts w:hint="default"/>
        <w:b/>
      </w:rPr>
    </w:lvl>
    <w:lvl w:ilvl="2">
      <w:start w:val="1"/>
      <w:numFmt w:val="decimal"/>
      <w:lvlText w:val="%1.%2.%3"/>
      <w:lvlJc w:val="left"/>
      <w:pPr>
        <w:ind w:left="2880" w:hanging="1440"/>
      </w:pPr>
      <w:rPr>
        <w:rFonts w:hint="default"/>
        <w:b/>
      </w:rPr>
    </w:lvl>
    <w:lvl w:ilvl="3">
      <w:start w:val="1"/>
      <w:numFmt w:val="decimal"/>
      <w:lvlText w:val="%1.%2.%3.%4"/>
      <w:lvlJc w:val="left"/>
      <w:pPr>
        <w:ind w:left="3960" w:hanging="1800"/>
      </w:pPr>
      <w:rPr>
        <w:rFonts w:hint="default"/>
        <w:b/>
      </w:rPr>
    </w:lvl>
    <w:lvl w:ilvl="4">
      <w:start w:val="1"/>
      <w:numFmt w:val="decimal"/>
      <w:lvlText w:val="%1.%2.%3.%4.%5"/>
      <w:lvlJc w:val="left"/>
      <w:pPr>
        <w:ind w:left="5400" w:hanging="2520"/>
      </w:pPr>
      <w:rPr>
        <w:rFonts w:hint="default"/>
        <w:b/>
      </w:rPr>
    </w:lvl>
    <w:lvl w:ilvl="5">
      <w:start w:val="1"/>
      <w:numFmt w:val="decimal"/>
      <w:lvlText w:val="%1.%2.%3.%4.%5.%6"/>
      <w:lvlJc w:val="left"/>
      <w:pPr>
        <w:ind w:left="6480" w:hanging="2880"/>
      </w:pPr>
      <w:rPr>
        <w:rFonts w:hint="default"/>
        <w:b/>
      </w:rPr>
    </w:lvl>
    <w:lvl w:ilvl="6">
      <w:start w:val="1"/>
      <w:numFmt w:val="decimal"/>
      <w:lvlText w:val="%1.%2.%3.%4.%5.%6.%7"/>
      <w:lvlJc w:val="left"/>
      <w:pPr>
        <w:ind w:left="7560" w:hanging="3240"/>
      </w:pPr>
      <w:rPr>
        <w:rFonts w:hint="default"/>
        <w:b/>
      </w:rPr>
    </w:lvl>
    <w:lvl w:ilvl="7">
      <w:start w:val="1"/>
      <w:numFmt w:val="decimal"/>
      <w:lvlText w:val="%1.%2.%3.%4.%5.%6.%7.%8"/>
      <w:lvlJc w:val="left"/>
      <w:pPr>
        <w:ind w:left="9000" w:hanging="3960"/>
      </w:pPr>
      <w:rPr>
        <w:rFonts w:hint="default"/>
        <w:b/>
      </w:rPr>
    </w:lvl>
    <w:lvl w:ilvl="8">
      <w:start w:val="1"/>
      <w:numFmt w:val="decimal"/>
      <w:lvlText w:val="%1.%2.%3.%4.%5.%6.%7.%8.%9"/>
      <w:lvlJc w:val="left"/>
      <w:pPr>
        <w:ind w:left="10080" w:hanging="4320"/>
      </w:pPr>
      <w:rPr>
        <w:rFonts w:hint="default"/>
        <w:b/>
      </w:rPr>
    </w:lvl>
  </w:abstractNum>
  <w:abstractNum w:abstractNumId="6" w15:restartNumberingAfterBreak="0">
    <w:nsid w:val="1A027DB3"/>
    <w:multiLevelType w:val="hybridMultilevel"/>
    <w:tmpl w:val="2EC6D3F8"/>
    <w:lvl w:ilvl="0" w:tplc="CAF0F10C">
      <w:start w:val="1"/>
      <w:numFmt w:val="decimal"/>
      <w:lvlText w:val="%1.0"/>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613000"/>
    <w:multiLevelType w:val="multilevel"/>
    <w:tmpl w:val="EFFAC990"/>
    <w:lvl w:ilvl="0">
      <w:start w:val="3"/>
      <w:numFmt w:val="decimal"/>
      <w:lvlText w:val="%1."/>
      <w:lvlJc w:val="left"/>
      <w:pPr>
        <w:ind w:left="480" w:hanging="480"/>
      </w:pPr>
      <w:rPr>
        <w:rFonts w:hint="default"/>
        <w:color w:val="000000" w:themeColor="text1"/>
      </w:rPr>
    </w:lvl>
    <w:lvl w:ilvl="1">
      <w:start w:val="1"/>
      <w:numFmt w:val="decimal"/>
      <w:lvlText w:val="%1.%2."/>
      <w:lvlJc w:val="left"/>
      <w:pPr>
        <w:ind w:left="720" w:hanging="720"/>
      </w:pPr>
      <w:rPr>
        <w:rFonts w:hint="default"/>
        <w:i w:val="0"/>
        <w:iCs w:val="0"/>
        <w:color w:val="000000" w:themeColor="text1"/>
      </w:rPr>
    </w:lvl>
    <w:lvl w:ilvl="2">
      <w:start w:val="1"/>
      <w:numFmt w:val="decimal"/>
      <w:lvlText w:val="%1.%2.%3."/>
      <w:lvlJc w:val="left"/>
      <w:pPr>
        <w:ind w:left="1080" w:hanging="1080"/>
      </w:pPr>
      <w:rPr>
        <w:rFonts w:hint="default"/>
        <w:color w:val="000000" w:themeColor="text1"/>
      </w:rPr>
    </w:lvl>
    <w:lvl w:ilvl="3">
      <w:start w:val="1"/>
      <w:numFmt w:val="decimal"/>
      <w:lvlText w:val="%1.%2.%3.%4."/>
      <w:lvlJc w:val="left"/>
      <w:pPr>
        <w:ind w:left="1440" w:hanging="144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800" w:hanging="1800"/>
      </w:pPr>
      <w:rPr>
        <w:rFonts w:hint="default"/>
        <w:color w:val="000000" w:themeColor="text1"/>
      </w:rPr>
    </w:lvl>
    <w:lvl w:ilvl="6">
      <w:start w:val="1"/>
      <w:numFmt w:val="decimal"/>
      <w:lvlText w:val="%1.%2.%3.%4.%5.%6.%7."/>
      <w:lvlJc w:val="left"/>
      <w:pPr>
        <w:ind w:left="2160" w:hanging="2160"/>
      </w:pPr>
      <w:rPr>
        <w:rFonts w:hint="default"/>
        <w:color w:val="000000" w:themeColor="text1"/>
      </w:rPr>
    </w:lvl>
    <w:lvl w:ilvl="7">
      <w:start w:val="1"/>
      <w:numFmt w:val="decimal"/>
      <w:lvlText w:val="%1.%2.%3.%4.%5.%6.%7.%8."/>
      <w:lvlJc w:val="left"/>
      <w:pPr>
        <w:ind w:left="2520" w:hanging="2520"/>
      </w:pPr>
      <w:rPr>
        <w:rFonts w:hint="default"/>
        <w:color w:val="000000" w:themeColor="text1"/>
      </w:rPr>
    </w:lvl>
    <w:lvl w:ilvl="8">
      <w:start w:val="1"/>
      <w:numFmt w:val="decimal"/>
      <w:lvlText w:val="%1.%2.%3.%4.%5.%6.%7.%8.%9."/>
      <w:lvlJc w:val="left"/>
      <w:pPr>
        <w:ind w:left="2880" w:hanging="2880"/>
      </w:pPr>
      <w:rPr>
        <w:rFonts w:hint="default"/>
        <w:color w:val="000000" w:themeColor="text1"/>
      </w:rPr>
    </w:lvl>
  </w:abstractNum>
  <w:abstractNum w:abstractNumId="8" w15:restartNumberingAfterBreak="0">
    <w:nsid w:val="1EC1083D"/>
    <w:multiLevelType w:val="hybridMultilevel"/>
    <w:tmpl w:val="6BCE2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626BEF"/>
    <w:multiLevelType w:val="hybridMultilevel"/>
    <w:tmpl w:val="DE8E7DAA"/>
    <w:lvl w:ilvl="0" w:tplc="7226B6E4">
      <w:start w:val="1"/>
      <w:numFmt w:val="decimal"/>
      <w:lvlText w:val="%1."/>
      <w:lvlJc w:val="left"/>
      <w:pPr>
        <w:ind w:left="1020" w:hanging="360"/>
      </w:pPr>
    </w:lvl>
    <w:lvl w:ilvl="1" w:tplc="ED72B402">
      <w:start w:val="1"/>
      <w:numFmt w:val="decimal"/>
      <w:lvlText w:val="%2."/>
      <w:lvlJc w:val="left"/>
      <w:pPr>
        <w:ind w:left="1020" w:hanging="360"/>
      </w:pPr>
    </w:lvl>
    <w:lvl w:ilvl="2" w:tplc="3EA8103E">
      <w:start w:val="1"/>
      <w:numFmt w:val="decimal"/>
      <w:lvlText w:val="%3."/>
      <w:lvlJc w:val="left"/>
      <w:pPr>
        <w:ind w:left="1020" w:hanging="360"/>
      </w:pPr>
    </w:lvl>
    <w:lvl w:ilvl="3" w:tplc="57D035B4">
      <w:start w:val="1"/>
      <w:numFmt w:val="decimal"/>
      <w:lvlText w:val="%4."/>
      <w:lvlJc w:val="left"/>
      <w:pPr>
        <w:ind w:left="1020" w:hanging="360"/>
      </w:pPr>
    </w:lvl>
    <w:lvl w:ilvl="4" w:tplc="C9C8A5DC">
      <w:start w:val="1"/>
      <w:numFmt w:val="decimal"/>
      <w:lvlText w:val="%5."/>
      <w:lvlJc w:val="left"/>
      <w:pPr>
        <w:ind w:left="1020" w:hanging="360"/>
      </w:pPr>
    </w:lvl>
    <w:lvl w:ilvl="5" w:tplc="76E8065C">
      <w:start w:val="1"/>
      <w:numFmt w:val="decimal"/>
      <w:lvlText w:val="%6."/>
      <w:lvlJc w:val="left"/>
      <w:pPr>
        <w:ind w:left="1020" w:hanging="360"/>
      </w:pPr>
    </w:lvl>
    <w:lvl w:ilvl="6" w:tplc="35C07BC8">
      <w:start w:val="1"/>
      <w:numFmt w:val="decimal"/>
      <w:lvlText w:val="%7."/>
      <w:lvlJc w:val="left"/>
      <w:pPr>
        <w:ind w:left="1020" w:hanging="360"/>
      </w:pPr>
    </w:lvl>
    <w:lvl w:ilvl="7" w:tplc="1550E268">
      <w:start w:val="1"/>
      <w:numFmt w:val="decimal"/>
      <w:lvlText w:val="%8."/>
      <w:lvlJc w:val="left"/>
      <w:pPr>
        <w:ind w:left="1020" w:hanging="360"/>
      </w:pPr>
    </w:lvl>
    <w:lvl w:ilvl="8" w:tplc="3B6623D4">
      <w:start w:val="1"/>
      <w:numFmt w:val="decimal"/>
      <w:lvlText w:val="%9."/>
      <w:lvlJc w:val="left"/>
      <w:pPr>
        <w:ind w:left="1020" w:hanging="360"/>
      </w:pPr>
    </w:lvl>
  </w:abstractNum>
  <w:abstractNum w:abstractNumId="10" w15:restartNumberingAfterBreak="0">
    <w:nsid w:val="2B7326C3"/>
    <w:multiLevelType w:val="hybridMultilevel"/>
    <w:tmpl w:val="649C2A86"/>
    <w:lvl w:ilvl="0" w:tplc="AE269150">
      <w:start w:val="5"/>
      <w:numFmt w:val="decimal"/>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8805C3"/>
    <w:multiLevelType w:val="multilevel"/>
    <w:tmpl w:val="5BCE4E14"/>
    <w:lvl w:ilvl="0">
      <w:start w:val="5"/>
      <w:numFmt w:val="decimal"/>
      <w:lvlText w:val="%1.0"/>
      <w:lvlJc w:val="left"/>
      <w:pPr>
        <w:ind w:left="1440" w:hanging="1080"/>
      </w:pPr>
      <w:rPr>
        <w:rFonts w:hint="default"/>
      </w:rPr>
    </w:lvl>
    <w:lvl w:ilvl="1">
      <w:start w:val="1"/>
      <w:numFmt w:val="decimal"/>
      <w:lvlText w:val="%1.%2"/>
      <w:lvlJc w:val="left"/>
      <w:pPr>
        <w:ind w:left="2160" w:hanging="1080"/>
      </w:pPr>
      <w:rPr>
        <w:rFonts w:hint="default"/>
      </w:rPr>
    </w:lvl>
    <w:lvl w:ilvl="2">
      <w:start w:val="1"/>
      <w:numFmt w:val="decimal"/>
      <w:lvlText w:val="%1.%2.%3"/>
      <w:lvlJc w:val="left"/>
      <w:pPr>
        <w:ind w:left="3240" w:hanging="1440"/>
      </w:pPr>
      <w:rPr>
        <w:rFonts w:hint="default"/>
      </w:rPr>
    </w:lvl>
    <w:lvl w:ilvl="3">
      <w:start w:val="1"/>
      <w:numFmt w:val="decimal"/>
      <w:lvlText w:val="%1.%2.%3.%4"/>
      <w:lvlJc w:val="left"/>
      <w:pPr>
        <w:ind w:left="4680" w:hanging="2160"/>
      </w:pPr>
      <w:rPr>
        <w:rFonts w:hint="default"/>
      </w:rPr>
    </w:lvl>
    <w:lvl w:ilvl="4">
      <w:start w:val="1"/>
      <w:numFmt w:val="decimal"/>
      <w:lvlText w:val="%1.%2.%3.%4.%5"/>
      <w:lvlJc w:val="left"/>
      <w:pPr>
        <w:ind w:left="5760" w:hanging="2520"/>
      </w:pPr>
      <w:rPr>
        <w:rFonts w:hint="default"/>
      </w:rPr>
    </w:lvl>
    <w:lvl w:ilvl="5">
      <w:start w:val="1"/>
      <w:numFmt w:val="decimal"/>
      <w:lvlText w:val="%1.%2.%3.%4.%5.%6"/>
      <w:lvlJc w:val="left"/>
      <w:pPr>
        <w:ind w:left="6840" w:hanging="2880"/>
      </w:pPr>
      <w:rPr>
        <w:rFonts w:hint="default"/>
      </w:rPr>
    </w:lvl>
    <w:lvl w:ilvl="6">
      <w:start w:val="1"/>
      <w:numFmt w:val="decimal"/>
      <w:lvlText w:val="%1.%2.%3.%4.%5.%6.%7"/>
      <w:lvlJc w:val="left"/>
      <w:pPr>
        <w:ind w:left="8280" w:hanging="3600"/>
      </w:pPr>
      <w:rPr>
        <w:rFonts w:hint="default"/>
      </w:rPr>
    </w:lvl>
    <w:lvl w:ilvl="7">
      <w:start w:val="1"/>
      <w:numFmt w:val="decimal"/>
      <w:lvlText w:val="%1.%2.%3.%4.%5.%6.%7.%8"/>
      <w:lvlJc w:val="left"/>
      <w:pPr>
        <w:ind w:left="9360" w:hanging="3960"/>
      </w:pPr>
      <w:rPr>
        <w:rFonts w:hint="default"/>
      </w:rPr>
    </w:lvl>
    <w:lvl w:ilvl="8">
      <w:start w:val="1"/>
      <w:numFmt w:val="decimal"/>
      <w:lvlText w:val="%1.%2.%3.%4.%5.%6.%7.%8.%9"/>
      <w:lvlJc w:val="left"/>
      <w:pPr>
        <w:ind w:left="10440" w:hanging="4320"/>
      </w:pPr>
      <w:rPr>
        <w:rFonts w:hint="default"/>
      </w:rPr>
    </w:lvl>
  </w:abstractNum>
  <w:abstractNum w:abstractNumId="12" w15:restartNumberingAfterBreak="0">
    <w:nsid w:val="2E053356"/>
    <w:multiLevelType w:val="multilevel"/>
    <w:tmpl w:val="CB342F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sz w:val="24"/>
        <w:szCs w:val="24"/>
        <w:vertAlign w:val="baseline"/>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E647AC1"/>
    <w:multiLevelType w:val="hybridMultilevel"/>
    <w:tmpl w:val="5FEA221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4" w15:restartNumberingAfterBreak="0">
    <w:nsid w:val="2EBE6144"/>
    <w:multiLevelType w:val="hybridMultilevel"/>
    <w:tmpl w:val="5C84B242"/>
    <w:lvl w:ilvl="0" w:tplc="3D7A0606">
      <w:start w:val="1"/>
      <w:numFmt w:val="bullet"/>
      <w:lvlText w:val=""/>
      <w:lvlJc w:val="left"/>
      <w:pPr>
        <w:ind w:left="720" w:hanging="360"/>
      </w:pPr>
      <w:rPr>
        <w:rFonts w:ascii="Symbol" w:hAnsi="Symbol"/>
      </w:rPr>
    </w:lvl>
    <w:lvl w:ilvl="1" w:tplc="8CE812BE">
      <w:start w:val="1"/>
      <w:numFmt w:val="bullet"/>
      <w:lvlText w:val=""/>
      <w:lvlJc w:val="left"/>
      <w:pPr>
        <w:ind w:left="720" w:hanging="360"/>
      </w:pPr>
      <w:rPr>
        <w:rFonts w:ascii="Symbol" w:hAnsi="Symbol"/>
      </w:rPr>
    </w:lvl>
    <w:lvl w:ilvl="2" w:tplc="535C5276">
      <w:start w:val="1"/>
      <w:numFmt w:val="bullet"/>
      <w:lvlText w:val=""/>
      <w:lvlJc w:val="left"/>
      <w:pPr>
        <w:ind w:left="720" w:hanging="360"/>
      </w:pPr>
      <w:rPr>
        <w:rFonts w:ascii="Symbol" w:hAnsi="Symbol"/>
      </w:rPr>
    </w:lvl>
    <w:lvl w:ilvl="3" w:tplc="D3F4C696">
      <w:start w:val="1"/>
      <w:numFmt w:val="bullet"/>
      <w:lvlText w:val=""/>
      <w:lvlJc w:val="left"/>
      <w:pPr>
        <w:ind w:left="720" w:hanging="360"/>
      </w:pPr>
      <w:rPr>
        <w:rFonts w:ascii="Symbol" w:hAnsi="Symbol"/>
      </w:rPr>
    </w:lvl>
    <w:lvl w:ilvl="4" w:tplc="FEAA6D60">
      <w:start w:val="1"/>
      <w:numFmt w:val="bullet"/>
      <w:lvlText w:val=""/>
      <w:lvlJc w:val="left"/>
      <w:pPr>
        <w:ind w:left="720" w:hanging="360"/>
      </w:pPr>
      <w:rPr>
        <w:rFonts w:ascii="Symbol" w:hAnsi="Symbol"/>
      </w:rPr>
    </w:lvl>
    <w:lvl w:ilvl="5" w:tplc="60C2817E">
      <w:start w:val="1"/>
      <w:numFmt w:val="bullet"/>
      <w:lvlText w:val=""/>
      <w:lvlJc w:val="left"/>
      <w:pPr>
        <w:ind w:left="720" w:hanging="360"/>
      </w:pPr>
      <w:rPr>
        <w:rFonts w:ascii="Symbol" w:hAnsi="Symbol"/>
      </w:rPr>
    </w:lvl>
    <w:lvl w:ilvl="6" w:tplc="5CA49D4E">
      <w:start w:val="1"/>
      <w:numFmt w:val="bullet"/>
      <w:lvlText w:val=""/>
      <w:lvlJc w:val="left"/>
      <w:pPr>
        <w:ind w:left="720" w:hanging="360"/>
      </w:pPr>
      <w:rPr>
        <w:rFonts w:ascii="Symbol" w:hAnsi="Symbol"/>
      </w:rPr>
    </w:lvl>
    <w:lvl w:ilvl="7" w:tplc="57EA3190">
      <w:start w:val="1"/>
      <w:numFmt w:val="bullet"/>
      <w:lvlText w:val=""/>
      <w:lvlJc w:val="left"/>
      <w:pPr>
        <w:ind w:left="720" w:hanging="360"/>
      </w:pPr>
      <w:rPr>
        <w:rFonts w:ascii="Symbol" w:hAnsi="Symbol"/>
      </w:rPr>
    </w:lvl>
    <w:lvl w:ilvl="8" w:tplc="C4AEE4A8">
      <w:start w:val="1"/>
      <w:numFmt w:val="bullet"/>
      <w:lvlText w:val=""/>
      <w:lvlJc w:val="left"/>
      <w:pPr>
        <w:ind w:left="720" w:hanging="360"/>
      </w:pPr>
      <w:rPr>
        <w:rFonts w:ascii="Symbol" w:hAnsi="Symbol"/>
      </w:rPr>
    </w:lvl>
  </w:abstractNum>
  <w:abstractNum w:abstractNumId="15" w15:restartNumberingAfterBreak="0">
    <w:nsid w:val="30CA695D"/>
    <w:multiLevelType w:val="multilevel"/>
    <w:tmpl w:val="ADC0230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6" w15:restartNumberingAfterBreak="0">
    <w:nsid w:val="3D2043CD"/>
    <w:multiLevelType w:val="multilevel"/>
    <w:tmpl w:val="3D0E909A"/>
    <w:lvl w:ilvl="0">
      <w:start w:val="3"/>
      <w:numFmt w:val="decimal"/>
      <w:lvlText w:val="%1"/>
      <w:lvlJc w:val="left"/>
      <w:pPr>
        <w:ind w:left="390" w:hanging="390"/>
      </w:pPr>
      <w:rPr>
        <w:rFonts w:hint="default"/>
        <w:i w:val="0"/>
      </w:rPr>
    </w:lvl>
    <w:lvl w:ilvl="1">
      <w:start w:val="1"/>
      <w:numFmt w:val="decimal"/>
      <w:lvlText w:val="%1.%2"/>
      <w:lvlJc w:val="left"/>
      <w:pPr>
        <w:ind w:left="720" w:hanging="720"/>
      </w:pPr>
      <w:rPr>
        <w:rFonts w:hint="default"/>
        <w:b w:val="0"/>
        <w:bCs w:val="0"/>
        <w:i w:val="0"/>
        <w:vertAlign w:val="baseline"/>
      </w:rPr>
    </w:lvl>
    <w:lvl w:ilvl="2">
      <w:start w:val="1"/>
      <w:numFmt w:val="decimal"/>
      <w:lvlText w:val="%1.%2.%3"/>
      <w:lvlJc w:val="left"/>
      <w:pPr>
        <w:ind w:left="1080" w:hanging="108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800" w:hanging="1800"/>
      </w:pPr>
      <w:rPr>
        <w:rFonts w:hint="default"/>
        <w:i w:val="0"/>
      </w:rPr>
    </w:lvl>
    <w:lvl w:ilvl="6">
      <w:start w:val="1"/>
      <w:numFmt w:val="decimal"/>
      <w:lvlText w:val="%1.%2.%3.%4.%5.%6.%7"/>
      <w:lvlJc w:val="left"/>
      <w:pPr>
        <w:ind w:left="2160" w:hanging="2160"/>
      </w:pPr>
      <w:rPr>
        <w:rFonts w:hint="default"/>
        <w:i w:val="0"/>
      </w:rPr>
    </w:lvl>
    <w:lvl w:ilvl="7">
      <w:start w:val="1"/>
      <w:numFmt w:val="decimal"/>
      <w:lvlText w:val="%1.%2.%3.%4.%5.%6.%7.%8"/>
      <w:lvlJc w:val="left"/>
      <w:pPr>
        <w:ind w:left="2520" w:hanging="2520"/>
      </w:pPr>
      <w:rPr>
        <w:rFonts w:hint="default"/>
        <w:i w:val="0"/>
      </w:rPr>
    </w:lvl>
    <w:lvl w:ilvl="8">
      <w:start w:val="1"/>
      <w:numFmt w:val="decimal"/>
      <w:lvlText w:val="%1.%2.%3.%4.%5.%6.%7.%8.%9"/>
      <w:lvlJc w:val="left"/>
      <w:pPr>
        <w:ind w:left="2520" w:hanging="2520"/>
      </w:pPr>
      <w:rPr>
        <w:rFonts w:hint="default"/>
        <w:i w:val="0"/>
      </w:rPr>
    </w:lvl>
  </w:abstractNum>
  <w:abstractNum w:abstractNumId="17" w15:restartNumberingAfterBreak="0">
    <w:nsid w:val="3F1C697B"/>
    <w:multiLevelType w:val="multilevel"/>
    <w:tmpl w:val="F3DE1460"/>
    <w:lvl w:ilvl="0">
      <w:start w:val="3"/>
      <w:numFmt w:val="decimal"/>
      <w:lvlText w:val="%1."/>
      <w:lvlJc w:val="left"/>
      <w:pPr>
        <w:ind w:left="480" w:hanging="48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1080" w:hanging="1080"/>
      </w:pPr>
      <w:rPr>
        <w:rFonts w:hint="default"/>
        <w:color w:val="000000" w:themeColor="text1"/>
      </w:rPr>
    </w:lvl>
    <w:lvl w:ilvl="3">
      <w:start w:val="1"/>
      <w:numFmt w:val="decimal"/>
      <w:lvlText w:val="%1.%2.%3.%4."/>
      <w:lvlJc w:val="left"/>
      <w:pPr>
        <w:ind w:left="1440" w:hanging="144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800" w:hanging="1800"/>
      </w:pPr>
      <w:rPr>
        <w:rFonts w:hint="default"/>
        <w:color w:val="000000" w:themeColor="text1"/>
      </w:rPr>
    </w:lvl>
    <w:lvl w:ilvl="6">
      <w:start w:val="1"/>
      <w:numFmt w:val="decimal"/>
      <w:lvlText w:val="%1.%2.%3.%4.%5.%6.%7."/>
      <w:lvlJc w:val="left"/>
      <w:pPr>
        <w:ind w:left="2160" w:hanging="2160"/>
      </w:pPr>
      <w:rPr>
        <w:rFonts w:hint="default"/>
        <w:color w:val="000000" w:themeColor="text1"/>
      </w:rPr>
    </w:lvl>
    <w:lvl w:ilvl="7">
      <w:start w:val="1"/>
      <w:numFmt w:val="decimal"/>
      <w:lvlText w:val="%1.%2.%3.%4.%5.%6.%7.%8."/>
      <w:lvlJc w:val="left"/>
      <w:pPr>
        <w:ind w:left="2520" w:hanging="2520"/>
      </w:pPr>
      <w:rPr>
        <w:rFonts w:hint="default"/>
        <w:color w:val="000000" w:themeColor="text1"/>
      </w:rPr>
    </w:lvl>
    <w:lvl w:ilvl="8">
      <w:start w:val="1"/>
      <w:numFmt w:val="decimal"/>
      <w:lvlText w:val="%1.%2.%3.%4.%5.%6.%7.%8.%9."/>
      <w:lvlJc w:val="left"/>
      <w:pPr>
        <w:ind w:left="2880" w:hanging="2880"/>
      </w:pPr>
      <w:rPr>
        <w:rFonts w:hint="default"/>
        <w:color w:val="000000" w:themeColor="text1"/>
      </w:rPr>
    </w:lvl>
  </w:abstractNum>
  <w:abstractNum w:abstractNumId="18" w15:restartNumberingAfterBreak="0">
    <w:nsid w:val="3F8050D0"/>
    <w:multiLevelType w:val="hybridMultilevel"/>
    <w:tmpl w:val="9E9E8A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120FD1"/>
    <w:multiLevelType w:val="multilevel"/>
    <w:tmpl w:val="F3DE1460"/>
    <w:lvl w:ilvl="0">
      <w:start w:val="2"/>
      <w:numFmt w:val="decimal"/>
      <w:lvlText w:val="%1."/>
      <w:lvlJc w:val="left"/>
      <w:pPr>
        <w:ind w:left="480" w:hanging="480"/>
      </w:pPr>
      <w:rPr>
        <w:rFonts w:hint="default"/>
        <w:i w:val="0"/>
        <w:color w:val="000000" w:themeColor="text1"/>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1080" w:hanging="1080"/>
      </w:pPr>
      <w:rPr>
        <w:rFonts w:hint="default"/>
        <w:i w:val="0"/>
        <w:color w:val="000000" w:themeColor="text1"/>
      </w:rPr>
    </w:lvl>
    <w:lvl w:ilvl="3">
      <w:start w:val="1"/>
      <w:numFmt w:val="decimal"/>
      <w:lvlText w:val="%1.%2.%3.%4."/>
      <w:lvlJc w:val="left"/>
      <w:pPr>
        <w:ind w:left="1440" w:hanging="1440"/>
      </w:pPr>
      <w:rPr>
        <w:rFonts w:hint="default"/>
        <w:i w:val="0"/>
        <w:color w:val="000000" w:themeColor="text1"/>
      </w:rPr>
    </w:lvl>
    <w:lvl w:ilvl="4">
      <w:start w:val="1"/>
      <w:numFmt w:val="decimal"/>
      <w:lvlText w:val="%1.%2.%3.%4.%5."/>
      <w:lvlJc w:val="left"/>
      <w:pPr>
        <w:ind w:left="1440" w:hanging="1440"/>
      </w:pPr>
      <w:rPr>
        <w:rFonts w:hint="default"/>
        <w:i w:val="0"/>
        <w:color w:val="000000" w:themeColor="text1"/>
      </w:rPr>
    </w:lvl>
    <w:lvl w:ilvl="5">
      <w:start w:val="1"/>
      <w:numFmt w:val="decimal"/>
      <w:lvlText w:val="%1.%2.%3.%4.%5.%6."/>
      <w:lvlJc w:val="left"/>
      <w:pPr>
        <w:ind w:left="1800" w:hanging="1800"/>
      </w:pPr>
      <w:rPr>
        <w:rFonts w:hint="default"/>
        <w:i w:val="0"/>
        <w:color w:val="000000" w:themeColor="text1"/>
      </w:rPr>
    </w:lvl>
    <w:lvl w:ilvl="6">
      <w:start w:val="1"/>
      <w:numFmt w:val="decimal"/>
      <w:lvlText w:val="%1.%2.%3.%4.%5.%6.%7."/>
      <w:lvlJc w:val="left"/>
      <w:pPr>
        <w:ind w:left="2160" w:hanging="2160"/>
      </w:pPr>
      <w:rPr>
        <w:rFonts w:hint="default"/>
        <w:i w:val="0"/>
        <w:color w:val="000000" w:themeColor="text1"/>
      </w:rPr>
    </w:lvl>
    <w:lvl w:ilvl="7">
      <w:start w:val="1"/>
      <w:numFmt w:val="decimal"/>
      <w:lvlText w:val="%1.%2.%3.%4.%5.%6.%7.%8."/>
      <w:lvlJc w:val="left"/>
      <w:pPr>
        <w:ind w:left="2520" w:hanging="2520"/>
      </w:pPr>
      <w:rPr>
        <w:rFonts w:hint="default"/>
        <w:i w:val="0"/>
        <w:color w:val="000000" w:themeColor="text1"/>
      </w:rPr>
    </w:lvl>
    <w:lvl w:ilvl="8">
      <w:start w:val="1"/>
      <w:numFmt w:val="decimal"/>
      <w:lvlText w:val="%1.%2.%3.%4.%5.%6.%7.%8.%9."/>
      <w:lvlJc w:val="left"/>
      <w:pPr>
        <w:ind w:left="2880" w:hanging="2880"/>
      </w:pPr>
      <w:rPr>
        <w:rFonts w:hint="default"/>
        <w:i w:val="0"/>
        <w:color w:val="000000" w:themeColor="text1"/>
      </w:rPr>
    </w:lvl>
  </w:abstractNum>
  <w:abstractNum w:abstractNumId="20" w15:restartNumberingAfterBreak="0">
    <w:nsid w:val="46740899"/>
    <w:multiLevelType w:val="hybridMultilevel"/>
    <w:tmpl w:val="09B4BB7C"/>
    <w:lvl w:ilvl="0" w:tplc="FFFFFFFF">
      <w:start w:val="1"/>
      <w:numFmt w:val="decimal"/>
      <w:lvlText w:val="%1.0"/>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35353C"/>
    <w:multiLevelType w:val="hybridMultilevel"/>
    <w:tmpl w:val="D5AEF86E"/>
    <w:lvl w:ilvl="0" w:tplc="0EC851FC">
      <w:start w:val="4"/>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C5B9F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BD45B9A"/>
    <w:multiLevelType w:val="multilevel"/>
    <w:tmpl w:val="B40A64BA"/>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520" w:hanging="2520"/>
      </w:pPr>
      <w:rPr>
        <w:rFonts w:hint="default"/>
        <w:color w:val="auto"/>
      </w:rPr>
    </w:lvl>
  </w:abstractNum>
  <w:abstractNum w:abstractNumId="24" w15:restartNumberingAfterBreak="0">
    <w:nsid w:val="4F604DD6"/>
    <w:multiLevelType w:val="multilevel"/>
    <w:tmpl w:val="6ADACD64"/>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i w:val="0"/>
        <w:iCs w:val="0"/>
        <w:color w:val="000000" w:themeColor="text1"/>
      </w:rPr>
    </w:lvl>
    <w:lvl w:ilvl="2">
      <w:start w:val="1"/>
      <w:numFmt w:val="decimal"/>
      <w:lvlText w:val="%1.%2.%3"/>
      <w:lvlJc w:val="left"/>
      <w:pPr>
        <w:ind w:left="1080" w:hanging="108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800" w:hanging="1800"/>
      </w:pPr>
      <w:rPr>
        <w:rFonts w:hint="default"/>
        <w:color w:val="000000" w:themeColor="text1"/>
      </w:rPr>
    </w:lvl>
    <w:lvl w:ilvl="6">
      <w:start w:val="1"/>
      <w:numFmt w:val="decimal"/>
      <w:lvlText w:val="%1.%2.%3.%4.%5.%6.%7"/>
      <w:lvlJc w:val="left"/>
      <w:pPr>
        <w:ind w:left="2160" w:hanging="2160"/>
      </w:pPr>
      <w:rPr>
        <w:rFonts w:hint="default"/>
        <w:color w:val="000000" w:themeColor="text1"/>
      </w:rPr>
    </w:lvl>
    <w:lvl w:ilvl="7">
      <w:start w:val="1"/>
      <w:numFmt w:val="decimal"/>
      <w:lvlText w:val="%1.%2.%3.%4.%5.%6.%7.%8"/>
      <w:lvlJc w:val="left"/>
      <w:pPr>
        <w:ind w:left="2520" w:hanging="2520"/>
      </w:pPr>
      <w:rPr>
        <w:rFonts w:hint="default"/>
        <w:color w:val="000000" w:themeColor="text1"/>
      </w:rPr>
    </w:lvl>
    <w:lvl w:ilvl="8">
      <w:start w:val="1"/>
      <w:numFmt w:val="decimal"/>
      <w:lvlText w:val="%1.%2.%3.%4.%5.%6.%7.%8.%9"/>
      <w:lvlJc w:val="left"/>
      <w:pPr>
        <w:ind w:left="2520" w:hanging="2520"/>
      </w:pPr>
      <w:rPr>
        <w:rFonts w:hint="default"/>
        <w:color w:val="000000" w:themeColor="text1"/>
      </w:rPr>
    </w:lvl>
  </w:abstractNum>
  <w:abstractNum w:abstractNumId="25" w15:restartNumberingAfterBreak="0">
    <w:nsid w:val="52955F16"/>
    <w:multiLevelType w:val="multilevel"/>
    <w:tmpl w:val="998616B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A11D95"/>
    <w:multiLevelType w:val="hybridMultilevel"/>
    <w:tmpl w:val="3BE8B5A4"/>
    <w:lvl w:ilvl="0" w:tplc="0914A6CA">
      <w:start w:val="1"/>
      <w:numFmt w:val="bullet"/>
      <w:lvlText w:val=""/>
      <w:lvlJc w:val="left"/>
      <w:pPr>
        <w:ind w:left="720" w:hanging="360"/>
      </w:pPr>
      <w:rPr>
        <w:rFonts w:ascii="Symbol" w:hAnsi="Symbol"/>
      </w:rPr>
    </w:lvl>
    <w:lvl w:ilvl="1" w:tplc="45041FD0">
      <w:start w:val="1"/>
      <w:numFmt w:val="bullet"/>
      <w:lvlText w:val=""/>
      <w:lvlJc w:val="left"/>
      <w:pPr>
        <w:ind w:left="720" w:hanging="360"/>
      </w:pPr>
      <w:rPr>
        <w:rFonts w:ascii="Symbol" w:hAnsi="Symbol"/>
      </w:rPr>
    </w:lvl>
    <w:lvl w:ilvl="2" w:tplc="C1929A0C">
      <w:start w:val="1"/>
      <w:numFmt w:val="bullet"/>
      <w:lvlText w:val=""/>
      <w:lvlJc w:val="left"/>
      <w:pPr>
        <w:ind w:left="720" w:hanging="360"/>
      </w:pPr>
      <w:rPr>
        <w:rFonts w:ascii="Symbol" w:hAnsi="Symbol"/>
      </w:rPr>
    </w:lvl>
    <w:lvl w:ilvl="3" w:tplc="6882A8D8">
      <w:start w:val="1"/>
      <w:numFmt w:val="bullet"/>
      <w:lvlText w:val=""/>
      <w:lvlJc w:val="left"/>
      <w:pPr>
        <w:ind w:left="720" w:hanging="360"/>
      </w:pPr>
      <w:rPr>
        <w:rFonts w:ascii="Symbol" w:hAnsi="Symbol"/>
      </w:rPr>
    </w:lvl>
    <w:lvl w:ilvl="4" w:tplc="D4EA9EDE">
      <w:start w:val="1"/>
      <w:numFmt w:val="bullet"/>
      <w:lvlText w:val=""/>
      <w:lvlJc w:val="left"/>
      <w:pPr>
        <w:ind w:left="720" w:hanging="360"/>
      </w:pPr>
      <w:rPr>
        <w:rFonts w:ascii="Symbol" w:hAnsi="Symbol"/>
      </w:rPr>
    </w:lvl>
    <w:lvl w:ilvl="5" w:tplc="18668132">
      <w:start w:val="1"/>
      <w:numFmt w:val="bullet"/>
      <w:lvlText w:val=""/>
      <w:lvlJc w:val="left"/>
      <w:pPr>
        <w:ind w:left="720" w:hanging="360"/>
      </w:pPr>
      <w:rPr>
        <w:rFonts w:ascii="Symbol" w:hAnsi="Symbol"/>
      </w:rPr>
    </w:lvl>
    <w:lvl w:ilvl="6" w:tplc="F592A5F8">
      <w:start w:val="1"/>
      <w:numFmt w:val="bullet"/>
      <w:lvlText w:val=""/>
      <w:lvlJc w:val="left"/>
      <w:pPr>
        <w:ind w:left="720" w:hanging="360"/>
      </w:pPr>
      <w:rPr>
        <w:rFonts w:ascii="Symbol" w:hAnsi="Symbol"/>
      </w:rPr>
    </w:lvl>
    <w:lvl w:ilvl="7" w:tplc="8A3A5E6A">
      <w:start w:val="1"/>
      <w:numFmt w:val="bullet"/>
      <w:lvlText w:val=""/>
      <w:lvlJc w:val="left"/>
      <w:pPr>
        <w:ind w:left="720" w:hanging="360"/>
      </w:pPr>
      <w:rPr>
        <w:rFonts w:ascii="Symbol" w:hAnsi="Symbol"/>
      </w:rPr>
    </w:lvl>
    <w:lvl w:ilvl="8" w:tplc="85E8AF0A">
      <w:start w:val="1"/>
      <w:numFmt w:val="bullet"/>
      <w:lvlText w:val=""/>
      <w:lvlJc w:val="left"/>
      <w:pPr>
        <w:ind w:left="720" w:hanging="360"/>
      </w:pPr>
      <w:rPr>
        <w:rFonts w:ascii="Symbol" w:hAnsi="Symbol"/>
      </w:rPr>
    </w:lvl>
  </w:abstractNum>
  <w:abstractNum w:abstractNumId="27" w15:restartNumberingAfterBreak="0">
    <w:nsid w:val="54285056"/>
    <w:multiLevelType w:val="multilevel"/>
    <w:tmpl w:val="840C3416"/>
    <w:lvl w:ilvl="0">
      <w:start w:val="2"/>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1080" w:hanging="1080"/>
      </w:pPr>
      <w:rPr>
        <w:rFonts w:hint="default"/>
        <w:b w:val="0"/>
        <w:i w:val="0"/>
      </w:rPr>
    </w:lvl>
    <w:lvl w:ilvl="3">
      <w:start w:val="1"/>
      <w:numFmt w:val="decimal"/>
      <w:lvlText w:val="%1.%2.%3.%4."/>
      <w:lvlJc w:val="left"/>
      <w:pPr>
        <w:ind w:left="1440" w:hanging="1440"/>
      </w:pPr>
      <w:rPr>
        <w:rFonts w:hint="default"/>
        <w:b w:val="0"/>
        <w:i w:val="0"/>
      </w:rPr>
    </w:lvl>
    <w:lvl w:ilvl="4">
      <w:start w:val="1"/>
      <w:numFmt w:val="decimal"/>
      <w:lvlText w:val="%1.%2.%3.%4.%5."/>
      <w:lvlJc w:val="left"/>
      <w:pPr>
        <w:ind w:left="1800" w:hanging="1800"/>
      </w:pPr>
      <w:rPr>
        <w:rFonts w:hint="default"/>
        <w:b w:val="0"/>
        <w:i w:val="0"/>
      </w:rPr>
    </w:lvl>
    <w:lvl w:ilvl="5">
      <w:start w:val="1"/>
      <w:numFmt w:val="decimal"/>
      <w:lvlText w:val="%1.%2.%3.%4.%5.%6."/>
      <w:lvlJc w:val="left"/>
      <w:pPr>
        <w:ind w:left="1800" w:hanging="1800"/>
      </w:pPr>
      <w:rPr>
        <w:rFonts w:hint="default"/>
        <w:b w:val="0"/>
        <w:i w:val="0"/>
      </w:rPr>
    </w:lvl>
    <w:lvl w:ilvl="6">
      <w:start w:val="1"/>
      <w:numFmt w:val="decimal"/>
      <w:lvlText w:val="%1.%2.%3.%4.%5.%6.%7."/>
      <w:lvlJc w:val="left"/>
      <w:pPr>
        <w:ind w:left="2160" w:hanging="2160"/>
      </w:pPr>
      <w:rPr>
        <w:rFonts w:hint="default"/>
        <w:b w:val="0"/>
        <w:i w:val="0"/>
      </w:rPr>
    </w:lvl>
    <w:lvl w:ilvl="7">
      <w:start w:val="1"/>
      <w:numFmt w:val="decimal"/>
      <w:lvlText w:val="%1.%2.%3.%4.%5.%6.%7.%8."/>
      <w:lvlJc w:val="left"/>
      <w:pPr>
        <w:ind w:left="2520" w:hanging="2520"/>
      </w:pPr>
      <w:rPr>
        <w:rFonts w:hint="default"/>
        <w:b w:val="0"/>
        <w:i w:val="0"/>
      </w:rPr>
    </w:lvl>
    <w:lvl w:ilvl="8">
      <w:start w:val="1"/>
      <w:numFmt w:val="decimal"/>
      <w:lvlText w:val="%1.%2.%3.%4.%5.%6.%7.%8.%9."/>
      <w:lvlJc w:val="left"/>
      <w:pPr>
        <w:ind w:left="2880" w:hanging="2880"/>
      </w:pPr>
      <w:rPr>
        <w:rFonts w:hint="default"/>
        <w:b w:val="0"/>
        <w:i w:val="0"/>
      </w:rPr>
    </w:lvl>
  </w:abstractNum>
  <w:abstractNum w:abstractNumId="28" w15:restartNumberingAfterBreak="0">
    <w:nsid w:val="544F2899"/>
    <w:multiLevelType w:val="multilevel"/>
    <w:tmpl w:val="23444CC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4."/>
      <w:lvlJc w:val="lef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57774640"/>
    <w:multiLevelType w:val="hybridMultilevel"/>
    <w:tmpl w:val="80C0C262"/>
    <w:lvl w:ilvl="0" w:tplc="C9763C48">
      <w:start w:val="1"/>
      <w:numFmt w:val="decimal"/>
      <w:lvlText w:val="%1."/>
      <w:lvlJc w:val="left"/>
      <w:pPr>
        <w:ind w:left="1020" w:hanging="360"/>
      </w:pPr>
    </w:lvl>
    <w:lvl w:ilvl="1" w:tplc="2948FCEC">
      <w:start w:val="1"/>
      <w:numFmt w:val="decimal"/>
      <w:lvlText w:val="%2."/>
      <w:lvlJc w:val="left"/>
      <w:pPr>
        <w:ind w:left="1020" w:hanging="360"/>
      </w:pPr>
    </w:lvl>
    <w:lvl w:ilvl="2" w:tplc="9EBC2F74">
      <w:start w:val="1"/>
      <w:numFmt w:val="decimal"/>
      <w:lvlText w:val="%3."/>
      <w:lvlJc w:val="left"/>
      <w:pPr>
        <w:ind w:left="1020" w:hanging="360"/>
      </w:pPr>
    </w:lvl>
    <w:lvl w:ilvl="3" w:tplc="E12A8E92">
      <w:start w:val="1"/>
      <w:numFmt w:val="decimal"/>
      <w:lvlText w:val="%4."/>
      <w:lvlJc w:val="left"/>
      <w:pPr>
        <w:ind w:left="1020" w:hanging="360"/>
      </w:pPr>
    </w:lvl>
    <w:lvl w:ilvl="4" w:tplc="EF66B814">
      <w:start w:val="1"/>
      <w:numFmt w:val="decimal"/>
      <w:lvlText w:val="%5."/>
      <w:lvlJc w:val="left"/>
      <w:pPr>
        <w:ind w:left="1020" w:hanging="360"/>
      </w:pPr>
    </w:lvl>
    <w:lvl w:ilvl="5" w:tplc="8C3C3A0E">
      <w:start w:val="1"/>
      <w:numFmt w:val="decimal"/>
      <w:lvlText w:val="%6."/>
      <w:lvlJc w:val="left"/>
      <w:pPr>
        <w:ind w:left="1020" w:hanging="360"/>
      </w:pPr>
    </w:lvl>
    <w:lvl w:ilvl="6" w:tplc="BF469526">
      <w:start w:val="1"/>
      <w:numFmt w:val="decimal"/>
      <w:lvlText w:val="%7."/>
      <w:lvlJc w:val="left"/>
      <w:pPr>
        <w:ind w:left="1020" w:hanging="360"/>
      </w:pPr>
    </w:lvl>
    <w:lvl w:ilvl="7" w:tplc="70B2B50C">
      <w:start w:val="1"/>
      <w:numFmt w:val="decimal"/>
      <w:lvlText w:val="%8."/>
      <w:lvlJc w:val="left"/>
      <w:pPr>
        <w:ind w:left="1020" w:hanging="360"/>
      </w:pPr>
    </w:lvl>
    <w:lvl w:ilvl="8" w:tplc="36105FB0">
      <w:start w:val="1"/>
      <w:numFmt w:val="decimal"/>
      <w:lvlText w:val="%9."/>
      <w:lvlJc w:val="left"/>
      <w:pPr>
        <w:ind w:left="1020" w:hanging="360"/>
      </w:pPr>
    </w:lvl>
  </w:abstractNum>
  <w:abstractNum w:abstractNumId="30" w15:restartNumberingAfterBreak="0">
    <w:nsid w:val="5CC547FD"/>
    <w:multiLevelType w:val="hybridMultilevel"/>
    <w:tmpl w:val="7A0A58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507960"/>
    <w:multiLevelType w:val="multilevel"/>
    <w:tmpl w:val="BBFC50C6"/>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6973332D"/>
    <w:multiLevelType w:val="multilevel"/>
    <w:tmpl w:val="EF260336"/>
    <w:lvl w:ilvl="0">
      <w:start w:val="4"/>
      <w:numFmt w:val="decimal"/>
      <w:lvlText w:val="%1.0"/>
      <w:lvlJc w:val="left"/>
      <w:pPr>
        <w:ind w:left="1440" w:hanging="1080"/>
      </w:pPr>
      <w:rPr>
        <w:rFonts w:hint="default"/>
      </w:rPr>
    </w:lvl>
    <w:lvl w:ilvl="1">
      <w:start w:val="1"/>
      <w:numFmt w:val="decimal"/>
      <w:lvlText w:val="%1.%2"/>
      <w:lvlJc w:val="left"/>
      <w:pPr>
        <w:ind w:left="2160" w:hanging="1080"/>
      </w:pPr>
      <w:rPr>
        <w:rFonts w:hint="default"/>
      </w:rPr>
    </w:lvl>
    <w:lvl w:ilvl="2">
      <w:start w:val="1"/>
      <w:numFmt w:val="decimal"/>
      <w:lvlText w:val="%1.%2.%3"/>
      <w:lvlJc w:val="left"/>
      <w:pPr>
        <w:ind w:left="3240" w:hanging="1440"/>
      </w:pPr>
      <w:rPr>
        <w:rFonts w:hint="default"/>
      </w:rPr>
    </w:lvl>
    <w:lvl w:ilvl="3">
      <w:start w:val="1"/>
      <w:numFmt w:val="decimal"/>
      <w:lvlText w:val="%1.%2.%3.%4"/>
      <w:lvlJc w:val="left"/>
      <w:pPr>
        <w:ind w:left="4680" w:hanging="2160"/>
      </w:pPr>
      <w:rPr>
        <w:rFonts w:hint="default"/>
      </w:rPr>
    </w:lvl>
    <w:lvl w:ilvl="4">
      <w:start w:val="1"/>
      <w:numFmt w:val="decimal"/>
      <w:lvlText w:val="%1.%2.%3.%4.%5"/>
      <w:lvlJc w:val="left"/>
      <w:pPr>
        <w:ind w:left="5760" w:hanging="2520"/>
      </w:pPr>
      <w:rPr>
        <w:rFonts w:hint="default"/>
      </w:rPr>
    </w:lvl>
    <w:lvl w:ilvl="5">
      <w:start w:val="1"/>
      <w:numFmt w:val="decimal"/>
      <w:lvlText w:val="%1.%2.%3.%4.%5.%6"/>
      <w:lvlJc w:val="left"/>
      <w:pPr>
        <w:ind w:left="6840" w:hanging="2880"/>
      </w:pPr>
      <w:rPr>
        <w:rFonts w:hint="default"/>
      </w:rPr>
    </w:lvl>
    <w:lvl w:ilvl="6">
      <w:start w:val="1"/>
      <w:numFmt w:val="decimal"/>
      <w:lvlText w:val="%1.%2.%3.%4.%5.%6.%7"/>
      <w:lvlJc w:val="left"/>
      <w:pPr>
        <w:ind w:left="8280" w:hanging="3600"/>
      </w:pPr>
      <w:rPr>
        <w:rFonts w:hint="default"/>
      </w:rPr>
    </w:lvl>
    <w:lvl w:ilvl="7">
      <w:start w:val="1"/>
      <w:numFmt w:val="decimal"/>
      <w:lvlText w:val="%1.%2.%3.%4.%5.%6.%7.%8"/>
      <w:lvlJc w:val="left"/>
      <w:pPr>
        <w:ind w:left="9360" w:hanging="3960"/>
      </w:pPr>
      <w:rPr>
        <w:rFonts w:hint="default"/>
      </w:rPr>
    </w:lvl>
    <w:lvl w:ilvl="8">
      <w:start w:val="1"/>
      <w:numFmt w:val="decimal"/>
      <w:lvlText w:val="%1.%2.%3.%4.%5.%6.%7.%8.%9"/>
      <w:lvlJc w:val="left"/>
      <w:pPr>
        <w:ind w:left="10440" w:hanging="4320"/>
      </w:pPr>
      <w:rPr>
        <w:rFonts w:hint="default"/>
      </w:rPr>
    </w:lvl>
  </w:abstractNum>
  <w:abstractNum w:abstractNumId="33" w15:restartNumberingAfterBreak="0">
    <w:nsid w:val="6A686445"/>
    <w:multiLevelType w:val="multilevel"/>
    <w:tmpl w:val="72C0C0F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i w:val="0"/>
        <w:iCs w:val="0"/>
        <w:vertAlign w:val="baseline"/>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B962BD2"/>
    <w:multiLevelType w:val="multilevel"/>
    <w:tmpl w:val="805823E2"/>
    <w:lvl w:ilvl="0">
      <w:start w:val="5"/>
      <w:numFmt w:val="decimal"/>
      <w:lvlText w:val="%1.0"/>
      <w:lvlJc w:val="left"/>
      <w:pPr>
        <w:ind w:left="1440" w:hanging="1080"/>
      </w:pPr>
      <w:rPr>
        <w:rFonts w:hint="default"/>
      </w:rPr>
    </w:lvl>
    <w:lvl w:ilvl="1">
      <w:start w:val="1"/>
      <w:numFmt w:val="decimal"/>
      <w:lvlText w:val="%1.%2"/>
      <w:lvlJc w:val="left"/>
      <w:pPr>
        <w:ind w:left="2160" w:hanging="1080"/>
      </w:pPr>
      <w:rPr>
        <w:rFonts w:hint="default"/>
      </w:rPr>
    </w:lvl>
    <w:lvl w:ilvl="2">
      <w:start w:val="1"/>
      <w:numFmt w:val="decimal"/>
      <w:lvlText w:val="%1.%2.%3"/>
      <w:lvlJc w:val="left"/>
      <w:pPr>
        <w:ind w:left="3240" w:hanging="1440"/>
      </w:pPr>
      <w:rPr>
        <w:rFonts w:hint="default"/>
      </w:rPr>
    </w:lvl>
    <w:lvl w:ilvl="3">
      <w:start w:val="1"/>
      <w:numFmt w:val="decimal"/>
      <w:lvlText w:val="%1.%2.%3.%4"/>
      <w:lvlJc w:val="left"/>
      <w:pPr>
        <w:ind w:left="4680" w:hanging="2160"/>
      </w:pPr>
      <w:rPr>
        <w:rFonts w:hint="default"/>
      </w:rPr>
    </w:lvl>
    <w:lvl w:ilvl="4">
      <w:start w:val="1"/>
      <w:numFmt w:val="decimal"/>
      <w:lvlText w:val="%1.%2.%3.%4.%5"/>
      <w:lvlJc w:val="left"/>
      <w:pPr>
        <w:ind w:left="5760" w:hanging="2520"/>
      </w:pPr>
      <w:rPr>
        <w:rFonts w:hint="default"/>
      </w:rPr>
    </w:lvl>
    <w:lvl w:ilvl="5">
      <w:start w:val="1"/>
      <w:numFmt w:val="decimal"/>
      <w:lvlText w:val="%1.%2.%3.%4.%5.%6"/>
      <w:lvlJc w:val="left"/>
      <w:pPr>
        <w:ind w:left="6840" w:hanging="2880"/>
      </w:pPr>
      <w:rPr>
        <w:rFonts w:hint="default"/>
      </w:rPr>
    </w:lvl>
    <w:lvl w:ilvl="6">
      <w:start w:val="1"/>
      <w:numFmt w:val="decimal"/>
      <w:lvlText w:val="%1.%2.%3.%4.%5.%6.%7"/>
      <w:lvlJc w:val="left"/>
      <w:pPr>
        <w:ind w:left="8280" w:hanging="3600"/>
      </w:pPr>
      <w:rPr>
        <w:rFonts w:hint="default"/>
      </w:rPr>
    </w:lvl>
    <w:lvl w:ilvl="7">
      <w:start w:val="1"/>
      <w:numFmt w:val="decimal"/>
      <w:lvlText w:val="%1.%2.%3.%4.%5.%6.%7.%8"/>
      <w:lvlJc w:val="left"/>
      <w:pPr>
        <w:ind w:left="9360" w:hanging="3960"/>
      </w:pPr>
      <w:rPr>
        <w:rFonts w:hint="default"/>
      </w:rPr>
    </w:lvl>
    <w:lvl w:ilvl="8">
      <w:start w:val="1"/>
      <w:numFmt w:val="decimal"/>
      <w:lvlText w:val="%1.%2.%3.%4.%5.%6.%7.%8.%9"/>
      <w:lvlJc w:val="left"/>
      <w:pPr>
        <w:ind w:left="10440" w:hanging="4320"/>
      </w:pPr>
      <w:rPr>
        <w:rFonts w:hint="default"/>
      </w:rPr>
    </w:lvl>
  </w:abstractNum>
  <w:abstractNum w:abstractNumId="35" w15:restartNumberingAfterBreak="0">
    <w:nsid w:val="6EF45C10"/>
    <w:multiLevelType w:val="multilevel"/>
    <w:tmpl w:val="17C4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2914BA"/>
    <w:multiLevelType w:val="multilevel"/>
    <w:tmpl w:val="C9241C8C"/>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37" w15:restartNumberingAfterBreak="0">
    <w:nsid w:val="7BE67B78"/>
    <w:multiLevelType w:val="hybridMultilevel"/>
    <w:tmpl w:val="9A36AD4C"/>
    <w:lvl w:ilvl="0" w:tplc="74848EAA">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434486">
    <w:abstractNumId w:val="25"/>
  </w:num>
  <w:num w:numId="2" w16cid:durableId="1275745517">
    <w:abstractNumId w:val="36"/>
  </w:num>
  <w:num w:numId="3" w16cid:durableId="2130664114">
    <w:abstractNumId w:val="6"/>
  </w:num>
  <w:num w:numId="4" w16cid:durableId="2043435022">
    <w:abstractNumId w:val="18"/>
  </w:num>
  <w:num w:numId="5" w16cid:durableId="1103500050">
    <w:abstractNumId w:val="21"/>
  </w:num>
  <w:num w:numId="6" w16cid:durableId="1635136751">
    <w:abstractNumId w:val="33"/>
  </w:num>
  <w:num w:numId="7" w16cid:durableId="143279143">
    <w:abstractNumId w:val="20"/>
  </w:num>
  <w:num w:numId="8" w16cid:durableId="1469585530">
    <w:abstractNumId w:val="37"/>
  </w:num>
  <w:num w:numId="9" w16cid:durableId="1931811338">
    <w:abstractNumId w:val="35"/>
  </w:num>
  <w:num w:numId="10" w16cid:durableId="1052731129">
    <w:abstractNumId w:val="26"/>
  </w:num>
  <w:num w:numId="11" w16cid:durableId="1183978441">
    <w:abstractNumId w:val="14"/>
  </w:num>
  <w:num w:numId="12" w16cid:durableId="1827628448">
    <w:abstractNumId w:val="22"/>
  </w:num>
  <w:num w:numId="13" w16cid:durableId="1740857467">
    <w:abstractNumId w:val="4"/>
  </w:num>
  <w:num w:numId="14" w16cid:durableId="358315567">
    <w:abstractNumId w:val="12"/>
  </w:num>
  <w:num w:numId="15" w16cid:durableId="2024356937">
    <w:abstractNumId w:val="19"/>
  </w:num>
  <w:num w:numId="16" w16cid:durableId="1863662677">
    <w:abstractNumId w:val="30"/>
  </w:num>
  <w:num w:numId="17" w16cid:durableId="1025787772">
    <w:abstractNumId w:val="32"/>
  </w:num>
  <w:num w:numId="18" w16cid:durableId="183179818">
    <w:abstractNumId w:val="34"/>
  </w:num>
  <w:num w:numId="19" w16cid:durableId="1438452971">
    <w:abstractNumId w:val="11"/>
  </w:num>
  <w:num w:numId="20" w16cid:durableId="165101689">
    <w:abstractNumId w:val="10"/>
  </w:num>
  <w:num w:numId="21" w16cid:durableId="882206157">
    <w:abstractNumId w:val="7"/>
  </w:num>
  <w:num w:numId="22" w16cid:durableId="1649046374">
    <w:abstractNumId w:val="17"/>
  </w:num>
  <w:num w:numId="23" w16cid:durableId="1532450703">
    <w:abstractNumId w:val="0"/>
  </w:num>
  <w:num w:numId="24" w16cid:durableId="413288006">
    <w:abstractNumId w:val="3"/>
  </w:num>
  <w:num w:numId="25" w16cid:durableId="2000114693">
    <w:abstractNumId w:val="9"/>
  </w:num>
  <w:num w:numId="26" w16cid:durableId="459613428">
    <w:abstractNumId w:val="29"/>
  </w:num>
  <w:num w:numId="27" w16cid:durableId="1861310784">
    <w:abstractNumId w:val="2"/>
  </w:num>
  <w:num w:numId="28" w16cid:durableId="1840580520">
    <w:abstractNumId w:val="1"/>
  </w:num>
  <w:num w:numId="29" w16cid:durableId="849418056">
    <w:abstractNumId w:val="31"/>
  </w:num>
  <w:num w:numId="30" w16cid:durableId="797450342">
    <w:abstractNumId w:val="28"/>
  </w:num>
  <w:num w:numId="31" w16cid:durableId="237523284">
    <w:abstractNumId w:val="24"/>
  </w:num>
  <w:num w:numId="32" w16cid:durableId="1328288135">
    <w:abstractNumId w:val="13"/>
  </w:num>
  <w:num w:numId="33" w16cid:durableId="374619118">
    <w:abstractNumId w:val="5"/>
  </w:num>
  <w:num w:numId="34" w16cid:durableId="1094865803">
    <w:abstractNumId w:val="27"/>
  </w:num>
  <w:num w:numId="35" w16cid:durableId="708993027">
    <w:abstractNumId w:val="8"/>
  </w:num>
  <w:num w:numId="36" w16cid:durableId="1644432315">
    <w:abstractNumId w:val="15"/>
  </w:num>
  <w:num w:numId="37" w16cid:durableId="1111781055">
    <w:abstractNumId w:val="16"/>
  </w:num>
  <w:num w:numId="38" w16cid:durableId="16171308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26"/>
    <w:rsid w:val="000002D2"/>
    <w:rsid w:val="000011F2"/>
    <w:rsid w:val="000023D1"/>
    <w:rsid w:val="00002A1C"/>
    <w:rsid w:val="00002FA0"/>
    <w:rsid w:val="0000502D"/>
    <w:rsid w:val="000053E1"/>
    <w:rsid w:val="000055A9"/>
    <w:rsid w:val="000056F7"/>
    <w:rsid w:val="00005918"/>
    <w:rsid w:val="00007234"/>
    <w:rsid w:val="000077E0"/>
    <w:rsid w:val="00007DB1"/>
    <w:rsid w:val="00010238"/>
    <w:rsid w:val="00010332"/>
    <w:rsid w:val="000107AD"/>
    <w:rsid w:val="000127ED"/>
    <w:rsid w:val="00012A4C"/>
    <w:rsid w:val="00012A54"/>
    <w:rsid w:val="000140AF"/>
    <w:rsid w:val="000145BC"/>
    <w:rsid w:val="000151FB"/>
    <w:rsid w:val="0001570F"/>
    <w:rsid w:val="00015F69"/>
    <w:rsid w:val="0001741F"/>
    <w:rsid w:val="000174E3"/>
    <w:rsid w:val="00017BEF"/>
    <w:rsid w:val="00017ED7"/>
    <w:rsid w:val="000201F1"/>
    <w:rsid w:val="000205B8"/>
    <w:rsid w:val="00021677"/>
    <w:rsid w:val="000220AE"/>
    <w:rsid w:val="00022304"/>
    <w:rsid w:val="00022569"/>
    <w:rsid w:val="000233BE"/>
    <w:rsid w:val="000236B2"/>
    <w:rsid w:val="000242F5"/>
    <w:rsid w:val="00024DD7"/>
    <w:rsid w:val="00024FD1"/>
    <w:rsid w:val="00025DE8"/>
    <w:rsid w:val="00025EF5"/>
    <w:rsid w:val="00026C30"/>
    <w:rsid w:val="00030163"/>
    <w:rsid w:val="000305E0"/>
    <w:rsid w:val="000306AC"/>
    <w:rsid w:val="0003088A"/>
    <w:rsid w:val="00030D2A"/>
    <w:rsid w:val="00032901"/>
    <w:rsid w:val="00032E88"/>
    <w:rsid w:val="0003316B"/>
    <w:rsid w:val="00033517"/>
    <w:rsid w:val="000337F6"/>
    <w:rsid w:val="0003425F"/>
    <w:rsid w:val="00034DD9"/>
    <w:rsid w:val="0003500C"/>
    <w:rsid w:val="00035260"/>
    <w:rsid w:val="00036125"/>
    <w:rsid w:val="00036453"/>
    <w:rsid w:val="000377AA"/>
    <w:rsid w:val="00037BA0"/>
    <w:rsid w:val="000407EC"/>
    <w:rsid w:val="00040B40"/>
    <w:rsid w:val="000412EE"/>
    <w:rsid w:val="000418FE"/>
    <w:rsid w:val="00041CA4"/>
    <w:rsid w:val="00042453"/>
    <w:rsid w:val="00042771"/>
    <w:rsid w:val="00042B10"/>
    <w:rsid w:val="00044A54"/>
    <w:rsid w:val="00044BA2"/>
    <w:rsid w:val="0004522D"/>
    <w:rsid w:val="00045312"/>
    <w:rsid w:val="00045509"/>
    <w:rsid w:val="0004640A"/>
    <w:rsid w:val="000464ED"/>
    <w:rsid w:val="00046818"/>
    <w:rsid w:val="000476DC"/>
    <w:rsid w:val="00047CE4"/>
    <w:rsid w:val="00050478"/>
    <w:rsid w:val="0005164E"/>
    <w:rsid w:val="000528FD"/>
    <w:rsid w:val="00052F22"/>
    <w:rsid w:val="0005311B"/>
    <w:rsid w:val="000537EB"/>
    <w:rsid w:val="00053A86"/>
    <w:rsid w:val="000552B3"/>
    <w:rsid w:val="0005579F"/>
    <w:rsid w:val="00055E7F"/>
    <w:rsid w:val="00055FF0"/>
    <w:rsid w:val="000568F7"/>
    <w:rsid w:val="00056BFA"/>
    <w:rsid w:val="00056E12"/>
    <w:rsid w:val="00057176"/>
    <w:rsid w:val="000571FA"/>
    <w:rsid w:val="00057785"/>
    <w:rsid w:val="00057854"/>
    <w:rsid w:val="00057AAF"/>
    <w:rsid w:val="00057C3C"/>
    <w:rsid w:val="00057E0C"/>
    <w:rsid w:val="0006060C"/>
    <w:rsid w:val="000608E8"/>
    <w:rsid w:val="000620AA"/>
    <w:rsid w:val="00062189"/>
    <w:rsid w:val="00062A59"/>
    <w:rsid w:val="00062F68"/>
    <w:rsid w:val="0006352D"/>
    <w:rsid w:val="00063686"/>
    <w:rsid w:val="00064028"/>
    <w:rsid w:val="000646CF"/>
    <w:rsid w:val="00064757"/>
    <w:rsid w:val="00064CA5"/>
    <w:rsid w:val="00065565"/>
    <w:rsid w:val="00065590"/>
    <w:rsid w:val="000663BF"/>
    <w:rsid w:val="00071E22"/>
    <w:rsid w:val="0007216C"/>
    <w:rsid w:val="00072195"/>
    <w:rsid w:val="0007234F"/>
    <w:rsid w:val="00074155"/>
    <w:rsid w:val="00074311"/>
    <w:rsid w:val="00076630"/>
    <w:rsid w:val="00076D5E"/>
    <w:rsid w:val="00077184"/>
    <w:rsid w:val="00077261"/>
    <w:rsid w:val="00077F62"/>
    <w:rsid w:val="000806C5"/>
    <w:rsid w:val="000808E1"/>
    <w:rsid w:val="0008098D"/>
    <w:rsid w:val="0008223C"/>
    <w:rsid w:val="000822C8"/>
    <w:rsid w:val="000831C0"/>
    <w:rsid w:val="00083B36"/>
    <w:rsid w:val="00084527"/>
    <w:rsid w:val="000849A8"/>
    <w:rsid w:val="00086413"/>
    <w:rsid w:val="0008673C"/>
    <w:rsid w:val="00086989"/>
    <w:rsid w:val="000900E9"/>
    <w:rsid w:val="00092095"/>
    <w:rsid w:val="00092AB4"/>
    <w:rsid w:val="000939F1"/>
    <w:rsid w:val="00093A48"/>
    <w:rsid w:val="000950B3"/>
    <w:rsid w:val="00095206"/>
    <w:rsid w:val="000954F9"/>
    <w:rsid w:val="00095D50"/>
    <w:rsid w:val="00096401"/>
    <w:rsid w:val="0009645A"/>
    <w:rsid w:val="000977D8"/>
    <w:rsid w:val="000977F5"/>
    <w:rsid w:val="000A07D6"/>
    <w:rsid w:val="000A0B06"/>
    <w:rsid w:val="000A0D6F"/>
    <w:rsid w:val="000A0F4F"/>
    <w:rsid w:val="000A1322"/>
    <w:rsid w:val="000A14FB"/>
    <w:rsid w:val="000A1542"/>
    <w:rsid w:val="000A18BC"/>
    <w:rsid w:val="000A29E7"/>
    <w:rsid w:val="000A2D60"/>
    <w:rsid w:val="000A2DA2"/>
    <w:rsid w:val="000A3B44"/>
    <w:rsid w:val="000A4722"/>
    <w:rsid w:val="000A48D1"/>
    <w:rsid w:val="000A4BAF"/>
    <w:rsid w:val="000A5207"/>
    <w:rsid w:val="000A5B3A"/>
    <w:rsid w:val="000A65D3"/>
    <w:rsid w:val="000B0406"/>
    <w:rsid w:val="000B0417"/>
    <w:rsid w:val="000B063F"/>
    <w:rsid w:val="000B0E4E"/>
    <w:rsid w:val="000B3F4D"/>
    <w:rsid w:val="000B4B3F"/>
    <w:rsid w:val="000B4DD9"/>
    <w:rsid w:val="000B6253"/>
    <w:rsid w:val="000B6B83"/>
    <w:rsid w:val="000B7353"/>
    <w:rsid w:val="000B7CCD"/>
    <w:rsid w:val="000C057D"/>
    <w:rsid w:val="000C058B"/>
    <w:rsid w:val="000C13B3"/>
    <w:rsid w:val="000C2038"/>
    <w:rsid w:val="000C3438"/>
    <w:rsid w:val="000C3B7E"/>
    <w:rsid w:val="000C4AD8"/>
    <w:rsid w:val="000C6075"/>
    <w:rsid w:val="000C676E"/>
    <w:rsid w:val="000C70F2"/>
    <w:rsid w:val="000C79E5"/>
    <w:rsid w:val="000C79F1"/>
    <w:rsid w:val="000C7ED6"/>
    <w:rsid w:val="000D0552"/>
    <w:rsid w:val="000D0A62"/>
    <w:rsid w:val="000D1367"/>
    <w:rsid w:val="000D23D1"/>
    <w:rsid w:val="000D3315"/>
    <w:rsid w:val="000D4381"/>
    <w:rsid w:val="000D5AF6"/>
    <w:rsid w:val="000D6680"/>
    <w:rsid w:val="000D72EC"/>
    <w:rsid w:val="000D7D41"/>
    <w:rsid w:val="000D7FF2"/>
    <w:rsid w:val="000E0580"/>
    <w:rsid w:val="000E141E"/>
    <w:rsid w:val="000E1BA9"/>
    <w:rsid w:val="000E2DE6"/>
    <w:rsid w:val="000E3DAC"/>
    <w:rsid w:val="000E56B7"/>
    <w:rsid w:val="000E6B94"/>
    <w:rsid w:val="000E6D96"/>
    <w:rsid w:val="000E780B"/>
    <w:rsid w:val="000E7A74"/>
    <w:rsid w:val="000F04FD"/>
    <w:rsid w:val="000F0A65"/>
    <w:rsid w:val="000F0CED"/>
    <w:rsid w:val="000F1110"/>
    <w:rsid w:val="000F12A7"/>
    <w:rsid w:val="000F12BA"/>
    <w:rsid w:val="000F21E4"/>
    <w:rsid w:val="000F2898"/>
    <w:rsid w:val="000F2E9A"/>
    <w:rsid w:val="000F36D8"/>
    <w:rsid w:val="000F3D55"/>
    <w:rsid w:val="000F41B3"/>
    <w:rsid w:val="000F4510"/>
    <w:rsid w:val="000F49E7"/>
    <w:rsid w:val="000F5146"/>
    <w:rsid w:val="000F548F"/>
    <w:rsid w:val="000F5AD5"/>
    <w:rsid w:val="000F7078"/>
    <w:rsid w:val="000F709C"/>
    <w:rsid w:val="000F7527"/>
    <w:rsid w:val="000F7D51"/>
    <w:rsid w:val="000F7F62"/>
    <w:rsid w:val="0010088C"/>
    <w:rsid w:val="001008D9"/>
    <w:rsid w:val="00100D79"/>
    <w:rsid w:val="00101BE2"/>
    <w:rsid w:val="00101F35"/>
    <w:rsid w:val="00102390"/>
    <w:rsid w:val="00102516"/>
    <w:rsid w:val="001025BE"/>
    <w:rsid w:val="00103337"/>
    <w:rsid w:val="00103451"/>
    <w:rsid w:val="00103C1B"/>
    <w:rsid w:val="00105563"/>
    <w:rsid w:val="001056D4"/>
    <w:rsid w:val="00105B27"/>
    <w:rsid w:val="00105D8E"/>
    <w:rsid w:val="00106E6C"/>
    <w:rsid w:val="001107F3"/>
    <w:rsid w:val="00110EDB"/>
    <w:rsid w:val="00110F57"/>
    <w:rsid w:val="00111B75"/>
    <w:rsid w:val="00111FF0"/>
    <w:rsid w:val="00112796"/>
    <w:rsid w:val="00112DF4"/>
    <w:rsid w:val="0011310A"/>
    <w:rsid w:val="00113200"/>
    <w:rsid w:val="0011428A"/>
    <w:rsid w:val="00114398"/>
    <w:rsid w:val="0011510F"/>
    <w:rsid w:val="00115263"/>
    <w:rsid w:val="00115A2C"/>
    <w:rsid w:val="0011632C"/>
    <w:rsid w:val="00116452"/>
    <w:rsid w:val="001165DF"/>
    <w:rsid w:val="001176D6"/>
    <w:rsid w:val="00117BB1"/>
    <w:rsid w:val="001206AB"/>
    <w:rsid w:val="00120966"/>
    <w:rsid w:val="00122D84"/>
    <w:rsid w:val="001239E6"/>
    <w:rsid w:val="00124C8C"/>
    <w:rsid w:val="001253DC"/>
    <w:rsid w:val="001258E4"/>
    <w:rsid w:val="00125B60"/>
    <w:rsid w:val="00126441"/>
    <w:rsid w:val="00127459"/>
    <w:rsid w:val="00127D7A"/>
    <w:rsid w:val="00130515"/>
    <w:rsid w:val="0013069A"/>
    <w:rsid w:val="00130B3C"/>
    <w:rsid w:val="00130CC3"/>
    <w:rsid w:val="0013149D"/>
    <w:rsid w:val="00131B3E"/>
    <w:rsid w:val="00132939"/>
    <w:rsid w:val="00132C8A"/>
    <w:rsid w:val="00133A84"/>
    <w:rsid w:val="00133B31"/>
    <w:rsid w:val="0013445C"/>
    <w:rsid w:val="0013497E"/>
    <w:rsid w:val="00134CEF"/>
    <w:rsid w:val="0013501E"/>
    <w:rsid w:val="00135554"/>
    <w:rsid w:val="00136946"/>
    <w:rsid w:val="0013746C"/>
    <w:rsid w:val="00140B9E"/>
    <w:rsid w:val="00141A91"/>
    <w:rsid w:val="00141EE3"/>
    <w:rsid w:val="00141F20"/>
    <w:rsid w:val="001426A0"/>
    <w:rsid w:val="001429FB"/>
    <w:rsid w:val="001438D3"/>
    <w:rsid w:val="001451BF"/>
    <w:rsid w:val="00145CD5"/>
    <w:rsid w:val="00146E82"/>
    <w:rsid w:val="0014722C"/>
    <w:rsid w:val="00147765"/>
    <w:rsid w:val="00147BF0"/>
    <w:rsid w:val="00150304"/>
    <w:rsid w:val="00150AD5"/>
    <w:rsid w:val="00152E5A"/>
    <w:rsid w:val="00152E62"/>
    <w:rsid w:val="00153A75"/>
    <w:rsid w:val="00153B76"/>
    <w:rsid w:val="00153FD8"/>
    <w:rsid w:val="001543E8"/>
    <w:rsid w:val="001543EF"/>
    <w:rsid w:val="001544BA"/>
    <w:rsid w:val="00155ACA"/>
    <w:rsid w:val="00155B9A"/>
    <w:rsid w:val="00155DAB"/>
    <w:rsid w:val="00156FD6"/>
    <w:rsid w:val="0015752F"/>
    <w:rsid w:val="00157D46"/>
    <w:rsid w:val="00162D24"/>
    <w:rsid w:val="001631E2"/>
    <w:rsid w:val="00163256"/>
    <w:rsid w:val="00163B9B"/>
    <w:rsid w:val="00163E2F"/>
    <w:rsid w:val="00164470"/>
    <w:rsid w:val="00164843"/>
    <w:rsid w:val="00164910"/>
    <w:rsid w:val="0016528D"/>
    <w:rsid w:val="00165D6B"/>
    <w:rsid w:val="00166311"/>
    <w:rsid w:val="00166587"/>
    <w:rsid w:val="00166CDC"/>
    <w:rsid w:val="00171038"/>
    <w:rsid w:val="001717FF"/>
    <w:rsid w:val="0017216C"/>
    <w:rsid w:val="001738C4"/>
    <w:rsid w:val="00173EC5"/>
    <w:rsid w:val="00175038"/>
    <w:rsid w:val="00175153"/>
    <w:rsid w:val="001758E7"/>
    <w:rsid w:val="00175EDE"/>
    <w:rsid w:val="0017601B"/>
    <w:rsid w:val="0017635E"/>
    <w:rsid w:val="00177414"/>
    <w:rsid w:val="00177F68"/>
    <w:rsid w:val="0018027A"/>
    <w:rsid w:val="00182083"/>
    <w:rsid w:val="00182536"/>
    <w:rsid w:val="001830B5"/>
    <w:rsid w:val="001846D5"/>
    <w:rsid w:val="00185216"/>
    <w:rsid w:val="001856C6"/>
    <w:rsid w:val="001862F6"/>
    <w:rsid w:val="0018633D"/>
    <w:rsid w:val="0018693D"/>
    <w:rsid w:val="00186CE0"/>
    <w:rsid w:val="00186E69"/>
    <w:rsid w:val="00187C98"/>
    <w:rsid w:val="00187DE5"/>
    <w:rsid w:val="00190061"/>
    <w:rsid w:val="0019044D"/>
    <w:rsid w:val="0019085C"/>
    <w:rsid w:val="00191C3D"/>
    <w:rsid w:val="001923C0"/>
    <w:rsid w:val="00192810"/>
    <w:rsid w:val="00192B14"/>
    <w:rsid w:val="0019395E"/>
    <w:rsid w:val="00193EE2"/>
    <w:rsid w:val="00193F17"/>
    <w:rsid w:val="00194136"/>
    <w:rsid w:val="001941AA"/>
    <w:rsid w:val="001948F3"/>
    <w:rsid w:val="00194EAB"/>
    <w:rsid w:val="0019654D"/>
    <w:rsid w:val="00196E5E"/>
    <w:rsid w:val="001971DE"/>
    <w:rsid w:val="001972F6"/>
    <w:rsid w:val="001A0181"/>
    <w:rsid w:val="001A0A14"/>
    <w:rsid w:val="001A0F07"/>
    <w:rsid w:val="001A1677"/>
    <w:rsid w:val="001A2E72"/>
    <w:rsid w:val="001A314A"/>
    <w:rsid w:val="001A4AC9"/>
    <w:rsid w:val="001A5BF6"/>
    <w:rsid w:val="001A66EB"/>
    <w:rsid w:val="001B0537"/>
    <w:rsid w:val="001B0E47"/>
    <w:rsid w:val="001B11AB"/>
    <w:rsid w:val="001B1523"/>
    <w:rsid w:val="001B1B2E"/>
    <w:rsid w:val="001B1DD9"/>
    <w:rsid w:val="001B2125"/>
    <w:rsid w:val="001B2F8F"/>
    <w:rsid w:val="001B3636"/>
    <w:rsid w:val="001B37D6"/>
    <w:rsid w:val="001B3930"/>
    <w:rsid w:val="001B3A11"/>
    <w:rsid w:val="001B4402"/>
    <w:rsid w:val="001B4724"/>
    <w:rsid w:val="001B47EE"/>
    <w:rsid w:val="001B4909"/>
    <w:rsid w:val="001B49B3"/>
    <w:rsid w:val="001B5D56"/>
    <w:rsid w:val="001B5F0A"/>
    <w:rsid w:val="001B6132"/>
    <w:rsid w:val="001B6D16"/>
    <w:rsid w:val="001B6E55"/>
    <w:rsid w:val="001B7BDB"/>
    <w:rsid w:val="001C0143"/>
    <w:rsid w:val="001C0404"/>
    <w:rsid w:val="001C0660"/>
    <w:rsid w:val="001C2B09"/>
    <w:rsid w:val="001C2BFF"/>
    <w:rsid w:val="001C2C35"/>
    <w:rsid w:val="001C2CC6"/>
    <w:rsid w:val="001C3675"/>
    <w:rsid w:val="001C3AA0"/>
    <w:rsid w:val="001C4829"/>
    <w:rsid w:val="001C4A9E"/>
    <w:rsid w:val="001C5E24"/>
    <w:rsid w:val="001C61E2"/>
    <w:rsid w:val="001C670E"/>
    <w:rsid w:val="001C6E59"/>
    <w:rsid w:val="001C74EB"/>
    <w:rsid w:val="001D04EB"/>
    <w:rsid w:val="001D0593"/>
    <w:rsid w:val="001D0C77"/>
    <w:rsid w:val="001D2326"/>
    <w:rsid w:val="001D24C7"/>
    <w:rsid w:val="001D2BA6"/>
    <w:rsid w:val="001D3286"/>
    <w:rsid w:val="001D37BD"/>
    <w:rsid w:val="001D3BD7"/>
    <w:rsid w:val="001D3D65"/>
    <w:rsid w:val="001D4254"/>
    <w:rsid w:val="001D47D5"/>
    <w:rsid w:val="001D4B4C"/>
    <w:rsid w:val="001D4D88"/>
    <w:rsid w:val="001D4DC3"/>
    <w:rsid w:val="001D538A"/>
    <w:rsid w:val="001D6043"/>
    <w:rsid w:val="001D6103"/>
    <w:rsid w:val="001D6826"/>
    <w:rsid w:val="001D6A1C"/>
    <w:rsid w:val="001D7E6A"/>
    <w:rsid w:val="001E05F9"/>
    <w:rsid w:val="001E101B"/>
    <w:rsid w:val="001E1405"/>
    <w:rsid w:val="001E14B8"/>
    <w:rsid w:val="001E2F27"/>
    <w:rsid w:val="001E41C7"/>
    <w:rsid w:val="001E5073"/>
    <w:rsid w:val="001E5688"/>
    <w:rsid w:val="001E6399"/>
    <w:rsid w:val="001E72E8"/>
    <w:rsid w:val="001E795B"/>
    <w:rsid w:val="001F0A72"/>
    <w:rsid w:val="001F42A8"/>
    <w:rsid w:val="001F4312"/>
    <w:rsid w:val="001F5C00"/>
    <w:rsid w:val="001F5E38"/>
    <w:rsid w:val="001F65DB"/>
    <w:rsid w:val="00200C72"/>
    <w:rsid w:val="00201212"/>
    <w:rsid w:val="00201A9D"/>
    <w:rsid w:val="00203A84"/>
    <w:rsid w:val="00205152"/>
    <w:rsid w:val="00205413"/>
    <w:rsid w:val="00205841"/>
    <w:rsid w:val="00205DFC"/>
    <w:rsid w:val="00206097"/>
    <w:rsid w:val="00206F6C"/>
    <w:rsid w:val="00207234"/>
    <w:rsid w:val="002076F1"/>
    <w:rsid w:val="00210647"/>
    <w:rsid w:val="0021075E"/>
    <w:rsid w:val="00210DC9"/>
    <w:rsid w:val="00211160"/>
    <w:rsid w:val="00211716"/>
    <w:rsid w:val="00211EE0"/>
    <w:rsid w:val="002127CF"/>
    <w:rsid w:val="0021345E"/>
    <w:rsid w:val="002138E2"/>
    <w:rsid w:val="00213DFD"/>
    <w:rsid w:val="002150E0"/>
    <w:rsid w:val="0021512C"/>
    <w:rsid w:val="0021517C"/>
    <w:rsid w:val="00216AD1"/>
    <w:rsid w:val="00216E2C"/>
    <w:rsid w:val="002170B6"/>
    <w:rsid w:val="002172FF"/>
    <w:rsid w:val="002175AE"/>
    <w:rsid w:val="00217DB8"/>
    <w:rsid w:val="00217ED0"/>
    <w:rsid w:val="00221310"/>
    <w:rsid w:val="00221FEB"/>
    <w:rsid w:val="00223A70"/>
    <w:rsid w:val="00224263"/>
    <w:rsid w:val="00224E16"/>
    <w:rsid w:val="002260A1"/>
    <w:rsid w:val="002261B8"/>
    <w:rsid w:val="002265ED"/>
    <w:rsid w:val="002269EB"/>
    <w:rsid w:val="00226CD6"/>
    <w:rsid w:val="00226D92"/>
    <w:rsid w:val="00226EC4"/>
    <w:rsid w:val="002279D3"/>
    <w:rsid w:val="00230E0A"/>
    <w:rsid w:val="00231323"/>
    <w:rsid w:val="0023187B"/>
    <w:rsid w:val="00231EF2"/>
    <w:rsid w:val="0023221A"/>
    <w:rsid w:val="00232839"/>
    <w:rsid w:val="00233B5F"/>
    <w:rsid w:val="002346C6"/>
    <w:rsid w:val="00234712"/>
    <w:rsid w:val="002365BE"/>
    <w:rsid w:val="00236E74"/>
    <w:rsid w:val="00237242"/>
    <w:rsid w:val="00237450"/>
    <w:rsid w:val="00240D7A"/>
    <w:rsid w:val="00241E34"/>
    <w:rsid w:val="002424F7"/>
    <w:rsid w:val="00242D21"/>
    <w:rsid w:val="002448AC"/>
    <w:rsid w:val="00244C1D"/>
    <w:rsid w:val="00244D32"/>
    <w:rsid w:val="0024546C"/>
    <w:rsid w:val="00245610"/>
    <w:rsid w:val="00245D8D"/>
    <w:rsid w:val="0024784D"/>
    <w:rsid w:val="00250382"/>
    <w:rsid w:val="00251A04"/>
    <w:rsid w:val="002534EE"/>
    <w:rsid w:val="002535D3"/>
    <w:rsid w:val="0025383E"/>
    <w:rsid w:val="00253D94"/>
    <w:rsid w:val="002547F0"/>
    <w:rsid w:val="00255113"/>
    <w:rsid w:val="00255175"/>
    <w:rsid w:val="00256311"/>
    <w:rsid w:val="00256447"/>
    <w:rsid w:val="00256C73"/>
    <w:rsid w:val="002570BF"/>
    <w:rsid w:val="00260932"/>
    <w:rsid w:val="00260A2A"/>
    <w:rsid w:val="00261FCC"/>
    <w:rsid w:val="00262837"/>
    <w:rsid w:val="0026290E"/>
    <w:rsid w:val="002649AE"/>
    <w:rsid w:val="00265DE2"/>
    <w:rsid w:val="002663BE"/>
    <w:rsid w:val="0027125D"/>
    <w:rsid w:val="0027142A"/>
    <w:rsid w:val="00271B56"/>
    <w:rsid w:val="00273018"/>
    <w:rsid w:val="00273155"/>
    <w:rsid w:val="00274B4E"/>
    <w:rsid w:val="002751B3"/>
    <w:rsid w:val="00275D38"/>
    <w:rsid w:val="002764C0"/>
    <w:rsid w:val="002765F5"/>
    <w:rsid w:val="00276B49"/>
    <w:rsid w:val="002800F1"/>
    <w:rsid w:val="002826BB"/>
    <w:rsid w:val="002828B0"/>
    <w:rsid w:val="00282EEE"/>
    <w:rsid w:val="00283A9E"/>
    <w:rsid w:val="00284D38"/>
    <w:rsid w:val="00284D83"/>
    <w:rsid w:val="00284E99"/>
    <w:rsid w:val="00285148"/>
    <w:rsid w:val="00285C72"/>
    <w:rsid w:val="00286F6D"/>
    <w:rsid w:val="0028771A"/>
    <w:rsid w:val="002903E7"/>
    <w:rsid w:val="0029049B"/>
    <w:rsid w:val="002905E5"/>
    <w:rsid w:val="002908D0"/>
    <w:rsid w:val="00291061"/>
    <w:rsid w:val="00291555"/>
    <w:rsid w:val="0029375B"/>
    <w:rsid w:val="00294A50"/>
    <w:rsid w:val="00295EB3"/>
    <w:rsid w:val="002963C7"/>
    <w:rsid w:val="00296948"/>
    <w:rsid w:val="00297CF5"/>
    <w:rsid w:val="00297DFC"/>
    <w:rsid w:val="002A0158"/>
    <w:rsid w:val="002A0298"/>
    <w:rsid w:val="002A0D13"/>
    <w:rsid w:val="002A0FF4"/>
    <w:rsid w:val="002A153C"/>
    <w:rsid w:val="002A3AB7"/>
    <w:rsid w:val="002A3BFC"/>
    <w:rsid w:val="002A4CE6"/>
    <w:rsid w:val="002A5317"/>
    <w:rsid w:val="002A606A"/>
    <w:rsid w:val="002A670F"/>
    <w:rsid w:val="002A698C"/>
    <w:rsid w:val="002A6B0F"/>
    <w:rsid w:val="002A749C"/>
    <w:rsid w:val="002A74A4"/>
    <w:rsid w:val="002A7951"/>
    <w:rsid w:val="002B0242"/>
    <w:rsid w:val="002B25E6"/>
    <w:rsid w:val="002B2CE1"/>
    <w:rsid w:val="002B3094"/>
    <w:rsid w:val="002B374C"/>
    <w:rsid w:val="002B3D92"/>
    <w:rsid w:val="002B4044"/>
    <w:rsid w:val="002B42AF"/>
    <w:rsid w:val="002B435C"/>
    <w:rsid w:val="002B5064"/>
    <w:rsid w:val="002B5287"/>
    <w:rsid w:val="002B52B4"/>
    <w:rsid w:val="002B6ADD"/>
    <w:rsid w:val="002B6B31"/>
    <w:rsid w:val="002B706C"/>
    <w:rsid w:val="002B76EC"/>
    <w:rsid w:val="002C087A"/>
    <w:rsid w:val="002C0CB0"/>
    <w:rsid w:val="002C1505"/>
    <w:rsid w:val="002C1934"/>
    <w:rsid w:val="002C39A5"/>
    <w:rsid w:val="002C44EA"/>
    <w:rsid w:val="002C5B64"/>
    <w:rsid w:val="002C5CD4"/>
    <w:rsid w:val="002C690D"/>
    <w:rsid w:val="002C69F5"/>
    <w:rsid w:val="002C6EE6"/>
    <w:rsid w:val="002C716F"/>
    <w:rsid w:val="002C7B50"/>
    <w:rsid w:val="002D1454"/>
    <w:rsid w:val="002D2425"/>
    <w:rsid w:val="002D249A"/>
    <w:rsid w:val="002D2F99"/>
    <w:rsid w:val="002D3793"/>
    <w:rsid w:val="002D3D02"/>
    <w:rsid w:val="002D4B75"/>
    <w:rsid w:val="002D51FF"/>
    <w:rsid w:val="002D5F4C"/>
    <w:rsid w:val="002D65CB"/>
    <w:rsid w:val="002D78BC"/>
    <w:rsid w:val="002D7AC1"/>
    <w:rsid w:val="002E0487"/>
    <w:rsid w:val="002E04E8"/>
    <w:rsid w:val="002E08F6"/>
    <w:rsid w:val="002E09E2"/>
    <w:rsid w:val="002E0FE9"/>
    <w:rsid w:val="002E13A4"/>
    <w:rsid w:val="002E155F"/>
    <w:rsid w:val="002E26A4"/>
    <w:rsid w:val="002E2A67"/>
    <w:rsid w:val="002E2D79"/>
    <w:rsid w:val="002E34A1"/>
    <w:rsid w:val="002E4153"/>
    <w:rsid w:val="002E427C"/>
    <w:rsid w:val="002E4787"/>
    <w:rsid w:val="002E4DA7"/>
    <w:rsid w:val="002E5120"/>
    <w:rsid w:val="002E5F17"/>
    <w:rsid w:val="002E5F89"/>
    <w:rsid w:val="002E604D"/>
    <w:rsid w:val="002E69B7"/>
    <w:rsid w:val="002E6EFF"/>
    <w:rsid w:val="002E701A"/>
    <w:rsid w:val="002E75FF"/>
    <w:rsid w:val="002F027C"/>
    <w:rsid w:val="002F03C6"/>
    <w:rsid w:val="002F0676"/>
    <w:rsid w:val="002F1078"/>
    <w:rsid w:val="002F3BDA"/>
    <w:rsid w:val="002F3E55"/>
    <w:rsid w:val="002F5327"/>
    <w:rsid w:val="002F5452"/>
    <w:rsid w:val="002F5BFF"/>
    <w:rsid w:val="002F6094"/>
    <w:rsid w:val="002F6379"/>
    <w:rsid w:val="002F64BF"/>
    <w:rsid w:val="002F6C76"/>
    <w:rsid w:val="00301923"/>
    <w:rsid w:val="00301B69"/>
    <w:rsid w:val="00301EFA"/>
    <w:rsid w:val="00302003"/>
    <w:rsid w:val="0030369A"/>
    <w:rsid w:val="00304418"/>
    <w:rsid w:val="0030451C"/>
    <w:rsid w:val="003048B3"/>
    <w:rsid w:val="00305069"/>
    <w:rsid w:val="00305457"/>
    <w:rsid w:val="00305922"/>
    <w:rsid w:val="00305D72"/>
    <w:rsid w:val="00306497"/>
    <w:rsid w:val="00307307"/>
    <w:rsid w:val="00307E5B"/>
    <w:rsid w:val="00307F3C"/>
    <w:rsid w:val="003115C9"/>
    <w:rsid w:val="00311614"/>
    <w:rsid w:val="00311E07"/>
    <w:rsid w:val="003128B9"/>
    <w:rsid w:val="003133E1"/>
    <w:rsid w:val="00313A0C"/>
    <w:rsid w:val="00314732"/>
    <w:rsid w:val="00314B37"/>
    <w:rsid w:val="00316612"/>
    <w:rsid w:val="00316E85"/>
    <w:rsid w:val="00317874"/>
    <w:rsid w:val="00321276"/>
    <w:rsid w:val="00321387"/>
    <w:rsid w:val="003217AC"/>
    <w:rsid w:val="00321BB8"/>
    <w:rsid w:val="00321E39"/>
    <w:rsid w:val="003223A9"/>
    <w:rsid w:val="003223BF"/>
    <w:rsid w:val="0032354A"/>
    <w:rsid w:val="00324E91"/>
    <w:rsid w:val="00325AD1"/>
    <w:rsid w:val="0032644D"/>
    <w:rsid w:val="003270C2"/>
    <w:rsid w:val="00327B13"/>
    <w:rsid w:val="003303A6"/>
    <w:rsid w:val="00330E44"/>
    <w:rsid w:val="00331294"/>
    <w:rsid w:val="00332339"/>
    <w:rsid w:val="00332B0E"/>
    <w:rsid w:val="00332D98"/>
    <w:rsid w:val="00333D48"/>
    <w:rsid w:val="00334030"/>
    <w:rsid w:val="0033431F"/>
    <w:rsid w:val="00335A33"/>
    <w:rsid w:val="00335A77"/>
    <w:rsid w:val="003370BF"/>
    <w:rsid w:val="0033749B"/>
    <w:rsid w:val="003377E7"/>
    <w:rsid w:val="00337F2F"/>
    <w:rsid w:val="00340230"/>
    <w:rsid w:val="00340BE2"/>
    <w:rsid w:val="00340E31"/>
    <w:rsid w:val="00341DC9"/>
    <w:rsid w:val="003423B2"/>
    <w:rsid w:val="00342A63"/>
    <w:rsid w:val="003445BE"/>
    <w:rsid w:val="003448F7"/>
    <w:rsid w:val="00344FCF"/>
    <w:rsid w:val="003468F0"/>
    <w:rsid w:val="00347529"/>
    <w:rsid w:val="003476DA"/>
    <w:rsid w:val="0035070F"/>
    <w:rsid w:val="003507FD"/>
    <w:rsid w:val="00350E5C"/>
    <w:rsid w:val="003510E5"/>
    <w:rsid w:val="00351203"/>
    <w:rsid w:val="00352ABC"/>
    <w:rsid w:val="00352B21"/>
    <w:rsid w:val="00352DCA"/>
    <w:rsid w:val="003530E6"/>
    <w:rsid w:val="003534B2"/>
    <w:rsid w:val="00353556"/>
    <w:rsid w:val="00353C3D"/>
    <w:rsid w:val="003540AB"/>
    <w:rsid w:val="00354C7A"/>
    <w:rsid w:val="00355DAA"/>
    <w:rsid w:val="00356416"/>
    <w:rsid w:val="00357493"/>
    <w:rsid w:val="00357719"/>
    <w:rsid w:val="00361302"/>
    <w:rsid w:val="003614BB"/>
    <w:rsid w:val="0036219E"/>
    <w:rsid w:val="00363929"/>
    <w:rsid w:val="003639D0"/>
    <w:rsid w:val="00364105"/>
    <w:rsid w:val="00365061"/>
    <w:rsid w:val="00366069"/>
    <w:rsid w:val="0037058B"/>
    <w:rsid w:val="003717E7"/>
    <w:rsid w:val="00371BC4"/>
    <w:rsid w:val="00374426"/>
    <w:rsid w:val="00375211"/>
    <w:rsid w:val="0037570C"/>
    <w:rsid w:val="00375B44"/>
    <w:rsid w:val="003763A7"/>
    <w:rsid w:val="00377618"/>
    <w:rsid w:val="00382099"/>
    <w:rsid w:val="00382ED6"/>
    <w:rsid w:val="00383578"/>
    <w:rsid w:val="00383A64"/>
    <w:rsid w:val="00383B74"/>
    <w:rsid w:val="003841CA"/>
    <w:rsid w:val="003855CD"/>
    <w:rsid w:val="00385942"/>
    <w:rsid w:val="0038614C"/>
    <w:rsid w:val="00386E46"/>
    <w:rsid w:val="0038709C"/>
    <w:rsid w:val="00387BBA"/>
    <w:rsid w:val="00390B3B"/>
    <w:rsid w:val="00391614"/>
    <w:rsid w:val="00391B7E"/>
    <w:rsid w:val="003934C3"/>
    <w:rsid w:val="0039369F"/>
    <w:rsid w:val="00393AD0"/>
    <w:rsid w:val="003944F6"/>
    <w:rsid w:val="00395C03"/>
    <w:rsid w:val="0039794B"/>
    <w:rsid w:val="003A0E0A"/>
    <w:rsid w:val="003A170C"/>
    <w:rsid w:val="003A1B8E"/>
    <w:rsid w:val="003A1EB3"/>
    <w:rsid w:val="003A1F96"/>
    <w:rsid w:val="003A2441"/>
    <w:rsid w:val="003A247A"/>
    <w:rsid w:val="003A3CC7"/>
    <w:rsid w:val="003A3F86"/>
    <w:rsid w:val="003A421D"/>
    <w:rsid w:val="003A4615"/>
    <w:rsid w:val="003A482F"/>
    <w:rsid w:val="003A5BF5"/>
    <w:rsid w:val="003A5ECA"/>
    <w:rsid w:val="003A5F92"/>
    <w:rsid w:val="003A6519"/>
    <w:rsid w:val="003A741E"/>
    <w:rsid w:val="003B0078"/>
    <w:rsid w:val="003B0270"/>
    <w:rsid w:val="003B0EEF"/>
    <w:rsid w:val="003B1153"/>
    <w:rsid w:val="003B37CC"/>
    <w:rsid w:val="003B3D9E"/>
    <w:rsid w:val="003B4068"/>
    <w:rsid w:val="003B42DA"/>
    <w:rsid w:val="003B4374"/>
    <w:rsid w:val="003B50B1"/>
    <w:rsid w:val="003B50BF"/>
    <w:rsid w:val="003B5591"/>
    <w:rsid w:val="003B78FB"/>
    <w:rsid w:val="003B7BBF"/>
    <w:rsid w:val="003B7F19"/>
    <w:rsid w:val="003C021A"/>
    <w:rsid w:val="003C0B84"/>
    <w:rsid w:val="003C0FA9"/>
    <w:rsid w:val="003C1F16"/>
    <w:rsid w:val="003C22E3"/>
    <w:rsid w:val="003C2D11"/>
    <w:rsid w:val="003C35FF"/>
    <w:rsid w:val="003C3E1F"/>
    <w:rsid w:val="003C3E55"/>
    <w:rsid w:val="003C451B"/>
    <w:rsid w:val="003C4DA4"/>
    <w:rsid w:val="003C4ECB"/>
    <w:rsid w:val="003C5748"/>
    <w:rsid w:val="003C57E6"/>
    <w:rsid w:val="003C5BF9"/>
    <w:rsid w:val="003C5CBB"/>
    <w:rsid w:val="003C6321"/>
    <w:rsid w:val="003C6987"/>
    <w:rsid w:val="003C70AF"/>
    <w:rsid w:val="003C73B6"/>
    <w:rsid w:val="003C75DE"/>
    <w:rsid w:val="003C771F"/>
    <w:rsid w:val="003C7C83"/>
    <w:rsid w:val="003C7F68"/>
    <w:rsid w:val="003C7FAC"/>
    <w:rsid w:val="003D08A5"/>
    <w:rsid w:val="003D132C"/>
    <w:rsid w:val="003D1819"/>
    <w:rsid w:val="003D257F"/>
    <w:rsid w:val="003D2AB1"/>
    <w:rsid w:val="003D2BD4"/>
    <w:rsid w:val="003D506B"/>
    <w:rsid w:val="003D53FE"/>
    <w:rsid w:val="003D5698"/>
    <w:rsid w:val="003D6420"/>
    <w:rsid w:val="003D7DA7"/>
    <w:rsid w:val="003E0D5C"/>
    <w:rsid w:val="003E10FB"/>
    <w:rsid w:val="003E117D"/>
    <w:rsid w:val="003E16B7"/>
    <w:rsid w:val="003E3D0F"/>
    <w:rsid w:val="003E4418"/>
    <w:rsid w:val="003E4894"/>
    <w:rsid w:val="003E4F34"/>
    <w:rsid w:val="003E6272"/>
    <w:rsid w:val="003E6575"/>
    <w:rsid w:val="003F025C"/>
    <w:rsid w:val="003F0BB9"/>
    <w:rsid w:val="003F1647"/>
    <w:rsid w:val="003F233D"/>
    <w:rsid w:val="003F28DC"/>
    <w:rsid w:val="003F2F20"/>
    <w:rsid w:val="003F6553"/>
    <w:rsid w:val="003F6C7A"/>
    <w:rsid w:val="003F788C"/>
    <w:rsid w:val="0040017E"/>
    <w:rsid w:val="0040073E"/>
    <w:rsid w:val="004011D2"/>
    <w:rsid w:val="00401EE9"/>
    <w:rsid w:val="00402B0D"/>
    <w:rsid w:val="00403A24"/>
    <w:rsid w:val="00403BF8"/>
    <w:rsid w:val="00403E7B"/>
    <w:rsid w:val="004043C8"/>
    <w:rsid w:val="004043DE"/>
    <w:rsid w:val="004054BE"/>
    <w:rsid w:val="00405564"/>
    <w:rsid w:val="0040561D"/>
    <w:rsid w:val="00405729"/>
    <w:rsid w:val="00406EAB"/>
    <w:rsid w:val="00406F59"/>
    <w:rsid w:val="004070A6"/>
    <w:rsid w:val="00407355"/>
    <w:rsid w:val="00411C3B"/>
    <w:rsid w:val="004122D3"/>
    <w:rsid w:val="00412F1E"/>
    <w:rsid w:val="0041339F"/>
    <w:rsid w:val="00413900"/>
    <w:rsid w:val="00414CFE"/>
    <w:rsid w:val="00415219"/>
    <w:rsid w:val="00415C01"/>
    <w:rsid w:val="00415CA2"/>
    <w:rsid w:val="0041737D"/>
    <w:rsid w:val="00420B94"/>
    <w:rsid w:val="0042147B"/>
    <w:rsid w:val="00422402"/>
    <w:rsid w:val="004227EC"/>
    <w:rsid w:val="00422DF4"/>
    <w:rsid w:val="004234E1"/>
    <w:rsid w:val="00423A00"/>
    <w:rsid w:val="00425D0A"/>
    <w:rsid w:val="00426003"/>
    <w:rsid w:val="00426404"/>
    <w:rsid w:val="0042643C"/>
    <w:rsid w:val="0042669F"/>
    <w:rsid w:val="0042684E"/>
    <w:rsid w:val="004300A1"/>
    <w:rsid w:val="00430CAB"/>
    <w:rsid w:val="00430D80"/>
    <w:rsid w:val="0043100F"/>
    <w:rsid w:val="00432001"/>
    <w:rsid w:val="00432237"/>
    <w:rsid w:val="0043235B"/>
    <w:rsid w:val="004327BE"/>
    <w:rsid w:val="00434014"/>
    <w:rsid w:val="00434646"/>
    <w:rsid w:val="00434B02"/>
    <w:rsid w:val="00436270"/>
    <w:rsid w:val="004370C5"/>
    <w:rsid w:val="00437BE2"/>
    <w:rsid w:val="00440032"/>
    <w:rsid w:val="00440178"/>
    <w:rsid w:val="00440283"/>
    <w:rsid w:val="004404F2"/>
    <w:rsid w:val="00440592"/>
    <w:rsid w:val="00440971"/>
    <w:rsid w:val="00441F63"/>
    <w:rsid w:val="00442E76"/>
    <w:rsid w:val="00443E99"/>
    <w:rsid w:val="00444410"/>
    <w:rsid w:val="004457F3"/>
    <w:rsid w:val="00447181"/>
    <w:rsid w:val="00447C98"/>
    <w:rsid w:val="00450077"/>
    <w:rsid w:val="0045030A"/>
    <w:rsid w:val="00450547"/>
    <w:rsid w:val="0045057A"/>
    <w:rsid w:val="00452647"/>
    <w:rsid w:val="004526FD"/>
    <w:rsid w:val="00452EEA"/>
    <w:rsid w:val="00452F5C"/>
    <w:rsid w:val="00454CE2"/>
    <w:rsid w:val="00454E8F"/>
    <w:rsid w:val="00455309"/>
    <w:rsid w:val="004553F4"/>
    <w:rsid w:val="00455BE9"/>
    <w:rsid w:val="00455DAA"/>
    <w:rsid w:val="004565DA"/>
    <w:rsid w:val="00457387"/>
    <w:rsid w:val="004577CC"/>
    <w:rsid w:val="00460312"/>
    <w:rsid w:val="00460554"/>
    <w:rsid w:val="00460F46"/>
    <w:rsid w:val="0046110D"/>
    <w:rsid w:val="00461EF8"/>
    <w:rsid w:val="0046203B"/>
    <w:rsid w:val="0046260F"/>
    <w:rsid w:val="0046282C"/>
    <w:rsid w:val="004636E0"/>
    <w:rsid w:val="004638F2"/>
    <w:rsid w:val="00463A28"/>
    <w:rsid w:val="00463E9E"/>
    <w:rsid w:val="004642F1"/>
    <w:rsid w:val="00464E22"/>
    <w:rsid w:val="004655A1"/>
    <w:rsid w:val="00465B66"/>
    <w:rsid w:val="0046685F"/>
    <w:rsid w:val="004669A7"/>
    <w:rsid w:val="0047056B"/>
    <w:rsid w:val="0047103D"/>
    <w:rsid w:val="00471058"/>
    <w:rsid w:val="00471298"/>
    <w:rsid w:val="00471330"/>
    <w:rsid w:val="004716AF"/>
    <w:rsid w:val="00471CCF"/>
    <w:rsid w:val="00471D96"/>
    <w:rsid w:val="00471DAC"/>
    <w:rsid w:val="00472026"/>
    <w:rsid w:val="0047205D"/>
    <w:rsid w:val="004724E7"/>
    <w:rsid w:val="00472866"/>
    <w:rsid w:val="0047301C"/>
    <w:rsid w:val="004739E4"/>
    <w:rsid w:val="00474E64"/>
    <w:rsid w:val="00475BAE"/>
    <w:rsid w:val="0047624D"/>
    <w:rsid w:val="00476D3D"/>
    <w:rsid w:val="00477448"/>
    <w:rsid w:val="00482CFA"/>
    <w:rsid w:val="00483AE3"/>
    <w:rsid w:val="00483F28"/>
    <w:rsid w:val="0048480B"/>
    <w:rsid w:val="0048617B"/>
    <w:rsid w:val="0048627C"/>
    <w:rsid w:val="004870D4"/>
    <w:rsid w:val="00487BC6"/>
    <w:rsid w:val="004905C4"/>
    <w:rsid w:val="0049107C"/>
    <w:rsid w:val="0049125D"/>
    <w:rsid w:val="00491CB1"/>
    <w:rsid w:val="004922E4"/>
    <w:rsid w:val="0049281C"/>
    <w:rsid w:val="0049293C"/>
    <w:rsid w:val="0049413D"/>
    <w:rsid w:val="0049416B"/>
    <w:rsid w:val="00494849"/>
    <w:rsid w:val="00495A12"/>
    <w:rsid w:val="00495C61"/>
    <w:rsid w:val="0049667E"/>
    <w:rsid w:val="004967AD"/>
    <w:rsid w:val="00496A85"/>
    <w:rsid w:val="00496A9D"/>
    <w:rsid w:val="00497A65"/>
    <w:rsid w:val="00497CFB"/>
    <w:rsid w:val="00497E69"/>
    <w:rsid w:val="004A056D"/>
    <w:rsid w:val="004A0572"/>
    <w:rsid w:val="004A15EB"/>
    <w:rsid w:val="004A336E"/>
    <w:rsid w:val="004A3AAE"/>
    <w:rsid w:val="004A3EF5"/>
    <w:rsid w:val="004A4534"/>
    <w:rsid w:val="004A48D0"/>
    <w:rsid w:val="004A5185"/>
    <w:rsid w:val="004A6602"/>
    <w:rsid w:val="004A72B4"/>
    <w:rsid w:val="004A79FD"/>
    <w:rsid w:val="004A7AEF"/>
    <w:rsid w:val="004B110B"/>
    <w:rsid w:val="004B14C2"/>
    <w:rsid w:val="004B1B8F"/>
    <w:rsid w:val="004B2268"/>
    <w:rsid w:val="004B2F23"/>
    <w:rsid w:val="004B2FCD"/>
    <w:rsid w:val="004B34F3"/>
    <w:rsid w:val="004B586F"/>
    <w:rsid w:val="004B5B4F"/>
    <w:rsid w:val="004B64AA"/>
    <w:rsid w:val="004B75A3"/>
    <w:rsid w:val="004C0304"/>
    <w:rsid w:val="004C0785"/>
    <w:rsid w:val="004C0C59"/>
    <w:rsid w:val="004C1368"/>
    <w:rsid w:val="004C1FA9"/>
    <w:rsid w:val="004C22BD"/>
    <w:rsid w:val="004C356C"/>
    <w:rsid w:val="004C39F5"/>
    <w:rsid w:val="004C42B3"/>
    <w:rsid w:val="004C490C"/>
    <w:rsid w:val="004C4A0A"/>
    <w:rsid w:val="004C65F1"/>
    <w:rsid w:val="004C6CEA"/>
    <w:rsid w:val="004C6F89"/>
    <w:rsid w:val="004D0A7E"/>
    <w:rsid w:val="004D0D30"/>
    <w:rsid w:val="004D0EDE"/>
    <w:rsid w:val="004D10C6"/>
    <w:rsid w:val="004D172C"/>
    <w:rsid w:val="004D1DD2"/>
    <w:rsid w:val="004D2FE1"/>
    <w:rsid w:val="004D3193"/>
    <w:rsid w:val="004D3338"/>
    <w:rsid w:val="004D3391"/>
    <w:rsid w:val="004D3465"/>
    <w:rsid w:val="004D37DB"/>
    <w:rsid w:val="004D4661"/>
    <w:rsid w:val="004D6F8D"/>
    <w:rsid w:val="004D714F"/>
    <w:rsid w:val="004E0280"/>
    <w:rsid w:val="004E02BD"/>
    <w:rsid w:val="004E07CF"/>
    <w:rsid w:val="004E15A0"/>
    <w:rsid w:val="004E1981"/>
    <w:rsid w:val="004E2E3C"/>
    <w:rsid w:val="004E37A5"/>
    <w:rsid w:val="004E3CF7"/>
    <w:rsid w:val="004E74F6"/>
    <w:rsid w:val="004F0B1B"/>
    <w:rsid w:val="004F0CEA"/>
    <w:rsid w:val="004F0E92"/>
    <w:rsid w:val="004F0F32"/>
    <w:rsid w:val="004F1764"/>
    <w:rsid w:val="004F19AE"/>
    <w:rsid w:val="004F1A95"/>
    <w:rsid w:val="004F22DB"/>
    <w:rsid w:val="004F2580"/>
    <w:rsid w:val="004F291C"/>
    <w:rsid w:val="004F3726"/>
    <w:rsid w:val="004F3F76"/>
    <w:rsid w:val="004F4F61"/>
    <w:rsid w:val="004F5E54"/>
    <w:rsid w:val="004F64FB"/>
    <w:rsid w:val="004F6838"/>
    <w:rsid w:val="004F7BF8"/>
    <w:rsid w:val="004F7CBB"/>
    <w:rsid w:val="00500235"/>
    <w:rsid w:val="005015D4"/>
    <w:rsid w:val="005025E7"/>
    <w:rsid w:val="005039A6"/>
    <w:rsid w:val="00503BDD"/>
    <w:rsid w:val="00503CF2"/>
    <w:rsid w:val="00503F6B"/>
    <w:rsid w:val="005042EA"/>
    <w:rsid w:val="005045E6"/>
    <w:rsid w:val="00504AC5"/>
    <w:rsid w:val="00504DA9"/>
    <w:rsid w:val="0050507F"/>
    <w:rsid w:val="0050516C"/>
    <w:rsid w:val="0050559B"/>
    <w:rsid w:val="005059A0"/>
    <w:rsid w:val="0050614E"/>
    <w:rsid w:val="005062F0"/>
    <w:rsid w:val="0050649B"/>
    <w:rsid w:val="00506A7A"/>
    <w:rsid w:val="0050726E"/>
    <w:rsid w:val="0050778F"/>
    <w:rsid w:val="00510297"/>
    <w:rsid w:val="0051145B"/>
    <w:rsid w:val="005119B2"/>
    <w:rsid w:val="00512F90"/>
    <w:rsid w:val="005130F9"/>
    <w:rsid w:val="005132DB"/>
    <w:rsid w:val="005142D3"/>
    <w:rsid w:val="0051465F"/>
    <w:rsid w:val="005149FA"/>
    <w:rsid w:val="00515ACE"/>
    <w:rsid w:val="00515B46"/>
    <w:rsid w:val="00515DE9"/>
    <w:rsid w:val="005167EA"/>
    <w:rsid w:val="00517C66"/>
    <w:rsid w:val="00520095"/>
    <w:rsid w:val="0052058A"/>
    <w:rsid w:val="00520781"/>
    <w:rsid w:val="00520883"/>
    <w:rsid w:val="00520ADB"/>
    <w:rsid w:val="00521656"/>
    <w:rsid w:val="00521E30"/>
    <w:rsid w:val="0052222E"/>
    <w:rsid w:val="00522755"/>
    <w:rsid w:val="005229D6"/>
    <w:rsid w:val="00522C96"/>
    <w:rsid w:val="00524031"/>
    <w:rsid w:val="005241F2"/>
    <w:rsid w:val="00524565"/>
    <w:rsid w:val="005245AB"/>
    <w:rsid w:val="0052552A"/>
    <w:rsid w:val="005257CA"/>
    <w:rsid w:val="00530B34"/>
    <w:rsid w:val="005313EB"/>
    <w:rsid w:val="00531B81"/>
    <w:rsid w:val="005328D5"/>
    <w:rsid w:val="00533030"/>
    <w:rsid w:val="0053378D"/>
    <w:rsid w:val="00533B34"/>
    <w:rsid w:val="00533C5D"/>
    <w:rsid w:val="005345DB"/>
    <w:rsid w:val="00534E24"/>
    <w:rsid w:val="0053524A"/>
    <w:rsid w:val="00535C4E"/>
    <w:rsid w:val="00536A0D"/>
    <w:rsid w:val="00536D29"/>
    <w:rsid w:val="005375CA"/>
    <w:rsid w:val="00537CFA"/>
    <w:rsid w:val="00537FA1"/>
    <w:rsid w:val="00540B82"/>
    <w:rsid w:val="00541BCF"/>
    <w:rsid w:val="00542225"/>
    <w:rsid w:val="005424A4"/>
    <w:rsid w:val="005425CB"/>
    <w:rsid w:val="005435C4"/>
    <w:rsid w:val="0054554E"/>
    <w:rsid w:val="00545770"/>
    <w:rsid w:val="00545B4D"/>
    <w:rsid w:val="005463C2"/>
    <w:rsid w:val="00546821"/>
    <w:rsid w:val="00546AB6"/>
    <w:rsid w:val="0055167B"/>
    <w:rsid w:val="00551FBF"/>
    <w:rsid w:val="00552578"/>
    <w:rsid w:val="00553562"/>
    <w:rsid w:val="00554163"/>
    <w:rsid w:val="00554768"/>
    <w:rsid w:val="00554AC0"/>
    <w:rsid w:val="00555BAC"/>
    <w:rsid w:val="00555CF8"/>
    <w:rsid w:val="00555E2B"/>
    <w:rsid w:val="00560427"/>
    <w:rsid w:val="0056060D"/>
    <w:rsid w:val="00560F4F"/>
    <w:rsid w:val="00562648"/>
    <w:rsid w:val="00563561"/>
    <w:rsid w:val="00563910"/>
    <w:rsid w:val="00564ADC"/>
    <w:rsid w:val="00565882"/>
    <w:rsid w:val="00566603"/>
    <w:rsid w:val="0056721E"/>
    <w:rsid w:val="00567A79"/>
    <w:rsid w:val="00567B6E"/>
    <w:rsid w:val="00567D67"/>
    <w:rsid w:val="00571A6E"/>
    <w:rsid w:val="0057207A"/>
    <w:rsid w:val="0057219C"/>
    <w:rsid w:val="00572A9F"/>
    <w:rsid w:val="005730BF"/>
    <w:rsid w:val="005733AE"/>
    <w:rsid w:val="005734B0"/>
    <w:rsid w:val="005736C8"/>
    <w:rsid w:val="005736D6"/>
    <w:rsid w:val="005749B8"/>
    <w:rsid w:val="0057501C"/>
    <w:rsid w:val="0057532D"/>
    <w:rsid w:val="0057625B"/>
    <w:rsid w:val="00580395"/>
    <w:rsid w:val="00580429"/>
    <w:rsid w:val="0058051B"/>
    <w:rsid w:val="00582522"/>
    <w:rsid w:val="00582DB3"/>
    <w:rsid w:val="00583004"/>
    <w:rsid w:val="0058306D"/>
    <w:rsid w:val="00583850"/>
    <w:rsid w:val="00585597"/>
    <w:rsid w:val="0058560B"/>
    <w:rsid w:val="00585DC9"/>
    <w:rsid w:val="00585DD9"/>
    <w:rsid w:val="00586614"/>
    <w:rsid w:val="0058674E"/>
    <w:rsid w:val="00586EE0"/>
    <w:rsid w:val="005878C3"/>
    <w:rsid w:val="005905E7"/>
    <w:rsid w:val="00590D3F"/>
    <w:rsid w:val="00590FFD"/>
    <w:rsid w:val="00591043"/>
    <w:rsid w:val="00591933"/>
    <w:rsid w:val="00591F07"/>
    <w:rsid w:val="00592E73"/>
    <w:rsid w:val="00593E12"/>
    <w:rsid w:val="00595A3A"/>
    <w:rsid w:val="00595B84"/>
    <w:rsid w:val="00595CB9"/>
    <w:rsid w:val="005962AB"/>
    <w:rsid w:val="00596F61"/>
    <w:rsid w:val="005978F4"/>
    <w:rsid w:val="00597A08"/>
    <w:rsid w:val="00597C95"/>
    <w:rsid w:val="005A0908"/>
    <w:rsid w:val="005A15A3"/>
    <w:rsid w:val="005A17C4"/>
    <w:rsid w:val="005A1EE1"/>
    <w:rsid w:val="005A23AA"/>
    <w:rsid w:val="005A26E1"/>
    <w:rsid w:val="005A3D27"/>
    <w:rsid w:val="005A4E14"/>
    <w:rsid w:val="005A5B38"/>
    <w:rsid w:val="005A66FA"/>
    <w:rsid w:val="005A6EF4"/>
    <w:rsid w:val="005A70C8"/>
    <w:rsid w:val="005A71B8"/>
    <w:rsid w:val="005A78BC"/>
    <w:rsid w:val="005A79A6"/>
    <w:rsid w:val="005A7C51"/>
    <w:rsid w:val="005B16C8"/>
    <w:rsid w:val="005B1DBF"/>
    <w:rsid w:val="005B23D2"/>
    <w:rsid w:val="005B378C"/>
    <w:rsid w:val="005B3885"/>
    <w:rsid w:val="005B3B96"/>
    <w:rsid w:val="005B44C6"/>
    <w:rsid w:val="005B45D8"/>
    <w:rsid w:val="005B510A"/>
    <w:rsid w:val="005B53F5"/>
    <w:rsid w:val="005B5C6A"/>
    <w:rsid w:val="005B5D7E"/>
    <w:rsid w:val="005B5D90"/>
    <w:rsid w:val="005B682C"/>
    <w:rsid w:val="005B68E8"/>
    <w:rsid w:val="005B6B50"/>
    <w:rsid w:val="005B6CC7"/>
    <w:rsid w:val="005B70E5"/>
    <w:rsid w:val="005C0318"/>
    <w:rsid w:val="005C0324"/>
    <w:rsid w:val="005C11F2"/>
    <w:rsid w:val="005C38B5"/>
    <w:rsid w:val="005C491F"/>
    <w:rsid w:val="005C4B37"/>
    <w:rsid w:val="005C4B92"/>
    <w:rsid w:val="005C53D2"/>
    <w:rsid w:val="005C5588"/>
    <w:rsid w:val="005C6469"/>
    <w:rsid w:val="005C67A6"/>
    <w:rsid w:val="005C735A"/>
    <w:rsid w:val="005D0291"/>
    <w:rsid w:val="005D02AE"/>
    <w:rsid w:val="005D15F0"/>
    <w:rsid w:val="005D197A"/>
    <w:rsid w:val="005D1A76"/>
    <w:rsid w:val="005D2118"/>
    <w:rsid w:val="005D2372"/>
    <w:rsid w:val="005D3837"/>
    <w:rsid w:val="005D3A71"/>
    <w:rsid w:val="005D3DB5"/>
    <w:rsid w:val="005D42D1"/>
    <w:rsid w:val="005D57B3"/>
    <w:rsid w:val="005D699B"/>
    <w:rsid w:val="005D7078"/>
    <w:rsid w:val="005E045B"/>
    <w:rsid w:val="005E0549"/>
    <w:rsid w:val="005E18AF"/>
    <w:rsid w:val="005E2A37"/>
    <w:rsid w:val="005E2E02"/>
    <w:rsid w:val="005E2EED"/>
    <w:rsid w:val="005E3FB2"/>
    <w:rsid w:val="005E5056"/>
    <w:rsid w:val="005E692F"/>
    <w:rsid w:val="005E7235"/>
    <w:rsid w:val="005E7312"/>
    <w:rsid w:val="005E75C2"/>
    <w:rsid w:val="005E772B"/>
    <w:rsid w:val="005E7D67"/>
    <w:rsid w:val="005F0E93"/>
    <w:rsid w:val="005F1543"/>
    <w:rsid w:val="005F1A38"/>
    <w:rsid w:val="005F3EA7"/>
    <w:rsid w:val="005F48AF"/>
    <w:rsid w:val="005F5266"/>
    <w:rsid w:val="005F5ECE"/>
    <w:rsid w:val="005F6696"/>
    <w:rsid w:val="005F6B58"/>
    <w:rsid w:val="005F7B4C"/>
    <w:rsid w:val="006003F1"/>
    <w:rsid w:val="00600991"/>
    <w:rsid w:val="00600D66"/>
    <w:rsid w:val="006010AD"/>
    <w:rsid w:val="00601E42"/>
    <w:rsid w:val="006027E4"/>
    <w:rsid w:val="00602D26"/>
    <w:rsid w:val="006033CD"/>
    <w:rsid w:val="0060359D"/>
    <w:rsid w:val="006035B3"/>
    <w:rsid w:val="00603FAA"/>
    <w:rsid w:val="00604243"/>
    <w:rsid w:val="0060490F"/>
    <w:rsid w:val="00606D1D"/>
    <w:rsid w:val="006075EE"/>
    <w:rsid w:val="00607812"/>
    <w:rsid w:val="00607DC7"/>
    <w:rsid w:val="00607F17"/>
    <w:rsid w:val="0061003F"/>
    <w:rsid w:val="0061012A"/>
    <w:rsid w:val="006114D3"/>
    <w:rsid w:val="00611950"/>
    <w:rsid w:val="00612387"/>
    <w:rsid w:val="00612759"/>
    <w:rsid w:val="00612859"/>
    <w:rsid w:val="006132E1"/>
    <w:rsid w:val="006143AD"/>
    <w:rsid w:val="00615294"/>
    <w:rsid w:val="0061575E"/>
    <w:rsid w:val="006157F0"/>
    <w:rsid w:val="00615B97"/>
    <w:rsid w:val="0061610C"/>
    <w:rsid w:val="006166BD"/>
    <w:rsid w:val="00617209"/>
    <w:rsid w:val="00617729"/>
    <w:rsid w:val="006178A5"/>
    <w:rsid w:val="00622662"/>
    <w:rsid w:val="006236AB"/>
    <w:rsid w:val="00624FE8"/>
    <w:rsid w:val="006257A9"/>
    <w:rsid w:val="00625F00"/>
    <w:rsid w:val="00630130"/>
    <w:rsid w:val="00631043"/>
    <w:rsid w:val="00631048"/>
    <w:rsid w:val="006323F2"/>
    <w:rsid w:val="00632954"/>
    <w:rsid w:val="00633BC7"/>
    <w:rsid w:val="0063489A"/>
    <w:rsid w:val="00634A7E"/>
    <w:rsid w:val="00634AA9"/>
    <w:rsid w:val="0063562D"/>
    <w:rsid w:val="006356C3"/>
    <w:rsid w:val="0063630D"/>
    <w:rsid w:val="00637064"/>
    <w:rsid w:val="0064397F"/>
    <w:rsid w:val="00643A97"/>
    <w:rsid w:val="00643AF3"/>
    <w:rsid w:val="006446EA"/>
    <w:rsid w:val="00646221"/>
    <w:rsid w:val="006467BA"/>
    <w:rsid w:val="00646B08"/>
    <w:rsid w:val="00646C0A"/>
    <w:rsid w:val="00647518"/>
    <w:rsid w:val="0065075A"/>
    <w:rsid w:val="006510D9"/>
    <w:rsid w:val="006516B6"/>
    <w:rsid w:val="00651954"/>
    <w:rsid w:val="00652BF2"/>
    <w:rsid w:val="00653051"/>
    <w:rsid w:val="00653D63"/>
    <w:rsid w:val="00653FEC"/>
    <w:rsid w:val="00655693"/>
    <w:rsid w:val="006556B3"/>
    <w:rsid w:val="006557F6"/>
    <w:rsid w:val="006558EA"/>
    <w:rsid w:val="00655D42"/>
    <w:rsid w:val="00655F7D"/>
    <w:rsid w:val="006560AB"/>
    <w:rsid w:val="0065621A"/>
    <w:rsid w:val="006573C0"/>
    <w:rsid w:val="006573D2"/>
    <w:rsid w:val="0065761A"/>
    <w:rsid w:val="0065798F"/>
    <w:rsid w:val="00660027"/>
    <w:rsid w:val="00660BE0"/>
    <w:rsid w:val="00660D62"/>
    <w:rsid w:val="006613B8"/>
    <w:rsid w:val="0066205A"/>
    <w:rsid w:val="0066273B"/>
    <w:rsid w:val="006628D3"/>
    <w:rsid w:val="00662C69"/>
    <w:rsid w:val="00664571"/>
    <w:rsid w:val="00664E43"/>
    <w:rsid w:val="0066512D"/>
    <w:rsid w:val="00670BB5"/>
    <w:rsid w:val="00671A79"/>
    <w:rsid w:val="006735E7"/>
    <w:rsid w:val="0067378B"/>
    <w:rsid w:val="006744B7"/>
    <w:rsid w:val="006755E0"/>
    <w:rsid w:val="00675624"/>
    <w:rsid w:val="00675EC3"/>
    <w:rsid w:val="00676517"/>
    <w:rsid w:val="006802B1"/>
    <w:rsid w:val="00680AC8"/>
    <w:rsid w:val="006818BC"/>
    <w:rsid w:val="00682C68"/>
    <w:rsid w:val="00683D74"/>
    <w:rsid w:val="006844E4"/>
    <w:rsid w:val="00684F70"/>
    <w:rsid w:val="00686959"/>
    <w:rsid w:val="00686C0C"/>
    <w:rsid w:val="00686CF4"/>
    <w:rsid w:val="006902E5"/>
    <w:rsid w:val="00690994"/>
    <w:rsid w:val="00690AE8"/>
    <w:rsid w:val="00691C74"/>
    <w:rsid w:val="0069262A"/>
    <w:rsid w:val="006931E2"/>
    <w:rsid w:val="006947BC"/>
    <w:rsid w:val="0069591C"/>
    <w:rsid w:val="006961AA"/>
    <w:rsid w:val="00696276"/>
    <w:rsid w:val="006975DB"/>
    <w:rsid w:val="00697E79"/>
    <w:rsid w:val="006A0299"/>
    <w:rsid w:val="006A0A68"/>
    <w:rsid w:val="006A0BE0"/>
    <w:rsid w:val="006A1546"/>
    <w:rsid w:val="006A1CC0"/>
    <w:rsid w:val="006A29DD"/>
    <w:rsid w:val="006A3830"/>
    <w:rsid w:val="006A3DA3"/>
    <w:rsid w:val="006A457C"/>
    <w:rsid w:val="006A54D7"/>
    <w:rsid w:val="006A5F97"/>
    <w:rsid w:val="006A62B1"/>
    <w:rsid w:val="006A7D90"/>
    <w:rsid w:val="006B0357"/>
    <w:rsid w:val="006B08A5"/>
    <w:rsid w:val="006B175D"/>
    <w:rsid w:val="006B1EC3"/>
    <w:rsid w:val="006B29C9"/>
    <w:rsid w:val="006B2B48"/>
    <w:rsid w:val="006B3B7F"/>
    <w:rsid w:val="006B3CBE"/>
    <w:rsid w:val="006B4620"/>
    <w:rsid w:val="006B4B0C"/>
    <w:rsid w:val="006B61A0"/>
    <w:rsid w:val="006B6599"/>
    <w:rsid w:val="006B65B0"/>
    <w:rsid w:val="006B7358"/>
    <w:rsid w:val="006B73CC"/>
    <w:rsid w:val="006B7548"/>
    <w:rsid w:val="006C068B"/>
    <w:rsid w:val="006C072D"/>
    <w:rsid w:val="006C0940"/>
    <w:rsid w:val="006C09EC"/>
    <w:rsid w:val="006C0CB3"/>
    <w:rsid w:val="006C0FEA"/>
    <w:rsid w:val="006C11FE"/>
    <w:rsid w:val="006C1794"/>
    <w:rsid w:val="006C1ABC"/>
    <w:rsid w:val="006C1C68"/>
    <w:rsid w:val="006C3360"/>
    <w:rsid w:val="006C3B51"/>
    <w:rsid w:val="006C3CC2"/>
    <w:rsid w:val="006C4272"/>
    <w:rsid w:val="006C4B68"/>
    <w:rsid w:val="006C5253"/>
    <w:rsid w:val="006C537F"/>
    <w:rsid w:val="006C541B"/>
    <w:rsid w:val="006C54E3"/>
    <w:rsid w:val="006C5686"/>
    <w:rsid w:val="006C6494"/>
    <w:rsid w:val="006C649A"/>
    <w:rsid w:val="006C7919"/>
    <w:rsid w:val="006C7FD3"/>
    <w:rsid w:val="006D0637"/>
    <w:rsid w:val="006D0F54"/>
    <w:rsid w:val="006D0FF3"/>
    <w:rsid w:val="006D11ED"/>
    <w:rsid w:val="006D12C1"/>
    <w:rsid w:val="006D1357"/>
    <w:rsid w:val="006D18E0"/>
    <w:rsid w:val="006D23C3"/>
    <w:rsid w:val="006D314D"/>
    <w:rsid w:val="006D3261"/>
    <w:rsid w:val="006D3659"/>
    <w:rsid w:val="006D3A87"/>
    <w:rsid w:val="006D49B8"/>
    <w:rsid w:val="006D4A8C"/>
    <w:rsid w:val="006D4DB7"/>
    <w:rsid w:val="006D5DE1"/>
    <w:rsid w:val="006D5E26"/>
    <w:rsid w:val="006D70D2"/>
    <w:rsid w:val="006E1288"/>
    <w:rsid w:val="006E1827"/>
    <w:rsid w:val="006E20CD"/>
    <w:rsid w:val="006E27F6"/>
    <w:rsid w:val="006E2FF1"/>
    <w:rsid w:val="006E3334"/>
    <w:rsid w:val="006E33D8"/>
    <w:rsid w:val="006E3A3D"/>
    <w:rsid w:val="006E6089"/>
    <w:rsid w:val="006E78E3"/>
    <w:rsid w:val="006F0341"/>
    <w:rsid w:val="006F13FF"/>
    <w:rsid w:val="006F1579"/>
    <w:rsid w:val="006F291A"/>
    <w:rsid w:val="006F29F8"/>
    <w:rsid w:val="006F3C84"/>
    <w:rsid w:val="006F4F36"/>
    <w:rsid w:val="006F57E7"/>
    <w:rsid w:val="006F5E46"/>
    <w:rsid w:val="006F629A"/>
    <w:rsid w:val="006F63CA"/>
    <w:rsid w:val="006F6846"/>
    <w:rsid w:val="00700286"/>
    <w:rsid w:val="00701327"/>
    <w:rsid w:val="0070233C"/>
    <w:rsid w:val="0070262C"/>
    <w:rsid w:val="00702793"/>
    <w:rsid w:val="00702A07"/>
    <w:rsid w:val="0070308E"/>
    <w:rsid w:val="0070388B"/>
    <w:rsid w:val="00704710"/>
    <w:rsid w:val="00704821"/>
    <w:rsid w:val="00704860"/>
    <w:rsid w:val="0070534E"/>
    <w:rsid w:val="00705AE1"/>
    <w:rsid w:val="00705D11"/>
    <w:rsid w:val="00706786"/>
    <w:rsid w:val="00707343"/>
    <w:rsid w:val="007075CE"/>
    <w:rsid w:val="007102C8"/>
    <w:rsid w:val="00710A83"/>
    <w:rsid w:val="0071122F"/>
    <w:rsid w:val="00711865"/>
    <w:rsid w:val="00711E92"/>
    <w:rsid w:val="00712324"/>
    <w:rsid w:val="0071263B"/>
    <w:rsid w:val="007127BD"/>
    <w:rsid w:val="007127E3"/>
    <w:rsid w:val="00713532"/>
    <w:rsid w:val="00714165"/>
    <w:rsid w:val="0071477F"/>
    <w:rsid w:val="00714E5E"/>
    <w:rsid w:val="00715538"/>
    <w:rsid w:val="007155BD"/>
    <w:rsid w:val="007157DF"/>
    <w:rsid w:val="00717383"/>
    <w:rsid w:val="00720942"/>
    <w:rsid w:val="00720CEC"/>
    <w:rsid w:val="00720DFC"/>
    <w:rsid w:val="00720F7D"/>
    <w:rsid w:val="00721300"/>
    <w:rsid w:val="00721EB0"/>
    <w:rsid w:val="007220F0"/>
    <w:rsid w:val="007223DE"/>
    <w:rsid w:val="00722935"/>
    <w:rsid w:val="00722A2C"/>
    <w:rsid w:val="00723A33"/>
    <w:rsid w:val="00723F83"/>
    <w:rsid w:val="00724304"/>
    <w:rsid w:val="00724ABC"/>
    <w:rsid w:val="00724D17"/>
    <w:rsid w:val="00725046"/>
    <w:rsid w:val="0072512E"/>
    <w:rsid w:val="007258B3"/>
    <w:rsid w:val="00725BF3"/>
    <w:rsid w:val="00726352"/>
    <w:rsid w:val="007263CE"/>
    <w:rsid w:val="00726E8E"/>
    <w:rsid w:val="00727BA5"/>
    <w:rsid w:val="0073310B"/>
    <w:rsid w:val="007339AC"/>
    <w:rsid w:val="00734A30"/>
    <w:rsid w:val="00734B88"/>
    <w:rsid w:val="00734DBB"/>
    <w:rsid w:val="00734DD2"/>
    <w:rsid w:val="00735203"/>
    <w:rsid w:val="00735AB3"/>
    <w:rsid w:val="00735BDC"/>
    <w:rsid w:val="00735C03"/>
    <w:rsid w:val="00735E83"/>
    <w:rsid w:val="007360EB"/>
    <w:rsid w:val="007365FF"/>
    <w:rsid w:val="007374BC"/>
    <w:rsid w:val="0073776A"/>
    <w:rsid w:val="00737C6A"/>
    <w:rsid w:val="00737FEE"/>
    <w:rsid w:val="0074059A"/>
    <w:rsid w:val="007418EA"/>
    <w:rsid w:val="00742482"/>
    <w:rsid w:val="00742E14"/>
    <w:rsid w:val="0074373A"/>
    <w:rsid w:val="00743A88"/>
    <w:rsid w:val="00743C7F"/>
    <w:rsid w:val="00744C15"/>
    <w:rsid w:val="007475C4"/>
    <w:rsid w:val="0075096E"/>
    <w:rsid w:val="0075120C"/>
    <w:rsid w:val="007515F2"/>
    <w:rsid w:val="007516CC"/>
    <w:rsid w:val="00751B78"/>
    <w:rsid w:val="0075264E"/>
    <w:rsid w:val="00752F6C"/>
    <w:rsid w:val="00753355"/>
    <w:rsid w:val="007537FD"/>
    <w:rsid w:val="007538DD"/>
    <w:rsid w:val="00753AFB"/>
    <w:rsid w:val="00753C92"/>
    <w:rsid w:val="00753E28"/>
    <w:rsid w:val="00754943"/>
    <w:rsid w:val="00754A5C"/>
    <w:rsid w:val="007557BF"/>
    <w:rsid w:val="007567A7"/>
    <w:rsid w:val="00756A6A"/>
    <w:rsid w:val="00756C21"/>
    <w:rsid w:val="00756DF3"/>
    <w:rsid w:val="00757850"/>
    <w:rsid w:val="00757FA5"/>
    <w:rsid w:val="00760E9B"/>
    <w:rsid w:val="00761440"/>
    <w:rsid w:val="00761995"/>
    <w:rsid w:val="007628CF"/>
    <w:rsid w:val="00762A95"/>
    <w:rsid w:val="00762B98"/>
    <w:rsid w:val="007633FD"/>
    <w:rsid w:val="00763891"/>
    <w:rsid w:val="00763B52"/>
    <w:rsid w:val="00763F44"/>
    <w:rsid w:val="0076497F"/>
    <w:rsid w:val="007652DC"/>
    <w:rsid w:val="007662AA"/>
    <w:rsid w:val="00766C2C"/>
    <w:rsid w:val="00766F82"/>
    <w:rsid w:val="00766FC6"/>
    <w:rsid w:val="00767395"/>
    <w:rsid w:val="007706E1"/>
    <w:rsid w:val="0077077F"/>
    <w:rsid w:val="007708E8"/>
    <w:rsid w:val="00770D23"/>
    <w:rsid w:val="00770DB2"/>
    <w:rsid w:val="007713AC"/>
    <w:rsid w:val="00771B21"/>
    <w:rsid w:val="007728CA"/>
    <w:rsid w:val="007737CC"/>
    <w:rsid w:val="00773910"/>
    <w:rsid w:val="00773E2C"/>
    <w:rsid w:val="00773F0B"/>
    <w:rsid w:val="007741EE"/>
    <w:rsid w:val="007750FF"/>
    <w:rsid w:val="0077553A"/>
    <w:rsid w:val="007757C7"/>
    <w:rsid w:val="00777564"/>
    <w:rsid w:val="007777AA"/>
    <w:rsid w:val="0078010E"/>
    <w:rsid w:val="00780A9D"/>
    <w:rsid w:val="00780EF1"/>
    <w:rsid w:val="007814AB"/>
    <w:rsid w:val="00781D58"/>
    <w:rsid w:val="007823BA"/>
    <w:rsid w:val="00783101"/>
    <w:rsid w:val="0078320D"/>
    <w:rsid w:val="007832CB"/>
    <w:rsid w:val="0078330B"/>
    <w:rsid w:val="00783692"/>
    <w:rsid w:val="00783883"/>
    <w:rsid w:val="00783ABD"/>
    <w:rsid w:val="00784254"/>
    <w:rsid w:val="0078431B"/>
    <w:rsid w:val="00784324"/>
    <w:rsid w:val="00784464"/>
    <w:rsid w:val="00784D3A"/>
    <w:rsid w:val="00785FB8"/>
    <w:rsid w:val="007865D8"/>
    <w:rsid w:val="007867EA"/>
    <w:rsid w:val="00786A4E"/>
    <w:rsid w:val="00787449"/>
    <w:rsid w:val="00787611"/>
    <w:rsid w:val="00787BF0"/>
    <w:rsid w:val="00787F03"/>
    <w:rsid w:val="0079016F"/>
    <w:rsid w:val="00790FC7"/>
    <w:rsid w:val="00791397"/>
    <w:rsid w:val="00791938"/>
    <w:rsid w:val="0079207D"/>
    <w:rsid w:val="00792F71"/>
    <w:rsid w:val="00793211"/>
    <w:rsid w:val="007935A0"/>
    <w:rsid w:val="007935F2"/>
    <w:rsid w:val="00794A65"/>
    <w:rsid w:val="00795B2E"/>
    <w:rsid w:val="00795EB5"/>
    <w:rsid w:val="0079681A"/>
    <w:rsid w:val="00796C57"/>
    <w:rsid w:val="007978D4"/>
    <w:rsid w:val="00797CE7"/>
    <w:rsid w:val="007A0228"/>
    <w:rsid w:val="007A03FD"/>
    <w:rsid w:val="007A0B99"/>
    <w:rsid w:val="007A0BA2"/>
    <w:rsid w:val="007A155A"/>
    <w:rsid w:val="007A1DBB"/>
    <w:rsid w:val="007A207A"/>
    <w:rsid w:val="007A25F2"/>
    <w:rsid w:val="007A2A50"/>
    <w:rsid w:val="007A2CB0"/>
    <w:rsid w:val="007A3575"/>
    <w:rsid w:val="007A369B"/>
    <w:rsid w:val="007A482C"/>
    <w:rsid w:val="007A6813"/>
    <w:rsid w:val="007A72AB"/>
    <w:rsid w:val="007A7BEA"/>
    <w:rsid w:val="007B0A25"/>
    <w:rsid w:val="007B0AB1"/>
    <w:rsid w:val="007B31A3"/>
    <w:rsid w:val="007B337B"/>
    <w:rsid w:val="007B443F"/>
    <w:rsid w:val="007B4F41"/>
    <w:rsid w:val="007B5515"/>
    <w:rsid w:val="007B605A"/>
    <w:rsid w:val="007B6E46"/>
    <w:rsid w:val="007B76C3"/>
    <w:rsid w:val="007B7B2F"/>
    <w:rsid w:val="007C18AA"/>
    <w:rsid w:val="007C19C7"/>
    <w:rsid w:val="007C2D6C"/>
    <w:rsid w:val="007C3AE6"/>
    <w:rsid w:val="007C3F2D"/>
    <w:rsid w:val="007C4E63"/>
    <w:rsid w:val="007C5311"/>
    <w:rsid w:val="007C64E1"/>
    <w:rsid w:val="007C6FFA"/>
    <w:rsid w:val="007C787A"/>
    <w:rsid w:val="007D082E"/>
    <w:rsid w:val="007D0865"/>
    <w:rsid w:val="007D0F0B"/>
    <w:rsid w:val="007D12D6"/>
    <w:rsid w:val="007D227C"/>
    <w:rsid w:val="007D2415"/>
    <w:rsid w:val="007D32EE"/>
    <w:rsid w:val="007D3423"/>
    <w:rsid w:val="007D4503"/>
    <w:rsid w:val="007D46EF"/>
    <w:rsid w:val="007D5061"/>
    <w:rsid w:val="007D5115"/>
    <w:rsid w:val="007D5A99"/>
    <w:rsid w:val="007D5EA7"/>
    <w:rsid w:val="007D6BC4"/>
    <w:rsid w:val="007D6CDE"/>
    <w:rsid w:val="007D6F90"/>
    <w:rsid w:val="007D75AD"/>
    <w:rsid w:val="007E180C"/>
    <w:rsid w:val="007E1ED4"/>
    <w:rsid w:val="007E22EA"/>
    <w:rsid w:val="007E2DF9"/>
    <w:rsid w:val="007E5120"/>
    <w:rsid w:val="007E5569"/>
    <w:rsid w:val="007E5CF1"/>
    <w:rsid w:val="007E6B0A"/>
    <w:rsid w:val="007E6BEC"/>
    <w:rsid w:val="007E6FEB"/>
    <w:rsid w:val="007E7524"/>
    <w:rsid w:val="007E7D8F"/>
    <w:rsid w:val="007E7DE8"/>
    <w:rsid w:val="007F037A"/>
    <w:rsid w:val="007F0F5D"/>
    <w:rsid w:val="007F1029"/>
    <w:rsid w:val="007F1D42"/>
    <w:rsid w:val="007F264B"/>
    <w:rsid w:val="007F278E"/>
    <w:rsid w:val="007F2C19"/>
    <w:rsid w:val="007F31E5"/>
    <w:rsid w:val="007F452F"/>
    <w:rsid w:val="007F4B7C"/>
    <w:rsid w:val="007F5109"/>
    <w:rsid w:val="007F5BA0"/>
    <w:rsid w:val="007F791E"/>
    <w:rsid w:val="00800A23"/>
    <w:rsid w:val="00800FF9"/>
    <w:rsid w:val="00801374"/>
    <w:rsid w:val="00802816"/>
    <w:rsid w:val="00802F2E"/>
    <w:rsid w:val="008040DA"/>
    <w:rsid w:val="00805271"/>
    <w:rsid w:val="008059FA"/>
    <w:rsid w:val="00805F78"/>
    <w:rsid w:val="008063B4"/>
    <w:rsid w:val="008077AC"/>
    <w:rsid w:val="008102E2"/>
    <w:rsid w:val="008106E1"/>
    <w:rsid w:val="00810A55"/>
    <w:rsid w:val="00811029"/>
    <w:rsid w:val="008135FF"/>
    <w:rsid w:val="0081438A"/>
    <w:rsid w:val="008155AE"/>
    <w:rsid w:val="00815CA4"/>
    <w:rsid w:val="00816D19"/>
    <w:rsid w:val="0081759C"/>
    <w:rsid w:val="00817665"/>
    <w:rsid w:val="00820867"/>
    <w:rsid w:val="008226D4"/>
    <w:rsid w:val="00823C7B"/>
    <w:rsid w:val="00823CEA"/>
    <w:rsid w:val="00823D9B"/>
    <w:rsid w:val="00824BA6"/>
    <w:rsid w:val="00825878"/>
    <w:rsid w:val="008258CD"/>
    <w:rsid w:val="00825F96"/>
    <w:rsid w:val="008268E3"/>
    <w:rsid w:val="0082741B"/>
    <w:rsid w:val="0082791E"/>
    <w:rsid w:val="0083008E"/>
    <w:rsid w:val="0083021A"/>
    <w:rsid w:val="0083084C"/>
    <w:rsid w:val="00830FB4"/>
    <w:rsid w:val="00832720"/>
    <w:rsid w:val="00832991"/>
    <w:rsid w:val="0083333F"/>
    <w:rsid w:val="008339D6"/>
    <w:rsid w:val="00833C92"/>
    <w:rsid w:val="008343D2"/>
    <w:rsid w:val="00835CCF"/>
    <w:rsid w:val="008367CB"/>
    <w:rsid w:val="00836D3B"/>
    <w:rsid w:val="00837208"/>
    <w:rsid w:val="00837F06"/>
    <w:rsid w:val="00842137"/>
    <w:rsid w:val="00842315"/>
    <w:rsid w:val="008423EC"/>
    <w:rsid w:val="0084252A"/>
    <w:rsid w:val="0084298C"/>
    <w:rsid w:val="0084349B"/>
    <w:rsid w:val="008438A5"/>
    <w:rsid w:val="00843D94"/>
    <w:rsid w:val="0084454E"/>
    <w:rsid w:val="00845E72"/>
    <w:rsid w:val="008463ED"/>
    <w:rsid w:val="00846CE0"/>
    <w:rsid w:val="00847FA3"/>
    <w:rsid w:val="008502A6"/>
    <w:rsid w:val="00850C24"/>
    <w:rsid w:val="00851F0F"/>
    <w:rsid w:val="00852227"/>
    <w:rsid w:val="0085265B"/>
    <w:rsid w:val="008529E2"/>
    <w:rsid w:val="0085317C"/>
    <w:rsid w:val="008539F7"/>
    <w:rsid w:val="00854390"/>
    <w:rsid w:val="00854FA1"/>
    <w:rsid w:val="00855528"/>
    <w:rsid w:val="00857A37"/>
    <w:rsid w:val="008602CF"/>
    <w:rsid w:val="008603B8"/>
    <w:rsid w:val="008611F9"/>
    <w:rsid w:val="00861F80"/>
    <w:rsid w:val="00862927"/>
    <w:rsid w:val="00862BD0"/>
    <w:rsid w:val="00862E3F"/>
    <w:rsid w:val="00863401"/>
    <w:rsid w:val="00864999"/>
    <w:rsid w:val="00865D57"/>
    <w:rsid w:val="00867DA8"/>
    <w:rsid w:val="008707C2"/>
    <w:rsid w:val="00870E65"/>
    <w:rsid w:val="00871793"/>
    <w:rsid w:val="00871DAC"/>
    <w:rsid w:val="00872EAC"/>
    <w:rsid w:val="00873B74"/>
    <w:rsid w:val="00874456"/>
    <w:rsid w:val="008746AC"/>
    <w:rsid w:val="00874A72"/>
    <w:rsid w:val="00874B95"/>
    <w:rsid w:val="00874F63"/>
    <w:rsid w:val="008754F1"/>
    <w:rsid w:val="00876453"/>
    <w:rsid w:val="00877051"/>
    <w:rsid w:val="00877156"/>
    <w:rsid w:val="008773B3"/>
    <w:rsid w:val="0088088C"/>
    <w:rsid w:val="00880B6D"/>
    <w:rsid w:val="00881558"/>
    <w:rsid w:val="00881876"/>
    <w:rsid w:val="00881DB8"/>
    <w:rsid w:val="0088240D"/>
    <w:rsid w:val="008826C0"/>
    <w:rsid w:val="00882B51"/>
    <w:rsid w:val="008831E7"/>
    <w:rsid w:val="00883A02"/>
    <w:rsid w:val="00883D42"/>
    <w:rsid w:val="00884460"/>
    <w:rsid w:val="00884CC7"/>
    <w:rsid w:val="008852F4"/>
    <w:rsid w:val="00885440"/>
    <w:rsid w:val="00885AEF"/>
    <w:rsid w:val="00886F68"/>
    <w:rsid w:val="008873C8"/>
    <w:rsid w:val="00887B04"/>
    <w:rsid w:val="00890508"/>
    <w:rsid w:val="008907CB"/>
    <w:rsid w:val="0089173C"/>
    <w:rsid w:val="008919FC"/>
    <w:rsid w:val="00891C9A"/>
    <w:rsid w:val="00892395"/>
    <w:rsid w:val="0089497E"/>
    <w:rsid w:val="008A0341"/>
    <w:rsid w:val="008A09EC"/>
    <w:rsid w:val="008A0DEE"/>
    <w:rsid w:val="008A0DFF"/>
    <w:rsid w:val="008A11B6"/>
    <w:rsid w:val="008A11F2"/>
    <w:rsid w:val="008A25E2"/>
    <w:rsid w:val="008A26A4"/>
    <w:rsid w:val="008A3B93"/>
    <w:rsid w:val="008A3CB2"/>
    <w:rsid w:val="008A4271"/>
    <w:rsid w:val="008A5B81"/>
    <w:rsid w:val="008A5FEA"/>
    <w:rsid w:val="008A60A0"/>
    <w:rsid w:val="008A6253"/>
    <w:rsid w:val="008A6356"/>
    <w:rsid w:val="008A79C6"/>
    <w:rsid w:val="008A7C03"/>
    <w:rsid w:val="008B2806"/>
    <w:rsid w:val="008B4274"/>
    <w:rsid w:val="008B4625"/>
    <w:rsid w:val="008B49D4"/>
    <w:rsid w:val="008B566A"/>
    <w:rsid w:val="008B5844"/>
    <w:rsid w:val="008B6A86"/>
    <w:rsid w:val="008B7B8E"/>
    <w:rsid w:val="008C1CF9"/>
    <w:rsid w:val="008C2998"/>
    <w:rsid w:val="008C34FA"/>
    <w:rsid w:val="008C5692"/>
    <w:rsid w:val="008C5903"/>
    <w:rsid w:val="008C7540"/>
    <w:rsid w:val="008D040C"/>
    <w:rsid w:val="008D14BD"/>
    <w:rsid w:val="008D2E07"/>
    <w:rsid w:val="008D497D"/>
    <w:rsid w:val="008D54CF"/>
    <w:rsid w:val="008D5A7A"/>
    <w:rsid w:val="008D61EE"/>
    <w:rsid w:val="008E025D"/>
    <w:rsid w:val="008E17FE"/>
    <w:rsid w:val="008E2471"/>
    <w:rsid w:val="008E2813"/>
    <w:rsid w:val="008E2AF3"/>
    <w:rsid w:val="008E2D8F"/>
    <w:rsid w:val="008E32B4"/>
    <w:rsid w:val="008E3305"/>
    <w:rsid w:val="008E3507"/>
    <w:rsid w:val="008E3DE0"/>
    <w:rsid w:val="008E44F4"/>
    <w:rsid w:val="008E4AC3"/>
    <w:rsid w:val="008E6C03"/>
    <w:rsid w:val="008E6DA1"/>
    <w:rsid w:val="008E7BD5"/>
    <w:rsid w:val="008E7DE1"/>
    <w:rsid w:val="008F0B29"/>
    <w:rsid w:val="008F10BE"/>
    <w:rsid w:val="008F138D"/>
    <w:rsid w:val="008F2C09"/>
    <w:rsid w:val="008F3900"/>
    <w:rsid w:val="008F4E2A"/>
    <w:rsid w:val="008F54D2"/>
    <w:rsid w:val="008F5A44"/>
    <w:rsid w:val="008F5BE7"/>
    <w:rsid w:val="008F5D89"/>
    <w:rsid w:val="008F6C17"/>
    <w:rsid w:val="008F7604"/>
    <w:rsid w:val="00900175"/>
    <w:rsid w:val="009015C5"/>
    <w:rsid w:val="00901825"/>
    <w:rsid w:val="009019C7"/>
    <w:rsid w:val="00901A0F"/>
    <w:rsid w:val="00903ACE"/>
    <w:rsid w:val="00903D60"/>
    <w:rsid w:val="00905C98"/>
    <w:rsid w:val="00905F0F"/>
    <w:rsid w:val="00906037"/>
    <w:rsid w:val="00907786"/>
    <w:rsid w:val="009100F6"/>
    <w:rsid w:val="009104A9"/>
    <w:rsid w:val="00910970"/>
    <w:rsid w:val="0091101B"/>
    <w:rsid w:val="00911647"/>
    <w:rsid w:val="00911FA2"/>
    <w:rsid w:val="009121E8"/>
    <w:rsid w:val="00912EAF"/>
    <w:rsid w:val="009131B0"/>
    <w:rsid w:val="0091421C"/>
    <w:rsid w:val="009146FE"/>
    <w:rsid w:val="0091535F"/>
    <w:rsid w:val="00921F2C"/>
    <w:rsid w:val="009224AE"/>
    <w:rsid w:val="00922B2E"/>
    <w:rsid w:val="00922D3E"/>
    <w:rsid w:val="00923B02"/>
    <w:rsid w:val="00924344"/>
    <w:rsid w:val="00924570"/>
    <w:rsid w:val="00924DFA"/>
    <w:rsid w:val="0092637E"/>
    <w:rsid w:val="00927254"/>
    <w:rsid w:val="009278D6"/>
    <w:rsid w:val="009279AF"/>
    <w:rsid w:val="0093150B"/>
    <w:rsid w:val="00931BB2"/>
    <w:rsid w:val="00931CD7"/>
    <w:rsid w:val="00932475"/>
    <w:rsid w:val="009328DA"/>
    <w:rsid w:val="00932FD7"/>
    <w:rsid w:val="00933366"/>
    <w:rsid w:val="009333B1"/>
    <w:rsid w:val="00934014"/>
    <w:rsid w:val="009346F6"/>
    <w:rsid w:val="009351F2"/>
    <w:rsid w:val="00936481"/>
    <w:rsid w:val="0094005D"/>
    <w:rsid w:val="009403F5"/>
    <w:rsid w:val="00940CF9"/>
    <w:rsid w:val="00940EAC"/>
    <w:rsid w:val="00940EEB"/>
    <w:rsid w:val="0094166F"/>
    <w:rsid w:val="009416B7"/>
    <w:rsid w:val="00941912"/>
    <w:rsid w:val="00941EC5"/>
    <w:rsid w:val="0094203A"/>
    <w:rsid w:val="00942079"/>
    <w:rsid w:val="0094250A"/>
    <w:rsid w:val="00942D9D"/>
    <w:rsid w:val="009438FF"/>
    <w:rsid w:val="00943AC6"/>
    <w:rsid w:val="009454FA"/>
    <w:rsid w:val="0094591E"/>
    <w:rsid w:val="00947A44"/>
    <w:rsid w:val="009503E0"/>
    <w:rsid w:val="00950C1D"/>
    <w:rsid w:val="00951FCB"/>
    <w:rsid w:val="00952924"/>
    <w:rsid w:val="00952A08"/>
    <w:rsid w:val="00953F7F"/>
    <w:rsid w:val="009540F6"/>
    <w:rsid w:val="00954D25"/>
    <w:rsid w:val="009550A7"/>
    <w:rsid w:val="00955E22"/>
    <w:rsid w:val="00956CD2"/>
    <w:rsid w:val="009575E7"/>
    <w:rsid w:val="00957D8A"/>
    <w:rsid w:val="00957F25"/>
    <w:rsid w:val="00960314"/>
    <w:rsid w:val="00960698"/>
    <w:rsid w:val="00960884"/>
    <w:rsid w:val="00960C37"/>
    <w:rsid w:val="009623CB"/>
    <w:rsid w:val="00963C5B"/>
    <w:rsid w:val="00963CA0"/>
    <w:rsid w:val="00964594"/>
    <w:rsid w:val="009664AE"/>
    <w:rsid w:val="009668E4"/>
    <w:rsid w:val="00967920"/>
    <w:rsid w:val="00967979"/>
    <w:rsid w:val="00970B29"/>
    <w:rsid w:val="00970F27"/>
    <w:rsid w:val="00972E57"/>
    <w:rsid w:val="0097339C"/>
    <w:rsid w:val="00973AE4"/>
    <w:rsid w:val="0097411C"/>
    <w:rsid w:val="009745DD"/>
    <w:rsid w:val="00974EBD"/>
    <w:rsid w:val="0097574C"/>
    <w:rsid w:val="00975A9C"/>
    <w:rsid w:val="00976225"/>
    <w:rsid w:val="009763D8"/>
    <w:rsid w:val="009764EF"/>
    <w:rsid w:val="009769FC"/>
    <w:rsid w:val="009777CE"/>
    <w:rsid w:val="0097785D"/>
    <w:rsid w:val="009806B7"/>
    <w:rsid w:val="0098082D"/>
    <w:rsid w:val="00980A89"/>
    <w:rsid w:val="00980C1F"/>
    <w:rsid w:val="0098146A"/>
    <w:rsid w:val="00981775"/>
    <w:rsid w:val="00981A16"/>
    <w:rsid w:val="0098327B"/>
    <w:rsid w:val="0098329E"/>
    <w:rsid w:val="009833FF"/>
    <w:rsid w:val="009845A7"/>
    <w:rsid w:val="0098605B"/>
    <w:rsid w:val="009860C6"/>
    <w:rsid w:val="00986144"/>
    <w:rsid w:val="009866BD"/>
    <w:rsid w:val="009903AA"/>
    <w:rsid w:val="00991302"/>
    <w:rsid w:val="00991615"/>
    <w:rsid w:val="00991D34"/>
    <w:rsid w:val="0099301D"/>
    <w:rsid w:val="00993418"/>
    <w:rsid w:val="009947F3"/>
    <w:rsid w:val="00995720"/>
    <w:rsid w:val="009957B3"/>
    <w:rsid w:val="009959FF"/>
    <w:rsid w:val="00995D74"/>
    <w:rsid w:val="009965DA"/>
    <w:rsid w:val="00996B3C"/>
    <w:rsid w:val="0099711F"/>
    <w:rsid w:val="00997DA9"/>
    <w:rsid w:val="00997E56"/>
    <w:rsid w:val="009A02BC"/>
    <w:rsid w:val="009A06FE"/>
    <w:rsid w:val="009A08D2"/>
    <w:rsid w:val="009A1ECE"/>
    <w:rsid w:val="009A2318"/>
    <w:rsid w:val="009A26D5"/>
    <w:rsid w:val="009A42CE"/>
    <w:rsid w:val="009A49E2"/>
    <w:rsid w:val="009A5598"/>
    <w:rsid w:val="009A5A98"/>
    <w:rsid w:val="009A644A"/>
    <w:rsid w:val="009A6920"/>
    <w:rsid w:val="009A69B0"/>
    <w:rsid w:val="009A6C90"/>
    <w:rsid w:val="009A6E2C"/>
    <w:rsid w:val="009B008F"/>
    <w:rsid w:val="009B02AC"/>
    <w:rsid w:val="009B0C73"/>
    <w:rsid w:val="009B2E4B"/>
    <w:rsid w:val="009B3B93"/>
    <w:rsid w:val="009B3DC1"/>
    <w:rsid w:val="009B474D"/>
    <w:rsid w:val="009B4C0F"/>
    <w:rsid w:val="009B4DD4"/>
    <w:rsid w:val="009B4E88"/>
    <w:rsid w:val="009B504E"/>
    <w:rsid w:val="009B723E"/>
    <w:rsid w:val="009C0337"/>
    <w:rsid w:val="009C0582"/>
    <w:rsid w:val="009C0D58"/>
    <w:rsid w:val="009C0E31"/>
    <w:rsid w:val="009C110B"/>
    <w:rsid w:val="009C18A1"/>
    <w:rsid w:val="009C19B6"/>
    <w:rsid w:val="009C1A2D"/>
    <w:rsid w:val="009C2677"/>
    <w:rsid w:val="009C5758"/>
    <w:rsid w:val="009C6161"/>
    <w:rsid w:val="009C618A"/>
    <w:rsid w:val="009C72A8"/>
    <w:rsid w:val="009C78CC"/>
    <w:rsid w:val="009C7AE4"/>
    <w:rsid w:val="009C7F1E"/>
    <w:rsid w:val="009D04C5"/>
    <w:rsid w:val="009D0829"/>
    <w:rsid w:val="009D0899"/>
    <w:rsid w:val="009D1290"/>
    <w:rsid w:val="009D16FD"/>
    <w:rsid w:val="009D281C"/>
    <w:rsid w:val="009D28D9"/>
    <w:rsid w:val="009D4611"/>
    <w:rsid w:val="009D4D20"/>
    <w:rsid w:val="009D55F1"/>
    <w:rsid w:val="009D5BE6"/>
    <w:rsid w:val="009D60BA"/>
    <w:rsid w:val="009D7E2D"/>
    <w:rsid w:val="009E07B8"/>
    <w:rsid w:val="009E0D5B"/>
    <w:rsid w:val="009E12E1"/>
    <w:rsid w:val="009E226B"/>
    <w:rsid w:val="009E23C5"/>
    <w:rsid w:val="009E2F5C"/>
    <w:rsid w:val="009E4235"/>
    <w:rsid w:val="009E45D9"/>
    <w:rsid w:val="009E5AE1"/>
    <w:rsid w:val="009E6B41"/>
    <w:rsid w:val="009E79D4"/>
    <w:rsid w:val="009E7DD5"/>
    <w:rsid w:val="009E7F74"/>
    <w:rsid w:val="009F0097"/>
    <w:rsid w:val="009F050A"/>
    <w:rsid w:val="009F1F4F"/>
    <w:rsid w:val="009F354F"/>
    <w:rsid w:val="009F428B"/>
    <w:rsid w:val="009F4CC3"/>
    <w:rsid w:val="009F4E2E"/>
    <w:rsid w:val="009F6BCC"/>
    <w:rsid w:val="009F75A9"/>
    <w:rsid w:val="009F79DD"/>
    <w:rsid w:val="00A01645"/>
    <w:rsid w:val="00A018A1"/>
    <w:rsid w:val="00A018F4"/>
    <w:rsid w:val="00A0286D"/>
    <w:rsid w:val="00A03564"/>
    <w:rsid w:val="00A037CE"/>
    <w:rsid w:val="00A03954"/>
    <w:rsid w:val="00A03D63"/>
    <w:rsid w:val="00A046FB"/>
    <w:rsid w:val="00A069DA"/>
    <w:rsid w:val="00A06AD9"/>
    <w:rsid w:val="00A10FF9"/>
    <w:rsid w:val="00A114E2"/>
    <w:rsid w:val="00A115C8"/>
    <w:rsid w:val="00A11E03"/>
    <w:rsid w:val="00A11F05"/>
    <w:rsid w:val="00A1227B"/>
    <w:rsid w:val="00A133FE"/>
    <w:rsid w:val="00A13F04"/>
    <w:rsid w:val="00A14132"/>
    <w:rsid w:val="00A145BB"/>
    <w:rsid w:val="00A146D8"/>
    <w:rsid w:val="00A147FC"/>
    <w:rsid w:val="00A14EAB"/>
    <w:rsid w:val="00A1501A"/>
    <w:rsid w:val="00A15922"/>
    <w:rsid w:val="00A15D41"/>
    <w:rsid w:val="00A1606F"/>
    <w:rsid w:val="00A16797"/>
    <w:rsid w:val="00A16DCA"/>
    <w:rsid w:val="00A23037"/>
    <w:rsid w:val="00A236E6"/>
    <w:rsid w:val="00A23709"/>
    <w:rsid w:val="00A239B1"/>
    <w:rsid w:val="00A24A79"/>
    <w:rsid w:val="00A25484"/>
    <w:rsid w:val="00A2572D"/>
    <w:rsid w:val="00A261FE"/>
    <w:rsid w:val="00A26691"/>
    <w:rsid w:val="00A268DD"/>
    <w:rsid w:val="00A27197"/>
    <w:rsid w:val="00A31454"/>
    <w:rsid w:val="00A32078"/>
    <w:rsid w:val="00A322EF"/>
    <w:rsid w:val="00A32834"/>
    <w:rsid w:val="00A33164"/>
    <w:rsid w:val="00A338C4"/>
    <w:rsid w:val="00A34CE6"/>
    <w:rsid w:val="00A3535E"/>
    <w:rsid w:val="00A35A95"/>
    <w:rsid w:val="00A36775"/>
    <w:rsid w:val="00A36A7A"/>
    <w:rsid w:val="00A40345"/>
    <w:rsid w:val="00A40951"/>
    <w:rsid w:val="00A4134A"/>
    <w:rsid w:val="00A4149C"/>
    <w:rsid w:val="00A42749"/>
    <w:rsid w:val="00A43D94"/>
    <w:rsid w:val="00A44A6C"/>
    <w:rsid w:val="00A44AB3"/>
    <w:rsid w:val="00A44BA3"/>
    <w:rsid w:val="00A4514C"/>
    <w:rsid w:val="00A45C44"/>
    <w:rsid w:val="00A46554"/>
    <w:rsid w:val="00A47C0E"/>
    <w:rsid w:val="00A5137E"/>
    <w:rsid w:val="00A51C70"/>
    <w:rsid w:val="00A51D85"/>
    <w:rsid w:val="00A5203F"/>
    <w:rsid w:val="00A53578"/>
    <w:rsid w:val="00A53DB5"/>
    <w:rsid w:val="00A53E84"/>
    <w:rsid w:val="00A54212"/>
    <w:rsid w:val="00A54BAB"/>
    <w:rsid w:val="00A54F4D"/>
    <w:rsid w:val="00A554D1"/>
    <w:rsid w:val="00A55D05"/>
    <w:rsid w:val="00A56E60"/>
    <w:rsid w:val="00A571A6"/>
    <w:rsid w:val="00A57A79"/>
    <w:rsid w:val="00A6122E"/>
    <w:rsid w:val="00A61AA5"/>
    <w:rsid w:val="00A620E9"/>
    <w:rsid w:val="00A65505"/>
    <w:rsid w:val="00A655AE"/>
    <w:rsid w:val="00A6562A"/>
    <w:rsid w:val="00A657A9"/>
    <w:rsid w:val="00A6592C"/>
    <w:rsid w:val="00A6662D"/>
    <w:rsid w:val="00A66CEE"/>
    <w:rsid w:val="00A705F4"/>
    <w:rsid w:val="00A70920"/>
    <w:rsid w:val="00A709F7"/>
    <w:rsid w:val="00A70A2C"/>
    <w:rsid w:val="00A70F33"/>
    <w:rsid w:val="00A71C74"/>
    <w:rsid w:val="00A71DF3"/>
    <w:rsid w:val="00A722EE"/>
    <w:rsid w:val="00A732BE"/>
    <w:rsid w:val="00A7346E"/>
    <w:rsid w:val="00A7349A"/>
    <w:rsid w:val="00A756B7"/>
    <w:rsid w:val="00A759DA"/>
    <w:rsid w:val="00A75CAA"/>
    <w:rsid w:val="00A75E28"/>
    <w:rsid w:val="00A76041"/>
    <w:rsid w:val="00A764DE"/>
    <w:rsid w:val="00A767C0"/>
    <w:rsid w:val="00A7684A"/>
    <w:rsid w:val="00A76D65"/>
    <w:rsid w:val="00A7755B"/>
    <w:rsid w:val="00A77987"/>
    <w:rsid w:val="00A802D4"/>
    <w:rsid w:val="00A809CA"/>
    <w:rsid w:val="00A80F32"/>
    <w:rsid w:val="00A81353"/>
    <w:rsid w:val="00A81409"/>
    <w:rsid w:val="00A817AA"/>
    <w:rsid w:val="00A824B4"/>
    <w:rsid w:val="00A826BF"/>
    <w:rsid w:val="00A82913"/>
    <w:rsid w:val="00A82A12"/>
    <w:rsid w:val="00A82B1F"/>
    <w:rsid w:val="00A83133"/>
    <w:rsid w:val="00A8434D"/>
    <w:rsid w:val="00A844B8"/>
    <w:rsid w:val="00A848CD"/>
    <w:rsid w:val="00A84DCE"/>
    <w:rsid w:val="00A85B94"/>
    <w:rsid w:val="00A8681C"/>
    <w:rsid w:val="00A86D39"/>
    <w:rsid w:val="00A86E72"/>
    <w:rsid w:val="00A8715E"/>
    <w:rsid w:val="00A87791"/>
    <w:rsid w:val="00A87879"/>
    <w:rsid w:val="00A90064"/>
    <w:rsid w:val="00A90B20"/>
    <w:rsid w:val="00A90F5A"/>
    <w:rsid w:val="00A91393"/>
    <w:rsid w:val="00A91639"/>
    <w:rsid w:val="00A92DD7"/>
    <w:rsid w:val="00A93274"/>
    <w:rsid w:val="00A9357F"/>
    <w:rsid w:val="00A95B8A"/>
    <w:rsid w:val="00A95E9B"/>
    <w:rsid w:val="00A9778B"/>
    <w:rsid w:val="00A97FD4"/>
    <w:rsid w:val="00AA0B69"/>
    <w:rsid w:val="00AA154D"/>
    <w:rsid w:val="00AA16EF"/>
    <w:rsid w:val="00AA17EC"/>
    <w:rsid w:val="00AA1FE5"/>
    <w:rsid w:val="00AA2C60"/>
    <w:rsid w:val="00AA3C9C"/>
    <w:rsid w:val="00AA4C97"/>
    <w:rsid w:val="00AA5244"/>
    <w:rsid w:val="00AA55EF"/>
    <w:rsid w:val="00AA6B09"/>
    <w:rsid w:val="00AB10E6"/>
    <w:rsid w:val="00AB1569"/>
    <w:rsid w:val="00AB1AB9"/>
    <w:rsid w:val="00AB325A"/>
    <w:rsid w:val="00AB3E68"/>
    <w:rsid w:val="00AB3EF8"/>
    <w:rsid w:val="00AB3FA4"/>
    <w:rsid w:val="00AB49D7"/>
    <w:rsid w:val="00AB5035"/>
    <w:rsid w:val="00AB51DC"/>
    <w:rsid w:val="00AB53C8"/>
    <w:rsid w:val="00AB630F"/>
    <w:rsid w:val="00AB677A"/>
    <w:rsid w:val="00AB6928"/>
    <w:rsid w:val="00AB6ED1"/>
    <w:rsid w:val="00AB729B"/>
    <w:rsid w:val="00AB743D"/>
    <w:rsid w:val="00AB7F38"/>
    <w:rsid w:val="00AC07D4"/>
    <w:rsid w:val="00AC19D6"/>
    <w:rsid w:val="00AC2338"/>
    <w:rsid w:val="00AC3652"/>
    <w:rsid w:val="00AC3D2D"/>
    <w:rsid w:val="00AC4064"/>
    <w:rsid w:val="00AC43C6"/>
    <w:rsid w:val="00AC6586"/>
    <w:rsid w:val="00AC67B6"/>
    <w:rsid w:val="00AC6F3B"/>
    <w:rsid w:val="00AC7232"/>
    <w:rsid w:val="00AC75E4"/>
    <w:rsid w:val="00AC78E3"/>
    <w:rsid w:val="00AC7B0A"/>
    <w:rsid w:val="00AD01C7"/>
    <w:rsid w:val="00AD0844"/>
    <w:rsid w:val="00AD1176"/>
    <w:rsid w:val="00AD2069"/>
    <w:rsid w:val="00AD24BC"/>
    <w:rsid w:val="00AD2640"/>
    <w:rsid w:val="00AD28FD"/>
    <w:rsid w:val="00AD2BAA"/>
    <w:rsid w:val="00AD384E"/>
    <w:rsid w:val="00AD3C4D"/>
    <w:rsid w:val="00AD4201"/>
    <w:rsid w:val="00AD4FEE"/>
    <w:rsid w:val="00AD55CB"/>
    <w:rsid w:val="00AD5FD8"/>
    <w:rsid w:val="00AD63C4"/>
    <w:rsid w:val="00AD6440"/>
    <w:rsid w:val="00AD6A78"/>
    <w:rsid w:val="00AD7616"/>
    <w:rsid w:val="00AE06DD"/>
    <w:rsid w:val="00AE097A"/>
    <w:rsid w:val="00AE0C5F"/>
    <w:rsid w:val="00AE1402"/>
    <w:rsid w:val="00AE1449"/>
    <w:rsid w:val="00AE18A3"/>
    <w:rsid w:val="00AE1A6F"/>
    <w:rsid w:val="00AE2D50"/>
    <w:rsid w:val="00AE3B22"/>
    <w:rsid w:val="00AE530A"/>
    <w:rsid w:val="00AE6111"/>
    <w:rsid w:val="00AE64F5"/>
    <w:rsid w:val="00AE6A4D"/>
    <w:rsid w:val="00AE6C85"/>
    <w:rsid w:val="00AE6CD7"/>
    <w:rsid w:val="00AE7423"/>
    <w:rsid w:val="00AE777D"/>
    <w:rsid w:val="00AE77C4"/>
    <w:rsid w:val="00AE786C"/>
    <w:rsid w:val="00AF01BD"/>
    <w:rsid w:val="00AF1EE0"/>
    <w:rsid w:val="00AF4E15"/>
    <w:rsid w:val="00AF5827"/>
    <w:rsid w:val="00AF5891"/>
    <w:rsid w:val="00AF5AF3"/>
    <w:rsid w:val="00AF6A35"/>
    <w:rsid w:val="00B009F5"/>
    <w:rsid w:val="00B00EC8"/>
    <w:rsid w:val="00B0100B"/>
    <w:rsid w:val="00B01C61"/>
    <w:rsid w:val="00B02202"/>
    <w:rsid w:val="00B031A7"/>
    <w:rsid w:val="00B0354F"/>
    <w:rsid w:val="00B036AC"/>
    <w:rsid w:val="00B03F8B"/>
    <w:rsid w:val="00B06988"/>
    <w:rsid w:val="00B07590"/>
    <w:rsid w:val="00B106BD"/>
    <w:rsid w:val="00B11B0E"/>
    <w:rsid w:val="00B11E70"/>
    <w:rsid w:val="00B1311C"/>
    <w:rsid w:val="00B13AE8"/>
    <w:rsid w:val="00B13FC0"/>
    <w:rsid w:val="00B1530E"/>
    <w:rsid w:val="00B163B6"/>
    <w:rsid w:val="00B1696F"/>
    <w:rsid w:val="00B17021"/>
    <w:rsid w:val="00B17082"/>
    <w:rsid w:val="00B172A1"/>
    <w:rsid w:val="00B20A23"/>
    <w:rsid w:val="00B21BEC"/>
    <w:rsid w:val="00B23305"/>
    <w:rsid w:val="00B2382F"/>
    <w:rsid w:val="00B23CD9"/>
    <w:rsid w:val="00B24319"/>
    <w:rsid w:val="00B243A0"/>
    <w:rsid w:val="00B2464E"/>
    <w:rsid w:val="00B26538"/>
    <w:rsid w:val="00B27BF8"/>
    <w:rsid w:val="00B309E4"/>
    <w:rsid w:val="00B30C6D"/>
    <w:rsid w:val="00B3181C"/>
    <w:rsid w:val="00B321F0"/>
    <w:rsid w:val="00B326E5"/>
    <w:rsid w:val="00B32A67"/>
    <w:rsid w:val="00B32C72"/>
    <w:rsid w:val="00B34723"/>
    <w:rsid w:val="00B34ED6"/>
    <w:rsid w:val="00B36078"/>
    <w:rsid w:val="00B362D3"/>
    <w:rsid w:val="00B374D8"/>
    <w:rsid w:val="00B37C62"/>
    <w:rsid w:val="00B37E69"/>
    <w:rsid w:val="00B37F46"/>
    <w:rsid w:val="00B4028E"/>
    <w:rsid w:val="00B40B12"/>
    <w:rsid w:val="00B41C26"/>
    <w:rsid w:val="00B427B1"/>
    <w:rsid w:val="00B43495"/>
    <w:rsid w:val="00B435DA"/>
    <w:rsid w:val="00B43AAF"/>
    <w:rsid w:val="00B44733"/>
    <w:rsid w:val="00B44777"/>
    <w:rsid w:val="00B44BF6"/>
    <w:rsid w:val="00B44FAB"/>
    <w:rsid w:val="00B457FB"/>
    <w:rsid w:val="00B4659D"/>
    <w:rsid w:val="00B470F2"/>
    <w:rsid w:val="00B50808"/>
    <w:rsid w:val="00B50F6A"/>
    <w:rsid w:val="00B518E4"/>
    <w:rsid w:val="00B52405"/>
    <w:rsid w:val="00B52F85"/>
    <w:rsid w:val="00B53022"/>
    <w:rsid w:val="00B53650"/>
    <w:rsid w:val="00B54002"/>
    <w:rsid w:val="00B54034"/>
    <w:rsid w:val="00B54824"/>
    <w:rsid w:val="00B54C2F"/>
    <w:rsid w:val="00B54EA5"/>
    <w:rsid w:val="00B555C3"/>
    <w:rsid w:val="00B56993"/>
    <w:rsid w:val="00B56E63"/>
    <w:rsid w:val="00B6029E"/>
    <w:rsid w:val="00B60319"/>
    <w:rsid w:val="00B60AFF"/>
    <w:rsid w:val="00B60BBF"/>
    <w:rsid w:val="00B60D1F"/>
    <w:rsid w:val="00B6162C"/>
    <w:rsid w:val="00B61778"/>
    <w:rsid w:val="00B62251"/>
    <w:rsid w:val="00B624DA"/>
    <w:rsid w:val="00B6287A"/>
    <w:rsid w:val="00B62DF7"/>
    <w:rsid w:val="00B6363C"/>
    <w:rsid w:val="00B64FB1"/>
    <w:rsid w:val="00B669DA"/>
    <w:rsid w:val="00B66AA5"/>
    <w:rsid w:val="00B67653"/>
    <w:rsid w:val="00B67717"/>
    <w:rsid w:val="00B705EF"/>
    <w:rsid w:val="00B7138D"/>
    <w:rsid w:val="00B7202C"/>
    <w:rsid w:val="00B727E5"/>
    <w:rsid w:val="00B72992"/>
    <w:rsid w:val="00B73F64"/>
    <w:rsid w:val="00B744FC"/>
    <w:rsid w:val="00B74971"/>
    <w:rsid w:val="00B749FB"/>
    <w:rsid w:val="00B74CC2"/>
    <w:rsid w:val="00B74E73"/>
    <w:rsid w:val="00B750CB"/>
    <w:rsid w:val="00B76110"/>
    <w:rsid w:val="00B761BB"/>
    <w:rsid w:val="00B7628D"/>
    <w:rsid w:val="00B76C0B"/>
    <w:rsid w:val="00B76C4B"/>
    <w:rsid w:val="00B77539"/>
    <w:rsid w:val="00B77612"/>
    <w:rsid w:val="00B77796"/>
    <w:rsid w:val="00B7797A"/>
    <w:rsid w:val="00B80CD9"/>
    <w:rsid w:val="00B80EC5"/>
    <w:rsid w:val="00B80EF2"/>
    <w:rsid w:val="00B8260E"/>
    <w:rsid w:val="00B828B0"/>
    <w:rsid w:val="00B82928"/>
    <w:rsid w:val="00B83362"/>
    <w:rsid w:val="00B83F75"/>
    <w:rsid w:val="00B842D9"/>
    <w:rsid w:val="00B85BDE"/>
    <w:rsid w:val="00B85C8C"/>
    <w:rsid w:val="00B85ED9"/>
    <w:rsid w:val="00B87B28"/>
    <w:rsid w:val="00B87BA7"/>
    <w:rsid w:val="00B87BB4"/>
    <w:rsid w:val="00B87DC3"/>
    <w:rsid w:val="00B90481"/>
    <w:rsid w:val="00B910DF"/>
    <w:rsid w:val="00B91535"/>
    <w:rsid w:val="00B91706"/>
    <w:rsid w:val="00B91B13"/>
    <w:rsid w:val="00B92015"/>
    <w:rsid w:val="00B920B8"/>
    <w:rsid w:val="00B92853"/>
    <w:rsid w:val="00B93747"/>
    <w:rsid w:val="00B94691"/>
    <w:rsid w:val="00B94996"/>
    <w:rsid w:val="00B958E0"/>
    <w:rsid w:val="00B9711D"/>
    <w:rsid w:val="00B974D5"/>
    <w:rsid w:val="00B97513"/>
    <w:rsid w:val="00B97B85"/>
    <w:rsid w:val="00B97C18"/>
    <w:rsid w:val="00BA0447"/>
    <w:rsid w:val="00BA1838"/>
    <w:rsid w:val="00BA1858"/>
    <w:rsid w:val="00BA18BD"/>
    <w:rsid w:val="00BA1B75"/>
    <w:rsid w:val="00BA21A7"/>
    <w:rsid w:val="00BA45C1"/>
    <w:rsid w:val="00BA472A"/>
    <w:rsid w:val="00BA4AFC"/>
    <w:rsid w:val="00BA5AF5"/>
    <w:rsid w:val="00BA5C54"/>
    <w:rsid w:val="00BA5E05"/>
    <w:rsid w:val="00BA6460"/>
    <w:rsid w:val="00BA6918"/>
    <w:rsid w:val="00BA6F92"/>
    <w:rsid w:val="00BB03F8"/>
    <w:rsid w:val="00BB0487"/>
    <w:rsid w:val="00BB0816"/>
    <w:rsid w:val="00BB0A83"/>
    <w:rsid w:val="00BB1C23"/>
    <w:rsid w:val="00BB1FE0"/>
    <w:rsid w:val="00BB2032"/>
    <w:rsid w:val="00BB2ED2"/>
    <w:rsid w:val="00BB32E1"/>
    <w:rsid w:val="00BB347E"/>
    <w:rsid w:val="00BB3874"/>
    <w:rsid w:val="00BB3FEA"/>
    <w:rsid w:val="00BB4326"/>
    <w:rsid w:val="00BB47CE"/>
    <w:rsid w:val="00BB6601"/>
    <w:rsid w:val="00BB6C0A"/>
    <w:rsid w:val="00BB6D18"/>
    <w:rsid w:val="00BB6E26"/>
    <w:rsid w:val="00BB7450"/>
    <w:rsid w:val="00BB77BE"/>
    <w:rsid w:val="00BC08AB"/>
    <w:rsid w:val="00BC11F4"/>
    <w:rsid w:val="00BC26DF"/>
    <w:rsid w:val="00BC2819"/>
    <w:rsid w:val="00BC2E6E"/>
    <w:rsid w:val="00BC33D1"/>
    <w:rsid w:val="00BC4A2D"/>
    <w:rsid w:val="00BC6613"/>
    <w:rsid w:val="00BC67AF"/>
    <w:rsid w:val="00BC6845"/>
    <w:rsid w:val="00BC6A02"/>
    <w:rsid w:val="00BC7E57"/>
    <w:rsid w:val="00BD04E9"/>
    <w:rsid w:val="00BD0B42"/>
    <w:rsid w:val="00BD0E5B"/>
    <w:rsid w:val="00BD1356"/>
    <w:rsid w:val="00BD30C8"/>
    <w:rsid w:val="00BD38CC"/>
    <w:rsid w:val="00BD3CEB"/>
    <w:rsid w:val="00BD5285"/>
    <w:rsid w:val="00BD654D"/>
    <w:rsid w:val="00BD664A"/>
    <w:rsid w:val="00BD74A3"/>
    <w:rsid w:val="00BE00B6"/>
    <w:rsid w:val="00BE0222"/>
    <w:rsid w:val="00BE0C54"/>
    <w:rsid w:val="00BE122B"/>
    <w:rsid w:val="00BE15B0"/>
    <w:rsid w:val="00BE178F"/>
    <w:rsid w:val="00BE1DD6"/>
    <w:rsid w:val="00BE302E"/>
    <w:rsid w:val="00BE32A3"/>
    <w:rsid w:val="00BE470C"/>
    <w:rsid w:val="00BE5272"/>
    <w:rsid w:val="00BE60C7"/>
    <w:rsid w:val="00BE6431"/>
    <w:rsid w:val="00BE64F3"/>
    <w:rsid w:val="00BE7272"/>
    <w:rsid w:val="00BE7366"/>
    <w:rsid w:val="00BE7EBE"/>
    <w:rsid w:val="00BF0342"/>
    <w:rsid w:val="00BF0405"/>
    <w:rsid w:val="00BF0AE2"/>
    <w:rsid w:val="00BF0EB6"/>
    <w:rsid w:val="00BF0FF7"/>
    <w:rsid w:val="00BF1D15"/>
    <w:rsid w:val="00BF1FA6"/>
    <w:rsid w:val="00BF2502"/>
    <w:rsid w:val="00BF2FD3"/>
    <w:rsid w:val="00BF6528"/>
    <w:rsid w:val="00C00239"/>
    <w:rsid w:val="00C0031E"/>
    <w:rsid w:val="00C021AB"/>
    <w:rsid w:val="00C02955"/>
    <w:rsid w:val="00C031F7"/>
    <w:rsid w:val="00C04D41"/>
    <w:rsid w:val="00C05033"/>
    <w:rsid w:val="00C0544C"/>
    <w:rsid w:val="00C054FC"/>
    <w:rsid w:val="00C0585A"/>
    <w:rsid w:val="00C05F51"/>
    <w:rsid w:val="00C06A53"/>
    <w:rsid w:val="00C06CE4"/>
    <w:rsid w:val="00C06D5B"/>
    <w:rsid w:val="00C06D67"/>
    <w:rsid w:val="00C06F88"/>
    <w:rsid w:val="00C07E9E"/>
    <w:rsid w:val="00C11043"/>
    <w:rsid w:val="00C11AB5"/>
    <w:rsid w:val="00C12465"/>
    <w:rsid w:val="00C12590"/>
    <w:rsid w:val="00C1284A"/>
    <w:rsid w:val="00C136A6"/>
    <w:rsid w:val="00C13D7A"/>
    <w:rsid w:val="00C141EF"/>
    <w:rsid w:val="00C14416"/>
    <w:rsid w:val="00C156CC"/>
    <w:rsid w:val="00C15CCB"/>
    <w:rsid w:val="00C15DFF"/>
    <w:rsid w:val="00C2055D"/>
    <w:rsid w:val="00C22A21"/>
    <w:rsid w:val="00C23E8B"/>
    <w:rsid w:val="00C24067"/>
    <w:rsid w:val="00C24180"/>
    <w:rsid w:val="00C24227"/>
    <w:rsid w:val="00C24E0E"/>
    <w:rsid w:val="00C253FC"/>
    <w:rsid w:val="00C25417"/>
    <w:rsid w:val="00C268D4"/>
    <w:rsid w:val="00C27846"/>
    <w:rsid w:val="00C27E34"/>
    <w:rsid w:val="00C27ED3"/>
    <w:rsid w:val="00C30518"/>
    <w:rsid w:val="00C30899"/>
    <w:rsid w:val="00C31F9E"/>
    <w:rsid w:val="00C3205D"/>
    <w:rsid w:val="00C329A2"/>
    <w:rsid w:val="00C34491"/>
    <w:rsid w:val="00C351A1"/>
    <w:rsid w:val="00C352B0"/>
    <w:rsid w:val="00C35AD2"/>
    <w:rsid w:val="00C35CF5"/>
    <w:rsid w:val="00C36325"/>
    <w:rsid w:val="00C364CF"/>
    <w:rsid w:val="00C3665E"/>
    <w:rsid w:val="00C36DE2"/>
    <w:rsid w:val="00C36FF2"/>
    <w:rsid w:val="00C37CDA"/>
    <w:rsid w:val="00C41227"/>
    <w:rsid w:val="00C41DBB"/>
    <w:rsid w:val="00C4210F"/>
    <w:rsid w:val="00C42817"/>
    <w:rsid w:val="00C44146"/>
    <w:rsid w:val="00C45967"/>
    <w:rsid w:val="00C45F7A"/>
    <w:rsid w:val="00C461AA"/>
    <w:rsid w:val="00C46DC4"/>
    <w:rsid w:val="00C474E0"/>
    <w:rsid w:val="00C51C1F"/>
    <w:rsid w:val="00C520F7"/>
    <w:rsid w:val="00C53427"/>
    <w:rsid w:val="00C53DA5"/>
    <w:rsid w:val="00C54280"/>
    <w:rsid w:val="00C54476"/>
    <w:rsid w:val="00C54C57"/>
    <w:rsid w:val="00C568A0"/>
    <w:rsid w:val="00C56D17"/>
    <w:rsid w:val="00C56F8F"/>
    <w:rsid w:val="00C5719A"/>
    <w:rsid w:val="00C57B68"/>
    <w:rsid w:val="00C60B0C"/>
    <w:rsid w:val="00C61697"/>
    <w:rsid w:val="00C627BD"/>
    <w:rsid w:val="00C63CE5"/>
    <w:rsid w:val="00C64C43"/>
    <w:rsid w:val="00C653A1"/>
    <w:rsid w:val="00C6540A"/>
    <w:rsid w:val="00C657DD"/>
    <w:rsid w:val="00C6593F"/>
    <w:rsid w:val="00C65958"/>
    <w:rsid w:val="00C65F62"/>
    <w:rsid w:val="00C6640B"/>
    <w:rsid w:val="00C66729"/>
    <w:rsid w:val="00C668E3"/>
    <w:rsid w:val="00C67472"/>
    <w:rsid w:val="00C676B2"/>
    <w:rsid w:val="00C70778"/>
    <w:rsid w:val="00C71A17"/>
    <w:rsid w:val="00C724A3"/>
    <w:rsid w:val="00C729B8"/>
    <w:rsid w:val="00C72F37"/>
    <w:rsid w:val="00C77AD4"/>
    <w:rsid w:val="00C8098F"/>
    <w:rsid w:val="00C80B36"/>
    <w:rsid w:val="00C80D97"/>
    <w:rsid w:val="00C82142"/>
    <w:rsid w:val="00C8299C"/>
    <w:rsid w:val="00C82B47"/>
    <w:rsid w:val="00C836A8"/>
    <w:rsid w:val="00C85E41"/>
    <w:rsid w:val="00C862A9"/>
    <w:rsid w:val="00C86769"/>
    <w:rsid w:val="00C8714D"/>
    <w:rsid w:val="00C87361"/>
    <w:rsid w:val="00C9032E"/>
    <w:rsid w:val="00C90693"/>
    <w:rsid w:val="00C91042"/>
    <w:rsid w:val="00C912B0"/>
    <w:rsid w:val="00C91537"/>
    <w:rsid w:val="00C91ECB"/>
    <w:rsid w:val="00C920C2"/>
    <w:rsid w:val="00C92731"/>
    <w:rsid w:val="00C927AA"/>
    <w:rsid w:val="00C92A9D"/>
    <w:rsid w:val="00C93065"/>
    <w:rsid w:val="00C93EB5"/>
    <w:rsid w:val="00C93EB7"/>
    <w:rsid w:val="00C93F65"/>
    <w:rsid w:val="00C94025"/>
    <w:rsid w:val="00C963D1"/>
    <w:rsid w:val="00C9655F"/>
    <w:rsid w:val="00C9722A"/>
    <w:rsid w:val="00C975E8"/>
    <w:rsid w:val="00C97D90"/>
    <w:rsid w:val="00CA07AD"/>
    <w:rsid w:val="00CA11E7"/>
    <w:rsid w:val="00CA1D89"/>
    <w:rsid w:val="00CA2119"/>
    <w:rsid w:val="00CA2418"/>
    <w:rsid w:val="00CA2584"/>
    <w:rsid w:val="00CA2CDD"/>
    <w:rsid w:val="00CA3379"/>
    <w:rsid w:val="00CA372E"/>
    <w:rsid w:val="00CA3804"/>
    <w:rsid w:val="00CA3BE3"/>
    <w:rsid w:val="00CA4235"/>
    <w:rsid w:val="00CA494B"/>
    <w:rsid w:val="00CA51B5"/>
    <w:rsid w:val="00CA7C9E"/>
    <w:rsid w:val="00CA7F5D"/>
    <w:rsid w:val="00CB000A"/>
    <w:rsid w:val="00CB28F7"/>
    <w:rsid w:val="00CB41F0"/>
    <w:rsid w:val="00CB467B"/>
    <w:rsid w:val="00CB4795"/>
    <w:rsid w:val="00CB507E"/>
    <w:rsid w:val="00CB5739"/>
    <w:rsid w:val="00CB59EE"/>
    <w:rsid w:val="00CB62F2"/>
    <w:rsid w:val="00CB66E6"/>
    <w:rsid w:val="00CB7BBC"/>
    <w:rsid w:val="00CB7BBD"/>
    <w:rsid w:val="00CB7CC4"/>
    <w:rsid w:val="00CC22A3"/>
    <w:rsid w:val="00CC2449"/>
    <w:rsid w:val="00CC2F6F"/>
    <w:rsid w:val="00CC481A"/>
    <w:rsid w:val="00CC552A"/>
    <w:rsid w:val="00CC5BA7"/>
    <w:rsid w:val="00CC6351"/>
    <w:rsid w:val="00CC7338"/>
    <w:rsid w:val="00CC7A1E"/>
    <w:rsid w:val="00CD0AA6"/>
    <w:rsid w:val="00CD0E90"/>
    <w:rsid w:val="00CD1483"/>
    <w:rsid w:val="00CD23C1"/>
    <w:rsid w:val="00CD266F"/>
    <w:rsid w:val="00CD271D"/>
    <w:rsid w:val="00CD2B86"/>
    <w:rsid w:val="00CD2BEA"/>
    <w:rsid w:val="00CD3873"/>
    <w:rsid w:val="00CD3A08"/>
    <w:rsid w:val="00CD3DA2"/>
    <w:rsid w:val="00CD3E78"/>
    <w:rsid w:val="00CD431A"/>
    <w:rsid w:val="00CD4622"/>
    <w:rsid w:val="00CD4FDC"/>
    <w:rsid w:val="00CD57CD"/>
    <w:rsid w:val="00CD6116"/>
    <w:rsid w:val="00CD6442"/>
    <w:rsid w:val="00CD6F92"/>
    <w:rsid w:val="00CE0BF8"/>
    <w:rsid w:val="00CE0C6C"/>
    <w:rsid w:val="00CE0DAB"/>
    <w:rsid w:val="00CE69CA"/>
    <w:rsid w:val="00CE7049"/>
    <w:rsid w:val="00CE70B6"/>
    <w:rsid w:val="00CE7690"/>
    <w:rsid w:val="00CE7B8E"/>
    <w:rsid w:val="00CF0822"/>
    <w:rsid w:val="00CF0E5B"/>
    <w:rsid w:val="00CF1F99"/>
    <w:rsid w:val="00CF26D9"/>
    <w:rsid w:val="00CF2A7F"/>
    <w:rsid w:val="00CF3D45"/>
    <w:rsid w:val="00CF3DBF"/>
    <w:rsid w:val="00CF4173"/>
    <w:rsid w:val="00CF490A"/>
    <w:rsid w:val="00CF4D37"/>
    <w:rsid w:val="00CF5C43"/>
    <w:rsid w:val="00CF6A63"/>
    <w:rsid w:val="00CF6D3C"/>
    <w:rsid w:val="00CF6F96"/>
    <w:rsid w:val="00CF7D0B"/>
    <w:rsid w:val="00D0057B"/>
    <w:rsid w:val="00D0117C"/>
    <w:rsid w:val="00D015DF"/>
    <w:rsid w:val="00D02076"/>
    <w:rsid w:val="00D02276"/>
    <w:rsid w:val="00D03846"/>
    <w:rsid w:val="00D03865"/>
    <w:rsid w:val="00D03A92"/>
    <w:rsid w:val="00D03EA0"/>
    <w:rsid w:val="00D042E5"/>
    <w:rsid w:val="00D044C3"/>
    <w:rsid w:val="00D047A1"/>
    <w:rsid w:val="00D04932"/>
    <w:rsid w:val="00D04AE4"/>
    <w:rsid w:val="00D05442"/>
    <w:rsid w:val="00D054A1"/>
    <w:rsid w:val="00D05C10"/>
    <w:rsid w:val="00D05D5C"/>
    <w:rsid w:val="00D06257"/>
    <w:rsid w:val="00D063CA"/>
    <w:rsid w:val="00D069C1"/>
    <w:rsid w:val="00D0720F"/>
    <w:rsid w:val="00D1087C"/>
    <w:rsid w:val="00D11349"/>
    <w:rsid w:val="00D11F6D"/>
    <w:rsid w:val="00D12D80"/>
    <w:rsid w:val="00D13038"/>
    <w:rsid w:val="00D131AB"/>
    <w:rsid w:val="00D14DEA"/>
    <w:rsid w:val="00D14EDE"/>
    <w:rsid w:val="00D15189"/>
    <w:rsid w:val="00D153FA"/>
    <w:rsid w:val="00D15CC5"/>
    <w:rsid w:val="00D15F89"/>
    <w:rsid w:val="00D16381"/>
    <w:rsid w:val="00D16BE7"/>
    <w:rsid w:val="00D16F06"/>
    <w:rsid w:val="00D17388"/>
    <w:rsid w:val="00D17910"/>
    <w:rsid w:val="00D20BA7"/>
    <w:rsid w:val="00D20F54"/>
    <w:rsid w:val="00D21008"/>
    <w:rsid w:val="00D21794"/>
    <w:rsid w:val="00D21F29"/>
    <w:rsid w:val="00D221E9"/>
    <w:rsid w:val="00D22D47"/>
    <w:rsid w:val="00D23F71"/>
    <w:rsid w:val="00D24282"/>
    <w:rsid w:val="00D24461"/>
    <w:rsid w:val="00D247B5"/>
    <w:rsid w:val="00D24F8E"/>
    <w:rsid w:val="00D26490"/>
    <w:rsid w:val="00D26FF6"/>
    <w:rsid w:val="00D275D3"/>
    <w:rsid w:val="00D27780"/>
    <w:rsid w:val="00D3010C"/>
    <w:rsid w:val="00D31307"/>
    <w:rsid w:val="00D31E93"/>
    <w:rsid w:val="00D327E9"/>
    <w:rsid w:val="00D328DF"/>
    <w:rsid w:val="00D32D5C"/>
    <w:rsid w:val="00D3326A"/>
    <w:rsid w:val="00D33976"/>
    <w:rsid w:val="00D33F9D"/>
    <w:rsid w:val="00D34A70"/>
    <w:rsid w:val="00D35646"/>
    <w:rsid w:val="00D35711"/>
    <w:rsid w:val="00D36C11"/>
    <w:rsid w:val="00D37061"/>
    <w:rsid w:val="00D3733B"/>
    <w:rsid w:val="00D376D6"/>
    <w:rsid w:val="00D37B4F"/>
    <w:rsid w:val="00D37CBE"/>
    <w:rsid w:val="00D4033B"/>
    <w:rsid w:val="00D40792"/>
    <w:rsid w:val="00D40BC4"/>
    <w:rsid w:val="00D41011"/>
    <w:rsid w:val="00D41528"/>
    <w:rsid w:val="00D41854"/>
    <w:rsid w:val="00D418D1"/>
    <w:rsid w:val="00D423C1"/>
    <w:rsid w:val="00D42AFB"/>
    <w:rsid w:val="00D432A9"/>
    <w:rsid w:val="00D43AE6"/>
    <w:rsid w:val="00D440E0"/>
    <w:rsid w:val="00D44517"/>
    <w:rsid w:val="00D456FC"/>
    <w:rsid w:val="00D46455"/>
    <w:rsid w:val="00D46878"/>
    <w:rsid w:val="00D46A52"/>
    <w:rsid w:val="00D47C2E"/>
    <w:rsid w:val="00D52062"/>
    <w:rsid w:val="00D52A93"/>
    <w:rsid w:val="00D5359C"/>
    <w:rsid w:val="00D54029"/>
    <w:rsid w:val="00D54186"/>
    <w:rsid w:val="00D54CC5"/>
    <w:rsid w:val="00D57151"/>
    <w:rsid w:val="00D5791A"/>
    <w:rsid w:val="00D57C20"/>
    <w:rsid w:val="00D57EB3"/>
    <w:rsid w:val="00D60105"/>
    <w:rsid w:val="00D60BE3"/>
    <w:rsid w:val="00D60CAA"/>
    <w:rsid w:val="00D60EEA"/>
    <w:rsid w:val="00D61D70"/>
    <w:rsid w:val="00D6299F"/>
    <w:rsid w:val="00D63463"/>
    <w:rsid w:val="00D64A18"/>
    <w:rsid w:val="00D663A2"/>
    <w:rsid w:val="00D678F8"/>
    <w:rsid w:val="00D70C85"/>
    <w:rsid w:val="00D71271"/>
    <w:rsid w:val="00D715F0"/>
    <w:rsid w:val="00D718C6"/>
    <w:rsid w:val="00D718D0"/>
    <w:rsid w:val="00D739C2"/>
    <w:rsid w:val="00D73AAB"/>
    <w:rsid w:val="00D741A1"/>
    <w:rsid w:val="00D74263"/>
    <w:rsid w:val="00D746F3"/>
    <w:rsid w:val="00D758C8"/>
    <w:rsid w:val="00D765AE"/>
    <w:rsid w:val="00D77A42"/>
    <w:rsid w:val="00D77E85"/>
    <w:rsid w:val="00D803F7"/>
    <w:rsid w:val="00D805B8"/>
    <w:rsid w:val="00D8069E"/>
    <w:rsid w:val="00D80BBD"/>
    <w:rsid w:val="00D81895"/>
    <w:rsid w:val="00D81C5D"/>
    <w:rsid w:val="00D820EB"/>
    <w:rsid w:val="00D82C7A"/>
    <w:rsid w:val="00D82EDB"/>
    <w:rsid w:val="00D837E5"/>
    <w:rsid w:val="00D85252"/>
    <w:rsid w:val="00D85265"/>
    <w:rsid w:val="00D85486"/>
    <w:rsid w:val="00D85755"/>
    <w:rsid w:val="00D85BB8"/>
    <w:rsid w:val="00D86320"/>
    <w:rsid w:val="00D871B4"/>
    <w:rsid w:val="00D8722E"/>
    <w:rsid w:val="00D91946"/>
    <w:rsid w:val="00D921B3"/>
    <w:rsid w:val="00D92C61"/>
    <w:rsid w:val="00D9313B"/>
    <w:rsid w:val="00D93444"/>
    <w:rsid w:val="00D94E2E"/>
    <w:rsid w:val="00D9595C"/>
    <w:rsid w:val="00D964C5"/>
    <w:rsid w:val="00D97060"/>
    <w:rsid w:val="00D97337"/>
    <w:rsid w:val="00DA0C57"/>
    <w:rsid w:val="00DA1859"/>
    <w:rsid w:val="00DA2AFF"/>
    <w:rsid w:val="00DA446C"/>
    <w:rsid w:val="00DA4BAD"/>
    <w:rsid w:val="00DA4D1D"/>
    <w:rsid w:val="00DA4F0B"/>
    <w:rsid w:val="00DA52D1"/>
    <w:rsid w:val="00DA5ACB"/>
    <w:rsid w:val="00DA5E4C"/>
    <w:rsid w:val="00DA5F26"/>
    <w:rsid w:val="00DA655B"/>
    <w:rsid w:val="00DA6C83"/>
    <w:rsid w:val="00DB28BF"/>
    <w:rsid w:val="00DB2EA2"/>
    <w:rsid w:val="00DB4D31"/>
    <w:rsid w:val="00DB4E87"/>
    <w:rsid w:val="00DB4F73"/>
    <w:rsid w:val="00DB5DD6"/>
    <w:rsid w:val="00DB6147"/>
    <w:rsid w:val="00DB7872"/>
    <w:rsid w:val="00DB7910"/>
    <w:rsid w:val="00DC0163"/>
    <w:rsid w:val="00DC089C"/>
    <w:rsid w:val="00DC0F35"/>
    <w:rsid w:val="00DC10C9"/>
    <w:rsid w:val="00DC15BB"/>
    <w:rsid w:val="00DC356E"/>
    <w:rsid w:val="00DC3C43"/>
    <w:rsid w:val="00DC3C74"/>
    <w:rsid w:val="00DC48DE"/>
    <w:rsid w:val="00DC59C1"/>
    <w:rsid w:val="00DC6101"/>
    <w:rsid w:val="00DC64F9"/>
    <w:rsid w:val="00DC6538"/>
    <w:rsid w:val="00DC686A"/>
    <w:rsid w:val="00DC6BA9"/>
    <w:rsid w:val="00DC6FCC"/>
    <w:rsid w:val="00DC74EA"/>
    <w:rsid w:val="00DD174F"/>
    <w:rsid w:val="00DD1BD9"/>
    <w:rsid w:val="00DD2C2A"/>
    <w:rsid w:val="00DD2C2F"/>
    <w:rsid w:val="00DD3551"/>
    <w:rsid w:val="00DD3831"/>
    <w:rsid w:val="00DD4196"/>
    <w:rsid w:val="00DD4FC1"/>
    <w:rsid w:val="00DD5C9F"/>
    <w:rsid w:val="00DD5FA1"/>
    <w:rsid w:val="00DD68BC"/>
    <w:rsid w:val="00DD7386"/>
    <w:rsid w:val="00DD75AD"/>
    <w:rsid w:val="00DE11B9"/>
    <w:rsid w:val="00DE1235"/>
    <w:rsid w:val="00DE13DB"/>
    <w:rsid w:val="00DE214B"/>
    <w:rsid w:val="00DE2720"/>
    <w:rsid w:val="00DE3351"/>
    <w:rsid w:val="00DE36BA"/>
    <w:rsid w:val="00DE3B28"/>
    <w:rsid w:val="00DE3D9B"/>
    <w:rsid w:val="00DE4AD9"/>
    <w:rsid w:val="00DE5431"/>
    <w:rsid w:val="00DE5511"/>
    <w:rsid w:val="00DE63AC"/>
    <w:rsid w:val="00DE643D"/>
    <w:rsid w:val="00DE68D7"/>
    <w:rsid w:val="00DE6CA8"/>
    <w:rsid w:val="00DE71B5"/>
    <w:rsid w:val="00DE7740"/>
    <w:rsid w:val="00DE782D"/>
    <w:rsid w:val="00DF0540"/>
    <w:rsid w:val="00DF0C07"/>
    <w:rsid w:val="00DF10C5"/>
    <w:rsid w:val="00DF12C5"/>
    <w:rsid w:val="00DF2262"/>
    <w:rsid w:val="00DF32E1"/>
    <w:rsid w:val="00DF3528"/>
    <w:rsid w:val="00DF35A3"/>
    <w:rsid w:val="00DF3766"/>
    <w:rsid w:val="00DF3C78"/>
    <w:rsid w:val="00DF4563"/>
    <w:rsid w:val="00DF45FE"/>
    <w:rsid w:val="00DF4D57"/>
    <w:rsid w:val="00DF6CA8"/>
    <w:rsid w:val="00DF6FE6"/>
    <w:rsid w:val="00DF71FE"/>
    <w:rsid w:val="00DF74DF"/>
    <w:rsid w:val="00DF772D"/>
    <w:rsid w:val="00DF7766"/>
    <w:rsid w:val="00E0040C"/>
    <w:rsid w:val="00E00DFC"/>
    <w:rsid w:val="00E01396"/>
    <w:rsid w:val="00E0176B"/>
    <w:rsid w:val="00E01C00"/>
    <w:rsid w:val="00E02C8A"/>
    <w:rsid w:val="00E02CBD"/>
    <w:rsid w:val="00E02F80"/>
    <w:rsid w:val="00E048A4"/>
    <w:rsid w:val="00E04D1D"/>
    <w:rsid w:val="00E055AF"/>
    <w:rsid w:val="00E05C60"/>
    <w:rsid w:val="00E05C99"/>
    <w:rsid w:val="00E0646E"/>
    <w:rsid w:val="00E075C5"/>
    <w:rsid w:val="00E07CF7"/>
    <w:rsid w:val="00E103F6"/>
    <w:rsid w:val="00E10798"/>
    <w:rsid w:val="00E10EA6"/>
    <w:rsid w:val="00E1135A"/>
    <w:rsid w:val="00E11789"/>
    <w:rsid w:val="00E12157"/>
    <w:rsid w:val="00E12713"/>
    <w:rsid w:val="00E12E0B"/>
    <w:rsid w:val="00E12FA7"/>
    <w:rsid w:val="00E146EC"/>
    <w:rsid w:val="00E14BC4"/>
    <w:rsid w:val="00E14D4F"/>
    <w:rsid w:val="00E15079"/>
    <w:rsid w:val="00E15CFB"/>
    <w:rsid w:val="00E16C1B"/>
    <w:rsid w:val="00E172BA"/>
    <w:rsid w:val="00E1767F"/>
    <w:rsid w:val="00E203E0"/>
    <w:rsid w:val="00E206BE"/>
    <w:rsid w:val="00E21161"/>
    <w:rsid w:val="00E21E90"/>
    <w:rsid w:val="00E227B9"/>
    <w:rsid w:val="00E23179"/>
    <w:rsid w:val="00E231E2"/>
    <w:rsid w:val="00E23BA1"/>
    <w:rsid w:val="00E24465"/>
    <w:rsid w:val="00E2457F"/>
    <w:rsid w:val="00E2482E"/>
    <w:rsid w:val="00E24AE1"/>
    <w:rsid w:val="00E24EF8"/>
    <w:rsid w:val="00E259DF"/>
    <w:rsid w:val="00E25ABA"/>
    <w:rsid w:val="00E25E53"/>
    <w:rsid w:val="00E264BF"/>
    <w:rsid w:val="00E26584"/>
    <w:rsid w:val="00E26DA9"/>
    <w:rsid w:val="00E26E1C"/>
    <w:rsid w:val="00E26E4C"/>
    <w:rsid w:val="00E303A2"/>
    <w:rsid w:val="00E30D63"/>
    <w:rsid w:val="00E312F3"/>
    <w:rsid w:val="00E32C68"/>
    <w:rsid w:val="00E32D62"/>
    <w:rsid w:val="00E33585"/>
    <w:rsid w:val="00E33665"/>
    <w:rsid w:val="00E345B6"/>
    <w:rsid w:val="00E34FE8"/>
    <w:rsid w:val="00E3584B"/>
    <w:rsid w:val="00E35AED"/>
    <w:rsid w:val="00E362ED"/>
    <w:rsid w:val="00E378F9"/>
    <w:rsid w:val="00E406EC"/>
    <w:rsid w:val="00E407F7"/>
    <w:rsid w:val="00E41486"/>
    <w:rsid w:val="00E41572"/>
    <w:rsid w:val="00E417C5"/>
    <w:rsid w:val="00E42605"/>
    <w:rsid w:val="00E43B5E"/>
    <w:rsid w:val="00E45221"/>
    <w:rsid w:val="00E4578D"/>
    <w:rsid w:val="00E457AF"/>
    <w:rsid w:val="00E45CF1"/>
    <w:rsid w:val="00E464F0"/>
    <w:rsid w:val="00E46700"/>
    <w:rsid w:val="00E475F0"/>
    <w:rsid w:val="00E47DCD"/>
    <w:rsid w:val="00E50A75"/>
    <w:rsid w:val="00E5160F"/>
    <w:rsid w:val="00E51C96"/>
    <w:rsid w:val="00E51EFC"/>
    <w:rsid w:val="00E51F46"/>
    <w:rsid w:val="00E51FA4"/>
    <w:rsid w:val="00E52875"/>
    <w:rsid w:val="00E52D88"/>
    <w:rsid w:val="00E52E1D"/>
    <w:rsid w:val="00E532ED"/>
    <w:rsid w:val="00E537B3"/>
    <w:rsid w:val="00E5397F"/>
    <w:rsid w:val="00E53CB4"/>
    <w:rsid w:val="00E53EB3"/>
    <w:rsid w:val="00E53F89"/>
    <w:rsid w:val="00E53FDB"/>
    <w:rsid w:val="00E547BF"/>
    <w:rsid w:val="00E54B2F"/>
    <w:rsid w:val="00E54F99"/>
    <w:rsid w:val="00E564FC"/>
    <w:rsid w:val="00E60C68"/>
    <w:rsid w:val="00E61A7C"/>
    <w:rsid w:val="00E620A5"/>
    <w:rsid w:val="00E6242B"/>
    <w:rsid w:val="00E62540"/>
    <w:rsid w:val="00E6262B"/>
    <w:rsid w:val="00E626E6"/>
    <w:rsid w:val="00E62FFB"/>
    <w:rsid w:val="00E63531"/>
    <w:rsid w:val="00E63B19"/>
    <w:rsid w:val="00E63DC4"/>
    <w:rsid w:val="00E644E1"/>
    <w:rsid w:val="00E64E06"/>
    <w:rsid w:val="00E65A43"/>
    <w:rsid w:val="00E66D13"/>
    <w:rsid w:val="00E679DE"/>
    <w:rsid w:val="00E70961"/>
    <w:rsid w:val="00E71043"/>
    <w:rsid w:val="00E7184B"/>
    <w:rsid w:val="00E718C2"/>
    <w:rsid w:val="00E724FC"/>
    <w:rsid w:val="00E72ED1"/>
    <w:rsid w:val="00E74176"/>
    <w:rsid w:val="00E744D9"/>
    <w:rsid w:val="00E75D4E"/>
    <w:rsid w:val="00E75D78"/>
    <w:rsid w:val="00E7642E"/>
    <w:rsid w:val="00E76430"/>
    <w:rsid w:val="00E7775C"/>
    <w:rsid w:val="00E80D88"/>
    <w:rsid w:val="00E80DE3"/>
    <w:rsid w:val="00E8135B"/>
    <w:rsid w:val="00E816D0"/>
    <w:rsid w:val="00E83D10"/>
    <w:rsid w:val="00E8541C"/>
    <w:rsid w:val="00E85DC1"/>
    <w:rsid w:val="00E85E8A"/>
    <w:rsid w:val="00E860E7"/>
    <w:rsid w:val="00E87050"/>
    <w:rsid w:val="00E87D0A"/>
    <w:rsid w:val="00E87F58"/>
    <w:rsid w:val="00E916C1"/>
    <w:rsid w:val="00E91737"/>
    <w:rsid w:val="00E931C5"/>
    <w:rsid w:val="00E93617"/>
    <w:rsid w:val="00E9462C"/>
    <w:rsid w:val="00E94AE1"/>
    <w:rsid w:val="00E94F1A"/>
    <w:rsid w:val="00E9576A"/>
    <w:rsid w:val="00E957AA"/>
    <w:rsid w:val="00E96275"/>
    <w:rsid w:val="00E96372"/>
    <w:rsid w:val="00E9746F"/>
    <w:rsid w:val="00E97C83"/>
    <w:rsid w:val="00E97D77"/>
    <w:rsid w:val="00EA047A"/>
    <w:rsid w:val="00EA0DC8"/>
    <w:rsid w:val="00EA1001"/>
    <w:rsid w:val="00EA1459"/>
    <w:rsid w:val="00EA17FC"/>
    <w:rsid w:val="00EA25DE"/>
    <w:rsid w:val="00EA3152"/>
    <w:rsid w:val="00EA3874"/>
    <w:rsid w:val="00EA3D00"/>
    <w:rsid w:val="00EA4474"/>
    <w:rsid w:val="00EA5340"/>
    <w:rsid w:val="00EA566D"/>
    <w:rsid w:val="00EA6776"/>
    <w:rsid w:val="00EA7026"/>
    <w:rsid w:val="00EA723C"/>
    <w:rsid w:val="00EA7310"/>
    <w:rsid w:val="00EA7400"/>
    <w:rsid w:val="00EA7657"/>
    <w:rsid w:val="00EB08F5"/>
    <w:rsid w:val="00EB0A17"/>
    <w:rsid w:val="00EB1167"/>
    <w:rsid w:val="00EB1299"/>
    <w:rsid w:val="00EB267E"/>
    <w:rsid w:val="00EB4062"/>
    <w:rsid w:val="00EB4659"/>
    <w:rsid w:val="00EB47B9"/>
    <w:rsid w:val="00EB4EF0"/>
    <w:rsid w:val="00EB6164"/>
    <w:rsid w:val="00EB760E"/>
    <w:rsid w:val="00EB761D"/>
    <w:rsid w:val="00EB7723"/>
    <w:rsid w:val="00EC0237"/>
    <w:rsid w:val="00EC0B8E"/>
    <w:rsid w:val="00EC0BFF"/>
    <w:rsid w:val="00EC126F"/>
    <w:rsid w:val="00EC1342"/>
    <w:rsid w:val="00EC17D0"/>
    <w:rsid w:val="00EC18B8"/>
    <w:rsid w:val="00EC19E1"/>
    <w:rsid w:val="00EC258C"/>
    <w:rsid w:val="00EC2C86"/>
    <w:rsid w:val="00EC30DB"/>
    <w:rsid w:val="00EC3AFC"/>
    <w:rsid w:val="00EC3F78"/>
    <w:rsid w:val="00EC47A2"/>
    <w:rsid w:val="00EC49FB"/>
    <w:rsid w:val="00EC6A46"/>
    <w:rsid w:val="00EC7233"/>
    <w:rsid w:val="00EC7E01"/>
    <w:rsid w:val="00ED020B"/>
    <w:rsid w:val="00ED084F"/>
    <w:rsid w:val="00ED0AB4"/>
    <w:rsid w:val="00ED2352"/>
    <w:rsid w:val="00ED2560"/>
    <w:rsid w:val="00ED2BD0"/>
    <w:rsid w:val="00ED3493"/>
    <w:rsid w:val="00ED3943"/>
    <w:rsid w:val="00ED47E7"/>
    <w:rsid w:val="00ED4801"/>
    <w:rsid w:val="00ED4E9C"/>
    <w:rsid w:val="00ED4ED9"/>
    <w:rsid w:val="00ED4EF3"/>
    <w:rsid w:val="00ED518B"/>
    <w:rsid w:val="00ED528F"/>
    <w:rsid w:val="00ED5BC8"/>
    <w:rsid w:val="00ED6955"/>
    <w:rsid w:val="00EE0265"/>
    <w:rsid w:val="00EE0BDF"/>
    <w:rsid w:val="00EE1311"/>
    <w:rsid w:val="00EE16E0"/>
    <w:rsid w:val="00EE1815"/>
    <w:rsid w:val="00EE1AF5"/>
    <w:rsid w:val="00EE1EED"/>
    <w:rsid w:val="00EE2688"/>
    <w:rsid w:val="00EE2708"/>
    <w:rsid w:val="00EE389C"/>
    <w:rsid w:val="00EE3C5E"/>
    <w:rsid w:val="00EE5812"/>
    <w:rsid w:val="00EE5DF3"/>
    <w:rsid w:val="00EE69F0"/>
    <w:rsid w:val="00EE6D32"/>
    <w:rsid w:val="00EE7350"/>
    <w:rsid w:val="00EE7C22"/>
    <w:rsid w:val="00EF0777"/>
    <w:rsid w:val="00EF08A6"/>
    <w:rsid w:val="00EF0A50"/>
    <w:rsid w:val="00EF1732"/>
    <w:rsid w:val="00EF2302"/>
    <w:rsid w:val="00EF2B7B"/>
    <w:rsid w:val="00EF40C1"/>
    <w:rsid w:val="00EF4CA2"/>
    <w:rsid w:val="00EF4CB1"/>
    <w:rsid w:val="00EF4D4D"/>
    <w:rsid w:val="00F00C50"/>
    <w:rsid w:val="00F02833"/>
    <w:rsid w:val="00F02950"/>
    <w:rsid w:val="00F02A29"/>
    <w:rsid w:val="00F032C4"/>
    <w:rsid w:val="00F04F6E"/>
    <w:rsid w:val="00F05548"/>
    <w:rsid w:val="00F0576F"/>
    <w:rsid w:val="00F06128"/>
    <w:rsid w:val="00F07103"/>
    <w:rsid w:val="00F101DF"/>
    <w:rsid w:val="00F10201"/>
    <w:rsid w:val="00F10D33"/>
    <w:rsid w:val="00F122D8"/>
    <w:rsid w:val="00F125C7"/>
    <w:rsid w:val="00F134F9"/>
    <w:rsid w:val="00F13ABA"/>
    <w:rsid w:val="00F13C7D"/>
    <w:rsid w:val="00F13CC4"/>
    <w:rsid w:val="00F140D0"/>
    <w:rsid w:val="00F14B0D"/>
    <w:rsid w:val="00F15913"/>
    <w:rsid w:val="00F1593C"/>
    <w:rsid w:val="00F15F4E"/>
    <w:rsid w:val="00F16036"/>
    <w:rsid w:val="00F160E2"/>
    <w:rsid w:val="00F165D0"/>
    <w:rsid w:val="00F16B80"/>
    <w:rsid w:val="00F16DF4"/>
    <w:rsid w:val="00F174A7"/>
    <w:rsid w:val="00F20BD1"/>
    <w:rsid w:val="00F21074"/>
    <w:rsid w:val="00F218FB"/>
    <w:rsid w:val="00F21BAD"/>
    <w:rsid w:val="00F233DC"/>
    <w:rsid w:val="00F248D7"/>
    <w:rsid w:val="00F25D08"/>
    <w:rsid w:val="00F262CC"/>
    <w:rsid w:val="00F26C4F"/>
    <w:rsid w:val="00F27E3B"/>
    <w:rsid w:val="00F30F72"/>
    <w:rsid w:val="00F31B4E"/>
    <w:rsid w:val="00F32684"/>
    <w:rsid w:val="00F32D7D"/>
    <w:rsid w:val="00F33939"/>
    <w:rsid w:val="00F3397E"/>
    <w:rsid w:val="00F33ABD"/>
    <w:rsid w:val="00F33FFB"/>
    <w:rsid w:val="00F357A0"/>
    <w:rsid w:val="00F360B9"/>
    <w:rsid w:val="00F36FFD"/>
    <w:rsid w:val="00F37425"/>
    <w:rsid w:val="00F37E51"/>
    <w:rsid w:val="00F40BFA"/>
    <w:rsid w:val="00F41D42"/>
    <w:rsid w:val="00F42578"/>
    <w:rsid w:val="00F42B41"/>
    <w:rsid w:val="00F42CF7"/>
    <w:rsid w:val="00F42D0B"/>
    <w:rsid w:val="00F43311"/>
    <w:rsid w:val="00F43EE1"/>
    <w:rsid w:val="00F4491D"/>
    <w:rsid w:val="00F45BDF"/>
    <w:rsid w:val="00F45CE2"/>
    <w:rsid w:val="00F46019"/>
    <w:rsid w:val="00F466E5"/>
    <w:rsid w:val="00F46746"/>
    <w:rsid w:val="00F467A7"/>
    <w:rsid w:val="00F46D64"/>
    <w:rsid w:val="00F512AB"/>
    <w:rsid w:val="00F51464"/>
    <w:rsid w:val="00F51EE9"/>
    <w:rsid w:val="00F529B0"/>
    <w:rsid w:val="00F52C6E"/>
    <w:rsid w:val="00F54629"/>
    <w:rsid w:val="00F54F58"/>
    <w:rsid w:val="00F55164"/>
    <w:rsid w:val="00F55CB1"/>
    <w:rsid w:val="00F55E5E"/>
    <w:rsid w:val="00F56A67"/>
    <w:rsid w:val="00F56B48"/>
    <w:rsid w:val="00F56F4C"/>
    <w:rsid w:val="00F57129"/>
    <w:rsid w:val="00F571BD"/>
    <w:rsid w:val="00F60005"/>
    <w:rsid w:val="00F60E8B"/>
    <w:rsid w:val="00F61671"/>
    <w:rsid w:val="00F61696"/>
    <w:rsid w:val="00F61833"/>
    <w:rsid w:val="00F6184E"/>
    <w:rsid w:val="00F619F9"/>
    <w:rsid w:val="00F61B2E"/>
    <w:rsid w:val="00F61E37"/>
    <w:rsid w:val="00F62459"/>
    <w:rsid w:val="00F63338"/>
    <w:rsid w:val="00F64288"/>
    <w:rsid w:val="00F64B41"/>
    <w:rsid w:val="00F65374"/>
    <w:rsid w:val="00F65AF4"/>
    <w:rsid w:val="00F662B1"/>
    <w:rsid w:val="00F672D4"/>
    <w:rsid w:val="00F67813"/>
    <w:rsid w:val="00F67CD3"/>
    <w:rsid w:val="00F7067D"/>
    <w:rsid w:val="00F70BBE"/>
    <w:rsid w:val="00F71056"/>
    <w:rsid w:val="00F71316"/>
    <w:rsid w:val="00F713A7"/>
    <w:rsid w:val="00F713ED"/>
    <w:rsid w:val="00F726DB"/>
    <w:rsid w:val="00F72E8D"/>
    <w:rsid w:val="00F7437E"/>
    <w:rsid w:val="00F744DA"/>
    <w:rsid w:val="00F75468"/>
    <w:rsid w:val="00F7551D"/>
    <w:rsid w:val="00F76C84"/>
    <w:rsid w:val="00F777B7"/>
    <w:rsid w:val="00F7783C"/>
    <w:rsid w:val="00F8058D"/>
    <w:rsid w:val="00F80D24"/>
    <w:rsid w:val="00F8101B"/>
    <w:rsid w:val="00F8103D"/>
    <w:rsid w:val="00F81B1F"/>
    <w:rsid w:val="00F81E06"/>
    <w:rsid w:val="00F82D18"/>
    <w:rsid w:val="00F8422E"/>
    <w:rsid w:val="00F85ADB"/>
    <w:rsid w:val="00F87552"/>
    <w:rsid w:val="00F87B33"/>
    <w:rsid w:val="00F90629"/>
    <w:rsid w:val="00F92264"/>
    <w:rsid w:val="00F92643"/>
    <w:rsid w:val="00F93081"/>
    <w:rsid w:val="00F93AD5"/>
    <w:rsid w:val="00F96249"/>
    <w:rsid w:val="00F96427"/>
    <w:rsid w:val="00F96CDE"/>
    <w:rsid w:val="00F9704B"/>
    <w:rsid w:val="00FA02AE"/>
    <w:rsid w:val="00FA04B4"/>
    <w:rsid w:val="00FA1831"/>
    <w:rsid w:val="00FA2FCD"/>
    <w:rsid w:val="00FA3BD6"/>
    <w:rsid w:val="00FA4324"/>
    <w:rsid w:val="00FA4834"/>
    <w:rsid w:val="00FA48CF"/>
    <w:rsid w:val="00FA4B66"/>
    <w:rsid w:val="00FA569B"/>
    <w:rsid w:val="00FA583C"/>
    <w:rsid w:val="00FA5FD9"/>
    <w:rsid w:val="00FA6338"/>
    <w:rsid w:val="00FA6774"/>
    <w:rsid w:val="00FA6B40"/>
    <w:rsid w:val="00FA7BEA"/>
    <w:rsid w:val="00FB01FB"/>
    <w:rsid w:val="00FB02B5"/>
    <w:rsid w:val="00FB2E78"/>
    <w:rsid w:val="00FB30C1"/>
    <w:rsid w:val="00FB329F"/>
    <w:rsid w:val="00FB3B3F"/>
    <w:rsid w:val="00FB4957"/>
    <w:rsid w:val="00FB4B33"/>
    <w:rsid w:val="00FB50EF"/>
    <w:rsid w:val="00FB5618"/>
    <w:rsid w:val="00FB5E68"/>
    <w:rsid w:val="00FB628E"/>
    <w:rsid w:val="00FB79D4"/>
    <w:rsid w:val="00FB7CBD"/>
    <w:rsid w:val="00FC036B"/>
    <w:rsid w:val="00FC0426"/>
    <w:rsid w:val="00FC0BBB"/>
    <w:rsid w:val="00FC0FE0"/>
    <w:rsid w:val="00FC1293"/>
    <w:rsid w:val="00FC262A"/>
    <w:rsid w:val="00FC2CE9"/>
    <w:rsid w:val="00FC332A"/>
    <w:rsid w:val="00FC4256"/>
    <w:rsid w:val="00FC4572"/>
    <w:rsid w:val="00FC49EF"/>
    <w:rsid w:val="00FC4C6D"/>
    <w:rsid w:val="00FC5419"/>
    <w:rsid w:val="00FC54B3"/>
    <w:rsid w:val="00FC5E9A"/>
    <w:rsid w:val="00FC5F52"/>
    <w:rsid w:val="00FC6734"/>
    <w:rsid w:val="00FC6E43"/>
    <w:rsid w:val="00FD0542"/>
    <w:rsid w:val="00FD1719"/>
    <w:rsid w:val="00FD2196"/>
    <w:rsid w:val="00FD2B95"/>
    <w:rsid w:val="00FD32F9"/>
    <w:rsid w:val="00FD3452"/>
    <w:rsid w:val="00FD48AA"/>
    <w:rsid w:val="00FD4F58"/>
    <w:rsid w:val="00FD5990"/>
    <w:rsid w:val="00FE04F9"/>
    <w:rsid w:val="00FE06F7"/>
    <w:rsid w:val="00FE165A"/>
    <w:rsid w:val="00FE18DA"/>
    <w:rsid w:val="00FE2CF2"/>
    <w:rsid w:val="00FE3C96"/>
    <w:rsid w:val="00FE73CC"/>
    <w:rsid w:val="00FE7CEF"/>
    <w:rsid w:val="00FF0A8D"/>
    <w:rsid w:val="00FF143D"/>
    <w:rsid w:val="00FF2C3A"/>
    <w:rsid w:val="00FF2E82"/>
    <w:rsid w:val="00FF3103"/>
    <w:rsid w:val="00FF3249"/>
    <w:rsid w:val="00FF496A"/>
    <w:rsid w:val="00FF5A82"/>
    <w:rsid w:val="00FF5CBA"/>
    <w:rsid w:val="00FF66AB"/>
    <w:rsid w:val="00FF6C70"/>
    <w:rsid w:val="00FF7104"/>
    <w:rsid w:val="00FF718B"/>
    <w:rsid w:val="095A380B"/>
    <w:rsid w:val="0D0CF5BC"/>
    <w:rsid w:val="0EC4C932"/>
    <w:rsid w:val="124B24EA"/>
    <w:rsid w:val="22275307"/>
    <w:rsid w:val="367ACF12"/>
    <w:rsid w:val="37C1E516"/>
    <w:rsid w:val="3C64A035"/>
    <w:rsid w:val="3FCA6223"/>
    <w:rsid w:val="4270B672"/>
    <w:rsid w:val="42D196D3"/>
    <w:rsid w:val="474F491F"/>
    <w:rsid w:val="56111E34"/>
    <w:rsid w:val="56F2E6B2"/>
    <w:rsid w:val="5FDB88B7"/>
    <w:rsid w:val="6070E990"/>
    <w:rsid w:val="75AC2517"/>
    <w:rsid w:val="75F34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B6612"/>
  <w15:chartTrackingRefBased/>
  <w15:docId w15:val="{E17D013E-51A6-4A97-8F7E-86E03B14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B04"/>
    <w:rPr>
      <w:rFonts w:ascii="Verdana" w:hAnsi="Verdana"/>
    </w:rPr>
  </w:style>
  <w:style w:type="paragraph" w:styleId="Heading1">
    <w:name w:val="heading 1"/>
    <w:basedOn w:val="Normal"/>
    <w:next w:val="Normal"/>
    <w:link w:val="Heading1Char"/>
    <w:uiPriority w:val="9"/>
    <w:qFormat/>
    <w:rsid w:val="006F29F8"/>
    <w:pPr>
      <w:keepNext/>
      <w:keepLines/>
      <w:spacing w:before="360" w:after="80" w:line="480" w:lineRule="auto"/>
      <w:outlineLvl w:val="0"/>
    </w:pPr>
    <w:rPr>
      <w:rFonts w:eastAsiaTheme="majorEastAsia" w:cstheme="majorBidi"/>
      <w:b/>
      <w:color w:val="77328A"/>
      <w:sz w:val="40"/>
      <w:szCs w:val="40"/>
    </w:rPr>
  </w:style>
  <w:style w:type="paragraph" w:styleId="Heading2">
    <w:name w:val="heading 2"/>
    <w:basedOn w:val="Normal"/>
    <w:next w:val="Normal"/>
    <w:link w:val="Heading2Char"/>
    <w:uiPriority w:val="9"/>
    <w:unhideWhenUsed/>
    <w:qFormat/>
    <w:rsid w:val="006F29F8"/>
    <w:pPr>
      <w:keepNext/>
      <w:keepLines/>
      <w:spacing w:before="160" w:after="80" w:line="480" w:lineRule="auto"/>
      <w:outlineLvl w:val="1"/>
    </w:pPr>
    <w:rPr>
      <w:rFonts w:eastAsiaTheme="majorEastAsia" w:cstheme="majorBidi"/>
      <w:b/>
      <w:color w:val="77328A"/>
      <w:sz w:val="30"/>
      <w:szCs w:val="32"/>
    </w:rPr>
  </w:style>
  <w:style w:type="paragraph" w:styleId="Heading3">
    <w:name w:val="heading 3"/>
    <w:basedOn w:val="Normal"/>
    <w:next w:val="Normal"/>
    <w:link w:val="Heading3Char"/>
    <w:uiPriority w:val="9"/>
    <w:unhideWhenUsed/>
    <w:qFormat/>
    <w:rsid w:val="006F29F8"/>
    <w:pPr>
      <w:keepNext/>
      <w:keepLines/>
      <w:spacing w:before="160" w:after="80" w:line="480" w:lineRule="auto"/>
      <w:outlineLvl w:val="2"/>
    </w:pPr>
    <w:rPr>
      <w:rFonts w:eastAsiaTheme="majorEastAsia" w:cstheme="majorBidi"/>
      <w:b/>
      <w:sz w:val="30"/>
      <w:szCs w:val="28"/>
    </w:rPr>
  </w:style>
  <w:style w:type="paragraph" w:styleId="Heading4">
    <w:name w:val="heading 4"/>
    <w:basedOn w:val="Normal"/>
    <w:next w:val="Normal"/>
    <w:link w:val="Heading4Char"/>
    <w:uiPriority w:val="9"/>
    <w:unhideWhenUsed/>
    <w:qFormat/>
    <w:rsid w:val="006F29F8"/>
    <w:pPr>
      <w:keepNext/>
      <w:keepLines/>
      <w:spacing w:before="80" w:after="40" w:line="48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D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3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3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3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3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9F8"/>
    <w:rPr>
      <w:rFonts w:ascii="Verdana" w:eastAsiaTheme="majorEastAsia" w:hAnsi="Verdana" w:cstheme="majorBidi"/>
      <w:b/>
      <w:color w:val="77328A"/>
      <w:sz w:val="40"/>
      <w:szCs w:val="40"/>
    </w:rPr>
  </w:style>
  <w:style w:type="character" w:customStyle="1" w:styleId="Heading2Char">
    <w:name w:val="Heading 2 Char"/>
    <w:basedOn w:val="DefaultParagraphFont"/>
    <w:link w:val="Heading2"/>
    <w:uiPriority w:val="9"/>
    <w:rsid w:val="006F29F8"/>
    <w:rPr>
      <w:rFonts w:ascii="Verdana" w:eastAsiaTheme="majorEastAsia" w:hAnsi="Verdana" w:cstheme="majorBidi"/>
      <w:b/>
      <w:color w:val="77328A"/>
      <w:sz w:val="30"/>
      <w:szCs w:val="32"/>
    </w:rPr>
  </w:style>
  <w:style w:type="character" w:customStyle="1" w:styleId="Heading3Char">
    <w:name w:val="Heading 3 Char"/>
    <w:basedOn w:val="DefaultParagraphFont"/>
    <w:link w:val="Heading3"/>
    <w:uiPriority w:val="9"/>
    <w:rsid w:val="006F29F8"/>
    <w:rPr>
      <w:rFonts w:ascii="Verdana" w:eastAsiaTheme="majorEastAsia" w:hAnsi="Verdana" w:cstheme="majorBidi"/>
      <w:b/>
      <w:sz w:val="30"/>
      <w:szCs w:val="28"/>
    </w:rPr>
  </w:style>
  <w:style w:type="character" w:customStyle="1" w:styleId="Heading4Char">
    <w:name w:val="Heading 4 Char"/>
    <w:basedOn w:val="DefaultParagraphFont"/>
    <w:link w:val="Heading4"/>
    <w:uiPriority w:val="9"/>
    <w:rsid w:val="006F29F8"/>
    <w:rPr>
      <w:rFonts w:ascii="Verdana" w:eastAsiaTheme="majorEastAsia" w:hAnsi="Verdana" w:cstheme="majorBidi"/>
      <w:b/>
      <w:iCs/>
    </w:rPr>
  </w:style>
  <w:style w:type="character" w:customStyle="1" w:styleId="Heading5Char">
    <w:name w:val="Heading 5 Char"/>
    <w:basedOn w:val="DefaultParagraphFont"/>
    <w:link w:val="Heading5"/>
    <w:uiPriority w:val="9"/>
    <w:semiHidden/>
    <w:rsid w:val="001D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326"/>
    <w:rPr>
      <w:rFonts w:eastAsiaTheme="majorEastAsia" w:cstheme="majorBidi"/>
      <w:color w:val="272727" w:themeColor="text1" w:themeTint="D8"/>
    </w:rPr>
  </w:style>
  <w:style w:type="paragraph" w:styleId="Title">
    <w:name w:val="Title"/>
    <w:basedOn w:val="Normal"/>
    <w:next w:val="Normal"/>
    <w:link w:val="TitleChar"/>
    <w:uiPriority w:val="10"/>
    <w:qFormat/>
    <w:rsid w:val="001D2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9F8"/>
    <w:pPr>
      <w:ind w:left="862" w:right="862"/>
    </w:pPr>
    <w:rPr>
      <w:iCs/>
    </w:rPr>
  </w:style>
  <w:style w:type="character" w:customStyle="1" w:styleId="QuoteChar">
    <w:name w:val="Quote Char"/>
    <w:basedOn w:val="DefaultParagraphFont"/>
    <w:link w:val="Quote"/>
    <w:uiPriority w:val="29"/>
    <w:rsid w:val="006F29F8"/>
    <w:rPr>
      <w:rFonts w:ascii="Verdana" w:hAnsi="Verdana"/>
      <w:iC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1D2326"/>
    <w:pPr>
      <w:ind w:left="720"/>
      <w:contextualSpacing/>
    </w:pPr>
  </w:style>
  <w:style w:type="character" w:styleId="IntenseEmphasis">
    <w:name w:val="Intense Emphasis"/>
    <w:basedOn w:val="DefaultParagraphFont"/>
    <w:uiPriority w:val="21"/>
    <w:qFormat/>
    <w:rsid w:val="001D2326"/>
    <w:rPr>
      <w:i/>
      <w:iCs/>
      <w:color w:val="0F4761" w:themeColor="accent1" w:themeShade="BF"/>
    </w:rPr>
  </w:style>
  <w:style w:type="paragraph" w:styleId="IntenseQuote">
    <w:name w:val="Intense Quote"/>
    <w:basedOn w:val="Normal"/>
    <w:next w:val="Normal"/>
    <w:link w:val="IntenseQuoteChar"/>
    <w:uiPriority w:val="30"/>
    <w:qFormat/>
    <w:rsid w:val="001D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326"/>
    <w:rPr>
      <w:i/>
      <w:iCs/>
      <w:color w:val="0F4761" w:themeColor="accent1" w:themeShade="BF"/>
    </w:rPr>
  </w:style>
  <w:style w:type="character" w:styleId="IntenseReference">
    <w:name w:val="Intense Reference"/>
    <w:basedOn w:val="DefaultParagraphFont"/>
    <w:uiPriority w:val="32"/>
    <w:qFormat/>
    <w:rsid w:val="001D2326"/>
    <w:rPr>
      <w:b/>
      <w:bCs/>
      <w:smallCaps/>
      <w:color w:val="0F4761" w:themeColor="accent1" w:themeShade="BF"/>
      <w:spacing w:val="5"/>
    </w:rPr>
  </w:style>
  <w:style w:type="character" w:styleId="CommentReference">
    <w:name w:val="annotation reference"/>
    <w:basedOn w:val="DefaultParagraphFont"/>
    <w:uiPriority w:val="99"/>
    <w:semiHidden/>
    <w:unhideWhenUsed/>
    <w:rsid w:val="004A336E"/>
    <w:rPr>
      <w:sz w:val="16"/>
      <w:szCs w:val="16"/>
    </w:rPr>
  </w:style>
  <w:style w:type="paragraph" w:styleId="CommentText">
    <w:name w:val="annotation text"/>
    <w:basedOn w:val="Normal"/>
    <w:link w:val="CommentTextChar"/>
    <w:uiPriority w:val="99"/>
    <w:unhideWhenUsed/>
    <w:rsid w:val="004A336E"/>
    <w:pPr>
      <w:spacing w:line="240" w:lineRule="auto"/>
    </w:pPr>
    <w:rPr>
      <w:sz w:val="20"/>
      <w:szCs w:val="20"/>
    </w:rPr>
  </w:style>
  <w:style w:type="character" w:customStyle="1" w:styleId="CommentTextChar">
    <w:name w:val="Comment Text Char"/>
    <w:basedOn w:val="DefaultParagraphFont"/>
    <w:link w:val="CommentText"/>
    <w:uiPriority w:val="99"/>
    <w:rsid w:val="004A336E"/>
    <w:rPr>
      <w:sz w:val="20"/>
      <w:szCs w:val="20"/>
    </w:rPr>
  </w:style>
  <w:style w:type="character" w:styleId="Hyperlink">
    <w:name w:val="Hyperlink"/>
    <w:basedOn w:val="DefaultParagraphFont"/>
    <w:uiPriority w:val="99"/>
    <w:unhideWhenUsed/>
    <w:rsid w:val="004A336E"/>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4A336E"/>
    <w:rPr>
      <w:b/>
      <w:bCs/>
    </w:rPr>
  </w:style>
  <w:style w:type="character" w:customStyle="1" w:styleId="CommentSubjectChar">
    <w:name w:val="Comment Subject Char"/>
    <w:basedOn w:val="CommentTextChar"/>
    <w:link w:val="CommentSubject"/>
    <w:uiPriority w:val="99"/>
    <w:semiHidden/>
    <w:rsid w:val="004A336E"/>
    <w:rPr>
      <w:b/>
      <w:bCs/>
      <w:sz w:val="20"/>
      <w:szCs w:val="20"/>
    </w:rPr>
  </w:style>
  <w:style w:type="character" w:styleId="UnresolvedMention">
    <w:name w:val="Unresolved Mention"/>
    <w:basedOn w:val="DefaultParagraphFont"/>
    <w:uiPriority w:val="99"/>
    <w:semiHidden/>
    <w:unhideWhenUsed/>
    <w:rsid w:val="00F357A0"/>
    <w:rPr>
      <w:color w:val="605E5C"/>
      <w:shd w:val="clear" w:color="auto" w:fill="E1DFDD"/>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8A3B93"/>
    <w:pPr>
      <w:spacing w:line="240"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8A3B93"/>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8A3B93"/>
    <w:rPr>
      <w:vertAlign w:val="superscript"/>
    </w:rPr>
  </w:style>
  <w:style w:type="character" w:styleId="FollowedHyperlink">
    <w:name w:val="FollowedHyperlink"/>
    <w:basedOn w:val="DefaultParagraphFont"/>
    <w:uiPriority w:val="99"/>
    <w:semiHidden/>
    <w:unhideWhenUsed/>
    <w:rsid w:val="002B6ADD"/>
    <w:rPr>
      <w:color w:val="96607D"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D5AF6"/>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0D5AF6"/>
    <w:pPr>
      <w:spacing w:line="240" w:lineRule="exact"/>
      <w:jc w:val="both"/>
    </w:pPr>
    <w:rPr>
      <w:vertAlign w:val="superscript"/>
    </w:rPr>
  </w:style>
  <w:style w:type="paragraph" w:styleId="BodyText">
    <w:name w:val="Body Text"/>
    <w:basedOn w:val="Normal"/>
    <w:link w:val="BodyTextChar"/>
    <w:uiPriority w:val="99"/>
    <w:semiHidden/>
    <w:unhideWhenUsed/>
    <w:rsid w:val="00A01645"/>
    <w:pPr>
      <w:spacing w:after="120"/>
    </w:pPr>
  </w:style>
  <w:style w:type="character" w:customStyle="1" w:styleId="BodyTextChar">
    <w:name w:val="Body Text Char"/>
    <w:basedOn w:val="DefaultParagraphFont"/>
    <w:link w:val="BodyText"/>
    <w:uiPriority w:val="99"/>
    <w:semiHidden/>
    <w:rsid w:val="00A01645"/>
  </w:style>
  <w:style w:type="paragraph" w:styleId="Header">
    <w:name w:val="header"/>
    <w:basedOn w:val="Normal"/>
    <w:link w:val="HeaderChar"/>
    <w:uiPriority w:val="99"/>
    <w:unhideWhenUsed/>
    <w:rsid w:val="00291061"/>
    <w:pPr>
      <w:tabs>
        <w:tab w:val="center" w:pos="4513"/>
        <w:tab w:val="right" w:pos="9026"/>
      </w:tabs>
      <w:spacing w:line="240" w:lineRule="auto"/>
    </w:pPr>
  </w:style>
  <w:style w:type="character" w:customStyle="1" w:styleId="HeaderChar">
    <w:name w:val="Header Char"/>
    <w:basedOn w:val="DefaultParagraphFont"/>
    <w:link w:val="Header"/>
    <w:uiPriority w:val="99"/>
    <w:rsid w:val="00291061"/>
  </w:style>
  <w:style w:type="paragraph" w:styleId="Footer">
    <w:name w:val="footer"/>
    <w:basedOn w:val="Normal"/>
    <w:link w:val="FooterChar"/>
    <w:uiPriority w:val="99"/>
    <w:unhideWhenUsed/>
    <w:rsid w:val="00291061"/>
    <w:pPr>
      <w:tabs>
        <w:tab w:val="center" w:pos="4513"/>
        <w:tab w:val="right" w:pos="9026"/>
      </w:tabs>
      <w:spacing w:line="240" w:lineRule="auto"/>
    </w:pPr>
  </w:style>
  <w:style w:type="character" w:customStyle="1" w:styleId="FooterChar">
    <w:name w:val="Footer Char"/>
    <w:basedOn w:val="DefaultParagraphFont"/>
    <w:link w:val="Footer"/>
    <w:uiPriority w:val="99"/>
    <w:rsid w:val="00291061"/>
  </w:style>
  <w:style w:type="paragraph" w:styleId="TOCHeading">
    <w:name w:val="TOC Heading"/>
    <w:basedOn w:val="Heading1"/>
    <w:next w:val="Normal"/>
    <w:uiPriority w:val="39"/>
    <w:unhideWhenUsed/>
    <w:qFormat/>
    <w:rsid w:val="0003500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63E2F"/>
    <w:pPr>
      <w:tabs>
        <w:tab w:val="left" w:pos="720"/>
        <w:tab w:val="right" w:leader="dot" w:pos="9016"/>
      </w:tabs>
      <w:spacing w:after="100"/>
    </w:pPr>
    <w:rPr>
      <w:b/>
      <w:noProof/>
    </w:rPr>
  </w:style>
  <w:style w:type="paragraph" w:styleId="TOC2">
    <w:name w:val="toc 2"/>
    <w:basedOn w:val="Normal"/>
    <w:next w:val="Normal"/>
    <w:autoRedefine/>
    <w:uiPriority w:val="39"/>
    <w:unhideWhenUsed/>
    <w:rsid w:val="000242F5"/>
    <w:pPr>
      <w:tabs>
        <w:tab w:val="left" w:pos="960"/>
        <w:tab w:val="right" w:leader="dot" w:pos="9016"/>
      </w:tabs>
      <w:spacing w:after="100"/>
      <w:ind w:left="240"/>
    </w:pPr>
    <w:rPr>
      <w:b/>
      <w:bCs/>
      <w:noProof/>
    </w:rPr>
  </w:style>
  <w:style w:type="table" w:styleId="TableGrid">
    <w:name w:val="Table Grid"/>
    <w:basedOn w:val="TableNormal"/>
    <w:uiPriority w:val="39"/>
    <w:rsid w:val="006F29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776A"/>
    <w:pPr>
      <w:spacing w:line="240" w:lineRule="auto"/>
    </w:pPr>
    <w:rPr>
      <w:rFonts w:ascii="Verdana" w:hAnsi="Verdana"/>
    </w:rPr>
  </w:style>
  <w:style w:type="paragraph" w:customStyle="1" w:styleId="NIHRCFootnotes">
    <w:name w:val="NIHRC Footnotes"/>
    <w:basedOn w:val="Normal"/>
    <w:qFormat/>
    <w:rsid w:val="000D72EC"/>
    <w:pPr>
      <w:tabs>
        <w:tab w:val="left" w:pos="284"/>
      </w:tabs>
      <w:spacing w:line="240" w:lineRule="auto"/>
    </w:pPr>
    <w:rPr>
      <w:rFonts w:eastAsiaTheme="minorEastAsia" w:cs="Arial"/>
      <w:color w:val="77328A"/>
      <w:kern w:val="0"/>
      <w:sz w:val="16"/>
      <w:szCs w:val="16"/>
      <w14:ligatures w14:val="none"/>
    </w:rPr>
  </w:style>
  <w:style w:type="paragraph" w:styleId="TOC3">
    <w:name w:val="toc 3"/>
    <w:basedOn w:val="Normal"/>
    <w:next w:val="Normal"/>
    <w:autoRedefine/>
    <w:uiPriority w:val="39"/>
    <w:unhideWhenUsed/>
    <w:rsid w:val="000242F5"/>
    <w:pPr>
      <w:spacing w:after="100"/>
      <w:ind w:left="480"/>
    </w:pPr>
  </w:style>
  <w:style w:type="character" w:styleId="Mention">
    <w:name w:val="Mention"/>
    <w:basedOn w:val="DefaultParagraphFont"/>
    <w:uiPriority w:val="99"/>
    <w:unhideWhenUsed/>
    <w:rsid w:val="00815CA4"/>
    <w:rPr>
      <w:color w:val="2B579A"/>
      <w:shd w:val="clear" w:color="auto" w:fill="E1DFDD"/>
    </w:rPr>
  </w:style>
  <w:style w:type="character" w:customStyle="1" w:styleId="cf01">
    <w:name w:val="cf01"/>
    <w:basedOn w:val="DefaultParagraphFont"/>
    <w:rsid w:val="008A5FEA"/>
    <w:rPr>
      <w:rFonts w:ascii="Segoe UI" w:hAnsi="Segoe UI" w:cs="Segoe UI" w:hint="default"/>
      <w:color w:val="001D35"/>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938">
      <w:bodyDiv w:val="1"/>
      <w:marLeft w:val="0"/>
      <w:marRight w:val="0"/>
      <w:marTop w:val="0"/>
      <w:marBottom w:val="0"/>
      <w:divBdr>
        <w:top w:val="none" w:sz="0" w:space="0" w:color="auto"/>
        <w:left w:val="none" w:sz="0" w:space="0" w:color="auto"/>
        <w:bottom w:val="none" w:sz="0" w:space="0" w:color="auto"/>
        <w:right w:val="none" w:sz="0" w:space="0" w:color="auto"/>
      </w:divBdr>
    </w:div>
    <w:div w:id="76948449">
      <w:bodyDiv w:val="1"/>
      <w:marLeft w:val="0"/>
      <w:marRight w:val="0"/>
      <w:marTop w:val="0"/>
      <w:marBottom w:val="0"/>
      <w:divBdr>
        <w:top w:val="none" w:sz="0" w:space="0" w:color="auto"/>
        <w:left w:val="none" w:sz="0" w:space="0" w:color="auto"/>
        <w:bottom w:val="none" w:sz="0" w:space="0" w:color="auto"/>
        <w:right w:val="none" w:sz="0" w:space="0" w:color="auto"/>
      </w:divBdr>
    </w:div>
    <w:div w:id="185287536">
      <w:bodyDiv w:val="1"/>
      <w:marLeft w:val="0"/>
      <w:marRight w:val="0"/>
      <w:marTop w:val="0"/>
      <w:marBottom w:val="0"/>
      <w:divBdr>
        <w:top w:val="none" w:sz="0" w:space="0" w:color="auto"/>
        <w:left w:val="none" w:sz="0" w:space="0" w:color="auto"/>
        <w:bottom w:val="none" w:sz="0" w:space="0" w:color="auto"/>
        <w:right w:val="none" w:sz="0" w:space="0" w:color="auto"/>
      </w:divBdr>
    </w:div>
    <w:div w:id="287979647">
      <w:bodyDiv w:val="1"/>
      <w:marLeft w:val="0"/>
      <w:marRight w:val="0"/>
      <w:marTop w:val="0"/>
      <w:marBottom w:val="0"/>
      <w:divBdr>
        <w:top w:val="none" w:sz="0" w:space="0" w:color="auto"/>
        <w:left w:val="none" w:sz="0" w:space="0" w:color="auto"/>
        <w:bottom w:val="none" w:sz="0" w:space="0" w:color="auto"/>
        <w:right w:val="none" w:sz="0" w:space="0" w:color="auto"/>
      </w:divBdr>
    </w:div>
    <w:div w:id="392893368">
      <w:bodyDiv w:val="1"/>
      <w:marLeft w:val="0"/>
      <w:marRight w:val="0"/>
      <w:marTop w:val="0"/>
      <w:marBottom w:val="0"/>
      <w:divBdr>
        <w:top w:val="none" w:sz="0" w:space="0" w:color="auto"/>
        <w:left w:val="none" w:sz="0" w:space="0" w:color="auto"/>
        <w:bottom w:val="none" w:sz="0" w:space="0" w:color="auto"/>
        <w:right w:val="none" w:sz="0" w:space="0" w:color="auto"/>
      </w:divBdr>
    </w:div>
    <w:div w:id="405303582">
      <w:bodyDiv w:val="1"/>
      <w:marLeft w:val="0"/>
      <w:marRight w:val="0"/>
      <w:marTop w:val="0"/>
      <w:marBottom w:val="0"/>
      <w:divBdr>
        <w:top w:val="none" w:sz="0" w:space="0" w:color="auto"/>
        <w:left w:val="none" w:sz="0" w:space="0" w:color="auto"/>
        <w:bottom w:val="none" w:sz="0" w:space="0" w:color="auto"/>
        <w:right w:val="none" w:sz="0" w:space="0" w:color="auto"/>
      </w:divBdr>
    </w:div>
    <w:div w:id="405618390">
      <w:bodyDiv w:val="1"/>
      <w:marLeft w:val="0"/>
      <w:marRight w:val="0"/>
      <w:marTop w:val="0"/>
      <w:marBottom w:val="0"/>
      <w:divBdr>
        <w:top w:val="none" w:sz="0" w:space="0" w:color="auto"/>
        <w:left w:val="none" w:sz="0" w:space="0" w:color="auto"/>
        <w:bottom w:val="none" w:sz="0" w:space="0" w:color="auto"/>
        <w:right w:val="none" w:sz="0" w:space="0" w:color="auto"/>
      </w:divBdr>
    </w:div>
    <w:div w:id="444622747">
      <w:bodyDiv w:val="1"/>
      <w:marLeft w:val="0"/>
      <w:marRight w:val="0"/>
      <w:marTop w:val="0"/>
      <w:marBottom w:val="0"/>
      <w:divBdr>
        <w:top w:val="none" w:sz="0" w:space="0" w:color="auto"/>
        <w:left w:val="none" w:sz="0" w:space="0" w:color="auto"/>
        <w:bottom w:val="none" w:sz="0" w:space="0" w:color="auto"/>
        <w:right w:val="none" w:sz="0" w:space="0" w:color="auto"/>
      </w:divBdr>
    </w:div>
    <w:div w:id="447356452">
      <w:bodyDiv w:val="1"/>
      <w:marLeft w:val="0"/>
      <w:marRight w:val="0"/>
      <w:marTop w:val="0"/>
      <w:marBottom w:val="0"/>
      <w:divBdr>
        <w:top w:val="none" w:sz="0" w:space="0" w:color="auto"/>
        <w:left w:val="none" w:sz="0" w:space="0" w:color="auto"/>
        <w:bottom w:val="none" w:sz="0" w:space="0" w:color="auto"/>
        <w:right w:val="none" w:sz="0" w:space="0" w:color="auto"/>
      </w:divBdr>
    </w:div>
    <w:div w:id="467741788">
      <w:bodyDiv w:val="1"/>
      <w:marLeft w:val="0"/>
      <w:marRight w:val="0"/>
      <w:marTop w:val="0"/>
      <w:marBottom w:val="0"/>
      <w:divBdr>
        <w:top w:val="none" w:sz="0" w:space="0" w:color="auto"/>
        <w:left w:val="none" w:sz="0" w:space="0" w:color="auto"/>
        <w:bottom w:val="none" w:sz="0" w:space="0" w:color="auto"/>
        <w:right w:val="none" w:sz="0" w:space="0" w:color="auto"/>
      </w:divBdr>
    </w:div>
    <w:div w:id="498034633">
      <w:bodyDiv w:val="1"/>
      <w:marLeft w:val="0"/>
      <w:marRight w:val="0"/>
      <w:marTop w:val="0"/>
      <w:marBottom w:val="0"/>
      <w:divBdr>
        <w:top w:val="none" w:sz="0" w:space="0" w:color="auto"/>
        <w:left w:val="none" w:sz="0" w:space="0" w:color="auto"/>
        <w:bottom w:val="none" w:sz="0" w:space="0" w:color="auto"/>
        <w:right w:val="none" w:sz="0" w:space="0" w:color="auto"/>
      </w:divBdr>
    </w:div>
    <w:div w:id="506600337">
      <w:bodyDiv w:val="1"/>
      <w:marLeft w:val="0"/>
      <w:marRight w:val="0"/>
      <w:marTop w:val="0"/>
      <w:marBottom w:val="0"/>
      <w:divBdr>
        <w:top w:val="none" w:sz="0" w:space="0" w:color="auto"/>
        <w:left w:val="none" w:sz="0" w:space="0" w:color="auto"/>
        <w:bottom w:val="none" w:sz="0" w:space="0" w:color="auto"/>
        <w:right w:val="none" w:sz="0" w:space="0" w:color="auto"/>
      </w:divBdr>
    </w:div>
    <w:div w:id="574626149">
      <w:bodyDiv w:val="1"/>
      <w:marLeft w:val="0"/>
      <w:marRight w:val="0"/>
      <w:marTop w:val="0"/>
      <w:marBottom w:val="0"/>
      <w:divBdr>
        <w:top w:val="none" w:sz="0" w:space="0" w:color="auto"/>
        <w:left w:val="none" w:sz="0" w:space="0" w:color="auto"/>
        <w:bottom w:val="none" w:sz="0" w:space="0" w:color="auto"/>
        <w:right w:val="none" w:sz="0" w:space="0" w:color="auto"/>
      </w:divBdr>
    </w:div>
    <w:div w:id="579602520">
      <w:bodyDiv w:val="1"/>
      <w:marLeft w:val="0"/>
      <w:marRight w:val="0"/>
      <w:marTop w:val="0"/>
      <w:marBottom w:val="0"/>
      <w:divBdr>
        <w:top w:val="none" w:sz="0" w:space="0" w:color="auto"/>
        <w:left w:val="none" w:sz="0" w:space="0" w:color="auto"/>
        <w:bottom w:val="none" w:sz="0" w:space="0" w:color="auto"/>
        <w:right w:val="none" w:sz="0" w:space="0" w:color="auto"/>
      </w:divBdr>
    </w:div>
    <w:div w:id="681123559">
      <w:bodyDiv w:val="1"/>
      <w:marLeft w:val="0"/>
      <w:marRight w:val="0"/>
      <w:marTop w:val="0"/>
      <w:marBottom w:val="0"/>
      <w:divBdr>
        <w:top w:val="none" w:sz="0" w:space="0" w:color="auto"/>
        <w:left w:val="none" w:sz="0" w:space="0" w:color="auto"/>
        <w:bottom w:val="none" w:sz="0" w:space="0" w:color="auto"/>
        <w:right w:val="none" w:sz="0" w:space="0" w:color="auto"/>
      </w:divBdr>
    </w:div>
    <w:div w:id="872502938">
      <w:bodyDiv w:val="1"/>
      <w:marLeft w:val="0"/>
      <w:marRight w:val="0"/>
      <w:marTop w:val="0"/>
      <w:marBottom w:val="0"/>
      <w:divBdr>
        <w:top w:val="none" w:sz="0" w:space="0" w:color="auto"/>
        <w:left w:val="none" w:sz="0" w:space="0" w:color="auto"/>
        <w:bottom w:val="none" w:sz="0" w:space="0" w:color="auto"/>
        <w:right w:val="none" w:sz="0" w:space="0" w:color="auto"/>
      </w:divBdr>
    </w:div>
    <w:div w:id="919829318">
      <w:bodyDiv w:val="1"/>
      <w:marLeft w:val="0"/>
      <w:marRight w:val="0"/>
      <w:marTop w:val="0"/>
      <w:marBottom w:val="0"/>
      <w:divBdr>
        <w:top w:val="none" w:sz="0" w:space="0" w:color="auto"/>
        <w:left w:val="none" w:sz="0" w:space="0" w:color="auto"/>
        <w:bottom w:val="none" w:sz="0" w:space="0" w:color="auto"/>
        <w:right w:val="none" w:sz="0" w:space="0" w:color="auto"/>
      </w:divBdr>
    </w:div>
    <w:div w:id="971791999">
      <w:bodyDiv w:val="1"/>
      <w:marLeft w:val="0"/>
      <w:marRight w:val="0"/>
      <w:marTop w:val="0"/>
      <w:marBottom w:val="0"/>
      <w:divBdr>
        <w:top w:val="none" w:sz="0" w:space="0" w:color="auto"/>
        <w:left w:val="none" w:sz="0" w:space="0" w:color="auto"/>
        <w:bottom w:val="none" w:sz="0" w:space="0" w:color="auto"/>
        <w:right w:val="none" w:sz="0" w:space="0" w:color="auto"/>
      </w:divBdr>
    </w:div>
    <w:div w:id="983311575">
      <w:bodyDiv w:val="1"/>
      <w:marLeft w:val="0"/>
      <w:marRight w:val="0"/>
      <w:marTop w:val="0"/>
      <w:marBottom w:val="0"/>
      <w:divBdr>
        <w:top w:val="none" w:sz="0" w:space="0" w:color="auto"/>
        <w:left w:val="none" w:sz="0" w:space="0" w:color="auto"/>
        <w:bottom w:val="none" w:sz="0" w:space="0" w:color="auto"/>
        <w:right w:val="none" w:sz="0" w:space="0" w:color="auto"/>
      </w:divBdr>
    </w:div>
    <w:div w:id="1004942940">
      <w:bodyDiv w:val="1"/>
      <w:marLeft w:val="0"/>
      <w:marRight w:val="0"/>
      <w:marTop w:val="0"/>
      <w:marBottom w:val="0"/>
      <w:divBdr>
        <w:top w:val="none" w:sz="0" w:space="0" w:color="auto"/>
        <w:left w:val="none" w:sz="0" w:space="0" w:color="auto"/>
        <w:bottom w:val="none" w:sz="0" w:space="0" w:color="auto"/>
        <w:right w:val="none" w:sz="0" w:space="0" w:color="auto"/>
      </w:divBdr>
    </w:div>
    <w:div w:id="1027221651">
      <w:bodyDiv w:val="1"/>
      <w:marLeft w:val="0"/>
      <w:marRight w:val="0"/>
      <w:marTop w:val="0"/>
      <w:marBottom w:val="0"/>
      <w:divBdr>
        <w:top w:val="none" w:sz="0" w:space="0" w:color="auto"/>
        <w:left w:val="none" w:sz="0" w:space="0" w:color="auto"/>
        <w:bottom w:val="none" w:sz="0" w:space="0" w:color="auto"/>
        <w:right w:val="none" w:sz="0" w:space="0" w:color="auto"/>
      </w:divBdr>
    </w:div>
    <w:div w:id="1041324804">
      <w:bodyDiv w:val="1"/>
      <w:marLeft w:val="0"/>
      <w:marRight w:val="0"/>
      <w:marTop w:val="0"/>
      <w:marBottom w:val="0"/>
      <w:divBdr>
        <w:top w:val="none" w:sz="0" w:space="0" w:color="auto"/>
        <w:left w:val="none" w:sz="0" w:space="0" w:color="auto"/>
        <w:bottom w:val="none" w:sz="0" w:space="0" w:color="auto"/>
        <w:right w:val="none" w:sz="0" w:space="0" w:color="auto"/>
      </w:divBdr>
    </w:div>
    <w:div w:id="1056591061">
      <w:bodyDiv w:val="1"/>
      <w:marLeft w:val="0"/>
      <w:marRight w:val="0"/>
      <w:marTop w:val="0"/>
      <w:marBottom w:val="0"/>
      <w:divBdr>
        <w:top w:val="none" w:sz="0" w:space="0" w:color="auto"/>
        <w:left w:val="none" w:sz="0" w:space="0" w:color="auto"/>
        <w:bottom w:val="none" w:sz="0" w:space="0" w:color="auto"/>
        <w:right w:val="none" w:sz="0" w:space="0" w:color="auto"/>
      </w:divBdr>
    </w:div>
    <w:div w:id="1061712425">
      <w:bodyDiv w:val="1"/>
      <w:marLeft w:val="0"/>
      <w:marRight w:val="0"/>
      <w:marTop w:val="0"/>
      <w:marBottom w:val="0"/>
      <w:divBdr>
        <w:top w:val="none" w:sz="0" w:space="0" w:color="auto"/>
        <w:left w:val="none" w:sz="0" w:space="0" w:color="auto"/>
        <w:bottom w:val="none" w:sz="0" w:space="0" w:color="auto"/>
        <w:right w:val="none" w:sz="0" w:space="0" w:color="auto"/>
      </w:divBdr>
    </w:div>
    <w:div w:id="1062605727">
      <w:bodyDiv w:val="1"/>
      <w:marLeft w:val="0"/>
      <w:marRight w:val="0"/>
      <w:marTop w:val="0"/>
      <w:marBottom w:val="0"/>
      <w:divBdr>
        <w:top w:val="none" w:sz="0" w:space="0" w:color="auto"/>
        <w:left w:val="none" w:sz="0" w:space="0" w:color="auto"/>
        <w:bottom w:val="none" w:sz="0" w:space="0" w:color="auto"/>
        <w:right w:val="none" w:sz="0" w:space="0" w:color="auto"/>
      </w:divBdr>
    </w:div>
    <w:div w:id="1079596358">
      <w:bodyDiv w:val="1"/>
      <w:marLeft w:val="0"/>
      <w:marRight w:val="0"/>
      <w:marTop w:val="0"/>
      <w:marBottom w:val="0"/>
      <w:divBdr>
        <w:top w:val="none" w:sz="0" w:space="0" w:color="auto"/>
        <w:left w:val="none" w:sz="0" w:space="0" w:color="auto"/>
        <w:bottom w:val="none" w:sz="0" w:space="0" w:color="auto"/>
        <w:right w:val="none" w:sz="0" w:space="0" w:color="auto"/>
      </w:divBdr>
    </w:div>
    <w:div w:id="1120761519">
      <w:bodyDiv w:val="1"/>
      <w:marLeft w:val="0"/>
      <w:marRight w:val="0"/>
      <w:marTop w:val="0"/>
      <w:marBottom w:val="0"/>
      <w:divBdr>
        <w:top w:val="none" w:sz="0" w:space="0" w:color="auto"/>
        <w:left w:val="none" w:sz="0" w:space="0" w:color="auto"/>
        <w:bottom w:val="none" w:sz="0" w:space="0" w:color="auto"/>
        <w:right w:val="none" w:sz="0" w:space="0" w:color="auto"/>
      </w:divBdr>
    </w:div>
    <w:div w:id="1229416967">
      <w:bodyDiv w:val="1"/>
      <w:marLeft w:val="0"/>
      <w:marRight w:val="0"/>
      <w:marTop w:val="0"/>
      <w:marBottom w:val="0"/>
      <w:divBdr>
        <w:top w:val="none" w:sz="0" w:space="0" w:color="auto"/>
        <w:left w:val="none" w:sz="0" w:space="0" w:color="auto"/>
        <w:bottom w:val="none" w:sz="0" w:space="0" w:color="auto"/>
        <w:right w:val="none" w:sz="0" w:space="0" w:color="auto"/>
      </w:divBdr>
    </w:div>
    <w:div w:id="1251889523">
      <w:bodyDiv w:val="1"/>
      <w:marLeft w:val="0"/>
      <w:marRight w:val="0"/>
      <w:marTop w:val="0"/>
      <w:marBottom w:val="0"/>
      <w:divBdr>
        <w:top w:val="none" w:sz="0" w:space="0" w:color="auto"/>
        <w:left w:val="none" w:sz="0" w:space="0" w:color="auto"/>
        <w:bottom w:val="none" w:sz="0" w:space="0" w:color="auto"/>
        <w:right w:val="none" w:sz="0" w:space="0" w:color="auto"/>
      </w:divBdr>
    </w:div>
    <w:div w:id="1304964990">
      <w:bodyDiv w:val="1"/>
      <w:marLeft w:val="0"/>
      <w:marRight w:val="0"/>
      <w:marTop w:val="0"/>
      <w:marBottom w:val="0"/>
      <w:divBdr>
        <w:top w:val="none" w:sz="0" w:space="0" w:color="auto"/>
        <w:left w:val="none" w:sz="0" w:space="0" w:color="auto"/>
        <w:bottom w:val="none" w:sz="0" w:space="0" w:color="auto"/>
        <w:right w:val="none" w:sz="0" w:space="0" w:color="auto"/>
      </w:divBdr>
    </w:div>
    <w:div w:id="1313025253">
      <w:bodyDiv w:val="1"/>
      <w:marLeft w:val="0"/>
      <w:marRight w:val="0"/>
      <w:marTop w:val="0"/>
      <w:marBottom w:val="0"/>
      <w:divBdr>
        <w:top w:val="none" w:sz="0" w:space="0" w:color="auto"/>
        <w:left w:val="none" w:sz="0" w:space="0" w:color="auto"/>
        <w:bottom w:val="none" w:sz="0" w:space="0" w:color="auto"/>
        <w:right w:val="none" w:sz="0" w:space="0" w:color="auto"/>
      </w:divBdr>
    </w:div>
    <w:div w:id="1317106279">
      <w:bodyDiv w:val="1"/>
      <w:marLeft w:val="0"/>
      <w:marRight w:val="0"/>
      <w:marTop w:val="0"/>
      <w:marBottom w:val="0"/>
      <w:divBdr>
        <w:top w:val="none" w:sz="0" w:space="0" w:color="auto"/>
        <w:left w:val="none" w:sz="0" w:space="0" w:color="auto"/>
        <w:bottom w:val="none" w:sz="0" w:space="0" w:color="auto"/>
        <w:right w:val="none" w:sz="0" w:space="0" w:color="auto"/>
      </w:divBdr>
    </w:div>
    <w:div w:id="1321933407">
      <w:bodyDiv w:val="1"/>
      <w:marLeft w:val="0"/>
      <w:marRight w:val="0"/>
      <w:marTop w:val="0"/>
      <w:marBottom w:val="0"/>
      <w:divBdr>
        <w:top w:val="none" w:sz="0" w:space="0" w:color="auto"/>
        <w:left w:val="none" w:sz="0" w:space="0" w:color="auto"/>
        <w:bottom w:val="none" w:sz="0" w:space="0" w:color="auto"/>
        <w:right w:val="none" w:sz="0" w:space="0" w:color="auto"/>
      </w:divBdr>
    </w:div>
    <w:div w:id="1366446550">
      <w:bodyDiv w:val="1"/>
      <w:marLeft w:val="0"/>
      <w:marRight w:val="0"/>
      <w:marTop w:val="0"/>
      <w:marBottom w:val="0"/>
      <w:divBdr>
        <w:top w:val="none" w:sz="0" w:space="0" w:color="auto"/>
        <w:left w:val="none" w:sz="0" w:space="0" w:color="auto"/>
        <w:bottom w:val="none" w:sz="0" w:space="0" w:color="auto"/>
        <w:right w:val="none" w:sz="0" w:space="0" w:color="auto"/>
      </w:divBdr>
    </w:div>
    <w:div w:id="1373261714">
      <w:bodyDiv w:val="1"/>
      <w:marLeft w:val="0"/>
      <w:marRight w:val="0"/>
      <w:marTop w:val="0"/>
      <w:marBottom w:val="0"/>
      <w:divBdr>
        <w:top w:val="none" w:sz="0" w:space="0" w:color="auto"/>
        <w:left w:val="none" w:sz="0" w:space="0" w:color="auto"/>
        <w:bottom w:val="none" w:sz="0" w:space="0" w:color="auto"/>
        <w:right w:val="none" w:sz="0" w:space="0" w:color="auto"/>
      </w:divBdr>
    </w:div>
    <w:div w:id="1389765069">
      <w:bodyDiv w:val="1"/>
      <w:marLeft w:val="0"/>
      <w:marRight w:val="0"/>
      <w:marTop w:val="0"/>
      <w:marBottom w:val="0"/>
      <w:divBdr>
        <w:top w:val="none" w:sz="0" w:space="0" w:color="auto"/>
        <w:left w:val="none" w:sz="0" w:space="0" w:color="auto"/>
        <w:bottom w:val="none" w:sz="0" w:space="0" w:color="auto"/>
        <w:right w:val="none" w:sz="0" w:space="0" w:color="auto"/>
      </w:divBdr>
    </w:div>
    <w:div w:id="1434129002">
      <w:bodyDiv w:val="1"/>
      <w:marLeft w:val="0"/>
      <w:marRight w:val="0"/>
      <w:marTop w:val="0"/>
      <w:marBottom w:val="0"/>
      <w:divBdr>
        <w:top w:val="none" w:sz="0" w:space="0" w:color="auto"/>
        <w:left w:val="none" w:sz="0" w:space="0" w:color="auto"/>
        <w:bottom w:val="none" w:sz="0" w:space="0" w:color="auto"/>
        <w:right w:val="none" w:sz="0" w:space="0" w:color="auto"/>
      </w:divBdr>
    </w:div>
    <w:div w:id="1484346646">
      <w:bodyDiv w:val="1"/>
      <w:marLeft w:val="0"/>
      <w:marRight w:val="0"/>
      <w:marTop w:val="0"/>
      <w:marBottom w:val="0"/>
      <w:divBdr>
        <w:top w:val="none" w:sz="0" w:space="0" w:color="auto"/>
        <w:left w:val="none" w:sz="0" w:space="0" w:color="auto"/>
        <w:bottom w:val="none" w:sz="0" w:space="0" w:color="auto"/>
        <w:right w:val="none" w:sz="0" w:space="0" w:color="auto"/>
      </w:divBdr>
    </w:div>
    <w:div w:id="1508400755">
      <w:bodyDiv w:val="1"/>
      <w:marLeft w:val="0"/>
      <w:marRight w:val="0"/>
      <w:marTop w:val="0"/>
      <w:marBottom w:val="0"/>
      <w:divBdr>
        <w:top w:val="none" w:sz="0" w:space="0" w:color="auto"/>
        <w:left w:val="none" w:sz="0" w:space="0" w:color="auto"/>
        <w:bottom w:val="none" w:sz="0" w:space="0" w:color="auto"/>
        <w:right w:val="none" w:sz="0" w:space="0" w:color="auto"/>
      </w:divBdr>
    </w:div>
    <w:div w:id="1545633137">
      <w:bodyDiv w:val="1"/>
      <w:marLeft w:val="0"/>
      <w:marRight w:val="0"/>
      <w:marTop w:val="0"/>
      <w:marBottom w:val="0"/>
      <w:divBdr>
        <w:top w:val="none" w:sz="0" w:space="0" w:color="auto"/>
        <w:left w:val="none" w:sz="0" w:space="0" w:color="auto"/>
        <w:bottom w:val="none" w:sz="0" w:space="0" w:color="auto"/>
        <w:right w:val="none" w:sz="0" w:space="0" w:color="auto"/>
      </w:divBdr>
    </w:div>
    <w:div w:id="1545874720">
      <w:bodyDiv w:val="1"/>
      <w:marLeft w:val="0"/>
      <w:marRight w:val="0"/>
      <w:marTop w:val="0"/>
      <w:marBottom w:val="0"/>
      <w:divBdr>
        <w:top w:val="none" w:sz="0" w:space="0" w:color="auto"/>
        <w:left w:val="none" w:sz="0" w:space="0" w:color="auto"/>
        <w:bottom w:val="none" w:sz="0" w:space="0" w:color="auto"/>
        <w:right w:val="none" w:sz="0" w:space="0" w:color="auto"/>
      </w:divBdr>
    </w:div>
    <w:div w:id="1557008792">
      <w:bodyDiv w:val="1"/>
      <w:marLeft w:val="0"/>
      <w:marRight w:val="0"/>
      <w:marTop w:val="0"/>
      <w:marBottom w:val="0"/>
      <w:divBdr>
        <w:top w:val="none" w:sz="0" w:space="0" w:color="auto"/>
        <w:left w:val="none" w:sz="0" w:space="0" w:color="auto"/>
        <w:bottom w:val="none" w:sz="0" w:space="0" w:color="auto"/>
        <w:right w:val="none" w:sz="0" w:space="0" w:color="auto"/>
      </w:divBdr>
    </w:div>
    <w:div w:id="1584101671">
      <w:bodyDiv w:val="1"/>
      <w:marLeft w:val="0"/>
      <w:marRight w:val="0"/>
      <w:marTop w:val="0"/>
      <w:marBottom w:val="0"/>
      <w:divBdr>
        <w:top w:val="none" w:sz="0" w:space="0" w:color="auto"/>
        <w:left w:val="none" w:sz="0" w:space="0" w:color="auto"/>
        <w:bottom w:val="none" w:sz="0" w:space="0" w:color="auto"/>
        <w:right w:val="none" w:sz="0" w:space="0" w:color="auto"/>
      </w:divBdr>
    </w:div>
    <w:div w:id="1825389899">
      <w:bodyDiv w:val="1"/>
      <w:marLeft w:val="0"/>
      <w:marRight w:val="0"/>
      <w:marTop w:val="0"/>
      <w:marBottom w:val="0"/>
      <w:divBdr>
        <w:top w:val="none" w:sz="0" w:space="0" w:color="auto"/>
        <w:left w:val="none" w:sz="0" w:space="0" w:color="auto"/>
        <w:bottom w:val="none" w:sz="0" w:space="0" w:color="auto"/>
        <w:right w:val="none" w:sz="0" w:space="0" w:color="auto"/>
      </w:divBdr>
    </w:div>
    <w:div w:id="1828277195">
      <w:bodyDiv w:val="1"/>
      <w:marLeft w:val="0"/>
      <w:marRight w:val="0"/>
      <w:marTop w:val="0"/>
      <w:marBottom w:val="0"/>
      <w:divBdr>
        <w:top w:val="none" w:sz="0" w:space="0" w:color="auto"/>
        <w:left w:val="none" w:sz="0" w:space="0" w:color="auto"/>
        <w:bottom w:val="none" w:sz="0" w:space="0" w:color="auto"/>
        <w:right w:val="none" w:sz="0" w:space="0" w:color="auto"/>
      </w:divBdr>
    </w:div>
    <w:div w:id="1874229692">
      <w:bodyDiv w:val="1"/>
      <w:marLeft w:val="0"/>
      <w:marRight w:val="0"/>
      <w:marTop w:val="0"/>
      <w:marBottom w:val="0"/>
      <w:divBdr>
        <w:top w:val="none" w:sz="0" w:space="0" w:color="auto"/>
        <w:left w:val="none" w:sz="0" w:space="0" w:color="auto"/>
        <w:bottom w:val="none" w:sz="0" w:space="0" w:color="auto"/>
        <w:right w:val="none" w:sz="0" w:space="0" w:color="auto"/>
      </w:divBdr>
    </w:div>
    <w:div w:id="1914657370">
      <w:bodyDiv w:val="1"/>
      <w:marLeft w:val="0"/>
      <w:marRight w:val="0"/>
      <w:marTop w:val="0"/>
      <w:marBottom w:val="0"/>
      <w:divBdr>
        <w:top w:val="none" w:sz="0" w:space="0" w:color="auto"/>
        <w:left w:val="none" w:sz="0" w:space="0" w:color="auto"/>
        <w:bottom w:val="none" w:sz="0" w:space="0" w:color="auto"/>
        <w:right w:val="none" w:sz="0" w:space="0" w:color="auto"/>
      </w:divBdr>
    </w:div>
    <w:div w:id="1915317945">
      <w:bodyDiv w:val="1"/>
      <w:marLeft w:val="0"/>
      <w:marRight w:val="0"/>
      <w:marTop w:val="0"/>
      <w:marBottom w:val="0"/>
      <w:divBdr>
        <w:top w:val="none" w:sz="0" w:space="0" w:color="auto"/>
        <w:left w:val="none" w:sz="0" w:space="0" w:color="auto"/>
        <w:bottom w:val="none" w:sz="0" w:space="0" w:color="auto"/>
        <w:right w:val="none" w:sz="0" w:space="0" w:color="auto"/>
      </w:divBdr>
    </w:div>
    <w:div w:id="1916166191">
      <w:bodyDiv w:val="1"/>
      <w:marLeft w:val="0"/>
      <w:marRight w:val="0"/>
      <w:marTop w:val="0"/>
      <w:marBottom w:val="0"/>
      <w:divBdr>
        <w:top w:val="none" w:sz="0" w:space="0" w:color="auto"/>
        <w:left w:val="none" w:sz="0" w:space="0" w:color="auto"/>
        <w:bottom w:val="none" w:sz="0" w:space="0" w:color="auto"/>
        <w:right w:val="none" w:sz="0" w:space="0" w:color="auto"/>
      </w:divBdr>
    </w:div>
    <w:div w:id="1947930704">
      <w:bodyDiv w:val="1"/>
      <w:marLeft w:val="0"/>
      <w:marRight w:val="0"/>
      <w:marTop w:val="0"/>
      <w:marBottom w:val="0"/>
      <w:divBdr>
        <w:top w:val="none" w:sz="0" w:space="0" w:color="auto"/>
        <w:left w:val="none" w:sz="0" w:space="0" w:color="auto"/>
        <w:bottom w:val="none" w:sz="0" w:space="0" w:color="auto"/>
        <w:right w:val="none" w:sz="0" w:space="0" w:color="auto"/>
      </w:divBdr>
    </w:div>
    <w:div w:id="1969361365">
      <w:bodyDiv w:val="1"/>
      <w:marLeft w:val="0"/>
      <w:marRight w:val="0"/>
      <w:marTop w:val="0"/>
      <w:marBottom w:val="0"/>
      <w:divBdr>
        <w:top w:val="none" w:sz="0" w:space="0" w:color="auto"/>
        <w:left w:val="none" w:sz="0" w:space="0" w:color="auto"/>
        <w:bottom w:val="none" w:sz="0" w:space="0" w:color="auto"/>
        <w:right w:val="none" w:sz="0" w:space="0" w:color="auto"/>
      </w:divBdr>
    </w:div>
    <w:div w:id="1972050718">
      <w:bodyDiv w:val="1"/>
      <w:marLeft w:val="0"/>
      <w:marRight w:val="0"/>
      <w:marTop w:val="0"/>
      <w:marBottom w:val="0"/>
      <w:divBdr>
        <w:top w:val="none" w:sz="0" w:space="0" w:color="auto"/>
        <w:left w:val="none" w:sz="0" w:space="0" w:color="auto"/>
        <w:bottom w:val="none" w:sz="0" w:space="0" w:color="auto"/>
        <w:right w:val="none" w:sz="0" w:space="0" w:color="auto"/>
      </w:divBdr>
    </w:div>
    <w:div w:id="1996837622">
      <w:bodyDiv w:val="1"/>
      <w:marLeft w:val="0"/>
      <w:marRight w:val="0"/>
      <w:marTop w:val="0"/>
      <w:marBottom w:val="0"/>
      <w:divBdr>
        <w:top w:val="none" w:sz="0" w:space="0" w:color="auto"/>
        <w:left w:val="none" w:sz="0" w:space="0" w:color="auto"/>
        <w:bottom w:val="none" w:sz="0" w:space="0" w:color="auto"/>
        <w:right w:val="none" w:sz="0" w:space="0" w:color="auto"/>
      </w:divBdr>
    </w:div>
    <w:div w:id="2087147672">
      <w:bodyDiv w:val="1"/>
      <w:marLeft w:val="0"/>
      <w:marRight w:val="0"/>
      <w:marTop w:val="0"/>
      <w:marBottom w:val="0"/>
      <w:divBdr>
        <w:top w:val="none" w:sz="0" w:space="0" w:color="auto"/>
        <w:left w:val="none" w:sz="0" w:space="0" w:color="auto"/>
        <w:bottom w:val="none" w:sz="0" w:space="0" w:color="auto"/>
        <w:right w:val="none" w:sz="0" w:space="0" w:color="auto"/>
      </w:divBdr>
    </w:div>
    <w:div w:id="210051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qualitynow.org/what-we-do/end-sexual-exploitation/tech-facilitated-gender-based-violence/" TargetMode="External"/><Relationship Id="rId2" Type="http://schemas.openxmlformats.org/officeDocument/2006/relationships/hyperlink" Target="https://ico.org.uk/for-organisations/uk-gdpr-guidance-and-resources/lawful-basis/consent/what-is-valid-consent/" TargetMode="External"/><Relationship Id="rId1" Type="http://schemas.openxmlformats.org/officeDocument/2006/relationships/hyperlink" Target="https://equalitynow.org/what-we-do/end-sexual-exploitation/tech-facilitated-gender-based-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1f4993610b945f6c6d8fa414fe76824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52578ead67e423e9bf7d288e802727f"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00D44CFA-58C8-4523-BEA9-95D227FE1073}">
  <ds:schemaRefs>
    <ds:schemaRef ds:uri="http://schemas.microsoft.com/sharepoint/v3/contenttype/forms"/>
  </ds:schemaRefs>
</ds:datastoreItem>
</file>

<file path=customXml/itemProps2.xml><?xml version="1.0" encoding="utf-8"?>
<ds:datastoreItem xmlns:ds="http://schemas.openxmlformats.org/officeDocument/2006/customXml" ds:itemID="{3537FEAB-C82F-42F3-B9B1-EA6EBFFCA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3395A-0E2A-4AE2-B669-D4D1E18705A5}">
  <ds:schemaRefs>
    <ds:schemaRef ds:uri="http://schemas.openxmlformats.org/officeDocument/2006/bibliography"/>
  </ds:schemaRefs>
</ds:datastoreItem>
</file>

<file path=customXml/itemProps4.xml><?xml version="1.0" encoding="utf-8"?>
<ds:datastoreItem xmlns:ds="http://schemas.openxmlformats.org/officeDocument/2006/customXml" ds:itemID="{50AE520C-49FD-43B5-8E3A-C78AA151AF82}">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40</Pages>
  <Words>8984</Words>
  <Characters>51212</Characters>
  <Application>Microsoft Office Word</Application>
  <DocSecurity>0</DocSecurity>
  <Lines>426</Lines>
  <Paragraphs>120</Paragraphs>
  <ScaleCrop>false</ScaleCrop>
  <Company/>
  <LinksUpToDate>false</LinksUpToDate>
  <CharactersWithSpaces>60076</CharactersWithSpaces>
  <SharedDoc>false</SharedDoc>
  <HLinks>
    <vt:vector size="144" baseType="variant">
      <vt:variant>
        <vt:i4>6946881</vt:i4>
      </vt:variant>
      <vt:variant>
        <vt:i4>117</vt:i4>
      </vt:variant>
      <vt:variant>
        <vt:i4>0</vt:i4>
      </vt:variant>
      <vt:variant>
        <vt:i4>5</vt:i4>
      </vt:variant>
      <vt:variant>
        <vt:lpwstr>mailto:info@nihrc.org</vt:lpwstr>
      </vt:variant>
      <vt:variant>
        <vt:lpwstr/>
      </vt:variant>
      <vt:variant>
        <vt:i4>4587543</vt:i4>
      </vt:variant>
      <vt:variant>
        <vt:i4>114</vt:i4>
      </vt:variant>
      <vt:variant>
        <vt:i4>0</vt:i4>
      </vt:variant>
      <vt:variant>
        <vt:i4>5</vt:i4>
      </vt:variant>
      <vt:variant>
        <vt:lpwstr>http://www.nihrc.org/</vt:lpwstr>
      </vt:variant>
      <vt:variant>
        <vt:lpwstr/>
      </vt:variant>
      <vt:variant>
        <vt:i4>6881286</vt:i4>
      </vt:variant>
      <vt:variant>
        <vt:i4>111</vt:i4>
      </vt:variant>
      <vt:variant>
        <vt:i4>0</vt:i4>
      </vt:variant>
      <vt:variant>
        <vt:i4>5</vt:i4>
      </vt:variant>
      <vt:variant>
        <vt:lpwstr>mailto:Colin.Caughey@nihrc.org</vt:lpwstr>
      </vt:variant>
      <vt:variant>
        <vt:lpwstr/>
      </vt:variant>
      <vt:variant>
        <vt:i4>1310775</vt:i4>
      </vt:variant>
      <vt:variant>
        <vt:i4>104</vt:i4>
      </vt:variant>
      <vt:variant>
        <vt:i4>0</vt:i4>
      </vt:variant>
      <vt:variant>
        <vt:i4>5</vt:i4>
      </vt:variant>
      <vt:variant>
        <vt:lpwstr/>
      </vt:variant>
      <vt:variant>
        <vt:lpwstr>_Toc209087441</vt:lpwstr>
      </vt:variant>
      <vt:variant>
        <vt:i4>1310775</vt:i4>
      </vt:variant>
      <vt:variant>
        <vt:i4>98</vt:i4>
      </vt:variant>
      <vt:variant>
        <vt:i4>0</vt:i4>
      </vt:variant>
      <vt:variant>
        <vt:i4>5</vt:i4>
      </vt:variant>
      <vt:variant>
        <vt:lpwstr/>
      </vt:variant>
      <vt:variant>
        <vt:lpwstr>_Toc209087440</vt:lpwstr>
      </vt:variant>
      <vt:variant>
        <vt:i4>1245239</vt:i4>
      </vt:variant>
      <vt:variant>
        <vt:i4>92</vt:i4>
      </vt:variant>
      <vt:variant>
        <vt:i4>0</vt:i4>
      </vt:variant>
      <vt:variant>
        <vt:i4>5</vt:i4>
      </vt:variant>
      <vt:variant>
        <vt:lpwstr/>
      </vt:variant>
      <vt:variant>
        <vt:lpwstr>_Toc209087439</vt:lpwstr>
      </vt:variant>
      <vt:variant>
        <vt:i4>1245239</vt:i4>
      </vt:variant>
      <vt:variant>
        <vt:i4>86</vt:i4>
      </vt:variant>
      <vt:variant>
        <vt:i4>0</vt:i4>
      </vt:variant>
      <vt:variant>
        <vt:i4>5</vt:i4>
      </vt:variant>
      <vt:variant>
        <vt:lpwstr/>
      </vt:variant>
      <vt:variant>
        <vt:lpwstr>_Toc209087438</vt:lpwstr>
      </vt:variant>
      <vt:variant>
        <vt:i4>1245239</vt:i4>
      </vt:variant>
      <vt:variant>
        <vt:i4>80</vt:i4>
      </vt:variant>
      <vt:variant>
        <vt:i4>0</vt:i4>
      </vt:variant>
      <vt:variant>
        <vt:i4>5</vt:i4>
      </vt:variant>
      <vt:variant>
        <vt:lpwstr/>
      </vt:variant>
      <vt:variant>
        <vt:lpwstr>_Toc209087437</vt:lpwstr>
      </vt:variant>
      <vt:variant>
        <vt:i4>1245239</vt:i4>
      </vt:variant>
      <vt:variant>
        <vt:i4>74</vt:i4>
      </vt:variant>
      <vt:variant>
        <vt:i4>0</vt:i4>
      </vt:variant>
      <vt:variant>
        <vt:i4>5</vt:i4>
      </vt:variant>
      <vt:variant>
        <vt:lpwstr/>
      </vt:variant>
      <vt:variant>
        <vt:lpwstr>_Toc209087436</vt:lpwstr>
      </vt:variant>
      <vt:variant>
        <vt:i4>1245239</vt:i4>
      </vt:variant>
      <vt:variant>
        <vt:i4>68</vt:i4>
      </vt:variant>
      <vt:variant>
        <vt:i4>0</vt:i4>
      </vt:variant>
      <vt:variant>
        <vt:i4>5</vt:i4>
      </vt:variant>
      <vt:variant>
        <vt:lpwstr/>
      </vt:variant>
      <vt:variant>
        <vt:lpwstr>_Toc209087435</vt:lpwstr>
      </vt:variant>
      <vt:variant>
        <vt:i4>1245239</vt:i4>
      </vt:variant>
      <vt:variant>
        <vt:i4>62</vt:i4>
      </vt:variant>
      <vt:variant>
        <vt:i4>0</vt:i4>
      </vt:variant>
      <vt:variant>
        <vt:i4>5</vt:i4>
      </vt:variant>
      <vt:variant>
        <vt:lpwstr/>
      </vt:variant>
      <vt:variant>
        <vt:lpwstr>_Toc209087434</vt:lpwstr>
      </vt:variant>
      <vt:variant>
        <vt:i4>1245239</vt:i4>
      </vt:variant>
      <vt:variant>
        <vt:i4>56</vt:i4>
      </vt:variant>
      <vt:variant>
        <vt:i4>0</vt:i4>
      </vt:variant>
      <vt:variant>
        <vt:i4>5</vt:i4>
      </vt:variant>
      <vt:variant>
        <vt:lpwstr/>
      </vt:variant>
      <vt:variant>
        <vt:lpwstr>_Toc209087433</vt:lpwstr>
      </vt:variant>
      <vt:variant>
        <vt:i4>1245239</vt:i4>
      </vt:variant>
      <vt:variant>
        <vt:i4>50</vt:i4>
      </vt:variant>
      <vt:variant>
        <vt:i4>0</vt:i4>
      </vt:variant>
      <vt:variant>
        <vt:i4>5</vt:i4>
      </vt:variant>
      <vt:variant>
        <vt:lpwstr/>
      </vt:variant>
      <vt:variant>
        <vt:lpwstr>_Toc209087432</vt:lpwstr>
      </vt:variant>
      <vt:variant>
        <vt:i4>1245239</vt:i4>
      </vt:variant>
      <vt:variant>
        <vt:i4>44</vt:i4>
      </vt:variant>
      <vt:variant>
        <vt:i4>0</vt:i4>
      </vt:variant>
      <vt:variant>
        <vt:i4>5</vt:i4>
      </vt:variant>
      <vt:variant>
        <vt:lpwstr/>
      </vt:variant>
      <vt:variant>
        <vt:lpwstr>_Toc209087431</vt:lpwstr>
      </vt:variant>
      <vt:variant>
        <vt:i4>1245239</vt:i4>
      </vt:variant>
      <vt:variant>
        <vt:i4>38</vt:i4>
      </vt:variant>
      <vt:variant>
        <vt:i4>0</vt:i4>
      </vt:variant>
      <vt:variant>
        <vt:i4>5</vt:i4>
      </vt:variant>
      <vt:variant>
        <vt:lpwstr/>
      </vt:variant>
      <vt:variant>
        <vt:lpwstr>_Toc209087430</vt:lpwstr>
      </vt:variant>
      <vt:variant>
        <vt:i4>1179703</vt:i4>
      </vt:variant>
      <vt:variant>
        <vt:i4>32</vt:i4>
      </vt:variant>
      <vt:variant>
        <vt:i4>0</vt:i4>
      </vt:variant>
      <vt:variant>
        <vt:i4>5</vt:i4>
      </vt:variant>
      <vt:variant>
        <vt:lpwstr/>
      </vt:variant>
      <vt:variant>
        <vt:lpwstr>_Toc209087429</vt:lpwstr>
      </vt:variant>
      <vt:variant>
        <vt:i4>1179703</vt:i4>
      </vt:variant>
      <vt:variant>
        <vt:i4>26</vt:i4>
      </vt:variant>
      <vt:variant>
        <vt:i4>0</vt:i4>
      </vt:variant>
      <vt:variant>
        <vt:i4>5</vt:i4>
      </vt:variant>
      <vt:variant>
        <vt:lpwstr/>
      </vt:variant>
      <vt:variant>
        <vt:lpwstr>_Toc209087428</vt:lpwstr>
      </vt:variant>
      <vt:variant>
        <vt:i4>1179703</vt:i4>
      </vt:variant>
      <vt:variant>
        <vt:i4>20</vt:i4>
      </vt:variant>
      <vt:variant>
        <vt:i4>0</vt:i4>
      </vt:variant>
      <vt:variant>
        <vt:i4>5</vt:i4>
      </vt:variant>
      <vt:variant>
        <vt:lpwstr/>
      </vt:variant>
      <vt:variant>
        <vt:lpwstr>_Toc209087427</vt:lpwstr>
      </vt:variant>
      <vt:variant>
        <vt:i4>1179703</vt:i4>
      </vt:variant>
      <vt:variant>
        <vt:i4>14</vt:i4>
      </vt:variant>
      <vt:variant>
        <vt:i4>0</vt:i4>
      </vt:variant>
      <vt:variant>
        <vt:i4>5</vt:i4>
      </vt:variant>
      <vt:variant>
        <vt:lpwstr/>
      </vt:variant>
      <vt:variant>
        <vt:lpwstr>_Toc209087426</vt:lpwstr>
      </vt:variant>
      <vt:variant>
        <vt:i4>1179703</vt:i4>
      </vt:variant>
      <vt:variant>
        <vt:i4>8</vt:i4>
      </vt:variant>
      <vt:variant>
        <vt:i4>0</vt:i4>
      </vt:variant>
      <vt:variant>
        <vt:i4>5</vt:i4>
      </vt:variant>
      <vt:variant>
        <vt:lpwstr/>
      </vt:variant>
      <vt:variant>
        <vt:lpwstr>_Toc209087425</vt:lpwstr>
      </vt:variant>
      <vt:variant>
        <vt:i4>1179703</vt:i4>
      </vt:variant>
      <vt:variant>
        <vt:i4>2</vt:i4>
      </vt:variant>
      <vt:variant>
        <vt:i4>0</vt:i4>
      </vt:variant>
      <vt:variant>
        <vt:i4>5</vt:i4>
      </vt:variant>
      <vt:variant>
        <vt:lpwstr/>
      </vt:variant>
      <vt:variant>
        <vt:lpwstr>_Toc209087424</vt:lpwstr>
      </vt:variant>
      <vt:variant>
        <vt:i4>3997743</vt:i4>
      </vt:variant>
      <vt:variant>
        <vt:i4>6</vt:i4>
      </vt:variant>
      <vt:variant>
        <vt:i4>0</vt:i4>
      </vt:variant>
      <vt:variant>
        <vt:i4>5</vt:i4>
      </vt:variant>
      <vt:variant>
        <vt:lpwstr>https://equalitynow.org/what-we-do/end-sexual-exploitation/tech-facilitated-gender-based-violence/</vt:lpwstr>
      </vt:variant>
      <vt:variant>
        <vt:lpwstr/>
      </vt:variant>
      <vt:variant>
        <vt:i4>4128879</vt:i4>
      </vt:variant>
      <vt:variant>
        <vt:i4>3</vt:i4>
      </vt:variant>
      <vt:variant>
        <vt:i4>0</vt:i4>
      </vt:variant>
      <vt:variant>
        <vt:i4>5</vt:i4>
      </vt:variant>
      <vt:variant>
        <vt:lpwstr>https://ico.org.uk/for-organisations/uk-gdpr-guidance-and-resources/lawful-basis/consent/what-is-valid-consent/</vt:lpwstr>
      </vt:variant>
      <vt:variant>
        <vt:lpwstr>what1</vt:lpwstr>
      </vt:variant>
      <vt:variant>
        <vt:i4>3997743</vt:i4>
      </vt:variant>
      <vt:variant>
        <vt:i4>0</vt:i4>
      </vt:variant>
      <vt:variant>
        <vt:i4>0</vt:i4>
      </vt:variant>
      <vt:variant>
        <vt:i4>5</vt:i4>
      </vt:variant>
      <vt:variant>
        <vt:lpwstr>https://equalitynow.org/what-we-do/end-sexual-exploitation/tech-facilitated-gender-based-violence/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Hermosilla</dc:creator>
  <cp:keywords/>
  <dc:description/>
  <cp:lastModifiedBy>Hannah Russell</cp:lastModifiedBy>
  <cp:revision>3227</cp:revision>
  <cp:lastPrinted>2025-10-03T12:41:00Z</cp:lastPrinted>
  <dcterms:created xsi:type="dcterms:W3CDTF">2025-08-27T11:45:00Z</dcterms:created>
  <dcterms:modified xsi:type="dcterms:W3CDTF">2025-10-03T12:44:00Z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f2749aa0-e95a-4e2b-af7c-89824b208fdb</vt:lpwstr>
  </property>
  <property fmtid="{D5CDD505-2E9C-101B-9397-08002B2CF9AE}" pid="3" name="ContentTypeId">
    <vt:lpwstr>0x010100F41320E77E35C644A511CBC5C12B0A0B</vt:lpwstr>
  </property>
  <property fmtid="{D5CDD505-2E9C-101B-9397-08002B2CF9AE}" pid="4" name="MediaServiceImageTags">
    <vt:lpwstr/>
  </property>
  <property fmtid="{D5CDD505-2E9C-101B-9397-08002B2CF9AE}" pid="5" name="docLang">
    <vt:lpwstr>en</vt:lpwstr>
  </property>
</Properties>
</file>