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D9A5F" w14:textId="77777777" w:rsidR="00F31387" w:rsidRPr="00564A3B" w:rsidRDefault="00F31387" w:rsidP="0055193F">
      <w:pPr>
        <w:pStyle w:val="BasicParagraph"/>
        <w:suppressAutoHyphens/>
        <w:spacing w:before="24" w:after="24"/>
        <w:jc w:val="center"/>
        <w:rPr>
          <w:rFonts w:ascii="Verdana" w:hAnsi="Verdana" w:cs="Arial"/>
          <w:b/>
          <w:bCs/>
          <w:color w:val="734791"/>
          <w:sz w:val="36"/>
          <w:szCs w:val="36"/>
        </w:rPr>
      </w:pPr>
      <w:r w:rsidRPr="00564A3B">
        <w:rPr>
          <w:rFonts w:ascii="Verdana" w:hAnsi="Verdana" w:cs="Arial"/>
          <w:b/>
          <w:bCs/>
          <w:noProof/>
          <w:color w:val="734791"/>
          <w:sz w:val="36"/>
          <w:szCs w:val="36"/>
          <w:lang w:eastAsia="en-GB"/>
        </w:rPr>
        <w:drawing>
          <wp:inline distT="0" distB="0" distL="0" distR="0" wp14:anchorId="5698FF1B" wp14:editId="467FA306">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0CF8267A" w14:textId="77777777" w:rsidR="003B7D0E" w:rsidRPr="00564A3B" w:rsidRDefault="003B7D0E" w:rsidP="0055193F">
      <w:pPr>
        <w:pStyle w:val="BasicParagraph"/>
        <w:suppressAutoHyphens/>
        <w:spacing w:before="24" w:after="24"/>
        <w:jc w:val="center"/>
        <w:rPr>
          <w:rFonts w:ascii="Verdana" w:hAnsi="Verdana" w:cs="Arial"/>
          <w:b/>
          <w:bCs/>
          <w:color w:val="734791"/>
          <w:sz w:val="36"/>
          <w:szCs w:val="36"/>
        </w:rPr>
      </w:pPr>
    </w:p>
    <w:p w14:paraId="26E8C261" w14:textId="2A833C17" w:rsidR="0096459E" w:rsidRPr="00564A3B" w:rsidRDefault="001E2B95" w:rsidP="0055193F">
      <w:pPr>
        <w:pStyle w:val="BasicParagraph"/>
        <w:suppressAutoHyphens/>
        <w:spacing w:before="24" w:after="24"/>
        <w:jc w:val="center"/>
        <w:rPr>
          <w:rFonts w:ascii="Verdana" w:hAnsi="Verdana" w:cs="Arial"/>
          <w:b/>
          <w:color w:val="77328A"/>
          <w:sz w:val="36"/>
          <w:szCs w:val="36"/>
        </w:rPr>
      </w:pPr>
      <w:r w:rsidRPr="00564A3B">
        <w:rPr>
          <w:rFonts w:ascii="Verdana" w:hAnsi="Verdana" w:cs="Arial"/>
          <w:b/>
          <w:bCs/>
          <w:color w:val="77328A"/>
          <w:sz w:val="36"/>
          <w:szCs w:val="36"/>
        </w:rPr>
        <w:t>Re</w:t>
      </w:r>
      <w:r w:rsidR="00BF738E" w:rsidRPr="00564A3B">
        <w:rPr>
          <w:rFonts w:ascii="Verdana" w:hAnsi="Verdana" w:cs="Arial"/>
          <w:b/>
          <w:bCs/>
          <w:color w:val="77328A"/>
          <w:sz w:val="36"/>
          <w:szCs w:val="36"/>
        </w:rPr>
        <w:t xml:space="preserve">sponse </w:t>
      </w:r>
      <w:r w:rsidR="00810B19">
        <w:rPr>
          <w:rFonts w:ascii="Verdana" w:hAnsi="Verdana" w:cs="Arial"/>
          <w:b/>
          <w:bCs/>
          <w:color w:val="77328A"/>
          <w:sz w:val="36"/>
          <w:szCs w:val="36"/>
        </w:rPr>
        <w:t xml:space="preserve">to </w:t>
      </w:r>
      <w:r w:rsidR="001C389B" w:rsidRPr="00564A3B">
        <w:rPr>
          <w:rFonts w:ascii="Verdana" w:hAnsi="Verdana" w:cs="Arial"/>
          <w:b/>
          <w:bCs/>
          <w:color w:val="77328A"/>
          <w:sz w:val="36"/>
          <w:szCs w:val="36"/>
        </w:rPr>
        <w:t>the Department of Health and Department of Justice</w:t>
      </w:r>
      <w:r w:rsidR="00810B19">
        <w:rPr>
          <w:rFonts w:ascii="Verdana" w:hAnsi="Verdana" w:cs="Arial"/>
          <w:b/>
          <w:bCs/>
          <w:color w:val="77328A"/>
          <w:sz w:val="36"/>
          <w:szCs w:val="36"/>
        </w:rPr>
        <w:t>’s</w:t>
      </w:r>
      <w:r w:rsidR="001C389B" w:rsidRPr="00564A3B">
        <w:rPr>
          <w:rFonts w:ascii="Verdana" w:hAnsi="Verdana" w:cs="Arial"/>
          <w:b/>
          <w:bCs/>
          <w:color w:val="77328A"/>
          <w:sz w:val="36"/>
          <w:szCs w:val="36"/>
        </w:rPr>
        <w:t xml:space="preserve"> Consultation on a Draft Domestic and Sexual Abuse Strategy</w:t>
      </w:r>
    </w:p>
    <w:p w14:paraId="4A75D596" w14:textId="29D8D203" w:rsidR="00F31387" w:rsidRDefault="00F31387" w:rsidP="0055193F">
      <w:pPr>
        <w:pStyle w:val="Default"/>
        <w:spacing w:before="24" w:after="24" w:line="288" w:lineRule="auto"/>
        <w:jc w:val="center"/>
        <w:rPr>
          <w:rFonts w:cs="Arial"/>
          <w:color w:val="232120"/>
          <w:sz w:val="36"/>
          <w:szCs w:val="36"/>
        </w:rPr>
      </w:pPr>
    </w:p>
    <w:p w14:paraId="7DFD7FC6" w14:textId="011BC219" w:rsidR="00810B19" w:rsidRDefault="00810B19" w:rsidP="0055193F">
      <w:pPr>
        <w:pStyle w:val="Default"/>
        <w:spacing w:before="24" w:after="24" w:line="288" w:lineRule="auto"/>
        <w:jc w:val="center"/>
        <w:rPr>
          <w:rFonts w:cs="Arial"/>
          <w:color w:val="232120"/>
          <w:sz w:val="36"/>
          <w:szCs w:val="36"/>
        </w:rPr>
      </w:pPr>
    </w:p>
    <w:p w14:paraId="20F1F39A" w14:textId="7D1B2F76" w:rsidR="00810B19" w:rsidRDefault="00810B19" w:rsidP="0055193F">
      <w:pPr>
        <w:pStyle w:val="Default"/>
        <w:spacing w:before="24" w:after="24" w:line="288" w:lineRule="auto"/>
        <w:jc w:val="center"/>
        <w:rPr>
          <w:rFonts w:cs="Arial"/>
          <w:color w:val="232120"/>
          <w:sz w:val="36"/>
          <w:szCs w:val="36"/>
        </w:rPr>
      </w:pPr>
    </w:p>
    <w:p w14:paraId="16F8C961" w14:textId="615241B6" w:rsidR="00810B19" w:rsidRDefault="00810B19" w:rsidP="0055193F">
      <w:pPr>
        <w:pStyle w:val="Default"/>
        <w:spacing w:before="24" w:after="24" w:line="288" w:lineRule="auto"/>
        <w:jc w:val="center"/>
        <w:rPr>
          <w:rFonts w:cs="Arial"/>
          <w:color w:val="232120"/>
          <w:sz w:val="36"/>
          <w:szCs w:val="36"/>
        </w:rPr>
      </w:pPr>
    </w:p>
    <w:p w14:paraId="2BAFDB27" w14:textId="1477408F" w:rsidR="00810B19" w:rsidRDefault="00810B19" w:rsidP="0055193F">
      <w:pPr>
        <w:pStyle w:val="Default"/>
        <w:spacing w:before="24" w:after="24" w:line="288" w:lineRule="auto"/>
        <w:jc w:val="center"/>
        <w:rPr>
          <w:rFonts w:cs="Arial"/>
          <w:color w:val="232120"/>
          <w:sz w:val="36"/>
          <w:szCs w:val="36"/>
        </w:rPr>
      </w:pPr>
    </w:p>
    <w:p w14:paraId="3DF47C2D" w14:textId="77777777" w:rsidR="00810B19" w:rsidRPr="00564A3B" w:rsidRDefault="00810B19" w:rsidP="0055193F">
      <w:pPr>
        <w:pStyle w:val="Default"/>
        <w:spacing w:before="24" w:after="24" w:line="288" w:lineRule="auto"/>
        <w:jc w:val="center"/>
        <w:rPr>
          <w:rFonts w:cs="Arial"/>
          <w:color w:val="232120"/>
          <w:sz w:val="36"/>
          <w:szCs w:val="36"/>
        </w:rPr>
      </w:pPr>
    </w:p>
    <w:p w14:paraId="258FA6DF" w14:textId="343E2B42" w:rsidR="008159E8" w:rsidRPr="00564A3B" w:rsidRDefault="00DA67F4" w:rsidP="0055193F">
      <w:pPr>
        <w:spacing w:before="24" w:after="24" w:line="288" w:lineRule="auto"/>
        <w:jc w:val="center"/>
        <w:rPr>
          <w:rFonts w:ascii="Verdana" w:hAnsi="Verdana" w:cs="Arial"/>
          <w:b/>
          <w:color w:val="232120"/>
          <w:sz w:val="30"/>
          <w:szCs w:val="30"/>
        </w:rPr>
      </w:pPr>
      <w:r>
        <w:rPr>
          <w:rFonts w:ascii="Verdana" w:hAnsi="Verdana" w:cs="Arial"/>
          <w:b/>
          <w:color w:val="232120"/>
          <w:sz w:val="30"/>
          <w:szCs w:val="30"/>
        </w:rPr>
        <w:t xml:space="preserve">2 </w:t>
      </w:r>
      <w:r w:rsidR="001C389B" w:rsidRPr="00564A3B">
        <w:rPr>
          <w:rFonts w:ascii="Verdana" w:hAnsi="Verdana" w:cs="Arial"/>
          <w:b/>
          <w:color w:val="232120"/>
          <w:sz w:val="30"/>
          <w:szCs w:val="30"/>
        </w:rPr>
        <w:t>May 2023</w:t>
      </w:r>
    </w:p>
    <w:p w14:paraId="13018884" w14:textId="77777777" w:rsidR="00046705" w:rsidRPr="00564A3B" w:rsidRDefault="00046705" w:rsidP="0055193F">
      <w:pPr>
        <w:spacing w:before="24" w:after="24" w:line="288" w:lineRule="auto"/>
        <w:jc w:val="center"/>
        <w:rPr>
          <w:rFonts w:ascii="Verdana" w:hAnsi="Verdana" w:cs="Arial"/>
          <w:b/>
          <w:color w:val="232120"/>
          <w:sz w:val="28"/>
          <w:szCs w:val="28"/>
        </w:rPr>
      </w:pPr>
    </w:p>
    <w:p w14:paraId="3CDED8B7" w14:textId="77777777" w:rsidR="00046705" w:rsidRPr="00564A3B" w:rsidRDefault="00046705" w:rsidP="0055193F">
      <w:pPr>
        <w:spacing w:before="24" w:after="24" w:line="288" w:lineRule="auto"/>
        <w:jc w:val="center"/>
        <w:rPr>
          <w:rFonts w:ascii="Verdana" w:hAnsi="Verdana" w:cs="Arial"/>
          <w:b/>
          <w:color w:val="232120"/>
          <w:sz w:val="28"/>
          <w:szCs w:val="28"/>
        </w:rPr>
      </w:pPr>
    </w:p>
    <w:p w14:paraId="4C2CB720" w14:textId="77777777" w:rsidR="00EA12CE" w:rsidRPr="00564A3B" w:rsidRDefault="00EA12CE" w:rsidP="0055193F">
      <w:pPr>
        <w:pStyle w:val="Default"/>
        <w:spacing w:before="24" w:after="24" w:line="288" w:lineRule="auto"/>
        <w:jc w:val="center"/>
        <w:rPr>
          <w:rFonts w:cs="Arial"/>
          <w:b/>
          <w:color w:val="232120"/>
          <w:sz w:val="28"/>
          <w:szCs w:val="28"/>
          <w:lang w:val="en-GB"/>
        </w:rPr>
      </w:pPr>
    </w:p>
    <w:p w14:paraId="6A7A2DE0" w14:textId="77777777" w:rsidR="003B7D0E" w:rsidRPr="00564A3B" w:rsidRDefault="003B7D0E" w:rsidP="0055193F">
      <w:pPr>
        <w:pStyle w:val="Default"/>
        <w:spacing w:before="24" w:after="24" w:line="480" w:lineRule="auto"/>
        <w:jc w:val="center"/>
        <w:rPr>
          <w:rFonts w:cs="Arial"/>
          <w:b/>
          <w:color w:val="232120"/>
          <w:sz w:val="36"/>
          <w:szCs w:val="36"/>
        </w:rPr>
      </w:pPr>
    </w:p>
    <w:p w14:paraId="45EF47E6" w14:textId="77777777" w:rsidR="00245E58" w:rsidRPr="00564A3B" w:rsidRDefault="00EA12CE" w:rsidP="0055193F">
      <w:pPr>
        <w:pStyle w:val="TOCHeading"/>
        <w:spacing w:before="24" w:after="24"/>
        <w:rPr>
          <w:rFonts w:ascii="Verdana" w:hAnsi="Verdana" w:cs="Arial"/>
          <w:b/>
          <w:color w:val="77328A"/>
          <w:sz w:val="36"/>
          <w:szCs w:val="36"/>
        </w:rPr>
      </w:pPr>
      <w:r w:rsidRPr="00564A3B">
        <w:rPr>
          <w:rFonts w:ascii="Verdana" w:hAnsi="Verdana" w:cs="Arial"/>
          <w:b/>
          <w:color w:val="77328A"/>
          <w:sz w:val="36"/>
          <w:szCs w:val="36"/>
        </w:rPr>
        <w:lastRenderedPageBreak/>
        <w:t>Table of Contents</w:t>
      </w:r>
    </w:p>
    <w:sdt>
      <w:sdtPr>
        <w:rPr>
          <w:rFonts w:ascii="Verdana" w:eastAsiaTheme="minorEastAsia" w:hAnsi="Verdana" w:cstheme="minorBidi"/>
          <w:color w:val="auto"/>
          <w:sz w:val="24"/>
          <w:szCs w:val="24"/>
          <w:lang w:val="en-GB"/>
        </w:rPr>
        <w:id w:val="-859198742"/>
        <w:docPartObj>
          <w:docPartGallery w:val="Table of Contents"/>
          <w:docPartUnique/>
        </w:docPartObj>
      </w:sdtPr>
      <w:sdtEndPr>
        <w:rPr>
          <w:b/>
          <w:bCs/>
          <w:noProof/>
        </w:rPr>
      </w:sdtEndPr>
      <w:sdtContent>
        <w:p w14:paraId="344912BB" w14:textId="79549648" w:rsidR="00A92DC2" w:rsidRPr="00564A3B" w:rsidRDefault="00A92DC2">
          <w:pPr>
            <w:pStyle w:val="TOCHeading"/>
            <w:rPr>
              <w:rFonts w:ascii="Verdana" w:hAnsi="Verdana"/>
            </w:rPr>
          </w:pPr>
        </w:p>
        <w:p w14:paraId="499E95FA" w14:textId="1E2FD0D1" w:rsidR="00020135" w:rsidRPr="00020135" w:rsidRDefault="00A92DC2">
          <w:pPr>
            <w:pStyle w:val="TOC1"/>
            <w:rPr>
              <w:b w:val="0"/>
              <w:sz w:val="22"/>
              <w:szCs w:val="22"/>
              <w:lang w:eastAsia="en-GB"/>
            </w:rPr>
          </w:pPr>
          <w:r w:rsidRPr="000778C1">
            <w:fldChar w:fldCharType="begin"/>
          </w:r>
          <w:r w:rsidRPr="000778C1">
            <w:instrText xml:space="preserve"> TOC \o "1-3" \h \z \u </w:instrText>
          </w:r>
          <w:r w:rsidRPr="000778C1">
            <w:fldChar w:fldCharType="separate"/>
          </w:r>
          <w:hyperlink w:anchor="_Toc133586117" w:history="1">
            <w:r w:rsidR="00020135" w:rsidRPr="00020135">
              <w:rPr>
                <w:rStyle w:val="Hyperlink"/>
              </w:rPr>
              <w:t>Summary of Recommendations</w:t>
            </w:r>
            <w:r w:rsidR="00020135" w:rsidRPr="00020135">
              <w:rPr>
                <w:webHidden/>
              </w:rPr>
              <w:tab/>
            </w:r>
            <w:r w:rsidR="00020135" w:rsidRPr="00020135">
              <w:rPr>
                <w:webHidden/>
              </w:rPr>
              <w:fldChar w:fldCharType="begin"/>
            </w:r>
            <w:r w:rsidR="00020135" w:rsidRPr="00020135">
              <w:rPr>
                <w:webHidden/>
              </w:rPr>
              <w:instrText xml:space="preserve"> PAGEREF _Toc133586117 \h </w:instrText>
            </w:r>
            <w:r w:rsidR="00020135" w:rsidRPr="00020135">
              <w:rPr>
                <w:webHidden/>
              </w:rPr>
            </w:r>
            <w:r w:rsidR="00020135" w:rsidRPr="00020135">
              <w:rPr>
                <w:webHidden/>
              </w:rPr>
              <w:fldChar w:fldCharType="separate"/>
            </w:r>
            <w:r w:rsidR="003C0C59">
              <w:rPr>
                <w:webHidden/>
              </w:rPr>
              <w:t>3</w:t>
            </w:r>
            <w:r w:rsidR="00020135" w:rsidRPr="00020135">
              <w:rPr>
                <w:webHidden/>
              </w:rPr>
              <w:fldChar w:fldCharType="end"/>
            </w:r>
          </w:hyperlink>
        </w:p>
        <w:p w14:paraId="63EC6213" w14:textId="5BC0866C" w:rsidR="00020135" w:rsidRPr="00020135" w:rsidRDefault="00000000">
          <w:pPr>
            <w:pStyle w:val="TOC1"/>
            <w:rPr>
              <w:b w:val="0"/>
              <w:sz w:val="22"/>
              <w:szCs w:val="22"/>
              <w:lang w:eastAsia="en-GB"/>
            </w:rPr>
          </w:pPr>
          <w:hyperlink w:anchor="_Toc133586118" w:history="1">
            <w:r w:rsidR="00020135" w:rsidRPr="00020135">
              <w:rPr>
                <w:rStyle w:val="Hyperlink"/>
              </w:rPr>
              <w:t>1.0</w:t>
            </w:r>
            <w:r w:rsidR="00020135" w:rsidRPr="00020135">
              <w:rPr>
                <w:b w:val="0"/>
                <w:sz w:val="22"/>
                <w:szCs w:val="22"/>
                <w:lang w:eastAsia="en-GB"/>
              </w:rPr>
              <w:tab/>
            </w:r>
            <w:r w:rsidR="00020135" w:rsidRPr="00020135">
              <w:rPr>
                <w:rStyle w:val="Hyperlink"/>
              </w:rPr>
              <w:t>Introduction</w:t>
            </w:r>
            <w:r w:rsidR="00020135" w:rsidRPr="00020135">
              <w:rPr>
                <w:webHidden/>
              </w:rPr>
              <w:tab/>
            </w:r>
            <w:r w:rsidR="00020135" w:rsidRPr="00020135">
              <w:rPr>
                <w:webHidden/>
              </w:rPr>
              <w:fldChar w:fldCharType="begin"/>
            </w:r>
            <w:r w:rsidR="00020135" w:rsidRPr="00020135">
              <w:rPr>
                <w:webHidden/>
              </w:rPr>
              <w:instrText xml:space="preserve"> PAGEREF _Toc133586118 \h </w:instrText>
            </w:r>
            <w:r w:rsidR="00020135" w:rsidRPr="00020135">
              <w:rPr>
                <w:webHidden/>
              </w:rPr>
            </w:r>
            <w:r w:rsidR="00020135" w:rsidRPr="00020135">
              <w:rPr>
                <w:webHidden/>
              </w:rPr>
              <w:fldChar w:fldCharType="separate"/>
            </w:r>
            <w:r w:rsidR="003C0C59">
              <w:rPr>
                <w:webHidden/>
              </w:rPr>
              <w:t>7</w:t>
            </w:r>
            <w:r w:rsidR="00020135" w:rsidRPr="00020135">
              <w:rPr>
                <w:webHidden/>
              </w:rPr>
              <w:fldChar w:fldCharType="end"/>
            </w:r>
          </w:hyperlink>
        </w:p>
        <w:p w14:paraId="7E7B4CF6" w14:textId="6EE5F915" w:rsidR="00020135" w:rsidRPr="00020135" w:rsidRDefault="00000000">
          <w:pPr>
            <w:pStyle w:val="TOC1"/>
            <w:rPr>
              <w:b w:val="0"/>
              <w:sz w:val="22"/>
              <w:szCs w:val="22"/>
              <w:lang w:eastAsia="en-GB"/>
            </w:rPr>
          </w:pPr>
          <w:hyperlink w:anchor="_Toc133586119" w:history="1">
            <w:r w:rsidR="00020135" w:rsidRPr="00020135">
              <w:rPr>
                <w:rStyle w:val="Hyperlink"/>
              </w:rPr>
              <w:t>2.0</w:t>
            </w:r>
            <w:r w:rsidR="00020135" w:rsidRPr="00020135">
              <w:rPr>
                <w:b w:val="0"/>
                <w:sz w:val="22"/>
                <w:szCs w:val="22"/>
                <w:lang w:eastAsia="en-GB"/>
              </w:rPr>
              <w:tab/>
            </w:r>
            <w:r w:rsidR="00020135" w:rsidRPr="00020135">
              <w:rPr>
                <w:rStyle w:val="Hyperlink"/>
              </w:rPr>
              <w:t>General Comments</w:t>
            </w:r>
            <w:r w:rsidR="00020135" w:rsidRPr="00020135">
              <w:rPr>
                <w:webHidden/>
              </w:rPr>
              <w:tab/>
            </w:r>
            <w:r w:rsidR="00020135" w:rsidRPr="00020135">
              <w:rPr>
                <w:webHidden/>
              </w:rPr>
              <w:fldChar w:fldCharType="begin"/>
            </w:r>
            <w:r w:rsidR="00020135" w:rsidRPr="00020135">
              <w:rPr>
                <w:webHidden/>
              </w:rPr>
              <w:instrText xml:space="preserve"> PAGEREF _Toc133586119 \h </w:instrText>
            </w:r>
            <w:r w:rsidR="00020135" w:rsidRPr="00020135">
              <w:rPr>
                <w:webHidden/>
              </w:rPr>
            </w:r>
            <w:r w:rsidR="00020135" w:rsidRPr="00020135">
              <w:rPr>
                <w:webHidden/>
              </w:rPr>
              <w:fldChar w:fldCharType="separate"/>
            </w:r>
            <w:r w:rsidR="003C0C59">
              <w:rPr>
                <w:webHidden/>
              </w:rPr>
              <w:t>9</w:t>
            </w:r>
            <w:r w:rsidR="00020135" w:rsidRPr="00020135">
              <w:rPr>
                <w:webHidden/>
              </w:rPr>
              <w:fldChar w:fldCharType="end"/>
            </w:r>
          </w:hyperlink>
        </w:p>
        <w:p w14:paraId="5B44864E" w14:textId="78216CCB" w:rsidR="00020135" w:rsidRPr="00020135" w:rsidRDefault="00000000">
          <w:pPr>
            <w:pStyle w:val="TOC2"/>
            <w:rPr>
              <w:rFonts w:ascii="Verdana" w:hAnsi="Verdana"/>
              <w:noProof/>
              <w:sz w:val="22"/>
              <w:szCs w:val="22"/>
              <w:lang w:eastAsia="en-GB"/>
            </w:rPr>
          </w:pPr>
          <w:hyperlink w:anchor="_Toc133586120" w:history="1">
            <w:r w:rsidR="00020135" w:rsidRPr="00020135">
              <w:rPr>
                <w:rStyle w:val="Hyperlink"/>
                <w:rFonts w:ascii="Verdana" w:hAnsi="Verdana"/>
                <w:noProof/>
              </w:rPr>
              <w:t>Human rights-based approach</w:t>
            </w:r>
            <w:r w:rsidR="00020135" w:rsidRPr="00020135">
              <w:rPr>
                <w:rFonts w:ascii="Verdana" w:hAnsi="Verdana"/>
                <w:noProof/>
                <w:webHidden/>
              </w:rPr>
              <w:tab/>
            </w:r>
            <w:r w:rsidR="00020135" w:rsidRPr="00020135">
              <w:rPr>
                <w:rFonts w:ascii="Verdana" w:hAnsi="Verdana"/>
                <w:noProof/>
                <w:webHidden/>
              </w:rPr>
              <w:fldChar w:fldCharType="begin"/>
            </w:r>
            <w:r w:rsidR="00020135" w:rsidRPr="00020135">
              <w:rPr>
                <w:rFonts w:ascii="Verdana" w:hAnsi="Verdana"/>
                <w:noProof/>
                <w:webHidden/>
              </w:rPr>
              <w:instrText xml:space="preserve"> PAGEREF _Toc133586120 \h </w:instrText>
            </w:r>
            <w:r w:rsidR="00020135" w:rsidRPr="00020135">
              <w:rPr>
                <w:rFonts w:ascii="Verdana" w:hAnsi="Verdana"/>
                <w:noProof/>
                <w:webHidden/>
              </w:rPr>
            </w:r>
            <w:r w:rsidR="00020135" w:rsidRPr="00020135">
              <w:rPr>
                <w:rFonts w:ascii="Verdana" w:hAnsi="Verdana"/>
                <w:noProof/>
                <w:webHidden/>
              </w:rPr>
              <w:fldChar w:fldCharType="separate"/>
            </w:r>
            <w:r w:rsidR="003C0C59">
              <w:rPr>
                <w:rFonts w:ascii="Verdana" w:hAnsi="Verdana"/>
                <w:noProof/>
                <w:webHidden/>
              </w:rPr>
              <w:t>9</w:t>
            </w:r>
            <w:r w:rsidR="00020135" w:rsidRPr="00020135">
              <w:rPr>
                <w:rFonts w:ascii="Verdana" w:hAnsi="Verdana"/>
                <w:noProof/>
                <w:webHidden/>
              </w:rPr>
              <w:fldChar w:fldCharType="end"/>
            </w:r>
          </w:hyperlink>
        </w:p>
        <w:p w14:paraId="6EE151CC" w14:textId="002EB74E" w:rsidR="00020135" w:rsidRPr="00020135" w:rsidRDefault="00000000">
          <w:pPr>
            <w:pStyle w:val="TOC2"/>
            <w:rPr>
              <w:rFonts w:ascii="Verdana" w:hAnsi="Verdana"/>
              <w:noProof/>
              <w:sz w:val="22"/>
              <w:szCs w:val="22"/>
              <w:lang w:eastAsia="en-GB"/>
            </w:rPr>
          </w:pPr>
          <w:hyperlink w:anchor="_Toc133586121" w:history="1">
            <w:r w:rsidR="00020135" w:rsidRPr="00020135">
              <w:rPr>
                <w:rStyle w:val="Hyperlink"/>
                <w:rFonts w:ascii="Verdana" w:hAnsi="Verdana"/>
                <w:noProof/>
              </w:rPr>
              <w:t>Gender-sensitive approach</w:t>
            </w:r>
            <w:r w:rsidR="00020135" w:rsidRPr="00020135">
              <w:rPr>
                <w:rFonts w:ascii="Verdana" w:hAnsi="Verdana"/>
                <w:noProof/>
                <w:webHidden/>
              </w:rPr>
              <w:tab/>
            </w:r>
            <w:r w:rsidR="00020135" w:rsidRPr="00020135">
              <w:rPr>
                <w:rFonts w:ascii="Verdana" w:hAnsi="Verdana"/>
                <w:noProof/>
                <w:webHidden/>
              </w:rPr>
              <w:fldChar w:fldCharType="begin"/>
            </w:r>
            <w:r w:rsidR="00020135" w:rsidRPr="00020135">
              <w:rPr>
                <w:rFonts w:ascii="Verdana" w:hAnsi="Verdana"/>
                <w:noProof/>
                <w:webHidden/>
              </w:rPr>
              <w:instrText xml:space="preserve"> PAGEREF _Toc133586121 \h </w:instrText>
            </w:r>
            <w:r w:rsidR="00020135" w:rsidRPr="00020135">
              <w:rPr>
                <w:rFonts w:ascii="Verdana" w:hAnsi="Verdana"/>
                <w:noProof/>
                <w:webHidden/>
              </w:rPr>
            </w:r>
            <w:r w:rsidR="00020135" w:rsidRPr="00020135">
              <w:rPr>
                <w:rFonts w:ascii="Verdana" w:hAnsi="Verdana"/>
                <w:noProof/>
                <w:webHidden/>
              </w:rPr>
              <w:fldChar w:fldCharType="separate"/>
            </w:r>
            <w:r w:rsidR="003C0C59">
              <w:rPr>
                <w:rFonts w:ascii="Verdana" w:hAnsi="Verdana"/>
                <w:noProof/>
                <w:webHidden/>
              </w:rPr>
              <w:t>12</w:t>
            </w:r>
            <w:r w:rsidR="00020135" w:rsidRPr="00020135">
              <w:rPr>
                <w:rFonts w:ascii="Verdana" w:hAnsi="Verdana"/>
                <w:noProof/>
                <w:webHidden/>
              </w:rPr>
              <w:fldChar w:fldCharType="end"/>
            </w:r>
          </w:hyperlink>
        </w:p>
        <w:p w14:paraId="550BFBCA" w14:textId="3C7443E2" w:rsidR="00020135" w:rsidRPr="00020135" w:rsidRDefault="00000000">
          <w:pPr>
            <w:pStyle w:val="TOC2"/>
            <w:rPr>
              <w:rFonts w:ascii="Verdana" w:hAnsi="Verdana"/>
              <w:noProof/>
              <w:sz w:val="22"/>
              <w:szCs w:val="22"/>
              <w:lang w:eastAsia="en-GB"/>
            </w:rPr>
          </w:pPr>
          <w:hyperlink w:anchor="_Toc133586122" w:history="1">
            <w:r w:rsidR="00020135" w:rsidRPr="00020135">
              <w:rPr>
                <w:rStyle w:val="Hyperlink"/>
                <w:rFonts w:ascii="Verdana" w:hAnsi="Verdana"/>
                <w:noProof/>
              </w:rPr>
              <w:t>Domestic and sexual abuse in a post-conflict society</w:t>
            </w:r>
            <w:r w:rsidR="00020135" w:rsidRPr="00020135">
              <w:rPr>
                <w:rFonts w:ascii="Verdana" w:hAnsi="Verdana"/>
                <w:noProof/>
                <w:webHidden/>
              </w:rPr>
              <w:tab/>
            </w:r>
            <w:r w:rsidR="00020135" w:rsidRPr="00020135">
              <w:rPr>
                <w:rFonts w:ascii="Verdana" w:hAnsi="Verdana"/>
                <w:noProof/>
                <w:webHidden/>
              </w:rPr>
              <w:fldChar w:fldCharType="begin"/>
            </w:r>
            <w:r w:rsidR="00020135" w:rsidRPr="00020135">
              <w:rPr>
                <w:rFonts w:ascii="Verdana" w:hAnsi="Verdana"/>
                <w:noProof/>
                <w:webHidden/>
              </w:rPr>
              <w:instrText xml:space="preserve"> PAGEREF _Toc133586122 \h </w:instrText>
            </w:r>
            <w:r w:rsidR="00020135" w:rsidRPr="00020135">
              <w:rPr>
                <w:rFonts w:ascii="Verdana" w:hAnsi="Verdana"/>
                <w:noProof/>
                <w:webHidden/>
              </w:rPr>
            </w:r>
            <w:r w:rsidR="00020135" w:rsidRPr="00020135">
              <w:rPr>
                <w:rFonts w:ascii="Verdana" w:hAnsi="Verdana"/>
                <w:noProof/>
                <w:webHidden/>
              </w:rPr>
              <w:fldChar w:fldCharType="separate"/>
            </w:r>
            <w:r w:rsidR="003C0C59">
              <w:rPr>
                <w:rFonts w:ascii="Verdana" w:hAnsi="Verdana"/>
                <w:noProof/>
                <w:webHidden/>
              </w:rPr>
              <w:t>16</w:t>
            </w:r>
            <w:r w:rsidR="00020135" w:rsidRPr="00020135">
              <w:rPr>
                <w:rFonts w:ascii="Verdana" w:hAnsi="Verdana"/>
                <w:noProof/>
                <w:webHidden/>
              </w:rPr>
              <w:fldChar w:fldCharType="end"/>
            </w:r>
          </w:hyperlink>
        </w:p>
        <w:p w14:paraId="47C757D0" w14:textId="33806BD2" w:rsidR="00020135" w:rsidRPr="00020135" w:rsidRDefault="00000000">
          <w:pPr>
            <w:pStyle w:val="TOC2"/>
            <w:rPr>
              <w:rFonts w:ascii="Verdana" w:hAnsi="Verdana"/>
              <w:noProof/>
              <w:sz w:val="22"/>
              <w:szCs w:val="22"/>
              <w:lang w:eastAsia="en-GB"/>
            </w:rPr>
          </w:pPr>
          <w:hyperlink w:anchor="_Toc133586123" w:history="1">
            <w:r w:rsidR="00020135" w:rsidRPr="00020135">
              <w:rPr>
                <w:rStyle w:val="Hyperlink"/>
                <w:rFonts w:ascii="Verdana" w:hAnsi="Verdana"/>
                <w:noProof/>
              </w:rPr>
              <w:t>Resourcing</w:t>
            </w:r>
            <w:r w:rsidR="00020135" w:rsidRPr="00020135">
              <w:rPr>
                <w:rFonts w:ascii="Verdana" w:hAnsi="Verdana"/>
                <w:noProof/>
                <w:webHidden/>
              </w:rPr>
              <w:tab/>
            </w:r>
            <w:r w:rsidR="00020135" w:rsidRPr="00020135">
              <w:rPr>
                <w:rFonts w:ascii="Verdana" w:hAnsi="Verdana"/>
                <w:noProof/>
                <w:webHidden/>
              </w:rPr>
              <w:fldChar w:fldCharType="begin"/>
            </w:r>
            <w:r w:rsidR="00020135" w:rsidRPr="00020135">
              <w:rPr>
                <w:rFonts w:ascii="Verdana" w:hAnsi="Verdana"/>
                <w:noProof/>
                <w:webHidden/>
              </w:rPr>
              <w:instrText xml:space="preserve"> PAGEREF _Toc133586123 \h </w:instrText>
            </w:r>
            <w:r w:rsidR="00020135" w:rsidRPr="00020135">
              <w:rPr>
                <w:rFonts w:ascii="Verdana" w:hAnsi="Verdana"/>
                <w:noProof/>
                <w:webHidden/>
              </w:rPr>
            </w:r>
            <w:r w:rsidR="00020135" w:rsidRPr="00020135">
              <w:rPr>
                <w:rFonts w:ascii="Verdana" w:hAnsi="Verdana"/>
                <w:noProof/>
                <w:webHidden/>
              </w:rPr>
              <w:fldChar w:fldCharType="separate"/>
            </w:r>
            <w:r w:rsidR="003C0C59">
              <w:rPr>
                <w:rFonts w:ascii="Verdana" w:hAnsi="Verdana"/>
                <w:noProof/>
                <w:webHidden/>
              </w:rPr>
              <w:t>16</w:t>
            </w:r>
            <w:r w:rsidR="00020135" w:rsidRPr="00020135">
              <w:rPr>
                <w:rFonts w:ascii="Verdana" w:hAnsi="Verdana"/>
                <w:noProof/>
                <w:webHidden/>
              </w:rPr>
              <w:fldChar w:fldCharType="end"/>
            </w:r>
          </w:hyperlink>
        </w:p>
        <w:p w14:paraId="4580A1D3" w14:textId="1F19D3F8" w:rsidR="00020135" w:rsidRPr="00020135" w:rsidRDefault="00000000">
          <w:pPr>
            <w:pStyle w:val="TOC2"/>
            <w:rPr>
              <w:rFonts w:ascii="Verdana" w:hAnsi="Verdana"/>
              <w:noProof/>
              <w:sz w:val="22"/>
              <w:szCs w:val="22"/>
              <w:lang w:eastAsia="en-GB"/>
            </w:rPr>
          </w:pPr>
          <w:hyperlink w:anchor="_Toc133586124" w:history="1">
            <w:r w:rsidR="00020135" w:rsidRPr="00020135">
              <w:rPr>
                <w:rStyle w:val="Hyperlink"/>
                <w:rFonts w:ascii="Verdana" w:hAnsi="Verdana"/>
                <w:noProof/>
              </w:rPr>
              <w:t>Data collection</w:t>
            </w:r>
            <w:r w:rsidR="00020135" w:rsidRPr="00020135">
              <w:rPr>
                <w:rFonts w:ascii="Verdana" w:hAnsi="Verdana"/>
                <w:noProof/>
                <w:webHidden/>
              </w:rPr>
              <w:tab/>
            </w:r>
            <w:r w:rsidR="00020135" w:rsidRPr="00020135">
              <w:rPr>
                <w:rFonts w:ascii="Verdana" w:hAnsi="Verdana"/>
                <w:noProof/>
                <w:webHidden/>
              </w:rPr>
              <w:fldChar w:fldCharType="begin"/>
            </w:r>
            <w:r w:rsidR="00020135" w:rsidRPr="00020135">
              <w:rPr>
                <w:rFonts w:ascii="Verdana" w:hAnsi="Verdana"/>
                <w:noProof/>
                <w:webHidden/>
              </w:rPr>
              <w:instrText xml:space="preserve"> PAGEREF _Toc133586124 \h </w:instrText>
            </w:r>
            <w:r w:rsidR="00020135" w:rsidRPr="00020135">
              <w:rPr>
                <w:rFonts w:ascii="Verdana" w:hAnsi="Verdana"/>
                <w:noProof/>
                <w:webHidden/>
              </w:rPr>
            </w:r>
            <w:r w:rsidR="00020135" w:rsidRPr="00020135">
              <w:rPr>
                <w:rFonts w:ascii="Verdana" w:hAnsi="Verdana"/>
                <w:noProof/>
                <w:webHidden/>
              </w:rPr>
              <w:fldChar w:fldCharType="separate"/>
            </w:r>
            <w:r w:rsidR="003C0C59">
              <w:rPr>
                <w:rFonts w:ascii="Verdana" w:hAnsi="Verdana"/>
                <w:noProof/>
                <w:webHidden/>
              </w:rPr>
              <w:t>19</w:t>
            </w:r>
            <w:r w:rsidR="00020135" w:rsidRPr="00020135">
              <w:rPr>
                <w:rFonts w:ascii="Verdana" w:hAnsi="Verdana"/>
                <w:noProof/>
                <w:webHidden/>
              </w:rPr>
              <w:fldChar w:fldCharType="end"/>
            </w:r>
          </w:hyperlink>
        </w:p>
        <w:p w14:paraId="72CCFEA1" w14:textId="4DEA71E4" w:rsidR="00020135" w:rsidRPr="00020135" w:rsidRDefault="00000000">
          <w:pPr>
            <w:pStyle w:val="TOC2"/>
            <w:rPr>
              <w:rFonts w:ascii="Verdana" w:hAnsi="Verdana"/>
              <w:noProof/>
              <w:sz w:val="22"/>
              <w:szCs w:val="22"/>
              <w:lang w:eastAsia="en-GB"/>
            </w:rPr>
          </w:pPr>
          <w:hyperlink w:anchor="_Toc133586125" w:history="1">
            <w:r w:rsidR="00020135" w:rsidRPr="00020135">
              <w:rPr>
                <w:rStyle w:val="Hyperlink"/>
                <w:rFonts w:ascii="Verdana" w:hAnsi="Verdana"/>
                <w:noProof/>
              </w:rPr>
              <w:t>Monitoring</w:t>
            </w:r>
            <w:r w:rsidR="00020135" w:rsidRPr="00020135">
              <w:rPr>
                <w:rFonts w:ascii="Verdana" w:hAnsi="Verdana"/>
                <w:noProof/>
                <w:webHidden/>
              </w:rPr>
              <w:tab/>
            </w:r>
            <w:r w:rsidR="00020135" w:rsidRPr="00020135">
              <w:rPr>
                <w:rFonts w:ascii="Verdana" w:hAnsi="Verdana"/>
                <w:noProof/>
                <w:webHidden/>
              </w:rPr>
              <w:fldChar w:fldCharType="begin"/>
            </w:r>
            <w:r w:rsidR="00020135" w:rsidRPr="00020135">
              <w:rPr>
                <w:rFonts w:ascii="Verdana" w:hAnsi="Verdana"/>
                <w:noProof/>
                <w:webHidden/>
              </w:rPr>
              <w:instrText xml:space="preserve"> PAGEREF _Toc133586125 \h </w:instrText>
            </w:r>
            <w:r w:rsidR="00020135" w:rsidRPr="00020135">
              <w:rPr>
                <w:rFonts w:ascii="Verdana" w:hAnsi="Verdana"/>
                <w:noProof/>
                <w:webHidden/>
              </w:rPr>
            </w:r>
            <w:r w:rsidR="00020135" w:rsidRPr="00020135">
              <w:rPr>
                <w:rFonts w:ascii="Verdana" w:hAnsi="Verdana"/>
                <w:noProof/>
                <w:webHidden/>
              </w:rPr>
              <w:fldChar w:fldCharType="separate"/>
            </w:r>
            <w:r w:rsidR="003C0C59">
              <w:rPr>
                <w:rFonts w:ascii="Verdana" w:hAnsi="Verdana"/>
                <w:noProof/>
                <w:webHidden/>
              </w:rPr>
              <w:t>20</w:t>
            </w:r>
            <w:r w:rsidR="00020135" w:rsidRPr="00020135">
              <w:rPr>
                <w:rFonts w:ascii="Verdana" w:hAnsi="Verdana"/>
                <w:noProof/>
                <w:webHidden/>
              </w:rPr>
              <w:fldChar w:fldCharType="end"/>
            </w:r>
          </w:hyperlink>
        </w:p>
        <w:p w14:paraId="3D5164AB" w14:textId="058F531A" w:rsidR="00020135" w:rsidRPr="00020135" w:rsidRDefault="00000000">
          <w:pPr>
            <w:pStyle w:val="TOC1"/>
            <w:rPr>
              <w:b w:val="0"/>
              <w:sz w:val="22"/>
              <w:szCs w:val="22"/>
              <w:lang w:eastAsia="en-GB"/>
            </w:rPr>
          </w:pPr>
          <w:hyperlink w:anchor="_Toc133586126" w:history="1">
            <w:r w:rsidR="00020135" w:rsidRPr="00020135">
              <w:rPr>
                <w:rStyle w:val="Hyperlink"/>
              </w:rPr>
              <w:t>4.0</w:t>
            </w:r>
            <w:r w:rsidR="00020135" w:rsidRPr="00020135">
              <w:rPr>
                <w:b w:val="0"/>
                <w:sz w:val="22"/>
                <w:szCs w:val="22"/>
                <w:lang w:eastAsia="en-GB"/>
              </w:rPr>
              <w:tab/>
            </w:r>
            <w:r w:rsidR="00020135" w:rsidRPr="00020135">
              <w:rPr>
                <w:rStyle w:val="Hyperlink"/>
              </w:rPr>
              <w:t>Pillar 1: Partnership</w:t>
            </w:r>
            <w:r w:rsidR="00020135" w:rsidRPr="00020135">
              <w:rPr>
                <w:webHidden/>
              </w:rPr>
              <w:tab/>
            </w:r>
            <w:r w:rsidR="00020135" w:rsidRPr="00020135">
              <w:rPr>
                <w:webHidden/>
              </w:rPr>
              <w:fldChar w:fldCharType="begin"/>
            </w:r>
            <w:r w:rsidR="00020135" w:rsidRPr="00020135">
              <w:rPr>
                <w:webHidden/>
              </w:rPr>
              <w:instrText xml:space="preserve"> PAGEREF _Toc133586126 \h </w:instrText>
            </w:r>
            <w:r w:rsidR="00020135" w:rsidRPr="00020135">
              <w:rPr>
                <w:webHidden/>
              </w:rPr>
            </w:r>
            <w:r w:rsidR="00020135" w:rsidRPr="00020135">
              <w:rPr>
                <w:webHidden/>
              </w:rPr>
              <w:fldChar w:fldCharType="separate"/>
            </w:r>
            <w:r w:rsidR="003C0C59">
              <w:rPr>
                <w:webHidden/>
              </w:rPr>
              <w:t>21</w:t>
            </w:r>
            <w:r w:rsidR="00020135" w:rsidRPr="00020135">
              <w:rPr>
                <w:webHidden/>
              </w:rPr>
              <w:fldChar w:fldCharType="end"/>
            </w:r>
          </w:hyperlink>
        </w:p>
        <w:p w14:paraId="768FC976" w14:textId="00BEFC1C" w:rsidR="00020135" w:rsidRPr="00020135" w:rsidRDefault="00000000">
          <w:pPr>
            <w:pStyle w:val="TOC2"/>
            <w:rPr>
              <w:rFonts w:ascii="Verdana" w:hAnsi="Verdana"/>
              <w:noProof/>
              <w:sz w:val="22"/>
              <w:szCs w:val="22"/>
              <w:lang w:eastAsia="en-GB"/>
            </w:rPr>
          </w:pPr>
          <w:hyperlink w:anchor="_Toc133586127" w:history="1">
            <w:r w:rsidR="00020135" w:rsidRPr="00020135">
              <w:rPr>
                <w:rStyle w:val="Hyperlink"/>
                <w:rFonts w:ascii="Verdana" w:hAnsi="Verdana"/>
                <w:noProof/>
              </w:rPr>
              <w:t>Procurement processes</w:t>
            </w:r>
            <w:r w:rsidR="00020135" w:rsidRPr="00020135">
              <w:rPr>
                <w:rFonts w:ascii="Verdana" w:hAnsi="Verdana"/>
                <w:noProof/>
                <w:webHidden/>
              </w:rPr>
              <w:tab/>
            </w:r>
            <w:r w:rsidR="00020135" w:rsidRPr="00020135">
              <w:rPr>
                <w:rFonts w:ascii="Verdana" w:hAnsi="Verdana"/>
                <w:noProof/>
                <w:webHidden/>
              </w:rPr>
              <w:fldChar w:fldCharType="begin"/>
            </w:r>
            <w:r w:rsidR="00020135" w:rsidRPr="00020135">
              <w:rPr>
                <w:rFonts w:ascii="Verdana" w:hAnsi="Verdana"/>
                <w:noProof/>
                <w:webHidden/>
              </w:rPr>
              <w:instrText xml:space="preserve"> PAGEREF _Toc133586127 \h </w:instrText>
            </w:r>
            <w:r w:rsidR="00020135" w:rsidRPr="00020135">
              <w:rPr>
                <w:rFonts w:ascii="Verdana" w:hAnsi="Verdana"/>
                <w:noProof/>
                <w:webHidden/>
              </w:rPr>
            </w:r>
            <w:r w:rsidR="00020135" w:rsidRPr="00020135">
              <w:rPr>
                <w:rFonts w:ascii="Verdana" w:hAnsi="Verdana"/>
                <w:noProof/>
                <w:webHidden/>
              </w:rPr>
              <w:fldChar w:fldCharType="separate"/>
            </w:r>
            <w:r w:rsidR="003C0C59">
              <w:rPr>
                <w:rFonts w:ascii="Verdana" w:hAnsi="Verdana"/>
                <w:noProof/>
                <w:webHidden/>
              </w:rPr>
              <w:t>21</w:t>
            </w:r>
            <w:r w:rsidR="00020135" w:rsidRPr="00020135">
              <w:rPr>
                <w:rFonts w:ascii="Verdana" w:hAnsi="Verdana"/>
                <w:noProof/>
                <w:webHidden/>
              </w:rPr>
              <w:fldChar w:fldCharType="end"/>
            </w:r>
          </w:hyperlink>
        </w:p>
        <w:p w14:paraId="0530AFCD" w14:textId="0C88DC02" w:rsidR="00020135" w:rsidRPr="00020135" w:rsidRDefault="00000000">
          <w:pPr>
            <w:pStyle w:val="TOC2"/>
            <w:rPr>
              <w:rFonts w:ascii="Verdana" w:hAnsi="Verdana"/>
              <w:noProof/>
              <w:sz w:val="22"/>
              <w:szCs w:val="22"/>
              <w:lang w:eastAsia="en-GB"/>
            </w:rPr>
          </w:pPr>
          <w:hyperlink w:anchor="_Toc133586128" w:history="1">
            <w:r w:rsidR="00020135" w:rsidRPr="00020135">
              <w:rPr>
                <w:rStyle w:val="Hyperlink"/>
                <w:rFonts w:ascii="Verdana" w:hAnsi="Verdana"/>
                <w:noProof/>
              </w:rPr>
              <w:t>Training</w:t>
            </w:r>
            <w:r w:rsidR="00020135" w:rsidRPr="00020135">
              <w:rPr>
                <w:rFonts w:ascii="Verdana" w:hAnsi="Verdana"/>
                <w:noProof/>
                <w:webHidden/>
              </w:rPr>
              <w:tab/>
            </w:r>
            <w:r w:rsidR="00020135" w:rsidRPr="00020135">
              <w:rPr>
                <w:rFonts w:ascii="Verdana" w:hAnsi="Verdana"/>
                <w:noProof/>
                <w:webHidden/>
              </w:rPr>
              <w:fldChar w:fldCharType="begin"/>
            </w:r>
            <w:r w:rsidR="00020135" w:rsidRPr="00020135">
              <w:rPr>
                <w:rFonts w:ascii="Verdana" w:hAnsi="Verdana"/>
                <w:noProof/>
                <w:webHidden/>
              </w:rPr>
              <w:instrText xml:space="preserve"> PAGEREF _Toc133586128 \h </w:instrText>
            </w:r>
            <w:r w:rsidR="00020135" w:rsidRPr="00020135">
              <w:rPr>
                <w:rFonts w:ascii="Verdana" w:hAnsi="Verdana"/>
                <w:noProof/>
                <w:webHidden/>
              </w:rPr>
            </w:r>
            <w:r w:rsidR="00020135" w:rsidRPr="00020135">
              <w:rPr>
                <w:rFonts w:ascii="Verdana" w:hAnsi="Verdana"/>
                <w:noProof/>
                <w:webHidden/>
              </w:rPr>
              <w:fldChar w:fldCharType="separate"/>
            </w:r>
            <w:r w:rsidR="003C0C59">
              <w:rPr>
                <w:rFonts w:ascii="Verdana" w:hAnsi="Verdana"/>
                <w:noProof/>
                <w:webHidden/>
              </w:rPr>
              <w:t>22</w:t>
            </w:r>
            <w:r w:rsidR="00020135" w:rsidRPr="00020135">
              <w:rPr>
                <w:rFonts w:ascii="Verdana" w:hAnsi="Verdana"/>
                <w:noProof/>
                <w:webHidden/>
              </w:rPr>
              <w:fldChar w:fldCharType="end"/>
            </w:r>
          </w:hyperlink>
        </w:p>
        <w:p w14:paraId="37D50FBC" w14:textId="61A024B8" w:rsidR="00020135" w:rsidRPr="00020135" w:rsidRDefault="00000000">
          <w:pPr>
            <w:pStyle w:val="TOC2"/>
            <w:rPr>
              <w:rFonts w:ascii="Verdana" w:hAnsi="Verdana"/>
              <w:noProof/>
              <w:sz w:val="22"/>
              <w:szCs w:val="22"/>
              <w:lang w:eastAsia="en-GB"/>
            </w:rPr>
          </w:pPr>
          <w:hyperlink w:anchor="_Toc133586129" w:history="1">
            <w:r w:rsidR="00020135" w:rsidRPr="00020135">
              <w:rPr>
                <w:rStyle w:val="Hyperlink"/>
                <w:rFonts w:ascii="Verdana" w:hAnsi="Verdana"/>
                <w:noProof/>
              </w:rPr>
              <w:t>Meaningful engagement</w:t>
            </w:r>
            <w:r w:rsidR="00020135" w:rsidRPr="00020135">
              <w:rPr>
                <w:rFonts w:ascii="Verdana" w:hAnsi="Verdana"/>
                <w:noProof/>
                <w:webHidden/>
              </w:rPr>
              <w:tab/>
            </w:r>
            <w:r w:rsidR="00020135" w:rsidRPr="00020135">
              <w:rPr>
                <w:rFonts w:ascii="Verdana" w:hAnsi="Verdana"/>
                <w:noProof/>
                <w:webHidden/>
              </w:rPr>
              <w:fldChar w:fldCharType="begin"/>
            </w:r>
            <w:r w:rsidR="00020135" w:rsidRPr="00020135">
              <w:rPr>
                <w:rFonts w:ascii="Verdana" w:hAnsi="Verdana"/>
                <w:noProof/>
                <w:webHidden/>
              </w:rPr>
              <w:instrText xml:space="preserve"> PAGEREF _Toc133586129 \h </w:instrText>
            </w:r>
            <w:r w:rsidR="00020135" w:rsidRPr="00020135">
              <w:rPr>
                <w:rFonts w:ascii="Verdana" w:hAnsi="Verdana"/>
                <w:noProof/>
                <w:webHidden/>
              </w:rPr>
            </w:r>
            <w:r w:rsidR="00020135" w:rsidRPr="00020135">
              <w:rPr>
                <w:rFonts w:ascii="Verdana" w:hAnsi="Verdana"/>
                <w:noProof/>
                <w:webHidden/>
              </w:rPr>
              <w:fldChar w:fldCharType="separate"/>
            </w:r>
            <w:r w:rsidR="003C0C59">
              <w:rPr>
                <w:rFonts w:ascii="Verdana" w:hAnsi="Verdana"/>
                <w:noProof/>
                <w:webHidden/>
              </w:rPr>
              <w:t>23</w:t>
            </w:r>
            <w:r w:rsidR="00020135" w:rsidRPr="00020135">
              <w:rPr>
                <w:rFonts w:ascii="Verdana" w:hAnsi="Verdana"/>
                <w:noProof/>
                <w:webHidden/>
              </w:rPr>
              <w:fldChar w:fldCharType="end"/>
            </w:r>
          </w:hyperlink>
        </w:p>
        <w:p w14:paraId="03C964FC" w14:textId="36AD058E" w:rsidR="00020135" w:rsidRPr="00020135" w:rsidRDefault="00000000">
          <w:pPr>
            <w:pStyle w:val="TOC2"/>
            <w:rPr>
              <w:rFonts w:ascii="Verdana" w:hAnsi="Verdana"/>
              <w:noProof/>
              <w:sz w:val="22"/>
              <w:szCs w:val="22"/>
              <w:lang w:eastAsia="en-GB"/>
            </w:rPr>
          </w:pPr>
          <w:hyperlink w:anchor="_Toc133586130" w:history="1">
            <w:r w:rsidR="00020135" w:rsidRPr="00020135">
              <w:rPr>
                <w:rStyle w:val="Hyperlink"/>
                <w:rFonts w:ascii="Verdana" w:hAnsi="Verdana"/>
                <w:noProof/>
              </w:rPr>
              <w:t>Gillen Review</w:t>
            </w:r>
            <w:r w:rsidR="00020135" w:rsidRPr="00020135">
              <w:rPr>
                <w:rFonts w:ascii="Verdana" w:hAnsi="Verdana"/>
                <w:noProof/>
                <w:webHidden/>
              </w:rPr>
              <w:tab/>
            </w:r>
            <w:r w:rsidR="00020135" w:rsidRPr="00020135">
              <w:rPr>
                <w:rFonts w:ascii="Verdana" w:hAnsi="Verdana"/>
                <w:noProof/>
                <w:webHidden/>
              </w:rPr>
              <w:fldChar w:fldCharType="begin"/>
            </w:r>
            <w:r w:rsidR="00020135" w:rsidRPr="00020135">
              <w:rPr>
                <w:rFonts w:ascii="Verdana" w:hAnsi="Verdana"/>
                <w:noProof/>
                <w:webHidden/>
              </w:rPr>
              <w:instrText xml:space="preserve"> PAGEREF _Toc133586130 \h </w:instrText>
            </w:r>
            <w:r w:rsidR="00020135" w:rsidRPr="00020135">
              <w:rPr>
                <w:rFonts w:ascii="Verdana" w:hAnsi="Verdana"/>
                <w:noProof/>
                <w:webHidden/>
              </w:rPr>
            </w:r>
            <w:r w:rsidR="00020135" w:rsidRPr="00020135">
              <w:rPr>
                <w:rFonts w:ascii="Verdana" w:hAnsi="Verdana"/>
                <w:noProof/>
                <w:webHidden/>
              </w:rPr>
              <w:fldChar w:fldCharType="separate"/>
            </w:r>
            <w:r w:rsidR="003C0C59">
              <w:rPr>
                <w:rFonts w:ascii="Verdana" w:hAnsi="Verdana"/>
                <w:noProof/>
                <w:webHidden/>
              </w:rPr>
              <w:t>25</w:t>
            </w:r>
            <w:r w:rsidR="00020135" w:rsidRPr="00020135">
              <w:rPr>
                <w:rFonts w:ascii="Verdana" w:hAnsi="Verdana"/>
                <w:noProof/>
                <w:webHidden/>
              </w:rPr>
              <w:fldChar w:fldCharType="end"/>
            </w:r>
          </w:hyperlink>
        </w:p>
        <w:p w14:paraId="6033C82C" w14:textId="6E743FF0" w:rsidR="00020135" w:rsidRPr="00020135" w:rsidRDefault="00000000">
          <w:pPr>
            <w:pStyle w:val="TOC1"/>
            <w:rPr>
              <w:b w:val="0"/>
              <w:sz w:val="22"/>
              <w:szCs w:val="22"/>
              <w:lang w:eastAsia="en-GB"/>
            </w:rPr>
          </w:pPr>
          <w:hyperlink w:anchor="_Toc133586131" w:history="1">
            <w:r w:rsidR="00020135" w:rsidRPr="00020135">
              <w:rPr>
                <w:rStyle w:val="Hyperlink"/>
              </w:rPr>
              <w:t>5.0</w:t>
            </w:r>
            <w:r w:rsidR="00020135" w:rsidRPr="00020135">
              <w:rPr>
                <w:b w:val="0"/>
                <w:sz w:val="22"/>
                <w:szCs w:val="22"/>
                <w:lang w:eastAsia="en-GB"/>
              </w:rPr>
              <w:tab/>
            </w:r>
            <w:r w:rsidR="00020135" w:rsidRPr="00020135">
              <w:rPr>
                <w:rStyle w:val="Hyperlink"/>
              </w:rPr>
              <w:t>Pillar 2: Prevention</w:t>
            </w:r>
            <w:r w:rsidR="00020135" w:rsidRPr="00020135">
              <w:rPr>
                <w:webHidden/>
              </w:rPr>
              <w:tab/>
            </w:r>
            <w:r w:rsidR="00020135" w:rsidRPr="00020135">
              <w:rPr>
                <w:webHidden/>
              </w:rPr>
              <w:fldChar w:fldCharType="begin"/>
            </w:r>
            <w:r w:rsidR="00020135" w:rsidRPr="00020135">
              <w:rPr>
                <w:webHidden/>
              </w:rPr>
              <w:instrText xml:space="preserve"> PAGEREF _Toc133586131 \h </w:instrText>
            </w:r>
            <w:r w:rsidR="00020135" w:rsidRPr="00020135">
              <w:rPr>
                <w:webHidden/>
              </w:rPr>
            </w:r>
            <w:r w:rsidR="00020135" w:rsidRPr="00020135">
              <w:rPr>
                <w:webHidden/>
              </w:rPr>
              <w:fldChar w:fldCharType="separate"/>
            </w:r>
            <w:r w:rsidR="003C0C59">
              <w:rPr>
                <w:webHidden/>
              </w:rPr>
              <w:t>25</w:t>
            </w:r>
            <w:r w:rsidR="00020135" w:rsidRPr="00020135">
              <w:rPr>
                <w:webHidden/>
              </w:rPr>
              <w:fldChar w:fldCharType="end"/>
            </w:r>
          </w:hyperlink>
        </w:p>
        <w:p w14:paraId="3D933BC4" w14:textId="4B021AF9" w:rsidR="00020135" w:rsidRPr="00020135" w:rsidRDefault="00000000">
          <w:pPr>
            <w:pStyle w:val="TOC2"/>
            <w:rPr>
              <w:rFonts w:ascii="Verdana" w:hAnsi="Verdana"/>
              <w:noProof/>
              <w:sz w:val="22"/>
              <w:szCs w:val="22"/>
              <w:lang w:eastAsia="en-GB"/>
            </w:rPr>
          </w:pPr>
          <w:hyperlink w:anchor="_Toc133586132" w:history="1">
            <w:r w:rsidR="00020135" w:rsidRPr="00020135">
              <w:rPr>
                <w:rStyle w:val="Hyperlink"/>
                <w:rFonts w:ascii="Verdana" w:hAnsi="Verdana"/>
                <w:noProof/>
              </w:rPr>
              <w:t>Awareness raising</w:t>
            </w:r>
            <w:r w:rsidR="00020135" w:rsidRPr="00020135">
              <w:rPr>
                <w:rFonts w:ascii="Verdana" w:hAnsi="Verdana"/>
                <w:noProof/>
                <w:webHidden/>
              </w:rPr>
              <w:tab/>
            </w:r>
            <w:r w:rsidR="00020135" w:rsidRPr="00020135">
              <w:rPr>
                <w:rFonts w:ascii="Verdana" w:hAnsi="Verdana"/>
                <w:noProof/>
                <w:webHidden/>
              </w:rPr>
              <w:fldChar w:fldCharType="begin"/>
            </w:r>
            <w:r w:rsidR="00020135" w:rsidRPr="00020135">
              <w:rPr>
                <w:rFonts w:ascii="Verdana" w:hAnsi="Verdana"/>
                <w:noProof/>
                <w:webHidden/>
              </w:rPr>
              <w:instrText xml:space="preserve"> PAGEREF _Toc133586132 \h </w:instrText>
            </w:r>
            <w:r w:rsidR="00020135" w:rsidRPr="00020135">
              <w:rPr>
                <w:rFonts w:ascii="Verdana" w:hAnsi="Verdana"/>
                <w:noProof/>
                <w:webHidden/>
              </w:rPr>
            </w:r>
            <w:r w:rsidR="00020135" w:rsidRPr="00020135">
              <w:rPr>
                <w:rFonts w:ascii="Verdana" w:hAnsi="Verdana"/>
                <w:noProof/>
                <w:webHidden/>
              </w:rPr>
              <w:fldChar w:fldCharType="separate"/>
            </w:r>
            <w:r w:rsidR="003C0C59">
              <w:rPr>
                <w:rFonts w:ascii="Verdana" w:hAnsi="Verdana"/>
                <w:noProof/>
                <w:webHidden/>
              </w:rPr>
              <w:t>25</w:t>
            </w:r>
            <w:r w:rsidR="00020135" w:rsidRPr="00020135">
              <w:rPr>
                <w:rFonts w:ascii="Verdana" w:hAnsi="Verdana"/>
                <w:noProof/>
                <w:webHidden/>
              </w:rPr>
              <w:fldChar w:fldCharType="end"/>
            </w:r>
          </w:hyperlink>
        </w:p>
        <w:p w14:paraId="5468AABD" w14:textId="495CBF24" w:rsidR="00020135" w:rsidRPr="00020135" w:rsidRDefault="00000000">
          <w:pPr>
            <w:pStyle w:val="TOC2"/>
            <w:rPr>
              <w:rFonts w:ascii="Verdana" w:hAnsi="Verdana"/>
              <w:noProof/>
              <w:sz w:val="22"/>
              <w:szCs w:val="22"/>
              <w:lang w:eastAsia="en-GB"/>
            </w:rPr>
          </w:pPr>
          <w:hyperlink w:anchor="_Toc133586133" w:history="1">
            <w:r w:rsidR="00020135" w:rsidRPr="00020135">
              <w:rPr>
                <w:rStyle w:val="Hyperlink"/>
                <w:rFonts w:ascii="Verdana" w:hAnsi="Verdana"/>
                <w:noProof/>
              </w:rPr>
              <w:t>Cost of living</w:t>
            </w:r>
            <w:r w:rsidR="00020135" w:rsidRPr="00020135">
              <w:rPr>
                <w:rFonts w:ascii="Verdana" w:hAnsi="Verdana"/>
                <w:noProof/>
                <w:webHidden/>
              </w:rPr>
              <w:tab/>
            </w:r>
            <w:r w:rsidR="00020135" w:rsidRPr="00020135">
              <w:rPr>
                <w:rFonts w:ascii="Verdana" w:hAnsi="Verdana"/>
                <w:noProof/>
                <w:webHidden/>
              </w:rPr>
              <w:fldChar w:fldCharType="begin"/>
            </w:r>
            <w:r w:rsidR="00020135" w:rsidRPr="00020135">
              <w:rPr>
                <w:rFonts w:ascii="Verdana" w:hAnsi="Verdana"/>
                <w:noProof/>
                <w:webHidden/>
              </w:rPr>
              <w:instrText xml:space="preserve"> PAGEREF _Toc133586133 \h </w:instrText>
            </w:r>
            <w:r w:rsidR="00020135" w:rsidRPr="00020135">
              <w:rPr>
                <w:rFonts w:ascii="Verdana" w:hAnsi="Verdana"/>
                <w:noProof/>
                <w:webHidden/>
              </w:rPr>
            </w:r>
            <w:r w:rsidR="00020135" w:rsidRPr="00020135">
              <w:rPr>
                <w:rFonts w:ascii="Verdana" w:hAnsi="Verdana"/>
                <w:noProof/>
                <w:webHidden/>
              </w:rPr>
              <w:fldChar w:fldCharType="separate"/>
            </w:r>
            <w:r w:rsidR="003C0C59">
              <w:rPr>
                <w:rFonts w:ascii="Verdana" w:hAnsi="Verdana"/>
                <w:noProof/>
                <w:webHidden/>
              </w:rPr>
              <w:t>29</w:t>
            </w:r>
            <w:r w:rsidR="00020135" w:rsidRPr="00020135">
              <w:rPr>
                <w:rFonts w:ascii="Verdana" w:hAnsi="Verdana"/>
                <w:noProof/>
                <w:webHidden/>
              </w:rPr>
              <w:fldChar w:fldCharType="end"/>
            </w:r>
          </w:hyperlink>
        </w:p>
        <w:p w14:paraId="4E6AFB03" w14:textId="37B75E9E" w:rsidR="00020135" w:rsidRPr="00020135" w:rsidRDefault="00000000">
          <w:pPr>
            <w:pStyle w:val="TOC2"/>
            <w:rPr>
              <w:rFonts w:ascii="Verdana" w:hAnsi="Verdana"/>
              <w:noProof/>
              <w:sz w:val="22"/>
              <w:szCs w:val="22"/>
              <w:lang w:eastAsia="en-GB"/>
            </w:rPr>
          </w:pPr>
          <w:hyperlink w:anchor="_Toc133586134" w:history="1">
            <w:r w:rsidR="00020135" w:rsidRPr="00020135">
              <w:rPr>
                <w:rStyle w:val="Hyperlink"/>
                <w:rFonts w:ascii="Verdana" w:hAnsi="Verdana"/>
                <w:noProof/>
              </w:rPr>
              <w:t>Online and digital abuse</w:t>
            </w:r>
            <w:r w:rsidR="00020135" w:rsidRPr="00020135">
              <w:rPr>
                <w:rFonts w:ascii="Verdana" w:hAnsi="Verdana"/>
                <w:noProof/>
                <w:webHidden/>
              </w:rPr>
              <w:tab/>
            </w:r>
            <w:r w:rsidR="00020135" w:rsidRPr="00020135">
              <w:rPr>
                <w:rFonts w:ascii="Verdana" w:hAnsi="Verdana"/>
                <w:noProof/>
                <w:webHidden/>
              </w:rPr>
              <w:fldChar w:fldCharType="begin"/>
            </w:r>
            <w:r w:rsidR="00020135" w:rsidRPr="00020135">
              <w:rPr>
                <w:rFonts w:ascii="Verdana" w:hAnsi="Verdana"/>
                <w:noProof/>
                <w:webHidden/>
              </w:rPr>
              <w:instrText xml:space="preserve"> PAGEREF _Toc133586134 \h </w:instrText>
            </w:r>
            <w:r w:rsidR="00020135" w:rsidRPr="00020135">
              <w:rPr>
                <w:rFonts w:ascii="Verdana" w:hAnsi="Verdana"/>
                <w:noProof/>
                <w:webHidden/>
              </w:rPr>
            </w:r>
            <w:r w:rsidR="00020135" w:rsidRPr="00020135">
              <w:rPr>
                <w:rFonts w:ascii="Verdana" w:hAnsi="Verdana"/>
                <w:noProof/>
                <w:webHidden/>
              </w:rPr>
              <w:fldChar w:fldCharType="separate"/>
            </w:r>
            <w:r w:rsidR="003C0C59">
              <w:rPr>
                <w:rFonts w:ascii="Verdana" w:hAnsi="Verdana"/>
                <w:noProof/>
                <w:webHidden/>
              </w:rPr>
              <w:t>29</w:t>
            </w:r>
            <w:r w:rsidR="00020135" w:rsidRPr="00020135">
              <w:rPr>
                <w:rFonts w:ascii="Verdana" w:hAnsi="Verdana"/>
                <w:noProof/>
                <w:webHidden/>
              </w:rPr>
              <w:fldChar w:fldCharType="end"/>
            </w:r>
          </w:hyperlink>
        </w:p>
        <w:p w14:paraId="792C8092" w14:textId="214E76AB" w:rsidR="00020135" w:rsidRPr="00020135" w:rsidRDefault="00000000">
          <w:pPr>
            <w:pStyle w:val="TOC1"/>
            <w:rPr>
              <w:b w:val="0"/>
              <w:sz w:val="22"/>
              <w:szCs w:val="22"/>
              <w:lang w:eastAsia="en-GB"/>
            </w:rPr>
          </w:pPr>
          <w:hyperlink w:anchor="_Toc133586135" w:history="1">
            <w:r w:rsidR="00020135" w:rsidRPr="00020135">
              <w:rPr>
                <w:rStyle w:val="Hyperlink"/>
              </w:rPr>
              <w:t>6.0</w:t>
            </w:r>
            <w:r w:rsidR="00020135" w:rsidRPr="00020135">
              <w:rPr>
                <w:b w:val="0"/>
                <w:sz w:val="22"/>
                <w:szCs w:val="22"/>
                <w:lang w:eastAsia="en-GB"/>
              </w:rPr>
              <w:tab/>
            </w:r>
            <w:r w:rsidR="00020135" w:rsidRPr="00020135">
              <w:rPr>
                <w:rStyle w:val="Hyperlink"/>
              </w:rPr>
              <w:t>Pillar 3: Support</w:t>
            </w:r>
            <w:r w:rsidR="00020135" w:rsidRPr="00020135">
              <w:rPr>
                <w:webHidden/>
              </w:rPr>
              <w:tab/>
            </w:r>
            <w:r w:rsidR="00020135" w:rsidRPr="00020135">
              <w:rPr>
                <w:webHidden/>
              </w:rPr>
              <w:fldChar w:fldCharType="begin"/>
            </w:r>
            <w:r w:rsidR="00020135" w:rsidRPr="00020135">
              <w:rPr>
                <w:webHidden/>
              </w:rPr>
              <w:instrText xml:space="preserve"> PAGEREF _Toc133586135 \h </w:instrText>
            </w:r>
            <w:r w:rsidR="00020135" w:rsidRPr="00020135">
              <w:rPr>
                <w:webHidden/>
              </w:rPr>
            </w:r>
            <w:r w:rsidR="00020135" w:rsidRPr="00020135">
              <w:rPr>
                <w:webHidden/>
              </w:rPr>
              <w:fldChar w:fldCharType="separate"/>
            </w:r>
            <w:r w:rsidR="003C0C59">
              <w:rPr>
                <w:webHidden/>
              </w:rPr>
              <w:t>30</w:t>
            </w:r>
            <w:r w:rsidR="00020135" w:rsidRPr="00020135">
              <w:rPr>
                <w:webHidden/>
              </w:rPr>
              <w:fldChar w:fldCharType="end"/>
            </w:r>
          </w:hyperlink>
        </w:p>
        <w:p w14:paraId="3B4D631D" w14:textId="4687C757" w:rsidR="00020135" w:rsidRPr="00020135" w:rsidRDefault="00000000">
          <w:pPr>
            <w:pStyle w:val="TOC2"/>
            <w:rPr>
              <w:rFonts w:ascii="Verdana" w:hAnsi="Verdana"/>
              <w:noProof/>
              <w:sz w:val="22"/>
              <w:szCs w:val="22"/>
              <w:lang w:eastAsia="en-GB"/>
            </w:rPr>
          </w:pPr>
          <w:hyperlink w:anchor="_Toc133586136" w:history="1">
            <w:r w:rsidR="00020135" w:rsidRPr="00020135">
              <w:rPr>
                <w:rStyle w:val="Hyperlink"/>
                <w:rFonts w:ascii="Verdana" w:hAnsi="Verdana"/>
                <w:noProof/>
              </w:rPr>
              <w:t>Specific needs</w:t>
            </w:r>
            <w:r w:rsidR="00020135" w:rsidRPr="00020135">
              <w:rPr>
                <w:rFonts w:ascii="Verdana" w:hAnsi="Verdana"/>
                <w:noProof/>
                <w:webHidden/>
              </w:rPr>
              <w:tab/>
            </w:r>
            <w:r w:rsidR="00020135" w:rsidRPr="00020135">
              <w:rPr>
                <w:rFonts w:ascii="Verdana" w:hAnsi="Verdana"/>
                <w:noProof/>
                <w:webHidden/>
              </w:rPr>
              <w:fldChar w:fldCharType="begin"/>
            </w:r>
            <w:r w:rsidR="00020135" w:rsidRPr="00020135">
              <w:rPr>
                <w:rFonts w:ascii="Verdana" w:hAnsi="Verdana"/>
                <w:noProof/>
                <w:webHidden/>
              </w:rPr>
              <w:instrText xml:space="preserve"> PAGEREF _Toc133586136 \h </w:instrText>
            </w:r>
            <w:r w:rsidR="00020135" w:rsidRPr="00020135">
              <w:rPr>
                <w:rFonts w:ascii="Verdana" w:hAnsi="Verdana"/>
                <w:noProof/>
                <w:webHidden/>
              </w:rPr>
            </w:r>
            <w:r w:rsidR="00020135" w:rsidRPr="00020135">
              <w:rPr>
                <w:rFonts w:ascii="Verdana" w:hAnsi="Verdana"/>
                <w:noProof/>
                <w:webHidden/>
              </w:rPr>
              <w:fldChar w:fldCharType="separate"/>
            </w:r>
            <w:r w:rsidR="003C0C59">
              <w:rPr>
                <w:rFonts w:ascii="Verdana" w:hAnsi="Verdana"/>
                <w:noProof/>
                <w:webHidden/>
              </w:rPr>
              <w:t>30</w:t>
            </w:r>
            <w:r w:rsidR="00020135" w:rsidRPr="00020135">
              <w:rPr>
                <w:rFonts w:ascii="Verdana" w:hAnsi="Verdana"/>
                <w:noProof/>
                <w:webHidden/>
              </w:rPr>
              <w:fldChar w:fldCharType="end"/>
            </w:r>
          </w:hyperlink>
        </w:p>
        <w:p w14:paraId="22E035F7" w14:textId="6233A34B" w:rsidR="00020135" w:rsidRPr="00020135" w:rsidRDefault="00000000">
          <w:pPr>
            <w:pStyle w:val="TOC2"/>
            <w:rPr>
              <w:rFonts w:ascii="Verdana" w:hAnsi="Verdana"/>
              <w:noProof/>
              <w:sz w:val="22"/>
              <w:szCs w:val="22"/>
              <w:lang w:eastAsia="en-GB"/>
            </w:rPr>
          </w:pPr>
          <w:hyperlink w:anchor="_Toc133586137" w:history="1">
            <w:r w:rsidR="00020135" w:rsidRPr="00020135">
              <w:rPr>
                <w:rStyle w:val="Hyperlink"/>
                <w:rFonts w:ascii="Verdana" w:hAnsi="Verdana"/>
                <w:noProof/>
              </w:rPr>
              <w:t>Immigration status</w:t>
            </w:r>
            <w:r w:rsidR="00020135" w:rsidRPr="00020135">
              <w:rPr>
                <w:rFonts w:ascii="Verdana" w:hAnsi="Verdana"/>
                <w:noProof/>
                <w:webHidden/>
              </w:rPr>
              <w:tab/>
            </w:r>
            <w:r w:rsidR="00020135" w:rsidRPr="00020135">
              <w:rPr>
                <w:rFonts w:ascii="Verdana" w:hAnsi="Verdana"/>
                <w:noProof/>
                <w:webHidden/>
              </w:rPr>
              <w:fldChar w:fldCharType="begin"/>
            </w:r>
            <w:r w:rsidR="00020135" w:rsidRPr="00020135">
              <w:rPr>
                <w:rFonts w:ascii="Verdana" w:hAnsi="Verdana"/>
                <w:noProof/>
                <w:webHidden/>
              </w:rPr>
              <w:instrText xml:space="preserve"> PAGEREF _Toc133586137 \h </w:instrText>
            </w:r>
            <w:r w:rsidR="00020135" w:rsidRPr="00020135">
              <w:rPr>
                <w:rFonts w:ascii="Verdana" w:hAnsi="Verdana"/>
                <w:noProof/>
                <w:webHidden/>
              </w:rPr>
            </w:r>
            <w:r w:rsidR="00020135" w:rsidRPr="00020135">
              <w:rPr>
                <w:rFonts w:ascii="Verdana" w:hAnsi="Verdana"/>
                <w:noProof/>
                <w:webHidden/>
              </w:rPr>
              <w:fldChar w:fldCharType="separate"/>
            </w:r>
            <w:r w:rsidR="003C0C59">
              <w:rPr>
                <w:rFonts w:ascii="Verdana" w:hAnsi="Verdana"/>
                <w:noProof/>
                <w:webHidden/>
              </w:rPr>
              <w:t>32</w:t>
            </w:r>
            <w:r w:rsidR="00020135" w:rsidRPr="00020135">
              <w:rPr>
                <w:rFonts w:ascii="Verdana" w:hAnsi="Verdana"/>
                <w:noProof/>
                <w:webHidden/>
              </w:rPr>
              <w:fldChar w:fldCharType="end"/>
            </w:r>
          </w:hyperlink>
        </w:p>
        <w:p w14:paraId="0E8303D3" w14:textId="5DF12A18" w:rsidR="00020135" w:rsidRPr="00020135" w:rsidRDefault="00000000">
          <w:pPr>
            <w:pStyle w:val="TOC1"/>
            <w:rPr>
              <w:b w:val="0"/>
              <w:sz w:val="22"/>
              <w:szCs w:val="22"/>
              <w:lang w:eastAsia="en-GB"/>
            </w:rPr>
          </w:pPr>
          <w:hyperlink w:anchor="_Toc133586138" w:history="1">
            <w:r w:rsidR="00020135" w:rsidRPr="00020135">
              <w:rPr>
                <w:rStyle w:val="Hyperlink"/>
              </w:rPr>
              <w:t>7.0</w:t>
            </w:r>
            <w:r w:rsidR="00020135" w:rsidRPr="00020135">
              <w:rPr>
                <w:b w:val="0"/>
                <w:sz w:val="22"/>
                <w:szCs w:val="22"/>
                <w:lang w:eastAsia="en-GB"/>
              </w:rPr>
              <w:tab/>
            </w:r>
            <w:r w:rsidR="00020135" w:rsidRPr="00020135">
              <w:rPr>
                <w:rStyle w:val="Hyperlink"/>
              </w:rPr>
              <w:t>Pillar 4: Justice</w:t>
            </w:r>
            <w:r w:rsidR="00020135" w:rsidRPr="00020135">
              <w:rPr>
                <w:webHidden/>
              </w:rPr>
              <w:tab/>
            </w:r>
            <w:r w:rsidR="00020135" w:rsidRPr="00020135">
              <w:rPr>
                <w:webHidden/>
              </w:rPr>
              <w:fldChar w:fldCharType="begin"/>
            </w:r>
            <w:r w:rsidR="00020135" w:rsidRPr="00020135">
              <w:rPr>
                <w:webHidden/>
              </w:rPr>
              <w:instrText xml:space="preserve"> PAGEREF _Toc133586138 \h </w:instrText>
            </w:r>
            <w:r w:rsidR="00020135" w:rsidRPr="00020135">
              <w:rPr>
                <w:webHidden/>
              </w:rPr>
            </w:r>
            <w:r w:rsidR="00020135" w:rsidRPr="00020135">
              <w:rPr>
                <w:webHidden/>
              </w:rPr>
              <w:fldChar w:fldCharType="separate"/>
            </w:r>
            <w:r w:rsidR="003C0C59">
              <w:rPr>
                <w:webHidden/>
              </w:rPr>
              <w:t>33</w:t>
            </w:r>
            <w:r w:rsidR="00020135" w:rsidRPr="00020135">
              <w:rPr>
                <w:webHidden/>
              </w:rPr>
              <w:fldChar w:fldCharType="end"/>
            </w:r>
          </w:hyperlink>
        </w:p>
        <w:p w14:paraId="533666E1" w14:textId="059D210A" w:rsidR="00020135" w:rsidRPr="00020135" w:rsidRDefault="00000000">
          <w:pPr>
            <w:pStyle w:val="TOC2"/>
            <w:rPr>
              <w:rFonts w:ascii="Verdana" w:hAnsi="Verdana"/>
              <w:noProof/>
              <w:sz w:val="22"/>
              <w:szCs w:val="22"/>
              <w:lang w:eastAsia="en-GB"/>
            </w:rPr>
          </w:pPr>
          <w:hyperlink w:anchor="_Toc133586139" w:history="1">
            <w:r w:rsidR="00020135" w:rsidRPr="00020135">
              <w:rPr>
                <w:rStyle w:val="Hyperlink"/>
                <w:rFonts w:ascii="Verdana" w:hAnsi="Verdana"/>
                <w:noProof/>
                <w:lang w:val="en-US"/>
              </w:rPr>
              <w:t>Training</w:t>
            </w:r>
            <w:r w:rsidR="00020135" w:rsidRPr="00020135">
              <w:rPr>
                <w:rFonts w:ascii="Verdana" w:hAnsi="Verdana"/>
                <w:noProof/>
                <w:webHidden/>
              </w:rPr>
              <w:tab/>
            </w:r>
            <w:r w:rsidR="00020135" w:rsidRPr="00020135">
              <w:rPr>
                <w:rFonts w:ascii="Verdana" w:hAnsi="Verdana"/>
                <w:noProof/>
                <w:webHidden/>
              </w:rPr>
              <w:fldChar w:fldCharType="begin"/>
            </w:r>
            <w:r w:rsidR="00020135" w:rsidRPr="00020135">
              <w:rPr>
                <w:rFonts w:ascii="Verdana" w:hAnsi="Verdana"/>
                <w:noProof/>
                <w:webHidden/>
              </w:rPr>
              <w:instrText xml:space="preserve"> PAGEREF _Toc133586139 \h </w:instrText>
            </w:r>
            <w:r w:rsidR="00020135" w:rsidRPr="00020135">
              <w:rPr>
                <w:rFonts w:ascii="Verdana" w:hAnsi="Verdana"/>
                <w:noProof/>
                <w:webHidden/>
              </w:rPr>
            </w:r>
            <w:r w:rsidR="00020135" w:rsidRPr="00020135">
              <w:rPr>
                <w:rFonts w:ascii="Verdana" w:hAnsi="Verdana"/>
                <w:noProof/>
                <w:webHidden/>
              </w:rPr>
              <w:fldChar w:fldCharType="separate"/>
            </w:r>
            <w:r w:rsidR="003C0C59">
              <w:rPr>
                <w:rFonts w:ascii="Verdana" w:hAnsi="Verdana"/>
                <w:noProof/>
                <w:webHidden/>
              </w:rPr>
              <w:t>33</w:t>
            </w:r>
            <w:r w:rsidR="00020135" w:rsidRPr="00020135">
              <w:rPr>
                <w:rFonts w:ascii="Verdana" w:hAnsi="Verdana"/>
                <w:noProof/>
                <w:webHidden/>
              </w:rPr>
              <w:fldChar w:fldCharType="end"/>
            </w:r>
          </w:hyperlink>
        </w:p>
        <w:p w14:paraId="6915AC8A" w14:textId="129BBE74" w:rsidR="00020135" w:rsidRPr="00020135" w:rsidRDefault="00000000">
          <w:pPr>
            <w:pStyle w:val="TOC2"/>
            <w:rPr>
              <w:rFonts w:ascii="Verdana" w:hAnsi="Verdana"/>
              <w:noProof/>
              <w:sz w:val="22"/>
              <w:szCs w:val="22"/>
              <w:lang w:eastAsia="en-GB"/>
            </w:rPr>
          </w:pPr>
          <w:hyperlink w:anchor="_Toc133586140" w:history="1">
            <w:r w:rsidR="00020135" w:rsidRPr="00020135">
              <w:rPr>
                <w:rStyle w:val="Hyperlink"/>
                <w:rFonts w:ascii="Verdana" w:hAnsi="Verdana"/>
                <w:noProof/>
              </w:rPr>
              <w:t>Accessibility</w:t>
            </w:r>
            <w:r w:rsidR="00020135" w:rsidRPr="00020135">
              <w:rPr>
                <w:rFonts w:ascii="Verdana" w:hAnsi="Verdana"/>
                <w:noProof/>
                <w:webHidden/>
              </w:rPr>
              <w:tab/>
            </w:r>
            <w:r w:rsidR="00020135" w:rsidRPr="00020135">
              <w:rPr>
                <w:rFonts w:ascii="Verdana" w:hAnsi="Verdana"/>
                <w:noProof/>
                <w:webHidden/>
              </w:rPr>
              <w:fldChar w:fldCharType="begin"/>
            </w:r>
            <w:r w:rsidR="00020135" w:rsidRPr="00020135">
              <w:rPr>
                <w:rFonts w:ascii="Verdana" w:hAnsi="Verdana"/>
                <w:noProof/>
                <w:webHidden/>
              </w:rPr>
              <w:instrText xml:space="preserve"> PAGEREF _Toc133586140 \h </w:instrText>
            </w:r>
            <w:r w:rsidR="00020135" w:rsidRPr="00020135">
              <w:rPr>
                <w:rFonts w:ascii="Verdana" w:hAnsi="Verdana"/>
                <w:noProof/>
                <w:webHidden/>
              </w:rPr>
            </w:r>
            <w:r w:rsidR="00020135" w:rsidRPr="00020135">
              <w:rPr>
                <w:rFonts w:ascii="Verdana" w:hAnsi="Verdana"/>
                <w:noProof/>
                <w:webHidden/>
              </w:rPr>
              <w:fldChar w:fldCharType="separate"/>
            </w:r>
            <w:r w:rsidR="003C0C59">
              <w:rPr>
                <w:rFonts w:ascii="Verdana" w:hAnsi="Verdana"/>
                <w:noProof/>
                <w:webHidden/>
              </w:rPr>
              <w:t>35</w:t>
            </w:r>
            <w:r w:rsidR="00020135" w:rsidRPr="00020135">
              <w:rPr>
                <w:rFonts w:ascii="Verdana" w:hAnsi="Verdana"/>
                <w:noProof/>
                <w:webHidden/>
              </w:rPr>
              <w:fldChar w:fldCharType="end"/>
            </w:r>
          </w:hyperlink>
        </w:p>
        <w:p w14:paraId="7F890C0F" w14:textId="44935B85" w:rsidR="00020135" w:rsidRPr="00020135" w:rsidRDefault="00000000">
          <w:pPr>
            <w:pStyle w:val="TOC2"/>
            <w:rPr>
              <w:rFonts w:ascii="Verdana" w:hAnsi="Verdana"/>
              <w:noProof/>
              <w:sz w:val="22"/>
              <w:szCs w:val="22"/>
              <w:lang w:eastAsia="en-GB"/>
            </w:rPr>
          </w:pPr>
          <w:hyperlink w:anchor="_Toc133586141" w:history="1">
            <w:r w:rsidR="00020135" w:rsidRPr="00020135">
              <w:rPr>
                <w:rStyle w:val="Hyperlink"/>
                <w:rFonts w:ascii="Verdana" w:hAnsi="Verdana"/>
                <w:noProof/>
              </w:rPr>
              <w:t>Best interests of the child</w:t>
            </w:r>
            <w:r w:rsidR="00020135" w:rsidRPr="00020135">
              <w:rPr>
                <w:rFonts w:ascii="Verdana" w:hAnsi="Verdana"/>
                <w:noProof/>
                <w:webHidden/>
              </w:rPr>
              <w:tab/>
            </w:r>
            <w:r w:rsidR="00020135" w:rsidRPr="00020135">
              <w:rPr>
                <w:rFonts w:ascii="Verdana" w:hAnsi="Verdana"/>
                <w:noProof/>
                <w:webHidden/>
              </w:rPr>
              <w:fldChar w:fldCharType="begin"/>
            </w:r>
            <w:r w:rsidR="00020135" w:rsidRPr="00020135">
              <w:rPr>
                <w:rFonts w:ascii="Verdana" w:hAnsi="Verdana"/>
                <w:noProof/>
                <w:webHidden/>
              </w:rPr>
              <w:instrText xml:space="preserve"> PAGEREF _Toc133586141 \h </w:instrText>
            </w:r>
            <w:r w:rsidR="00020135" w:rsidRPr="00020135">
              <w:rPr>
                <w:rFonts w:ascii="Verdana" w:hAnsi="Verdana"/>
                <w:noProof/>
                <w:webHidden/>
              </w:rPr>
            </w:r>
            <w:r w:rsidR="00020135" w:rsidRPr="00020135">
              <w:rPr>
                <w:rFonts w:ascii="Verdana" w:hAnsi="Verdana"/>
                <w:noProof/>
                <w:webHidden/>
              </w:rPr>
              <w:fldChar w:fldCharType="separate"/>
            </w:r>
            <w:r w:rsidR="003C0C59">
              <w:rPr>
                <w:rFonts w:ascii="Verdana" w:hAnsi="Verdana"/>
                <w:noProof/>
                <w:webHidden/>
              </w:rPr>
              <w:t>36</w:t>
            </w:r>
            <w:r w:rsidR="00020135" w:rsidRPr="00020135">
              <w:rPr>
                <w:rFonts w:ascii="Verdana" w:hAnsi="Verdana"/>
                <w:noProof/>
                <w:webHidden/>
              </w:rPr>
              <w:fldChar w:fldCharType="end"/>
            </w:r>
          </w:hyperlink>
        </w:p>
        <w:p w14:paraId="72606A98" w14:textId="47A0AB29" w:rsidR="00A92DC2" w:rsidRPr="00564A3B" w:rsidRDefault="00A92DC2">
          <w:pPr>
            <w:rPr>
              <w:rFonts w:ascii="Verdana" w:hAnsi="Verdana"/>
            </w:rPr>
          </w:pPr>
          <w:r w:rsidRPr="000778C1">
            <w:rPr>
              <w:rFonts w:ascii="Verdana" w:hAnsi="Verdana"/>
              <w:b/>
              <w:bCs/>
              <w:noProof/>
            </w:rPr>
            <w:fldChar w:fldCharType="end"/>
          </w:r>
        </w:p>
      </w:sdtContent>
    </w:sdt>
    <w:p w14:paraId="6F09D0D5" w14:textId="77777777" w:rsidR="001E79A9" w:rsidRPr="00564A3B" w:rsidRDefault="001E79A9" w:rsidP="0055193F">
      <w:pPr>
        <w:pStyle w:val="Default"/>
        <w:spacing w:before="24" w:after="24" w:line="288" w:lineRule="auto"/>
        <w:rPr>
          <w:rFonts w:cs="Arial"/>
          <w:b/>
          <w:color w:val="232120"/>
        </w:rPr>
      </w:pPr>
    </w:p>
    <w:p w14:paraId="669D6E2B" w14:textId="77777777" w:rsidR="00EA12CE" w:rsidRPr="00564A3B" w:rsidRDefault="00EA12CE" w:rsidP="0055193F">
      <w:pPr>
        <w:pStyle w:val="Default"/>
        <w:spacing w:before="24" w:after="24" w:line="288" w:lineRule="auto"/>
        <w:rPr>
          <w:rFonts w:cs="Arial"/>
          <w:b/>
          <w:color w:val="232120"/>
        </w:rPr>
      </w:pPr>
    </w:p>
    <w:p w14:paraId="40984BF3" w14:textId="77777777" w:rsidR="00EA12CE" w:rsidRPr="00564A3B" w:rsidRDefault="00EA12CE" w:rsidP="0055193F">
      <w:pPr>
        <w:pStyle w:val="Default"/>
        <w:spacing w:before="24" w:after="24" w:line="288" w:lineRule="auto"/>
        <w:rPr>
          <w:rFonts w:cs="Arial"/>
          <w:b/>
          <w:color w:val="232120"/>
        </w:rPr>
      </w:pPr>
    </w:p>
    <w:p w14:paraId="2DA68B6F" w14:textId="77777777" w:rsidR="00EA12CE" w:rsidRPr="00564A3B" w:rsidRDefault="00EA12CE" w:rsidP="0055193F">
      <w:pPr>
        <w:pStyle w:val="Default"/>
        <w:spacing w:before="24" w:after="24" w:line="288" w:lineRule="auto"/>
        <w:rPr>
          <w:rFonts w:cs="Arial"/>
          <w:b/>
          <w:color w:val="232120"/>
        </w:rPr>
      </w:pPr>
    </w:p>
    <w:p w14:paraId="693FF937" w14:textId="77777777" w:rsidR="00EA12CE" w:rsidRPr="00564A3B" w:rsidRDefault="00EA12CE" w:rsidP="0055193F">
      <w:pPr>
        <w:pStyle w:val="Default"/>
        <w:spacing w:before="24" w:after="24" w:line="288" w:lineRule="auto"/>
        <w:rPr>
          <w:rFonts w:cs="Arial"/>
          <w:b/>
          <w:color w:val="232120"/>
        </w:rPr>
      </w:pPr>
    </w:p>
    <w:p w14:paraId="56488F4B" w14:textId="77777777" w:rsidR="00EA12CE" w:rsidRPr="00564A3B" w:rsidRDefault="00EA12CE" w:rsidP="0055193F">
      <w:pPr>
        <w:pStyle w:val="Default"/>
        <w:spacing w:before="24" w:after="24" w:line="288" w:lineRule="auto"/>
        <w:rPr>
          <w:rFonts w:cs="Arial"/>
          <w:b/>
          <w:color w:val="232120"/>
        </w:rPr>
      </w:pPr>
    </w:p>
    <w:p w14:paraId="38AE01B2" w14:textId="77777777" w:rsidR="00EA12CE" w:rsidRPr="00564A3B" w:rsidRDefault="00EA12CE" w:rsidP="0055193F">
      <w:pPr>
        <w:pStyle w:val="Default"/>
        <w:spacing w:before="24" w:after="24" w:line="288" w:lineRule="auto"/>
        <w:rPr>
          <w:rFonts w:cs="Arial"/>
          <w:b/>
          <w:color w:val="232120"/>
        </w:rPr>
      </w:pPr>
    </w:p>
    <w:p w14:paraId="0683CE27" w14:textId="77777777" w:rsidR="00EA12CE" w:rsidRPr="00564A3B" w:rsidRDefault="00EA12CE" w:rsidP="0055193F">
      <w:pPr>
        <w:pStyle w:val="Default"/>
        <w:spacing w:before="24" w:after="24" w:line="288" w:lineRule="auto"/>
        <w:rPr>
          <w:rFonts w:cs="Arial"/>
          <w:b/>
          <w:color w:val="232120"/>
        </w:rPr>
      </w:pPr>
    </w:p>
    <w:p w14:paraId="7CE73BCF" w14:textId="77777777" w:rsidR="00580048" w:rsidRPr="00564A3B" w:rsidRDefault="00580048" w:rsidP="00580048">
      <w:pPr>
        <w:pStyle w:val="Heading1"/>
      </w:pPr>
      <w:bookmarkStart w:id="0" w:name="_Toc133586117"/>
      <w:r w:rsidRPr="00564A3B">
        <w:lastRenderedPageBreak/>
        <w:t>Summary of Recommendations</w:t>
      </w:r>
      <w:bookmarkEnd w:id="0"/>
    </w:p>
    <w:tbl>
      <w:tblPr>
        <w:tblStyle w:val="TableGrid"/>
        <w:tblW w:w="0" w:type="auto"/>
        <w:tblLook w:val="04A0" w:firstRow="1" w:lastRow="0" w:firstColumn="1" w:lastColumn="0" w:noHBand="0" w:noVBand="1"/>
      </w:tblPr>
      <w:tblGrid>
        <w:gridCol w:w="9848"/>
      </w:tblGrid>
      <w:tr w:rsidR="00DE7230" w14:paraId="16D842EB" w14:textId="77777777" w:rsidTr="00DE7230">
        <w:tc>
          <w:tcPr>
            <w:tcW w:w="9848" w:type="dxa"/>
          </w:tcPr>
          <w:p w14:paraId="53AA3958" w14:textId="77777777" w:rsidR="00DE7230" w:rsidRPr="00DE7230" w:rsidRDefault="00DE7230" w:rsidP="00DE7230">
            <w:pPr>
              <w:pStyle w:val="Default"/>
              <w:spacing w:before="24" w:after="24" w:line="288" w:lineRule="auto"/>
              <w:rPr>
                <w:rFonts w:eastAsia="Times New Roman" w:cs="Times New Roman"/>
                <w:b/>
                <w:bCs/>
              </w:rPr>
            </w:pPr>
            <w:r w:rsidRPr="00DE7230">
              <w:rPr>
                <w:rFonts w:eastAsia="Times New Roman" w:cs="Times New Roman"/>
                <w:b/>
                <w:bCs/>
              </w:rPr>
              <w:t>The Northern Ireland Human Rights Commission (the NIHRC) recommends:</w:t>
            </w:r>
          </w:p>
          <w:p w14:paraId="763468ED" w14:textId="77777777" w:rsidR="00DE7230" w:rsidRDefault="00DE7230" w:rsidP="00DE7230">
            <w:pPr>
              <w:pStyle w:val="Default"/>
              <w:spacing w:before="24" w:after="24"/>
              <w:ind w:left="720"/>
              <w:rPr>
                <w:rFonts w:eastAsia="Times New Roman" w:cs="Times New Roman"/>
                <w:b/>
                <w:bCs/>
                <w:lang w:val="en-GB"/>
              </w:rPr>
            </w:pPr>
          </w:p>
          <w:p w14:paraId="1F5D3043" w14:textId="77777777" w:rsidR="004128AC" w:rsidRPr="0013729A" w:rsidRDefault="004128AC" w:rsidP="004128AC">
            <w:pPr>
              <w:pStyle w:val="Default"/>
              <w:spacing w:before="24" w:after="24"/>
              <w:ind w:left="720" w:hanging="720"/>
              <w:rPr>
                <w:rFonts w:eastAsia="Times New Roman" w:cs="Times New Roman"/>
                <w:b/>
                <w:bCs/>
                <w:lang w:val="en-GB"/>
              </w:rPr>
            </w:pPr>
            <w:r>
              <w:rPr>
                <w:rFonts w:eastAsia="Times New Roman" w:cs="Times New Roman"/>
                <w:b/>
                <w:bCs/>
                <w:lang w:val="en-GB"/>
              </w:rPr>
              <w:t>2.7</w:t>
            </w:r>
            <w:r>
              <w:rPr>
                <w:rFonts w:eastAsia="Times New Roman" w:cs="Times New Roman"/>
                <w:b/>
                <w:bCs/>
                <w:lang w:val="en-GB"/>
              </w:rPr>
              <w:tab/>
            </w:r>
            <w:r w:rsidRPr="0013729A">
              <w:rPr>
                <w:rFonts w:eastAsia="Times New Roman" w:cs="Times New Roman"/>
                <w:b/>
                <w:bCs/>
                <w:lang w:val="en-GB"/>
              </w:rPr>
              <w:t>that a statement is included that makes it clear that the strategy is adopting a human rights-based approach, which includes compliance with Windsor Framework Article 2.</w:t>
            </w:r>
          </w:p>
          <w:p w14:paraId="55113B3A" w14:textId="77777777" w:rsidR="004128AC" w:rsidRPr="0013729A" w:rsidRDefault="004128AC" w:rsidP="004128AC">
            <w:pPr>
              <w:pStyle w:val="Default"/>
              <w:spacing w:before="24" w:after="24"/>
              <w:rPr>
                <w:rFonts w:eastAsia="Times New Roman" w:cs="Times New Roman"/>
                <w:b/>
                <w:bCs/>
                <w:lang w:val="en-GB"/>
              </w:rPr>
            </w:pPr>
          </w:p>
          <w:p w14:paraId="111A0574" w14:textId="77777777" w:rsidR="004128AC" w:rsidRPr="0013729A" w:rsidRDefault="004128AC" w:rsidP="004128AC">
            <w:pPr>
              <w:pStyle w:val="Default"/>
              <w:spacing w:before="24" w:after="24"/>
              <w:ind w:left="720" w:hanging="720"/>
              <w:rPr>
                <w:rFonts w:eastAsia="Times New Roman" w:cs="Times New Roman"/>
                <w:b/>
                <w:bCs/>
                <w:lang w:val="en-GB"/>
              </w:rPr>
            </w:pPr>
            <w:r>
              <w:rPr>
                <w:rFonts w:eastAsia="Times New Roman" w:cs="Times New Roman"/>
                <w:b/>
                <w:bCs/>
                <w:lang w:val="en-GB"/>
              </w:rPr>
              <w:t>2.8</w:t>
            </w:r>
            <w:r>
              <w:rPr>
                <w:rFonts w:eastAsia="Times New Roman" w:cs="Times New Roman"/>
                <w:b/>
                <w:bCs/>
                <w:lang w:val="en-GB"/>
              </w:rPr>
              <w:tab/>
            </w:r>
            <w:r w:rsidRPr="0013729A">
              <w:rPr>
                <w:rFonts w:eastAsia="Times New Roman" w:cs="Times New Roman"/>
                <w:b/>
                <w:bCs/>
                <w:lang w:val="en-GB"/>
              </w:rPr>
              <w:t xml:space="preserve">that all relevant human rights standards are embedded into the strategy’s priorities. </w:t>
            </w:r>
          </w:p>
          <w:p w14:paraId="2E4FDD67" w14:textId="77777777" w:rsidR="004128AC" w:rsidRPr="0013729A" w:rsidRDefault="004128AC" w:rsidP="004128AC">
            <w:pPr>
              <w:pStyle w:val="Default"/>
              <w:spacing w:before="24" w:after="24"/>
              <w:rPr>
                <w:rFonts w:eastAsia="Times New Roman" w:cs="Times New Roman"/>
                <w:b/>
                <w:bCs/>
                <w:lang w:val="en-GB"/>
              </w:rPr>
            </w:pPr>
          </w:p>
          <w:p w14:paraId="48ED7CFA" w14:textId="77777777" w:rsidR="004128AC" w:rsidRPr="0013729A" w:rsidRDefault="004128AC" w:rsidP="004128AC">
            <w:pPr>
              <w:pStyle w:val="Default"/>
              <w:spacing w:before="24" w:after="24"/>
              <w:ind w:left="720" w:hanging="720"/>
              <w:rPr>
                <w:rFonts w:eastAsia="Times New Roman" w:cs="Times New Roman"/>
                <w:b/>
                <w:bCs/>
                <w:lang w:val="en-GB"/>
              </w:rPr>
            </w:pPr>
            <w:r w:rsidRPr="006B0999">
              <w:rPr>
                <w:rFonts w:eastAsia="Times New Roman" w:cs="Times New Roman"/>
                <w:b/>
                <w:bCs/>
                <w:lang w:val="en-GB"/>
              </w:rPr>
              <w:t>2.</w:t>
            </w:r>
            <w:r>
              <w:rPr>
                <w:rFonts w:eastAsia="Times New Roman" w:cs="Times New Roman"/>
                <w:b/>
                <w:bCs/>
                <w:lang w:val="en-GB"/>
              </w:rPr>
              <w:t>9</w:t>
            </w:r>
            <w:r>
              <w:rPr>
                <w:rFonts w:eastAsia="Times New Roman" w:cs="Times New Roman"/>
                <w:b/>
                <w:bCs/>
                <w:lang w:val="en-GB"/>
              </w:rPr>
              <w:tab/>
            </w:r>
            <w:r w:rsidRPr="0013729A">
              <w:rPr>
                <w:rFonts w:eastAsia="Times New Roman" w:cs="Times New Roman"/>
                <w:b/>
                <w:bCs/>
                <w:lang w:val="en-GB"/>
              </w:rPr>
              <w:t>that the Department of Health and Department of Justice undertake a human rights training needs analysis. This should be utilised to develop the necessary training to ensure a human rights-based approach, guided by the PANEL principles, is at the foundation in drafting, implementing, monitoring and evaluating the strategy.</w:t>
            </w:r>
          </w:p>
          <w:p w14:paraId="59E06460" w14:textId="77777777" w:rsidR="004128AC" w:rsidRPr="0013729A" w:rsidRDefault="004128AC" w:rsidP="004128AC">
            <w:pPr>
              <w:pStyle w:val="Default"/>
              <w:spacing w:before="24" w:after="24"/>
              <w:rPr>
                <w:rFonts w:eastAsia="Times New Roman" w:cs="Times New Roman"/>
                <w:b/>
                <w:bCs/>
                <w:lang w:val="en-GB"/>
              </w:rPr>
            </w:pPr>
          </w:p>
          <w:p w14:paraId="1077A3C0" w14:textId="77777777" w:rsidR="004128AC" w:rsidRPr="00E55885" w:rsidRDefault="004128AC" w:rsidP="004128AC">
            <w:pPr>
              <w:pStyle w:val="Default"/>
              <w:spacing w:before="24" w:after="24"/>
              <w:ind w:left="720" w:hanging="720"/>
              <w:rPr>
                <w:rFonts w:eastAsia="Times New Roman" w:cs="Times New Roman"/>
                <w:b/>
                <w:bCs/>
                <w:lang w:val="en-GB"/>
              </w:rPr>
            </w:pPr>
            <w:r>
              <w:rPr>
                <w:rFonts w:eastAsia="Times New Roman" w:cs="Times New Roman"/>
                <w:b/>
                <w:bCs/>
                <w:lang w:val="en-GB"/>
              </w:rPr>
              <w:t>2.23</w:t>
            </w:r>
            <w:r>
              <w:rPr>
                <w:rFonts w:eastAsia="Times New Roman" w:cs="Times New Roman"/>
                <w:b/>
                <w:bCs/>
                <w:lang w:val="en-GB"/>
              </w:rPr>
              <w:tab/>
            </w:r>
            <w:r w:rsidRPr="0013729A">
              <w:rPr>
                <w:rFonts w:eastAsia="Times New Roman" w:cs="Times New Roman"/>
                <w:b/>
                <w:bCs/>
                <w:lang w:val="en-GB"/>
              </w:rPr>
              <w:t>that the final strategy explicitly adopts a gender-sensitive approach, including providing for specialised, gender-sensitive, accessible support for victims of domestic and sexual abuse. The strategy should also recognise the structural and societal issues which result in domestic and sexual abuse disproportionately affecting women and should include measures to address these issues.</w:t>
            </w:r>
          </w:p>
          <w:p w14:paraId="58D1AD4D" w14:textId="77777777" w:rsidR="004128AC" w:rsidRPr="0013729A" w:rsidRDefault="004128AC" w:rsidP="004128AC">
            <w:pPr>
              <w:pStyle w:val="Default"/>
              <w:spacing w:before="24" w:after="24"/>
              <w:rPr>
                <w:rFonts w:eastAsia="Times New Roman" w:cs="Times New Roman"/>
                <w:b/>
                <w:bCs/>
                <w:lang w:val="en-GB"/>
              </w:rPr>
            </w:pPr>
          </w:p>
          <w:p w14:paraId="7EF257C8" w14:textId="77777777" w:rsidR="004128AC" w:rsidRPr="0013729A" w:rsidRDefault="004128AC" w:rsidP="004128AC">
            <w:pPr>
              <w:pStyle w:val="Default"/>
              <w:spacing w:before="24" w:after="24"/>
              <w:ind w:left="720" w:hanging="720"/>
              <w:rPr>
                <w:rFonts w:eastAsia="Times New Roman" w:cs="Times New Roman"/>
                <w:b/>
                <w:bCs/>
                <w:lang w:val="en-GB"/>
              </w:rPr>
            </w:pPr>
            <w:r>
              <w:rPr>
                <w:rFonts w:eastAsia="Times New Roman" w:cs="Times New Roman"/>
                <w:b/>
                <w:bCs/>
                <w:lang w:val="en-GB"/>
              </w:rPr>
              <w:t>2.26</w:t>
            </w:r>
            <w:r>
              <w:rPr>
                <w:rFonts w:eastAsia="Times New Roman" w:cs="Times New Roman"/>
                <w:b/>
                <w:bCs/>
                <w:lang w:val="en-GB"/>
              </w:rPr>
              <w:tab/>
            </w:r>
            <w:r w:rsidRPr="0013729A">
              <w:rPr>
                <w:rFonts w:eastAsia="Times New Roman" w:cs="Times New Roman"/>
                <w:b/>
                <w:bCs/>
                <w:lang w:val="en-GB"/>
              </w:rPr>
              <w:t>that the final strategy acknowledges the impact of ‘the Troubles’ on domestic and sexual violence and abuse and outlines specific measures to be taken in this area to address the particular circumstances of a post-conflict society.</w:t>
            </w:r>
          </w:p>
          <w:p w14:paraId="321E9AAE" w14:textId="77777777" w:rsidR="004128AC" w:rsidRPr="0013729A" w:rsidRDefault="004128AC" w:rsidP="004128AC">
            <w:pPr>
              <w:pStyle w:val="Default"/>
              <w:spacing w:before="24" w:after="24"/>
              <w:rPr>
                <w:rFonts w:eastAsia="Times New Roman" w:cs="Times New Roman"/>
                <w:b/>
                <w:bCs/>
                <w:lang w:val="en-GB"/>
              </w:rPr>
            </w:pPr>
          </w:p>
          <w:p w14:paraId="5B20C4F9" w14:textId="77777777" w:rsidR="004128AC" w:rsidRPr="0013729A" w:rsidRDefault="004128AC" w:rsidP="004128AC">
            <w:pPr>
              <w:pStyle w:val="Default"/>
              <w:spacing w:before="24" w:after="24"/>
              <w:ind w:left="720" w:hanging="720"/>
              <w:rPr>
                <w:rFonts w:eastAsia="Times New Roman" w:cs="Times New Roman"/>
                <w:b/>
                <w:bCs/>
                <w:lang w:val="en-GB"/>
              </w:rPr>
            </w:pPr>
            <w:r>
              <w:rPr>
                <w:rFonts w:eastAsia="Times New Roman" w:cs="Times New Roman"/>
                <w:b/>
                <w:bCs/>
                <w:lang w:val="en-GB"/>
              </w:rPr>
              <w:t>2.32</w:t>
            </w:r>
            <w:r>
              <w:rPr>
                <w:rFonts w:eastAsia="Times New Roman" w:cs="Times New Roman"/>
                <w:b/>
                <w:bCs/>
                <w:lang w:val="en-GB"/>
              </w:rPr>
              <w:tab/>
            </w:r>
            <w:r w:rsidRPr="0013729A">
              <w:rPr>
                <w:rFonts w:eastAsia="Times New Roman" w:cs="Times New Roman"/>
                <w:b/>
                <w:bCs/>
                <w:lang w:val="en-GB"/>
              </w:rPr>
              <w:t xml:space="preserve">that the Department of Health and Department of Justice assess the level of resources necessary and, with the NI Executive, ensure that the maximum available resources are effectively utilised and the necessary resources are ring fenced for the development and effective implementation of this strategy. The resources allocated should be long-term and should have sufficient flexibility to address needs as and when they arise. </w:t>
            </w:r>
          </w:p>
          <w:p w14:paraId="13317467" w14:textId="77777777" w:rsidR="004128AC" w:rsidRPr="0013729A" w:rsidRDefault="004128AC" w:rsidP="004128AC">
            <w:pPr>
              <w:pStyle w:val="Default"/>
              <w:spacing w:before="24" w:after="24"/>
              <w:rPr>
                <w:rFonts w:eastAsia="Times New Roman" w:cs="Times New Roman"/>
                <w:b/>
                <w:bCs/>
                <w:lang w:val="en-GB"/>
              </w:rPr>
            </w:pPr>
          </w:p>
          <w:p w14:paraId="6B4B5521" w14:textId="77777777" w:rsidR="004128AC" w:rsidRPr="0013729A" w:rsidRDefault="004128AC" w:rsidP="004128AC">
            <w:pPr>
              <w:pStyle w:val="Default"/>
              <w:spacing w:before="24" w:after="24"/>
              <w:ind w:left="720" w:hanging="720"/>
              <w:rPr>
                <w:rFonts w:eastAsia="Times New Roman" w:cs="Times New Roman"/>
                <w:b/>
                <w:bCs/>
                <w:lang w:val="en-GB"/>
              </w:rPr>
            </w:pPr>
            <w:r>
              <w:rPr>
                <w:rFonts w:eastAsia="Times New Roman" w:cs="Times New Roman"/>
                <w:b/>
                <w:bCs/>
                <w:lang w:val="en-GB"/>
              </w:rPr>
              <w:t>2.33</w:t>
            </w:r>
            <w:r>
              <w:rPr>
                <w:rFonts w:eastAsia="Times New Roman" w:cs="Times New Roman"/>
                <w:b/>
                <w:bCs/>
                <w:lang w:val="en-GB"/>
              </w:rPr>
              <w:tab/>
            </w:r>
            <w:r w:rsidRPr="0013729A">
              <w:rPr>
                <w:rFonts w:eastAsia="Times New Roman" w:cs="Times New Roman"/>
                <w:b/>
                <w:bCs/>
                <w:lang w:val="en-GB"/>
              </w:rPr>
              <w:t xml:space="preserve">that the Department of Health and Department of Justice maintain a participatory process in the development of the budget relating to the proposed strategy and engage in meaningful consultation with those affected by the strategy and their representative organisations. </w:t>
            </w:r>
          </w:p>
          <w:p w14:paraId="440DB84B" w14:textId="77777777" w:rsidR="004128AC" w:rsidRPr="0013729A" w:rsidRDefault="004128AC" w:rsidP="004128AC">
            <w:pPr>
              <w:pStyle w:val="Default"/>
              <w:spacing w:before="24" w:after="24"/>
              <w:rPr>
                <w:rFonts w:eastAsia="Times New Roman" w:cs="Times New Roman"/>
                <w:b/>
                <w:bCs/>
                <w:lang w:val="en-GB"/>
              </w:rPr>
            </w:pPr>
          </w:p>
          <w:p w14:paraId="5D63DEE6" w14:textId="77777777" w:rsidR="004128AC" w:rsidRPr="0013729A" w:rsidRDefault="004128AC" w:rsidP="004128AC">
            <w:pPr>
              <w:pStyle w:val="Default"/>
              <w:spacing w:before="24" w:after="24"/>
              <w:ind w:left="720" w:hanging="720"/>
              <w:rPr>
                <w:rFonts w:eastAsia="Times New Roman" w:cs="Times New Roman"/>
                <w:b/>
                <w:bCs/>
                <w:lang w:val="en-GB"/>
              </w:rPr>
            </w:pPr>
            <w:r>
              <w:rPr>
                <w:rFonts w:eastAsia="Times New Roman" w:cs="Times New Roman"/>
                <w:b/>
                <w:bCs/>
                <w:lang w:val="en-GB"/>
              </w:rPr>
              <w:lastRenderedPageBreak/>
              <w:t>2.34</w:t>
            </w:r>
            <w:r>
              <w:rPr>
                <w:rFonts w:eastAsia="Times New Roman" w:cs="Times New Roman"/>
                <w:b/>
                <w:bCs/>
                <w:lang w:val="en-GB"/>
              </w:rPr>
              <w:tab/>
            </w:r>
            <w:r w:rsidRPr="0013729A">
              <w:rPr>
                <w:rFonts w:eastAsia="Times New Roman" w:cs="Times New Roman"/>
                <w:b/>
                <w:bCs/>
                <w:lang w:val="en-GB"/>
              </w:rPr>
              <w:t xml:space="preserve">that the Department of Health and Department of Justice ensure that external agencies, particularly civil society organisations, are appropriately resourced to ensure their long-term sustainability in the provision of services.  </w:t>
            </w:r>
          </w:p>
          <w:p w14:paraId="5B6B0C99" w14:textId="77777777" w:rsidR="004128AC" w:rsidRPr="0013729A" w:rsidRDefault="004128AC" w:rsidP="004128AC">
            <w:pPr>
              <w:pStyle w:val="Default"/>
              <w:spacing w:before="24" w:after="24" w:line="288" w:lineRule="auto"/>
              <w:rPr>
                <w:rFonts w:eastAsia="Times New Roman" w:cs="Times New Roman"/>
                <w:b/>
                <w:bCs/>
                <w:lang w:val="en-GB"/>
              </w:rPr>
            </w:pPr>
          </w:p>
          <w:p w14:paraId="34CF2AC4" w14:textId="77777777" w:rsidR="004128AC" w:rsidRPr="0013729A" w:rsidRDefault="004128AC" w:rsidP="004128AC">
            <w:pPr>
              <w:pStyle w:val="Default"/>
              <w:spacing w:before="24" w:after="24"/>
              <w:ind w:left="720" w:hanging="720"/>
              <w:rPr>
                <w:rFonts w:eastAsia="Times New Roman" w:cs="Times New Roman"/>
                <w:b/>
                <w:bCs/>
                <w:lang w:val="en-GB"/>
              </w:rPr>
            </w:pPr>
            <w:r>
              <w:rPr>
                <w:rFonts w:eastAsia="Times New Roman" w:cs="Times New Roman"/>
                <w:b/>
                <w:bCs/>
                <w:lang w:val="en-GB"/>
              </w:rPr>
              <w:t>2.41</w:t>
            </w:r>
            <w:r>
              <w:rPr>
                <w:rFonts w:eastAsia="Times New Roman" w:cs="Times New Roman"/>
                <w:b/>
                <w:bCs/>
                <w:lang w:val="en-GB"/>
              </w:rPr>
              <w:tab/>
            </w:r>
            <w:r w:rsidRPr="0013729A">
              <w:rPr>
                <w:rFonts w:eastAsia="Times New Roman" w:cs="Times New Roman"/>
                <w:b/>
                <w:bCs/>
                <w:lang w:val="en-GB"/>
              </w:rPr>
              <w:t>that the final strategy includes a clear commitment to improve the collection of disaggregated data on domestic and sexual abuse and sets out specific measures for achieving this. Data should be collected in a way which reflects society in NI and enables comprehensive comparison with other parts of the UK.</w:t>
            </w:r>
          </w:p>
          <w:p w14:paraId="0AA86B3C" w14:textId="77777777" w:rsidR="004128AC" w:rsidRPr="0013729A" w:rsidRDefault="004128AC" w:rsidP="004128AC">
            <w:pPr>
              <w:pStyle w:val="Default"/>
              <w:spacing w:before="24" w:after="24"/>
              <w:rPr>
                <w:rFonts w:eastAsia="Times New Roman" w:cs="Times New Roman"/>
                <w:b/>
                <w:bCs/>
                <w:lang w:val="en-GB"/>
              </w:rPr>
            </w:pPr>
          </w:p>
          <w:p w14:paraId="7A26A1F4" w14:textId="77777777" w:rsidR="004128AC" w:rsidRPr="00E55885" w:rsidRDefault="004128AC" w:rsidP="004128AC">
            <w:pPr>
              <w:pStyle w:val="Default"/>
              <w:spacing w:before="24" w:after="24"/>
              <w:ind w:left="720" w:hanging="720"/>
              <w:rPr>
                <w:rFonts w:eastAsia="Times New Roman" w:cs="Times New Roman"/>
                <w:b/>
                <w:bCs/>
                <w:lang w:val="en-GB"/>
              </w:rPr>
            </w:pPr>
            <w:r>
              <w:rPr>
                <w:rFonts w:eastAsia="Times New Roman" w:cs="Times New Roman"/>
                <w:b/>
                <w:bCs/>
                <w:lang w:val="en-GB"/>
              </w:rPr>
              <w:t>2.46</w:t>
            </w:r>
            <w:r>
              <w:rPr>
                <w:rFonts w:eastAsia="Times New Roman" w:cs="Times New Roman"/>
                <w:b/>
                <w:bCs/>
                <w:lang w:val="en-GB"/>
              </w:rPr>
              <w:tab/>
            </w:r>
            <w:r w:rsidRPr="0013729A">
              <w:rPr>
                <w:rFonts w:eastAsia="Times New Roman" w:cs="Times New Roman"/>
                <w:b/>
                <w:bCs/>
                <w:lang w:val="en-GB"/>
              </w:rPr>
              <w:t xml:space="preserve">that in drafting the strategy, the Department of Health and Department of Justice develop a clear action plan for delivery of the strategy. This should include appropriate benchmarks and indicators for each agreed action. </w:t>
            </w:r>
          </w:p>
          <w:p w14:paraId="37200095" w14:textId="77777777" w:rsidR="004128AC" w:rsidRPr="0013729A" w:rsidRDefault="004128AC" w:rsidP="004128AC">
            <w:pPr>
              <w:pStyle w:val="Default"/>
              <w:spacing w:before="24" w:after="24"/>
              <w:rPr>
                <w:rFonts w:eastAsia="Times New Roman" w:cs="Times New Roman"/>
                <w:b/>
                <w:bCs/>
                <w:lang w:val="en-GB"/>
              </w:rPr>
            </w:pPr>
          </w:p>
          <w:p w14:paraId="61C3202E" w14:textId="77777777" w:rsidR="004128AC" w:rsidRPr="00E55885" w:rsidRDefault="004128AC" w:rsidP="004128AC">
            <w:pPr>
              <w:pStyle w:val="Default"/>
              <w:spacing w:before="24" w:after="24"/>
              <w:ind w:left="720" w:hanging="720"/>
              <w:rPr>
                <w:rFonts w:eastAsia="Times New Roman" w:cs="Times New Roman"/>
                <w:b/>
                <w:bCs/>
                <w:lang w:val="en-GB"/>
              </w:rPr>
            </w:pPr>
            <w:r>
              <w:rPr>
                <w:rFonts w:eastAsia="Times New Roman" w:cs="Times New Roman"/>
                <w:b/>
                <w:bCs/>
                <w:lang w:val="en-GB"/>
              </w:rPr>
              <w:t>3.4</w:t>
            </w:r>
            <w:r>
              <w:rPr>
                <w:rFonts w:eastAsia="Times New Roman" w:cs="Times New Roman"/>
                <w:b/>
                <w:bCs/>
                <w:lang w:val="en-GB"/>
              </w:rPr>
              <w:tab/>
            </w:r>
            <w:r w:rsidRPr="0013729A">
              <w:rPr>
                <w:rFonts w:eastAsia="Times New Roman" w:cs="Times New Roman"/>
                <w:b/>
                <w:bCs/>
                <w:lang w:val="en-GB"/>
              </w:rPr>
              <w:t>that the Department of Health and Department of Justice develop and publish a list of the key partners that will be relied on for delivery of the strategy.</w:t>
            </w:r>
          </w:p>
          <w:p w14:paraId="15B66C91" w14:textId="77777777" w:rsidR="004128AC" w:rsidRPr="0013729A" w:rsidRDefault="004128AC" w:rsidP="004128AC">
            <w:pPr>
              <w:pStyle w:val="Default"/>
              <w:spacing w:before="24" w:after="24"/>
              <w:rPr>
                <w:rFonts w:eastAsia="Times New Roman" w:cs="Times New Roman"/>
                <w:b/>
                <w:bCs/>
                <w:lang w:val="en-GB"/>
              </w:rPr>
            </w:pPr>
          </w:p>
          <w:p w14:paraId="126FA0B7" w14:textId="77777777" w:rsidR="004128AC" w:rsidRPr="00E55885" w:rsidRDefault="004128AC" w:rsidP="004128AC">
            <w:pPr>
              <w:pStyle w:val="Default"/>
              <w:spacing w:before="24" w:after="24"/>
              <w:ind w:left="720" w:hanging="720"/>
              <w:rPr>
                <w:rFonts w:eastAsia="Times New Roman" w:cs="Times New Roman"/>
                <w:b/>
                <w:bCs/>
                <w:lang w:val="en-GB"/>
              </w:rPr>
            </w:pPr>
            <w:r>
              <w:rPr>
                <w:rFonts w:eastAsia="Times New Roman" w:cs="Times New Roman"/>
                <w:b/>
                <w:bCs/>
                <w:lang w:val="en-GB"/>
              </w:rPr>
              <w:t>3.5</w:t>
            </w:r>
            <w:r>
              <w:rPr>
                <w:rFonts w:eastAsia="Times New Roman" w:cs="Times New Roman"/>
                <w:b/>
                <w:bCs/>
                <w:lang w:val="en-GB"/>
              </w:rPr>
              <w:tab/>
            </w:r>
            <w:r w:rsidRPr="0013729A">
              <w:rPr>
                <w:rFonts w:eastAsia="Times New Roman" w:cs="Times New Roman"/>
                <w:b/>
                <w:bCs/>
                <w:lang w:val="en-GB"/>
              </w:rPr>
              <w:t xml:space="preserve">that the Department of Health and Department of Justice ensure that outsourcing of responsibilities is subject to a human rights-based procurement process and will be monitored for human rights compliance including compliance with UN CEDAW, the </w:t>
            </w:r>
            <w:proofErr w:type="spellStart"/>
            <w:r w:rsidRPr="0013729A">
              <w:rPr>
                <w:rFonts w:eastAsia="Times New Roman" w:cs="Times New Roman"/>
                <w:b/>
                <w:bCs/>
                <w:lang w:val="en-GB"/>
              </w:rPr>
              <w:t>CoE</w:t>
            </w:r>
            <w:proofErr w:type="spellEnd"/>
            <w:r w:rsidRPr="0013729A">
              <w:rPr>
                <w:rFonts w:eastAsia="Times New Roman" w:cs="Times New Roman"/>
                <w:b/>
                <w:bCs/>
                <w:lang w:val="en-GB"/>
              </w:rPr>
              <w:t xml:space="preserve"> Istanbul Convention and Windsor Framework Article 2.</w:t>
            </w:r>
          </w:p>
          <w:p w14:paraId="5F753C22" w14:textId="77777777" w:rsidR="004128AC" w:rsidRPr="0013729A" w:rsidRDefault="004128AC" w:rsidP="004128AC">
            <w:pPr>
              <w:pStyle w:val="Default"/>
              <w:spacing w:before="24" w:after="24"/>
              <w:rPr>
                <w:rFonts w:eastAsia="Times New Roman" w:cs="Times New Roman"/>
                <w:b/>
                <w:bCs/>
                <w:lang w:val="en-GB"/>
              </w:rPr>
            </w:pPr>
          </w:p>
          <w:p w14:paraId="2F90D246" w14:textId="77777777" w:rsidR="004128AC" w:rsidRPr="0013729A" w:rsidRDefault="004128AC" w:rsidP="004128AC">
            <w:pPr>
              <w:pStyle w:val="Default"/>
              <w:spacing w:before="24" w:after="24" w:line="288" w:lineRule="auto"/>
              <w:ind w:left="720" w:hanging="720"/>
              <w:rPr>
                <w:rFonts w:eastAsia="Times New Roman" w:cs="Times New Roman"/>
                <w:b/>
                <w:bCs/>
                <w:lang w:val="en-GB"/>
              </w:rPr>
            </w:pPr>
            <w:r>
              <w:rPr>
                <w:rFonts w:eastAsia="Times New Roman" w:cs="Times New Roman"/>
                <w:b/>
                <w:bCs/>
                <w:lang w:val="en-GB"/>
              </w:rPr>
              <w:t>3.9</w:t>
            </w:r>
            <w:r>
              <w:rPr>
                <w:rFonts w:eastAsia="Times New Roman" w:cs="Times New Roman"/>
                <w:b/>
                <w:bCs/>
                <w:lang w:val="en-GB"/>
              </w:rPr>
              <w:tab/>
            </w:r>
            <w:r w:rsidRPr="0013729A">
              <w:rPr>
                <w:rFonts w:eastAsia="Times New Roman" w:cs="Times New Roman"/>
                <w:b/>
                <w:bCs/>
                <w:lang w:val="en-GB"/>
              </w:rPr>
              <w:t xml:space="preserve">that the strategy includes targeted interventions to ensure that the commitments within are effectively applied in practice. This should include the provision of training for all relevant professionals in line with the requirements of Article 14 of the </w:t>
            </w:r>
            <w:proofErr w:type="spellStart"/>
            <w:r w:rsidRPr="0013729A">
              <w:rPr>
                <w:rFonts w:eastAsia="Times New Roman" w:cs="Times New Roman"/>
                <w:b/>
                <w:bCs/>
                <w:lang w:val="en-GB"/>
              </w:rPr>
              <w:t>CoE</w:t>
            </w:r>
            <w:proofErr w:type="spellEnd"/>
            <w:r w:rsidRPr="0013729A">
              <w:rPr>
                <w:rFonts w:eastAsia="Times New Roman" w:cs="Times New Roman"/>
                <w:b/>
                <w:bCs/>
                <w:lang w:val="en-GB"/>
              </w:rPr>
              <w:t xml:space="preserve"> Istanbul Convention and the EU Victims’ Directive. </w:t>
            </w:r>
          </w:p>
          <w:p w14:paraId="61DF8CD0" w14:textId="77777777" w:rsidR="004128AC" w:rsidRPr="0013729A" w:rsidRDefault="004128AC" w:rsidP="004128AC">
            <w:pPr>
              <w:pStyle w:val="Default"/>
              <w:spacing w:before="24" w:after="24" w:line="288" w:lineRule="auto"/>
              <w:rPr>
                <w:rFonts w:eastAsia="Times New Roman" w:cs="Times New Roman"/>
                <w:b/>
                <w:bCs/>
                <w:lang w:val="en-GB"/>
              </w:rPr>
            </w:pPr>
          </w:p>
          <w:p w14:paraId="5829E90B" w14:textId="77777777" w:rsidR="004128AC" w:rsidRPr="0013729A" w:rsidRDefault="004128AC" w:rsidP="004128AC">
            <w:pPr>
              <w:pStyle w:val="Default"/>
              <w:spacing w:before="24" w:after="24" w:line="288" w:lineRule="auto"/>
              <w:ind w:left="720" w:hanging="720"/>
              <w:rPr>
                <w:rFonts w:eastAsia="Times New Roman" w:cs="Times New Roman"/>
                <w:b/>
                <w:bCs/>
                <w:lang w:val="en-GB"/>
              </w:rPr>
            </w:pPr>
            <w:r>
              <w:rPr>
                <w:rFonts w:eastAsia="Times New Roman" w:cs="Times New Roman"/>
                <w:b/>
                <w:bCs/>
                <w:lang w:val="en-GB"/>
              </w:rPr>
              <w:t>3.12</w:t>
            </w:r>
            <w:r>
              <w:rPr>
                <w:rFonts w:eastAsia="Times New Roman" w:cs="Times New Roman"/>
                <w:b/>
                <w:bCs/>
                <w:lang w:val="en-GB"/>
              </w:rPr>
              <w:tab/>
            </w:r>
            <w:r w:rsidRPr="0013729A">
              <w:rPr>
                <w:rFonts w:eastAsia="Times New Roman" w:cs="Times New Roman"/>
                <w:b/>
                <w:bCs/>
                <w:lang w:val="en-GB"/>
              </w:rPr>
              <w:t xml:space="preserve">that the Department of Health and Department of Justice give due consideration and priority to the opinions and views of victims and their representative organisations throughout implementation and evaluation of the strategy. Mechanisms to effectively collate and ensure meaningful engagement with views expressed by victims and their representative organisations should be identified and committed to within the strategy. </w:t>
            </w:r>
          </w:p>
          <w:p w14:paraId="5ADE30E6" w14:textId="77777777" w:rsidR="004128AC" w:rsidRPr="0013729A" w:rsidRDefault="004128AC" w:rsidP="004128AC">
            <w:pPr>
              <w:pStyle w:val="Default"/>
              <w:spacing w:before="24" w:after="24" w:line="288" w:lineRule="auto"/>
              <w:rPr>
                <w:rFonts w:eastAsia="Times New Roman" w:cs="Times New Roman"/>
                <w:b/>
                <w:bCs/>
                <w:lang w:val="en-GB"/>
              </w:rPr>
            </w:pPr>
          </w:p>
          <w:p w14:paraId="1906C298" w14:textId="77777777" w:rsidR="004128AC" w:rsidRPr="0013729A" w:rsidRDefault="004128AC" w:rsidP="004128AC">
            <w:pPr>
              <w:pStyle w:val="Default"/>
              <w:spacing w:before="24" w:after="24" w:line="288" w:lineRule="auto"/>
              <w:ind w:left="720" w:hanging="720"/>
              <w:rPr>
                <w:rFonts w:eastAsia="Times New Roman" w:cs="Times New Roman"/>
                <w:b/>
                <w:bCs/>
                <w:lang w:val="en-GB"/>
              </w:rPr>
            </w:pPr>
            <w:r>
              <w:rPr>
                <w:rFonts w:eastAsia="Times New Roman" w:cs="Times New Roman"/>
                <w:b/>
                <w:bCs/>
                <w:lang w:val="en-GB"/>
              </w:rPr>
              <w:t>3.14</w:t>
            </w:r>
            <w:r>
              <w:rPr>
                <w:rFonts w:eastAsia="Times New Roman" w:cs="Times New Roman"/>
                <w:b/>
                <w:bCs/>
                <w:lang w:val="en-GB"/>
              </w:rPr>
              <w:tab/>
            </w:r>
            <w:r w:rsidRPr="0013729A">
              <w:rPr>
                <w:rFonts w:eastAsia="Times New Roman" w:cs="Times New Roman"/>
                <w:b/>
                <w:bCs/>
                <w:lang w:val="en-GB"/>
              </w:rPr>
              <w:t>that engagement with individuals with lived experience is conducted with support and in a sensitive and appropriate manner so as not to re-traumatise victims.</w:t>
            </w:r>
          </w:p>
          <w:p w14:paraId="33640F4C" w14:textId="77777777" w:rsidR="004128AC" w:rsidRPr="0013729A" w:rsidRDefault="004128AC" w:rsidP="004128AC">
            <w:pPr>
              <w:pStyle w:val="Default"/>
              <w:spacing w:before="24" w:after="24" w:line="288" w:lineRule="auto"/>
              <w:rPr>
                <w:rFonts w:eastAsia="Times New Roman" w:cs="Times New Roman"/>
                <w:b/>
                <w:bCs/>
                <w:lang w:val="en-GB"/>
              </w:rPr>
            </w:pPr>
          </w:p>
          <w:p w14:paraId="20AB946D" w14:textId="77777777" w:rsidR="004128AC" w:rsidRPr="0013729A" w:rsidRDefault="004128AC" w:rsidP="004128AC">
            <w:pPr>
              <w:pStyle w:val="Default"/>
              <w:spacing w:before="24" w:after="24" w:line="288" w:lineRule="auto"/>
              <w:ind w:left="720" w:hanging="720"/>
              <w:rPr>
                <w:rFonts w:eastAsia="Times New Roman" w:cs="Times New Roman"/>
                <w:b/>
                <w:bCs/>
                <w:lang w:val="en-GB"/>
              </w:rPr>
            </w:pPr>
            <w:r>
              <w:rPr>
                <w:rFonts w:eastAsia="Times New Roman" w:cs="Times New Roman"/>
                <w:b/>
                <w:bCs/>
                <w:lang w:val="en-GB"/>
              </w:rPr>
              <w:t>3.16</w:t>
            </w:r>
            <w:r>
              <w:rPr>
                <w:rFonts w:eastAsia="Times New Roman" w:cs="Times New Roman"/>
                <w:b/>
                <w:bCs/>
                <w:lang w:val="en-GB"/>
              </w:rPr>
              <w:tab/>
            </w:r>
            <w:r w:rsidRPr="0013729A">
              <w:rPr>
                <w:rFonts w:eastAsia="Times New Roman" w:cs="Times New Roman"/>
                <w:b/>
                <w:bCs/>
                <w:lang w:val="en-GB"/>
              </w:rPr>
              <w:t xml:space="preserve">that the final strategy clearly identifies areas of cross working with the Gillen Review implementation teams to ensure a comprehensive and coordinated approach in delivery. </w:t>
            </w:r>
          </w:p>
          <w:p w14:paraId="7169EDD0" w14:textId="77777777" w:rsidR="004128AC" w:rsidRPr="0013729A" w:rsidRDefault="004128AC" w:rsidP="004128AC">
            <w:pPr>
              <w:pStyle w:val="Default"/>
              <w:spacing w:before="24" w:after="24"/>
              <w:rPr>
                <w:rFonts w:eastAsia="Times New Roman" w:cs="Times New Roman"/>
                <w:b/>
                <w:bCs/>
                <w:lang w:val="en-GB"/>
              </w:rPr>
            </w:pPr>
          </w:p>
          <w:p w14:paraId="07D54B10" w14:textId="77777777" w:rsidR="004128AC" w:rsidRPr="0013729A" w:rsidRDefault="004128AC" w:rsidP="004128AC">
            <w:pPr>
              <w:pStyle w:val="Default"/>
              <w:spacing w:before="24" w:after="24"/>
              <w:ind w:left="720" w:hanging="720"/>
              <w:rPr>
                <w:rFonts w:eastAsia="Times New Roman" w:cs="Times New Roman"/>
                <w:b/>
                <w:bCs/>
                <w:lang w:val="en-GB"/>
              </w:rPr>
            </w:pPr>
            <w:r>
              <w:rPr>
                <w:rFonts w:eastAsia="Times New Roman" w:cs="Times New Roman"/>
                <w:b/>
                <w:bCs/>
                <w:lang w:val="en-GB"/>
              </w:rPr>
              <w:t>4.6</w:t>
            </w:r>
            <w:r>
              <w:rPr>
                <w:rFonts w:eastAsia="Times New Roman" w:cs="Times New Roman"/>
                <w:b/>
                <w:bCs/>
                <w:lang w:val="en-GB"/>
              </w:rPr>
              <w:tab/>
            </w:r>
            <w:r w:rsidRPr="0013729A">
              <w:rPr>
                <w:rFonts w:eastAsia="Times New Roman" w:cs="Times New Roman"/>
                <w:b/>
                <w:bCs/>
                <w:lang w:val="en-GB"/>
              </w:rPr>
              <w:t xml:space="preserve">that the strategy includes awareness-raising campaigns that are gender-sensitive, promote equality between women and men and challenge stereotypes.  </w:t>
            </w:r>
          </w:p>
          <w:p w14:paraId="1CAD5A17" w14:textId="77777777" w:rsidR="004128AC" w:rsidRPr="0013729A" w:rsidRDefault="004128AC" w:rsidP="004128AC">
            <w:pPr>
              <w:pStyle w:val="Default"/>
              <w:spacing w:before="24" w:after="24"/>
              <w:rPr>
                <w:rFonts w:eastAsia="Times New Roman" w:cs="Times New Roman"/>
                <w:b/>
                <w:bCs/>
                <w:lang w:val="en-GB"/>
              </w:rPr>
            </w:pPr>
          </w:p>
          <w:p w14:paraId="4165DD73" w14:textId="77777777" w:rsidR="004128AC" w:rsidRPr="0013729A" w:rsidRDefault="004128AC" w:rsidP="004128AC">
            <w:pPr>
              <w:pStyle w:val="Default"/>
              <w:spacing w:before="24" w:after="24"/>
              <w:ind w:left="720" w:hanging="720"/>
              <w:rPr>
                <w:rFonts w:eastAsia="Times New Roman" w:cs="Times New Roman"/>
                <w:b/>
                <w:bCs/>
                <w:lang w:val="en-GB"/>
              </w:rPr>
            </w:pPr>
            <w:r>
              <w:rPr>
                <w:rFonts w:eastAsia="Times New Roman" w:cs="Times New Roman"/>
                <w:b/>
                <w:bCs/>
                <w:lang w:val="en-GB"/>
              </w:rPr>
              <w:t>4.7</w:t>
            </w:r>
            <w:r>
              <w:rPr>
                <w:rFonts w:eastAsia="Times New Roman" w:cs="Times New Roman"/>
                <w:b/>
                <w:bCs/>
                <w:lang w:val="en-GB"/>
              </w:rPr>
              <w:tab/>
              <w:t>t</w:t>
            </w:r>
            <w:r w:rsidRPr="0013729A">
              <w:rPr>
                <w:rFonts w:eastAsia="Times New Roman" w:cs="Times New Roman"/>
                <w:b/>
                <w:bCs/>
                <w:lang w:val="en-GB"/>
              </w:rPr>
              <w:t xml:space="preserve">hat the final strategy includes measures to ensure the dissemination of accessible information on available support services. This should include campaigns that are targeted at groups that are identified as facing additional barriers to accessing support. Information should be fully accessible, including that it is tailored to a range of communication requirements. For example, through the provision of language translations, large print, easy read and audio versions. </w:t>
            </w:r>
          </w:p>
          <w:p w14:paraId="7BED6E59" w14:textId="77777777" w:rsidR="004128AC" w:rsidRPr="0013729A" w:rsidRDefault="004128AC" w:rsidP="004128AC">
            <w:pPr>
              <w:pStyle w:val="Default"/>
              <w:spacing w:before="24" w:after="24" w:line="288" w:lineRule="auto"/>
              <w:rPr>
                <w:rFonts w:eastAsia="Times New Roman" w:cs="Times New Roman"/>
                <w:b/>
                <w:bCs/>
                <w:lang w:val="en-GB"/>
              </w:rPr>
            </w:pPr>
          </w:p>
          <w:p w14:paraId="5EAF49E9" w14:textId="77777777" w:rsidR="004128AC" w:rsidRPr="0013729A" w:rsidRDefault="004128AC" w:rsidP="004128AC">
            <w:pPr>
              <w:pStyle w:val="Default"/>
              <w:spacing w:before="24" w:after="24" w:line="288" w:lineRule="auto"/>
              <w:ind w:left="720" w:hanging="720"/>
              <w:rPr>
                <w:rFonts w:eastAsia="Times New Roman" w:cs="Times New Roman"/>
                <w:b/>
                <w:bCs/>
                <w:lang w:val="en-GB"/>
              </w:rPr>
            </w:pPr>
            <w:r>
              <w:rPr>
                <w:rFonts w:eastAsia="Times New Roman" w:cs="Times New Roman"/>
                <w:b/>
                <w:bCs/>
                <w:lang w:val="en-GB"/>
              </w:rPr>
              <w:t>4.13</w:t>
            </w:r>
            <w:r>
              <w:rPr>
                <w:rFonts w:eastAsia="Times New Roman" w:cs="Times New Roman"/>
                <w:b/>
                <w:bCs/>
                <w:lang w:val="en-GB"/>
              </w:rPr>
              <w:tab/>
            </w:r>
            <w:r w:rsidRPr="0013729A">
              <w:rPr>
                <w:rFonts w:eastAsia="Times New Roman" w:cs="Times New Roman"/>
                <w:b/>
                <w:bCs/>
                <w:lang w:val="en-GB"/>
              </w:rPr>
              <w:t xml:space="preserve">that the Department of Health and Department of Justice engage with the Department for Education to ensure that the domestic and sexual abuse strategy is embedded into relationship and sexuality education in all schools in NI. </w:t>
            </w:r>
          </w:p>
          <w:p w14:paraId="05B359F9" w14:textId="77777777" w:rsidR="004128AC" w:rsidRPr="0013729A" w:rsidRDefault="004128AC" w:rsidP="004128AC">
            <w:pPr>
              <w:pStyle w:val="Default"/>
              <w:spacing w:before="24" w:after="24" w:line="288" w:lineRule="auto"/>
              <w:rPr>
                <w:rFonts w:eastAsia="Times New Roman" w:cs="Times New Roman"/>
                <w:b/>
                <w:bCs/>
                <w:lang w:val="en-GB"/>
              </w:rPr>
            </w:pPr>
          </w:p>
          <w:p w14:paraId="4C8F4F44" w14:textId="77777777" w:rsidR="004128AC" w:rsidRPr="0013729A" w:rsidRDefault="004128AC" w:rsidP="004128AC">
            <w:pPr>
              <w:pStyle w:val="Default"/>
              <w:spacing w:before="24" w:after="24" w:line="288" w:lineRule="auto"/>
              <w:ind w:left="720" w:hanging="720"/>
              <w:rPr>
                <w:rFonts w:eastAsia="Times New Roman" w:cs="Times New Roman"/>
                <w:b/>
                <w:bCs/>
                <w:lang w:val="en-GB"/>
              </w:rPr>
            </w:pPr>
            <w:r>
              <w:rPr>
                <w:rFonts w:eastAsia="Times New Roman" w:cs="Times New Roman"/>
                <w:b/>
                <w:bCs/>
                <w:lang w:val="en-GB"/>
              </w:rPr>
              <w:t>4.17</w:t>
            </w:r>
            <w:r>
              <w:rPr>
                <w:rFonts w:eastAsia="Times New Roman" w:cs="Times New Roman"/>
                <w:b/>
                <w:bCs/>
                <w:lang w:val="en-GB"/>
              </w:rPr>
              <w:tab/>
            </w:r>
            <w:r w:rsidRPr="0013729A">
              <w:rPr>
                <w:rFonts w:eastAsia="Times New Roman" w:cs="Times New Roman"/>
                <w:b/>
                <w:bCs/>
                <w:lang w:val="en-GB"/>
              </w:rPr>
              <w:t xml:space="preserve">in partnership with other relevant Departments, the strategy includes measures to address the exacerbating effect of the persistent and sharp rise in cost of living on domestic and sexual abuse. This should include ensuring that specialised services are accessible and adequately funded. </w:t>
            </w:r>
          </w:p>
          <w:p w14:paraId="30E0CB2E" w14:textId="77777777" w:rsidR="004128AC" w:rsidRPr="0013729A" w:rsidRDefault="004128AC" w:rsidP="004128AC">
            <w:pPr>
              <w:pStyle w:val="Default"/>
              <w:spacing w:before="24" w:after="24" w:line="288" w:lineRule="auto"/>
              <w:rPr>
                <w:rFonts w:eastAsia="Times New Roman" w:cs="Times New Roman"/>
                <w:b/>
                <w:bCs/>
                <w:lang w:val="en-GB"/>
              </w:rPr>
            </w:pPr>
          </w:p>
          <w:p w14:paraId="3ADF77A2" w14:textId="77777777" w:rsidR="004128AC" w:rsidRPr="0013729A" w:rsidRDefault="004128AC" w:rsidP="004128AC">
            <w:pPr>
              <w:pStyle w:val="Default"/>
              <w:spacing w:before="24" w:after="24" w:line="288" w:lineRule="auto"/>
              <w:ind w:left="720" w:hanging="720"/>
              <w:rPr>
                <w:rFonts w:eastAsia="Times New Roman" w:cs="Times New Roman"/>
                <w:b/>
                <w:bCs/>
                <w:lang w:val="en-GB"/>
              </w:rPr>
            </w:pPr>
            <w:r>
              <w:rPr>
                <w:rFonts w:eastAsia="Times New Roman" w:cs="Times New Roman"/>
                <w:b/>
                <w:bCs/>
                <w:lang w:val="en-GB"/>
              </w:rPr>
              <w:t>4.21</w:t>
            </w:r>
            <w:r>
              <w:rPr>
                <w:rFonts w:eastAsia="Times New Roman" w:cs="Times New Roman"/>
                <w:b/>
                <w:bCs/>
                <w:lang w:val="en-GB"/>
              </w:rPr>
              <w:tab/>
            </w:r>
            <w:r w:rsidRPr="0013729A">
              <w:rPr>
                <w:rFonts w:eastAsia="Times New Roman" w:cs="Times New Roman"/>
                <w:b/>
                <w:bCs/>
                <w:lang w:val="en-GB"/>
              </w:rPr>
              <w:t>that the strategy includes measures to prevent online-based and technology-related domestic and sexual abuse, as well as support for those affected. Measures should be adaptable to take account of new developments.</w:t>
            </w:r>
          </w:p>
          <w:p w14:paraId="29FD461D" w14:textId="77777777" w:rsidR="004128AC" w:rsidRPr="0013729A" w:rsidRDefault="004128AC" w:rsidP="004128AC">
            <w:pPr>
              <w:pStyle w:val="Default"/>
              <w:spacing w:before="24" w:after="24" w:line="288" w:lineRule="auto"/>
              <w:rPr>
                <w:rFonts w:eastAsia="Times New Roman" w:cs="Times New Roman"/>
                <w:b/>
                <w:bCs/>
                <w:lang w:val="en-GB"/>
              </w:rPr>
            </w:pPr>
          </w:p>
          <w:p w14:paraId="74778C37" w14:textId="77777777" w:rsidR="004128AC" w:rsidRPr="0013729A" w:rsidRDefault="004128AC" w:rsidP="004128AC">
            <w:pPr>
              <w:pStyle w:val="Default"/>
              <w:spacing w:before="24" w:after="24" w:line="288" w:lineRule="auto"/>
              <w:ind w:left="720" w:hanging="720"/>
              <w:rPr>
                <w:rFonts w:eastAsia="Times New Roman" w:cs="Times New Roman"/>
                <w:b/>
                <w:bCs/>
                <w:lang w:val="en-GB"/>
              </w:rPr>
            </w:pPr>
            <w:r>
              <w:rPr>
                <w:rFonts w:eastAsia="Times New Roman" w:cs="Times New Roman"/>
                <w:b/>
                <w:bCs/>
                <w:lang w:val="en-GB"/>
              </w:rPr>
              <w:t>5.6</w:t>
            </w:r>
            <w:r>
              <w:rPr>
                <w:rFonts w:eastAsia="Times New Roman" w:cs="Times New Roman"/>
                <w:b/>
                <w:bCs/>
                <w:lang w:val="en-GB"/>
              </w:rPr>
              <w:tab/>
            </w:r>
            <w:r w:rsidRPr="0013729A">
              <w:rPr>
                <w:rFonts w:eastAsia="Times New Roman" w:cs="Times New Roman"/>
                <w:b/>
                <w:bCs/>
                <w:lang w:val="en-GB"/>
              </w:rPr>
              <w:t>that the strategy makes explicit provision for persons who are at an increased risk or who face additional barriers to accessing support for domestic and sexual violence and abuse, including but not limited to, deaf and disabled persons, ethnic minority communities, LGBTQIA+ persons, older persons, and those living in rural communities. This should include ensuring that specialised services are consistently available and fully accessible.</w:t>
            </w:r>
          </w:p>
          <w:p w14:paraId="294B1756" w14:textId="77777777" w:rsidR="004128AC" w:rsidRPr="0013729A" w:rsidRDefault="004128AC" w:rsidP="004128AC">
            <w:pPr>
              <w:pStyle w:val="Default"/>
              <w:spacing w:before="24" w:after="24" w:line="288" w:lineRule="auto"/>
              <w:rPr>
                <w:rFonts w:eastAsia="Times New Roman" w:cs="Times New Roman"/>
                <w:b/>
                <w:bCs/>
                <w:lang w:val="en-GB"/>
              </w:rPr>
            </w:pPr>
          </w:p>
          <w:p w14:paraId="40CB13BC" w14:textId="77777777" w:rsidR="004128AC" w:rsidRPr="0013729A" w:rsidRDefault="004128AC" w:rsidP="004128AC">
            <w:pPr>
              <w:pStyle w:val="Default"/>
              <w:spacing w:before="24" w:after="24" w:line="288" w:lineRule="auto"/>
              <w:ind w:left="720" w:hanging="720"/>
              <w:rPr>
                <w:rFonts w:eastAsia="Times New Roman" w:cs="Times New Roman"/>
                <w:b/>
                <w:bCs/>
                <w:lang w:val="en-GB"/>
              </w:rPr>
            </w:pPr>
            <w:r>
              <w:rPr>
                <w:rFonts w:eastAsia="Times New Roman" w:cs="Times New Roman"/>
                <w:b/>
                <w:bCs/>
                <w:lang w:val="en-GB"/>
              </w:rPr>
              <w:t>5.9</w:t>
            </w:r>
            <w:r>
              <w:rPr>
                <w:rFonts w:eastAsia="Times New Roman" w:cs="Times New Roman"/>
                <w:b/>
                <w:bCs/>
                <w:lang w:val="en-GB"/>
              </w:rPr>
              <w:tab/>
            </w:r>
            <w:r w:rsidRPr="0013729A">
              <w:rPr>
                <w:rFonts w:eastAsia="Times New Roman" w:cs="Times New Roman"/>
                <w:b/>
                <w:bCs/>
                <w:lang w:val="en-GB"/>
              </w:rPr>
              <w:t>that the Department of Health and Department of Justice ensure that support is available, regardless of immigration status, and that sufficient refuge places are available in NI according to need.</w:t>
            </w:r>
          </w:p>
          <w:p w14:paraId="49C0F6CD" w14:textId="77777777" w:rsidR="004128AC" w:rsidRPr="0013729A" w:rsidRDefault="004128AC" w:rsidP="004128AC">
            <w:pPr>
              <w:pStyle w:val="Default"/>
              <w:spacing w:before="24" w:after="24" w:line="288" w:lineRule="auto"/>
              <w:rPr>
                <w:rFonts w:eastAsia="Times New Roman" w:cs="Times New Roman"/>
                <w:b/>
                <w:bCs/>
                <w:lang w:val="en-GB"/>
              </w:rPr>
            </w:pPr>
          </w:p>
          <w:p w14:paraId="0AC8F8B5" w14:textId="77777777" w:rsidR="004128AC" w:rsidRPr="0013729A" w:rsidRDefault="004128AC" w:rsidP="004128AC">
            <w:pPr>
              <w:pStyle w:val="Default"/>
              <w:spacing w:before="24" w:after="24" w:line="288" w:lineRule="auto"/>
              <w:ind w:left="720" w:hanging="720"/>
              <w:rPr>
                <w:rFonts w:eastAsia="Times New Roman" w:cs="Times New Roman"/>
                <w:b/>
                <w:bCs/>
                <w:lang w:val="en-GB"/>
              </w:rPr>
            </w:pPr>
            <w:r>
              <w:rPr>
                <w:rFonts w:eastAsia="Times New Roman" w:cs="Times New Roman"/>
                <w:b/>
                <w:bCs/>
                <w:lang w:val="en-GB"/>
              </w:rPr>
              <w:t>6.6</w:t>
            </w:r>
            <w:r>
              <w:rPr>
                <w:rFonts w:eastAsia="Times New Roman" w:cs="Times New Roman"/>
                <w:b/>
                <w:bCs/>
                <w:lang w:val="en-GB"/>
              </w:rPr>
              <w:tab/>
            </w:r>
            <w:r w:rsidRPr="0013729A">
              <w:rPr>
                <w:rFonts w:eastAsia="Times New Roman" w:cs="Times New Roman"/>
                <w:b/>
                <w:bCs/>
                <w:lang w:val="en-GB"/>
              </w:rPr>
              <w:t>that Pillar 4 of the strategy outlines provisions for gender-sensitive training of criminal justice professionals and other employees that would have contact with victims on domestic and sexual abuse, including on the experience of marginalised groups such as disabled persons, LGBTQIA+ persons, and persons of national or ethnic minority background. Gender-sensitive training should also include a specific focus on the links between domestic abuse and offending.</w:t>
            </w:r>
          </w:p>
          <w:p w14:paraId="5AF9F040" w14:textId="77777777" w:rsidR="004128AC" w:rsidRPr="0013729A" w:rsidRDefault="004128AC" w:rsidP="004128AC">
            <w:pPr>
              <w:pStyle w:val="Default"/>
              <w:spacing w:before="24" w:after="24" w:line="288" w:lineRule="auto"/>
              <w:rPr>
                <w:rFonts w:eastAsia="Times New Roman" w:cs="Times New Roman"/>
                <w:b/>
                <w:bCs/>
                <w:lang w:val="en-GB"/>
              </w:rPr>
            </w:pPr>
          </w:p>
          <w:p w14:paraId="41829F71" w14:textId="77777777" w:rsidR="004128AC" w:rsidRPr="0013729A" w:rsidRDefault="004128AC" w:rsidP="004128AC">
            <w:pPr>
              <w:pStyle w:val="Default"/>
              <w:spacing w:before="24" w:after="24" w:line="288" w:lineRule="auto"/>
              <w:ind w:left="720" w:hanging="720"/>
              <w:rPr>
                <w:rFonts w:eastAsia="Times New Roman" w:cs="Times New Roman"/>
                <w:b/>
                <w:bCs/>
                <w:lang w:val="en-GB"/>
              </w:rPr>
            </w:pPr>
            <w:r>
              <w:rPr>
                <w:rFonts w:eastAsia="Times New Roman" w:cs="Times New Roman"/>
                <w:b/>
                <w:bCs/>
                <w:lang w:val="en-GB"/>
              </w:rPr>
              <w:t>6.9</w:t>
            </w:r>
            <w:r>
              <w:rPr>
                <w:rFonts w:eastAsia="Times New Roman" w:cs="Times New Roman"/>
                <w:b/>
                <w:bCs/>
                <w:lang w:val="en-GB"/>
              </w:rPr>
              <w:tab/>
            </w:r>
            <w:r w:rsidRPr="0013729A">
              <w:rPr>
                <w:rFonts w:eastAsia="Times New Roman" w:cs="Times New Roman"/>
                <w:b/>
                <w:bCs/>
                <w:lang w:val="en-GB"/>
              </w:rPr>
              <w:t>that the final strategy should include specific measures to ensure accessible services, including health and justice for individuals in any form of detention who have been victims of domestic or sexual abuse.</w:t>
            </w:r>
          </w:p>
          <w:p w14:paraId="4B2B83DF" w14:textId="77777777" w:rsidR="004128AC" w:rsidRPr="0013729A" w:rsidRDefault="004128AC" w:rsidP="004128AC">
            <w:pPr>
              <w:pStyle w:val="Default"/>
              <w:spacing w:before="24" w:after="24" w:line="288" w:lineRule="auto"/>
              <w:rPr>
                <w:rFonts w:eastAsia="Times New Roman" w:cs="Times New Roman"/>
                <w:b/>
                <w:bCs/>
                <w:lang w:val="en-GB"/>
              </w:rPr>
            </w:pPr>
          </w:p>
          <w:p w14:paraId="5F6EE956" w14:textId="77777777" w:rsidR="004128AC" w:rsidRPr="0013729A" w:rsidRDefault="004128AC" w:rsidP="004128AC">
            <w:pPr>
              <w:pStyle w:val="Default"/>
              <w:spacing w:before="24" w:after="24" w:line="288" w:lineRule="auto"/>
              <w:ind w:left="720" w:hanging="720"/>
              <w:rPr>
                <w:rFonts w:eastAsia="Times New Roman" w:cs="Times New Roman"/>
                <w:b/>
                <w:bCs/>
                <w:lang w:val="en-GB"/>
              </w:rPr>
            </w:pPr>
            <w:r>
              <w:rPr>
                <w:rFonts w:eastAsia="Times New Roman" w:cs="Times New Roman"/>
                <w:b/>
                <w:bCs/>
                <w:lang w:val="en-GB"/>
              </w:rPr>
              <w:t>6.13</w:t>
            </w:r>
            <w:r>
              <w:rPr>
                <w:rFonts w:eastAsia="Times New Roman" w:cs="Times New Roman"/>
                <w:b/>
                <w:bCs/>
                <w:lang w:val="en-GB"/>
              </w:rPr>
              <w:tab/>
            </w:r>
            <w:r w:rsidRPr="0013729A">
              <w:rPr>
                <w:rFonts w:eastAsia="Times New Roman" w:cs="Times New Roman"/>
                <w:b/>
                <w:bCs/>
                <w:lang w:val="en-GB"/>
              </w:rPr>
              <w:t xml:space="preserve">that Pillar 4 of the final strategy includes measures to ensure the best interests of the child are a primary consideration regarding a child’s involvement in any related court proceedings and evidence gathering, for example by making specific reference to the </w:t>
            </w:r>
            <w:proofErr w:type="spellStart"/>
            <w:r w:rsidRPr="0013729A">
              <w:rPr>
                <w:rFonts w:eastAsia="Times New Roman" w:cs="Times New Roman"/>
                <w:b/>
                <w:bCs/>
                <w:lang w:val="en-GB"/>
              </w:rPr>
              <w:t>Barnahus</w:t>
            </w:r>
            <w:proofErr w:type="spellEnd"/>
            <w:r w:rsidRPr="0013729A">
              <w:rPr>
                <w:rFonts w:eastAsia="Times New Roman" w:cs="Times New Roman"/>
                <w:b/>
                <w:bCs/>
                <w:lang w:val="en-GB"/>
              </w:rPr>
              <w:t xml:space="preserve"> approach.</w:t>
            </w:r>
          </w:p>
          <w:p w14:paraId="225E4DB8" w14:textId="77777777" w:rsidR="00DE7230" w:rsidRDefault="00DE7230" w:rsidP="009E4E97">
            <w:pPr>
              <w:pStyle w:val="Default"/>
              <w:spacing w:before="24" w:after="24" w:line="288" w:lineRule="auto"/>
              <w:rPr>
                <w:rFonts w:cs="Arial"/>
                <w:b/>
                <w:color w:val="232120"/>
              </w:rPr>
            </w:pPr>
          </w:p>
        </w:tc>
      </w:tr>
    </w:tbl>
    <w:p w14:paraId="3CFF4F9F" w14:textId="77777777" w:rsidR="0013729A" w:rsidRPr="00564A3B" w:rsidRDefault="0013729A" w:rsidP="009E4E97">
      <w:pPr>
        <w:pStyle w:val="Default"/>
        <w:spacing w:before="24" w:after="24" w:line="288" w:lineRule="auto"/>
        <w:rPr>
          <w:rFonts w:cs="Arial"/>
          <w:b/>
          <w:color w:val="232120"/>
        </w:rPr>
      </w:pPr>
    </w:p>
    <w:p w14:paraId="772B73A2" w14:textId="0A7376AB" w:rsidR="00491D2B" w:rsidRPr="00564A3B" w:rsidRDefault="00491D2B" w:rsidP="00491D2B">
      <w:pPr>
        <w:spacing w:before="24" w:after="24" w:line="288" w:lineRule="auto"/>
        <w:rPr>
          <w:rFonts w:ascii="Verdana" w:hAnsi="Verdana" w:cs="Arial"/>
          <w:b/>
          <w:color w:val="232120"/>
        </w:rPr>
      </w:pPr>
    </w:p>
    <w:p w14:paraId="12614BF7" w14:textId="54092EC8" w:rsidR="00491D2B" w:rsidRPr="00564A3B" w:rsidRDefault="00491D2B" w:rsidP="00D461C1">
      <w:pPr>
        <w:spacing w:before="24" w:after="24" w:line="360" w:lineRule="auto"/>
        <w:rPr>
          <w:rFonts w:ascii="Verdana" w:hAnsi="Verdana" w:cs="Arial"/>
          <w:b/>
          <w:color w:val="232120"/>
        </w:rPr>
      </w:pPr>
    </w:p>
    <w:p w14:paraId="7F549382" w14:textId="38C8C4E0" w:rsidR="00491D2B" w:rsidRPr="00564A3B" w:rsidRDefault="00491D2B" w:rsidP="00D461C1">
      <w:pPr>
        <w:spacing w:before="24" w:after="24" w:line="360" w:lineRule="auto"/>
        <w:rPr>
          <w:rFonts w:ascii="Verdana" w:hAnsi="Verdana" w:cs="Arial"/>
          <w:b/>
          <w:color w:val="232120"/>
        </w:rPr>
      </w:pPr>
    </w:p>
    <w:p w14:paraId="0935A9C8" w14:textId="16650809" w:rsidR="00491D2B" w:rsidRPr="00564A3B" w:rsidRDefault="00491D2B" w:rsidP="00D461C1">
      <w:pPr>
        <w:spacing w:before="24" w:after="24" w:line="360" w:lineRule="auto"/>
        <w:rPr>
          <w:rFonts w:ascii="Verdana" w:hAnsi="Verdana" w:cs="Arial"/>
          <w:b/>
          <w:color w:val="232120"/>
        </w:rPr>
      </w:pPr>
    </w:p>
    <w:p w14:paraId="3CF1F977" w14:textId="522C0B30" w:rsidR="00491D2B" w:rsidRPr="00564A3B" w:rsidRDefault="00491D2B" w:rsidP="00D461C1">
      <w:pPr>
        <w:spacing w:before="24" w:after="24" w:line="360" w:lineRule="auto"/>
        <w:rPr>
          <w:rFonts w:ascii="Verdana" w:hAnsi="Verdana" w:cs="Arial"/>
          <w:b/>
          <w:color w:val="232120"/>
        </w:rPr>
      </w:pPr>
    </w:p>
    <w:p w14:paraId="7EB60913" w14:textId="6031494F" w:rsidR="00491D2B" w:rsidRPr="00564A3B" w:rsidRDefault="00491D2B" w:rsidP="00D461C1">
      <w:pPr>
        <w:spacing w:before="24" w:after="24" w:line="360" w:lineRule="auto"/>
        <w:rPr>
          <w:rFonts w:ascii="Verdana" w:hAnsi="Verdana" w:cs="Arial"/>
          <w:b/>
          <w:color w:val="232120"/>
        </w:rPr>
      </w:pPr>
    </w:p>
    <w:p w14:paraId="5DD6384F" w14:textId="3A44057B" w:rsidR="00491D2B" w:rsidRPr="00564A3B" w:rsidRDefault="00491D2B" w:rsidP="00D461C1">
      <w:pPr>
        <w:spacing w:before="24" w:after="24" w:line="360" w:lineRule="auto"/>
        <w:rPr>
          <w:rFonts w:ascii="Verdana" w:hAnsi="Verdana" w:cs="Arial"/>
          <w:b/>
          <w:color w:val="232120"/>
        </w:rPr>
      </w:pPr>
    </w:p>
    <w:p w14:paraId="5E931553" w14:textId="5F5E5B56" w:rsidR="00491D2B" w:rsidRPr="00564A3B" w:rsidRDefault="00491D2B" w:rsidP="00D461C1">
      <w:pPr>
        <w:spacing w:before="24" w:after="24" w:line="360" w:lineRule="auto"/>
        <w:rPr>
          <w:rFonts w:ascii="Verdana" w:hAnsi="Verdana" w:cs="Arial"/>
          <w:b/>
          <w:color w:val="232120"/>
        </w:rPr>
      </w:pPr>
    </w:p>
    <w:p w14:paraId="41E2E27C" w14:textId="494789FF" w:rsidR="00491D2B" w:rsidRPr="00564A3B" w:rsidRDefault="00491D2B" w:rsidP="00D461C1">
      <w:pPr>
        <w:spacing w:before="24" w:after="24" w:line="360" w:lineRule="auto"/>
        <w:rPr>
          <w:rFonts w:ascii="Verdana" w:hAnsi="Verdana" w:cs="Arial"/>
          <w:b/>
          <w:color w:val="232120"/>
        </w:rPr>
      </w:pPr>
    </w:p>
    <w:p w14:paraId="5885E1C3" w14:textId="5AF7D6B4" w:rsidR="00491D2B" w:rsidRPr="00564A3B" w:rsidRDefault="00491D2B" w:rsidP="00D461C1">
      <w:pPr>
        <w:spacing w:before="24" w:after="24" w:line="360" w:lineRule="auto"/>
        <w:rPr>
          <w:rFonts w:ascii="Verdana" w:hAnsi="Verdana" w:cs="Arial"/>
          <w:b/>
          <w:color w:val="232120"/>
        </w:rPr>
      </w:pPr>
    </w:p>
    <w:p w14:paraId="359E6983" w14:textId="65674B21" w:rsidR="00836A88" w:rsidRPr="00564A3B" w:rsidRDefault="007E0719">
      <w:pPr>
        <w:pStyle w:val="Heading1"/>
        <w:numPr>
          <w:ilvl w:val="0"/>
          <w:numId w:val="1"/>
        </w:numPr>
        <w:spacing w:before="24" w:after="24" w:line="360" w:lineRule="auto"/>
      </w:pPr>
      <w:bookmarkStart w:id="1" w:name="_Toc133586118"/>
      <w:r w:rsidRPr="00564A3B">
        <w:lastRenderedPageBreak/>
        <w:t>Introduction</w:t>
      </w:r>
      <w:bookmarkEnd w:id="1"/>
    </w:p>
    <w:p w14:paraId="5571959D" w14:textId="0ED637F5" w:rsidR="004716F9" w:rsidRPr="00564A3B" w:rsidRDefault="004716F9">
      <w:pPr>
        <w:numPr>
          <w:ilvl w:val="1"/>
          <w:numId w:val="2"/>
        </w:numPr>
        <w:spacing w:line="360" w:lineRule="auto"/>
        <w:contextualSpacing/>
        <w:jc w:val="both"/>
        <w:rPr>
          <w:rFonts w:ascii="Verdana" w:hAnsi="Verdana"/>
        </w:rPr>
      </w:pPr>
      <w:r w:rsidRPr="00564A3B">
        <w:rPr>
          <w:rFonts w:ascii="Verdana" w:hAnsi="Verdana"/>
        </w:rPr>
        <w:t>The Northern Ireland Human Rights Commission (the NIHRC), pursuant to section 69(1) of the Northern Ireland Act 1998, reviews the adequacy and effectiveness of law and practice relating to the protection of human rights in Northern Ireland (NI).</w:t>
      </w:r>
      <w:r w:rsidR="000B3647" w:rsidRPr="00564A3B">
        <w:rPr>
          <w:rFonts w:ascii="Verdana" w:hAnsi="Verdana"/>
        </w:rPr>
        <w:t xml:space="preserve"> The NIHRC is also mandated, under section 78A(1) of the Northern Ireland Act 1998, to monitor the implementation of Article 2 of the Windsor Framework, to ensure there is no diminution of rights protected in the “Rights,</w:t>
      </w:r>
      <w:r w:rsidR="009634FF" w:rsidRPr="00564A3B">
        <w:rPr>
          <w:rFonts w:ascii="Verdana" w:hAnsi="Verdana"/>
        </w:rPr>
        <w:t xml:space="preserve"> Safeguards and Equality of Opportunity” chapter of the Belfast (Good Friday) Agreement 1998 as a result of the UK’s withdrawal from the EU.</w:t>
      </w:r>
      <w:r w:rsidR="00416E0A" w:rsidRPr="00564A3B">
        <w:rPr>
          <w:rStyle w:val="FootnoteReference"/>
          <w:rFonts w:ascii="Verdana" w:hAnsi="Verdana"/>
        </w:rPr>
        <w:footnoteReference w:id="2"/>
      </w:r>
      <w:r w:rsidRPr="00564A3B">
        <w:rPr>
          <w:rFonts w:ascii="Verdana" w:hAnsi="Verdana"/>
        </w:rPr>
        <w:t xml:space="preserve"> In accordance with these functions the following statutory advice is submitted to the Department of Health and Department of Justice in response to their consultation on the draft domestic and sexual abuse strategy. </w:t>
      </w:r>
    </w:p>
    <w:p w14:paraId="6D9440B2" w14:textId="77777777" w:rsidR="004716F9" w:rsidRPr="00564A3B" w:rsidRDefault="004716F9" w:rsidP="004716F9">
      <w:pPr>
        <w:pStyle w:val="ListParagraph"/>
        <w:widowControl w:val="0"/>
        <w:autoSpaceDE w:val="0"/>
        <w:autoSpaceDN w:val="0"/>
        <w:adjustRightInd w:val="0"/>
        <w:spacing w:before="24" w:after="24" w:line="360" w:lineRule="auto"/>
        <w:rPr>
          <w:rFonts w:ascii="Verdana" w:hAnsi="Verdana" w:cs="Arial"/>
          <w:b/>
          <w:lang w:val="en-US"/>
        </w:rPr>
      </w:pPr>
    </w:p>
    <w:p w14:paraId="1D51984E" w14:textId="7E891FC2" w:rsidR="0055193F" w:rsidRPr="00564A3B" w:rsidRDefault="0055193F">
      <w:pPr>
        <w:pStyle w:val="ListParagraph"/>
        <w:widowControl w:val="0"/>
        <w:numPr>
          <w:ilvl w:val="1"/>
          <w:numId w:val="2"/>
        </w:numPr>
        <w:autoSpaceDE w:val="0"/>
        <w:autoSpaceDN w:val="0"/>
        <w:adjustRightInd w:val="0"/>
        <w:spacing w:before="24" w:after="24" w:line="360" w:lineRule="auto"/>
        <w:rPr>
          <w:rFonts w:ascii="Verdana" w:hAnsi="Verdana" w:cs="Arial"/>
          <w:b/>
          <w:lang w:val="en-US"/>
        </w:rPr>
      </w:pPr>
      <w:r w:rsidRPr="00564A3B">
        <w:rPr>
          <w:rFonts w:ascii="Verdana" w:hAnsi="Verdana" w:cs="Arial"/>
          <w:lang w:val="en-US"/>
        </w:rPr>
        <w:t xml:space="preserve">The </w:t>
      </w:r>
      <w:r w:rsidR="00F86E77" w:rsidRPr="00564A3B">
        <w:rPr>
          <w:rFonts w:ascii="Verdana" w:hAnsi="Verdana" w:cs="Arial"/>
          <w:lang w:val="en-US"/>
        </w:rPr>
        <w:t>NIHRC</w:t>
      </w:r>
      <w:r w:rsidRPr="00564A3B">
        <w:rPr>
          <w:rFonts w:ascii="Verdana" w:hAnsi="Verdana" w:cs="Arial"/>
          <w:lang w:val="en-US"/>
        </w:rPr>
        <w:t xml:space="preserve"> bases its advice on the full range of internationally accepted human rights standards, including the European Convention on Human Rights (ECHR), as incorporated by the Human Rights Act 1998, and the United Nations (UN) system and treaty obligations of the Council of Europe (</w:t>
      </w:r>
      <w:proofErr w:type="spellStart"/>
      <w:r w:rsidRPr="00564A3B">
        <w:rPr>
          <w:rFonts w:ascii="Verdana" w:hAnsi="Verdana" w:cs="Arial"/>
          <w:lang w:val="en-US"/>
        </w:rPr>
        <w:t>CoE</w:t>
      </w:r>
      <w:proofErr w:type="spellEnd"/>
      <w:r w:rsidRPr="00564A3B">
        <w:rPr>
          <w:rFonts w:ascii="Verdana" w:hAnsi="Verdana" w:cs="Arial"/>
          <w:lang w:val="en-US"/>
        </w:rPr>
        <w:t>) and United Nations (UN). The relevant regional and international treaties in this context include:</w:t>
      </w:r>
    </w:p>
    <w:p w14:paraId="5E4CBBA8" w14:textId="77777777" w:rsidR="0055193F" w:rsidRPr="00564A3B" w:rsidRDefault="0055193F" w:rsidP="00D461C1">
      <w:pPr>
        <w:spacing w:before="24" w:after="24" w:line="360" w:lineRule="auto"/>
        <w:ind w:left="720"/>
        <w:contextualSpacing/>
        <w:rPr>
          <w:rFonts w:ascii="Verdana" w:hAnsi="Verdana" w:cs="Arial"/>
        </w:rPr>
      </w:pPr>
    </w:p>
    <w:p w14:paraId="40C7F545" w14:textId="20EEDC57" w:rsidR="0055193F" w:rsidRPr="00564A3B" w:rsidRDefault="0055193F">
      <w:pPr>
        <w:widowControl w:val="0"/>
        <w:numPr>
          <w:ilvl w:val="0"/>
          <w:numId w:val="3"/>
        </w:numPr>
        <w:autoSpaceDE w:val="0"/>
        <w:autoSpaceDN w:val="0"/>
        <w:adjustRightInd w:val="0"/>
        <w:spacing w:before="24" w:after="24" w:line="360" w:lineRule="auto"/>
        <w:rPr>
          <w:rFonts w:ascii="Verdana" w:hAnsi="Verdana" w:cs="Arial"/>
          <w:b/>
          <w:lang w:val="en-US"/>
        </w:rPr>
      </w:pPr>
      <w:r w:rsidRPr="00564A3B">
        <w:rPr>
          <w:rFonts w:ascii="Verdana" w:hAnsi="Verdana" w:cs="Arial"/>
          <w:lang w:val="en-US"/>
        </w:rPr>
        <w:t xml:space="preserve">European Convention on Human Rights </w:t>
      </w:r>
      <w:r w:rsidR="004340E3" w:rsidRPr="00564A3B">
        <w:rPr>
          <w:rFonts w:ascii="Verdana" w:hAnsi="Verdana" w:cs="Arial"/>
          <w:lang w:val="en-US"/>
        </w:rPr>
        <w:t xml:space="preserve">1950 </w:t>
      </w:r>
      <w:r w:rsidRPr="00564A3B">
        <w:rPr>
          <w:rFonts w:ascii="Verdana" w:hAnsi="Verdana" w:cs="Arial"/>
          <w:lang w:val="en-US"/>
        </w:rPr>
        <w:t>(ECHR);</w:t>
      </w:r>
      <w:r w:rsidRPr="00564A3B">
        <w:rPr>
          <w:rFonts w:ascii="Verdana" w:hAnsi="Verdana" w:cs="Arial"/>
          <w:vertAlign w:val="superscript"/>
          <w:lang w:val="en-US"/>
        </w:rPr>
        <w:footnoteReference w:id="3"/>
      </w:r>
      <w:r w:rsidRPr="00564A3B">
        <w:rPr>
          <w:rFonts w:ascii="Verdana" w:hAnsi="Verdana" w:cs="Arial"/>
          <w:lang w:val="en-US"/>
        </w:rPr>
        <w:t xml:space="preserve"> </w:t>
      </w:r>
    </w:p>
    <w:p w14:paraId="692E2282" w14:textId="2BD8366B" w:rsidR="00862A65" w:rsidRPr="00564A3B" w:rsidRDefault="00862A65">
      <w:pPr>
        <w:widowControl w:val="0"/>
        <w:numPr>
          <w:ilvl w:val="0"/>
          <w:numId w:val="3"/>
        </w:numPr>
        <w:autoSpaceDE w:val="0"/>
        <w:autoSpaceDN w:val="0"/>
        <w:adjustRightInd w:val="0"/>
        <w:spacing w:before="24" w:after="24" w:line="360" w:lineRule="auto"/>
        <w:rPr>
          <w:rFonts w:ascii="Verdana" w:hAnsi="Verdana" w:cs="Arial"/>
          <w:b/>
          <w:lang w:val="en-US"/>
        </w:rPr>
      </w:pPr>
      <w:r w:rsidRPr="00564A3B">
        <w:rPr>
          <w:rFonts w:ascii="Verdana" w:hAnsi="Verdana" w:cs="Arial"/>
          <w:lang w:val="en-US"/>
        </w:rPr>
        <w:t>European Social Charter</w:t>
      </w:r>
      <w:r w:rsidR="004340E3" w:rsidRPr="00564A3B">
        <w:rPr>
          <w:rFonts w:ascii="Verdana" w:hAnsi="Verdana" w:cs="Arial"/>
          <w:lang w:val="en-US"/>
        </w:rPr>
        <w:t xml:space="preserve"> 1961</w:t>
      </w:r>
      <w:r w:rsidRPr="00564A3B">
        <w:rPr>
          <w:rFonts w:ascii="Verdana" w:hAnsi="Verdana" w:cs="Arial"/>
          <w:lang w:val="en-US"/>
        </w:rPr>
        <w:t>;</w:t>
      </w:r>
      <w:r w:rsidRPr="00564A3B">
        <w:rPr>
          <w:rStyle w:val="FootnoteReference"/>
          <w:rFonts w:ascii="Verdana" w:hAnsi="Verdana" w:cs="Arial"/>
          <w:lang w:val="en-US"/>
        </w:rPr>
        <w:footnoteReference w:id="4"/>
      </w:r>
    </w:p>
    <w:p w14:paraId="47FD2457" w14:textId="28C3994F" w:rsidR="00C724E4" w:rsidRPr="00564A3B" w:rsidRDefault="00C724E4">
      <w:pPr>
        <w:widowControl w:val="0"/>
        <w:numPr>
          <w:ilvl w:val="0"/>
          <w:numId w:val="3"/>
        </w:numPr>
        <w:autoSpaceDE w:val="0"/>
        <w:autoSpaceDN w:val="0"/>
        <w:adjustRightInd w:val="0"/>
        <w:spacing w:before="24" w:after="24" w:line="360" w:lineRule="auto"/>
        <w:rPr>
          <w:rFonts w:ascii="Verdana" w:hAnsi="Verdana" w:cs="Arial"/>
          <w:lang w:val="en-US"/>
        </w:rPr>
      </w:pPr>
      <w:proofErr w:type="spellStart"/>
      <w:r w:rsidRPr="00564A3B">
        <w:rPr>
          <w:rFonts w:ascii="Verdana" w:hAnsi="Verdana" w:cs="Arial"/>
          <w:lang w:val="en-US"/>
        </w:rPr>
        <w:t>CoE</w:t>
      </w:r>
      <w:proofErr w:type="spellEnd"/>
      <w:r w:rsidRPr="00564A3B">
        <w:rPr>
          <w:rFonts w:ascii="Verdana" w:hAnsi="Verdana" w:cs="Arial"/>
        </w:rPr>
        <w:t xml:space="preserve"> Convention on Protection of Children against Sexual Exploitation and Sexual Abuse </w:t>
      </w:r>
      <w:r w:rsidR="00D85F81" w:rsidRPr="00564A3B">
        <w:rPr>
          <w:rFonts w:ascii="Verdana" w:hAnsi="Verdana" w:cs="Arial"/>
        </w:rPr>
        <w:t xml:space="preserve">2007 </w:t>
      </w:r>
      <w:r w:rsidRPr="00564A3B">
        <w:rPr>
          <w:rFonts w:ascii="Verdana" w:hAnsi="Verdana" w:cs="Arial"/>
        </w:rPr>
        <w:t>(</w:t>
      </w:r>
      <w:proofErr w:type="spellStart"/>
      <w:r w:rsidRPr="00564A3B">
        <w:rPr>
          <w:rFonts w:ascii="Verdana" w:hAnsi="Verdana" w:cs="Arial"/>
        </w:rPr>
        <w:t>CoE</w:t>
      </w:r>
      <w:proofErr w:type="spellEnd"/>
      <w:r w:rsidRPr="00564A3B">
        <w:rPr>
          <w:rFonts w:ascii="Verdana" w:hAnsi="Verdana" w:cs="Arial"/>
        </w:rPr>
        <w:t xml:space="preserve"> Lanzarote Convention);</w:t>
      </w:r>
      <w:r w:rsidRPr="00564A3B">
        <w:rPr>
          <w:rStyle w:val="FootnoteReference"/>
          <w:rFonts w:ascii="Verdana" w:hAnsi="Verdana" w:cs="Arial"/>
        </w:rPr>
        <w:footnoteReference w:id="5"/>
      </w:r>
    </w:p>
    <w:p w14:paraId="72DD3F9E" w14:textId="709164C1" w:rsidR="00D85F81" w:rsidRPr="00564A3B" w:rsidRDefault="00D85F81">
      <w:pPr>
        <w:widowControl w:val="0"/>
        <w:numPr>
          <w:ilvl w:val="0"/>
          <w:numId w:val="3"/>
        </w:numPr>
        <w:autoSpaceDE w:val="0"/>
        <w:autoSpaceDN w:val="0"/>
        <w:adjustRightInd w:val="0"/>
        <w:spacing w:before="24" w:after="24" w:line="360" w:lineRule="auto"/>
        <w:rPr>
          <w:rFonts w:ascii="Verdana" w:hAnsi="Verdana" w:cs="Arial"/>
          <w:lang w:val="en-US"/>
        </w:rPr>
      </w:pPr>
      <w:proofErr w:type="spellStart"/>
      <w:r w:rsidRPr="00564A3B">
        <w:rPr>
          <w:rFonts w:ascii="Verdana" w:hAnsi="Verdana" w:cs="Arial"/>
          <w:lang w:val="en-US"/>
        </w:rPr>
        <w:t>CoE</w:t>
      </w:r>
      <w:proofErr w:type="spellEnd"/>
      <w:r w:rsidRPr="00564A3B">
        <w:rPr>
          <w:rFonts w:ascii="Verdana" w:hAnsi="Verdana" w:cs="Arial"/>
          <w:lang w:val="en-US"/>
        </w:rPr>
        <w:t xml:space="preserve"> Convention on Preventing and Combating Violence against </w:t>
      </w:r>
      <w:r w:rsidRPr="00564A3B">
        <w:rPr>
          <w:rFonts w:ascii="Verdana" w:hAnsi="Verdana" w:cs="Arial"/>
          <w:lang w:val="en-US"/>
        </w:rPr>
        <w:lastRenderedPageBreak/>
        <w:t>Women 2011 (</w:t>
      </w:r>
      <w:proofErr w:type="spellStart"/>
      <w:r w:rsidRPr="00564A3B">
        <w:rPr>
          <w:rFonts w:ascii="Verdana" w:hAnsi="Verdana" w:cs="Arial"/>
          <w:lang w:val="en-US"/>
        </w:rPr>
        <w:t>CoE</w:t>
      </w:r>
      <w:proofErr w:type="spellEnd"/>
      <w:r w:rsidRPr="00564A3B">
        <w:rPr>
          <w:rFonts w:ascii="Verdana" w:hAnsi="Verdana" w:cs="Arial"/>
          <w:lang w:val="en-US"/>
        </w:rPr>
        <w:t xml:space="preserve"> Istanbul Convention);</w:t>
      </w:r>
      <w:r w:rsidRPr="00564A3B">
        <w:rPr>
          <w:rFonts w:ascii="Verdana" w:hAnsi="Verdana" w:cs="Arial"/>
          <w:vertAlign w:val="superscript"/>
          <w:lang w:val="en-US"/>
        </w:rPr>
        <w:footnoteReference w:id="6"/>
      </w:r>
    </w:p>
    <w:p w14:paraId="11681D29" w14:textId="71F50F6C" w:rsidR="00AC5CF0" w:rsidRPr="00564A3B" w:rsidRDefault="00AC5CF0">
      <w:pPr>
        <w:widowControl w:val="0"/>
        <w:numPr>
          <w:ilvl w:val="0"/>
          <w:numId w:val="3"/>
        </w:numPr>
        <w:autoSpaceDE w:val="0"/>
        <w:autoSpaceDN w:val="0"/>
        <w:adjustRightInd w:val="0"/>
        <w:spacing w:before="24" w:after="24" w:line="360" w:lineRule="auto"/>
        <w:rPr>
          <w:rFonts w:ascii="Verdana" w:hAnsi="Verdana" w:cs="Arial"/>
          <w:lang w:val="en-US"/>
        </w:rPr>
      </w:pPr>
      <w:r w:rsidRPr="00564A3B">
        <w:rPr>
          <w:rFonts w:ascii="Verdana" w:hAnsi="Verdana" w:cs="Arial"/>
          <w:lang w:val="en-US"/>
        </w:rPr>
        <w:t>UN Convention on the Elimination of Racial Discrimination 1965 (UN CERD);</w:t>
      </w:r>
      <w:r w:rsidRPr="00564A3B">
        <w:rPr>
          <w:rStyle w:val="FootnoteReference"/>
          <w:rFonts w:ascii="Verdana" w:hAnsi="Verdana" w:cs="Arial"/>
          <w:lang w:val="en-US"/>
        </w:rPr>
        <w:footnoteReference w:id="7"/>
      </w:r>
    </w:p>
    <w:p w14:paraId="2D87ECD7" w14:textId="4894B36A" w:rsidR="0055193F" w:rsidRPr="00564A3B" w:rsidRDefault="0055193F">
      <w:pPr>
        <w:widowControl w:val="0"/>
        <w:numPr>
          <w:ilvl w:val="0"/>
          <w:numId w:val="3"/>
        </w:numPr>
        <w:autoSpaceDE w:val="0"/>
        <w:autoSpaceDN w:val="0"/>
        <w:adjustRightInd w:val="0"/>
        <w:spacing w:before="24" w:after="24" w:line="360" w:lineRule="auto"/>
        <w:rPr>
          <w:rFonts w:ascii="Verdana" w:hAnsi="Verdana" w:cs="Arial"/>
          <w:lang w:val="en-US"/>
        </w:rPr>
      </w:pPr>
      <w:r w:rsidRPr="00564A3B">
        <w:rPr>
          <w:rFonts w:ascii="Verdana" w:hAnsi="Verdana" w:cs="Arial"/>
          <w:lang w:val="en-US"/>
        </w:rPr>
        <w:t xml:space="preserve">UN Convention on Civil and Political Rights </w:t>
      </w:r>
      <w:r w:rsidR="004340E3" w:rsidRPr="00564A3B">
        <w:rPr>
          <w:rFonts w:ascii="Verdana" w:hAnsi="Verdana" w:cs="Arial"/>
          <w:lang w:val="en-US"/>
        </w:rPr>
        <w:t xml:space="preserve">1966 </w:t>
      </w:r>
      <w:r w:rsidRPr="00564A3B">
        <w:rPr>
          <w:rFonts w:ascii="Verdana" w:hAnsi="Verdana" w:cs="Arial"/>
          <w:lang w:val="en-US"/>
        </w:rPr>
        <w:t>(UN ICCPR);</w:t>
      </w:r>
      <w:r w:rsidRPr="00564A3B">
        <w:rPr>
          <w:rFonts w:ascii="Verdana" w:hAnsi="Verdana" w:cs="Arial"/>
          <w:vertAlign w:val="superscript"/>
          <w:lang w:val="en-US"/>
        </w:rPr>
        <w:footnoteReference w:id="8"/>
      </w:r>
    </w:p>
    <w:p w14:paraId="5295BF55" w14:textId="79C80E5E" w:rsidR="0055193F" w:rsidRPr="00564A3B" w:rsidRDefault="0055193F">
      <w:pPr>
        <w:widowControl w:val="0"/>
        <w:numPr>
          <w:ilvl w:val="0"/>
          <w:numId w:val="3"/>
        </w:numPr>
        <w:autoSpaceDE w:val="0"/>
        <w:autoSpaceDN w:val="0"/>
        <w:adjustRightInd w:val="0"/>
        <w:spacing w:before="24" w:after="24" w:line="360" w:lineRule="auto"/>
        <w:rPr>
          <w:rFonts w:ascii="Verdana" w:hAnsi="Verdana" w:cs="Arial"/>
          <w:lang w:val="en-US"/>
        </w:rPr>
      </w:pPr>
      <w:r w:rsidRPr="00564A3B">
        <w:rPr>
          <w:rFonts w:ascii="Verdana" w:hAnsi="Verdana" w:cs="Verdana"/>
          <w:color w:val="000000"/>
          <w:lang w:val="en-US"/>
        </w:rPr>
        <w:t xml:space="preserve">UN Convention on Elimination of Discrimination against Women </w:t>
      </w:r>
      <w:r w:rsidR="00AC5CF0" w:rsidRPr="00564A3B">
        <w:rPr>
          <w:rFonts w:ascii="Verdana" w:hAnsi="Verdana" w:cs="Verdana"/>
          <w:color w:val="000000"/>
          <w:lang w:val="en-US"/>
        </w:rPr>
        <w:t xml:space="preserve">1981 </w:t>
      </w:r>
      <w:r w:rsidRPr="00564A3B">
        <w:rPr>
          <w:rFonts w:ascii="Verdana" w:hAnsi="Verdana" w:cs="Verdana"/>
          <w:color w:val="000000"/>
          <w:lang w:val="en-US"/>
        </w:rPr>
        <w:t>(UN CEDAW);</w:t>
      </w:r>
      <w:r w:rsidRPr="00564A3B">
        <w:rPr>
          <w:rFonts w:ascii="Verdana" w:hAnsi="Verdana" w:cs="Verdana"/>
          <w:color w:val="000000"/>
          <w:vertAlign w:val="superscript"/>
          <w:lang w:val="en-US"/>
        </w:rPr>
        <w:footnoteReference w:id="9"/>
      </w:r>
    </w:p>
    <w:p w14:paraId="55DA07CE" w14:textId="5B2824C8" w:rsidR="0055193F" w:rsidRPr="00564A3B" w:rsidRDefault="0055193F">
      <w:pPr>
        <w:widowControl w:val="0"/>
        <w:numPr>
          <w:ilvl w:val="0"/>
          <w:numId w:val="3"/>
        </w:numPr>
        <w:autoSpaceDE w:val="0"/>
        <w:autoSpaceDN w:val="0"/>
        <w:adjustRightInd w:val="0"/>
        <w:spacing w:before="24" w:after="24" w:line="360" w:lineRule="auto"/>
        <w:rPr>
          <w:rFonts w:ascii="Verdana" w:hAnsi="Verdana" w:cs="Arial"/>
          <w:lang w:val="en-US"/>
        </w:rPr>
      </w:pPr>
      <w:r w:rsidRPr="00564A3B">
        <w:rPr>
          <w:rFonts w:ascii="Verdana" w:hAnsi="Verdana" w:cs="Verdana"/>
          <w:color w:val="000000"/>
          <w:lang w:val="en-US"/>
        </w:rPr>
        <w:t xml:space="preserve">UN Convention against Torture </w:t>
      </w:r>
      <w:r w:rsidR="00AC5CF0" w:rsidRPr="00564A3B">
        <w:rPr>
          <w:rFonts w:ascii="Verdana" w:hAnsi="Verdana" w:cs="Verdana"/>
          <w:color w:val="000000"/>
          <w:lang w:val="en-US"/>
        </w:rPr>
        <w:t xml:space="preserve">1984 </w:t>
      </w:r>
      <w:r w:rsidRPr="00564A3B">
        <w:rPr>
          <w:rFonts w:ascii="Verdana" w:hAnsi="Verdana" w:cs="Verdana"/>
          <w:color w:val="000000"/>
          <w:lang w:val="en-US"/>
        </w:rPr>
        <w:t>(UN CAT);</w:t>
      </w:r>
      <w:r w:rsidRPr="00564A3B">
        <w:rPr>
          <w:rFonts w:ascii="Verdana" w:hAnsi="Verdana" w:cs="Verdana"/>
          <w:color w:val="000000"/>
          <w:vertAlign w:val="superscript"/>
          <w:lang w:val="en-US"/>
        </w:rPr>
        <w:footnoteReference w:id="10"/>
      </w:r>
    </w:p>
    <w:p w14:paraId="70B5FDBC" w14:textId="2BC49442" w:rsidR="00611079" w:rsidRPr="00564A3B" w:rsidRDefault="00611079">
      <w:pPr>
        <w:widowControl w:val="0"/>
        <w:numPr>
          <w:ilvl w:val="0"/>
          <w:numId w:val="3"/>
        </w:numPr>
        <w:autoSpaceDE w:val="0"/>
        <w:autoSpaceDN w:val="0"/>
        <w:adjustRightInd w:val="0"/>
        <w:spacing w:before="24" w:after="24" w:line="360" w:lineRule="auto"/>
        <w:rPr>
          <w:rFonts w:ascii="Verdana" w:hAnsi="Verdana" w:cs="Verdana"/>
          <w:color w:val="000000"/>
          <w:lang w:val="en-US"/>
        </w:rPr>
      </w:pPr>
      <w:r w:rsidRPr="00564A3B">
        <w:rPr>
          <w:rFonts w:ascii="Verdana" w:hAnsi="Verdana" w:cs="Verdana"/>
          <w:color w:val="000000"/>
          <w:lang w:val="en-US"/>
        </w:rPr>
        <w:t>UN Convention on the Rights of the Child</w:t>
      </w:r>
      <w:r w:rsidR="000534BA" w:rsidRPr="00564A3B">
        <w:rPr>
          <w:rFonts w:ascii="Verdana" w:hAnsi="Verdana" w:cs="Verdana"/>
          <w:color w:val="000000"/>
          <w:lang w:val="en-US"/>
        </w:rPr>
        <w:t xml:space="preserve"> </w:t>
      </w:r>
      <w:r w:rsidR="00AC5CF0" w:rsidRPr="00564A3B">
        <w:rPr>
          <w:rFonts w:ascii="Verdana" w:hAnsi="Verdana" w:cs="Verdana"/>
          <w:color w:val="000000"/>
          <w:lang w:val="en-US"/>
        </w:rPr>
        <w:t xml:space="preserve">1989 </w:t>
      </w:r>
      <w:r w:rsidR="000534BA" w:rsidRPr="00564A3B">
        <w:rPr>
          <w:rFonts w:ascii="Verdana" w:hAnsi="Verdana" w:cs="Verdana"/>
          <w:color w:val="000000"/>
          <w:lang w:val="en-US"/>
        </w:rPr>
        <w:t>(UN CRC)</w:t>
      </w:r>
      <w:r w:rsidRPr="00564A3B">
        <w:rPr>
          <w:rFonts w:ascii="Verdana" w:hAnsi="Verdana" w:cs="Verdana"/>
          <w:color w:val="000000"/>
          <w:lang w:val="en-US"/>
        </w:rPr>
        <w:t>;</w:t>
      </w:r>
      <w:r w:rsidRPr="00564A3B">
        <w:rPr>
          <w:rStyle w:val="FootnoteReference"/>
          <w:rFonts w:ascii="Verdana" w:hAnsi="Verdana" w:cs="Verdana"/>
          <w:color w:val="000000"/>
          <w:lang w:val="en-US"/>
        </w:rPr>
        <w:footnoteReference w:id="11"/>
      </w:r>
      <w:r w:rsidR="004A76FF">
        <w:rPr>
          <w:rFonts w:ascii="Verdana" w:hAnsi="Verdana" w:cs="Verdana"/>
          <w:color w:val="000000"/>
          <w:lang w:val="en-US"/>
        </w:rPr>
        <w:t xml:space="preserve"> and</w:t>
      </w:r>
    </w:p>
    <w:p w14:paraId="407BB892" w14:textId="6EA612DB" w:rsidR="00C724E4" w:rsidRPr="00564A3B" w:rsidRDefault="002F2C1B">
      <w:pPr>
        <w:widowControl w:val="0"/>
        <w:numPr>
          <w:ilvl w:val="0"/>
          <w:numId w:val="3"/>
        </w:numPr>
        <w:autoSpaceDE w:val="0"/>
        <w:autoSpaceDN w:val="0"/>
        <w:adjustRightInd w:val="0"/>
        <w:spacing w:before="24" w:after="24" w:line="360" w:lineRule="auto"/>
        <w:rPr>
          <w:rFonts w:ascii="Verdana" w:hAnsi="Verdana" w:cs="Arial"/>
          <w:lang w:val="en-US"/>
        </w:rPr>
      </w:pPr>
      <w:r w:rsidRPr="00564A3B">
        <w:rPr>
          <w:rFonts w:ascii="Verdana" w:hAnsi="Verdana" w:cs="Verdana"/>
          <w:color w:val="000000"/>
          <w:lang w:val="en-US"/>
        </w:rPr>
        <w:t>UN Convention on the Rights of Persons with Disabilities</w:t>
      </w:r>
      <w:r w:rsidR="000534BA" w:rsidRPr="00564A3B">
        <w:rPr>
          <w:rFonts w:ascii="Verdana" w:hAnsi="Verdana" w:cs="Verdana"/>
          <w:color w:val="000000"/>
          <w:lang w:val="en-US"/>
        </w:rPr>
        <w:t xml:space="preserve"> </w:t>
      </w:r>
      <w:r w:rsidR="00AC5CF0" w:rsidRPr="00564A3B">
        <w:rPr>
          <w:rFonts w:ascii="Verdana" w:hAnsi="Verdana" w:cs="Verdana"/>
          <w:color w:val="000000"/>
          <w:lang w:val="en-US"/>
        </w:rPr>
        <w:t xml:space="preserve">2006 </w:t>
      </w:r>
      <w:r w:rsidR="000534BA" w:rsidRPr="00564A3B">
        <w:rPr>
          <w:rFonts w:ascii="Verdana" w:hAnsi="Verdana" w:cs="Verdana"/>
          <w:color w:val="000000"/>
          <w:lang w:val="en-US"/>
        </w:rPr>
        <w:t>(UN CRPD)</w:t>
      </w:r>
      <w:r w:rsidR="00611079" w:rsidRPr="00564A3B">
        <w:rPr>
          <w:rFonts w:ascii="Verdana" w:hAnsi="Verdana" w:cs="Verdana"/>
          <w:color w:val="000000"/>
          <w:lang w:val="en-US"/>
        </w:rPr>
        <w:t>.</w:t>
      </w:r>
      <w:r w:rsidR="00C14DCD" w:rsidRPr="00564A3B">
        <w:rPr>
          <w:rStyle w:val="FootnoteReference"/>
          <w:rFonts w:ascii="Verdana" w:hAnsi="Verdana" w:cs="Verdana"/>
          <w:color w:val="000000"/>
          <w:lang w:val="en-US"/>
        </w:rPr>
        <w:footnoteReference w:id="12"/>
      </w:r>
    </w:p>
    <w:p w14:paraId="286A4134" w14:textId="77777777" w:rsidR="0055193F" w:rsidRPr="00564A3B" w:rsidRDefault="0055193F" w:rsidP="00D461C1">
      <w:pPr>
        <w:spacing w:before="24" w:after="24" w:line="360" w:lineRule="auto"/>
        <w:ind w:left="720"/>
        <w:contextualSpacing/>
        <w:rPr>
          <w:rFonts w:ascii="Verdana" w:hAnsi="Verdana" w:cs="Arial"/>
        </w:rPr>
      </w:pPr>
    </w:p>
    <w:p w14:paraId="0F5439CA" w14:textId="1FAD3810" w:rsidR="0055193F" w:rsidRPr="00564A3B" w:rsidRDefault="0055193F">
      <w:pPr>
        <w:numPr>
          <w:ilvl w:val="1"/>
          <w:numId w:val="2"/>
        </w:numPr>
        <w:spacing w:before="24" w:after="24" w:line="360" w:lineRule="auto"/>
        <w:contextualSpacing/>
        <w:rPr>
          <w:rFonts w:ascii="Verdana" w:hAnsi="Verdana" w:cs="Arial"/>
          <w:bCs/>
        </w:rPr>
      </w:pPr>
      <w:r w:rsidRPr="00564A3B">
        <w:rPr>
          <w:rFonts w:ascii="Verdana" w:hAnsi="Verdana" w:cs="Arial"/>
          <w:lang w:val="en-US"/>
        </w:rPr>
        <w:t xml:space="preserve">In </w:t>
      </w:r>
      <w:r w:rsidR="007C553A" w:rsidRPr="00564A3B">
        <w:rPr>
          <w:rFonts w:ascii="Verdana" w:hAnsi="Verdana" w:cs="Arial"/>
        </w:rPr>
        <w:t>addition to these treaty standards, the following declarations and principles provide further guidance in respect of specific areas:</w:t>
      </w:r>
    </w:p>
    <w:p w14:paraId="534C6FA4" w14:textId="77777777" w:rsidR="006D1825" w:rsidRPr="00564A3B" w:rsidRDefault="006D1825" w:rsidP="006D1825">
      <w:pPr>
        <w:spacing w:before="24" w:after="24" w:line="360" w:lineRule="auto"/>
        <w:ind w:left="720"/>
        <w:contextualSpacing/>
        <w:rPr>
          <w:rFonts w:ascii="Verdana" w:hAnsi="Verdana" w:cs="Arial"/>
          <w:bCs/>
        </w:rPr>
      </w:pPr>
    </w:p>
    <w:p w14:paraId="7A858D87" w14:textId="77777777" w:rsidR="006D1825" w:rsidRPr="00564A3B" w:rsidRDefault="006D1825">
      <w:pPr>
        <w:numPr>
          <w:ilvl w:val="0"/>
          <w:numId w:val="4"/>
        </w:numPr>
        <w:spacing w:before="24" w:after="24" w:line="360" w:lineRule="auto"/>
        <w:contextualSpacing/>
        <w:rPr>
          <w:rFonts w:ascii="Verdana" w:hAnsi="Verdana" w:cs="Arial"/>
          <w:lang w:val="en-US"/>
        </w:rPr>
      </w:pPr>
      <w:proofErr w:type="spellStart"/>
      <w:r w:rsidRPr="00564A3B">
        <w:rPr>
          <w:rFonts w:ascii="Verdana" w:hAnsi="Verdana" w:cs="Arial"/>
        </w:rPr>
        <w:t>CoE</w:t>
      </w:r>
      <w:proofErr w:type="spellEnd"/>
      <w:r w:rsidRPr="00564A3B">
        <w:rPr>
          <w:rFonts w:ascii="Verdana" w:hAnsi="Verdana" w:cs="Arial"/>
        </w:rPr>
        <w:t xml:space="preserve"> Committee of Minister Recommendation 13;</w:t>
      </w:r>
      <w:r w:rsidRPr="00564A3B">
        <w:rPr>
          <w:rFonts w:ascii="Verdana" w:hAnsi="Verdana" w:cs="Arial"/>
          <w:vertAlign w:val="superscript"/>
        </w:rPr>
        <w:footnoteReference w:id="13"/>
      </w:r>
    </w:p>
    <w:p w14:paraId="7C58885C" w14:textId="77777777" w:rsidR="006D1825" w:rsidRPr="00564A3B" w:rsidRDefault="006D1825">
      <w:pPr>
        <w:numPr>
          <w:ilvl w:val="0"/>
          <w:numId w:val="4"/>
        </w:numPr>
        <w:spacing w:before="24" w:after="24" w:line="360" w:lineRule="auto"/>
        <w:contextualSpacing/>
        <w:rPr>
          <w:rFonts w:ascii="Verdana" w:hAnsi="Verdana" w:cs="Arial"/>
        </w:rPr>
      </w:pPr>
      <w:proofErr w:type="spellStart"/>
      <w:r w:rsidRPr="00564A3B">
        <w:rPr>
          <w:rFonts w:ascii="Verdana" w:hAnsi="Verdana" w:cs="Arial"/>
          <w:lang w:val="en-US"/>
        </w:rPr>
        <w:t>CoE</w:t>
      </w:r>
      <w:proofErr w:type="spellEnd"/>
      <w:r w:rsidRPr="00564A3B">
        <w:rPr>
          <w:rFonts w:ascii="Verdana" w:hAnsi="Verdana" w:cs="Arial"/>
          <w:lang w:val="en-US"/>
        </w:rPr>
        <w:t xml:space="preserve"> Parliamentary Assembly Resolution 1697;</w:t>
      </w:r>
      <w:r w:rsidRPr="00564A3B">
        <w:rPr>
          <w:rFonts w:ascii="Verdana" w:hAnsi="Verdana" w:cs="Arial"/>
          <w:vertAlign w:val="superscript"/>
          <w:lang w:val="en-US"/>
        </w:rPr>
        <w:footnoteReference w:id="14"/>
      </w:r>
      <w:r w:rsidRPr="00564A3B">
        <w:rPr>
          <w:rFonts w:ascii="Verdana" w:hAnsi="Verdana" w:cs="Arial"/>
          <w:lang w:val="en-US"/>
        </w:rPr>
        <w:t xml:space="preserve"> </w:t>
      </w:r>
    </w:p>
    <w:p w14:paraId="1F2B80B8" w14:textId="4EF94422" w:rsidR="006D1825" w:rsidRPr="00564A3B" w:rsidRDefault="006D1825">
      <w:pPr>
        <w:numPr>
          <w:ilvl w:val="0"/>
          <w:numId w:val="4"/>
        </w:numPr>
        <w:spacing w:before="24" w:after="24" w:line="360" w:lineRule="auto"/>
        <w:contextualSpacing/>
        <w:rPr>
          <w:rFonts w:ascii="Verdana" w:hAnsi="Verdana" w:cs="Arial"/>
        </w:rPr>
      </w:pPr>
      <w:proofErr w:type="spellStart"/>
      <w:r w:rsidRPr="00564A3B">
        <w:rPr>
          <w:rFonts w:ascii="Verdana" w:hAnsi="Verdana" w:cs="Arial"/>
        </w:rPr>
        <w:t>CoE</w:t>
      </w:r>
      <w:proofErr w:type="spellEnd"/>
      <w:r w:rsidRPr="00564A3B">
        <w:rPr>
          <w:rFonts w:ascii="Verdana" w:hAnsi="Verdana" w:cs="Arial"/>
        </w:rPr>
        <w:t xml:space="preserve"> Committee of Ministers Recommendation to Member States on the Promotion of Human Rights of Older Persons.</w:t>
      </w:r>
      <w:r w:rsidRPr="00564A3B">
        <w:rPr>
          <w:rFonts w:ascii="Verdana" w:hAnsi="Verdana" w:cs="Arial"/>
          <w:vertAlign w:val="superscript"/>
        </w:rPr>
        <w:footnoteReference w:id="15"/>
      </w:r>
    </w:p>
    <w:p w14:paraId="1251F380" w14:textId="2B7ADD46" w:rsidR="006D1825" w:rsidRPr="00564A3B" w:rsidRDefault="006D1825">
      <w:pPr>
        <w:numPr>
          <w:ilvl w:val="0"/>
          <w:numId w:val="4"/>
        </w:numPr>
        <w:spacing w:before="24" w:after="24" w:line="360" w:lineRule="auto"/>
        <w:contextualSpacing/>
        <w:rPr>
          <w:rFonts w:ascii="Verdana" w:hAnsi="Verdana" w:cs="Arial"/>
          <w:lang w:val="en-US"/>
        </w:rPr>
      </w:pPr>
      <w:r w:rsidRPr="00564A3B">
        <w:rPr>
          <w:rFonts w:ascii="Verdana" w:hAnsi="Verdana" w:cs="Arial"/>
          <w:lang w:val="en-US"/>
        </w:rPr>
        <w:t>UN Declaration on the Elimination of Violence against Women;</w:t>
      </w:r>
      <w:r w:rsidRPr="00564A3B">
        <w:rPr>
          <w:rFonts w:ascii="Verdana" w:hAnsi="Verdana" w:cs="Arial"/>
          <w:vertAlign w:val="superscript"/>
          <w:lang w:val="en-US"/>
        </w:rPr>
        <w:footnoteReference w:id="16"/>
      </w:r>
    </w:p>
    <w:p w14:paraId="23878286" w14:textId="73F9F260" w:rsidR="006D1825" w:rsidRPr="00564A3B" w:rsidRDefault="006D1825">
      <w:pPr>
        <w:numPr>
          <w:ilvl w:val="0"/>
          <w:numId w:val="4"/>
        </w:numPr>
        <w:spacing w:before="24" w:after="24" w:line="360" w:lineRule="auto"/>
        <w:contextualSpacing/>
        <w:rPr>
          <w:rFonts w:ascii="Verdana" w:hAnsi="Verdana" w:cs="Arial"/>
          <w:lang w:val="en-US"/>
        </w:rPr>
      </w:pPr>
      <w:r w:rsidRPr="00564A3B">
        <w:rPr>
          <w:rFonts w:ascii="Verdana" w:hAnsi="Verdana" w:cs="Arial"/>
          <w:lang w:val="en-US"/>
        </w:rPr>
        <w:t>UN CEDAW Committee General Recommendation No 24;</w:t>
      </w:r>
      <w:r w:rsidRPr="00564A3B">
        <w:rPr>
          <w:rFonts w:ascii="Verdana" w:hAnsi="Verdana" w:cs="Arial"/>
          <w:vertAlign w:val="superscript"/>
          <w:lang w:val="en-US"/>
        </w:rPr>
        <w:footnoteReference w:id="17"/>
      </w:r>
    </w:p>
    <w:p w14:paraId="107BF18F" w14:textId="2B446F82" w:rsidR="006D1825" w:rsidRPr="00564A3B" w:rsidRDefault="006D1825">
      <w:pPr>
        <w:numPr>
          <w:ilvl w:val="0"/>
          <w:numId w:val="4"/>
        </w:numPr>
        <w:spacing w:before="24" w:after="24" w:line="360" w:lineRule="auto"/>
        <w:contextualSpacing/>
        <w:rPr>
          <w:rFonts w:ascii="Verdana" w:hAnsi="Verdana" w:cs="Arial"/>
          <w:lang w:val="en-US"/>
        </w:rPr>
      </w:pPr>
      <w:r w:rsidRPr="00564A3B">
        <w:rPr>
          <w:rFonts w:ascii="Verdana" w:hAnsi="Verdana" w:cs="Arial"/>
          <w:lang w:val="en-US"/>
        </w:rPr>
        <w:t xml:space="preserve">UN Human Rights Committee General Comment </w:t>
      </w:r>
      <w:r w:rsidR="00071571">
        <w:rPr>
          <w:rFonts w:ascii="Verdana" w:hAnsi="Verdana" w:cs="Arial"/>
          <w:lang w:val="en-US"/>
        </w:rPr>
        <w:t xml:space="preserve">No </w:t>
      </w:r>
      <w:r w:rsidRPr="00564A3B">
        <w:rPr>
          <w:rFonts w:ascii="Verdana" w:hAnsi="Verdana" w:cs="Arial"/>
          <w:lang w:val="en-US"/>
        </w:rPr>
        <w:t>32;</w:t>
      </w:r>
      <w:r w:rsidRPr="00564A3B">
        <w:rPr>
          <w:rFonts w:ascii="Verdana" w:hAnsi="Verdana" w:cs="Arial"/>
          <w:vertAlign w:val="superscript"/>
          <w:lang w:val="en-US"/>
        </w:rPr>
        <w:footnoteReference w:id="18"/>
      </w:r>
      <w:r w:rsidRPr="00564A3B">
        <w:rPr>
          <w:rFonts w:ascii="Verdana" w:hAnsi="Verdana" w:cs="Arial"/>
          <w:lang w:val="en-US"/>
        </w:rPr>
        <w:t xml:space="preserve"> </w:t>
      </w:r>
    </w:p>
    <w:p w14:paraId="1B4F84B7" w14:textId="41E6EC4E" w:rsidR="006D1825" w:rsidRPr="00564A3B" w:rsidRDefault="006D1825">
      <w:pPr>
        <w:numPr>
          <w:ilvl w:val="0"/>
          <w:numId w:val="4"/>
        </w:numPr>
        <w:spacing w:before="24" w:after="24" w:line="360" w:lineRule="auto"/>
        <w:contextualSpacing/>
        <w:rPr>
          <w:rFonts w:ascii="Verdana" w:hAnsi="Verdana" w:cs="Arial"/>
          <w:lang w:val="en-US"/>
        </w:rPr>
      </w:pPr>
      <w:r w:rsidRPr="00564A3B">
        <w:rPr>
          <w:rFonts w:ascii="Verdana" w:hAnsi="Verdana" w:cs="Arial"/>
        </w:rPr>
        <w:t xml:space="preserve">UN </w:t>
      </w:r>
      <w:r w:rsidRPr="00564A3B">
        <w:rPr>
          <w:rFonts w:ascii="Verdana" w:hAnsi="Verdana" w:cs="Arial"/>
          <w:lang w:val="en-US"/>
        </w:rPr>
        <w:t>CEDAW Committee General Recommendation No 27;</w:t>
      </w:r>
      <w:r w:rsidRPr="00564A3B">
        <w:rPr>
          <w:rFonts w:ascii="Verdana" w:hAnsi="Verdana" w:cs="Arial"/>
          <w:vertAlign w:val="superscript"/>
          <w:lang w:val="en-US"/>
        </w:rPr>
        <w:footnoteReference w:id="19"/>
      </w:r>
      <w:r w:rsidRPr="00564A3B">
        <w:rPr>
          <w:rFonts w:ascii="Verdana" w:hAnsi="Verdana" w:cs="Arial"/>
          <w:lang w:val="en-US"/>
        </w:rPr>
        <w:t xml:space="preserve"> </w:t>
      </w:r>
    </w:p>
    <w:p w14:paraId="530436E4" w14:textId="0A0E7A70" w:rsidR="006D1825" w:rsidRPr="00564A3B" w:rsidRDefault="006D1825">
      <w:pPr>
        <w:numPr>
          <w:ilvl w:val="0"/>
          <w:numId w:val="4"/>
        </w:numPr>
        <w:spacing w:before="24" w:after="24" w:line="360" w:lineRule="auto"/>
        <w:contextualSpacing/>
        <w:rPr>
          <w:rFonts w:ascii="Verdana" w:hAnsi="Verdana" w:cs="Arial"/>
          <w:lang w:val="en-US"/>
        </w:rPr>
      </w:pPr>
      <w:r w:rsidRPr="00564A3B">
        <w:rPr>
          <w:rFonts w:ascii="Verdana" w:hAnsi="Verdana" w:cs="Arial"/>
        </w:rPr>
        <w:lastRenderedPageBreak/>
        <w:t xml:space="preserve">UN CRC Committee General Comment </w:t>
      </w:r>
      <w:r w:rsidR="00071571">
        <w:rPr>
          <w:rFonts w:ascii="Verdana" w:hAnsi="Verdana" w:cs="Arial"/>
        </w:rPr>
        <w:t xml:space="preserve">No </w:t>
      </w:r>
      <w:r w:rsidRPr="00564A3B">
        <w:rPr>
          <w:rFonts w:ascii="Verdana" w:hAnsi="Verdana" w:cs="Arial"/>
        </w:rPr>
        <w:t>13;</w:t>
      </w:r>
      <w:r w:rsidRPr="00564A3B">
        <w:rPr>
          <w:rFonts w:ascii="Verdana" w:hAnsi="Verdana" w:cs="Arial"/>
          <w:vertAlign w:val="superscript"/>
        </w:rPr>
        <w:footnoteReference w:id="20"/>
      </w:r>
    </w:p>
    <w:p w14:paraId="12B69034" w14:textId="6814AA21" w:rsidR="006D1825" w:rsidRPr="00564A3B" w:rsidRDefault="006A38E3">
      <w:pPr>
        <w:numPr>
          <w:ilvl w:val="0"/>
          <w:numId w:val="4"/>
        </w:numPr>
        <w:spacing w:before="24" w:after="24" w:line="360" w:lineRule="auto"/>
        <w:contextualSpacing/>
        <w:rPr>
          <w:rFonts w:ascii="Verdana" w:hAnsi="Verdana" w:cs="Arial"/>
          <w:lang w:val="en-US"/>
        </w:rPr>
      </w:pPr>
      <w:r w:rsidRPr="00564A3B">
        <w:rPr>
          <w:rFonts w:ascii="Verdana" w:hAnsi="Verdana" w:cs="Arial"/>
          <w:lang w:val="en-US"/>
        </w:rPr>
        <w:t xml:space="preserve">UN CEDAW Committee </w:t>
      </w:r>
      <w:r w:rsidRPr="00564A3B">
        <w:rPr>
          <w:rFonts w:ascii="Verdana" w:hAnsi="Verdana" w:cs="Arial"/>
        </w:rPr>
        <w:t>General Recommendation No</w:t>
      </w:r>
      <w:r w:rsidR="004716F9" w:rsidRPr="00564A3B">
        <w:rPr>
          <w:rFonts w:ascii="Verdana" w:hAnsi="Verdana" w:cs="Arial"/>
        </w:rPr>
        <w:t xml:space="preserve"> </w:t>
      </w:r>
      <w:r w:rsidRPr="00564A3B">
        <w:rPr>
          <w:rFonts w:ascii="Verdana" w:hAnsi="Verdana" w:cs="Arial"/>
        </w:rPr>
        <w:t>35;</w:t>
      </w:r>
      <w:r w:rsidRPr="00564A3B">
        <w:rPr>
          <w:rStyle w:val="FootnoteReference"/>
          <w:rFonts w:ascii="Verdana" w:hAnsi="Verdana" w:cs="Arial"/>
        </w:rPr>
        <w:footnoteReference w:id="21"/>
      </w:r>
    </w:p>
    <w:p w14:paraId="652C7226" w14:textId="1DEB4BD6" w:rsidR="00C724E4" w:rsidRPr="00564A3B" w:rsidRDefault="00C724E4">
      <w:pPr>
        <w:numPr>
          <w:ilvl w:val="0"/>
          <w:numId w:val="4"/>
        </w:numPr>
        <w:spacing w:before="24" w:after="24" w:line="360" w:lineRule="auto"/>
        <w:contextualSpacing/>
        <w:rPr>
          <w:rFonts w:ascii="Verdana" w:hAnsi="Verdana" w:cs="Arial"/>
          <w:lang w:val="en-US"/>
        </w:rPr>
      </w:pPr>
      <w:r w:rsidRPr="00564A3B">
        <w:rPr>
          <w:rFonts w:ascii="Verdana" w:hAnsi="Verdana" w:cs="Arial"/>
          <w:lang w:val="en-US"/>
        </w:rPr>
        <w:t>UN CAT Committee Concluding Observations 2019;</w:t>
      </w:r>
      <w:r w:rsidRPr="00564A3B">
        <w:rPr>
          <w:rFonts w:ascii="Verdana" w:hAnsi="Verdana"/>
          <w:vertAlign w:val="superscript"/>
          <w:lang w:val="en-US"/>
        </w:rPr>
        <w:footnoteReference w:id="22"/>
      </w:r>
      <w:r w:rsidR="004A76FF">
        <w:rPr>
          <w:rFonts w:ascii="Verdana" w:hAnsi="Verdana" w:cs="Arial"/>
          <w:lang w:val="en-US"/>
        </w:rPr>
        <w:t xml:space="preserve"> and</w:t>
      </w:r>
    </w:p>
    <w:p w14:paraId="5F21AC76" w14:textId="4B9948A6" w:rsidR="00C724E4" w:rsidRPr="00564A3B" w:rsidRDefault="00C724E4">
      <w:pPr>
        <w:pStyle w:val="ListParagraph"/>
        <w:numPr>
          <w:ilvl w:val="0"/>
          <w:numId w:val="4"/>
        </w:numPr>
        <w:rPr>
          <w:rFonts w:ascii="Verdana" w:hAnsi="Verdana" w:cs="Arial"/>
          <w:lang w:val="en-US"/>
        </w:rPr>
      </w:pPr>
      <w:r w:rsidRPr="00564A3B">
        <w:rPr>
          <w:rFonts w:ascii="Verdana" w:hAnsi="Verdana" w:cs="Arial"/>
          <w:lang w:val="en-US"/>
        </w:rPr>
        <w:t>UN CEDAW Committee Concluding Observations 2019</w:t>
      </w:r>
      <w:r w:rsidR="004A76FF">
        <w:rPr>
          <w:rFonts w:ascii="Verdana" w:hAnsi="Verdana" w:cs="Arial"/>
          <w:lang w:val="en-US"/>
        </w:rPr>
        <w:t>.</w:t>
      </w:r>
      <w:r w:rsidRPr="00564A3B">
        <w:rPr>
          <w:rFonts w:ascii="Verdana" w:hAnsi="Verdana" w:cs="Arial"/>
          <w:vertAlign w:val="superscript"/>
          <w:lang w:val="en-US"/>
        </w:rPr>
        <w:footnoteReference w:id="23"/>
      </w:r>
    </w:p>
    <w:p w14:paraId="5404D322" w14:textId="77777777" w:rsidR="007E0719" w:rsidRPr="00564A3B" w:rsidRDefault="007E0719" w:rsidP="00D461C1">
      <w:pPr>
        <w:pStyle w:val="ListParagraph"/>
        <w:spacing w:before="24" w:after="24" w:line="360" w:lineRule="auto"/>
        <w:rPr>
          <w:rFonts w:ascii="Verdana" w:eastAsia="Times New Roman" w:hAnsi="Verdana" w:cs="Times New Roman"/>
        </w:rPr>
      </w:pPr>
    </w:p>
    <w:p w14:paraId="345ECB99" w14:textId="2AFC8DCF" w:rsidR="003607BC" w:rsidRPr="00564A3B" w:rsidRDefault="003607BC">
      <w:pPr>
        <w:numPr>
          <w:ilvl w:val="1"/>
          <w:numId w:val="2"/>
        </w:numPr>
        <w:spacing w:before="24" w:after="24" w:line="360" w:lineRule="auto"/>
        <w:contextualSpacing/>
        <w:rPr>
          <w:rFonts w:ascii="Verdana" w:eastAsia="Times New Roman" w:hAnsi="Verdana" w:cs="Times New Roman"/>
        </w:rPr>
      </w:pPr>
      <w:r w:rsidRPr="00564A3B">
        <w:rPr>
          <w:rFonts w:ascii="Verdana" w:eastAsia="Times New Roman" w:hAnsi="Verdana" w:cs="Times New Roman"/>
        </w:rPr>
        <w:t xml:space="preserve">The </w:t>
      </w:r>
      <w:r w:rsidR="001247EA" w:rsidRPr="00564A3B">
        <w:rPr>
          <w:rFonts w:ascii="Verdana" w:eastAsia="Times New Roman" w:hAnsi="Verdana" w:cs="Times New Roman"/>
        </w:rPr>
        <w:t xml:space="preserve">NIHRC </w:t>
      </w:r>
      <w:r w:rsidRPr="00564A3B">
        <w:rPr>
          <w:rFonts w:ascii="Verdana" w:eastAsia="Times New Roman" w:hAnsi="Verdana" w:cs="Times New Roman"/>
        </w:rPr>
        <w:t>further advises on the UK Government</w:t>
      </w:r>
      <w:r w:rsidR="00D85F81" w:rsidRPr="00564A3B">
        <w:rPr>
          <w:rFonts w:ascii="Verdana" w:eastAsia="Times New Roman" w:hAnsi="Verdana" w:cs="Times New Roman"/>
        </w:rPr>
        <w:t>’s</w:t>
      </w:r>
      <w:r w:rsidRPr="00564A3B">
        <w:rPr>
          <w:rFonts w:ascii="Verdana" w:eastAsia="Times New Roman" w:hAnsi="Verdana" w:cs="Times New Roman"/>
        </w:rPr>
        <w:t xml:space="preserve"> commitment in Windsor Framework Article 2(1) to ensure there is no diminution of rights, safeguards and equality of opportunity in the relevant section of the Belfast (Good Friday) Agreement as a result of the UK’s withdrawal from the EU. This is given effect in UK law by section 7A of the EU (Withdrawal) Act 2018. In addition, Section 6 of the Northern Ireland Act 1998 provides that the NI Assembly is prohibited from making any law which is incompatible with Windsor Framework Article 2. Section 24 of the 1998 Act also provides that all acts of the Department should be compatible with Windsor Framework Article 2. </w:t>
      </w:r>
      <w:r w:rsidRPr="00564A3B">
        <w:rPr>
          <w:rFonts w:ascii="Verdana" w:hAnsi="Verdana" w:cs="Arial"/>
          <w:lang w:val="en-US"/>
        </w:rPr>
        <w:t>The relevant EU law in this context includes:</w:t>
      </w:r>
    </w:p>
    <w:p w14:paraId="5B3491BA" w14:textId="77777777" w:rsidR="00485C28" w:rsidRPr="00564A3B" w:rsidRDefault="00485C28" w:rsidP="00485C28">
      <w:pPr>
        <w:spacing w:before="24" w:after="24" w:line="360" w:lineRule="auto"/>
        <w:contextualSpacing/>
        <w:rPr>
          <w:rFonts w:ascii="Verdana" w:eastAsia="Times New Roman" w:hAnsi="Verdana" w:cs="Times New Roman"/>
        </w:rPr>
      </w:pPr>
    </w:p>
    <w:p w14:paraId="33B575F0" w14:textId="77777777" w:rsidR="003607BC" w:rsidRPr="00564A3B" w:rsidRDefault="003607BC">
      <w:pPr>
        <w:pStyle w:val="ListParagraph"/>
        <w:numPr>
          <w:ilvl w:val="0"/>
          <w:numId w:val="8"/>
        </w:numPr>
        <w:spacing w:before="24" w:after="24" w:line="360" w:lineRule="auto"/>
        <w:rPr>
          <w:rFonts w:ascii="Verdana" w:eastAsia="Times New Roman" w:hAnsi="Verdana" w:cs="Times New Roman"/>
        </w:rPr>
      </w:pPr>
      <w:r w:rsidRPr="00564A3B">
        <w:rPr>
          <w:rFonts w:ascii="Verdana" w:hAnsi="Verdana"/>
        </w:rPr>
        <w:t>EU Directive on Establishing Minimum Standards on the Rights, Support and Protection of Victims of Crime.</w:t>
      </w:r>
      <w:r w:rsidRPr="00564A3B">
        <w:rPr>
          <w:rStyle w:val="FootnoteReference"/>
          <w:rFonts w:ascii="Verdana" w:hAnsi="Verdana"/>
        </w:rPr>
        <w:footnoteReference w:id="24"/>
      </w:r>
    </w:p>
    <w:p w14:paraId="1284D8BA" w14:textId="77777777" w:rsidR="007E0719" w:rsidRPr="00564A3B" w:rsidRDefault="007E0719" w:rsidP="00D461C1">
      <w:pPr>
        <w:spacing w:before="24" w:after="24" w:line="360" w:lineRule="auto"/>
        <w:rPr>
          <w:rFonts w:ascii="Verdana" w:eastAsia="Times New Roman" w:hAnsi="Verdana" w:cs="Times New Roman"/>
          <w:b/>
          <w:color w:val="000000"/>
          <w:shd w:val="clear" w:color="auto" w:fill="FFFFFF"/>
        </w:rPr>
      </w:pPr>
    </w:p>
    <w:p w14:paraId="5D075441" w14:textId="69D26CC3" w:rsidR="00F4270B" w:rsidRPr="00564A3B" w:rsidRDefault="00643C41" w:rsidP="00643C41">
      <w:pPr>
        <w:pStyle w:val="Heading1"/>
      </w:pPr>
      <w:bookmarkStart w:id="3" w:name="_Toc133586119"/>
      <w:r w:rsidRPr="00564A3B">
        <w:t>2.0</w:t>
      </w:r>
      <w:r w:rsidRPr="00564A3B">
        <w:tab/>
      </w:r>
      <w:r w:rsidR="007E0719" w:rsidRPr="00564A3B">
        <w:t xml:space="preserve">General </w:t>
      </w:r>
      <w:r w:rsidR="00040DBF" w:rsidRPr="00564A3B">
        <w:t>C</w:t>
      </w:r>
      <w:r w:rsidR="007E0719" w:rsidRPr="00564A3B">
        <w:t>omments</w:t>
      </w:r>
      <w:bookmarkEnd w:id="3"/>
      <w:r w:rsidR="007E0719" w:rsidRPr="00564A3B">
        <w:t xml:space="preserve"> </w:t>
      </w:r>
      <w:bookmarkStart w:id="4" w:name="_Hlk96527188"/>
    </w:p>
    <w:p w14:paraId="67F6F5CA" w14:textId="52652BC1" w:rsidR="00424B0D" w:rsidRPr="00564A3B" w:rsidRDefault="006B4C56" w:rsidP="00643C41">
      <w:pPr>
        <w:pStyle w:val="Heading2"/>
        <w:rPr>
          <w:b w:val="0"/>
          <w:bCs/>
        </w:rPr>
      </w:pPr>
      <w:bookmarkStart w:id="5" w:name="_Toc133586120"/>
      <w:r w:rsidRPr="00564A3B">
        <w:t>Human rights</w:t>
      </w:r>
      <w:r w:rsidR="000C11F9" w:rsidRPr="00564A3B">
        <w:t>-</w:t>
      </w:r>
      <w:r w:rsidRPr="00564A3B">
        <w:t>based approach</w:t>
      </w:r>
      <w:bookmarkEnd w:id="5"/>
      <w:r w:rsidRPr="00564A3B">
        <w:rPr>
          <w:b w:val="0"/>
          <w:bCs/>
        </w:rPr>
        <w:t xml:space="preserve"> </w:t>
      </w:r>
    </w:p>
    <w:p w14:paraId="53361DC0" w14:textId="77777777" w:rsidR="00643C41" w:rsidRPr="00564A3B" w:rsidRDefault="00643C41">
      <w:pPr>
        <w:pStyle w:val="ListParagraph"/>
        <w:numPr>
          <w:ilvl w:val="0"/>
          <w:numId w:val="1"/>
        </w:numPr>
        <w:spacing w:before="24" w:after="24" w:line="360" w:lineRule="auto"/>
        <w:rPr>
          <w:rFonts w:ascii="Verdana" w:hAnsi="Verdana"/>
          <w:vanish/>
        </w:rPr>
      </w:pPr>
    </w:p>
    <w:p w14:paraId="7E4BBEB6" w14:textId="00390A06" w:rsidR="00816A21" w:rsidRPr="00564A3B" w:rsidRDefault="006B4C56">
      <w:pPr>
        <w:pStyle w:val="ListParagraph"/>
        <w:numPr>
          <w:ilvl w:val="1"/>
          <w:numId w:val="1"/>
        </w:numPr>
        <w:spacing w:before="24" w:after="24" w:line="360" w:lineRule="auto"/>
        <w:rPr>
          <w:rFonts w:ascii="Verdana" w:hAnsi="Verdana"/>
        </w:rPr>
      </w:pPr>
      <w:r w:rsidRPr="00564A3B">
        <w:rPr>
          <w:rFonts w:ascii="Verdana" w:hAnsi="Verdana"/>
        </w:rPr>
        <w:t>The NIHRC welcomes express reference to human rights standards such as the EU Victims Directive;</w:t>
      </w:r>
      <w:r w:rsidR="003607BC" w:rsidRPr="00564A3B">
        <w:rPr>
          <w:rStyle w:val="FootnoteReference"/>
          <w:rFonts w:ascii="Verdana" w:hAnsi="Verdana"/>
        </w:rPr>
        <w:footnoteReference w:id="25"/>
      </w:r>
      <w:r w:rsidRPr="00564A3B">
        <w:rPr>
          <w:rFonts w:ascii="Verdana" w:hAnsi="Verdana"/>
        </w:rPr>
        <w:t xml:space="preserve"> the</w:t>
      </w:r>
      <w:r w:rsidR="00DB1E0C" w:rsidRPr="00564A3B">
        <w:rPr>
          <w:rFonts w:ascii="Verdana" w:hAnsi="Verdana"/>
        </w:rPr>
        <w:t xml:space="preserve"> </w:t>
      </w:r>
      <w:proofErr w:type="spellStart"/>
      <w:r w:rsidR="00DB1E0C" w:rsidRPr="00564A3B">
        <w:rPr>
          <w:rFonts w:ascii="Verdana" w:hAnsi="Verdana"/>
        </w:rPr>
        <w:t>CoE</w:t>
      </w:r>
      <w:proofErr w:type="spellEnd"/>
      <w:r w:rsidRPr="00564A3B">
        <w:rPr>
          <w:rFonts w:ascii="Verdana" w:hAnsi="Verdana"/>
        </w:rPr>
        <w:t xml:space="preserve"> Istanbul Convention; the ECHR; the UN </w:t>
      </w:r>
      <w:r w:rsidRPr="00564A3B">
        <w:rPr>
          <w:rFonts w:ascii="Verdana" w:hAnsi="Verdana"/>
        </w:rPr>
        <w:lastRenderedPageBreak/>
        <w:t>CEDAW; the UN CRC; the</w:t>
      </w:r>
      <w:r w:rsidR="00DB1E0C" w:rsidRPr="00564A3B">
        <w:rPr>
          <w:rFonts w:ascii="Verdana" w:hAnsi="Verdana"/>
        </w:rPr>
        <w:t xml:space="preserve"> </w:t>
      </w:r>
      <w:proofErr w:type="spellStart"/>
      <w:r w:rsidR="00DB1E0C" w:rsidRPr="00564A3B">
        <w:rPr>
          <w:rFonts w:ascii="Verdana" w:hAnsi="Verdana"/>
        </w:rPr>
        <w:t>CoE</w:t>
      </w:r>
      <w:proofErr w:type="spellEnd"/>
      <w:r w:rsidRPr="00564A3B">
        <w:rPr>
          <w:rFonts w:ascii="Verdana" w:hAnsi="Verdana"/>
        </w:rPr>
        <w:t xml:space="preserve"> Lanzarote Convention; and the UN CRPD. </w:t>
      </w:r>
      <w:r w:rsidR="00953C50" w:rsidRPr="00564A3B">
        <w:rPr>
          <w:rFonts w:ascii="Verdana" w:hAnsi="Verdana"/>
        </w:rPr>
        <w:t>H</w:t>
      </w:r>
      <w:r w:rsidRPr="00564A3B">
        <w:rPr>
          <w:rFonts w:ascii="Verdana" w:hAnsi="Verdana"/>
        </w:rPr>
        <w:t xml:space="preserve">owever, the reference to relevant human rights standards </w:t>
      </w:r>
      <w:r w:rsidR="00953C50" w:rsidRPr="00564A3B">
        <w:rPr>
          <w:rFonts w:ascii="Verdana" w:hAnsi="Verdana"/>
        </w:rPr>
        <w:t>c</w:t>
      </w:r>
      <w:r w:rsidRPr="00564A3B">
        <w:rPr>
          <w:rFonts w:ascii="Verdana" w:hAnsi="Verdana"/>
        </w:rPr>
        <w:t>ould be strengthened</w:t>
      </w:r>
      <w:r w:rsidR="00953C50" w:rsidRPr="00564A3B">
        <w:rPr>
          <w:rFonts w:ascii="Verdana" w:hAnsi="Verdana"/>
        </w:rPr>
        <w:t xml:space="preserve"> in a number of ways</w:t>
      </w:r>
      <w:r w:rsidR="00C10D50" w:rsidRPr="00564A3B">
        <w:rPr>
          <w:rFonts w:ascii="Verdana" w:hAnsi="Verdana"/>
        </w:rPr>
        <w:t>.</w:t>
      </w:r>
    </w:p>
    <w:p w14:paraId="5483B3C0" w14:textId="3557A46D" w:rsidR="00816A21" w:rsidRPr="00564A3B" w:rsidRDefault="0079388F" w:rsidP="00816A21">
      <w:pPr>
        <w:pStyle w:val="ListParagraph"/>
        <w:spacing w:before="24" w:after="24" w:line="360" w:lineRule="auto"/>
        <w:rPr>
          <w:rFonts w:ascii="Verdana" w:hAnsi="Verdana"/>
        </w:rPr>
      </w:pPr>
      <w:r w:rsidRPr="00564A3B">
        <w:rPr>
          <w:rFonts w:ascii="Verdana" w:hAnsi="Verdana"/>
        </w:rPr>
        <w:t xml:space="preserve"> </w:t>
      </w:r>
    </w:p>
    <w:p w14:paraId="694442C7" w14:textId="1F568046" w:rsidR="00E641EC" w:rsidRPr="00564A3B" w:rsidRDefault="0079388F">
      <w:pPr>
        <w:pStyle w:val="ListParagraph"/>
        <w:numPr>
          <w:ilvl w:val="1"/>
          <w:numId w:val="1"/>
        </w:numPr>
        <w:spacing w:before="24" w:after="24" w:line="360" w:lineRule="auto"/>
        <w:rPr>
          <w:rFonts w:ascii="Verdana" w:hAnsi="Verdana"/>
        </w:rPr>
      </w:pPr>
      <w:r w:rsidRPr="00564A3B">
        <w:rPr>
          <w:rFonts w:ascii="Verdana" w:hAnsi="Verdana"/>
        </w:rPr>
        <w:t>The final strategy should consider the full range of human rights treaties that have been ratified by the UK. For example, the issue of domestic violence has</w:t>
      </w:r>
      <w:r w:rsidR="00EC4F11" w:rsidRPr="00564A3B">
        <w:rPr>
          <w:rFonts w:ascii="Verdana" w:hAnsi="Verdana"/>
        </w:rPr>
        <w:t xml:space="preserve"> also</w:t>
      </w:r>
      <w:r w:rsidRPr="00564A3B">
        <w:rPr>
          <w:rFonts w:ascii="Verdana" w:hAnsi="Verdana"/>
        </w:rPr>
        <w:t xml:space="preserve"> been addressed under Article 16 of the European Social Charter</w:t>
      </w:r>
      <w:r w:rsidR="008E0899" w:rsidRPr="00564A3B">
        <w:rPr>
          <w:rFonts w:ascii="Verdana" w:hAnsi="Verdana"/>
        </w:rPr>
        <w:t xml:space="preserve"> 1961</w:t>
      </w:r>
      <w:r w:rsidR="00A6195E" w:rsidRPr="00564A3B">
        <w:rPr>
          <w:rFonts w:ascii="Verdana" w:hAnsi="Verdana"/>
        </w:rPr>
        <w:t>.</w:t>
      </w:r>
      <w:r w:rsidR="00A6195E" w:rsidRPr="00564A3B">
        <w:rPr>
          <w:rStyle w:val="FootnoteReference"/>
          <w:rFonts w:ascii="Verdana" w:hAnsi="Verdana"/>
        </w:rPr>
        <w:footnoteReference w:id="26"/>
      </w:r>
      <w:r w:rsidR="00A6195E" w:rsidRPr="00564A3B">
        <w:rPr>
          <w:rFonts w:ascii="Verdana" w:hAnsi="Verdana"/>
        </w:rPr>
        <w:t xml:space="preserve"> </w:t>
      </w:r>
    </w:p>
    <w:p w14:paraId="51DAD4BC" w14:textId="77777777" w:rsidR="006B4C56" w:rsidRPr="00564A3B" w:rsidRDefault="006B4C56" w:rsidP="006B4C56">
      <w:pPr>
        <w:pStyle w:val="ListParagraph"/>
        <w:spacing w:before="24" w:after="24" w:line="360" w:lineRule="auto"/>
        <w:rPr>
          <w:rFonts w:ascii="Verdana" w:hAnsi="Verdana"/>
        </w:rPr>
      </w:pPr>
    </w:p>
    <w:p w14:paraId="7E53E0C7" w14:textId="4543C622" w:rsidR="000E228B" w:rsidRPr="00564A3B" w:rsidRDefault="002C2F6F">
      <w:pPr>
        <w:pStyle w:val="ListParagraph"/>
        <w:numPr>
          <w:ilvl w:val="1"/>
          <w:numId w:val="1"/>
        </w:numPr>
        <w:spacing w:before="24" w:after="24" w:line="360" w:lineRule="auto"/>
        <w:rPr>
          <w:rFonts w:ascii="Verdana" w:hAnsi="Verdana"/>
        </w:rPr>
      </w:pPr>
      <w:r w:rsidRPr="00564A3B">
        <w:rPr>
          <w:rFonts w:ascii="Verdana" w:hAnsi="Verdana"/>
        </w:rPr>
        <w:t>Consistent with a human rights</w:t>
      </w:r>
      <w:r w:rsidR="00DB193D" w:rsidRPr="00564A3B">
        <w:rPr>
          <w:rFonts w:ascii="Verdana" w:hAnsi="Verdana"/>
        </w:rPr>
        <w:t>-</w:t>
      </w:r>
      <w:r w:rsidRPr="00564A3B">
        <w:rPr>
          <w:rFonts w:ascii="Verdana" w:hAnsi="Verdana"/>
        </w:rPr>
        <w:t xml:space="preserve">based approach the strategy should set out the normative framework relating to </w:t>
      </w:r>
      <w:r w:rsidR="008E2C6D" w:rsidRPr="00564A3B">
        <w:rPr>
          <w:rFonts w:ascii="Verdana" w:hAnsi="Verdana"/>
        </w:rPr>
        <w:t>domestic and sexual abuse</w:t>
      </w:r>
      <w:r w:rsidRPr="00564A3B">
        <w:rPr>
          <w:rFonts w:ascii="Verdana" w:hAnsi="Verdana"/>
        </w:rPr>
        <w:t>.</w:t>
      </w:r>
      <w:r w:rsidRPr="00564A3B">
        <w:rPr>
          <w:rStyle w:val="FootnoteReference"/>
          <w:rFonts w:ascii="Verdana" w:hAnsi="Verdana"/>
        </w:rPr>
        <w:footnoteReference w:id="27"/>
      </w:r>
      <w:r w:rsidRPr="00564A3B">
        <w:rPr>
          <w:rFonts w:ascii="Verdana" w:hAnsi="Verdana"/>
        </w:rPr>
        <w:t xml:space="preserve"> </w:t>
      </w:r>
      <w:r w:rsidR="000E228B" w:rsidRPr="00564A3B">
        <w:rPr>
          <w:rFonts w:ascii="Verdana" w:hAnsi="Verdana"/>
        </w:rPr>
        <w:t xml:space="preserve">The strategy should set out how </w:t>
      </w:r>
      <w:r w:rsidR="008E2C6D" w:rsidRPr="00564A3B">
        <w:rPr>
          <w:rFonts w:ascii="Verdana" w:hAnsi="Verdana"/>
        </w:rPr>
        <w:t>it</w:t>
      </w:r>
      <w:r w:rsidR="000E228B" w:rsidRPr="00564A3B">
        <w:rPr>
          <w:rFonts w:ascii="Verdana" w:hAnsi="Verdana"/>
        </w:rPr>
        <w:t xml:space="preserve"> will </w:t>
      </w:r>
      <w:r w:rsidR="000E228B" w:rsidRPr="00564A3B">
        <w:rPr>
          <w:rStyle w:val="Emphasis"/>
          <w:rFonts w:ascii="Verdana" w:hAnsi="Verdana" w:cs="Arial"/>
          <w:i w:val="0"/>
          <w:iCs w:val="0"/>
          <w:shd w:val="clear" w:color="auto" w:fill="FFFFFF"/>
        </w:rPr>
        <w:t>develop the capacity of the Department of Health and Department of Justice, as the principal duty-bearers</w:t>
      </w:r>
      <w:r w:rsidR="00941901" w:rsidRPr="00564A3B">
        <w:rPr>
          <w:rStyle w:val="Emphasis"/>
          <w:rFonts w:ascii="Verdana" w:hAnsi="Verdana" w:cs="Arial"/>
          <w:i w:val="0"/>
          <w:iCs w:val="0"/>
          <w:shd w:val="clear" w:color="auto" w:fill="FFFFFF"/>
        </w:rPr>
        <w:t>,</w:t>
      </w:r>
      <w:r w:rsidR="000E228B" w:rsidRPr="00564A3B">
        <w:rPr>
          <w:rStyle w:val="Emphasis"/>
          <w:rFonts w:ascii="Verdana" w:hAnsi="Verdana" w:cs="Arial"/>
          <w:i w:val="0"/>
          <w:iCs w:val="0"/>
          <w:shd w:val="clear" w:color="auto" w:fill="FFFFFF"/>
        </w:rPr>
        <w:t xml:space="preserve"> to meet their obligations and encourage rights holders to claim their rights</w:t>
      </w:r>
      <w:r w:rsidRPr="00564A3B">
        <w:rPr>
          <w:rStyle w:val="Emphasis"/>
          <w:rFonts w:ascii="Verdana" w:hAnsi="Verdana" w:cs="Arial"/>
          <w:i w:val="0"/>
          <w:iCs w:val="0"/>
          <w:shd w:val="clear" w:color="auto" w:fill="FFFFFF"/>
        </w:rPr>
        <w:t>.</w:t>
      </w:r>
      <w:r w:rsidRPr="00564A3B">
        <w:rPr>
          <w:rStyle w:val="Emphasis"/>
          <w:rFonts w:ascii="Verdana" w:hAnsi="Verdana" w:cs="Arial"/>
          <w:b/>
          <w:bCs/>
          <w:i w:val="0"/>
          <w:iCs w:val="0"/>
          <w:sz w:val="21"/>
          <w:szCs w:val="21"/>
          <w:shd w:val="clear" w:color="auto" w:fill="FFFFFF"/>
        </w:rPr>
        <w:t xml:space="preserve"> </w:t>
      </w:r>
    </w:p>
    <w:p w14:paraId="3AB09B9F" w14:textId="77777777" w:rsidR="000E228B" w:rsidRPr="00C22823" w:rsidRDefault="000E228B" w:rsidP="00C22823">
      <w:pPr>
        <w:rPr>
          <w:rFonts w:ascii="Verdana" w:hAnsi="Verdana"/>
        </w:rPr>
      </w:pPr>
    </w:p>
    <w:p w14:paraId="6C7BAE7F" w14:textId="7F6FCF1C" w:rsidR="00103DCB" w:rsidRPr="00564A3B" w:rsidRDefault="006B4C56">
      <w:pPr>
        <w:pStyle w:val="ListParagraph"/>
        <w:numPr>
          <w:ilvl w:val="1"/>
          <w:numId w:val="1"/>
        </w:numPr>
        <w:spacing w:before="24" w:after="24" w:line="360" w:lineRule="auto"/>
        <w:rPr>
          <w:rFonts w:ascii="Verdana" w:hAnsi="Verdana"/>
        </w:rPr>
      </w:pPr>
      <w:r w:rsidRPr="00564A3B">
        <w:rPr>
          <w:rFonts w:ascii="Verdana" w:hAnsi="Verdana"/>
        </w:rPr>
        <w:t xml:space="preserve">The Human Rights Act 1998 and sections 24 and 26 of the NI Act 1998 require a human rights-based approach. </w:t>
      </w:r>
      <w:r w:rsidR="001711B9" w:rsidRPr="00564A3B">
        <w:rPr>
          <w:rFonts w:ascii="Verdana" w:hAnsi="Verdana"/>
        </w:rPr>
        <w:t>The substantive content of the strategy should be informed by all relevant human rights standards</w:t>
      </w:r>
      <w:r w:rsidR="009B3CF2" w:rsidRPr="00564A3B">
        <w:rPr>
          <w:rFonts w:ascii="Verdana" w:hAnsi="Verdana"/>
        </w:rPr>
        <w:t>, in</w:t>
      </w:r>
      <w:r w:rsidR="00ED3C35" w:rsidRPr="00564A3B">
        <w:rPr>
          <w:rFonts w:ascii="Verdana" w:hAnsi="Verdana"/>
          <w:bCs/>
        </w:rPr>
        <w:t xml:space="preserve"> </w:t>
      </w:r>
      <w:r w:rsidR="00A96CF0" w:rsidRPr="00564A3B">
        <w:rPr>
          <w:rFonts w:ascii="Verdana" w:hAnsi="Verdana"/>
          <w:bCs/>
        </w:rPr>
        <w:t xml:space="preserve">particular, </w:t>
      </w:r>
      <w:r w:rsidR="00ED3C35" w:rsidRPr="00564A3B">
        <w:rPr>
          <w:rFonts w:ascii="Verdana" w:hAnsi="Verdana"/>
          <w:bCs/>
        </w:rPr>
        <w:t xml:space="preserve">the </w:t>
      </w:r>
      <w:proofErr w:type="spellStart"/>
      <w:r w:rsidR="00ED3C35" w:rsidRPr="00564A3B">
        <w:rPr>
          <w:rFonts w:ascii="Verdana" w:hAnsi="Verdana"/>
          <w:bCs/>
        </w:rPr>
        <w:t>CoE</w:t>
      </w:r>
      <w:proofErr w:type="spellEnd"/>
      <w:r w:rsidR="00ED3C35" w:rsidRPr="00564A3B">
        <w:rPr>
          <w:rFonts w:ascii="Verdana" w:hAnsi="Verdana"/>
          <w:bCs/>
        </w:rPr>
        <w:t xml:space="preserve"> Istanbul Convention. </w:t>
      </w:r>
      <w:r w:rsidR="00ED3C35" w:rsidRPr="00564A3B">
        <w:rPr>
          <w:rFonts w:ascii="Verdana" w:eastAsia="Times New Roman" w:hAnsi="Verdana" w:cs="Arial"/>
          <w:bCs/>
          <w:lang w:eastAsia="en-GB"/>
        </w:rPr>
        <w:t xml:space="preserve">The </w:t>
      </w:r>
      <w:proofErr w:type="spellStart"/>
      <w:r w:rsidR="000C4325" w:rsidRPr="00564A3B">
        <w:rPr>
          <w:rFonts w:ascii="Verdana" w:eastAsia="Times New Roman" w:hAnsi="Verdana" w:cs="Arial"/>
          <w:bCs/>
          <w:lang w:eastAsia="en-GB"/>
        </w:rPr>
        <w:t>CoE</w:t>
      </w:r>
      <w:proofErr w:type="spellEnd"/>
      <w:r w:rsidR="000C4325" w:rsidRPr="00564A3B">
        <w:rPr>
          <w:rFonts w:ascii="Verdana" w:eastAsia="Times New Roman" w:hAnsi="Verdana" w:cs="Arial"/>
          <w:bCs/>
          <w:lang w:eastAsia="en-GB"/>
        </w:rPr>
        <w:t xml:space="preserve"> </w:t>
      </w:r>
      <w:r w:rsidR="00ED3C35" w:rsidRPr="00564A3B">
        <w:rPr>
          <w:rFonts w:ascii="Verdana" w:eastAsia="Times New Roman" w:hAnsi="Verdana" w:cs="Arial"/>
          <w:bCs/>
          <w:lang w:eastAsia="en-GB"/>
        </w:rPr>
        <w:t xml:space="preserve">Istanbul Convention provides a legal framework </w:t>
      </w:r>
      <w:r w:rsidR="005F6A46" w:rsidRPr="00564A3B">
        <w:rPr>
          <w:rFonts w:ascii="Verdana" w:eastAsia="Times New Roman" w:hAnsi="Verdana" w:cs="Arial"/>
          <w:bCs/>
          <w:lang w:eastAsia="en-GB"/>
        </w:rPr>
        <w:t>for European countries</w:t>
      </w:r>
      <w:r w:rsidR="00ED3C35" w:rsidRPr="00564A3B">
        <w:rPr>
          <w:rFonts w:ascii="Verdana" w:eastAsia="Times New Roman" w:hAnsi="Verdana" w:cs="Arial"/>
          <w:bCs/>
          <w:lang w:eastAsia="en-GB"/>
        </w:rPr>
        <w:t xml:space="preserve"> to protect women against all forms of violence, and prevent, prosecute and eliminate violence against women and domestic violence. It can also be used as an indicator of best practice and provide guidance on how to develop legislation in relation to sexual offences. </w:t>
      </w:r>
    </w:p>
    <w:p w14:paraId="6A3E7A22" w14:textId="77777777" w:rsidR="00E169D1" w:rsidRPr="00564A3B" w:rsidRDefault="00E169D1" w:rsidP="00485C28">
      <w:pPr>
        <w:pStyle w:val="ListParagraph"/>
        <w:spacing w:before="24" w:after="24" w:line="360" w:lineRule="auto"/>
        <w:rPr>
          <w:rFonts w:ascii="Verdana" w:hAnsi="Verdana"/>
        </w:rPr>
      </w:pPr>
    </w:p>
    <w:p w14:paraId="3604D2E3" w14:textId="44CD94A5" w:rsidR="00E169D1" w:rsidRPr="00564A3B" w:rsidRDefault="00E169D1">
      <w:pPr>
        <w:pStyle w:val="ListParagraph"/>
        <w:numPr>
          <w:ilvl w:val="1"/>
          <w:numId w:val="1"/>
        </w:numPr>
        <w:spacing w:before="24" w:after="24" w:line="360" w:lineRule="auto"/>
        <w:rPr>
          <w:rFonts w:ascii="Verdana" w:hAnsi="Verdana"/>
        </w:rPr>
      </w:pPr>
      <w:r w:rsidRPr="00564A3B">
        <w:rPr>
          <w:rFonts w:ascii="Verdana" w:eastAsia="Calibri" w:hAnsi="Verdana" w:cs="Calibri"/>
          <w:kern w:val="2"/>
          <w14:ligatures w14:val="standardContextual"/>
        </w:rPr>
        <w:t xml:space="preserve">Article 2 of the Windsor Framework requires the UK Government and NI Executive to ensure that there is no diminution of rights, safeguards and equality of opportunity, as set out in the relevant chapter of the Belfast (Good Friday) Agreement 1998, as a result of the UK’s withdrawal from the EU. That chapter refers to the “civil rights… of everyone in the community” </w:t>
      </w:r>
      <w:r w:rsidRPr="00564A3B">
        <w:rPr>
          <w:rFonts w:ascii="Verdana" w:eastAsia="Calibri" w:hAnsi="Verdana" w:cs="Calibri"/>
          <w:kern w:val="2"/>
          <w14:ligatures w14:val="standardContextual"/>
        </w:rPr>
        <w:lastRenderedPageBreak/>
        <w:t>and affirms “in particular” a non</w:t>
      </w:r>
      <w:r w:rsidR="00B56AB3">
        <w:rPr>
          <w:rFonts w:ascii="Verdana" w:eastAsia="Calibri" w:hAnsi="Verdana" w:cs="Calibri"/>
          <w:kern w:val="2"/>
          <w14:ligatures w14:val="standardContextual"/>
        </w:rPr>
        <w:t>-</w:t>
      </w:r>
      <w:r w:rsidRPr="00564A3B">
        <w:rPr>
          <w:rFonts w:ascii="Verdana" w:eastAsia="Calibri" w:hAnsi="Verdana" w:cs="Calibri"/>
          <w:kern w:val="2"/>
          <w14:ligatures w14:val="standardContextual"/>
        </w:rPr>
        <w:t>exhaustive list of rights and also includes the rights of victims to remember as well as to contribute to a changed society.</w:t>
      </w:r>
      <w:r w:rsidRPr="00564A3B">
        <w:rPr>
          <w:rFonts w:ascii="Verdana" w:eastAsia="Calibri" w:hAnsi="Verdana" w:cs="Calibri"/>
          <w:kern w:val="2"/>
          <w:vertAlign w:val="superscript"/>
          <w14:ligatures w14:val="standardContextual"/>
        </w:rPr>
        <w:footnoteReference w:id="28"/>
      </w:r>
      <w:r w:rsidRPr="00564A3B">
        <w:rPr>
          <w:rFonts w:ascii="Verdana" w:eastAsia="Calibri" w:hAnsi="Verdana" w:cs="Calibri"/>
          <w:kern w:val="2"/>
          <w14:ligatures w14:val="standardContextual"/>
        </w:rPr>
        <w:t xml:space="preserve"> The </w:t>
      </w:r>
      <w:r w:rsidR="001247EA" w:rsidRPr="00564A3B">
        <w:rPr>
          <w:rFonts w:ascii="Verdana" w:eastAsia="Calibri" w:hAnsi="Verdana" w:cs="Calibri"/>
          <w:kern w:val="2"/>
          <w14:ligatures w14:val="standardContextual"/>
        </w:rPr>
        <w:t xml:space="preserve">NIHRC </w:t>
      </w:r>
      <w:r w:rsidRPr="00564A3B">
        <w:rPr>
          <w:rFonts w:ascii="Verdana" w:eastAsia="Calibri" w:hAnsi="Verdana" w:cs="Calibri"/>
          <w:kern w:val="2"/>
          <w14:ligatures w14:val="standardContextual"/>
        </w:rPr>
        <w:t xml:space="preserve">has also identified other ways in which victims’ rights are within scope, for example to the extent that EU law underpins the rights in the </w:t>
      </w:r>
      <w:r w:rsidRPr="00564A3B">
        <w:rPr>
          <w:rFonts w:ascii="Verdana" w:hAnsi="Verdana" w:cs="Times New Roman"/>
        </w:rPr>
        <w:t>European Convention on Human Rights (</w:t>
      </w:r>
      <w:r w:rsidRPr="00564A3B">
        <w:rPr>
          <w:rFonts w:ascii="Verdana" w:eastAsia="Calibri" w:hAnsi="Verdana" w:cs="Calibri"/>
          <w:kern w:val="2"/>
          <w14:ligatures w14:val="standardContextual"/>
        </w:rPr>
        <w:t>ECHR) and relate to the equality commitments in the relevant chapter of the Belfast (Good Friday) Agreement. The UK Government has recognised that the EU Victims Directive falls within scope of Article 2 of the Windsor Framework.</w:t>
      </w:r>
      <w:r w:rsidRPr="00564A3B">
        <w:rPr>
          <w:rFonts w:ascii="Verdana" w:eastAsia="Calibri" w:hAnsi="Verdana" w:cs="Calibri"/>
          <w:kern w:val="2"/>
          <w:vertAlign w:val="superscript"/>
          <w14:ligatures w14:val="standardContextual"/>
        </w:rPr>
        <w:footnoteReference w:id="29"/>
      </w:r>
    </w:p>
    <w:p w14:paraId="0F18836B" w14:textId="77777777" w:rsidR="002C14A3" w:rsidRPr="00564A3B" w:rsidRDefault="002C14A3" w:rsidP="00742459">
      <w:pPr>
        <w:spacing w:before="24" w:after="24"/>
        <w:rPr>
          <w:rFonts w:ascii="Verdana" w:hAnsi="Verdana"/>
        </w:rPr>
      </w:pPr>
    </w:p>
    <w:p w14:paraId="0BEDFDC6" w14:textId="61297D65" w:rsidR="00484DA1" w:rsidRPr="00564A3B" w:rsidRDefault="002C14A3">
      <w:pPr>
        <w:pStyle w:val="ListParagraph"/>
        <w:numPr>
          <w:ilvl w:val="1"/>
          <w:numId w:val="1"/>
        </w:numPr>
        <w:spacing w:before="24" w:after="24" w:line="360" w:lineRule="auto"/>
        <w:rPr>
          <w:rFonts w:ascii="Verdana" w:hAnsi="Verdana"/>
        </w:rPr>
      </w:pPr>
      <w:r w:rsidRPr="00564A3B">
        <w:rPr>
          <w:rFonts w:ascii="Verdana" w:hAnsi="Verdana"/>
        </w:rPr>
        <w:t xml:space="preserve">The PANEL principles </w:t>
      </w:r>
      <w:r w:rsidR="00703205" w:rsidRPr="00564A3B">
        <w:rPr>
          <w:rFonts w:ascii="Verdana" w:hAnsi="Verdana"/>
        </w:rPr>
        <w:t>can</w:t>
      </w:r>
      <w:r w:rsidR="00D63FEB" w:rsidRPr="00564A3B">
        <w:rPr>
          <w:rFonts w:ascii="Verdana" w:hAnsi="Verdana"/>
        </w:rPr>
        <w:t xml:space="preserve"> also</w:t>
      </w:r>
      <w:r w:rsidRPr="00564A3B">
        <w:rPr>
          <w:rFonts w:ascii="Verdana" w:hAnsi="Verdana"/>
        </w:rPr>
        <w:t xml:space="preserve"> be used as a guide to developing a human rights-based approach in practice. </w:t>
      </w:r>
      <w:r w:rsidR="00576C76" w:rsidRPr="00564A3B">
        <w:rPr>
          <w:rFonts w:ascii="Verdana" w:hAnsi="Verdana"/>
        </w:rPr>
        <w:t>Th</w:t>
      </w:r>
      <w:r w:rsidR="00B619D7" w:rsidRPr="00564A3B">
        <w:rPr>
          <w:rFonts w:ascii="Verdana" w:hAnsi="Verdana"/>
        </w:rPr>
        <w:t>ese principles</w:t>
      </w:r>
      <w:r w:rsidR="00576C76" w:rsidRPr="00564A3B">
        <w:rPr>
          <w:rFonts w:ascii="Verdana" w:hAnsi="Verdana"/>
        </w:rPr>
        <w:t xml:space="preserve"> </w:t>
      </w:r>
      <w:r w:rsidR="00B619D7" w:rsidRPr="00564A3B">
        <w:rPr>
          <w:rFonts w:ascii="Verdana" w:hAnsi="Verdana"/>
        </w:rPr>
        <w:t>are</w:t>
      </w:r>
      <w:r w:rsidR="006F7DE0" w:rsidRPr="00564A3B">
        <w:rPr>
          <w:rFonts w:ascii="Verdana" w:hAnsi="Verdana"/>
        </w:rPr>
        <w:t>:</w:t>
      </w:r>
      <w:r w:rsidRPr="00564A3B">
        <w:rPr>
          <w:rFonts w:ascii="Verdana" w:hAnsi="Verdana"/>
        </w:rPr>
        <w:t xml:space="preserve"> </w:t>
      </w:r>
    </w:p>
    <w:p w14:paraId="442D57B1" w14:textId="77777777" w:rsidR="00484DA1" w:rsidRPr="00564A3B" w:rsidRDefault="00484DA1" w:rsidP="00484DA1">
      <w:pPr>
        <w:pStyle w:val="ListParagraph"/>
        <w:rPr>
          <w:rFonts w:ascii="Verdana" w:hAnsi="Verdana"/>
        </w:rPr>
      </w:pPr>
    </w:p>
    <w:p w14:paraId="38D9DA31" w14:textId="1EF5B6F3" w:rsidR="00484DA1" w:rsidRPr="00564A3B" w:rsidRDefault="002C14A3">
      <w:pPr>
        <w:pStyle w:val="ListParagraph"/>
        <w:numPr>
          <w:ilvl w:val="0"/>
          <w:numId w:val="8"/>
        </w:numPr>
        <w:spacing w:before="24" w:after="24" w:line="360" w:lineRule="auto"/>
        <w:rPr>
          <w:rFonts w:ascii="Verdana" w:hAnsi="Verdana"/>
        </w:rPr>
      </w:pPr>
      <w:r w:rsidRPr="00564A3B">
        <w:rPr>
          <w:rFonts w:ascii="Verdana" w:hAnsi="Verdana"/>
          <w:b/>
          <w:bCs/>
        </w:rPr>
        <w:t>P</w:t>
      </w:r>
      <w:r w:rsidRPr="00564A3B">
        <w:rPr>
          <w:rFonts w:ascii="Verdana" w:hAnsi="Verdana"/>
        </w:rPr>
        <w:t xml:space="preserve">articipation </w:t>
      </w:r>
      <w:r w:rsidR="00576C76" w:rsidRPr="00564A3B">
        <w:rPr>
          <w:rFonts w:ascii="Verdana" w:hAnsi="Verdana"/>
        </w:rPr>
        <w:t xml:space="preserve">– </w:t>
      </w:r>
      <w:r w:rsidRPr="00564A3B">
        <w:rPr>
          <w:rFonts w:ascii="Verdana" w:hAnsi="Verdana"/>
        </w:rPr>
        <w:t xml:space="preserve">provides that people should be involved in decisions that affect their rights. </w:t>
      </w:r>
    </w:p>
    <w:p w14:paraId="53785800" w14:textId="77777777" w:rsidR="00B619D7" w:rsidRPr="00564A3B" w:rsidRDefault="00B619D7" w:rsidP="00B619D7">
      <w:pPr>
        <w:pStyle w:val="ListParagraph"/>
        <w:spacing w:before="24" w:after="24" w:line="360" w:lineRule="auto"/>
        <w:ind w:left="1440"/>
        <w:rPr>
          <w:rFonts w:ascii="Verdana" w:hAnsi="Verdana"/>
        </w:rPr>
      </w:pPr>
    </w:p>
    <w:p w14:paraId="0E0216A7" w14:textId="4AD4DC07" w:rsidR="00484DA1" w:rsidRPr="00564A3B" w:rsidRDefault="002C14A3">
      <w:pPr>
        <w:pStyle w:val="ListParagraph"/>
        <w:numPr>
          <w:ilvl w:val="0"/>
          <w:numId w:val="8"/>
        </w:numPr>
        <w:spacing w:before="24" w:after="24" w:line="360" w:lineRule="auto"/>
        <w:rPr>
          <w:rFonts w:ascii="Verdana" w:hAnsi="Verdana"/>
        </w:rPr>
      </w:pPr>
      <w:r w:rsidRPr="00564A3B">
        <w:rPr>
          <w:rFonts w:ascii="Verdana" w:hAnsi="Verdana"/>
          <w:b/>
          <w:bCs/>
        </w:rPr>
        <w:t>A</w:t>
      </w:r>
      <w:r w:rsidRPr="00564A3B">
        <w:rPr>
          <w:rFonts w:ascii="Verdana" w:hAnsi="Verdana"/>
        </w:rPr>
        <w:t>ccountability</w:t>
      </w:r>
      <w:r w:rsidR="00576C76" w:rsidRPr="00564A3B">
        <w:rPr>
          <w:rFonts w:ascii="Verdana" w:hAnsi="Verdana"/>
        </w:rPr>
        <w:t xml:space="preserve"> –</w:t>
      </w:r>
      <w:r w:rsidRPr="00564A3B">
        <w:rPr>
          <w:rFonts w:ascii="Verdana" w:hAnsi="Verdana"/>
        </w:rPr>
        <w:t xml:space="preserve"> provides that there should be monitoring of how people’s rights are being affected, as well as remedies when things go wrong. </w:t>
      </w:r>
    </w:p>
    <w:p w14:paraId="6309E530" w14:textId="77777777" w:rsidR="00B619D7" w:rsidRPr="00564A3B" w:rsidRDefault="00B619D7" w:rsidP="00B619D7">
      <w:pPr>
        <w:spacing w:before="24" w:after="24" w:line="360" w:lineRule="auto"/>
        <w:rPr>
          <w:rFonts w:ascii="Verdana" w:hAnsi="Verdana"/>
        </w:rPr>
      </w:pPr>
    </w:p>
    <w:p w14:paraId="7E344646" w14:textId="4DAD6129" w:rsidR="00484DA1" w:rsidRPr="00564A3B" w:rsidRDefault="002C14A3">
      <w:pPr>
        <w:pStyle w:val="ListParagraph"/>
        <w:numPr>
          <w:ilvl w:val="0"/>
          <w:numId w:val="8"/>
        </w:numPr>
        <w:spacing w:before="24" w:after="24" w:line="360" w:lineRule="auto"/>
        <w:rPr>
          <w:rFonts w:ascii="Verdana" w:hAnsi="Verdana"/>
        </w:rPr>
      </w:pPr>
      <w:r w:rsidRPr="00564A3B">
        <w:rPr>
          <w:rFonts w:ascii="Verdana" w:hAnsi="Verdana"/>
          <w:b/>
          <w:bCs/>
        </w:rPr>
        <w:t>N</w:t>
      </w:r>
      <w:r w:rsidRPr="00564A3B">
        <w:rPr>
          <w:rFonts w:ascii="Verdana" w:hAnsi="Verdana"/>
        </w:rPr>
        <w:t xml:space="preserve">on-Discrimination and Equality </w:t>
      </w:r>
      <w:r w:rsidR="00576C76" w:rsidRPr="00564A3B">
        <w:rPr>
          <w:rFonts w:ascii="Verdana" w:hAnsi="Verdana"/>
        </w:rPr>
        <w:t xml:space="preserve">– </w:t>
      </w:r>
      <w:r w:rsidRPr="00564A3B">
        <w:rPr>
          <w:rFonts w:ascii="Verdana" w:hAnsi="Verdana"/>
        </w:rPr>
        <w:t xml:space="preserve">ensures that all forms of discrimination must be prohibited, prevented and eliminated and that people who face the biggest barriers to realising their rights should be prioritised. </w:t>
      </w:r>
    </w:p>
    <w:p w14:paraId="0F752EB3" w14:textId="77777777" w:rsidR="00B619D7" w:rsidRPr="00564A3B" w:rsidRDefault="00B619D7" w:rsidP="00B619D7">
      <w:pPr>
        <w:spacing w:before="24" w:after="24" w:line="360" w:lineRule="auto"/>
        <w:rPr>
          <w:rFonts w:ascii="Verdana" w:hAnsi="Verdana"/>
        </w:rPr>
      </w:pPr>
    </w:p>
    <w:p w14:paraId="530D8E94" w14:textId="61CA865C" w:rsidR="00484DA1" w:rsidRPr="00564A3B" w:rsidRDefault="002C14A3">
      <w:pPr>
        <w:pStyle w:val="ListParagraph"/>
        <w:numPr>
          <w:ilvl w:val="0"/>
          <w:numId w:val="8"/>
        </w:numPr>
        <w:spacing w:before="24" w:after="24" w:line="360" w:lineRule="auto"/>
        <w:rPr>
          <w:rFonts w:ascii="Verdana" w:hAnsi="Verdana"/>
        </w:rPr>
      </w:pPr>
      <w:r w:rsidRPr="00564A3B">
        <w:rPr>
          <w:rFonts w:ascii="Verdana" w:hAnsi="Verdana"/>
          <w:b/>
          <w:bCs/>
        </w:rPr>
        <w:t>E</w:t>
      </w:r>
      <w:r w:rsidRPr="00564A3B">
        <w:rPr>
          <w:rFonts w:ascii="Verdana" w:hAnsi="Verdana"/>
        </w:rPr>
        <w:t>mpowerment</w:t>
      </w:r>
      <w:r w:rsidR="00576C76" w:rsidRPr="00564A3B">
        <w:rPr>
          <w:rFonts w:ascii="Verdana" w:hAnsi="Verdana"/>
        </w:rPr>
        <w:t xml:space="preserve"> –</w:t>
      </w:r>
      <w:r w:rsidRPr="00564A3B">
        <w:rPr>
          <w:rFonts w:ascii="Verdana" w:hAnsi="Verdana"/>
        </w:rPr>
        <w:t xml:space="preserve"> provides that everyone should understand their rights and be fully supported to take part in developing policy and practices which affect their lives. </w:t>
      </w:r>
    </w:p>
    <w:p w14:paraId="3176AB87" w14:textId="77777777" w:rsidR="00B619D7" w:rsidRPr="00564A3B" w:rsidRDefault="00B619D7" w:rsidP="00B619D7">
      <w:pPr>
        <w:pStyle w:val="ListParagraph"/>
        <w:rPr>
          <w:rFonts w:ascii="Verdana" w:hAnsi="Verdana"/>
        </w:rPr>
      </w:pPr>
    </w:p>
    <w:p w14:paraId="31916259" w14:textId="77777777" w:rsidR="00B619D7" w:rsidRPr="00564A3B" w:rsidRDefault="00B619D7" w:rsidP="00B619D7">
      <w:pPr>
        <w:spacing w:before="24" w:after="24" w:line="360" w:lineRule="auto"/>
        <w:rPr>
          <w:rFonts w:ascii="Verdana" w:hAnsi="Verdana"/>
        </w:rPr>
      </w:pPr>
    </w:p>
    <w:p w14:paraId="6F8C238E" w14:textId="1885B3EB" w:rsidR="00710152" w:rsidRPr="00564A3B" w:rsidRDefault="002C14A3">
      <w:pPr>
        <w:pStyle w:val="ListParagraph"/>
        <w:numPr>
          <w:ilvl w:val="0"/>
          <w:numId w:val="8"/>
        </w:numPr>
        <w:spacing w:before="24" w:after="24" w:line="360" w:lineRule="auto"/>
        <w:rPr>
          <w:rFonts w:ascii="Verdana" w:hAnsi="Verdana"/>
        </w:rPr>
      </w:pPr>
      <w:r w:rsidRPr="00564A3B">
        <w:rPr>
          <w:rFonts w:ascii="Verdana" w:hAnsi="Verdana"/>
          <w:b/>
          <w:bCs/>
        </w:rPr>
        <w:lastRenderedPageBreak/>
        <w:t>L</w:t>
      </w:r>
      <w:r w:rsidRPr="00564A3B">
        <w:rPr>
          <w:rFonts w:ascii="Verdana" w:hAnsi="Verdana"/>
        </w:rPr>
        <w:t>egality</w:t>
      </w:r>
      <w:r w:rsidR="00576C76" w:rsidRPr="00564A3B">
        <w:rPr>
          <w:rFonts w:ascii="Verdana" w:hAnsi="Verdana"/>
        </w:rPr>
        <w:t xml:space="preserve"> –</w:t>
      </w:r>
      <w:r w:rsidRPr="00564A3B">
        <w:rPr>
          <w:rFonts w:ascii="Verdana" w:hAnsi="Verdana"/>
        </w:rPr>
        <w:t xml:space="preserve"> provides that approaches should be grounded in the legal rights that are set out in domestic and international laws.</w:t>
      </w:r>
      <w:r w:rsidRPr="00564A3B">
        <w:rPr>
          <w:rFonts w:ascii="Verdana" w:hAnsi="Verdana"/>
          <w:vertAlign w:val="superscript"/>
        </w:rPr>
        <w:footnoteReference w:id="30"/>
      </w:r>
    </w:p>
    <w:p w14:paraId="11E3935A" w14:textId="77777777" w:rsidR="006B4C56" w:rsidRPr="00564A3B" w:rsidRDefault="006B4C56" w:rsidP="006B4C56">
      <w:pPr>
        <w:pStyle w:val="ListParagraph"/>
        <w:spacing w:line="360" w:lineRule="auto"/>
        <w:rPr>
          <w:rFonts w:ascii="Verdana" w:hAnsi="Verdana"/>
        </w:rPr>
      </w:pPr>
    </w:p>
    <w:p w14:paraId="62989F1D" w14:textId="6625476B" w:rsidR="006B4C56" w:rsidRPr="00564A3B" w:rsidRDefault="006B4C56">
      <w:pPr>
        <w:pStyle w:val="ListParagraph"/>
        <w:numPr>
          <w:ilvl w:val="1"/>
          <w:numId w:val="1"/>
        </w:numPr>
        <w:spacing w:before="24" w:after="24" w:line="360" w:lineRule="auto"/>
        <w:rPr>
          <w:rFonts w:ascii="Verdana" w:hAnsi="Verdana"/>
          <w:b/>
        </w:rPr>
      </w:pPr>
      <w:r w:rsidRPr="00564A3B">
        <w:rPr>
          <w:rFonts w:ascii="Verdana" w:hAnsi="Verdana"/>
          <w:b/>
        </w:rPr>
        <w:t xml:space="preserve">The NIHRC recommends </w:t>
      </w:r>
      <w:r w:rsidRPr="00564A3B" w:rsidDel="00586D27">
        <w:rPr>
          <w:rFonts w:ascii="Verdana" w:hAnsi="Verdana"/>
          <w:b/>
        </w:rPr>
        <w:t>that</w:t>
      </w:r>
      <w:r w:rsidRPr="00564A3B">
        <w:rPr>
          <w:rFonts w:ascii="Verdana" w:hAnsi="Verdana"/>
          <w:b/>
        </w:rPr>
        <w:t xml:space="preserve"> </w:t>
      </w:r>
      <w:r w:rsidR="002C2F6F" w:rsidRPr="00564A3B">
        <w:rPr>
          <w:rFonts w:ascii="Verdana" w:hAnsi="Verdana"/>
          <w:b/>
        </w:rPr>
        <w:t xml:space="preserve">a </w:t>
      </w:r>
      <w:r w:rsidRPr="00564A3B">
        <w:rPr>
          <w:rFonts w:ascii="Verdana" w:hAnsi="Verdana"/>
          <w:b/>
        </w:rPr>
        <w:t xml:space="preserve">statement </w:t>
      </w:r>
      <w:r w:rsidR="006041B4" w:rsidRPr="00564A3B">
        <w:rPr>
          <w:rFonts w:ascii="Verdana" w:hAnsi="Verdana"/>
          <w:b/>
        </w:rPr>
        <w:t xml:space="preserve">is included that makes it clear that </w:t>
      </w:r>
      <w:r w:rsidR="007477A1" w:rsidRPr="00564A3B">
        <w:rPr>
          <w:rFonts w:ascii="Verdana" w:hAnsi="Verdana"/>
          <w:b/>
        </w:rPr>
        <w:t>the strategy is adopting a</w:t>
      </w:r>
      <w:r w:rsidR="006041B4" w:rsidRPr="00564A3B">
        <w:rPr>
          <w:rFonts w:ascii="Verdana" w:hAnsi="Verdana"/>
          <w:b/>
        </w:rPr>
        <w:t xml:space="preserve"> </w:t>
      </w:r>
      <w:r w:rsidRPr="00564A3B">
        <w:rPr>
          <w:rFonts w:ascii="Verdana" w:hAnsi="Verdana"/>
          <w:b/>
        </w:rPr>
        <w:t xml:space="preserve">human rights-based approach, which includes </w:t>
      </w:r>
      <w:r w:rsidR="007742FF" w:rsidRPr="00564A3B">
        <w:rPr>
          <w:rFonts w:ascii="Verdana" w:hAnsi="Verdana"/>
          <w:b/>
        </w:rPr>
        <w:t xml:space="preserve">compliance with </w:t>
      </w:r>
      <w:r w:rsidR="003607BC" w:rsidRPr="00564A3B">
        <w:rPr>
          <w:rFonts w:ascii="Verdana" w:hAnsi="Verdana"/>
          <w:b/>
        </w:rPr>
        <w:t xml:space="preserve">Windsor Framework </w:t>
      </w:r>
      <w:r w:rsidRPr="00564A3B">
        <w:rPr>
          <w:rFonts w:ascii="Verdana" w:hAnsi="Verdana"/>
          <w:b/>
        </w:rPr>
        <w:t>Article 2.</w:t>
      </w:r>
    </w:p>
    <w:p w14:paraId="141CF6F3" w14:textId="77777777" w:rsidR="006B4C56" w:rsidRPr="00564A3B" w:rsidRDefault="006B4C56" w:rsidP="006B4C56">
      <w:pPr>
        <w:pStyle w:val="ListParagraph"/>
        <w:rPr>
          <w:rFonts w:ascii="Verdana" w:hAnsi="Verdana"/>
          <w:b/>
        </w:rPr>
      </w:pPr>
    </w:p>
    <w:p w14:paraId="363A92D5" w14:textId="018655B8" w:rsidR="006B4C56" w:rsidRPr="00564A3B" w:rsidRDefault="006B4C56">
      <w:pPr>
        <w:pStyle w:val="ListParagraph"/>
        <w:numPr>
          <w:ilvl w:val="1"/>
          <w:numId w:val="1"/>
        </w:numPr>
        <w:spacing w:before="24" w:after="24" w:line="360" w:lineRule="auto"/>
        <w:rPr>
          <w:rFonts w:ascii="Verdana" w:hAnsi="Verdana"/>
          <w:b/>
        </w:rPr>
      </w:pPr>
      <w:r w:rsidRPr="00564A3B">
        <w:rPr>
          <w:rFonts w:ascii="Verdana" w:hAnsi="Verdana"/>
          <w:b/>
        </w:rPr>
        <w:t xml:space="preserve">The NIHRC recommends that </w:t>
      </w:r>
      <w:r w:rsidR="007477A1" w:rsidRPr="00564A3B">
        <w:rPr>
          <w:rFonts w:ascii="Verdana" w:hAnsi="Verdana"/>
          <w:b/>
        </w:rPr>
        <w:t xml:space="preserve">all relevant </w:t>
      </w:r>
      <w:r w:rsidRPr="00564A3B">
        <w:rPr>
          <w:rFonts w:ascii="Verdana" w:hAnsi="Verdana"/>
          <w:b/>
        </w:rPr>
        <w:t>human rights standards</w:t>
      </w:r>
      <w:r w:rsidR="00271A91" w:rsidRPr="00564A3B">
        <w:rPr>
          <w:rFonts w:ascii="Verdana" w:hAnsi="Verdana"/>
          <w:b/>
        </w:rPr>
        <w:t xml:space="preserve"> </w:t>
      </w:r>
      <w:r w:rsidRPr="00564A3B">
        <w:rPr>
          <w:rFonts w:ascii="Verdana" w:hAnsi="Verdana"/>
          <w:b/>
        </w:rPr>
        <w:t xml:space="preserve">are embedded into the strategy’s priorities. </w:t>
      </w:r>
    </w:p>
    <w:p w14:paraId="001FC4F5" w14:textId="77777777" w:rsidR="006B4C56" w:rsidRPr="00564A3B" w:rsidRDefault="006B4C56" w:rsidP="006B4C56">
      <w:pPr>
        <w:pStyle w:val="ListParagraph"/>
        <w:rPr>
          <w:rFonts w:ascii="Verdana" w:hAnsi="Verdana"/>
          <w:b/>
        </w:rPr>
      </w:pPr>
    </w:p>
    <w:p w14:paraId="5DD39ABB" w14:textId="545EA01B" w:rsidR="006B4C56" w:rsidRPr="00564A3B" w:rsidRDefault="006B4C56">
      <w:pPr>
        <w:pStyle w:val="ListParagraph"/>
        <w:numPr>
          <w:ilvl w:val="1"/>
          <w:numId w:val="1"/>
        </w:numPr>
        <w:spacing w:before="24" w:after="24" w:line="360" w:lineRule="auto"/>
        <w:rPr>
          <w:rFonts w:ascii="Verdana" w:hAnsi="Verdana"/>
          <w:b/>
        </w:rPr>
      </w:pPr>
      <w:r w:rsidRPr="00564A3B">
        <w:rPr>
          <w:rFonts w:ascii="Verdana" w:hAnsi="Verdana"/>
          <w:b/>
          <w:bCs/>
        </w:rPr>
        <w:t>The NIHRC recommends that the Department</w:t>
      </w:r>
      <w:r w:rsidR="00100A11" w:rsidRPr="00564A3B">
        <w:rPr>
          <w:rFonts w:ascii="Verdana" w:hAnsi="Verdana"/>
          <w:b/>
          <w:bCs/>
        </w:rPr>
        <w:t xml:space="preserve"> of Health and Department of Justice</w:t>
      </w:r>
      <w:r w:rsidRPr="00564A3B">
        <w:rPr>
          <w:rFonts w:ascii="Verdana" w:hAnsi="Verdana"/>
          <w:b/>
          <w:bCs/>
        </w:rPr>
        <w:t xml:space="preserve"> undertake a </w:t>
      </w:r>
      <w:r w:rsidR="0042640B" w:rsidRPr="00564A3B">
        <w:rPr>
          <w:rFonts w:ascii="Verdana" w:hAnsi="Verdana"/>
          <w:b/>
          <w:bCs/>
        </w:rPr>
        <w:t xml:space="preserve">human rights </w:t>
      </w:r>
      <w:r w:rsidRPr="00564A3B">
        <w:rPr>
          <w:rFonts w:ascii="Verdana" w:hAnsi="Verdana"/>
          <w:b/>
          <w:bCs/>
        </w:rPr>
        <w:t>training needs analysis</w:t>
      </w:r>
      <w:r w:rsidR="00BE38FC" w:rsidRPr="00564A3B">
        <w:rPr>
          <w:rFonts w:ascii="Verdana" w:hAnsi="Verdana"/>
          <w:b/>
          <w:bCs/>
        </w:rPr>
        <w:t>. This should be</w:t>
      </w:r>
      <w:r w:rsidR="00253978" w:rsidRPr="00564A3B">
        <w:rPr>
          <w:rFonts w:ascii="Verdana" w:hAnsi="Verdana"/>
          <w:b/>
          <w:bCs/>
        </w:rPr>
        <w:t xml:space="preserve"> utilised</w:t>
      </w:r>
      <w:r w:rsidRPr="00564A3B">
        <w:rPr>
          <w:rFonts w:ascii="Verdana" w:hAnsi="Verdana"/>
          <w:b/>
          <w:bCs/>
        </w:rPr>
        <w:t xml:space="preserve"> to develop the necessary training </w:t>
      </w:r>
      <w:r w:rsidR="00FD6386" w:rsidRPr="00564A3B">
        <w:rPr>
          <w:rFonts w:ascii="Verdana" w:hAnsi="Verdana"/>
          <w:b/>
          <w:bCs/>
        </w:rPr>
        <w:t>to ensure a human rights</w:t>
      </w:r>
      <w:r w:rsidR="00BE38FC" w:rsidRPr="00564A3B">
        <w:rPr>
          <w:rFonts w:ascii="Verdana" w:hAnsi="Verdana"/>
          <w:b/>
          <w:bCs/>
        </w:rPr>
        <w:t>-</w:t>
      </w:r>
      <w:r w:rsidR="00FD6386" w:rsidRPr="00564A3B">
        <w:rPr>
          <w:rFonts w:ascii="Verdana" w:hAnsi="Verdana"/>
          <w:b/>
          <w:bCs/>
        </w:rPr>
        <w:t>based approach</w:t>
      </w:r>
      <w:r w:rsidR="000366F1" w:rsidRPr="00564A3B">
        <w:rPr>
          <w:rFonts w:ascii="Verdana" w:hAnsi="Verdana"/>
          <w:b/>
          <w:bCs/>
        </w:rPr>
        <w:t>, guided by the PANEL principles,</w:t>
      </w:r>
      <w:r w:rsidR="00FD6386" w:rsidRPr="00564A3B">
        <w:rPr>
          <w:rFonts w:ascii="Verdana" w:hAnsi="Verdana"/>
          <w:b/>
          <w:bCs/>
        </w:rPr>
        <w:t xml:space="preserve"> is at the foundation in</w:t>
      </w:r>
      <w:r w:rsidRPr="00564A3B">
        <w:rPr>
          <w:rFonts w:ascii="Verdana" w:hAnsi="Verdana"/>
          <w:b/>
        </w:rPr>
        <w:t xml:space="preserve"> drafting, </w:t>
      </w:r>
      <w:r w:rsidR="00FD6386" w:rsidRPr="00564A3B">
        <w:rPr>
          <w:rFonts w:ascii="Verdana" w:hAnsi="Verdana"/>
          <w:b/>
        </w:rPr>
        <w:t>implementing</w:t>
      </w:r>
      <w:r w:rsidRPr="00564A3B">
        <w:rPr>
          <w:rFonts w:ascii="Verdana" w:hAnsi="Verdana"/>
          <w:b/>
        </w:rPr>
        <w:t xml:space="preserve">, monitoring and </w:t>
      </w:r>
      <w:r w:rsidR="00FD6386" w:rsidRPr="00564A3B">
        <w:rPr>
          <w:rFonts w:ascii="Verdana" w:hAnsi="Verdana"/>
          <w:b/>
        </w:rPr>
        <w:t xml:space="preserve">evaluating </w:t>
      </w:r>
      <w:r w:rsidR="00710626" w:rsidRPr="00564A3B">
        <w:rPr>
          <w:rFonts w:ascii="Verdana" w:hAnsi="Verdana"/>
          <w:b/>
        </w:rPr>
        <w:t xml:space="preserve">the </w:t>
      </w:r>
      <w:r w:rsidRPr="00564A3B">
        <w:rPr>
          <w:rFonts w:ascii="Verdana" w:hAnsi="Verdana"/>
          <w:b/>
        </w:rPr>
        <w:t>strategy.</w:t>
      </w:r>
    </w:p>
    <w:p w14:paraId="7554CD4B" w14:textId="77777777" w:rsidR="006B4C56" w:rsidRPr="00564A3B" w:rsidRDefault="006B4C56" w:rsidP="00445468">
      <w:pPr>
        <w:rPr>
          <w:rFonts w:ascii="Verdana" w:hAnsi="Verdana"/>
        </w:rPr>
      </w:pPr>
    </w:p>
    <w:p w14:paraId="6891E86B" w14:textId="3FB63C44" w:rsidR="00E66A54" w:rsidRPr="00564A3B" w:rsidRDefault="006B4C56" w:rsidP="00253978">
      <w:pPr>
        <w:pStyle w:val="Heading2"/>
      </w:pPr>
      <w:bookmarkStart w:id="6" w:name="_Toc133586121"/>
      <w:r w:rsidRPr="00564A3B">
        <w:t>Gender-sensitive approach</w:t>
      </w:r>
      <w:bookmarkEnd w:id="6"/>
      <w:r w:rsidRPr="00564A3B">
        <w:t xml:space="preserve"> </w:t>
      </w:r>
    </w:p>
    <w:p w14:paraId="53F5A725" w14:textId="1482E504" w:rsidR="005441D4" w:rsidRPr="00564A3B" w:rsidRDefault="00F61662">
      <w:pPr>
        <w:pStyle w:val="ListParagraph"/>
        <w:numPr>
          <w:ilvl w:val="1"/>
          <w:numId w:val="1"/>
        </w:numPr>
        <w:spacing w:line="360" w:lineRule="auto"/>
        <w:jc w:val="both"/>
        <w:rPr>
          <w:rFonts w:ascii="Verdana" w:hAnsi="Verdana"/>
        </w:rPr>
      </w:pPr>
      <w:r w:rsidRPr="00564A3B">
        <w:rPr>
          <w:rFonts w:ascii="Verdana" w:hAnsi="Verdana"/>
        </w:rPr>
        <w:t>Human rights law requires that an individual’s specific characteristics or needs are taken into account and that, where necessary, positive action or special measures are taken to ensure that individual is not discriminated against.</w:t>
      </w:r>
      <w:r w:rsidR="00AB46EB" w:rsidRPr="00564A3B">
        <w:rPr>
          <w:rStyle w:val="FootnoteReference"/>
          <w:rFonts w:ascii="Verdana" w:hAnsi="Verdana"/>
        </w:rPr>
        <w:footnoteReference w:id="31"/>
      </w:r>
      <w:r w:rsidRPr="00564A3B">
        <w:rPr>
          <w:rFonts w:ascii="Verdana" w:hAnsi="Verdana"/>
        </w:rPr>
        <w:t xml:space="preserve"> </w:t>
      </w:r>
    </w:p>
    <w:p w14:paraId="716BDF1E" w14:textId="77777777" w:rsidR="005255D7" w:rsidRPr="00564A3B" w:rsidRDefault="005255D7" w:rsidP="005255D7">
      <w:pPr>
        <w:pStyle w:val="ListParagraph"/>
        <w:spacing w:line="360" w:lineRule="auto"/>
        <w:jc w:val="both"/>
        <w:rPr>
          <w:rFonts w:ascii="Verdana" w:hAnsi="Verdana"/>
        </w:rPr>
      </w:pPr>
    </w:p>
    <w:p w14:paraId="069C6ED7" w14:textId="7D5F2ACC" w:rsidR="005441D4" w:rsidRPr="00564A3B" w:rsidRDefault="005441D4">
      <w:pPr>
        <w:pStyle w:val="ListParagraph"/>
        <w:widowControl w:val="0"/>
        <w:numPr>
          <w:ilvl w:val="1"/>
          <w:numId w:val="1"/>
        </w:numPr>
        <w:suppressAutoHyphens/>
        <w:autoSpaceDE w:val="0"/>
        <w:autoSpaceDN w:val="0"/>
        <w:adjustRightInd w:val="0"/>
        <w:spacing w:before="24" w:after="24" w:line="360" w:lineRule="auto"/>
        <w:textAlignment w:val="center"/>
        <w:rPr>
          <w:rFonts w:ascii="Verdana" w:hAnsi="Verdana" w:cs="MinionPro-Regular"/>
          <w:color w:val="000000"/>
        </w:rPr>
      </w:pPr>
      <w:r w:rsidRPr="00564A3B">
        <w:rPr>
          <w:rFonts w:ascii="Verdana" w:hAnsi="Verdana" w:cs="MinionPro-Regular"/>
          <w:color w:val="000000"/>
        </w:rPr>
        <w:t>Article 14 ECHR protects against discrimination in the enjoyment of another ECHR right on any ground such as sex, race, colour, language, religion, political or other opinion, national or social origin, association with a national minority, property, birth or other status. Domestic and sexual abuse affect women and girls disproportionately.</w:t>
      </w:r>
      <w:r w:rsidRPr="00564A3B">
        <w:rPr>
          <w:rFonts w:ascii="Verdana" w:hAnsi="Verdana"/>
          <w:vertAlign w:val="superscript"/>
        </w:rPr>
        <w:footnoteReference w:id="32"/>
      </w:r>
      <w:r w:rsidRPr="00564A3B">
        <w:rPr>
          <w:rFonts w:ascii="Verdana" w:hAnsi="Verdana" w:cs="MinionPro-Regular"/>
          <w:color w:val="000000"/>
        </w:rPr>
        <w:t xml:space="preserve"> Therefore, in respect of </w:t>
      </w:r>
      <w:r w:rsidRPr="00564A3B">
        <w:rPr>
          <w:rFonts w:ascii="Verdana" w:hAnsi="Verdana" w:cs="MinionPro-Regular"/>
          <w:color w:val="000000"/>
        </w:rPr>
        <w:lastRenderedPageBreak/>
        <w:t xml:space="preserve">the enjoyment of </w:t>
      </w:r>
      <w:r w:rsidR="009074E2" w:rsidRPr="00564A3B">
        <w:rPr>
          <w:rFonts w:ascii="Verdana" w:hAnsi="Verdana" w:cs="MinionPro-Regular"/>
          <w:color w:val="000000"/>
        </w:rPr>
        <w:t xml:space="preserve">substantive rights such as </w:t>
      </w:r>
      <w:r w:rsidRPr="00564A3B">
        <w:rPr>
          <w:rFonts w:ascii="Verdana" w:hAnsi="Verdana" w:cs="MinionPro-Regular"/>
          <w:color w:val="000000"/>
        </w:rPr>
        <w:t>Article 2</w:t>
      </w:r>
      <w:r w:rsidR="009074E2" w:rsidRPr="00564A3B">
        <w:rPr>
          <w:rFonts w:ascii="Verdana" w:hAnsi="Verdana" w:cs="MinionPro-Regular"/>
          <w:color w:val="000000"/>
        </w:rPr>
        <w:t xml:space="preserve"> (right to life)</w:t>
      </w:r>
      <w:r w:rsidRPr="00564A3B">
        <w:rPr>
          <w:rFonts w:ascii="Verdana" w:hAnsi="Verdana" w:cs="MinionPro-Regular"/>
          <w:color w:val="000000"/>
        </w:rPr>
        <w:t>,</w:t>
      </w:r>
      <w:r w:rsidR="006F6119" w:rsidRPr="00564A3B">
        <w:rPr>
          <w:rStyle w:val="FootnoteReference"/>
          <w:rFonts w:ascii="Verdana" w:hAnsi="Verdana" w:cs="MinionPro-Regular"/>
          <w:color w:val="000000"/>
        </w:rPr>
        <w:footnoteReference w:id="33"/>
      </w:r>
      <w:r w:rsidRPr="00564A3B">
        <w:rPr>
          <w:rFonts w:ascii="Verdana" w:hAnsi="Verdana" w:cs="MinionPro-Regular"/>
          <w:color w:val="000000"/>
        </w:rPr>
        <w:t xml:space="preserve"> 3</w:t>
      </w:r>
      <w:r w:rsidR="009074E2" w:rsidRPr="00564A3B">
        <w:rPr>
          <w:rFonts w:ascii="Verdana" w:hAnsi="Verdana" w:cs="MinionPro-Regular"/>
          <w:color w:val="000000"/>
        </w:rPr>
        <w:t xml:space="preserve"> (freedom from torture)</w:t>
      </w:r>
      <w:r w:rsidR="006F6119" w:rsidRPr="00564A3B">
        <w:rPr>
          <w:rStyle w:val="FootnoteReference"/>
          <w:rFonts w:ascii="Verdana" w:hAnsi="Verdana" w:cs="MinionPro-Regular"/>
          <w:color w:val="000000"/>
        </w:rPr>
        <w:footnoteReference w:id="34"/>
      </w:r>
      <w:r w:rsidRPr="00564A3B">
        <w:rPr>
          <w:rFonts w:ascii="Verdana" w:hAnsi="Verdana" w:cs="MinionPro-Regular"/>
          <w:color w:val="000000"/>
        </w:rPr>
        <w:t xml:space="preserve"> and 8 </w:t>
      </w:r>
      <w:r w:rsidR="009074E2" w:rsidRPr="00564A3B">
        <w:rPr>
          <w:rFonts w:ascii="Verdana" w:hAnsi="Verdana" w:cs="MinionPro-Regular"/>
          <w:color w:val="000000"/>
        </w:rPr>
        <w:t>(</w:t>
      </w:r>
      <w:r w:rsidR="00B22E12" w:rsidRPr="00564A3B">
        <w:rPr>
          <w:rFonts w:ascii="Verdana" w:hAnsi="Verdana" w:cs="MinionPro-Regular"/>
          <w:color w:val="000000"/>
        </w:rPr>
        <w:t xml:space="preserve">right to physical and </w:t>
      </w:r>
      <w:r w:rsidR="006F6119" w:rsidRPr="00564A3B">
        <w:rPr>
          <w:rFonts w:ascii="Verdana" w:hAnsi="Verdana" w:cs="MinionPro-Regular"/>
          <w:color w:val="000000"/>
        </w:rPr>
        <w:t>psychological</w:t>
      </w:r>
      <w:r w:rsidR="00B22E12" w:rsidRPr="00564A3B">
        <w:rPr>
          <w:rFonts w:ascii="Verdana" w:hAnsi="Verdana" w:cs="MinionPro-Regular"/>
          <w:color w:val="000000"/>
        </w:rPr>
        <w:t xml:space="preserve"> integrity) </w:t>
      </w:r>
      <w:r w:rsidR="00A82BC5" w:rsidRPr="00564A3B">
        <w:rPr>
          <w:rFonts w:ascii="Verdana" w:hAnsi="Verdana" w:cs="MinionPro-Regular"/>
          <w:color w:val="000000"/>
        </w:rPr>
        <w:t xml:space="preserve">ECHR </w:t>
      </w:r>
      <w:r w:rsidRPr="00564A3B">
        <w:rPr>
          <w:rFonts w:ascii="Verdana" w:hAnsi="Verdana" w:cs="MinionPro-Regular"/>
          <w:color w:val="000000"/>
        </w:rPr>
        <w:t>rights,</w:t>
      </w:r>
      <w:r w:rsidR="006F6119" w:rsidRPr="00564A3B">
        <w:rPr>
          <w:rStyle w:val="FootnoteReference"/>
          <w:rFonts w:ascii="Verdana" w:hAnsi="Verdana" w:cs="MinionPro-Regular"/>
          <w:color w:val="000000"/>
        </w:rPr>
        <w:footnoteReference w:id="35"/>
      </w:r>
      <w:r w:rsidRPr="00564A3B">
        <w:rPr>
          <w:rFonts w:ascii="Verdana" w:hAnsi="Verdana" w:cs="MinionPro-Regular"/>
          <w:color w:val="000000"/>
        </w:rPr>
        <w:t xml:space="preserve"> Article 14 may also be engaged. In such cases, the State is obligated to identify and address the disproportionate, discriminatory impact of domestic and sexual abuse and gender-based violence.</w:t>
      </w:r>
      <w:r w:rsidRPr="00564A3B">
        <w:rPr>
          <w:rFonts w:ascii="Verdana" w:hAnsi="Verdana"/>
          <w:vertAlign w:val="superscript"/>
        </w:rPr>
        <w:footnoteReference w:id="36"/>
      </w:r>
    </w:p>
    <w:p w14:paraId="1092C1EE" w14:textId="77777777" w:rsidR="005441D4" w:rsidRPr="00564A3B" w:rsidRDefault="005441D4" w:rsidP="005441D4">
      <w:pPr>
        <w:pStyle w:val="ListParagraph"/>
        <w:spacing w:line="360" w:lineRule="auto"/>
        <w:jc w:val="both"/>
        <w:rPr>
          <w:rFonts w:ascii="Verdana" w:hAnsi="Verdana"/>
        </w:rPr>
      </w:pPr>
    </w:p>
    <w:p w14:paraId="2D4CDBB5" w14:textId="0120A099" w:rsidR="005441D4" w:rsidRPr="00564A3B" w:rsidRDefault="00F61662">
      <w:pPr>
        <w:pStyle w:val="ListParagraph"/>
        <w:numPr>
          <w:ilvl w:val="1"/>
          <w:numId w:val="1"/>
        </w:numPr>
        <w:spacing w:line="360" w:lineRule="auto"/>
        <w:jc w:val="both"/>
        <w:rPr>
          <w:rFonts w:ascii="Verdana" w:hAnsi="Verdana"/>
        </w:rPr>
      </w:pPr>
      <w:r w:rsidRPr="00564A3B">
        <w:rPr>
          <w:rFonts w:ascii="Verdana" w:hAnsi="Verdana"/>
        </w:rPr>
        <w:t>The ECtHR, considering Article 14 of the ECHR, found it not to be discriminatory to treat differently or “to correct ‘factual inequalities’”.</w:t>
      </w:r>
      <w:r w:rsidRPr="00564A3B">
        <w:rPr>
          <w:rStyle w:val="FootnoteReference"/>
          <w:rFonts w:ascii="Verdana" w:hAnsi="Verdana"/>
        </w:rPr>
        <w:footnoteReference w:id="37"/>
      </w:r>
      <w:r w:rsidRPr="00564A3B">
        <w:rPr>
          <w:rFonts w:ascii="Verdana" w:hAnsi="Verdana"/>
        </w:rPr>
        <w:t xml:space="preserve">  Indeed, “in certain circumstances a failure to attempt to correct inequality through different treatment may in itself” be discriminatory.</w:t>
      </w:r>
      <w:r w:rsidRPr="00564A3B">
        <w:rPr>
          <w:rStyle w:val="FootnoteReference"/>
          <w:rFonts w:ascii="Verdana" w:hAnsi="Verdana"/>
        </w:rPr>
        <w:footnoteReference w:id="38"/>
      </w:r>
      <w:r w:rsidRPr="00564A3B">
        <w:rPr>
          <w:rFonts w:ascii="Verdana" w:hAnsi="Verdana"/>
        </w:rPr>
        <w:t xml:space="preserve"> </w:t>
      </w:r>
    </w:p>
    <w:p w14:paraId="789575EF" w14:textId="77777777" w:rsidR="005441D4" w:rsidRPr="00564A3B" w:rsidRDefault="005441D4" w:rsidP="005441D4">
      <w:pPr>
        <w:pStyle w:val="ListParagraph"/>
        <w:rPr>
          <w:rFonts w:ascii="Verdana" w:hAnsi="Verdana" w:cs="Arial"/>
          <w:lang w:val="en-US"/>
        </w:rPr>
      </w:pPr>
    </w:p>
    <w:p w14:paraId="65B08950" w14:textId="1C0CACC6" w:rsidR="007324E6" w:rsidRPr="00564A3B" w:rsidRDefault="007324E6">
      <w:pPr>
        <w:pStyle w:val="ListParagraph"/>
        <w:numPr>
          <w:ilvl w:val="1"/>
          <w:numId w:val="1"/>
        </w:numPr>
        <w:spacing w:before="24" w:after="24" w:line="360" w:lineRule="auto"/>
        <w:rPr>
          <w:rFonts w:ascii="Verdana" w:hAnsi="Verdana" w:cs="Arial"/>
          <w:lang w:val="en-US"/>
        </w:rPr>
      </w:pPr>
      <w:r w:rsidRPr="00564A3B">
        <w:rPr>
          <w:rFonts w:ascii="Verdana" w:hAnsi="Verdana" w:cs="Arial"/>
          <w:lang w:val="en-US"/>
        </w:rPr>
        <w:t>The UN CAT Committee and UN CEDAW Committee have highlighted domestic and sexual abuse as a persistent issue in NI.</w:t>
      </w:r>
      <w:r w:rsidRPr="00564A3B">
        <w:rPr>
          <w:rFonts w:ascii="Verdana" w:hAnsi="Verdana"/>
          <w:vertAlign w:val="superscript"/>
          <w:lang w:val="en-US"/>
        </w:rPr>
        <w:footnoteReference w:id="39"/>
      </w:r>
      <w:r w:rsidRPr="00564A3B">
        <w:rPr>
          <w:rFonts w:ascii="Verdana" w:hAnsi="Verdana" w:cs="Arial"/>
          <w:lang w:val="en-US"/>
        </w:rPr>
        <w:t xml:space="preserve"> Both UN Committees have highlighted the disproportionate impact on women and girls and the need for gender sensitive policies to provide protection, prosecution and redress.</w:t>
      </w:r>
      <w:r w:rsidRPr="00564A3B">
        <w:rPr>
          <w:rFonts w:ascii="Verdana" w:hAnsi="Verdana"/>
          <w:vertAlign w:val="superscript"/>
          <w:lang w:val="en-US"/>
        </w:rPr>
        <w:footnoteReference w:id="40"/>
      </w:r>
    </w:p>
    <w:p w14:paraId="40909C34" w14:textId="77777777" w:rsidR="007324E6" w:rsidRPr="00564A3B" w:rsidRDefault="007324E6" w:rsidP="007324E6">
      <w:pPr>
        <w:pStyle w:val="ListParagraph"/>
        <w:rPr>
          <w:rFonts w:ascii="Verdana" w:hAnsi="Verdana"/>
        </w:rPr>
      </w:pPr>
    </w:p>
    <w:p w14:paraId="182ACE66" w14:textId="13D2A44D" w:rsidR="00D8639C" w:rsidRPr="00564A3B" w:rsidRDefault="00136920">
      <w:pPr>
        <w:pStyle w:val="ListParagraph"/>
        <w:numPr>
          <w:ilvl w:val="1"/>
          <w:numId w:val="1"/>
        </w:numPr>
        <w:spacing w:before="24" w:after="24" w:line="360" w:lineRule="auto"/>
        <w:rPr>
          <w:rFonts w:ascii="Verdana" w:hAnsi="Verdana"/>
        </w:rPr>
      </w:pPr>
      <w:r w:rsidRPr="00564A3B">
        <w:rPr>
          <w:rFonts w:ascii="Verdana" w:hAnsi="Verdana"/>
        </w:rPr>
        <w:t>In 2019, t</w:t>
      </w:r>
      <w:r w:rsidR="00D8639C" w:rsidRPr="00564A3B">
        <w:rPr>
          <w:rFonts w:ascii="Verdana" w:hAnsi="Verdana"/>
        </w:rPr>
        <w:t xml:space="preserve">he UN CEDAW Committee recommended that </w:t>
      </w:r>
      <w:r w:rsidR="00474000" w:rsidRPr="00564A3B">
        <w:rPr>
          <w:rFonts w:ascii="Verdana" w:hAnsi="Verdana"/>
        </w:rPr>
        <w:t xml:space="preserve">the </w:t>
      </w:r>
      <w:r w:rsidR="00D8639C" w:rsidRPr="00564A3B">
        <w:rPr>
          <w:rFonts w:ascii="Verdana" w:hAnsi="Verdana"/>
        </w:rPr>
        <w:t xml:space="preserve">UK Government and NI </w:t>
      </w:r>
      <w:r w:rsidR="00474000" w:rsidRPr="00564A3B">
        <w:rPr>
          <w:rFonts w:ascii="Verdana" w:hAnsi="Verdana"/>
        </w:rPr>
        <w:t xml:space="preserve">Executive </w:t>
      </w:r>
      <w:r w:rsidR="00D8639C" w:rsidRPr="00564A3B">
        <w:rPr>
          <w:rFonts w:ascii="Verdana" w:hAnsi="Verdana"/>
        </w:rPr>
        <w:t>ensure</w:t>
      </w:r>
      <w:r w:rsidR="00474000" w:rsidRPr="00564A3B">
        <w:rPr>
          <w:rFonts w:ascii="Verdana" w:hAnsi="Verdana"/>
        </w:rPr>
        <w:t>s</w:t>
      </w:r>
      <w:r w:rsidR="00D8639C" w:rsidRPr="00564A3B">
        <w:rPr>
          <w:rFonts w:ascii="Verdana" w:hAnsi="Verdana"/>
        </w:rPr>
        <w:t xml:space="preserve"> that the policy of commissioning services does not undermine the provision of specialised services for women who are victims of gender-based violence.</w:t>
      </w:r>
      <w:r w:rsidR="00D8639C" w:rsidRPr="00564A3B">
        <w:rPr>
          <w:rFonts w:ascii="Verdana" w:hAnsi="Verdana"/>
          <w:vertAlign w:val="superscript"/>
        </w:rPr>
        <w:footnoteReference w:id="41"/>
      </w:r>
    </w:p>
    <w:p w14:paraId="405EB99D" w14:textId="77777777" w:rsidR="005255D7" w:rsidRPr="00564A3B" w:rsidRDefault="005255D7" w:rsidP="005255D7">
      <w:pPr>
        <w:pStyle w:val="ListParagraph"/>
        <w:rPr>
          <w:rFonts w:ascii="Verdana" w:hAnsi="Verdana"/>
        </w:rPr>
      </w:pPr>
    </w:p>
    <w:p w14:paraId="246BAA51" w14:textId="77777777" w:rsidR="006B3799" w:rsidRPr="006B3799" w:rsidRDefault="005255D7" w:rsidP="006B3799">
      <w:pPr>
        <w:pStyle w:val="ListParagraph"/>
        <w:numPr>
          <w:ilvl w:val="1"/>
          <w:numId w:val="1"/>
        </w:numPr>
        <w:spacing w:before="24" w:after="24" w:line="360" w:lineRule="auto"/>
        <w:rPr>
          <w:rFonts w:ascii="Verdana" w:hAnsi="Verdana"/>
        </w:rPr>
      </w:pPr>
      <w:r w:rsidRPr="00564A3B">
        <w:rPr>
          <w:rFonts w:ascii="Verdana" w:hAnsi="Verdana"/>
        </w:rPr>
        <w:t xml:space="preserve">The UN CEDAW Committee’s General Recommendation No 35 further advises States to “examine gender-neutral laws and policies to ensure that </w:t>
      </w:r>
      <w:r w:rsidRPr="00564A3B">
        <w:rPr>
          <w:rFonts w:ascii="Verdana" w:hAnsi="Verdana"/>
        </w:rPr>
        <w:lastRenderedPageBreak/>
        <w:t>they do not create or perpetuate existing inequalities and repeal or modify them if they do so”.</w:t>
      </w:r>
      <w:r w:rsidRPr="00564A3B">
        <w:rPr>
          <w:rFonts w:ascii="Verdana" w:hAnsi="Verdana"/>
          <w:vertAlign w:val="superscript"/>
        </w:rPr>
        <w:t xml:space="preserve"> </w:t>
      </w:r>
      <w:r w:rsidRPr="00564A3B">
        <w:rPr>
          <w:rFonts w:ascii="Verdana" w:hAnsi="Verdana"/>
          <w:vertAlign w:val="superscript"/>
        </w:rPr>
        <w:footnoteReference w:id="42"/>
      </w:r>
    </w:p>
    <w:p w14:paraId="5171BB38" w14:textId="77777777" w:rsidR="006B3799" w:rsidRPr="006B3799" w:rsidRDefault="006B3799" w:rsidP="006B3799">
      <w:pPr>
        <w:pStyle w:val="ListParagraph"/>
        <w:rPr>
          <w:rFonts w:ascii="Verdana" w:hAnsi="Verdana" w:cs="Arial"/>
        </w:rPr>
      </w:pPr>
    </w:p>
    <w:p w14:paraId="46D5CB54" w14:textId="2A10858B" w:rsidR="0044619E" w:rsidRPr="00C22823" w:rsidRDefault="0044619E" w:rsidP="006B3799">
      <w:pPr>
        <w:pStyle w:val="ListParagraph"/>
        <w:numPr>
          <w:ilvl w:val="1"/>
          <w:numId w:val="1"/>
        </w:numPr>
        <w:spacing w:before="24" w:after="24" w:line="360" w:lineRule="auto"/>
        <w:rPr>
          <w:rFonts w:ascii="Verdana" w:hAnsi="Verdana"/>
        </w:rPr>
      </w:pPr>
      <w:r w:rsidRPr="006B3799">
        <w:rPr>
          <w:rFonts w:ascii="Verdana" w:hAnsi="Verdana" w:cs="Arial"/>
        </w:rPr>
        <w:t xml:space="preserve">Article 16 of the UN CRPD further requires </w:t>
      </w:r>
      <w:r w:rsidR="001C66F7" w:rsidRPr="006B3799">
        <w:rPr>
          <w:rFonts w:ascii="Verdana" w:hAnsi="Verdana" w:cs="Arial"/>
        </w:rPr>
        <w:t>S</w:t>
      </w:r>
      <w:r w:rsidRPr="006B3799">
        <w:rPr>
          <w:rFonts w:ascii="Verdana" w:hAnsi="Verdana" w:cs="Arial"/>
        </w:rPr>
        <w:t>tates to “protect persons with disabilities, both within and outside the home, from all forms of exploitation, violence and abuse, including their gender-based aspects”, emphasising that states should “ensure that protection services are age-, gender- and disability-sensitive”.</w:t>
      </w:r>
    </w:p>
    <w:p w14:paraId="56DFDDEB" w14:textId="77777777" w:rsidR="00C22823" w:rsidRPr="00C22823" w:rsidRDefault="00C22823" w:rsidP="00C22823">
      <w:pPr>
        <w:spacing w:before="24" w:after="24" w:line="360" w:lineRule="auto"/>
        <w:rPr>
          <w:rFonts w:ascii="Verdana" w:hAnsi="Verdana"/>
        </w:rPr>
      </w:pPr>
    </w:p>
    <w:p w14:paraId="038456D5" w14:textId="4EB93B6F" w:rsidR="00E03743" w:rsidRPr="00887A94" w:rsidRDefault="00D8639C">
      <w:pPr>
        <w:pStyle w:val="ListParagraph"/>
        <w:widowControl w:val="0"/>
        <w:numPr>
          <w:ilvl w:val="1"/>
          <w:numId w:val="1"/>
        </w:numPr>
        <w:suppressAutoHyphens/>
        <w:autoSpaceDE w:val="0"/>
        <w:autoSpaceDN w:val="0"/>
        <w:adjustRightInd w:val="0"/>
        <w:spacing w:before="24" w:after="24" w:line="360" w:lineRule="auto"/>
        <w:textAlignment w:val="center"/>
        <w:rPr>
          <w:rFonts w:ascii="Verdana" w:eastAsia="Times New Roman" w:hAnsi="Verdana" w:cs="Arial"/>
          <w:bCs/>
          <w:color w:val="161616"/>
          <w:lang w:eastAsia="en-GB"/>
        </w:rPr>
      </w:pPr>
      <w:r w:rsidRPr="00564A3B">
        <w:rPr>
          <w:rFonts w:ascii="Verdana" w:hAnsi="Verdana"/>
        </w:rPr>
        <w:t xml:space="preserve">Article 6 of the </w:t>
      </w:r>
      <w:proofErr w:type="spellStart"/>
      <w:r w:rsidR="00A56EDD" w:rsidRPr="00564A3B">
        <w:rPr>
          <w:rFonts w:ascii="Verdana" w:hAnsi="Verdana"/>
        </w:rPr>
        <w:t>CoE</w:t>
      </w:r>
      <w:proofErr w:type="spellEnd"/>
      <w:r w:rsidR="00A56EDD" w:rsidRPr="00564A3B">
        <w:rPr>
          <w:rFonts w:ascii="Verdana" w:hAnsi="Verdana"/>
        </w:rPr>
        <w:t xml:space="preserve"> </w:t>
      </w:r>
      <w:r w:rsidRPr="00564A3B">
        <w:rPr>
          <w:rFonts w:ascii="Verdana" w:hAnsi="Verdana"/>
        </w:rPr>
        <w:t xml:space="preserve">Istanbul Convention refers to the need for gender-sensitive policies providing that </w:t>
      </w:r>
      <w:r w:rsidR="001A541E" w:rsidRPr="00564A3B">
        <w:rPr>
          <w:rFonts w:ascii="Verdana" w:hAnsi="Verdana"/>
        </w:rPr>
        <w:t>“</w:t>
      </w:r>
      <w:r w:rsidRPr="00564A3B">
        <w:rPr>
          <w:rFonts w:ascii="Verdana" w:hAnsi="Verdana"/>
        </w:rPr>
        <w:t>parties shall undertake to include a gender perspective in the implementation and evaluation of the impact of the provisions of the Convention and to promote and effectively implement policies of equality between women and men and the empowerment of women</w:t>
      </w:r>
      <w:r w:rsidR="001A541E" w:rsidRPr="00564A3B">
        <w:rPr>
          <w:rFonts w:ascii="Verdana" w:hAnsi="Verdana"/>
        </w:rPr>
        <w:t>”</w:t>
      </w:r>
      <w:r w:rsidRPr="00564A3B">
        <w:rPr>
          <w:rFonts w:ascii="Verdana" w:hAnsi="Verdana"/>
        </w:rPr>
        <w:t>.</w:t>
      </w:r>
      <w:r w:rsidR="00FD4C66" w:rsidRPr="00564A3B">
        <w:rPr>
          <w:rStyle w:val="FootnoteReference"/>
          <w:rFonts w:ascii="Verdana" w:hAnsi="Verdana"/>
        </w:rPr>
        <w:footnoteReference w:id="43"/>
      </w:r>
      <w:r w:rsidRPr="00564A3B">
        <w:rPr>
          <w:rFonts w:ascii="Verdana" w:hAnsi="Verdana"/>
        </w:rPr>
        <w:t xml:space="preserve"> </w:t>
      </w:r>
    </w:p>
    <w:p w14:paraId="7375B41D" w14:textId="77777777" w:rsidR="00D8639C" w:rsidRPr="00564A3B" w:rsidRDefault="00D8639C" w:rsidP="00D461C1">
      <w:pPr>
        <w:pStyle w:val="ListParagraph"/>
        <w:spacing w:line="360" w:lineRule="auto"/>
        <w:rPr>
          <w:rFonts w:ascii="Verdana" w:hAnsi="Verdana"/>
        </w:rPr>
      </w:pPr>
    </w:p>
    <w:p w14:paraId="058BC1FD" w14:textId="517DBA69" w:rsidR="00D8639C" w:rsidRPr="00564A3B" w:rsidRDefault="00D8639C">
      <w:pPr>
        <w:pStyle w:val="ListParagraph"/>
        <w:numPr>
          <w:ilvl w:val="1"/>
          <w:numId w:val="1"/>
        </w:numPr>
        <w:spacing w:before="24" w:after="24" w:line="360" w:lineRule="auto"/>
        <w:rPr>
          <w:rFonts w:ascii="Verdana" w:hAnsi="Verdana"/>
        </w:rPr>
      </w:pPr>
      <w:r w:rsidRPr="00564A3B">
        <w:rPr>
          <w:rFonts w:ascii="Verdana" w:hAnsi="Verdana"/>
          <w:iCs/>
        </w:rPr>
        <w:t>GREVIO, the independent expert body responsible for monitoring the implementation of the</w:t>
      </w:r>
      <w:r w:rsidR="000C4325" w:rsidRPr="00564A3B">
        <w:rPr>
          <w:rFonts w:ascii="Verdana" w:hAnsi="Verdana"/>
          <w:iCs/>
        </w:rPr>
        <w:t xml:space="preserve"> </w:t>
      </w:r>
      <w:proofErr w:type="spellStart"/>
      <w:r w:rsidR="000C4325" w:rsidRPr="00564A3B">
        <w:rPr>
          <w:rFonts w:ascii="Verdana" w:hAnsi="Verdana"/>
          <w:iCs/>
        </w:rPr>
        <w:t>CoE</w:t>
      </w:r>
      <w:proofErr w:type="spellEnd"/>
      <w:r w:rsidRPr="00564A3B">
        <w:rPr>
          <w:rFonts w:ascii="Verdana" w:hAnsi="Verdana"/>
          <w:iCs/>
        </w:rPr>
        <w:t> Istanbul Convention has criticised countries such as Albania, Denmark and Finland for adopting a gender-neutral approach to legal provisions and policies that address domestic violence.</w:t>
      </w:r>
      <w:r w:rsidR="000E1F52" w:rsidRPr="00564A3B">
        <w:rPr>
          <w:rStyle w:val="FootnoteReference"/>
          <w:rFonts w:ascii="Verdana" w:hAnsi="Verdana"/>
          <w:iCs/>
        </w:rPr>
        <w:footnoteReference w:id="44"/>
      </w:r>
    </w:p>
    <w:p w14:paraId="5D9DA75A" w14:textId="77777777" w:rsidR="00D8639C" w:rsidRPr="00564A3B" w:rsidRDefault="00D8639C" w:rsidP="00D461C1">
      <w:pPr>
        <w:pStyle w:val="ListParagraph"/>
        <w:spacing w:line="360" w:lineRule="auto"/>
        <w:rPr>
          <w:rFonts w:ascii="Verdana" w:hAnsi="Verdana"/>
        </w:rPr>
      </w:pPr>
    </w:p>
    <w:p w14:paraId="366EA9CA" w14:textId="291D720C" w:rsidR="00414159" w:rsidRPr="00564A3B" w:rsidRDefault="00D8639C">
      <w:pPr>
        <w:pStyle w:val="ListParagraph"/>
        <w:numPr>
          <w:ilvl w:val="1"/>
          <w:numId w:val="1"/>
        </w:numPr>
        <w:spacing w:before="24" w:after="24" w:line="360" w:lineRule="auto"/>
        <w:rPr>
          <w:rFonts w:ascii="Verdana" w:hAnsi="Verdana"/>
        </w:rPr>
      </w:pPr>
      <w:r w:rsidRPr="00564A3B">
        <w:rPr>
          <w:rFonts w:ascii="Verdana" w:hAnsi="Verdana"/>
        </w:rPr>
        <w:t>GREVIO has advised that</w:t>
      </w:r>
      <w:r w:rsidR="00BF1CB0" w:rsidRPr="00564A3B">
        <w:rPr>
          <w:rFonts w:ascii="Verdana" w:hAnsi="Verdana"/>
        </w:rPr>
        <w:t xml:space="preserve"> “</w:t>
      </w:r>
      <w:r w:rsidRPr="00564A3B">
        <w:rPr>
          <w:rFonts w:ascii="Verdana" w:hAnsi="Verdana"/>
        </w:rPr>
        <w:t>the gender-neutral approach taken by states parties fails to address the specific experiences of women that differ significantly from those of men thus hindering their effective protection</w:t>
      </w:r>
      <w:r w:rsidR="00BF1CB0" w:rsidRPr="00564A3B">
        <w:rPr>
          <w:rFonts w:ascii="Verdana" w:hAnsi="Verdana"/>
        </w:rPr>
        <w:t>”</w:t>
      </w:r>
      <w:r w:rsidR="00070EEB" w:rsidRPr="00564A3B">
        <w:rPr>
          <w:rStyle w:val="FootnoteReference"/>
          <w:rFonts w:ascii="Verdana" w:hAnsi="Verdana"/>
        </w:rPr>
        <w:footnoteReference w:id="45"/>
      </w:r>
      <w:r w:rsidR="00095D76" w:rsidRPr="00564A3B">
        <w:rPr>
          <w:rFonts w:ascii="Verdana" w:hAnsi="Verdana"/>
        </w:rPr>
        <w:t xml:space="preserve"> </w:t>
      </w:r>
      <w:r w:rsidR="00903DCD" w:rsidRPr="00564A3B">
        <w:rPr>
          <w:rFonts w:ascii="Verdana" w:hAnsi="Verdana"/>
        </w:rPr>
        <w:t>and that “</w:t>
      </w:r>
      <w:r w:rsidRPr="00564A3B">
        <w:rPr>
          <w:rFonts w:ascii="Verdana" w:hAnsi="Verdana"/>
        </w:rPr>
        <w:t>the gender-neutral approach fails to recognise domestic violence as a social mechanism that helps keep women in a subordinate position to me</w:t>
      </w:r>
      <w:r w:rsidR="00095D76" w:rsidRPr="00564A3B">
        <w:rPr>
          <w:rFonts w:ascii="Verdana" w:hAnsi="Verdana"/>
        </w:rPr>
        <w:t>n”</w:t>
      </w:r>
      <w:r w:rsidR="00903DCD" w:rsidRPr="00564A3B">
        <w:rPr>
          <w:rFonts w:ascii="Verdana" w:hAnsi="Verdana"/>
        </w:rPr>
        <w:t>.</w:t>
      </w:r>
      <w:r w:rsidR="00252E07" w:rsidRPr="00564A3B">
        <w:rPr>
          <w:rStyle w:val="FootnoteReference"/>
          <w:rFonts w:ascii="Verdana" w:hAnsi="Verdana"/>
        </w:rPr>
        <w:footnoteReference w:id="46"/>
      </w:r>
    </w:p>
    <w:p w14:paraId="00BF840B" w14:textId="77777777" w:rsidR="00D8639C" w:rsidRPr="00564A3B" w:rsidRDefault="00D8639C" w:rsidP="00EB5386">
      <w:pPr>
        <w:spacing w:before="24" w:after="24" w:line="360" w:lineRule="auto"/>
        <w:rPr>
          <w:rFonts w:ascii="Verdana" w:hAnsi="Verdana"/>
        </w:rPr>
      </w:pPr>
    </w:p>
    <w:p w14:paraId="4F111DBB" w14:textId="448B2346" w:rsidR="00414159" w:rsidRPr="00564A3B" w:rsidRDefault="002B26AE">
      <w:pPr>
        <w:pStyle w:val="ListParagraph"/>
        <w:numPr>
          <w:ilvl w:val="1"/>
          <w:numId w:val="1"/>
        </w:numPr>
        <w:spacing w:line="360" w:lineRule="auto"/>
        <w:rPr>
          <w:rFonts w:ascii="Verdana" w:hAnsi="Verdana"/>
        </w:rPr>
      </w:pPr>
      <w:r w:rsidRPr="00564A3B">
        <w:rPr>
          <w:rFonts w:ascii="Verdana" w:hAnsi="Verdana"/>
        </w:rPr>
        <w:lastRenderedPageBreak/>
        <w:t>Furthermore,</w:t>
      </w:r>
      <w:r w:rsidR="00D53162" w:rsidRPr="00564A3B">
        <w:rPr>
          <w:rFonts w:ascii="Verdana" w:hAnsi="Verdana"/>
        </w:rPr>
        <w:t xml:space="preserve"> th</w:t>
      </w:r>
      <w:r w:rsidR="000241DB" w:rsidRPr="00564A3B">
        <w:rPr>
          <w:rFonts w:ascii="Verdana" w:hAnsi="Verdana"/>
        </w:rPr>
        <w:t xml:space="preserve">e </w:t>
      </w:r>
      <w:r w:rsidR="00414159" w:rsidRPr="00564A3B">
        <w:rPr>
          <w:rFonts w:ascii="Verdana" w:hAnsi="Verdana"/>
        </w:rPr>
        <w:t xml:space="preserve">UN Declaration on the Elimination of Violence against Women </w:t>
      </w:r>
      <w:r w:rsidR="00D53162" w:rsidRPr="00564A3B">
        <w:rPr>
          <w:rFonts w:ascii="Verdana" w:hAnsi="Verdana"/>
        </w:rPr>
        <w:t xml:space="preserve">advises States to </w:t>
      </w:r>
      <w:r w:rsidR="00414159" w:rsidRPr="00564A3B">
        <w:rPr>
          <w:rFonts w:ascii="Verdana" w:hAnsi="Verdana"/>
        </w:rPr>
        <w:t>“ensure that re-victimi</w:t>
      </w:r>
      <w:r w:rsidR="00970148" w:rsidRPr="00564A3B">
        <w:rPr>
          <w:rFonts w:ascii="Verdana" w:hAnsi="Verdana"/>
        </w:rPr>
        <w:t>s</w:t>
      </w:r>
      <w:r w:rsidR="00414159" w:rsidRPr="00564A3B">
        <w:rPr>
          <w:rFonts w:ascii="Verdana" w:hAnsi="Verdana"/>
        </w:rPr>
        <w:t>ation of women does not occur because of laws insensitive to</w:t>
      </w:r>
      <w:r w:rsidR="000823EE" w:rsidRPr="00564A3B">
        <w:rPr>
          <w:rFonts w:ascii="Verdana" w:eastAsia="Verdana" w:hAnsi="Verdana" w:cs="Verdana"/>
          <w:sz w:val="22"/>
          <w:szCs w:val="22"/>
          <w:lang w:val="en-US"/>
        </w:rPr>
        <w:t xml:space="preserve"> </w:t>
      </w:r>
      <w:r w:rsidR="000823EE" w:rsidRPr="00564A3B">
        <w:rPr>
          <w:rFonts w:ascii="Verdana" w:hAnsi="Verdana"/>
          <w:lang w:val="en-US"/>
        </w:rPr>
        <w:t>gender considerations, enforcement practices or other interventions”.</w:t>
      </w:r>
      <w:r w:rsidR="000823EE" w:rsidRPr="00564A3B">
        <w:rPr>
          <w:rStyle w:val="FootnoteReference"/>
          <w:rFonts w:ascii="Verdana" w:hAnsi="Verdana"/>
          <w:lang w:val="en-US"/>
        </w:rPr>
        <w:footnoteReference w:id="47"/>
      </w:r>
    </w:p>
    <w:p w14:paraId="6546A44B" w14:textId="77777777" w:rsidR="00414159" w:rsidRPr="00564A3B" w:rsidRDefault="00414159" w:rsidP="00EB5386">
      <w:pPr>
        <w:pStyle w:val="ListParagraph"/>
        <w:spacing w:before="24" w:after="24" w:line="360" w:lineRule="auto"/>
        <w:rPr>
          <w:rFonts w:ascii="Verdana" w:hAnsi="Verdana"/>
        </w:rPr>
      </w:pPr>
    </w:p>
    <w:p w14:paraId="5819D2AE" w14:textId="40538BFD" w:rsidR="00F61662" w:rsidRPr="00564A3B" w:rsidRDefault="006E3ADC">
      <w:pPr>
        <w:pStyle w:val="ListParagraph"/>
        <w:numPr>
          <w:ilvl w:val="1"/>
          <w:numId w:val="1"/>
        </w:numPr>
        <w:spacing w:before="24" w:after="24" w:line="360" w:lineRule="auto"/>
        <w:rPr>
          <w:rFonts w:ascii="Verdana" w:hAnsi="Verdana"/>
        </w:rPr>
      </w:pPr>
      <w:r w:rsidRPr="00564A3B">
        <w:rPr>
          <w:rFonts w:ascii="Verdana" w:hAnsi="Verdana"/>
        </w:rPr>
        <w:t xml:space="preserve">Recitals 17 and 18 of the </w:t>
      </w:r>
      <w:r w:rsidR="00F61662" w:rsidRPr="00564A3B">
        <w:rPr>
          <w:rFonts w:ascii="Verdana" w:hAnsi="Verdana"/>
        </w:rPr>
        <w:t xml:space="preserve">EU Victims’ Directive recognise that women are disproportionately affected by </w:t>
      </w:r>
      <w:r w:rsidRPr="00564A3B">
        <w:rPr>
          <w:rFonts w:ascii="Verdana" w:hAnsi="Verdana"/>
        </w:rPr>
        <w:t xml:space="preserve">gender-based violence, including </w:t>
      </w:r>
      <w:r w:rsidR="00F61662" w:rsidRPr="00564A3B">
        <w:rPr>
          <w:rFonts w:ascii="Verdana" w:hAnsi="Verdana"/>
        </w:rPr>
        <w:t xml:space="preserve">violence in a close relationship and </w:t>
      </w:r>
      <w:r w:rsidRPr="00564A3B">
        <w:rPr>
          <w:rFonts w:ascii="Verdana" w:hAnsi="Verdana"/>
        </w:rPr>
        <w:t>sexual violence.</w:t>
      </w:r>
      <w:r w:rsidRPr="00564A3B">
        <w:rPr>
          <w:rStyle w:val="FootnoteReference"/>
          <w:rFonts w:ascii="Verdana" w:hAnsi="Verdana"/>
        </w:rPr>
        <w:footnoteReference w:id="48"/>
      </w:r>
      <w:r w:rsidRPr="00564A3B">
        <w:rPr>
          <w:rFonts w:ascii="Verdana" w:hAnsi="Verdana"/>
        </w:rPr>
        <w:t xml:space="preserve"> The recitals identify </w:t>
      </w:r>
      <w:r w:rsidR="00F61662" w:rsidRPr="00564A3B">
        <w:rPr>
          <w:rFonts w:ascii="Verdana" w:hAnsi="Verdana"/>
        </w:rPr>
        <w:t>that women victims require specialised support and protection because of a high risk of secondary and repeat victimisation.</w:t>
      </w:r>
      <w:r w:rsidR="00F61662" w:rsidRPr="00564A3B">
        <w:rPr>
          <w:rStyle w:val="FootnoteReference"/>
          <w:rFonts w:ascii="Verdana" w:hAnsi="Verdana"/>
        </w:rPr>
        <w:footnoteReference w:id="49"/>
      </w:r>
      <w:r w:rsidR="00F61662" w:rsidRPr="00564A3B">
        <w:rPr>
          <w:rFonts w:ascii="Verdana" w:hAnsi="Verdana"/>
        </w:rPr>
        <w:t xml:space="preserve"> </w:t>
      </w:r>
      <w:r w:rsidRPr="00564A3B">
        <w:rPr>
          <w:rFonts w:ascii="Verdana" w:hAnsi="Verdana"/>
        </w:rPr>
        <w:t xml:space="preserve">Recital </w:t>
      </w:r>
      <w:r w:rsidR="00ED6405" w:rsidRPr="00564A3B">
        <w:rPr>
          <w:rFonts w:ascii="Verdana" w:hAnsi="Verdana"/>
        </w:rPr>
        <w:t xml:space="preserve">18 </w:t>
      </w:r>
      <w:r w:rsidR="00121D4F" w:rsidRPr="00564A3B">
        <w:rPr>
          <w:rFonts w:ascii="Verdana" w:hAnsi="Verdana"/>
        </w:rPr>
        <w:t>accepts that violence in a close relationship can be worse for women if they are “dependent on their partner financially, socially or as regards her right to residence”.</w:t>
      </w:r>
      <w:r w:rsidR="00121D4F" w:rsidRPr="00564A3B">
        <w:rPr>
          <w:rStyle w:val="FootnoteReference"/>
          <w:rFonts w:ascii="Verdana" w:hAnsi="Verdana"/>
        </w:rPr>
        <w:footnoteReference w:id="50"/>
      </w:r>
      <w:r w:rsidR="00ED6405" w:rsidRPr="00564A3B">
        <w:rPr>
          <w:rFonts w:ascii="Verdana" w:hAnsi="Verdana"/>
        </w:rPr>
        <w:t xml:space="preserve"> </w:t>
      </w:r>
      <w:r w:rsidR="00F61662" w:rsidRPr="00564A3B">
        <w:rPr>
          <w:rFonts w:ascii="Verdana" w:hAnsi="Verdana"/>
        </w:rPr>
        <w:t xml:space="preserve">The </w:t>
      </w:r>
      <w:r w:rsidR="001C66F7" w:rsidRPr="00564A3B">
        <w:rPr>
          <w:rFonts w:ascii="Verdana" w:hAnsi="Verdana"/>
        </w:rPr>
        <w:t xml:space="preserve">EU </w:t>
      </w:r>
      <w:r w:rsidR="00F61662" w:rsidRPr="00564A3B">
        <w:rPr>
          <w:rFonts w:ascii="Verdana" w:hAnsi="Verdana"/>
        </w:rPr>
        <w:t>Directive contains specific provisions to deal with gender-based violence, including identifying specific protection needs and accessing special measures during criminal proceedings.</w:t>
      </w:r>
      <w:r w:rsidR="00F61662" w:rsidRPr="00564A3B">
        <w:rPr>
          <w:rStyle w:val="FootnoteReference"/>
          <w:rFonts w:ascii="Verdana" w:hAnsi="Verdana"/>
        </w:rPr>
        <w:footnoteReference w:id="51"/>
      </w:r>
      <w:r w:rsidR="00F61662" w:rsidRPr="00564A3B">
        <w:rPr>
          <w:rFonts w:ascii="Verdana" w:hAnsi="Verdana"/>
        </w:rPr>
        <w:t xml:space="preserve"> </w:t>
      </w:r>
    </w:p>
    <w:p w14:paraId="10CCCEE9" w14:textId="77777777" w:rsidR="004716F9" w:rsidRPr="00564A3B" w:rsidRDefault="004716F9" w:rsidP="004716F9">
      <w:pPr>
        <w:pStyle w:val="ListParagraph"/>
        <w:rPr>
          <w:rFonts w:ascii="Verdana" w:hAnsi="Verdana"/>
        </w:rPr>
      </w:pPr>
    </w:p>
    <w:p w14:paraId="4F821DD0" w14:textId="798EE0F3" w:rsidR="00CF25F6" w:rsidRPr="00B87DA4" w:rsidRDefault="004716F9">
      <w:pPr>
        <w:pStyle w:val="ListParagraph"/>
        <w:numPr>
          <w:ilvl w:val="1"/>
          <w:numId w:val="1"/>
        </w:numPr>
        <w:spacing w:before="24" w:after="24" w:line="360" w:lineRule="auto"/>
        <w:rPr>
          <w:rFonts w:ascii="Verdana" w:hAnsi="Verdana"/>
        </w:rPr>
      </w:pPr>
      <w:r w:rsidRPr="00564A3B">
        <w:rPr>
          <w:rFonts w:ascii="Verdana" w:hAnsi="Verdana"/>
        </w:rPr>
        <w:t>The draft strategy notes that “women are disproportionately affected and more likely to experience multiple incidents and different types of domestic and sexual abuse”.</w:t>
      </w:r>
      <w:r w:rsidRPr="00564A3B">
        <w:rPr>
          <w:rStyle w:val="FootnoteReference"/>
          <w:rFonts w:ascii="Verdana" w:hAnsi="Verdana"/>
        </w:rPr>
        <w:footnoteReference w:id="52"/>
      </w:r>
      <w:r w:rsidRPr="00564A3B">
        <w:rPr>
          <w:rFonts w:ascii="Verdana" w:hAnsi="Verdana"/>
        </w:rPr>
        <w:t xml:space="preserve"> However, none of the four pillars clearly articulate targeted measures to address this. </w:t>
      </w:r>
      <w:r w:rsidR="006039AA" w:rsidRPr="00564A3B">
        <w:rPr>
          <w:rFonts w:ascii="Verdana" w:hAnsi="Verdana"/>
        </w:rPr>
        <w:t>D</w:t>
      </w:r>
      <w:r w:rsidRPr="00564A3B">
        <w:rPr>
          <w:rFonts w:ascii="Verdana" w:hAnsi="Verdana"/>
        </w:rPr>
        <w:t xml:space="preserve">omestic and sexual abuse </w:t>
      </w:r>
      <w:r w:rsidR="006039AA" w:rsidRPr="00564A3B">
        <w:rPr>
          <w:rFonts w:ascii="Verdana" w:hAnsi="Verdana"/>
        </w:rPr>
        <w:t>can a</w:t>
      </w:r>
      <w:r w:rsidRPr="00564A3B">
        <w:rPr>
          <w:rFonts w:ascii="Verdana" w:hAnsi="Verdana"/>
        </w:rPr>
        <w:t xml:space="preserve">ffect </w:t>
      </w:r>
      <w:r w:rsidR="00FF7048" w:rsidRPr="00564A3B">
        <w:rPr>
          <w:rFonts w:ascii="Verdana" w:hAnsi="Verdana"/>
        </w:rPr>
        <w:t>everyone, with the strategy seeking to</w:t>
      </w:r>
      <w:r w:rsidRPr="00564A3B">
        <w:rPr>
          <w:rFonts w:ascii="Verdana" w:hAnsi="Verdana"/>
        </w:rPr>
        <w:t xml:space="preserve"> ensure measures</w:t>
      </w:r>
      <w:r w:rsidR="006A7855" w:rsidRPr="00564A3B">
        <w:rPr>
          <w:rFonts w:ascii="Verdana" w:hAnsi="Verdana"/>
        </w:rPr>
        <w:t xml:space="preserve"> are in place</w:t>
      </w:r>
      <w:r w:rsidRPr="00564A3B">
        <w:rPr>
          <w:rFonts w:ascii="Verdana" w:hAnsi="Verdana"/>
        </w:rPr>
        <w:t xml:space="preserve"> to assist all victims</w:t>
      </w:r>
      <w:r w:rsidR="00B451B8" w:rsidRPr="00564A3B">
        <w:rPr>
          <w:rFonts w:ascii="Verdana" w:hAnsi="Verdana"/>
        </w:rPr>
        <w:t>. However,</w:t>
      </w:r>
      <w:r w:rsidRPr="00564A3B">
        <w:rPr>
          <w:rFonts w:ascii="Verdana" w:hAnsi="Verdana"/>
        </w:rPr>
        <w:t xml:space="preserve"> statistics </w:t>
      </w:r>
      <w:r w:rsidR="00B451B8" w:rsidRPr="00564A3B">
        <w:rPr>
          <w:rFonts w:ascii="Verdana" w:hAnsi="Verdana"/>
        </w:rPr>
        <w:t xml:space="preserve">clearly demonstrate </w:t>
      </w:r>
      <w:r w:rsidRPr="00564A3B">
        <w:rPr>
          <w:rFonts w:ascii="Verdana" w:hAnsi="Verdana"/>
        </w:rPr>
        <w:t>that domestic and sexual abuse disproportionately affect</w:t>
      </w:r>
      <w:r w:rsidR="006A7855" w:rsidRPr="00564A3B">
        <w:rPr>
          <w:rFonts w:ascii="Verdana" w:hAnsi="Verdana"/>
        </w:rPr>
        <w:t>s</w:t>
      </w:r>
      <w:r w:rsidRPr="00564A3B">
        <w:rPr>
          <w:rFonts w:ascii="Verdana" w:hAnsi="Verdana"/>
        </w:rPr>
        <w:t xml:space="preserve"> women and girls.</w:t>
      </w:r>
      <w:r w:rsidR="008E2C6D" w:rsidRPr="00564A3B">
        <w:rPr>
          <w:rStyle w:val="FootnoteReference"/>
          <w:rFonts w:ascii="Verdana" w:hAnsi="Verdana"/>
        </w:rPr>
        <w:footnoteReference w:id="53"/>
      </w:r>
      <w:r w:rsidRPr="00564A3B">
        <w:rPr>
          <w:rFonts w:ascii="Verdana" w:hAnsi="Verdana"/>
        </w:rPr>
        <w:t xml:space="preserve"> Therefore, the proposed priorities should </w:t>
      </w:r>
      <w:r w:rsidR="00D4089F" w:rsidRPr="00564A3B">
        <w:rPr>
          <w:rFonts w:ascii="Verdana" w:hAnsi="Verdana"/>
        </w:rPr>
        <w:t xml:space="preserve">include specific recognition of this disproportionate effect and </w:t>
      </w:r>
      <w:r w:rsidR="00331195" w:rsidRPr="00564A3B">
        <w:rPr>
          <w:rFonts w:ascii="Verdana" w:hAnsi="Verdana"/>
        </w:rPr>
        <w:t>commit to effective measures to address this</w:t>
      </w:r>
      <w:r w:rsidRPr="00564A3B">
        <w:rPr>
          <w:rFonts w:ascii="Verdana" w:hAnsi="Verdana"/>
        </w:rPr>
        <w:t xml:space="preserve">. </w:t>
      </w:r>
    </w:p>
    <w:p w14:paraId="25ED2958" w14:textId="77777777" w:rsidR="00F61662" w:rsidRPr="00564A3B" w:rsidRDefault="00F61662" w:rsidP="00850520">
      <w:pPr>
        <w:spacing w:before="24" w:after="24" w:line="360" w:lineRule="auto"/>
        <w:rPr>
          <w:rFonts w:ascii="Verdana" w:hAnsi="Verdana"/>
        </w:rPr>
      </w:pPr>
    </w:p>
    <w:p w14:paraId="4E9E015F" w14:textId="3A230C0D" w:rsidR="00D8639C" w:rsidRPr="006B3799" w:rsidRDefault="00D8639C">
      <w:pPr>
        <w:pStyle w:val="ListParagraph"/>
        <w:numPr>
          <w:ilvl w:val="1"/>
          <w:numId w:val="1"/>
        </w:numPr>
        <w:spacing w:before="24" w:after="24" w:line="360" w:lineRule="auto"/>
        <w:rPr>
          <w:rFonts w:ascii="Verdana" w:hAnsi="Verdana"/>
          <w:b/>
        </w:rPr>
      </w:pPr>
      <w:r w:rsidRPr="006B3799">
        <w:rPr>
          <w:rFonts w:ascii="Verdana" w:hAnsi="Verdana"/>
          <w:b/>
        </w:rPr>
        <w:lastRenderedPageBreak/>
        <w:t xml:space="preserve">The </w:t>
      </w:r>
      <w:r w:rsidR="00A76EC8" w:rsidRPr="006B3799">
        <w:rPr>
          <w:rFonts w:ascii="Verdana" w:hAnsi="Verdana"/>
          <w:b/>
        </w:rPr>
        <w:t>NIHRC</w:t>
      </w:r>
      <w:r w:rsidRPr="006B3799">
        <w:rPr>
          <w:rFonts w:ascii="Verdana" w:hAnsi="Verdana"/>
          <w:b/>
        </w:rPr>
        <w:t xml:space="preserve"> recommends </w:t>
      </w:r>
      <w:bookmarkEnd w:id="4"/>
      <w:r w:rsidRPr="006B3799">
        <w:rPr>
          <w:rFonts w:ascii="Verdana" w:hAnsi="Verdana"/>
          <w:b/>
        </w:rPr>
        <w:t>that the</w:t>
      </w:r>
      <w:r w:rsidR="00D50FDD" w:rsidRPr="006B3799">
        <w:rPr>
          <w:rFonts w:ascii="Verdana" w:hAnsi="Verdana"/>
          <w:b/>
        </w:rPr>
        <w:t xml:space="preserve"> final strategy</w:t>
      </w:r>
      <w:r w:rsidR="004716F9" w:rsidRPr="006B3799">
        <w:rPr>
          <w:rFonts w:ascii="Verdana" w:hAnsi="Verdana"/>
          <w:b/>
        </w:rPr>
        <w:t xml:space="preserve"> </w:t>
      </w:r>
      <w:r w:rsidR="00D50FDD" w:rsidRPr="006B3799">
        <w:rPr>
          <w:rFonts w:ascii="Verdana" w:hAnsi="Verdana"/>
          <w:b/>
        </w:rPr>
        <w:t>explicitly adopts a</w:t>
      </w:r>
      <w:r w:rsidR="007224EB" w:rsidRPr="006B3799">
        <w:rPr>
          <w:rFonts w:ascii="Verdana" w:hAnsi="Verdana"/>
          <w:b/>
        </w:rPr>
        <w:t xml:space="preserve"> </w:t>
      </w:r>
      <w:r w:rsidRPr="006B3799">
        <w:rPr>
          <w:rFonts w:ascii="Verdana" w:hAnsi="Verdana"/>
          <w:b/>
        </w:rPr>
        <w:t xml:space="preserve">gender-sensitive </w:t>
      </w:r>
      <w:r w:rsidR="007224EB" w:rsidRPr="006B3799">
        <w:rPr>
          <w:rFonts w:ascii="Verdana" w:hAnsi="Verdana"/>
          <w:b/>
        </w:rPr>
        <w:t xml:space="preserve">approach, including </w:t>
      </w:r>
      <w:r w:rsidR="00785100" w:rsidRPr="006B3799">
        <w:rPr>
          <w:rFonts w:ascii="Verdana" w:hAnsi="Verdana"/>
          <w:b/>
        </w:rPr>
        <w:t>providing for</w:t>
      </w:r>
      <w:r w:rsidR="007224EB" w:rsidRPr="006B3799">
        <w:rPr>
          <w:rFonts w:ascii="Verdana" w:hAnsi="Verdana"/>
          <w:b/>
        </w:rPr>
        <w:t xml:space="preserve"> specialised, gender-sensitive, </w:t>
      </w:r>
      <w:r w:rsidRPr="006B3799">
        <w:rPr>
          <w:rFonts w:ascii="Verdana" w:hAnsi="Verdana"/>
          <w:b/>
        </w:rPr>
        <w:t xml:space="preserve">accessible support for victims of domestic and sexual abuse. </w:t>
      </w:r>
      <w:r w:rsidR="00752684" w:rsidRPr="006B3799">
        <w:rPr>
          <w:rFonts w:ascii="Verdana" w:hAnsi="Verdana"/>
          <w:b/>
        </w:rPr>
        <w:t xml:space="preserve">The </w:t>
      </w:r>
      <w:r w:rsidR="00785100" w:rsidRPr="006B3799">
        <w:rPr>
          <w:rFonts w:ascii="Verdana" w:hAnsi="Verdana"/>
          <w:b/>
        </w:rPr>
        <w:t>s</w:t>
      </w:r>
      <w:r w:rsidR="00752684" w:rsidRPr="006B3799">
        <w:rPr>
          <w:rFonts w:ascii="Verdana" w:hAnsi="Verdana"/>
          <w:b/>
        </w:rPr>
        <w:t xml:space="preserve">trategy should </w:t>
      </w:r>
      <w:r w:rsidR="00023F96" w:rsidRPr="006B3799">
        <w:rPr>
          <w:rFonts w:ascii="Verdana" w:hAnsi="Verdana"/>
          <w:b/>
        </w:rPr>
        <w:t xml:space="preserve">also </w:t>
      </w:r>
      <w:r w:rsidR="00752684" w:rsidRPr="006B3799">
        <w:rPr>
          <w:rFonts w:ascii="Verdana" w:hAnsi="Verdana"/>
          <w:b/>
        </w:rPr>
        <w:t xml:space="preserve">recognise the structural and societal issues which </w:t>
      </w:r>
      <w:r w:rsidR="000E7D0F" w:rsidRPr="006B3799">
        <w:rPr>
          <w:rFonts w:ascii="Verdana" w:hAnsi="Verdana"/>
          <w:b/>
        </w:rPr>
        <w:t xml:space="preserve">result in </w:t>
      </w:r>
      <w:r w:rsidR="009F2C54" w:rsidRPr="006B3799">
        <w:rPr>
          <w:rFonts w:ascii="Verdana" w:hAnsi="Verdana"/>
          <w:b/>
        </w:rPr>
        <w:t xml:space="preserve">domestic </w:t>
      </w:r>
      <w:r w:rsidR="000E7D0F" w:rsidRPr="006B3799">
        <w:rPr>
          <w:rFonts w:ascii="Verdana" w:hAnsi="Verdana"/>
          <w:b/>
        </w:rPr>
        <w:t xml:space="preserve">and sexual abuse </w:t>
      </w:r>
      <w:r w:rsidR="002B2166" w:rsidRPr="006B3799">
        <w:rPr>
          <w:rFonts w:ascii="Verdana" w:hAnsi="Verdana"/>
          <w:b/>
        </w:rPr>
        <w:t>disproportionate</w:t>
      </w:r>
      <w:r w:rsidR="000E7D0F" w:rsidRPr="006B3799">
        <w:rPr>
          <w:rFonts w:ascii="Verdana" w:hAnsi="Verdana"/>
          <w:b/>
        </w:rPr>
        <w:t>ly</w:t>
      </w:r>
      <w:r w:rsidR="002B2166" w:rsidRPr="006B3799">
        <w:rPr>
          <w:rFonts w:ascii="Verdana" w:hAnsi="Verdana"/>
          <w:b/>
        </w:rPr>
        <w:t xml:space="preserve"> </w:t>
      </w:r>
      <w:r w:rsidR="000E7D0F" w:rsidRPr="006B3799">
        <w:rPr>
          <w:rFonts w:ascii="Verdana" w:hAnsi="Verdana"/>
          <w:b/>
        </w:rPr>
        <w:t>affecting</w:t>
      </w:r>
      <w:r w:rsidR="002B2166" w:rsidRPr="006B3799">
        <w:rPr>
          <w:rFonts w:ascii="Verdana" w:hAnsi="Verdana"/>
          <w:b/>
        </w:rPr>
        <w:t xml:space="preserve"> women</w:t>
      </w:r>
      <w:r w:rsidR="00752684" w:rsidRPr="006B3799">
        <w:rPr>
          <w:rFonts w:ascii="Verdana" w:hAnsi="Verdana"/>
          <w:b/>
        </w:rPr>
        <w:t xml:space="preserve"> and should include measures to address these issues.</w:t>
      </w:r>
    </w:p>
    <w:p w14:paraId="0329580C" w14:textId="77777777" w:rsidR="00E51B0B" w:rsidRPr="00564A3B" w:rsidRDefault="00E51B0B" w:rsidP="006A38E3">
      <w:pPr>
        <w:pStyle w:val="ListParagraph"/>
        <w:spacing w:before="24" w:after="24" w:line="360" w:lineRule="auto"/>
        <w:rPr>
          <w:rFonts w:ascii="Verdana" w:hAnsi="Verdana"/>
        </w:rPr>
      </w:pPr>
    </w:p>
    <w:p w14:paraId="722C04B6" w14:textId="42E6B7E4" w:rsidR="00E66A54" w:rsidRPr="00564A3B" w:rsidRDefault="006A38E3" w:rsidP="00FB0322">
      <w:pPr>
        <w:pStyle w:val="Heading2"/>
      </w:pPr>
      <w:bookmarkStart w:id="11" w:name="_Toc133586122"/>
      <w:r w:rsidRPr="00564A3B">
        <w:t xml:space="preserve">Domestic and </w:t>
      </w:r>
      <w:r w:rsidR="00100C57" w:rsidRPr="00564A3B">
        <w:t>s</w:t>
      </w:r>
      <w:r w:rsidRPr="00564A3B">
        <w:t xml:space="preserve">exual </w:t>
      </w:r>
      <w:r w:rsidR="00100C57" w:rsidRPr="00564A3B">
        <w:t>a</w:t>
      </w:r>
      <w:r w:rsidRPr="00564A3B">
        <w:t xml:space="preserve">buse in a </w:t>
      </w:r>
      <w:r w:rsidR="00100C57" w:rsidRPr="00564A3B">
        <w:t>p</w:t>
      </w:r>
      <w:r w:rsidRPr="00564A3B">
        <w:t xml:space="preserve">ost-conflict </w:t>
      </w:r>
      <w:r w:rsidR="00100C57" w:rsidRPr="00564A3B">
        <w:t>s</w:t>
      </w:r>
      <w:r w:rsidRPr="00564A3B">
        <w:t>ociety</w:t>
      </w:r>
      <w:bookmarkEnd w:id="11"/>
    </w:p>
    <w:p w14:paraId="25DC106F" w14:textId="498FE414" w:rsidR="006A38E3" w:rsidRPr="00564A3B" w:rsidRDefault="00306DDF">
      <w:pPr>
        <w:pStyle w:val="ListParagraph"/>
        <w:numPr>
          <w:ilvl w:val="1"/>
          <w:numId w:val="1"/>
        </w:numPr>
        <w:spacing w:line="360" w:lineRule="auto"/>
        <w:rPr>
          <w:rFonts w:ascii="Verdana" w:hAnsi="Verdana"/>
          <w:bCs/>
          <w:lang w:val="en-US"/>
        </w:rPr>
      </w:pPr>
      <w:r w:rsidRPr="00564A3B">
        <w:rPr>
          <w:rFonts w:ascii="Verdana" w:hAnsi="Verdana"/>
          <w:bCs/>
        </w:rPr>
        <w:t>T</w:t>
      </w:r>
      <w:r w:rsidR="006A38E3" w:rsidRPr="00564A3B">
        <w:rPr>
          <w:rFonts w:ascii="Verdana" w:hAnsi="Verdana"/>
          <w:bCs/>
        </w:rPr>
        <w:t>he UN CEDAW Committee</w:t>
      </w:r>
      <w:r w:rsidR="00533270" w:rsidRPr="00564A3B">
        <w:rPr>
          <w:rFonts w:ascii="Verdana" w:hAnsi="Verdana"/>
          <w:bCs/>
        </w:rPr>
        <w:t xml:space="preserve"> </w:t>
      </w:r>
      <w:r w:rsidRPr="00564A3B">
        <w:rPr>
          <w:rFonts w:ascii="Verdana" w:hAnsi="Verdana"/>
          <w:bCs/>
        </w:rPr>
        <w:t>notes</w:t>
      </w:r>
      <w:r w:rsidR="006A38E3" w:rsidRPr="00564A3B">
        <w:rPr>
          <w:rFonts w:ascii="Verdana" w:hAnsi="Verdana"/>
          <w:bCs/>
        </w:rPr>
        <w:t xml:space="preserve"> that “all forms of gender-based</w:t>
      </w:r>
      <w:r w:rsidR="006A38E3" w:rsidRPr="00564A3B">
        <w:rPr>
          <w:rFonts w:ascii="Verdana" w:hAnsi="Verdana"/>
          <w:bCs/>
          <w:lang w:val="en-US"/>
        </w:rPr>
        <w:t xml:space="preserve"> violence, in particular sexual violence, escalate in the post-conflict setting”</w:t>
      </w:r>
      <w:r w:rsidRPr="00564A3B">
        <w:rPr>
          <w:rFonts w:ascii="Verdana" w:hAnsi="Verdana"/>
          <w:bCs/>
          <w:lang w:val="en-US"/>
        </w:rPr>
        <w:t>.</w:t>
      </w:r>
      <w:r w:rsidR="006A38E3" w:rsidRPr="00564A3B">
        <w:rPr>
          <w:rStyle w:val="FootnoteReference"/>
          <w:rFonts w:ascii="Verdana" w:hAnsi="Verdana"/>
          <w:bCs/>
        </w:rPr>
        <w:footnoteReference w:id="54"/>
      </w:r>
      <w:r w:rsidR="006A38E3" w:rsidRPr="00564A3B">
        <w:rPr>
          <w:rFonts w:ascii="Verdana" w:hAnsi="Verdana"/>
          <w:bCs/>
        </w:rPr>
        <w:t xml:space="preserve"> </w:t>
      </w:r>
      <w:r w:rsidRPr="00564A3B">
        <w:rPr>
          <w:rFonts w:ascii="Verdana" w:hAnsi="Verdana"/>
          <w:bCs/>
          <w:lang w:val="en-US"/>
        </w:rPr>
        <w:t>It also states</w:t>
      </w:r>
      <w:r w:rsidR="006A38E3" w:rsidRPr="00564A3B">
        <w:rPr>
          <w:rFonts w:ascii="Verdana" w:hAnsi="Verdana"/>
          <w:bCs/>
          <w:lang w:val="en-US"/>
        </w:rPr>
        <w:t xml:space="preserve"> that the “failure to prevent, investigate and punish all forms of gender-based violence, in addition to other factors such as ineffective disarmament, demobilization and reintegration processes, can also lead to further violence against women in post-conflict periods”</w:t>
      </w:r>
      <w:r w:rsidRPr="00564A3B">
        <w:rPr>
          <w:rFonts w:ascii="Verdana" w:hAnsi="Verdana"/>
          <w:bCs/>
          <w:lang w:val="en-US"/>
        </w:rPr>
        <w:t>.</w:t>
      </w:r>
      <w:r w:rsidR="006A38E3" w:rsidRPr="00564A3B">
        <w:rPr>
          <w:rStyle w:val="FootnoteReference"/>
          <w:rFonts w:ascii="Verdana" w:hAnsi="Verdana"/>
          <w:bCs/>
          <w:lang w:val="en-US"/>
        </w:rPr>
        <w:footnoteReference w:id="55"/>
      </w:r>
    </w:p>
    <w:p w14:paraId="066F2CFF" w14:textId="77777777" w:rsidR="006A38E3" w:rsidRPr="00564A3B" w:rsidRDefault="006A38E3" w:rsidP="006A38E3">
      <w:pPr>
        <w:pStyle w:val="ListParagraph"/>
        <w:spacing w:line="360" w:lineRule="auto"/>
        <w:rPr>
          <w:rFonts w:ascii="Verdana" w:hAnsi="Verdana"/>
          <w:bCs/>
          <w:lang w:val="en-US"/>
        </w:rPr>
      </w:pPr>
    </w:p>
    <w:p w14:paraId="721DEEBA" w14:textId="72EC3AA1" w:rsidR="006A38E3" w:rsidRPr="00564A3B" w:rsidRDefault="006A38E3">
      <w:pPr>
        <w:pStyle w:val="ListParagraph"/>
        <w:numPr>
          <w:ilvl w:val="1"/>
          <w:numId w:val="1"/>
        </w:numPr>
        <w:spacing w:line="360" w:lineRule="auto"/>
        <w:jc w:val="both"/>
        <w:rPr>
          <w:rFonts w:ascii="Verdana" w:hAnsi="Verdana"/>
          <w:bCs/>
          <w:lang w:val="en-US"/>
        </w:rPr>
      </w:pPr>
      <w:r w:rsidRPr="00564A3B">
        <w:rPr>
          <w:rFonts w:ascii="Verdana" w:hAnsi="Verdana"/>
          <w:bCs/>
          <w:lang w:val="en-US"/>
        </w:rPr>
        <w:t>The</w:t>
      </w:r>
      <w:r w:rsidR="003914AA" w:rsidRPr="00564A3B">
        <w:rPr>
          <w:rFonts w:ascii="Verdana" w:hAnsi="Verdana"/>
          <w:bCs/>
          <w:lang w:val="en-US"/>
        </w:rPr>
        <w:t xml:space="preserve"> </w:t>
      </w:r>
      <w:proofErr w:type="spellStart"/>
      <w:r w:rsidR="00306DDF" w:rsidRPr="00564A3B">
        <w:rPr>
          <w:rFonts w:ascii="Verdana" w:hAnsi="Verdana"/>
          <w:bCs/>
          <w:lang w:val="en-US"/>
        </w:rPr>
        <w:t>CoE</w:t>
      </w:r>
      <w:proofErr w:type="spellEnd"/>
      <w:r w:rsidR="00306DDF" w:rsidRPr="00564A3B">
        <w:rPr>
          <w:rFonts w:ascii="Verdana" w:hAnsi="Verdana"/>
          <w:bCs/>
          <w:lang w:val="en-US"/>
        </w:rPr>
        <w:t xml:space="preserve"> </w:t>
      </w:r>
      <w:r w:rsidRPr="00564A3B">
        <w:rPr>
          <w:rFonts w:ascii="Verdana" w:hAnsi="Verdana"/>
          <w:bCs/>
          <w:lang w:val="en-US"/>
        </w:rPr>
        <w:t xml:space="preserve">Istanbul Convention similarly </w:t>
      </w:r>
      <w:proofErr w:type="spellStart"/>
      <w:r w:rsidRPr="00564A3B">
        <w:rPr>
          <w:rFonts w:ascii="Verdana" w:hAnsi="Verdana"/>
          <w:bCs/>
          <w:lang w:val="en-US"/>
        </w:rPr>
        <w:t>recognises</w:t>
      </w:r>
      <w:proofErr w:type="spellEnd"/>
      <w:r w:rsidRPr="00564A3B">
        <w:rPr>
          <w:rFonts w:ascii="Verdana" w:hAnsi="Verdana"/>
          <w:bCs/>
          <w:lang w:val="en-US"/>
        </w:rPr>
        <w:t xml:space="preserve"> “the potential for increased gender-based violence both during and after conflicts”.</w:t>
      </w:r>
      <w:r w:rsidRPr="00564A3B">
        <w:rPr>
          <w:rStyle w:val="FootnoteReference"/>
          <w:rFonts w:ascii="Verdana" w:hAnsi="Verdana"/>
          <w:bCs/>
          <w:lang w:val="en-US"/>
        </w:rPr>
        <w:footnoteReference w:id="56"/>
      </w:r>
    </w:p>
    <w:p w14:paraId="015C4957" w14:textId="77777777" w:rsidR="006A38E3" w:rsidRPr="00564A3B" w:rsidRDefault="006A38E3" w:rsidP="006A38E3">
      <w:pPr>
        <w:pStyle w:val="ListParagraph"/>
        <w:rPr>
          <w:rFonts w:ascii="Verdana" w:hAnsi="Verdana"/>
          <w:b/>
          <w:lang w:val="en-US"/>
        </w:rPr>
      </w:pPr>
    </w:p>
    <w:p w14:paraId="4C763425" w14:textId="7741C4C2" w:rsidR="006A38E3" w:rsidRPr="00564A3B" w:rsidRDefault="006A38E3">
      <w:pPr>
        <w:pStyle w:val="ListParagraph"/>
        <w:numPr>
          <w:ilvl w:val="1"/>
          <w:numId w:val="1"/>
        </w:numPr>
        <w:spacing w:line="360" w:lineRule="auto"/>
        <w:rPr>
          <w:rFonts w:ascii="Verdana" w:hAnsi="Verdana"/>
          <w:b/>
          <w:lang w:val="en-US"/>
        </w:rPr>
      </w:pPr>
      <w:r w:rsidRPr="00564A3B">
        <w:rPr>
          <w:rFonts w:ascii="Verdana" w:hAnsi="Verdana"/>
          <w:b/>
          <w:lang w:val="en-US"/>
        </w:rPr>
        <w:t>The NIHRC recommends that the</w:t>
      </w:r>
      <w:r w:rsidR="008E2C6D" w:rsidRPr="00564A3B">
        <w:rPr>
          <w:rFonts w:ascii="Verdana" w:hAnsi="Verdana"/>
          <w:b/>
          <w:lang w:val="en-US"/>
        </w:rPr>
        <w:t xml:space="preserve"> final s</w:t>
      </w:r>
      <w:r w:rsidRPr="00564A3B">
        <w:rPr>
          <w:rFonts w:ascii="Verdana" w:hAnsi="Verdana"/>
          <w:b/>
          <w:lang w:val="en-US"/>
        </w:rPr>
        <w:t>trategy</w:t>
      </w:r>
      <w:r w:rsidR="00AD4AC3" w:rsidRPr="00564A3B">
        <w:rPr>
          <w:rFonts w:ascii="Verdana" w:hAnsi="Verdana"/>
          <w:b/>
          <w:lang w:val="en-US"/>
        </w:rPr>
        <w:t xml:space="preserve"> acknowledges</w:t>
      </w:r>
      <w:r w:rsidRPr="00564A3B">
        <w:rPr>
          <w:rFonts w:ascii="Verdana" w:hAnsi="Verdana"/>
          <w:b/>
          <w:lang w:val="en-US"/>
        </w:rPr>
        <w:t xml:space="preserve"> the impact of </w:t>
      </w:r>
      <w:r w:rsidR="00511DBD" w:rsidRPr="00564A3B">
        <w:rPr>
          <w:rFonts w:ascii="Verdana" w:hAnsi="Verdana"/>
          <w:b/>
          <w:lang w:val="en-US"/>
        </w:rPr>
        <w:t>‘</w:t>
      </w:r>
      <w:r w:rsidRPr="00564A3B">
        <w:rPr>
          <w:rFonts w:ascii="Verdana" w:hAnsi="Verdana"/>
          <w:b/>
          <w:lang w:val="en-US"/>
        </w:rPr>
        <w:t xml:space="preserve">the </w:t>
      </w:r>
      <w:r w:rsidR="00511DBD" w:rsidRPr="00564A3B">
        <w:rPr>
          <w:rFonts w:ascii="Verdana" w:hAnsi="Verdana"/>
          <w:b/>
          <w:lang w:val="en-US"/>
        </w:rPr>
        <w:t xml:space="preserve">Troubles’ </w:t>
      </w:r>
      <w:r w:rsidRPr="00564A3B">
        <w:rPr>
          <w:rFonts w:ascii="Verdana" w:hAnsi="Verdana"/>
          <w:b/>
          <w:lang w:val="en-US"/>
        </w:rPr>
        <w:t>on domestic and sexual violence and abuse and outline</w:t>
      </w:r>
      <w:r w:rsidR="00257E69" w:rsidRPr="00564A3B">
        <w:rPr>
          <w:rFonts w:ascii="Verdana" w:hAnsi="Verdana"/>
          <w:b/>
          <w:lang w:val="en-US"/>
        </w:rPr>
        <w:t>s</w:t>
      </w:r>
      <w:r w:rsidRPr="00564A3B">
        <w:rPr>
          <w:rFonts w:ascii="Verdana" w:hAnsi="Verdana"/>
          <w:b/>
          <w:lang w:val="en-US"/>
        </w:rPr>
        <w:t xml:space="preserve"> specific measures to be taken in this area to address the particular circumstances of a post-conflict society.</w:t>
      </w:r>
    </w:p>
    <w:p w14:paraId="32C73578" w14:textId="77777777" w:rsidR="003E2BF8" w:rsidRPr="00810B19" w:rsidRDefault="003E2BF8" w:rsidP="00810B19">
      <w:pPr>
        <w:rPr>
          <w:rFonts w:ascii="Verdana" w:hAnsi="Verdana"/>
          <w:b/>
        </w:rPr>
      </w:pPr>
    </w:p>
    <w:p w14:paraId="00357A05" w14:textId="09232DA5" w:rsidR="00424B0D" w:rsidRPr="00564A3B" w:rsidRDefault="00635FAD" w:rsidP="00556C23">
      <w:pPr>
        <w:pStyle w:val="Heading2"/>
      </w:pPr>
      <w:bookmarkStart w:id="12" w:name="_Toc133586123"/>
      <w:r w:rsidRPr="00564A3B">
        <w:t>Resourcing</w:t>
      </w:r>
      <w:bookmarkEnd w:id="12"/>
      <w:r w:rsidRPr="00564A3B">
        <w:t xml:space="preserve"> </w:t>
      </w:r>
    </w:p>
    <w:p w14:paraId="4FE74798" w14:textId="30909691" w:rsidR="005376DF" w:rsidRPr="00564A3B" w:rsidRDefault="007E0719">
      <w:pPr>
        <w:pStyle w:val="ListParagraph"/>
        <w:numPr>
          <w:ilvl w:val="1"/>
          <w:numId w:val="1"/>
        </w:numPr>
        <w:spacing w:before="24" w:after="24" w:line="360" w:lineRule="auto"/>
        <w:rPr>
          <w:rFonts w:ascii="Verdana" w:hAnsi="Verdana" w:cs="Arial"/>
        </w:rPr>
      </w:pPr>
      <w:r w:rsidRPr="00564A3B">
        <w:rPr>
          <w:rFonts w:ascii="Verdana" w:hAnsi="Verdana" w:cs="Arial"/>
        </w:rPr>
        <w:t>Article 8 of the</w:t>
      </w:r>
      <w:r w:rsidR="000C4325" w:rsidRPr="00564A3B">
        <w:rPr>
          <w:rFonts w:ascii="Verdana" w:hAnsi="Verdana" w:cs="Arial"/>
        </w:rPr>
        <w:t xml:space="preserve"> </w:t>
      </w:r>
      <w:proofErr w:type="spellStart"/>
      <w:r w:rsidR="000C4325" w:rsidRPr="00564A3B">
        <w:rPr>
          <w:rFonts w:ascii="Verdana" w:hAnsi="Verdana" w:cs="Arial"/>
        </w:rPr>
        <w:t>CoE</w:t>
      </w:r>
      <w:proofErr w:type="spellEnd"/>
      <w:r w:rsidRPr="00564A3B">
        <w:rPr>
          <w:rFonts w:ascii="Verdana" w:hAnsi="Verdana" w:cs="Arial"/>
        </w:rPr>
        <w:t xml:space="preserve"> Istanbul Convention states:</w:t>
      </w:r>
    </w:p>
    <w:p w14:paraId="76B2611D" w14:textId="77777777" w:rsidR="005376DF" w:rsidRPr="00564A3B" w:rsidRDefault="005376DF" w:rsidP="00D461C1">
      <w:pPr>
        <w:pStyle w:val="ListParagraph"/>
        <w:spacing w:before="24" w:after="24" w:line="360" w:lineRule="auto"/>
        <w:rPr>
          <w:rFonts w:ascii="Verdana" w:hAnsi="Verdana" w:cs="Arial"/>
        </w:rPr>
      </w:pPr>
    </w:p>
    <w:p w14:paraId="3444A001" w14:textId="11529BC4" w:rsidR="005376DF" w:rsidRPr="00564A3B" w:rsidRDefault="007E0719" w:rsidP="00D461C1">
      <w:pPr>
        <w:pStyle w:val="Quote"/>
        <w:spacing w:before="24" w:after="24" w:line="360" w:lineRule="auto"/>
        <w:ind w:left="1440"/>
        <w:rPr>
          <w:rFonts w:cs="Arial"/>
          <w:iCs w:val="0"/>
        </w:rPr>
      </w:pPr>
      <w:r w:rsidRPr="00564A3B">
        <w:rPr>
          <w:rFonts w:cs="Arial"/>
          <w:iCs w:val="0"/>
        </w:rPr>
        <w:t xml:space="preserve">parties shall allocate appropriate financial and human resources for the adequate implementation of integrated </w:t>
      </w:r>
      <w:r w:rsidRPr="00564A3B">
        <w:rPr>
          <w:rFonts w:cs="Arial"/>
          <w:iCs w:val="0"/>
        </w:rPr>
        <w:lastRenderedPageBreak/>
        <w:t>policies, measures and programmes to prevent and combat all forms of violence covered by the scope of this Convention, including those carried out by non-governmental organisations and civil society.</w:t>
      </w:r>
    </w:p>
    <w:p w14:paraId="007A0F13" w14:textId="0C6A8F6A" w:rsidR="00635FAD" w:rsidRPr="00564A3B" w:rsidRDefault="00635FAD" w:rsidP="00635FAD">
      <w:pPr>
        <w:rPr>
          <w:rFonts w:ascii="Verdana" w:hAnsi="Verdana"/>
        </w:rPr>
      </w:pPr>
    </w:p>
    <w:p w14:paraId="1005CBD4" w14:textId="286305EE" w:rsidR="00635FAD" w:rsidRPr="00564A3B" w:rsidRDefault="00706DF2">
      <w:pPr>
        <w:pStyle w:val="ListParagraph"/>
        <w:numPr>
          <w:ilvl w:val="1"/>
          <w:numId w:val="1"/>
        </w:numPr>
        <w:spacing w:line="360" w:lineRule="auto"/>
        <w:jc w:val="both"/>
        <w:rPr>
          <w:rFonts w:ascii="Verdana" w:hAnsi="Verdana"/>
        </w:rPr>
      </w:pPr>
      <w:r w:rsidRPr="00564A3B">
        <w:rPr>
          <w:rFonts w:ascii="Verdana" w:hAnsi="Verdana" w:cs="Arial"/>
        </w:rPr>
        <w:t>T</w:t>
      </w:r>
      <w:r w:rsidR="00635FAD" w:rsidRPr="00564A3B">
        <w:rPr>
          <w:rFonts w:ascii="Verdana" w:hAnsi="Verdana" w:cs="Arial"/>
        </w:rPr>
        <w:t>he obligations to respect, to protect and to fulfil human rights</w:t>
      </w:r>
      <w:r w:rsidR="00002F54" w:rsidRPr="00564A3B">
        <w:rPr>
          <w:rFonts w:ascii="Verdana" w:hAnsi="Verdana" w:cs="Arial"/>
        </w:rPr>
        <w:t xml:space="preserve"> are relevant</w:t>
      </w:r>
      <w:r w:rsidR="003C38F6" w:rsidRPr="00564A3B">
        <w:rPr>
          <w:rFonts w:ascii="Verdana" w:hAnsi="Verdana" w:cs="Arial"/>
        </w:rPr>
        <w:t>.</w:t>
      </w:r>
      <w:r w:rsidR="00FE592C" w:rsidRPr="00564A3B">
        <w:rPr>
          <w:rStyle w:val="FootnoteReference"/>
          <w:rFonts w:ascii="Verdana" w:hAnsi="Verdana" w:cs="Arial"/>
        </w:rPr>
        <w:footnoteReference w:id="57"/>
      </w:r>
      <w:r w:rsidR="003C38F6" w:rsidRPr="00564A3B">
        <w:rPr>
          <w:rFonts w:ascii="Verdana" w:hAnsi="Verdana" w:cs="Arial"/>
        </w:rPr>
        <w:t xml:space="preserve"> </w:t>
      </w:r>
      <w:r w:rsidR="00EA55F1" w:rsidRPr="00564A3B">
        <w:rPr>
          <w:rFonts w:ascii="Verdana" w:hAnsi="Verdana" w:cs="Arial"/>
        </w:rPr>
        <w:t xml:space="preserve">Respect requires that there is </w:t>
      </w:r>
      <w:r w:rsidR="00756B11" w:rsidRPr="00564A3B">
        <w:rPr>
          <w:rFonts w:ascii="Verdana" w:hAnsi="Verdana" w:cs="Arial"/>
        </w:rPr>
        <w:t xml:space="preserve"> an “overarching framework within which rights… are to be promoted and respected”.</w:t>
      </w:r>
      <w:r w:rsidR="005E220C" w:rsidRPr="00564A3B">
        <w:rPr>
          <w:rStyle w:val="FootnoteReference"/>
          <w:rFonts w:ascii="Verdana" w:hAnsi="Verdana" w:cs="Arial"/>
        </w:rPr>
        <w:footnoteReference w:id="58"/>
      </w:r>
      <w:r w:rsidR="00756B11" w:rsidRPr="00564A3B">
        <w:rPr>
          <w:rFonts w:ascii="Verdana" w:hAnsi="Verdana" w:cs="Arial"/>
        </w:rPr>
        <w:t xml:space="preserve"> Protect </w:t>
      </w:r>
      <w:r w:rsidR="007B253B" w:rsidRPr="00564A3B">
        <w:rPr>
          <w:rFonts w:ascii="Verdana" w:hAnsi="Verdana" w:cs="Arial"/>
        </w:rPr>
        <w:t>requires that States “refrain” from violating rights and that a</w:t>
      </w:r>
      <w:r w:rsidR="004C169A" w:rsidRPr="00564A3B">
        <w:rPr>
          <w:rFonts w:ascii="Verdana" w:hAnsi="Verdana" w:cs="Arial"/>
        </w:rPr>
        <w:t>ny restrictions on rights that are permissible are necessary, proportionate and in pursuit of a legitimate aim</w:t>
      </w:r>
      <w:r w:rsidR="00E56C23" w:rsidRPr="00564A3B">
        <w:rPr>
          <w:rFonts w:ascii="Verdana" w:hAnsi="Verdana" w:cs="Arial"/>
        </w:rPr>
        <w:t>.</w:t>
      </w:r>
      <w:r w:rsidR="0045051B" w:rsidRPr="00564A3B">
        <w:rPr>
          <w:rStyle w:val="FootnoteReference"/>
          <w:rFonts w:ascii="Verdana" w:hAnsi="Verdana" w:cs="Arial"/>
        </w:rPr>
        <w:footnoteReference w:id="59"/>
      </w:r>
      <w:r w:rsidR="00E56C23" w:rsidRPr="00564A3B">
        <w:rPr>
          <w:rFonts w:ascii="Verdana" w:hAnsi="Verdana" w:cs="Arial"/>
        </w:rPr>
        <w:t xml:space="preserve"> Fulfilment is achieved through adopting “legislative, judicial, administrative, educative and other appropriate measures</w:t>
      </w:r>
      <w:r w:rsidR="00FE592C" w:rsidRPr="00564A3B">
        <w:rPr>
          <w:rFonts w:ascii="Verdana" w:hAnsi="Verdana" w:cs="Arial"/>
        </w:rPr>
        <w:t xml:space="preserve"> in order to fulfil… legal obligations”.</w:t>
      </w:r>
      <w:r w:rsidR="0045051B" w:rsidRPr="00564A3B">
        <w:rPr>
          <w:rStyle w:val="FootnoteReference"/>
          <w:rFonts w:ascii="Verdana" w:hAnsi="Verdana" w:cs="Arial"/>
        </w:rPr>
        <w:footnoteReference w:id="60"/>
      </w:r>
      <w:r w:rsidR="00FE592C" w:rsidRPr="00564A3B">
        <w:rPr>
          <w:rFonts w:ascii="Verdana" w:hAnsi="Verdana" w:cs="Arial"/>
        </w:rPr>
        <w:t xml:space="preserve"> </w:t>
      </w:r>
      <w:r w:rsidR="003C38F6" w:rsidRPr="00564A3B">
        <w:rPr>
          <w:rFonts w:ascii="Verdana" w:hAnsi="Verdana" w:cs="Arial"/>
        </w:rPr>
        <w:t xml:space="preserve">There is also a requirement to </w:t>
      </w:r>
      <w:r w:rsidR="00002F54" w:rsidRPr="00564A3B">
        <w:rPr>
          <w:rFonts w:ascii="Verdana" w:hAnsi="Verdana" w:cs="Arial"/>
        </w:rPr>
        <w:t xml:space="preserve">ensure </w:t>
      </w:r>
      <w:r w:rsidR="00670729" w:rsidRPr="00564A3B">
        <w:rPr>
          <w:rFonts w:ascii="Verdana" w:hAnsi="Verdana" w:cs="Arial"/>
        </w:rPr>
        <w:t xml:space="preserve">that </w:t>
      </w:r>
      <w:r w:rsidR="00002F54" w:rsidRPr="00564A3B">
        <w:rPr>
          <w:rFonts w:ascii="Verdana" w:hAnsi="Verdana" w:cs="Arial"/>
        </w:rPr>
        <w:t>maximum available resources are utilised</w:t>
      </w:r>
      <w:r w:rsidR="00670729" w:rsidRPr="00564A3B">
        <w:rPr>
          <w:rFonts w:ascii="Verdana" w:hAnsi="Verdana" w:cs="Arial"/>
        </w:rPr>
        <w:t>,</w:t>
      </w:r>
      <w:r w:rsidR="007C5475" w:rsidRPr="00564A3B">
        <w:rPr>
          <w:rStyle w:val="FootnoteReference"/>
          <w:rFonts w:ascii="Verdana" w:hAnsi="Verdana" w:cs="Arial"/>
        </w:rPr>
        <w:footnoteReference w:id="61"/>
      </w:r>
      <w:r w:rsidR="00670729" w:rsidRPr="00564A3B">
        <w:rPr>
          <w:rFonts w:ascii="Verdana" w:hAnsi="Verdana" w:cs="Arial"/>
        </w:rPr>
        <w:t xml:space="preserve"> particularly in the context of socio-economic rights</w:t>
      </w:r>
      <w:r w:rsidR="00002F54" w:rsidRPr="00564A3B">
        <w:rPr>
          <w:rFonts w:ascii="Verdana" w:hAnsi="Verdana" w:cs="Arial"/>
        </w:rPr>
        <w:t>.</w:t>
      </w:r>
      <w:r w:rsidR="00635FAD" w:rsidRPr="00564A3B">
        <w:rPr>
          <w:rFonts w:ascii="Verdana" w:hAnsi="Verdana" w:cs="Arial"/>
        </w:rPr>
        <w:t xml:space="preserve"> </w:t>
      </w:r>
      <w:r w:rsidR="00F25721" w:rsidRPr="00564A3B">
        <w:rPr>
          <w:rFonts w:ascii="Verdana" w:hAnsi="Verdana" w:cs="Arial"/>
        </w:rPr>
        <w:t>This requires that “every effort has been made to use all resources that are at</w:t>
      </w:r>
      <w:r w:rsidR="00B5562A" w:rsidRPr="00564A3B">
        <w:rPr>
          <w:rFonts w:ascii="Verdana" w:hAnsi="Verdana" w:cs="Arial"/>
        </w:rPr>
        <w:t>… [a State’s]</w:t>
      </w:r>
      <w:r w:rsidR="00F25721" w:rsidRPr="00564A3B">
        <w:rPr>
          <w:rFonts w:ascii="Verdana" w:hAnsi="Verdana" w:cs="Arial"/>
        </w:rPr>
        <w:t xml:space="preserve"> disposition</w:t>
      </w:r>
      <w:r w:rsidR="00B5562A" w:rsidRPr="00564A3B">
        <w:rPr>
          <w:rFonts w:ascii="Verdana" w:hAnsi="Verdana" w:cs="Arial"/>
        </w:rPr>
        <w:t>”.</w:t>
      </w:r>
      <w:r w:rsidR="00B5562A" w:rsidRPr="00564A3B">
        <w:rPr>
          <w:rFonts w:ascii="Verdana" w:hAnsi="Verdana" w:cs="Arial"/>
          <w:vertAlign w:val="superscript"/>
        </w:rPr>
        <w:footnoteReference w:id="62"/>
      </w:r>
      <w:r w:rsidR="00F25721" w:rsidRPr="00564A3B">
        <w:rPr>
          <w:rFonts w:ascii="Verdana" w:hAnsi="Verdana" w:cs="Arial"/>
        </w:rPr>
        <w:t xml:space="preserve"> </w:t>
      </w:r>
      <w:r w:rsidR="005313A3" w:rsidRPr="00564A3B">
        <w:rPr>
          <w:rFonts w:ascii="Verdana" w:hAnsi="Verdana" w:cs="Arial"/>
        </w:rPr>
        <w:t xml:space="preserve">There should be no regressive steps, </w:t>
      </w:r>
      <w:r w:rsidR="005313A3" w:rsidRPr="00564A3B">
        <w:rPr>
          <w:rFonts w:ascii="Verdana" w:hAnsi="Verdana"/>
        </w:rPr>
        <w:t>including acts of omission or of commission, which deprive people of existing rights. However, in exceptional circumstances, any retrogressive measures “require the most careful consideration</w:t>
      </w:r>
      <w:r w:rsidR="005F1534" w:rsidRPr="00564A3B">
        <w:rPr>
          <w:rFonts w:ascii="Verdana" w:hAnsi="Verdana"/>
        </w:rPr>
        <w:t>”</w:t>
      </w:r>
      <w:r w:rsidR="005313A3" w:rsidRPr="00564A3B">
        <w:rPr>
          <w:rFonts w:ascii="Verdana" w:hAnsi="Verdana"/>
        </w:rPr>
        <w:t xml:space="preserve"> and </w:t>
      </w:r>
      <w:r w:rsidR="005F1534" w:rsidRPr="00564A3B">
        <w:rPr>
          <w:rFonts w:ascii="Verdana" w:hAnsi="Verdana"/>
        </w:rPr>
        <w:t>“</w:t>
      </w:r>
      <w:r w:rsidR="005313A3" w:rsidRPr="00564A3B">
        <w:rPr>
          <w:rFonts w:ascii="Verdana" w:hAnsi="Verdana"/>
        </w:rPr>
        <w:t>need to be fully justified by reference to the totality of the rights</w:t>
      </w:r>
      <w:r w:rsidR="005F1534" w:rsidRPr="00564A3B">
        <w:rPr>
          <w:rFonts w:ascii="Verdana" w:hAnsi="Verdana"/>
        </w:rPr>
        <w:t>…</w:t>
      </w:r>
      <w:r w:rsidR="005313A3" w:rsidRPr="00564A3B">
        <w:rPr>
          <w:rFonts w:ascii="Verdana" w:hAnsi="Verdana"/>
        </w:rPr>
        <w:t>and in the context of the full use of the maximum available resources”.</w:t>
      </w:r>
      <w:r w:rsidR="005313A3" w:rsidRPr="00564A3B">
        <w:rPr>
          <w:rStyle w:val="FootnoteReference"/>
          <w:rFonts w:ascii="Verdana" w:hAnsi="Verdana"/>
        </w:rPr>
        <w:footnoteReference w:id="63"/>
      </w:r>
    </w:p>
    <w:p w14:paraId="6BDC428E" w14:textId="77777777" w:rsidR="000C11F9" w:rsidRPr="00564A3B" w:rsidRDefault="000C11F9" w:rsidP="000C11F9">
      <w:pPr>
        <w:pStyle w:val="ListParagraph"/>
        <w:spacing w:line="360" w:lineRule="auto"/>
        <w:jc w:val="both"/>
        <w:rPr>
          <w:rFonts w:ascii="Verdana" w:hAnsi="Verdana"/>
        </w:rPr>
      </w:pPr>
    </w:p>
    <w:p w14:paraId="4A3DD69B" w14:textId="0701593A" w:rsidR="000C11F9" w:rsidRPr="00564A3B" w:rsidRDefault="000C11F9">
      <w:pPr>
        <w:pStyle w:val="ListParagraph"/>
        <w:numPr>
          <w:ilvl w:val="1"/>
          <w:numId w:val="1"/>
        </w:numPr>
        <w:spacing w:line="360" w:lineRule="auto"/>
        <w:jc w:val="both"/>
        <w:rPr>
          <w:rFonts w:ascii="Verdana" w:hAnsi="Verdana"/>
        </w:rPr>
      </w:pPr>
      <w:r w:rsidRPr="00564A3B">
        <w:rPr>
          <w:rFonts w:ascii="Verdana" w:hAnsi="Verdana" w:cs="Arial"/>
        </w:rPr>
        <w:t>The effective allocation of resources is a key element in the enjoyment of human rights and requires States not only to distribute existing resources, but also to effectively mobilise resources within a country.</w:t>
      </w:r>
      <w:r w:rsidRPr="00564A3B">
        <w:rPr>
          <w:rStyle w:val="FootnoteReference"/>
          <w:rFonts w:ascii="Verdana" w:hAnsi="Verdana" w:cs="Arial"/>
        </w:rPr>
        <w:footnoteReference w:id="64"/>
      </w:r>
      <w:r w:rsidRPr="00564A3B">
        <w:rPr>
          <w:rFonts w:ascii="Verdana" w:hAnsi="Verdana" w:cs="Arial"/>
        </w:rPr>
        <w:t xml:space="preserve"> </w:t>
      </w:r>
    </w:p>
    <w:p w14:paraId="6BC344AD" w14:textId="77777777" w:rsidR="00136920" w:rsidRPr="00564A3B" w:rsidRDefault="00136920" w:rsidP="00136920">
      <w:pPr>
        <w:pStyle w:val="ListParagraph"/>
        <w:rPr>
          <w:rFonts w:ascii="Verdana" w:hAnsi="Verdana"/>
        </w:rPr>
      </w:pPr>
    </w:p>
    <w:p w14:paraId="05B2A124" w14:textId="75C2450C" w:rsidR="009D1E94" w:rsidRPr="00564A3B" w:rsidRDefault="009D1E94">
      <w:pPr>
        <w:pStyle w:val="ListParagraph"/>
        <w:numPr>
          <w:ilvl w:val="1"/>
          <w:numId w:val="1"/>
        </w:numPr>
        <w:spacing w:before="24" w:after="24" w:line="360" w:lineRule="auto"/>
        <w:jc w:val="both"/>
        <w:rPr>
          <w:rFonts w:ascii="Verdana" w:hAnsi="Verdana"/>
        </w:rPr>
      </w:pPr>
      <w:r w:rsidRPr="00564A3B">
        <w:rPr>
          <w:rFonts w:ascii="Verdana" w:hAnsi="Verdana" w:cs="Arial"/>
        </w:rPr>
        <w:lastRenderedPageBreak/>
        <w:t>The draft strategy advises that “in the absence of an Executive, that draft budget was not agreed and the future funding picture is uncertain”.</w:t>
      </w:r>
      <w:r w:rsidR="0035128C" w:rsidRPr="00564A3B">
        <w:rPr>
          <w:rStyle w:val="FootnoteReference"/>
          <w:rFonts w:ascii="Verdana" w:hAnsi="Verdana" w:cs="Arial"/>
        </w:rPr>
        <w:footnoteReference w:id="65"/>
      </w:r>
      <w:r w:rsidRPr="00564A3B">
        <w:rPr>
          <w:rFonts w:ascii="Verdana" w:hAnsi="Verdana" w:cs="Arial"/>
        </w:rPr>
        <w:t xml:space="preserve"> </w:t>
      </w:r>
    </w:p>
    <w:p w14:paraId="30DC964E" w14:textId="77777777" w:rsidR="009D1E94" w:rsidRPr="00564A3B" w:rsidRDefault="009D1E94" w:rsidP="009D1E94">
      <w:pPr>
        <w:pStyle w:val="ListParagraph"/>
        <w:rPr>
          <w:rFonts w:ascii="Verdana" w:hAnsi="Verdana"/>
        </w:rPr>
      </w:pPr>
    </w:p>
    <w:p w14:paraId="2E78F5BC" w14:textId="6712F53B" w:rsidR="00136920" w:rsidRPr="00564A3B" w:rsidRDefault="00136920">
      <w:pPr>
        <w:pStyle w:val="ListParagraph"/>
        <w:numPr>
          <w:ilvl w:val="1"/>
          <w:numId w:val="1"/>
        </w:numPr>
        <w:spacing w:before="24" w:after="24" w:line="360" w:lineRule="auto"/>
        <w:jc w:val="both"/>
        <w:rPr>
          <w:rFonts w:ascii="Verdana" w:hAnsi="Verdana"/>
        </w:rPr>
      </w:pPr>
      <w:r w:rsidRPr="00564A3B">
        <w:rPr>
          <w:rFonts w:ascii="Verdana" w:hAnsi="Verdana"/>
        </w:rPr>
        <w:t xml:space="preserve">The </w:t>
      </w:r>
      <w:r w:rsidR="00AD4AC3" w:rsidRPr="00564A3B">
        <w:rPr>
          <w:rFonts w:ascii="Verdana" w:hAnsi="Verdana"/>
        </w:rPr>
        <w:t xml:space="preserve">draft </w:t>
      </w:r>
      <w:r w:rsidR="008E2C6D" w:rsidRPr="00564A3B">
        <w:rPr>
          <w:rFonts w:ascii="Verdana" w:hAnsi="Verdana"/>
        </w:rPr>
        <w:t>s</w:t>
      </w:r>
      <w:r w:rsidR="009D1E94" w:rsidRPr="00564A3B">
        <w:rPr>
          <w:rFonts w:ascii="Verdana" w:hAnsi="Verdana"/>
        </w:rPr>
        <w:t>trategy also states</w:t>
      </w:r>
      <w:r w:rsidRPr="00564A3B">
        <w:rPr>
          <w:rFonts w:ascii="Verdana" w:hAnsi="Verdana"/>
        </w:rPr>
        <w:t xml:space="preserve"> that “the allocation of funding and work to be progressed will be considered as part of the development of annual delivery plans”.</w:t>
      </w:r>
      <w:r w:rsidR="002671EE" w:rsidRPr="00564A3B">
        <w:rPr>
          <w:rStyle w:val="FootnoteReference"/>
          <w:rFonts w:ascii="Verdana" w:hAnsi="Verdana"/>
        </w:rPr>
        <w:footnoteReference w:id="66"/>
      </w:r>
      <w:r w:rsidRPr="00564A3B">
        <w:rPr>
          <w:rFonts w:ascii="Verdana" w:hAnsi="Verdana"/>
        </w:rPr>
        <w:t xml:space="preserve"> The NIHRC is concerned that the delivery of the </w:t>
      </w:r>
      <w:r w:rsidR="00AD4AC3" w:rsidRPr="00564A3B">
        <w:rPr>
          <w:rFonts w:ascii="Verdana" w:hAnsi="Verdana"/>
        </w:rPr>
        <w:t xml:space="preserve">finalised </w:t>
      </w:r>
      <w:r w:rsidRPr="00564A3B">
        <w:rPr>
          <w:rFonts w:ascii="Verdana" w:hAnsi="Verdana"/>
        </w:rPr>
        <w:t xml:space="preserve">strategy will be subject to annual funding considerations. </w:t>
      </w:r>
      <w:r w:rsidR="004E0444" w:rsidRPr="00564A3B">
        <w:rPr>
          <w:rFonts w:ascii="Verdana" w:hAnsi="Verdana"/>
        </w:rPr>
        <w:t xml:space="preserve">This </w:t>
      </w:r>
      <w:r w:rsidR="00AD4AC3" w:rsidRPr="00564A3B">
        <w:rPr>
          <w:rFonts w:ascii="Verdana" w:hAnsi="Verdana"/>
        </w:rPr>
        <w:t xml:space="preserve">would </w:t>
      </w:r>
      <w:r w:rsidR="004E0444" w:rsidRPr="00564A3B">
        <w:rPr>
          <w:rFonts w:ascii="Verdana" w:hAnsi="Verdana"/>
        </w:rPr>
        <w:t xml:space="preserve">create uncertainty for those involved in the delivery of the strategy and prevents long-term planning in implementation.  </w:t>
      </w:r>
    </w:p>
    <w:p w14:paraId="59C97936" w14:textId="040BB60C" w:rsidR="00635FAD" w:rsidRPr="00564A3B" w:rsidRDefault="00635FAD" w:rsidP="00CE7F49">
      <w:pPr>
        <w:rPr>
          <w:rFonts w:ascii="Verdana" w:hAnsi="Verdana"/>
        </w:rPr>
      </w:pPr>
    </w:p>
    <w:p w14:paraId="213BFAD7" w14:textId="342F8C3B" w:rsidR="00635FAD" w:rsidRPr="008A1145" w:rsidRDefault="00635FAD">
      <w:pPr>
        <w:pStyle w:val="ListParagraph"/>
        <w:numPr>
          <w:ilvl w:val="1"/>
          <w:numId w:val="1"/>
        </w:numPr>
        <w:spacing w:line="360" w:lineRule="auto"/>
        <w:jc w:val="both"/>
        <w:rPr>
          <w:rFonts w:ascii="Verdana" w:hAnsi="Verdana"/>
          <w:b/>
        </w:rPr>
      </w:pPr>
      <w:r w:rsidRPr="008A1145">
        <w:rPr>
          <w:rFonts w:ascii="Verdana" w:hAnsi="Verdana" w:cs="Arial"/>
          <w:b/>
        </w:rPr>
        <w:t xml:space="preserve">The NIHRC recommends that the </w:t>
      </w:r>
      <w:r w:rsidR="00223697" w:rsidRPr="008A1145">
        <w:rPr>
          <w:rFonts w:ascii="Verdana" w:hAnsi="Verdana" w:cs="Arial"/>
          <w:b/>
        </w:rPr>
        <w:t>Department</w:t>
      </w:r>
      <w:r w:rsidR="004E0444" w:rsidRPr="008A1145">
        <w:rPr>
          <w:rFonts w:ascii="Verdana" w:hAnsi="Verdana" w:cs="Arial"/>
          <w:b/>
        </w:rPr>
        <w:t xml:space="preserve"> of Health and Department of Justice </w:t>
      </w:r>
      <w:r w:rsidR="00136920" w:rsidRPr="008A1145">
        <w:rPr>
          <w:rFonts w:ascii="Verdana" w:hAnsi="Verdana" w:cs="Arial"/>
          <w:b/>
        </w:rPr>
        <w:t>assess</w:t>
      </w:r>
      <w:r w:rsidR="004E0444" w:rsidRPr="008A1145">
        <w:rPr>
          <w:rFonts w:ascii="Verdana" w:hAnsi="Verdana" w:cs="Arial"/>
          <w:b/>
        </w:rPr>
        <w:t xml:space="preserve"> </w:t>
      </w:r>
      <w:r w:rsidRPr="008A1145">
        <w:rPr>
          <w:rFonts w:ascii="Verdana" w:hAnsi="Verdana" w:cs="Arial"/>
          <w:b/>
        </w:rPr>
        <w:t xml:space="preserve">the level of resources necessary and, with the NI Executive, ensure that the maximum available resources are </w:t>
      </w:r>
      <w:r w:rsidR="00484777" w:rsidRPr="008A1145">
        <w:rPr>
          <w:rFonts w:ascii="Verdana" w:hAnsi="Verdana" w:cs="Arial"/>
          <w:b/>
        </w:rPr>
        <w:t xml:space="preserve">effectively </w:t>
      </w:r>
      <w:r w:rsidRPr="008A1145">
        <w:rPr>
          <w:rFonts w:ascii="Verdana" w:hAnsi="Verdana" w:cs="Arial"/>
          <w:b/>
        </w:rPr>
        <w:t xml:space="preserve">utilised and </w:t>
      </w:r>
      <w:r w:rsidR="004E59CD" w:rsidRPr="008A1145">
        <w:rPr>
          <w:rFonts w:ascii="Verdana" w:hAnsi="Verdana" w:cs="Arial"/>
          <w:b/>
        </w:rPr>
        <w:t xml:space="preserve">the necessary resources are </w:t>
      </w:r>
      <w:r w:rsidRPr="008A1145">
        <w:rPr>
          <w:rFonts w:ascii="Verdana" w:hAnsi="Verdana" w:cs="Arial"/>
          <w:b/>
        </w:rPr>
        <w:t xml:space="preserve">ring fenced for the development </w:t>
      </w:r>
      <w:r w:rsidR="004E59CD" w:rsidRPr="008A1145">
        <w:rPr>
          <w:rFonts w:ascii="Verdana" w:hAnsi="Verdana" w:cs="Arial"/>
          <w:b/>
        </w:rPr>
        <w:t xml:space="preserve">and effective implementation </w:t>
      </w:r>
      <w:r w:rsidRPr="008A1145">
        <w:rPr>
          <w:rFonts w:ascii="Verdana" w:hAnsi="Verdana" w:cs="Arial"/>
          <w:b/>
        </w:rPr>
        <w:t xml:space="preserve">of this strategy. </w:t>
      </w:r>
      <w:r w:rsidR="00C942F1" w:rsidRPr="008A1145">
        <w:rPr>
          <w:rFonts w:ascii="Verdana" w:hAnsi="Verdana" w:cs="Arial"/>
          <w:b/>
        </w:rPr>
        <w:t xml:space="preserve">The resources allocated </w:t>
      </w:r>
      <w:r w:rsidR="004E0444" w:rsidRPr="008A1145">
        <w:rPr>
          <w:rFonts w:ascii="Verdana" w:hAnsi="Verdana" w:cs="Arial"/>
          <w:b/>
        </w:rPr>
        <w:t xml:space="preserve">should be long-term and should have sufficient flexibility </w:t>
      </w:r>
      <w:r w:rsidR="00C22F85" w:rsidRPr="008A1145">
        <w:rPr>
          <w:rFonts w:ascii="Verdana" w:hAnsi="Verdana" w:cs="Arial"/>
          <w:b/>
        </w:rPr>
        <w:t xml:space="preserve">to address needs as and when they arise. </w:t>
      </w:r>
    </w:p>
    <w:p w14:paraId="1512C501" w14:textId="77777777" w:rsidR="00635FAD" w:rsidRPr="00564A3B" w:rsidRDefault="00635FAD" w:rsidP="00635FAD">
      <w:pPr>
        <w:pStyle w:val="ListParagraph"/>
        <w:rPr>
          <w:rFonts w:ascii="Verdana" w:hAnsi="Verdana"/>
        </w:rPr>
      </w:pPr>
    </w:p>
    <w:p w14:paraId="0C1C6200" w14:textId="46125541" w:rsidR="00635FAD" w:rsidRPr="00564A3B" w:rsidRDefault="00635FAD">
      <w:pPr>
        <w:pStyle w:val="ListParagraph"/>
        <w:numPr>
          <w:ilvl w:val="1"/>
          <w:numId w:val="1"/>
        </w:numPr>
        <w:spacing w:line="360" w:lineRule="auto"/>
        <w:jc w:val="both"/>
        <w:rPr>
          <w:rFonts w:ascii="Verdana" w:hAnsi="Verdana"/>
          <w:b/>
        </w:rPr>
      </w:pPr>
      <w:r w:rsidRPr="00564A3B">
        <w:rPr>
          <w:rFonts w:ascii="Verdana" w:hAnsi="Verdana" w:cs="Arial"/>
          <w:b/>
        </w:rPr>
        <w:t xml:space="preserve">The NIHRC recommends that the </w:t>
      </w:r>
      <w:r w:rsidR="00223697" w:rsidRPr="00564A3B">
        <w:rPr>
          <w:rFonts w:ascii="Verdana" w:hAnsi="Verdana" w:cs="Arial"/>
          <w:b/>
        </w:rPr>
        <w:t>Depar</w:t>
      </w:r>
      <w:r w:rsidR="004E0444" w:rsidRPr="00564A3B">
        <w:rPr>
          <w:rFonts w:ascii="Verdana" w:hAnsi="Verdana" w:cs="Arial"/>
          <w:b/>
        </w:rPr>
        <w:t>tment of Health and Department of Justice</w:t>
      </w:r>
      <w:r w:rsidR="00CE7F49" w:rsidRPr="00564A3B">
        <w:rPr>
          <w:rFonts w:ascii="Verdana" w:hAnsi="Verdana" w:cs="Arial"/>
          <w:b/>
        </w:rPr>
        <w:t xml:space="preserve"> maintain</w:t>
      </w:r>
      <w:r w:rsidRPr="00564A3B">
        <w:rPr>
          <w:rFonts w:ascii="Verdana" w:hAnsi="Verdana" w:cs="Arial"/>
          <w:b/>
        </w:rPr>
        <w:t xml:space="preserve"> a participatory process in the development of the budget relating to the proposed strategy and engage in meaningful consultation with those affected by the strategy and their representative organisations. </w:t>
      </w:r>
    </w:p>
    <w:p w14:paraId="4A974D44" w14:textId="62D4626D" w:rsidR="00200733" w:rsidRPr="00564A3B" w:rsidRDefault="00200733" w:rsidP="00136920">
      <w:pPr>
        <w:pStyle w:val="ListParagraph"/>
        <w:rPr>
          <w:rFonts w:ascii="Verdana" w:hAnsi="Verdana"/>
        </w:rPr>
      </w:pPr>
    </w:p>
    <w:p w14:paraId="2FBD36D9" w14:textId="16EC0F79" w:rsidR="006A38E3" w:rsidRPr="00564A3B" w:rsidRDefault="00200733">
      <w:pPr>
        <w:pStyle w:val="ListParagraph"/>
        <w:numPr>
          <w:ilvl w:val="1"/>
          <w:numId w:val="1"/>
        </w:numPr>
        <w:spacing w:before="24" w:after="24" w:line="360" w:lineRule="auto"/>
        <w:jc w:val="both"/>
        <w:rPr>
          <w:rFonts w:ascii="Verdana" w:hAnsi="Verdana"/>
          <w:b/>
        </w:rPr>
      </w:pPr>
      <w:r w:rsidRPr="00564A3B">
        <w:rPr>
          <w:rFonts w:ascii="Verdana" w:hAnsi="Verdana"/>
          <w:b/>
        </w:rPr>
        <w:t xml:space="preserve">The NIHRC recommends that </w:t>
      </w:r>
      <w:r w:rsidR="00610B45" w:rsidRPr="00564A3B">
        <w:rPr>
          <w:rFonts w:ascii="Verdana" w:hAnsi="Verdana"/>
          <w:b/>
        </w:rPr>
        <w:t>the Department</w:t>
      </w:r>
      <w:r w:rsidR="00100A11" w:rsidRPr="00564A3B">
        <w:rPr>
          <w:rFonts w:ascii="Verdana" w:hAnsi="Verdana"/>
          <w:b/>
        </w:rPr>
        <w:t xml:space="preserve"> of Health and Department of Justice</w:t>
      </w:r>
      <w:r w:rsidR="00610B45" w:rsidRPr="00564A3B">
        <w:rPr>
          <w:rFonts w:ascii="Verdana" w:hAnsi="Verdana"/>
          <w:b/>
        </w:rPr>
        <w:t xml:space="preserve"> </w:t>
      </w:r>
      <w:r w:rsidRPr="00564A3B">
        <w:rPr>
          <w:rFonts w:ascii="Verdana" w:hAnsi="Verdana"/>
          <w:b/>
        </w:rPr>
        <w:t xml:space="preserve">ensure that external agencies, particularly civil society organisations, are appropriately resourced to ensure their long-term sustainability in the provision of services.  </w:t>
      </w:r>
    </w:p>
    <w:p w14:paraId="5E9410B3" w14:textId="77777777" w:rsidR="00DB4694" w:rsidRPr="00564A3B" w:rsidRDefault="00DB4694" w:rsidP="00DB4694">
      <w:pPr>
        <w:pStyle w:val="ListParagraph"/>
        <w:rPr>
          <w:rFonts w:ascii="Verdana" w:hAnsi="Verdana"/>
        </w:rPr>
      </w:pPr>
    </w:p>
    <w:p w14:paraId="40D2E5FB" w14:textId="42A8D473" w:rsidR="00B873C1" w:rsidRPr="00564A3B" w:rsidRDefault="00B873C1" w:rsidP="00A73ACB">
      <w:pPr>
        <w:pStyle w:val="Heading2"/>
      </w:pPr>
      <w:bookmarkStart w:id="13" w:name="_Toc132109399"/>
      <w:bookmarkStart w:id="14" w:name="_Toc133586124"/>
      <w:r w:rsidRPr="00564A3B">
        <w:lastRenderedPageBreak/>
        <w:t xml:space="preserve">Data </w:t>
      </w:r>
      <w:r w:rsidR="00A92DC2" w:rsidRPr="00564A3B">
        <w:t>c</w:t>
      </w:r>
      <w:r w:rsidRPr="00564A3B">
        <w:t>ollection</w:t>
      </w:r>
      <w:bookmarkEnd w:id="13"/>
      <w:bookmarkEnd w:id="14"/>
    </w:p>
    <w:p w14:paraId="35C045A4" w14:textId="77777777" w:rsidR="00B873C1" w:rsidRPr="00564A3B" w:rsidRDefault="00B873C1">
      <w:pPr>
        <w:pStyle w:val="ListParagraph"/>
        <w:numPr>
          <w:ilvl w:val="1"/>
          <w:numId w:val="1"/>
        </w:numPr>
        <w:spacing w:before="24" w:after="24" w:line="360" w:lineRule="auto"/>
        <w:rPr>
          <w:rFonts w:ascii="Verdana" w:hAnsi="Verdana"/>
        </w:rPr>
      </w:pPr>
      <w:r w:rsidRPr="00564A3B">
        <w:rPr>
          <w:rFonts w:ascii="Verdana" w:hAnsi="Verdana" w:cs="Arial"/>
          <w:lang w:val="en-US"/>
        </w:rPr>
        <w:t>The UN CEDAW Committee, in its 2019 concluding observations on the UK, recommended that the UK Government and NI Executive “s</w:t>
      </w:r>
      <w:r w:rsidRPr="00564A3B">
        <w:rPr>
          <w:rFonts w:ascii="Verdana" w:hAnsi="Verdana" w:cs="Verdana"/>
          <w:bCs/>
          <w:color w:val="000000"/>
          <w:lang w:val="en-US"/>
        </w:rPr>
        <w:t>ystematically collect and publish data, disaggregated by sex, gender, ethnicity, disability and age, throughout the whole of its territory to inform policymaking and assess the impact of measures taken”.</w:t>
      </w:r>
      <w:r w:rsidRPr="00564A3B">
        <w:rPr>
          <w:rFonts w:ascii="Verdana" w:hAnsi="Verdana" w:cs="Verdana"/>
          <w:bCs/>
          <w:color w:val="000000"/>
          <w:vertAlign w:val="superscript"/>
          <w:lang w:val="en-US"/>
        </w:rPr>
        <w:footnoteReference w:id="67"/>
      </w:r>
      <w:r w:rsidRPr="00564A3B">
        <w:rPr>
          <w:rFonts w:ascii="Verdana" w:hAnsi="Verdana" w:cs="Verdana"/>
          <w:bCs/>
          <w:color w:val="000000"/>
          <w:lang w:val="en-US"/>
        </w:rPr>
        <w:t xml:space="preserve"> </w:t>
      </w:r>
    </w:p>
    <w:p w14:paraId="2C3C76C7" w14:textId="77777777" w:rsidR="00B873C1" w:rsidRPr="00564A3B" w:rsidRDefault="00B873C1" w:rsidP="00B873C1">
      <w:pPr>
        <w:pStyle w:val="ListParagraph"/>
        <w:rPr>
          <w:rFonts w:ascii="Verdana" w:hAnsi="Verdana" w:cs="Verdana"/>
          <w:bCs/>
          <w:color w:val="000000"/>
        </w:rPr>
      </w:pPr>
    </w:p>
    <w:p w14:paraId="26A56DBC" w14:textId="77777777" w:rsidR="00B873C1" w:rsidRPr="00564A3B" w:rsidRDefault="00B873C1">
      <w:pPr>
        <w:pStyle w:val="ListParagraph"/>
        <w:numPr>
          <w:ilvl w:val="1"/>
          <w:numId w:val="1"/>
        </w:numPr>
        <w:spacing w:before="24" w:after="24" w:line="360" w:lineRule="auto"/>
        <w:rPr>
          <w:rFonts w:ascii="Verdana" w:hAnsi="Verdana"/>
        </w:rPr>
      </w:pPr>
      <w:r w:rsidRPr="00564A3B">
        <w:rPr>
          <w:rFonts w:ascii="Verdana" w:hAnsi="Verdana" w:cs="Verdana"/>
          <w:bCs/>
          <w:color w:val="000000"/>
        </w:rPr>
        <w:t>The UN CEDAW Committee has also advised that all data should be “disaggregated by type of violence, relationship between the victim/survivor and the perpetrator, and in relation to intersecting forms of discrimination against women…”</w:t>
      </w:r>
      <w:r w:rsidRPr="00564A3B">
        <w:rPr>
          <w:rStyle w:val="FootnoteReference"/>
          <w:rFonts w:ascii="Verdana" w:hAnsi="Verdana" w:cs="Verdana"/>
          <w:bCs/>
          <w:color w:val="000000"/>
        </w:rPr>
        <w:footnoteReference w:id="68"/>
      </w:r>
    </w:p>
    <w:p w14:paraId="336F9D0A" w14:textId="77777777" w:rsidR="00B873C1" w:rsidRPr="00564A3B" w:rsidRDefault="00B873C1" w:rsidP="00B873C1">
      <w:pPr>
        <w:pStyle w:val="ListParagraph"/>
        <w:rPr>
          <w:rFonts w:ascii="Verdana" w:hAnsi="Verdana" w:cs="Verdana"/>
          <w:bCs/>
          <w:color w:val="000000"/>
          <w:lang w:val="en-US"/>
        </w:rPr>
      </w:pPr>
    </w:p>
    <w:p w14:paraId="5BE85702" w14:textId="247E5AED" w:rsidR="00B873C1" w:rsidRPr="00564A3B" w:rsidRDefault="00B873C1">
      <w:pPr>
        <w:pStyle w:val="ListParagraph"/>
        <w:numPr>
          <w:ilvl w:val="1"/>
          <w:numId w:val="1"/>
        </w:numPr>
        <w:spacing w:before="24" w:after="24" w:line="360" w:lineRule="auto"/>
        <w:rPr>
          <w:rFonts w:ascii="Verdana" w:hAnsi="Verdana"/>
        </w:rPr>
      </w:pPr>
      <w:r w:rsidRPr="00564A3B">
        <w:rPr>
          <w:rFonts w:ascii="Verdana" w:hAnsi="Verdana" w:cs="Verdana"/>
          <w:bCs/>
          <w:color w:val="000000"/>
          <w:lang w:val="en-US"/>
        </w:rPr>
        <w:t xml:space="preserve"> </w:t>
      </w:r>
      <w:r w:rsidRPr="00564A3B">
        <w:rPr>
          <w:rFonts w:ascii="Verdana" w:hAnsi="Verdana"/>
        </w:rPr>
        <w:t>Article 11 of the</w:t>
      </w:r>
      <w:r w:rsidR="000C4325" w:rsidRPr="00564A3B">
        <w:rPr>
          <w:rFonts w:ascii="Verdana" w:hAnsi="Verdana"/>
        </w:rPr>
        <w:t xml:space="preserve"> </w:t>
      </w:r>
      <w:proofErr w:type="spellStart"/>
      <w:r w:rsidR="000C4325" w:rsidRPr="00564A3B">
        <w:rPr>
          <w:rFonts w:ascii="Verdana" w:hAnsi="Verdana"/>
        </w:rPr>
        <w:t>CoE</w:t>
      </w:r>
      <w:proofErr w:type="spellEnd"/>
      <w:r w:rsidRPr="00564A3B">
        <w:rPr>
          <w:rFonts w:ascii="Verdana" w:hAnsi="Verdana"/>
        </w:rPr>
        <w:t xml:space="preserve"> Istanbul Convention also highlights the importance of data collection and research, which must be disaggregated if it is to be helpful. </w:t>
      </w:r>
    </w:p>
    <w:p w14:paraId="7B5EC16A" w14:textId="77777777" w:rsidR="00B873C1" w:rsidRPr="00564A3B" w:rsidRDefault="00B873C1" w:rsidP="00B873C1">
      <w:pPr>
        <w:pStyle w:val="ListParagraph"/>
        <w:rPr>
          <w:rFonts w:ascii="Verdana" w:hAnsi="Verdana"/>
        </w:rPr>
      </w:pPr>
    </w:p>
    <w:p w14:paraId="7D2EE99A" w14:textId="77777777" w:rsidR="00B873C1" w:rsidRPr="00564A3B" w:rsidRDefault="00B873C1">
      <w:pPr>
        <w:pStyle w:val="ListParagraph"/>
        <w:numPr>
          <w:ilvl w:val="1"/>
          <w:numId w:val="1"/>
        </w:numPr>
        <w:spacing w:line="360" w:lineRule="auto"/>
        <w:rPr>
          <w:rFonts w:ascii="Verdana" w:hAnsi="Verdana"/>
        </w:rPr>
      </w:pPr>
      <w:r w:rsidRPr="00564A3B">
        <w:rPr>
          <w:rFonts w:ascii="Verdana" w:hAnsi="Verdana"/>
        </w:rPr>
        <w:t>This issue of data collection has been raised by the UN Independent Expert on Sexual Orientation and Gender Identity, Victor Madrigal-</w:t>
      </w:r>
      <w:proofErr w:type="spellStart"/>
      <w:r w:rsidRPr="00564A3B">
        <w:rPr>
          <w:rFonts w:ascii="Verdana" w:hAnsi="Verdana"/>
        </w:rPr>
        <w:t>Borloz</w:t>
      </w:r>
      <w:proofErr w:type="spellEnd"/>
      <w:r w:rsidRPr="00564A3B">
        <w:rPr>
          <w:rFonts w:ascii="Verdana" w:hAnsi="Verdana"/>
        </w:rPr>
        <w:t xml:space="preserve"> who has advised that “lack of data about lesbian, gay, bisexual, trans and gender-diverse persons renders the community invisible to policymakers and government duty bearers”.</w:t>
      </w:r>
      <w:r w:rsidRPr="00564A3B">
        <w:rPr>
          <w:rStyle w:val="FootnoteReference"/>
          <w:rFonts w:ascii="Verdana" w:hAnsi="Verdana"/>
        </w:rPr>
        <w:footnoteReference w:id="69"/>
      </w:r>
    </w:p>
    <w:p w14:paraId="0BC4C0F2" w14:textId="77777777" w:rsidR="00B873C1" w:rsidRPr="00564A3B" w:rsidRDefault="00B873C1" w:rsidP="00B873C1">
      <w:pPr>
        <w:rPr>
          <w:rFonts w:ascii="Verdana" w:hAnsi="Verdana"/>
        </w:rPr>
      </w:pPr>
    </w:p>
    <w:p w14:paraId="162AAB1B" w14:textId="7D0A0925" w:rsidR="00B873C1" w:rsidRPr="00564A3B" w:rsidRDefault="00B873C1">
      <w:pPr>
        <w:pStyle w:val="ListParagraph"/>
        <w:numPr>
          <w:ilvl w:val="1"/>
          <w:numId w:val="1"/>
        </w:numPr>
        <w:spacing w:before="24" w:after="24" w:line="360" w:lineRule="auto"/>
        <w:rPr>
          <w:rFonts w:ascii="Verdana" w:hAnsi="Verdana"/>
        </w:rPr>
      </w:pPr>
      <w:r w:rsidRPr="00564A3B">
        <w:rPr>
          <w:rFonts w:ascii="Verdana" w:hAnsi="Verdana"/>
        </w:rPr>
        <w:t>Furthermore, Recital 64 of the</w:t>
      </w:r>
      <w:r w:rsidR="00640E6A" w:rsidRPr="00564A3B">
        <w:rPr>
          <w:rFonts w:ascii="Verdana" w:hAnsi="Verdana"/>
        </w:rPr>
        <w:t xml:space="preserve"> EU</w:t>
      </w:r>
      <w:r w:rsidRPr="00564A3B">
        <w:rPr>
          <w:rFonts w:ascii="Verdana" w:hAnsi="Verdana"/>
        </w:rPr>
        <w:t xml:space="preserve"> Victims’ Directive highlights systematic and adequate statistical data collection as an essential component of effective policymaking in the field of rights set out in the Directive.</w:t>
      </w:r>
      <w:r w:rsidRPr="00564A3B">
        <w:rPr>
          <w:rFonts w:ascii="Verdana" w:hAnsi="Verdana"/>
          <w:shd w:val="clear" w:color="auto" w:fill="FFFFFF"/>
          <w:vertAlign w:val="superscript"/>
        </w:rPr>
        <w:footnoteReference w:id="70"/>
      </w:r>
      <w:r w:rsidRPr="00564A3B">
        <w:rPr>
          <w:rFonts w:ascii="Verdana" w:hAnsi="Verdana"/>
        </w:rPr>
        <w:t xml:space="preserve"> </w:t>
      </w:r>
    </w:p>
    <w:p w14:paraId="673F82BA" w14:textId="77777777" w:rsidR="004858B2" w:rsidRPr="00564A3B" w:rsidRDefault="004858B2" w:rsidP="004858B2">
      <w:pPr>
        <w:pStyle w:val="ListParagraph"/>
        <w:rPr>
          <w:rFonts w:ascii="Verdana" w:hAnsi="Verdana"/>
        </w:rPr>
      </w:pPr>
    </w:p>
    <w:p w14:paraId="61C8966B" w14:textId="28B1406D" w:rsidR="004858B2" w:rsidRPr="00564A3B" w:rsidRDefault="001E2E75">
      <w:pPr>
        <w:pStyle w:val="ListParagraph"/>
        <w:numPr>
          <w:ilvl w:val="1"/>
          <w:numId w:val="1"/>
        </w:numPr>
        <w:spacing w:before="24" w:after="24" w:line="360" w:lineRule="auto"/>
        <w:rPr>
          <w:rFonts w:ascii="Verdana" w:hAnsi="Verdana"/>
        </w:rPr>
      </w:pPr>
      <w:r w:rsidRPr="00564A3B">
        <w:rPr>
          <w:rFonts w:ascii="Verdana" w:hAnsi="Verdana"/>
        </w:rPr>
        <w:lastRenderedPageBreak/>
        <w:t>The draft strategy advises that plans to collect data will be developed once appropriate indicators have been finalised.</w:t>
      </w:r>
      <w:r w:rsidRPr="00564A3B">
        <w:rPr>
          <w:rStyle w:val="FootnoteReference"/>
          <w:rFonts w:ascii="Verdana" w:hAnsi="Verdana"/>
        </w:rPr>
        <w:footnoteReference w:id="71"/>
      </w:r>
      <w:r w:rsidRPr="00564A3B">
        <w:rPr>
          <w:rFonts w:ascii="Verdana" w:hAnsi="Verdana"/>
        </w:rPr>
        <w:t xml:space="preserve"> </w:t>
      </w:r>
    </w:p>
    <w:p w14:paraId="7DF2DE35" w14:textId="77777777" w:rsidR="00B873C1" w:rsidRPr="00564A3B" w:rsidRDefault="00B873C1" w:rsidP="00B873C1">
      <w:pPr>
        <w:pStyle w:val="ListParagraph"/>
        <w:spacing w:before="24" w:after="24"/>
        <w:rPr>
          <w:rFonts w:ascii="Verdana" w:hAnsi="Verdana"/>
          <w:b/>
        </w:rPr>
      </w:pPr>
    </w:p>
    <w:p w14:paraId="4D4093B0" w14:textId="065345B3" w:rsidR="00100A11" w:rsidRPr="00564A3B" w:rsidRDefault="00B873C1">
      <w:pPr>
        <w:pStyle w:val="ListParagraph"/>
        <w:numPr>
          <w:ilvl w:val="1"/>
          <w:numId w:val="1"/>
        </w:numPr>
        <w:spacing w:line="360" w:lineRule="auto"/>
        <w:jc w:val="both"/>
        <w:rPr>
          <w:rFonts w:ascii="Verdana" w:hAnsi="Verdana"/>
          <w:b/>
        </w:rPr>
      </w:pPr>
      <w:r w:rsidRPr="00564A3B">
        <w:rPr>
          <w:rFonts w:ascii="Verdana" w:hAnsi="Verdana"/>
          <w:b/>
        </w:rPr>
        <w:t xml:space="preserve">The NIHRC recommends that the final strategy includes a clear commitment to improve the collection of disaggregated data on domestic and sexual abuse and sets out specific measures for achieving this. Data should be collected in a way </w:t>
      </w:r>
      <w:r w:rsidR="00333A71" w:rsidRPr="00564A3B">
        <w:rPr>
          <w:rFonts w:ascii="Verdana" w:hAnsi="Verdana"/>
          <w:b/>
        </w:rPr>
        <w:t xml:space="preserve">which </w:t>
      </w:r>
      <w:r w:rsidRPr="00564A3B">
        <w:rPr>
          <w:rFonts w:ascii="Verdana" w:hAnsi="Verdana"/>
          <w:b/>
        </w:rPr>
        <w:t>reflects society in NI and enables comprehensive comparison with other parts of the UK.</w:t>
      </w:r>
    </w:p>
    <w:p w14:paraId="76AAE554" w14:textId="77777777" w:rsidR="00333A71" w:rsidRPr="00564A3B" w:rsidRDefault="00333A71" w:rsidP="00DB4694">
      <w:pPr>
        <w:spacing w:line="360" w:lineRule="auto"/>
        <w:jc w:val="both"/>
        <w:rPr>
          <w:rFonts w:ascii="Verdana" w:hAnsi="Verdana"/>
          <w:b/>
        </w:rPr>
      </w:pPr>
    </w:p>
    <w:p w14:paraId="6030E2AE" w14:textId="74221378" w:rsidR="00200733" w:rsidRPr="00564A3B" w:rsidRDefault="00DB4694" w:rsidP="005859DE">
      <w:pPr>
        <w:pStyle w:val="Heading2"/>
      </w:pPr>
      <w:bookmarkStart w:id="15" w:name="_Toc133586125"/>
      <w:r w:rsidRPr="00564A3B">
        <w:t>Monitoring</w:t>
      </w:r>
      <w:bookmarkEnd w:id="15"/>
      <w:r w:rsidRPr="00564A3B">
        <w:t xml:space="preserve"> </w:t>
      </w:r>
    </w:p>
    <w:p w14:paraId="0E067545" w14:textId="32914271" w:rsidR="002D53AC" w:rsidRPr="00564A3B" w:rsidRDefault="002D53AC">
      <w:pPr>
        <w:pStyle w:val="ListParagraph"/>
        <w:numPr>
          <w:ilvl w:val="1"/>
          <w:numId w:val="1"/>
        </w:numPr>
        <w:spacing w:line="360" w:lineRule="auto"/>
        <w:jc w:val="both"/>
        <w:rPr>
          <w:rFonts w:ascii="Verdana" w:hAnsi="Verdana" w:cs="Arial"/>
        </w:rPr>
      </w:pPr>
      <w:r w:rsidRPr="00564A3B">
        <w:rPr>
          <w:rFonts w:ascii="Verdana" w:hAnsi="Verdana" w:cs="Arial"/>
        </w:rPr>
        <w:t>Effective monitoring is essential to ensuring human rights compliance and is a recurring requirement of human rights standards.</w:t>
      </w:r>
      <w:r w:rsidRPr="00564A3B">
        <w:rPr>
          <w:rFonts w:ascii="Verdana" w:hAnsi="Verdana" w:cs="Arial"/>
          <w:vertAlign w:val="superscript"/>
        </w:rPr>
        <w:footnoteReference w:id="72"/>
      </w:r>
      <w:r w:rsidRPr="00564A3B">
        <w:rPr>
          <w:rFonts w:ascii="Verdana" w:hAnsi="Verdana" w:cs="Arial"/>
        </w:rPr>
        <w:t xml:space="preserve"> For monitoring to be effective it “should assess both the steps taken and the results achieved” and “national strategies, policies and plans should use appropriate indicators and benchmarks, disaggregated on the basis of the prohibited grounds of discrimination”.</w:t>
      </w:r>
      <w:r w:rsidRPr="00564A3B">
        <w:rPr>
          <w:rFonts w:ascii="Verdana" w:hAnsi="Verdana" w:cs="Arial"/>
          <w:vertAlign w:val="superscript"/>
        </w:rPr>
        <w:footnoteReference w:id="73"/>
      </w:r>
    </w:p>
    <w:p w14:paraId="28CD8CBE" w14:textId="77777777" w:rsidR="002D53AC" w:rsidRPr="00564A3B" w:rsidRDefault="002D53AC" w:rsidP="002D53AC">
      <w:pPr>
        <w:pStyle w:val="ListParagraph"/>
        <w:spacing w:line="360" w:lineRule="auto"/>
        <w:ind w:left="709"/>
        <w:jc w:val="both"/>
        <w:rPr>
          <w:rFonts w:ascii="Verdana" w:hAnsi="Verdana" w:cs="Arial"/>
        </w:rPr>
      </w:pPr>
    </w:p>
    <w:p w14:paraId="709D2319" w14:textId="77777777" w:rsidR="002D53AC" w:rsidRPr="00564A3B" w:rsidRDefault="002D53AC">
      <w:pPr>
        <w:pStyle w:val="ListParagraph"/>
        <w:numPr>
          <w:ilvl w:val="1"/>
          <w:numId w:val="1"/>
        </w:numPr>
        <w:spacing w:line="360" w:lineRule="auto"/>
        <w:jc w:val="both"/>
        <w:rPr>
          <w:rFonts w:ascii="Verdana" w:hAnsi="Verdana" w:cs="Arial"/>
        </w:rPr>
      </w:pPr>
      <w:r w:rsidRPr="00564A3B">
        <w:rPr>
          <w:rFonts w:ascii="Verdana" w:hAnsi="Verdana" w:cs="Arial"/>
        </w:rPr>
        <w:t>Comprehensive monitoring requires a State to “establish and/or strengthen effective national machinery, institutions and procedures, at a high level of Government, and with adequate resources, commitment and authority”.</w:t>
      </w:r>
      <w:r w:rsidRPr="00564A3B">
        <w:rPr>
          <w:rFonts w:ascii="Verdana" w:hAnsi="Verdana" w:cs="Arial"/>
          <w:vertAlign w:val="superscript"/>
        </w:rPr>
        <w:footnoteReference w:id="74"/>
      </w:r>
      <w:r w:rsidRPr="00564A3B">
        <w:rPr>
          <w:rFonts w:ascii="Verdana" w:hAnsi="Verdana" w:cs="Arial"/>
        </w:rPr>
        <w:t xml:space="preserve">  </w:t>
      </w:r>
    </w:p>
    <w:p w14:paraId="57585A43" w14:textId="77777777" w:rsidR="002D53AC" w:rsidRPr="00564A3B" w:rsidRDefault="002D53AC" w:rsidP="002D53AC">
      <w:pPr>
        <w:pStyle w:val="ListParagraph"/>
        <w:rPr>
          <w:rFonts w:ascii="Verdana" w:hAnsi="Verdana" w:cs="Arial"/>
        </w:rPr>
      </w:pPr>
    </w:p>
    <w:p w14:paraId="4A1B30B3" w14:textId="404DB1D4" w:rsidR="00AE62D6" w:rsidRPr="00564A3B" w:rsidRDefault="0025570B">
      <w:pPr>
        <w:pStyle w:val="ListParagraph"/>
        <w:numPr>
          <w:ilvl w:val="1"/>
          <w:numId w:val="1"/>
        </w:numPr>
        <w:spacing w:before="24" w:after="24" w:line="360" w:lineRule="auto"/>
        <w:rPr>
          <w:rFonts w:ascii="Verdana" w:hAnsi="Verdana"/>
        </w:rPr>
      </w:pPr>
      <w:r w:rsidRPr="00564A3B">
        <w:rPr>
          <w:rFonts w:ascii="Verdana" w:hAnsi="Verdana"/>
        </w:rPr>
        <w:t>T</w:t>
      </w:r>
      <w:r w:rsidR="006539E2" w:rsidRPr="00564A3B">
        <w:rPr>
          <w:rFonts w:ascii="Verdana" w:hAnsi="Verdana"/>
        </w:rPr>
        <w:t>he strategy could be improved by the inclusion of clear actions associated with each outcome.</w:t>
      </w:r>
      <w:r w:rsidR="009B6B24" w:rsidRPr="00564A3B">
        <w:rPr>
          <w:rFonts w:ascii="Verdana" w:hAnsi="Verdana"/>
        </w:rPr>
        <w:t xml:space="preserve"> </w:t>
      </w:r>
      <w:r w:rsidR="002F1B73" w:rsidRPr="00564A3B">
        <w:rPr>
          <w:rFonts w:ascii="Verdana" w:hAnsi="Verdana"/>
        </w:rPr>
        <w:t xml:space="preserve">Actions should be </w:t>
      </w:r>
      <w:r w:rsidR="00174E0B" w:rsidRPr="00564A3B">
        <w:rPr>
          <w:rFonts w:ascii="Verdana" w:hAnsi="Verdana"/>
        </w:rPr>
        <w:t xml:space="preserve">specific, measurable, linked to achievable outcomes, realistic and time bound. </w:t>
      </w:r>
    </w:p>
    <w:p w14:paraId="10281ED1" w14:textId="77777777" w:rsidR="00AE62D6" w:rsidRPr="00564A3B" w:rsidRDefault="00AE62D6" w:rsidP="00AE62D6">
      <w:pPr>
        <w:pStyle w:val="ListParagraph"/>
        <w:rPr>
          <w:rFonts w:ascii="Verdana" w:hAnsi="Verdana"/>
        </w:rPr>
      </w:pPr>
    </w:p>
    <w:p w14:paraId="45BB054B" w14:textId="5617C06F" w:rsidR="000E7980" w:rsidRPr="00564A3B" w:rsidRDefault="009B6B24">
      <w:pPr>
        <w:pStyle w:val="ListParagraph"/>
        <w:numPr>
          <w:ilvl w:val="1"/>
          <w:numId w:val="1"/>
        </w:numPr>
        <w:spacing w:before="24" w:after="24" w:line="360" w:lineRule="auto"/>
        <w:rPr>
          <w:rFonts w:ascii="Verdana" w:hAnsi="Verdana"/>
        </w:rPr>
      </w:pPr>
      <w:r w:rsidRPr="00564A3B">
        <w:rPr>
          <w:rFonts w:ascii="Verdana" w:hAnsi="Verdana"/>
        </w:rPr>
        <w:lastRenderedPageBreak/>
        <w:t xml:space="preserve">The </w:t>
      </w:r>
      <w:r w:rsidR="00C84365" w:rsidRPr="00564A3B">
        <w:rPr>
          <w:rFonts w:ascii="Verdana" w:hAnsi="Verdana"/>
        </w:rPr>
        <w:t xml:space="preserve">indicators listed in “how will we know we are making a difference?” </w:t>
      </w:r>
      <w:r w:rsidR="00BF1C5F" w:rsidRPr="00564A3B">
        <w:rPr>
          <w:rFonts w:ascii="Verdana" w:hAnsi="Verdana"/>
        </w:rPr>
        <w:t xml:space="preserve">should be </w:t>
      </w:r>
      <w:r w:rsidR="00405C26" w:rsidRPr="00564A3B">
        <w:rPr>
          <w:rFonts w:ascii="Verdana" w:hAnsi="Verdana"/>
        </w:rPr>
        <w:t xml:space="preserve">clearly </w:t>
      </w:r>
      <w:r w:rsidR="00BF1C5F" w:rsidRPr="00564A3B">
        <w:rPr>
          <w:rFonts w:ascii="Verdana" w:hAnsi="Verdana"/>
        </w:rPr>
        <w:t>linked to a spe</w:t>
      </w:r>
      <w:r w:rsidR="00095D40" w:rsidRPr="00564A3B">
        <w:rPr>
          <w:rFonts w:ascii="Verdana" w:hAnsi="Verdana"/>
        </w:rPr>
        <w:t xml:space="preserve">cific action </w:t>
      </w:r>
      <w:r w:rsidR="00B37FC0" w:rsidRPr="00564A3B">
        <w:rPr>
          <w:rFonts w:ascii="Verdana" w:hAnsi="Verdana"/>
        </w:rPr>
        <w:t xml:space="preserve">and should </w:t>
      </w:r>
      <w:r w:rsidR="00D77A12" w:rsidRPr="00564A3B">
        <w:rPr>
          <w:rFonts w:ascii="Verdana" w:hAnsi="Verdana"/>
        </w:rPr>
        <w:t>define measurements for progress.</w:t>
      </w:r>
      <w:r w:rsidR="00527917" w:rsidRPr="00564A3B">
        <w:rPr>
          <w:rFonts w:ascii="Verdana" w:hAnsi="Verdana"/>
        </w:rPr>
        <w:t xml:space="preserve"> </w:t>
      </w:r>
      <w:r w:rsidR="003D4877" w:rsidRPr="00564A3B">
        <w:rPr>
          <w:rFonts w:ascii="Verdana" w:hAnsi="Verdana" w:cs="Arial"/>
        </w:rPr>
        <w:t>The Department</w:t>
      </w:r>
      <w:r w:rsidR="00C22F85" w:rsidRPr="00564A3B">
        <w:rPr>
          <w:rFonts w:ascii="Verdana" w:hAnsi="Verdana" w:cs="Arial"/>
        </w:rPr>
        <w:t xml:space="preserve"> of Health and Department of Justice</w:t>
      </w:r>
      <w:r w:rsidR="000E7980" w:rsidRPr="00564A3B">
        <w:rPr>
          <w:rFonts w:ascii="Verdana" w:hAnsi="Verdana" w:cs="Arial"/>
        </w:rPr>
        <w:t xml:space="preserve"> should</w:t>
      </w:r>
      <w:r w:rsidR="003D4877" w:rsidRPr="00564A3B">
        <w:rPr>
          <w:rFonts w:ascii="Verdana" w:hAnsi="Verdana" w:cs="Arial"/>
        </w:rPr>
        <w:t xml:space="preserve"> further</w:t>
      </w:r>
      <w:r w:rsidR="000E7980" w:rsidRPr="00564A3B">
        <w:rPr>
          <w:rFonts w:ascii="Verdana" w:hAnsi="Verdana" w:cs="Arial"/>
        </w:rPr>
        <w:t xml:space="preserve"> ensure that indicators and benchmarks are disaggregated </w:t>
      </w:r>
      <w:r w:rsidR="004A6056" w:rsidRPr="00564A3B">
        <w:rPr>
          <w:rFonts w:ascii="Verdana" w:hAnsi="Verdana" w:cs="Arial"/>
        </w:rPr>
        <w:t xml:space="preserve">so that the consequence of the strategy </w:t>
      </w:r>
      <w:r w:rsidR="0073370B" w:rsidRPr="00564A3B">
        <w:rPr>
          <w:rFonts w:ascii="Verdana" w:hAnsi="Verdana" w:cs="Arial"/>
        </w:rPr>
        <w:t>for</w:t>
      </w:r>
      <w:r w:rsidR="004A6056" w:rsidRPr="00564A3B">
        <w:rPr>
          <w:rFonts w:ascii="Verdana" w:hAnsi="Verdana" w:cs="Arial"/>
        </w:rPr>
        <w:t xml:space="preserve"> groups disproportionately affected by domestic and sexual abuse can be effectively monitored. </w:t>
      </w:r>
    </w:p>
    <w:p w14:paraId="7E8D0400" w14:textId="77777777" w:rsidR="00200B39" w:rsidRPr="00564A3B" w:rsidRDefault="00200B39" w:rsidP="00362902">
      <w:pPr>
        <w:spacing w:before="24" w:after="24" w:line="360" w:lineRule="auto"/>
        <w:jc w:val="both"/>
        <w:rPr>
          <w:rFonts w:ascii="Verdana" w:hAnsi="Verdana"/>
          <w:b/>
        </w:rPr>
      </w:pPr>
    </w:p>
    <w:p w14:paraId="02DF6658" w14:textId="0D9F03BE" w:rsidR="00200B39" w:rsidRPr="00564A3B" w:rsidRDefault="00200B39">
      <w:pPr>
        <w:pStyle w:val="ListParagraph"/>
        <w:numPr>
          <w:ilvl w:val="1"/>
          <w:numId w:val="1"/>
        </w:numPr>
        <w:spacing w:before="24" w:after="24" w:line="360" w:lineRule="auto"/>
        <w:jc w:val="both"/>
        <w:rPr>
          <w:rFonts w:ascii="Verdana" w:hAnsi="Verdana"/>
          <w:b/>
        </w:rPr>
      </w:pPr>
      <w:r w:rsidRPr="00564A3B">
        <w:rPr>
          <w:rFonts w:ascii="Verdana" w:hAnsi="Verdana"/>
          <w:b/>
        </w:rPr>
        <w:t>The NIHRC recommends that in drafting the strategy, the Department</w:t>
      </w:r>
      <w:r w:rsidR="0039148A" w:rsidRPr="00564A3B">
        <w:rPr>
          <w:rFonts w:ascii="Verdana" w:hAnsi="Verdana"/>
          <w:b/>
        </w:rPr>
        <w:t xml:space="preserve"> of Health and Department of Justice</w:t>
      </w:r>
      <w:r w:rsidR="00610B45" w:rsidRPr="00564A3B">
        <w:rPr>
          <w:rFonts w:ascii="Verdana" w:hAnsi="Verdana"/>
          <w:b/>
        </w:rPr>
        <w:t xml:space="preserve"> </w:t>
      </w:r>
      <w:r w:rsidRPr="00564A3B">
        <w:rPr>
          <w:rFonts w:ascii="Verdana" w:hAnsi="Verdana"/>
          <w:b/>
        </w:rPr>
        <w:t>develop a clear action plan for delivery of the strategy. This should include appropriate benchmarks and indicators for each agreed action</w:t>
      </w:r>
      <w:r w:rsidR="00B61A1A" w:rsidRPr="00564A3B">
        <w:rPr>
          <w:rFonts w:ascii="Verdana" w:hAnsi="Verdana"/>
          <w:b/>
        </w:rPr>
        <w:t>.</w:t>
      </w:r>
      <w:r w:rsidRPr="00564A3B">
        <w:rPr>
          <w:rFonts w:ascii="Verdana" w:hAnsi="Verdana"/>
          <w:b/>
        </w:rPr>
        <w:t xml:space="preserve"> </w:t>
      </w:r>
    </w:p>
    <w:p w14:paraId="3BD96625" w14:textId="77777777" w:rsidR="0097064E" w:rsidRPr="00564A3B" w:rsidRDefault="0097064E" w:rsidP="000C11F9">
      <w:pPr>
        <w:rPr>
          <w:rFonts w:ascii="Verdana" w:hAnsi="Verdana"/>
          <w:b/>
        </w:rPr>
      </w:pPr>
    </w:p>
    <w:p w14:paraId="095D6E9F" w14:textId="77777777" w:rsidR="004B6745" w:rsidRPr="00564A3B" w:rsidRDefault="004B6745" w:rsidP="000C759B">
      <w:pPr>
        <w:rPr>
          <w:rFonts w:ascii="Verdana" w:hAnsi="Verdana"/>
        </w:rPr>
      </w:pPr>
    </w:p>
    <w:p w14:paraId="7C4AA97D" w14:textId="77777777" w:rsidR="007B7853" w:rsidRPr="00564A3B" w:rsidRDefault="004B6745">
      <w:pPr>
        <w:pStyle w:val="Heading1"/>
        <w:numPr>
          <w:ilvl w:val="0"/>
          <w:numId w:val="1"/>
        </w:numPr>
        <w:spacing w:before="24" w:after="24" w:line="360" w:lineRule="auto"/>
      </w:pPr>
      <w:bookmarkStart w:id="16" w:name="_Toc133586126"/>
      <w:r w:rsidRPr="00564A3B">
        <w:t>Pillar 1: Partnership</w:t>
      </w:r>
      <w:bookmarkEnd w:id="16"/>
    </w:p>
    <w:p w14:paraId="60698614" w14:textId="5CBE40CD" w:rsidR="004B6745" w:rsidRPr="00564A3B" w:rsidRDefault="00C91774" w:rsidP="00DE6F13">
      <w:pPr>
        <w:pStyle w:val="Heading2"/>
      </w:pPr>
      <w:bookmarkStart w:id="17" w:name="_Toc133586127"/>
      <w:r w:rsidRPr="00564A3B">
        <w:t>Procurement processes</w:t>
      </w:r>
      <w:bookmarkEnd w:id="17"/>
    </w:p>
    <w:p w14:paraId="3C24F3E2" w14:textId="2CC4248E" w:rsidR="0044619E" w:rsidRPr="00564A3B" w:rsidRDefault="0044619E">
      <w:pPr>
        <w:pStyle w:val="ListParagraph"/>
        <w:widowControl w:val="0"/>
        <w:numPr>
          <w:ilvl w:val="1"/>
          <w:numId w:val="1"/>
        </w:numPr>
        <w:suppressAutoHyphens/>
        <w:autoSpaceDE w:val="0"/>
        <w:autoSpaceDN w:val="0"/>
        <w:adjustRightInd w:val="0"/>
        <w:spacing w:before="24" w:after="24" w:line="360" w:lineRule="auto"/>
        <w:textAlignment w:val="center"/>
        <w:rPr>
          <w:rFonts w:ascii="Verdana" w:eastAsia="Times New Roman" w:hAnsi="Verdana" w:cs="Arial"/>
          <w:bCs/>
          <w:color w:val="161616"/>
          <w:lang w:eastAsia="en-GB"/>
        </w:rPr>
      </w:pPr>
      <w:r w:rsidRPr="00564A3B">
        <w:rPr>
          <w:rFonts w:ascii="Verdana" w:eastAsia="Times New Roman" w:hAnsi="Verdana" w:cs="Arial"/>
          <w:bCs/>
          <w:color w:val="161616"/>
          <w:lang w:eastAsia="en-GB"/>
        </w:rPr>
        <w:t xml:space="preserve">Article 7 of the </w:t>
      </w:r>
      <w:proofErr w:type="spellStart"/>
      <w:r w:rsidR="00DB1E0C" w:rsidRPr="00564A3B">
        <w:rPr>
          <w:rFonts w:ascii="Verdana" w:eastAsia="Times New Roman" w:hAnsi="Verdana" w:cs="Arial"/>
          <w:bCs/>
          <w:color w:val="161616"/>
          <w:lang w:eastAsia="en-GB"/>
        </w:rPr>
        <w:t>CoE</w:t>
      </w:r>
      <w:proofErr w:type="spellEnd"/>
      <w:r w:rsidR="00DB1E0C" w:rsidRPr="00564A3B">
        <w:rPr>
          <w:rFonts w:ascii="Verdana" w:eastAsia="Times New Roman" w:hAnsi="Verdana" w:cs="Arial"/>
          <w:bCs/>
          <w:color w:val="161616"/>
          <w:lang w:eastAsia="en-GB"/>
        </w:rPr>
        <w:t xml:space="preserve"> </w:t>
      </w:r>
      <w:r w:rsidRPr="00564A3B">
        <w:rPr>
          <w:rFonts w:ascii="Verdana" w:eastAsia="Times New Roman" w:hAnsi="Verdana" w:cs="Arial"/>
          <w:bCs/>
          <w:color w:val="161616"/>
          <w:lang w:eastAsia="en-GB"/>
        </w:rPr>
        <w:t xml:space="preserve">Istanbul Convention provides that </w:t>
      </w:r>
      <w:r w:rsidR="00AB560B" w:rsidRPr="00564A3B">
        <w:rPr>
          <w:rFonts w:ascii="Verdana" w:eastAsia="Times New Roman" w:hAnsi="Verdana" w:cs="Arial"/>
          <w:bCs/>
          <w:color w:val="161616"/>
          <w:lang w:eastAsia="en-GB"/>
        </w:rPr>
        <w:t>S</w:t>
      </w:r>
      <w:r w:rsidRPr="00564A3B">
        <w:rPr>
          <w:rFonts w:ascii="Verdana" w:eastAsia="Times New Roman" w:hAnsi="Verdana" w:cs="Arial"/>
          <w:bCs/>
          <w:color w:val="161616"/>
          <w:lang w:eastAsia="en-GB"/>
        </w:rPr>
        <w:t xml:space="preserve">tates must have “comprehensive and co-ordinated policies … and offer a holistic response to violence against women”. </w:t>
      </w:r>
    </w:p>
    <w:p w14:paraId="1C1B6A70" w14:textId="77777777" w:rsidR="00BA4C3F" w:rsidRPr="00564A3B" w:rsidRDefault="00BA4C3F" w:rsidP="00BA4C3F">
      <w:pPr>
        <w:pStyle w:val="ListParagraph"/>
        <w:widowControl w:val="0"/>
        <w:suppressAutoHyphens/>
        <w:autoSpaceDE w:val="0"/>
        <w:autoSpaceDN w:val="0"/>
        <w:adjustRightInd w:val="0"/>
        <w:spacing w:before="24" w:after="24" w:line="360" w:lineRule="auto"/>
        <w:textAlignment w:val="center"/>
        <w:rPr>
          <w:rFonts w:ascii="Verdana" w:eastAsia="Times New Roman" w:hAnsi="Verdana" w:cs="Arial"/>
          <w:bCs/>
          <w:color w:val="161616"/>
          <w:lang w:eastAsia="en-GB"/>
        </w:rPr>
      </w:pPr>
    </w:p>
    <w:p w14:paraId="49D56AA1" w14:textId="77777777" w:rsidR="00BA4C3F" w:rsidRPr="00564A3B" w:rsidRDefault="00BA4C3F">
      <w:pPr>
        <w:pStyle w:val="ListParagraph"/>
        <w:numPr>
          <w:ilvl w:val="1"/>
          <w:numId w:val="1"/>
        </w:numPr>
        <w:spacing w:before="24" w:after="24" w:line="360" w:lineRule="auto"/>
        <w:rPr>
          <w:rFonts w:ascii="Verdana" w:hAnsi="Verdana"/>
        </w:rPr>
      </w:pPr>
      <w:r w:rsidRPr="00564A3B">
        <w:rPr>
          <w:rFonts w:ascii="Verdana" w:hAnsi="Verdana"/>
        </w:rPr>
        <w:t>Pillar 1 references engagement with and data sharing from ‘key stakeholders’. This should be clarified and defined and should include public authorities and organisations that have overall responsibility to deliver the services linked to this strategy.</w:t>
      </w:r>
    </w:p>
    <w:p w14:paraId="4B213447" w14:textId="77777777" w:rsidR="006B5114" w:rsidRPr="00564A3B" w:rsidRDefault="006B5114" w:rsidP="00BA4C3F">
      <w:pPr>
        <w:spacing w:line="360" w:lineRule="auto"/>
        <w:jc w:val="both"/>
        <w:rPr>
          <w:rFonts w:ascii="Verdana" w:hAnsi="Verdana"/>
        </w:rPr>
      </w:pPr>
    </w:p>
    <w:p w14:paraId="0E558EBD" w14:textId="01D70083" w:rsidR="00B80404" w:rsidRPr="00564A3B" w:rsidRDefault="00800225">
      <w:pPr>
        <w:pStyle w:val="ListParagraph"/>
        <w:numPr>
          <w:ilvl w:val="1"/>
          <w:numId w:val="1"/>
        </w:numPr>
        <w:spacing w:line="360" w:lineRule="auto"/>
        <w:rPr>
          <w:rFonts w:ascii="Verdana" w:hAnsi="Verdana"/>
        </w:rPr>
      </w:pPr>
      <w:r w:rsidRPr="00564A3B">
        <w:rPr>
          <w:rFonts w:ascii="Verdana" w:hAnsi="Verdana" w:cs="Arial"/>
        </w:rPr>
        <w:t xml:space="preserve">The strategy </w:t>
      </w:r>
      <w:r w:rsidR="00CE082A" w:rsidRPr="00564A3B">
        <w:rPr>
          <w:rFonts w:ascii="Verdana" w:hAnsi="Verdana" w:cs="Arial"/>
        </w:rPr>
        <w:t xml:space="preserve">currently </w:t>
      </w:r>
      <w:r w:rsidRPr="00564A3B">
        <w:rPr>
          <w:rFonts w:ascii="Verdana" w:hAnsi="Verdana" w:cs="Arial"/>
        </w:rPr>
        <w:t>states that</w:t>
      </w:r>
      <w:r w:rsidR="006B5114" w:rsidRPr="00564A3B">
        <w:rPr>
          <w:rFonts w:ascii="Verdana" w:hAnsi="Verdana" w:cs="Arial"/>
        </w:rPr>
        <w:t xml:space="preserve"> many of the proposed actions </w:t>
      </w:r>
      <w:r w:rsidR="00CE082A" w:rsidRPr="00564A3B">
        <w:rPr>
          <w:rFonts w:ascii="Verdana" w:hAnsi="Verdana" w:cs="Arial"/>
        </w:rPr>
        <w:t>contained within</w:t>
      </w:r>
      <w:r w:rsidR="00D74029" w:rsidRPr="00564A3B">
        <w:rPr>
          <w:rFonts w:ascii="Verdana" w:hAnsi="Verdana" w:cs="Arial"/>
        </w:rPr>
        <w:t xml:space="preserve"> </w:t>
      </w:r>
      <w:r w:rsidR="006B5114" w:rsidRPr="00564A3B">
        <w:rPr>
          <w:rFonts w:ascii="Verdana" w:hAnsi="Verdana" w:cs="Arial"/>
        </w:rPr>
        <w:t>will rely on cooperation with civil society organisations.</w:t>
      </w:r>
      <w:r w:rsidR="00AB560B" w:rsidRPr="00564A3B">
        <w:rPr>
          <w:rFonts w:ascii="Verdana" w:hAnsi="Verdana" w:cs="Arial"/>
        </w:rPr>
        <w:t xml:space="preserve"> </w:t>
      </w:r>
      <w:r w:rsidR="006B5114" w:rsidRPr="00564A3B">
        <w:rPr>
          <w:rFonts w:ascii="Verdana" w:hAnsi="Verdana"/>
        </w:rPr>
        <w:t>The Departmen</w:t>
      </w:r>
      <w:r w:rsidR="003244B4" w:rsidRPr="00564A3B">
        <w:rPr>
          <w:rFonts w:ascii="Verdana" w:hAnsi="Verdana"/>
        </w:rPr>
        <w:t>t</w:t>
      </w:r>
      <w:r w:rsidR="004716F9" w:rsidRPr="00564A3B">
        <w:rPr>
          <w:rFonts w:ascii="Verdana" w:hAnsi="Verdana"/>
        </w:rPr>
        <w:t xml:space="preserve"> of Health and Department of Justice</w:t>
      </w:r>
      <w:r w:rsidR="003244B4" w:rsidRPr="00564A3B">
        <w:rPr>
          <w:rFonts w:ascii="Verdana" w:hAnsi="Verdana"/>
        </w:rPr>
        <w:t xml:space="preserve"> </w:t>
      </w:r>
      <w:r w:rsidR="006B5114" w:rsidRPr="00564A3B">
        <w:rPr>
          <w:rFonts w:ascii="Verdana" w:hAnsi="Verdana"/>
        </w:rPr>
        <w:t>should ensure that human rights considerations are embedded within their procurement processes as required by the Procurement Policy Note on Human Rights.</w:t>
      </w:r>
      <w:r w:rsidR="006B5114" w:rsidRPr="00564A3B">
        <w:rPr>
          <w:rStyle w:val="FootnoteReference"/>
          <w:rFonts w:ascii="Verdana" w:hAnsi="Verdana"/>
        </w:rPr>
        <w:footnoteReference w:id="75"/>
      </w:r>
      <w:r w:rsidR="006B5114" w:rsidRPr="00564A3B">
        <w:rPr>
          <w:rFonts w:ascii="Verdana" w:hAnsi="Verdana"/>
        </w:rPr>
        <w:t xml:space="preserve">  </w:t>
      </w:r>
      <w:r w:rsidR="006B5114" w:rsidRPr="00564A3B">
        <w:rPr>
          <w:rFonts w:ascii="Verdana" w:hAnsi="Verdana"/>
        </w:rPr>
        <w:lastRenderedPageBreak/>
        <w:t xml:space="preserve">This should include ensuring that a due diligence process is adhered to when awarding contracts and requiring external agencies to demonstrate their compliance with human rights standards including </w:t>
      </w:r>
      <w:r w:rsidR="00D74029" w:rsidRPr="00564A3B">
        <w:rPr>
          <w:rFonts w:ascii="Verdana" w:hAnsi="Verdana"/>
        </w:rPr>
        <w:t xml:space="preserve">UN </w:t>
      </w:r>
      <w:r w:rsidR="006B5114" w:rsidRPr="00564A3B">
        <w:rPr>
          <w:rFonts w:ascii="Verdana" w:hAnsi="Verdana"/>
        </w:rPr>
        <w:t>CEDAW</w:t>
      </w:r>
      <w:r w:rsidR="00F4582C" w:rsidRPr="00564A3B">
        <w:rPr>
          <w:rFonts w:ascii="Verdana" w:hAnsi="Verdana"/>
        </w:rPr>
        <w:t>,</w:t>
      </w:r>
      <w:r w:rsidR="006B5114" w:rsidRPr="00564A3B">
        <w:rPr>
          <w:rFonts w:ascii="Verdana" w:hAnsi="Verdana"/>
        </w:rPr>
        <w:t xml:space="preserve"> the</w:t>
      </w:r>
      <w:r w:rsidR="00DB1E0C" w:rsidRPr="00564A3B">
        <w:rPr>
          <w:rFonts w:ascii="Verdana" w:hAnsi="Verdana"/>
        </w:rPr>
        <w:t xml:space="preserve"> </w:t>
      </w:r>
      <w:proofErr w:type="spellStart"/>
      <w:r w:rsidR="00DB1E0C" w:rsidRPr="00564A3B">
        <w:rPr>
          <w:rFonts w:ascii="Verdana" w:hAnsi="Verdana"/>
        </w:rPr>
        <w:t>CoE</w:t>
      </w:r>
      <w:proofErr w:type="spellEnd"/>
      <w:r w:rsidR="006B5114" w:rsidRPr="00564A3B">
        <w:rPr>
          <w:rFonts w:ascii="Verdana" w:hAnsi="Verdana"/>
        </w:rPr>
        <w:t xml:space="preserve"> Istanbul Convention</w:t>
      </w:r>
      <w:r w:rsidR="00F4582C" w:rsidRPr="00564A3B">
        <w:rPr>
          <w:rFonts w:ascii="Verdana" w:hAnsi="Verdana"/>
        </w:rPr>
        <w:t xml:space="preserve"> and Windsor Framework Article 2.</w:t>
      </w:r>
    </w:p>
    <w:p w14:paraId="312F2435" w14:textId="77777777" w:rsidR="00B80404" w:rsidRPr="00564A3B" w:rsidRDefault="00B80404" w:rsidP="00B80404">
      <w:pPr>
        <w:pStyle w:val="ListParagraph"/>
        <w:rPr>
          <w:rFonts w:ascii="Verdana" w:hAnsi="Verdana"/>
          <w:b/>
        </w:rPr>
      </w:pPr>
    </w:p>
    <w:p w14:paraId="5E97CA55" w14:textId="4E0D5D8B" w:rsidR="00995970" w:rsidRPr="00564A3B" w:rsidRDefault="00995970">
      <w:pPr>
        <w:pStyle w:val="ListParagraph"/>
        <w:numPr>
          <w:ilvl w:val="1"/>
          <w:numId w:val="1"/>
        </w:numPr>
        <w:spacing w:before="24" w:after="24" w:line="360" w:lineRule="auto"/>
        <w:rPr>
          <w:rFonts w:ascii="Verdana" w:hAnsi="Verdana"/>
          <w:b/>
        </w:rPr>
      </w:pPr>
      <w:r w:rsidRPr="00564A3B">
        <w:rPr>
          <w:rFonts w:ascii="Verdana" w:hAnsi="Verdana"/>
          <w:b/>
          <w:bCs/>
        </w:rPr>
        <w:t xml:space="preserve">The NIHRC recommends that the </w:t>
      </w:r>
      <w:r w:rsidR="00E43B2C" w:rsidRPr="00564A3B">
        <w:rPr>
          <w:rFonts w:ascii="Verdana" w:hAnsi="Verdana"/>
          <w:b/>
          <w:bCs/>
        </w:rPr>
        <w:t>Department of Health and Department of Justice</w:t>
      </w:r>
      <w:r w:rsidRPr="00564A3B">
        <w:rPr>
          <w:rFonts w:ascii="Verdana" w:hAnsi="Verdana"/>
          <w:b/>
          <w:bCs/>
        </w:rPr>
        <w:t xml:space="preserve"> develop and publish a list of the key </w:t>
      </w:r>
      <w:r w:rsidR="00D74029" w:rsidRPr="00564A3B">
        <w:rPr>
          <w:rFonts w:ascii="Verdana" w:hAnsi="Verdana"/>
          <w:b/>
          <w:bCs/>
        </w:rPr>
        <w:t>partners that will be relied on for</w:t>
      </w:r>
      <w:r w:rsidRPr="00564A3B">
        <w:rPr>
          <w:rFonts w:ascii="Verdana" w:hAnsi="Verdana"/>
          <w:b/>
          <w:bCs/>
        </w:rPr>
        <w:t xml:space="preserve"> delivery of the strategy</w:t>
      </w:r>
      <w:r w:rsidR="00AD29CC" w:rsidRPr="00564A3B">
        <w:rPr>
          <w:rFonts w:ascii="Verdana" w:hAnsi="Verdana"/>
          <w:b/>
          <w:bCs/>
        </w:rPr>
        <w:t>.</w:t>
      </w:r>
    </w:p>
    <w:p w14:paraId="71CA7037" w14:textId="77777777" w:rsidR="00BA4C3F" w:rsidRPr="00564A3B" w:rsidRDefault="00BA4C3F" w:rsidP="00BA4C3F">
      <w:pPr>
        <w:spacing w:before="24" w:after="24" w:line="360" w:lineRule="auto"/>
        <w:rPr>
          <w:rFonts w:ascii="Verdana" w:hAnsi="Verdana"/>
          <w:b/>
        </w:rPr>
      </w:pPr>
    </w:p>
    <w:p w14:paraId="1B46C041" w14:textId="187AE354" w:rsidR="006B5114" w:rsidRPr="00564A3B" w:rsidRDefault="00B80404">
      <w:pPr>
        <w:pStyle w:val="ListParagraph"/>
        <w:numPr>
          <w:ilvl w:val="1"/>
          <w:numId w:val="1"/>
        </w:numPr>
        <w:spacing w:before="24" w:after="24" w:line="360" w:lineRule="auto"/>
        <w:rPr>
          <w:rFonts w:ascii="Verdana" w:hAnsi="Verdana"/>
          <w:b/>
        </w:rPr>
      </w:pPr>
      <w:r w:rsidRPr="00564A3B">
        <w:rPr>
          <w:rFonts w:ascii="Verdana" w:hAnsi="Verdana"/>
          <w:b/>
        </w:rPr>
        <w:t>The NIHRC recommends that the Department</w:t>
      </w:r>
      <w:r w:rsidR="00C62279" w:rsidRPr="00564A3B">
        <w:rPr>
          <w:rFonts w:ascii="Verdana" w:hAnsi="Verdana"/>
          <w:b/>
        </w:rPr>
        <w:t xml:space="preserve"> of Health and Department of Justice</w:t>
      </w:r>
      <w:r w:rsidR="00610B45" w:rsidRPr="00564A3B">
        <w:rPr>
          <w:rFonts w:ascii="Verdana" w:hAnsi="Verdana"/>
          <w:b/>
        </w:rPr>
        <w:t xml:space="preserve"> ensure </w:t>
      </w:r>
      <w:r w:rsidRPr="00564A3B">
        <w:rPr>
          <w:rFonts w:ascii="Verdana" w:hAnsi="Verdana"/>
          <w:b/>
        </w:rPr>
        <w:t xml:space="preserve">that outsourcing of responsibilities is subject to a human rights-based procurement process and will be monitored for human rights compliance including compliance with </w:t>
      </w:r>
      <w:r w:rsidR="000C759B" w:rsidRPr="00564A3B">
        <w:rPr>
          <w:rFonts w:ascii="Verdana" w:hAnsi="Verdana"/>
          <w:b/>
        </w:rPr>
        <w:t xml:space="preserve">UN </w:t>
      </w:r>
      <w:r w:rsidRPr="00564A3B">
        <w:rPr>
          <w:rFonts w:ascii="Verdana" w:hAnsi="Verdana"/>
          <w:b/>
        </w:rPr>
        <w:t>CEDAW</w:t>
      </w:r>
      <w:r w:rsidR="003607BC" w:rsidRPr="00564A3B">
        <w:rPr>
          <w:rFonts w:ascii="Verdana" w:hAnsi="Verdana"/>
          <w:b/>
        </w:rPr>
        <w:t>,</w:t>
      </w:r>
      <w:r w:rsidRPr="00564A3B">
        <w:rPr>
          <w:rFonts w:ascii="Verdana" w:hAnsi="Verdana"/>
          <w:b/>
        </w:rPr>
        <w:t xml:space="preserve"> the</w:t>
      </w:r>
      <w:r w:rsidR="00DB1E0C" w:rsidRPr="00564A3B">
        <w:rPr>
          <w:rFonts w:ascii="Verdana" w:hAnsi="Verdana"/>
          <w:b/>
        </w:rPr>
        <w:t xml:space="preserve"> </w:t>
      </w:r>
      <w:proofErr w:type="spellStart"/>
      <w:r w:rsidR="00DB1E0C" w:rsidRPr="00564A3B">
        <w:rPr>
          <w:rFonts w:ascii="Verdana" w:hAnsi="Verdana"/>
          <w:b/>
        </w:rPr>
        <w:t>CoE</w:t>
      </w:r>
      <w:proofErr w:type="spellEnd"/>
      <w:r w:rsidRPr="00564A3B">
        <w:rPr>
          <w:rFonts w:ascii="Verdana" w:hAnsi="Verdana"/>
          <w:b/>
        </w:rPr>
        <w:t xml:space="preserve"> Istanbul Convention</w:t>
      </w:r>
      <w:r w:rsidR="003607BC" w:rsidRPr="00564A3B">
        <w:rPr>
          <w:rFonts w:ascii="Verdana" w:hAnsi="Verdana"/>
          <w:b/>
        </w:rPr>
        <w:t xml:space="preserve"> </w:t>
      </w:r>
      <w:r w:rsidR="00062520" w:rsidRPr="00564A3B">
        <w:rPr>
          <w:rFonts w:ascii="Verdana" w:hAnsi="Verdana"/>
          <w:b/>
        </w:rPr>
        <w:t xml:space="preserve">and </w:t>
      </w:r>
      <w:r w:rsidR="00F4582C" w:rsidRPr="00564A3B">
        <w:rPr>
          <w:rFonts w:ascii="Verdana" w:hAnsi="Verdana"/>
          <w:b/>
        </w:rPr>
        <w:t>Windsor Framework Article 2</w:t>
      </w:r>
      <w:r w:rsidRPr="00564A3B">
        <w:rPr>
          <w:rFonts w:ascii="Verdana" w:hAnsi="Verdana"/>
          <w:b/>
        </w:rPr>
        <w:t>.</w:t>
      </w:r>
    </w:p>
    <w:p w14:paraId="1EC07B85" w14:textId="395BEC3D" w:rsidR="00BA4C3F" w:rsidRPr="00564A3B" w:rsidRDefault="00BA4C3F" w:rsidP="00BA4C3F">
      <w:pPr>
        <w:rPr>
          <w:rFonts w:ascii="Verdana" w:hAnsi="Verdana"/>
          <w:b/>
        </w:rPr>
      </w:pPr>
    </w:p>
    <w:p w14:paraId="1682A639" w14:textId="609D567C" w:rsidR="00DE6F13" w:rsidRPr="00564A3B" w:rsidRDefault="00DE6F13" w:rsidP="00DE6F13">
      <w:pPr>
        <w:pStyle w:val="Heading2"/>
      </w:pPr>
      <w:bookmarkStart w:id="18" w:name="_Toc133586128"/>
      <w:r w:rsidRPr="00564A3B">
        <w:t>Training</w:t>
      </w:r>
      <w:bookmarkEnd w:id="18"/>
    </w:p>
    <w:p w14:paraId="65D6E985" w14:textId="341BCD8B" w:rsidR="00BA4C3F" w:rsidRPr="006B3799" w:rsidRDefault="00BA4C3F" w:rsidP="006B3799">
      <w:pPr>
        <w:pStyle w:val="ListParagraph"/>
        <w:numPr>
          <w:ilvl w:val="1"/>
          <w:numId w:val="1"/>
        </w:numPr>
        <w:spacing w:before="24" w:after="24" w:line="360" w:lineRule="auto"/>
        <w:rPr>
          <w:rFonts w:ascii="Verdana" w:hAnsi="Verdana"/>
        </w:rPr>
      </w:pPr>
      <w:r w:rsidRPr="006B3799">
        <w:rPr>
          <w:rFonts w:ascii="Verdana" w:eastAsia="Times New Roman" w:hAnsi="Verdana" w:cs="Arial"/>
          <w:bCs/>
          <w:color w:val="161616"/>
          <w:lang w:eastAsia="en-GB"/>
        </w:rPr>
        <w:t xml:space="preserve">Article 15 of the </w:t>
      </w:r>
      <w:proofErr w:type="spellStart"/>
      <w:r w:rsidRPr="006B3799">
        <w:rPr>
          <w:rFonts w:ascii="Verdana" w:eastAsia="Times New Roman" w:hAnsi="Verdana" w:cs="Arial"/>
          <w:bCs/>
          <w:color w:val="161616"/>
          <w:lang w:eastAsia="en-GB"/>
        </w:rPr>
        <w:t>CoE</w:t>
      </w:r>
      <w:proofErr w:type="spellEnd"/>
      <w:r w:rsidRPr="006B3799">
        <w:rPr>
          <w:rFonts w:ascii="Verdana" w:eastAsia="Times New Roman" w:hAnsi="Verdana" w:cs="Arial"/>
          <w:bCs/>
          <w:color w:val="161616"/>
          <w:lang w:eastAsia="en-GB"/>
        </w:rPr>
        <w:t xml:space="preserve"> Istanbul Convention </w:t>
      </w:r>
      <w:r w:rsidRPr="006B3799">
        <w:rPr>
          <w:rFonts w:ascii="Verdana" w:hAnsi="Verdana"/>
        </w:rPr>
        <w:t>requires states to:</w:t>
      </w:r>
    </w:p>
    <w:p w14:paraId="00C9843D" w14:textId="77777777" w:rsidR="00BA4C3F" w:rsidRPr="00564A3B" w:rsidRDefault="00BA4C3F" w:rsidP="00BA4C3F">
      <w:pPr>
        <w:spacing w:before="24" w:after="24" w:line="360" w:lineRule="auto"/>
        <w:ind w:left="720"/>
        <w:rPr>
          <w:rFonts w:ascii="Verdana" w:hAnsi="Verdana"/>
        </w:rPr>
      </w:pPr>
    </w:p>
    <w:p w14:paraId="4DE2C15F" w14:textId="77777777" w:rsidR="00BA4C3F" w:rsidRPr="00564A3B" w:rsidRDefault="00BA4C3F">
      <w:pPr>
        <w:pStyle w:val="Quote"/>
        <w:numPr>
          <w:ilvl w:val="0"/>
          <w:numId w:val="6"/>
        </w:numPr>
        <w:spacing w:before="24" w:after="24" w:line="360" w:lineRule="auto"/>
        <w:rPr>
          <w:rFonts w:cs="Arial"/>
          <w:iCs w:val="0"/>
        </w:rPr>
      </w:pPr>
      <w:r w:rsidRPr="00564A3B">
        <w:rPr>
          <w:rFonts w:cs="Arial"/>
          <w:iCs w:val="0"/>
        </w:rPr>
        <w:t xml:space="preserve"> provide or strengthen appropriate training for the relevant professionals dealing with victims or perpetrators of all acts of violence covered by the scope of this Convention, on the prevention and detection of such violence, equality between women and men, the needs and rights of victims, as well as on how to prevent secondary victimisation. </w:t>
      </w:r>
    </w:p>
    <w:p w14:paraId="0F212F9C" w14:textId="77777777" w:rsidR="00BA4C3F" w:rsidRPr="00564A3B" w:rsidRDefault="00BA4C3F" w:rsidP="00BA4C3F">
      <w:pPr>
        <w:rPr>
          <w:rFonts w:ascii="Verdana" w:hAnsi="Verdana"/>
        </w:rPr>
      </w:pPr>
    </w:p>
    <w:p w14:paraId="072C274D" w14:textId="77777777" w:rsidR="00BA4C3F" w:rsidRPr="00564A3B" w:rsidRDefault="00BA4C3F">
      <w:pPr>
        <w:pStyle w:val="Quote"/>
        <w:numPr>
          <w:ilvl w:val="0"/>
          <w:numId w:val="6"/>
        </w:numPr>
        <w:spacing w:before="24" w:after="24" w:line="360" w:lineRule="auto"/>
        <w:rPr>
          <w:rFonts w:cs="Arial"/>
          <w:iCs w:val="0"/>
        </w:rPr>
      </w:pPr>
      <w:r w:rsidRPr="00564A3B">
        <w:rPr>
          <w:rFonts w:cs="Arial"/>
          <w:iCs w:val="0"/>
        </w:rPr>
        <w:t>encourage that the training referred to in paragraph 1 includes training on co-ordinated multi-agency co-operation to allow for a comprehensive and appropriate handling of referrals in cases of violence covered by the scope of this Convention.</w:t>
      </w:r>
    </w:p>
    <w:p w14:paraId="43EC6E38" w14:textId="77777777" w:rsidR="00BA4C3F" w:rsidRPr="00564A3B" w:rsidRDefault="00BA4C3F" w:rsidP="00BA4C3F">
      <w:pPr>
        <w:pStyle w:val="ListParagraph"/>
        <w:spacing w:before="24" w:after="24" w:line="360" w:lineRule="auto"/>
        <w:rPr>
          <w:rFonts w:ascii="Verdana" w:hAnsi="Verdana"/>
        </w:rPr>
      </w:pPr>
    </w:p>
    <w:p w14:paraId="604D2B7D" w14:textId="2BCE67B3" w:rsidR="00BA4C3F" w:rsidRPr="006B3799" w:rsidRDefault="00BA4C3F" w:rsidP="006B3799">
      <w:pPr>
        <w:pStyle w:val="ListParagraph"/>
        <w:numPr>
          <w:ilvl w:val="1"/>
          <w:numId w:val="1"/>
        </w:numPr>
        <w:spacing w:before="24" w:after="24" w:line="360" w:lineRule="auto"/>
        <w:rPr>
          <w:rFonts w:ascii="Verdana" w:hAnsi="Verdana"/>
        </w:rPr>
      </w:pPr>
      <w:r w:rsidRPr="006B3799">
        <w:rPr>
          <w:rFonts w:ascii="Verdana" w:hAnsi="Verdana"/>
          <w:lang w:val="en-US"/>
        </w:rPr>
        <w:lastRenderedPageBreak/>
        <w:t>The UN CEDAW Committee has explained that States should ensure the availability of “gender-sensitive training to enable health care workers to detect and manage the health consequences of gender-based violence”.</w:t>
      </w:r>
      <w:r w:rsidR="00C8173A" w:rsidRPr="00564A3B">
        <w:rPr>
          <w:rStyle w:val="FootnoteReference"/>
          <w:rFonts w:ascii="Verdana" w:hAnsi="Verdana"/>
          <w:lang w:val="en-US"/>
        </w:rPr>
        <w:footnoteReference w:id="76"/>
      </w:r>
    </w:p>
    <w:p w14:paraId="4100335C" w14:textId="77777777" w:rsidR="003607BC" w:rsidRPr="00564A3B" w:rsidRDefault="003607BC" w:rsidP="00B5326F">
      <w:pPr>
        <w:pStyle w:val="ListParagraph"/>
        <w:spacing w:before="24" w:after="24" w:line="360" w:lineRule="auto"/>
        <w:rPr>
          <w:rFonts w:ascii="Verdana" w:hAnsi="Verdana"/>
        </w:rPr>
      </w:pPr>
    </w:p>
    <w:p w14:paraId="18CE4896" w14:textId="2729F30D" w:rsidR="003607BC" w:rsidRPr="00564A3B" w:rsidRDefault="003607BC">
      <w:pPr>
        <w:pStyle w:val="ListParagraph"/>
        <w:numPr>
          <w:ilvl w:val="1"/>
          <w:numId w:val="1"/>
        </w:numPr>
        <w:spacing w:before="24" w:after="24" w:line="360" w:lineRule="auto"/>
        <w:rPr>
          <w:rFonts w:ascii="Verdana" w:hAnsi="Verdana"/>
        </w:rPr>
      </w:pPr>
      <w:r w:rsidRPr="00564A3B">
        <w:rPr>
          <w:rFonts w:ascii="Verdana" w:hAnsi="Verdana"/>
        </w:rPr>
        <w:t xml:space="preserve">Article 25(1) of the </w:t>
      </w:r>
      <w:r w:rsidR="00640E6A" w:rsidRPr="00564A3B">
        <w:rPr>
          <w:rFonts w:ascii="Verdana" w:hAnsi="Verdana"/>
        </w:rPr>
        <w:t xml:space="preserve">EU </w:t>
      </w:r>
      <w:r w:rsidRPr="00564A3B">
        <w:rPr>
          <w:rFonts w:ascii="Verdana" w:hAnsi="Verdana"/>
        </w:rPr>
        <w:t>Victims’ Directive directs States to ensure that all relevant officials likely to come into contact with a victim, such as police officers and court staff, receive both general and specialist training. Article 25(4) identifies that, subject to the nature and level of the practitioner’s contact with the victim, “</w:t>
      </w:r>
      <w:r w:rsidRPr="00564A3B">
        <w:rPr>
          <w:rFonts w:ascii="Verdana" w:hAnsi="Verdana"/>
          <w:color w:val="000000"/>
          <w:shd w:val="clear" w:color="auto" w:fill="FFFFFF"/>
        </w:rPr>
        <w:t>training shall aim to enable the practitioner to recognise victims and to treat them in a respectful, professional and non-discriminatory manner”.</w:t>
      </w:r>
      <w:r w:rsidRPr="00564A3B">
        <w:rPr>
          <w:rStyle w:val="FootnoteReference"/>
          <w:rFonts w:ascii="Verdana" w:hAnsi="Verdana"/>
          <w:color w:val="000000"/>
          <w:shd w:val="clear" w:color="auto" w:fill="FFFFFF"/>
        </w:rPr>
        <w:footnoteReference w:id="77"/>
      </w:r>
      <w:r w:rsidR="00485C28" w:rsidRPr="00564A3B">
        <w:rPr>
          <w:rFonts w:ascii="Verdana" w:hAnsi="Verdana"/>
          <w:color w:val="000000"/>
          <w:shd w:val="clear" w:color="auto" w:fill="FFFFFF"/>
        </w:rPr>
        <w:t xml:space="preserve"> Recital 61 of the Directive specifies that training should be gender sensitive where relevant, and take account of the specific needs of the victim.</w:t>
      </w:r>
      <w:r w:rsidR="00485C28" w:rsidRPr="00564A3B">
        <w:rPr>
          <w:rStyle w:val="FootnoteReference"/>
          <w:rFonts w:ascii="Verdana" w:hAnsi="Verdana"/>
          <w:color w:val="000000"/>
          <w:shd w:val="clear" w:color="auto" w:fill="FFFFFF"/>
        </w:rPr>
        <w:footnoteReference w:id="78"/>
      </w:r>
    </w:p>
    <w:p w14:paraId="0B8A4FC0" w14:textId="77777777" w:rsidR="00BA4C3F" w:rsidRPr="00564A3B" w:rsidRDefault="00BA4C3F" w:rsidP="00BA4C3F">
      <w:pPr>
        <w:pStyle w:val="ListParagraph"/>
        <w:spacing w:before="24" w:after="24" w:line="360" w:lineRule="auto"/>
        <w:rPr>
          <w:rFonts w:ascii="Verdana" w:hAnsi="Verdana"/>
        </w:rPr>
      </w:pPr>
    </w:p>
    <w:p w14:paraId="3A13F1D5" w14:textId="08FD5315" w:rsidR="00BA4C3F" w:rsidRPr="00564A3B" w:rsidRDefault="00BA4C3F">
      <w:pPr>
        <w:pStyle w:val="ListParagraph"/>
        <w:numPr>
          <w:ilvl w:val="1"/>
          <w:numId w:val="1"/>
        </w:numPr>
        <w:spacing w:before="24" w:after="24" w:line="360" w:lineRule="auto"/>
        <w:rPr>
          <w:rFonts w:ascii="Verdana" w:hAnsi="Verdana"/>
          <w:b/>
        </w:rPr>
      </w:pPr>
      <w:r w:rsidRPr="00564A3B">
        <w:rPr>
          <w:rFonts w:ascii="Verdana" w:hAnsi="Verdana"/>
          <w:b/>
        </w:rPr>
        <w:t xml:space="preserve">The NIHRC recommends that the strategy includes </w:t>
      </w:r>
      <w:r w:rsidR="00CA6691" w:rsidRPr="00564A3B">
        <w:rPr>
          <w:rFonts w:ascii="Verdana" w:hAnsi="Verdana"/>
          <w:b/>
        </w:rPr>
        <w:t>targeted interventions to ensure</w:t>
      </w:r>
      <w:r w:rsidR="00FF35D5" w:rsidRPr="00564A3B">
        <w:rPr>
          <w:rFonts w:ascii="Verdana" w:hAnsi="Verdana"/>
          <w:b/>
        </w:rPr>
        <w:t xml:space="preserve"> that</w:t>
      </w:r>
      <w:r w:rsidR="00CA6691" w:rsidRPr="00564A3B">
        <w:rPr>
          <w:rFonts w:ascii="Verdana" w:hAnsi="Verdana"/>
          <w:b/>
        </w:rPr>
        <w:t xml:space="preserve"> the commitments within are </w:t>
      </w:r>
      <w:r w:rsidR="002D6E53" w:rsidRPr="00564A3B">
        <w:rPr>
          <w:rFonts w:ascii="Verdana" w:hAnsi="Verdana"/>
          <w:b/>
        </w:rPr>
        <w:t xml:space="preserve">effectively applied in practice. This should include the </w:t>
      </w:r>
      <w:r w:rsidRPr="00564A3B">
        <w:rPr>
          <w:rFonts w:ascii="Verdana" w:hAnsi="Verdana"/>
          <w:b/>
        </w:rPr>
        <w:t xml:space="preserve">provision </w:t>
      </w:r>
      <w:r w:rsidR="00FA4EC5" w:rsidRPr="00564A3B">
        <w:rPr>
          <w:rFonts w:ascii="Verdana" w:hAnsi="Verdana"/>
          <w:b/>
        </w:rPr>
        <w:t xml:space="preserve">of </w:t>
      </w:r>
      <w:r w:rsidRPr="00564A3B">
        <w:rPr>
          <w:rFonts w:ascii="Verdana" w:hAnsi="Verdana"/>
          <w:b/>
        </w:rPr>
        <w:t xml:space="preserve">training </w:t>
      </w:r>
      <w:r w:rsidR="006E3E2E" w:rsidRPr="00564A3B">
        <w:rPr>
          <w:rFonts w:ascii="Verdana" w:hAnsi="Verdana"/>
          <w:b/>
        </w:rPr>
        <w:t>for</w:t>
      </w:r>
      <w:r w:rsidR="00FA4EC5" w:rsidRPr="00564A3B">
        <w:rPr>
          <w:rFonts w:ascii="Verdana" w:hAnsi="Verdana"/>
          <w:b/>
        </w:rPr>
        <w:t xml:space="preserve"> all relevant professionals in</w:t>
      </w:r>
      <w:r w:rsidRPr="00564A3B">
        <w:rPr>
          <w:rFonts w:ascii="Verdana" w:hAnsi="Verdana"/>
          <w:b/>
        </w:rPr>
        <w:t xml:space="preserve"> line with the requirements of Article 14 of the </w:t>
      </w:r>
      <w:proofErr w:type="spellStart"/>
      <w:r w:rsidRPr="00564A3B">
        <w:rPr>
          <w:rFonts w:ascii="Verdana" w:hAnsi="Verdana"/>
          <w:b/>
        </w:rPr>
        <w:t>CoE</w:t>
      </w:r>
      <w:proofErr w:type="spellEnd"/>
      <w:r w:rsidRPr="00564A3B">
        <w:rPr>
          <w:rFonts w:ascii="Verdana" w:hAnsi="Verdana"/>
          <w:b/>
        </w:rPr>
        <w:t xml:space="preserve"> Istanbul Convention</w:t>
      </w:r>
      <w:r w:rsidR="004265E3" w:rsidRPr="00564A3B">
        <w:rPr>
          <w:rFonts w:ascii="Verdana" w:hAnsi="Verdana"/>
          <w:b/>
        </w:rPr>
        <w:t xml:space="preserve"> and the EU </w:t>
      </w:r>
      <w:r w:rsidR="00640E6A" w:rsidRPr="00564A3B">
        <w:rPr>
          <w:rFonts w:ascii="Verdana" w:hAnsi="Verdana"/>
          <w:b/>
        </w:rPr>
        <w:t xml:space="preserve">Victims’ </w:t>
      </w:r>
      <w:r w:rsidR="004265E3" w:rsidRPr="00564A3B">
        <w:rPr>
          <w:rFonts w:ascii="Verdana" w:hAnsi="Verdana"/>
          <w:b/>
        </w:rPr>
        <w:t>Directive</w:t>
      </w:r>
      <w:r w:rsidRPr="00564A3B">
        <w:rPr>
          <w:rFonts w:ascii="Verdana" w:hAnsi="Verdana"/>
          <w:b/>
        </w:rPr>
        <w:t xml:space="preserve">. </w:t>
      </w:r>
    </w:p>
    <w:p w14:paraId="679BD27B" w14:textId="61EC67F7" w:rsidR="009F3B2C" w:rsidRPr="00564A3B" w:rsidRDefault="009F3B2C" w:rsidP="0040017A">
      <w:pPr>
        <w:spacing w:before="24" w:after="24" w:line="360" w:lineRule="auto"/>
        <w:rPr>
          <w:rFonts w:ascii="Verdana" w:hAnsi="Verdana"/>
          <w:bCs/>
        </w:rPr>
      </w:pPr>
    </w:p>
    <w:p w14:paraId="455D4CFE" w14:textId="72439F2E" w:rsidR="00792F4A" w:rsidRPr="00564A3B" w:rsidRDefault="00792F4A" w:rsidP="00792F4A">
      <w:pPr>
        <w:pStyle w:val="Heading2"/>
      </w:pPr>
      <w:bookmarkStart w:id="19" w:name="_Toc133586129"/>
      <w:r w:rsidRPr="00564A3B">
        <w:t>Meaningful engagement</w:t>
      </w:r>
      <w:bookmarkEnd w:id="19"/>
    </w:p>
    <w:p w14:paraId="463E6CC7" w14:textId="1916BFA4" w:rsidR="009F3B2C" w:rsidRPr="00564A3B" w:rsidRDefault="00FA4EC5">
      <w:pPr>
        <w:pStyle w:val="ListParagraph"/>
        <w:numPr>
          <w:ilvl w:val="1"/>
          <w:numId w:val="1"/>
        </w:numPr>
        <w:spacing w:before="24" w:after="24" w:line="360" w:lineRule="auto"/>
        <w:rPr>
          <w:rFonts w:ascii="Verdana" w:hAnsi="Verdana"/>
          <w:bCs/>
        </w:rPr>
      </w:pPr>
      <w:r w:rsidRPr="00564A3B">
        <w:rPr>
          <w:rFonts w:ascii="Verdana" w:hAnsi="Verdana"/>
          <w:bCs/>
        </w:rPr>
        <w:t xml:space="preserve">The </w:t>
      </w:r>
      <w:r w:rsidR="009F3B2C" w:rsidRPr="00564A3B">
        <w:rPr>
          <w:rFonts w:ascii="Verdana" w:hAnsi="Verdana"/>
          <w:bCs/>
        </w:rPr>
        <w:t xml:space="preserve">UN CPRD </w:t>
      </w:r>
      <w:r w:rsidR="004F3DBA" w:rsidRPr="00564A3B">
        <w:rPr>
          <w:rFonts w:ascii="Verdana" w:hAnsi="Verdana"/>
          <w:bCs/>
        </w:rPr>
        <w:t xml:space="preserve">Committee’s </w:t>
      </w:r>
      <w:r w:rsidR="009F3B2C" w:rsidRPr="00564A3B">
        <w:rPr>
          <w:rFonts w:ascii="Verdana" w:hAnsi="Verdana"/>
          <w:bCs/>
        </w:rPr>
        <w:t xml:space="preserve">General comment No 7 provides an example of best practice </w:t>
      </w:r>
      <w:r w:rsidR="00AA3332" w:rsidRPr="00564A3B">
        <w:rPr>
          <w:rFonts w:ascii="Verdana" w:hAnsi="Verdana"/>
          <w:bCs/>
        </w:rPr>
        <w:t>i</w:t>
      </w:r>
      <w:r w:rsidR="009F3B2C" w:rsidRPr="00564A3B">
        <w:rPr>
          <w:rFonts w:ascii="Verdana" w:hAnsi="Verdana"/>
          <w:bCs/>
        </w:rPr>
        <w:t>n the inclusion of people with lived</w:t>
      </w:r>
      <w:r w:rsidR="0040017A" w:rsidRPr="00564A3B">
        <w:rPr>
          <w:rFonts w:ascii="Verdana" w:hAnsi="Verdana"/>
          <w:bCs/>
        </w:rPr>
        <w:t xml:space="preserve"> </w:t>
      </w:r>
      <w:r w:rsidR="009F3B2C" w:rsidRPr="00564A3B">
        <w:rPr>
          <w:rFonts w:ascii="Verdana" w:hAnsi="Verdana"/>
          <w:bCs/>
        </w:rPr>
        <w:t>experience in the formulation of policy</w:t>
      </w:r>
      <w:r w:rsidR="00AA3332" w:rsidRPr="00564A3B">
        <w:rPr>
          <w:rFonts w:ascii="Verdana" w:hAnsi="Verdana"/>
          <w:bCs/>
        </w:rPr>
        <w:t>,</w:t>
      </w:r>
      <w:r w:rsidR="009F3B2C" w:rsidRPr="00564A3B">
        <w:rPr>
          <w:rFonts w:ascii="Verdana" w:hAnsi="Verdana"/>
          <w:bCs/>
        </w:rPr>
        <w:t xml:space="preserve"> requiring public authorities to “give due consideration and priority to the opinions and views of organisations of persons with </w:t>
      </w:r>
      <w:r w:rsidR="009F3B2C" w:rsidRPr="00564A3B">
        <w:rPr>
          <w:rFonts w:ascii="Verdana" w:hAnsi="Verdana"/>
          <w:bCs/>
        </w:rPr>
        <w:lastRenderedPageBreak/>
        <w:t>disabilities when addressing issues directly related to persons with disabilities”.</w:t>
      </w:r>
      <w:r w:rsidR="009F3B2C" w:rsidRPr="00564A3B">
        <w:rPr>
          <w:rStyle w:val="FootnoteReference"/>
          <w:rFonts w:ascii="Verdana" w:hAnsi="Verdana"/>
          <w:bCs/>
        </w:rPr>
        <w:footnoteReference w:id="79"/>
      </w:r>
    </w:p>
    <w:p w14:paraId="73DF77C8" w14:textId="77777777" w:rsidR="006A14C8" w:rsidRPr="00564A3B" w:rsidRDefault="006A14C8" w:rsidP="006A14C8">
      <w:pPr>
        <w:pStyle w:val="ListParagraph"/>
        <w:rPr>
          <w:rFonts w:ascii="Verdana" w:hAnsi="Verdana"/>
          <w:bCs/>
        </w:rPr>
      </w:pPr>
    </w:p>
    <w:p w14:paraId="4AE6178D" w14:textId="1F546A00" w:rsidR="009331DB" w:rsidRPr="00564A3B" w:rsidRDefault="00AE7397">
      <w:pPr>
        <w:pStyle w:val="ListParagraph"/>
        <w:numPr>
          <w:ilvl w:val="1"/>
          <w:numId w:val="1"/>
        </w:numPr>
        <w:spacing w:before="24" w:after="24" w:line="360" w:lineRule="auto"/>
        <w:rPr>
          <w:rFonts w:ascii="Verdana" w:hAnsi="Verdana"/>
          <w:bCs/>
        </w:rPr>
      </w:pPr>
      <w:r w:rsidRPr="00564A3B">
        <w:rPr>
          <w:rFonts w:ascii="Verdana" w:hAnsi="Verdana"/>
          <w:bCs/>
        </w:rPr>
        <w:t>The NIHRC welcomes the inclusion of</w:t>
      </w:r>
      <w:r w:rsidR="009F3B2C" w:rsidRPr="00564A3B">
        <w:rPr>
          <w:rFonts w:ascii="Verdana" w:hAnsi="Verdana"/>
          <w:bCs/>
        </w:rPr>
        <w:t xml:space="preserve"> </w:t>
      </w:r>
      <w:r w:rsidRPr="00564A3B">
        <w:rPr>
          <w:rFonts w:ascii="Verdana" w:hAnsi="Verdana"/>
          <w:bCs/>
        </w:rPr>
        <w:t>“</w:t>
      </w:r>
      <w:r w:rsidR="009F3B2C" w:rsidRPr="00564A3B">
        <w:rPr>
          <w:rFonts w:ascii="Verdana" w:hAnsi="Verdana"/>
          <w:bCs/>
        </w:rPr>
        <w:t>increased opportunities for victims’ voices to be heard and ensuring the strategy’s delivery is underpinned by intersectionality”</w:t>
      </w:r>
      <w:r w:rsidRPr="00564A3B">
        <w:rPr>
          <w:rFonts w:ascii="Verdana" w:hAnsi="Verdana"/>
          <w:bCs/>
        </w:rPr>
        <w:t xml:space="preserve"> as an identified action with Pillar 1 of the draft strategy.</w:t>
      </w:r>
      <w:r w:rsidR="009F3B2C" w:rsidRPr="00564A3B">
        <w:rPr>
          <w:rStyle w:val="FootnoteReference"/>
          <w:rFonts w:ascii="Verdana" w:hAnsi="Verdana"/>
          <w:bCs/>
        </w:rPr>
        <w:footnoteReference w:id="80"/>
      </w:r>
      <w:r w:rsidR="007E4A5E" w:rsidRPr="00564A3B">
        <w:rPr>
          <w:rFonts w:ascii="Verdana" w:hAnsi="Verdana"/>
          <w:bCs/>
        </w:rPr>
        <w:t xml:space="preserve"> Clear mechanisms should be in place </w:t>
      </w:r>
      <w:r w:rsidR="00E342A5" w:rsidRPr="00564A3B">
        <w:rPr>
          <w:rFonts w:ascii="Verdana" w:hAnsi="Verdana"/>
          <w:bCs/>
        </w:rPr>
        <w:t xml:space="preserve">that ensure victims </w:t>
      </w:r>
      <w:r w:rsidR="0020266E" w:rsidRPr="00564A3B">
        <w:rPr>
          <w:rFonts w:ascii="Verdana" w:hAnsi="Verdana"/>
          <w:bCs/>
        </w:rPr>
        <w:t>can meaningfully engage with each stage from developing through to evaluating implementation of the strategy.</w:t>
      </w:r>
    </w:p>
    <w:p w14:paraId="07FF15F1" w14:textId="77777777" w:rsidR="005274F9" w:rsidRPr="00564A3B" w:rsidRDefault="005274F9" w:rsidP="005274F9">
      <w:pPr>
        <w:pStyle w:val="ListParagraph"/>
        <w:rPr>
          <w:rFonts w:ascii="Verdana" w:hAnsi="Verdana"/>
          <w:b/>
        </w:rPr>
      </w:pPr>
    </w:p>
    <w:p w14:paraId="2C56BD48" w14:textId="5B39FB48" w:rsidR="005274F9" w:rsidRPr="00564A3B" w:rsidRDefault="005274F9">
      <w:pPr>
        <w:pStyle w:val="ListParagraph"/>
        <w:numPr>
          <w:ilvl w:val="1"/>
          <w:numId w:val="1"/>
        </w:numPr>
        <w:spacing w:before="24" w:after="24" w:line="360" w:lineRule="auto"/>
        <w:rPr>
          <w:rFonts w:ascii="Verdana" w:hAnsi="Verdana"/>
          <w:b/>
        </w:rPr>
      </w:pPr>
      <w:r w:rsidRPr="00564A3B">
        <w:rPr>
          <w:rFonts w:ascii="Verdana" w:hAnsi="Verdana"/>
          <w:b/>
        </w:rPr>
        <w:t>The NIHRC recommends that the Department</w:t>
      </w:r>
      <w:r w:rsidR="006A14C8" w:rsidRPr="00564A3B">
        <w:rPr>
          <w:rFonts w:ascii="Verdana" w:hAnsi="Verdana"/>
          <w:b/>
        </w:rPr>
        <w:t xml:space="preserve"> of Health and Department </w:t>
      </w:r>
      <w:r w:rsidR="006942B1" w:rsidRPr="00564A3B">
        <w:rPr>
          <w:rFonts w:ascii="Verdana" w:hAnsi="Verdana"/>
          <w:b/>
        </w:rPr>
        <w:t xml:space="preserve">of Justice </w:t>
      </w:r>
      <w:r w:rsidR="0040017A" w:rsidRPr="00564A3B">
        <w:rPr>
          <w:rFonts w:ascii="Verdana" w:hAnsi="Verdana"/>
          <w:b/>
        </w:rPr>
        <w:t xml:space="preserve">give due consideration and priority to the opinions and views of victims and their representative organisations throughout implementation </w:t>
      </w:r>
      <w:r w:rsidR="00B5352B" w:rsidRPr="00564A3B">
        <w:rPr>
          <w:rFonts w:ascii="Verdana" w:hAnsi="Verdana"/>
          <w:b/>
        </w:rPr>
        <w:t xml:space="preserve">and evaluation </w:t>
      </w:r>
      <w:r w:rsidR="0040017A" w:rsidRPr="00564A3B">
        <w:rPr>
          <w:rFonts w:ascii="Verdana" w:hAnsi="Verdana"/>
          <w:b/>
        </w:rPr>
        <w:t>of the strategy.</w:t>
      </w:r>
      <w:r w:rsidR="004C1514" w:rsidRPr="00564A3B">
        <w:rPr>
          <w:rFonts w:ascii="Verdana" w:hAnsi="Verdana"/>
          <w:b/>
        </w:rPr>
        <w:t xml:space="preserve"> </w:t>
      </w:r>
      <w:r w:rsidR="00856BCF" w:rsidRPr="00564A3B">
        <w:rPr>
          <w:rFonts w:ascii="Verdana" w:hAnsi="Verdana"/>
          <w:b/>
        </w:rPr>
        <w:t xml:space="preserve">Mechanisms to </w:t>
      </w:r>
      <w:r w:rsidR="0081110D" w:rsidRPr="00564A3B">
        <w:rPr>
          <w:rFonts w:ascii="Verdana" w:hAnsi="Verdana"/>
          <w:b/>
        </w:rPr>
        <w:t xml:space="preserve">effectively </w:t>
      </w:r>
      <w:r w:rsidR="004D4EDC" w:rsidRPr="00564A3B">
        <w:rPr>
          <w:rFonts w:ascii="Verdana" w:hAnsi="Verdana"/>
          <w:b/>
        </w:rPr>
        <w:t xml:space="preserve">collate </w:t>
      </w:r>
      <w:r w:rsidR="0081110D" w:rsidRPr="00564A3B">
        <w:rPr>
          <w:rFonts w:ascii="Verdana" w:hAnsi="Verdana"/>
          <w:b/>
        </w:rPr>
        <w:t xml:space="preserve">and ensure meaningful engagement with views expressed by victims and their representative organisations </w:t>
      </w:r>
      <w:r w:rsidR="004D4EDC" w:rsidRPr="00564A3B">
        <w:rPr>
          <w:rFonts w:ascii="Verdana" w:hAnsi="Verdana"/>
          <w:b/>
        </w:rPr>
        <w:t xml:space="preserve">should be </w:t>
      </w:r>
      <w:r w:rsidR="00171254" w:rsidRPr="00564A3B">
        <w:rPr>
          <w:rFonts w:ascii="Verdana" w:hAnsi="Verdana"/>
          <w:b/>
        </w:rPr>
        <w:t>identified and committed to with</w:t>
      </w:r>
      <w:r w:rsidR="004D4EDC" w:rsidRPr="00564A3B">
        <w:rPr>
          <w:rFonts w:ascii="Verdana" w:hAnsi="Verdana"/>
          <w:b/>
        </w:rPr>
        <w:t xml:space="preserve">in the strategy. </w:t>
      </w:r>
    </w:p>
    <w:p w14:paraId="7E1134BF" w14:textId="77777777" w:rsidR="00364747" w:rsidRPr="00564A3B" w:rsidRDefault="00364747" w:rsidP="00364747">
      <w:pPr>
        <w:pStyle w:val="ListParagraph"/>
        <w:rPr>
          <w:rFonts w:ascii="Verdana" w:hAnsi="Verdana"/>
          <w:b/>
        </w:rPr>
      </w:pPr>
    </w:p>
    <w:p w14:paraId="1119362B" w14:textId="092F6A3C" w:rsidR="00364747" w:rsidRPr="00564A3B" w:rsidRDefault="00364747">
      <w:pPr>
        <w:pStyle w:val="ListParagraph"/>
        <w:numPr>
          <w:ilvl w:val="1"/>
          <w:numId w:val="1"/>
        </w:numPr>
        <w:spacing w:before="24" w:after="24" w:line="360" w:lineRule="auto"/>
        <w:rPr>
          <w:rFonts w:ascii="Verdana" w:hAnsi="Verdana"/>
          <w:bCs/>
        </w:rPr>
      </w:pPr>
      <w:r w:rsidRPr="00564A3B">
        <w:rPr>
          <w:rFonts w:ascii="Verdana" w:hAnsi="Verdana"/>
          <w:bCs/>
        </w:rPr>
        <w:t xml:space="preserve">Recital 57 of the </w:t>
      </w:r>
      <w:r w:rsidR="0098503C" w:rsidRPr="00564A3B">
        <w:rPr>
          <w:rFonts w:ascii="Verdana" w:hAnsi="Verdana"/>
          <w:bCs/>
        </w:rPr>
        <w:t xml:space="preserve">EU </w:t>
      </w:r>
      <w:r w:rsidRPr="00564A3B">
        <w:rPr>
          <w:rFonts w:ascii="Verdana" w:hAnsi="Verdana"/>
          <w:bCs/>
        </w:rPr>
        <w:t>Victims’ Directive makes specific reference to the fact that victims of abuse in close relationships as well as those who experience sexual abuse tend to experience a high rate of secondary and repeat victimisation, of intimidation and of retaliation</w:t>
      </w:r>
      <w:r w:rsidR="003914AA" w:rsidRPr="00564A3B">
        <w:rPr>
          <w:rFonts w:ascii="Verdana" w:hAnsi="Verdana"/>
          <w:bCs/>
        </w:rPr>
        <w:t xml:space="preserve">. It </w:t>
      </w:r>
      <w:r w:rsidRPr="00564A3B">
        <w:rPr>
          <w:rFonts w:ascii="Verdana" w:hAnsi="Verdana"/>
          <w:bCs/>
        </w:rPr>
        <w:t>therefore</w:t>
      </w:r>
      <w:r w:rsidR="003914AA" w:rsidRPr="00564A3B">
        <w:rPr>
          <w:rFonts w:ascii="Verdana" w:hAnsi="Verdana"/>
          <w:bCs/>
        </w:rPr>
        <w:t xml:space="preserve"> advises that</w:t>
      </w:r>
      <w:r w:rsidRPr="00564A3B">
        <w:rPr>
          <w:rFonts w:ascii="Verdana" w:hAnsi="Verdana"/>
          <w:bCs/>
        </w:rPr>
        <w:t xml:space="preserve"> particular care should be taken when assessing whether such victims are at risk and will benefit from special protection measures.</w:t>
      </w:r>
      <w:r w:rsidRPr="00564A3B">
        <w:rPr>
          <w:rStyle w:val="FootnoteReference"/>
          <w:rFonts w:ascii="Verdana" w:hAnsi="Verdana"/>
          <w:bCs/>
        </w:rPr>
        <w:footnoteReference w:id="81"/>
      </w:r>
    </w:p>
    <w:p w14:paraId="0F3FD4C9" w14:textId="77777777" w:rsidR="00364747" w:rsidRPr="00564A3B" w:rsidRDefault="00364747" w:rsidP="00364747">
      <w:pPr>
        <w:pStyle w:val="ListParagraph"/>
        <w:rPr>
          <w:rFonts w:ascii="Verdana" w:hAnsi="Verdana"/>
          <w:b/>
        </w:rPr>
      </w:pPr>
    </w:p>
    <w:p w14:paraId="0B608528" w14:textId="60D5D16A" w:rsidR="001E0545" w:rsidRPr="00564A3B" w:rsidRDefault="00364747">
      <w:pPr>
        <w:pStyle w:val="ListParagraph"/>
        <w:numPr>
          <w:ilvl w:val="1"/>
          <w:numId w:val="1"/>
        </w:numPr>
        <w:spacing w:before="24" w:after="24" w:line="360" w:lineRule="auto"/>
        <w:rPr>
          <w:rFonts w:ascii="Verdana" w:hAnsi="Verdana"/>
          <w:b/>
        </w:rPr>
      </w:pPr>
      <w:r w:rsidRPr="00564A3B">
        <w:rPr>
          <w:rFonts w:ascii="Verdana" w:hAnsi="Verdana"/>
          <w:b/>
        </w:rPr>
        <w:t xml:space="preserve">The NIHRC recommends that engagement with </w:t>
      </w:r>
      <w:r w:rsidR="00DB2F74" w:rsidRPr="00564A3B">
        <w:rPr>
          <w:rFonts w:ascii="Verdana" w:hAnsi="Verdana"/>
          <w:b/>
        </w:rPr>
        <w:t xml:space="preserve">individuals </w:t>
      </w:r>
      <w:r w:rsidRPr="00564A3B">
        <w:rPr>
          <w:rFonts w:ascii="Verdana" w:hAnsi="Verdana"/>
          <w:b/>
        </w:rPr>
        <w:t>with lived experience is conducted with support and in a sensitive and appropriate manner so as not to re-traumatise victims.</w:t>
      </w:r>
    </w:p>
    <w:p w14:paraId="6CB1F2CE" w14:textId="77777777" w:rsidR="004E7970" w:rsidRPr="00564A3B" w:rsidRDefault="004E7970" w:rsidP="0098503C">
      <w:pPr>
        <w:pStyle w:val="ListParagraph"/>
        <w:rPr>
          <w:rFonts w:ascii="Verdana" w:hAnsi="Verdana"/>
        </w:rPr>
      </w:pPr>
    </w:p>
    <w:p w14:paraId="41AE875F" w14:textId="441FE8F6" w:rsidR="00384576" w:rsidRPr="00564A3B" w:rsidRDefault="00384576" w:rsidP="00384576">
      <w:pPr>
        <w:pStyle w:val="Heading2"/>
      </w:pPr>
      <w:bookmarkStart w:id="20" w:name="_Toc133586130"/>
      <w:r w:rsidRPr="00564A3B">
        <w:t>Gillen Review</w:t>
      </w:r>
      <w:bookmarkEnd w:id="20"/>
    </w:p>
    <w:p w14:paraId="768C91CB" w14:textId="7B14DBB1" w:rsidR="004E7970" w:rsidRPr="00564A3B" w:rsidRDefault="004E7970">
      <w:pPr>
        <w:pStyle w:val="ListParagraph"/>
        <w:numPr>
          <w:ilvl w:val="1"/>
          <w:numId w:val="1"/>
        </w:numPr>
        <w:spacing w:before="24" w:after="24" w:line="360" w:lineRule="auto"/>
        <w:rPr>
          <w:rFonts w:ascii="Verdana" w:hAnsi="Verdana"/>
        </w:rPr>
      </w:pPr>
      <w:r w:rsidRPr="00564A3B">
        <w:rPr>
          <w:rFonts w:ascii="Verdana" w:hAnsi="Verdana"/>
        </w:rPr>
        <w:t>The draft strategy acknowledges the close link between the domestic and sexual abuse strategy and the work being taken forward under the Gillen Review.</w:t>
      </w:r>
      <w:r w:rsidR="003518D9" w:rsidRPr="00564A3B">
        <w:rPr>
          <w:rStyle w:val="FootnoteReference"/>
          <w:rFonts w:ascii="Verdana" w:hAnsi="Verdana"/>
        </w:rPr>
        <w:footnoteReference w:id="82"/>
      </w:r>
      <w:r w:rsidRPr="00564A3B">
        <w:rPr>
          <w:rFonts w:ascii="Verdana" w:hAnsi="Verdana"/>
        </w:rPr>
        <w:t xml:space="preserve"> </w:t>
      </w:r>
      <w:r w:rsidR="00620A01" w:rsidRPr="00564A3B">
        <w:rPr>
          <w:rFonts w:ascii="Verdana" w:hAnsi="Verdana"/>
        </w:rPr>
        <w:t>While</w:t>
      </w:r>
      <w:r w:rsidRPr="00564A3B">
        <w:rPr>
          <w:rFonts w:ascii="Verdana" w:hAnsi="Verdana"/>
        </w:rPr>
        <w:t xml:space="preserve"> significant progress that is being made in legislative and policy developments</w:t>
      </w:r>
      <w:r w:rsidR="00620A01" w:rsidRPr="00564A3B">
        <w:rPr>
          <w:rFonts w:ascii="Verdana" w:hAnsi="Verdana"/>
        </w:rPr>
        <w:t>, further action is required to ensure full implementation of the Gillen Review recommendations and measures.</w:t>
      </w:r>
    </w:p>
    <w:p w14:paraId="3CF2610D" w14:textId="77777777" w:rsidR="004E7970" w:rsidRPr="00564A3B" w:rsidRDefault="004E7970" w:rsidP="00FE71FE">
      <w:pPr>
        <w:rPr>
          <w:rFonts w:ascii="Verdana" w:hAnsi="Verdana"/>
        </w:rPr>
      </w:pPr>
    </w:p>
    <w:p w14:paraId="71D6150C" w14:textId="58F86581" w:rsidR="004E7970" w:rsidRPr="00564A3B" w:rsidRDefault="004E7970">
      <w:pPr>
        <w:pStyle w:val="ListParagraph"/>
        <w:numPr>
          <w:ilvl w:val="1"/>
          <w:numId w:val="1"/>
        </w:numPr>
        <w:spacing w:before="24" w:after="24" w:line="360" w:lineRule="auto"/>
        <w:rPr>
          <w:rFonts w:ascii="Verdana" w:hAnsi="Verdana"/>
          <w:b/>
          <w:bCs/>
        </w:rPr>
      </w:pPr>
      <w:r w:rsidRPr="00564A3B">
        <w:rPr>
          <w:rFonts w:ascii="Verdana" w:hAnsi="Verdana"/>
          <w:b/>
          <w:bCs/>
        </w:rPr>
        <w:t xml:space="preserve">The NIHRC recommends that the </w:t>
      </w:r>
      <w:r w:rsidR="00620A01" w:rsidRPr="00564A3B">
        <w:rPr>
          <w:rFonts w:ascii="Verdana" w:hAnsi="Verdana"/>
          <w:b/>
          <w:bCs/>
        </w:rPr>
        <w:t>final strategy</w:t>
      </w:r>
      <w:r w:rsidR="003518D9" w:rsidRPr="00564A3B">
        <w:rPr>
          <w:rFonts w:ascii="Verdana" w:hAnsi="Verdana"/>
          <w:b/>
          <w:bCs/>
        </w:rPr>
        <w:t xml:space="preserve"> </w:t>
      </w:r>
      <w:r w:rsidR="00FE71FE" w:rsidRPr="00564A3B">
        <w:rPr>
          <w:rFonts w:ascii="Verdana" w:hAnsi="Verdana"/>
          <w:b/>
          <w:bCs/>
        </w:rPr>
        <w:t xml:space="preserve">clearly </w:t>
      </w:r>
      <w:r w:rsidR="003518D9" w:rsidRPr="00564A3B">
        <w:rPr>
          <w:rFonts w:ascii="Verdana" w:hAnsi="Verdana"/>
          <w:b/>
          <w:bCs/>
        </w:rPr>
        <w:t xml:space="preserve">identifies areas of cross working with the Gillen Review implementation teams </w:t>
      </w:r>
      <w:r w:rsidR="00FE71FE" w:rsidRPr="00564A3B">
        <w:rPr>
          <w:rFonts w:ascii="Verdana" w:hAnsi="Verdana"/>
          <w:b/>
          <w:bCs/>
        </w:rPr>
        <w:t xml:space="preserve">to ensure a comprehensive and coordinated approach in delivery. </w:t>
      </w:r>
    </w:p>
    <w:p w14:paraId="2999EC6D" w14:textId="77777777" w:rsidR="00364747" w:rsidRPr="00564A3B" w:rsidRDefault="00364747" w:rsidP="00364747">
      <w:pPr>
        <w:spacing w:before="24" w:after="24" w:line="360" w:lineRule="auto"/>
        <w:rPr>
          <w:rFonts w:ascii="Verdana" w:hAnsi="Verdana"/>
        </w:rPr>
      </w:pPr>
    </w:p>
    <w:p w14:paraId="7C7D8AAD" w14:textId="1278099D" w:rsidR="00EF216A" w:rsidRPr="00564A3B" w:rsidRDefault="001E0545">
      <w:pPr>
        <w:pStyle w:val="Heading1"/>
        <w:numPr>
          <w:ilvl w:val="0"/>
          <w:numId w:val="1"/>
        </w:numPr>
        <w:spacing w:before="24" w:after="24" w:line="360" w:lineRule="auto"/>
      </w:pPr>
      <w:bookmarkStart w:id="21" w:name="_Toc133586131"/>
      <w:r w:rsidRPr="00564A3B">
        <w:t>Pillar 2: Prevention</w:t>
      </w:r>
      <w:bookmarkEnd w:id="21"/>
      <w:r w:rsidRPr="00564A3B">
        <w:t xml:space="preserve"> </w:t>
      </w:r>
    </w:p>
    <w:p w14:paraId="4D59D36B" w14:textId="32799572" w:rsidR="00424B0D" w:rsidRPr="00564A3B" w:rsidRDefault="00EF216A" w:rsidP="00384576">
      <w:pPr>
        <w:pStyle w:val="Heading2"/>
      </w:pPr>
      <w:bookmarkStart w:id="22" w:name="_Toc133586132"/>
      <w:r w:rsidRPr="00564A3B">
        <w:t xml:space="preserve">Awareness </w:t>
      </w:r>
      <w:r w:rsidR="00A92DC2" w:rsidRPr="00564A3B">
        <w:t>r</w:t>
      </w:r>
      <w:r w:rsidRPr="00564A3B">
        <w:t>aising</w:t>
      </w:r>
      <w:bookmarkEnd w:id="22"/>
    </w:p>
    <w:p w14:paraId="1977DD42" w14:textId="3D27DAE2" w:rsidR="00866BFD" w:rsidRPr="00564A3B" w:rsidRDefault="00C0484F">
      <w:pPr>
        <w:pStyle w:val="ListParagraph"/>
        <w:numPr>
          <w:ilvl w:val="1"/>
          <w:numId w:val="1"/>
        </w:numPr>
        <w:spacing w:before="24" w:after="24" w:line="360" w:lineRule="auto"/>
        <w:rPr>
          <w:rFonts w:ascii="Verdana" w:hAnsi="Verdana"/>
        </w:rPr>
      </w:pPr>
      <w:r w:rsidRPr="00564A3B">
        <w:rPr>
          <w:rFonts w:ascii="Verdana" w:hAnsi="Verdana"/>
        </w:rPr>
        <w:t>Article 13</w:t>
      </w:r>
      <w:r w:rsidR="00866BFD" w:rsidRPr="00564A3B">
        <w:rPr>
          <w:rFonts w:ascii="Verdana" w:hAnsi="Verdana"/>
        </w:rPr>
        <w:t xml:space="preserve"> of the Istanbul Convention entails</w:t>
      </w:r>
      <w:r w:rsidR="00726D62" w:rsidRPr="00564A3B">
        <w:rPr>
          <w:rFonts w:ascii="Verdana" w:hAnsi="Verdana"/>
        </w:rPr>
        <w:t>:</w:t>
      </w:r>
    </w:p>
    <w:p w14:paraId="5838BC96" w14:textId="77777777" w:rsidR="00866BFD" w:rsidRPr="00564A3B" w:rsidRDefault="00866BFD" w:rsidP="00866BFD">
      <w:pPr>
        <w:pStyle w:val="ListParagraph"/>
        <w:spacing w:before="24" w:after="24" w:line="360" w:lineRule="auto"/>
        <w:rPr>
          <w:rFonts w:ascii="Verdana" w:hAnsi="Verdana"/>
        </w:rPr>
      </w:pPr>
    </w:p>
    <w:p w14:paraId="388210B9" w14:textId="05507706" w:rsidR="00AE3744" w:rsidRPr="00564A3B" w:rsidRDefault="00915C04" w:rsidP="00B43B63">
      <w:pPr>
        <w:pStyle w:val="Quote"/>
        <w:spacing w:before="24" w:after="24" w:line="360" w:lineRule="auto"/>
        <w:ind w:left="1440"/>
        <w:rPr>
          <w:rFonts w:cs="Arial"/>
          <w:iCs w:val="0"/>
        </w:rPr>
      </w:pPr>
      <w:r w:rsidRPr="00564A3B">
        <w:rPr>
          <w:rFonts w:cs="Arial"/>
          <w:iCs w:val="0"/>
        </w:rPr>
        <w:t>entails the running of public awareness-raising campaigns or programmes on a regular basis that address and explain these issues in a gender-sensitive manner. Awareness-raising activities should include the dissemination of information on equality between women and men, non-stereotyped gender roles, and non-violent conflict resolution in interpersonal relationships. Moreover, the drafters considered it important that any campaign highlight the harmful consequences for children which violence against women and domestic violence may have in its direct or indirect form.</w:t>
      </w:r>
      <w:r w:rsidR="00866BFD" w:rsidRPr="00564A3B">
        <w:rPr>
          <w:rStyle w:val="FootnoteReference"/>
          <w:rFonts w:cs="Arial"/>
          <w:iCs w:val="0"/>
        </w:rPr>
        <w:footnoteReference w:id="83"/>
      </w:r>
    </w:p>
    <w:p w14:paraId="1B9C7BD9" w14:textId="77777777" w:rsidR="002357DC" w:rsidRPr="00564A3B" w:rsidRDefault="002357DC" w:rsidP="002357DC">
      <w:pPr>
        <w:widowControl w:val="0"/>
        <w:tabs>
          <w:tab w:val="left" w:pos="1540"/>
          <w:tab w:val="left" w:pos="1541"/>
        </w:tabs>
        <w:autoSpaceDE w:val="0"/>
        <w:autoSpaceDN w:val="0"/>
        <w:rPr>
          <w:rFonts w:ascii="Verdana" w:hAnsi="Verdana"/>
        </w:rPr>
      </w:pPr>
    </w:p>
    <w:p w14:paraId="5D4804AE" w14:textId="77777777" w:rsidR="002357DC" w:rsidRPr="00564A3B" w:rsidRDefault="002357DC">
      <w:pPr>
        <w:pStyle w:val="ListParagraph"/>
        <w:widowControl w:val="0"/>
        <w:numPr>
          <w:ilvl w:val="1"/>
          <w:numId w:val="1"/>
        </w:numPr>
        <w:tabs>
          <w:tab w:val="left" w:pos="1540"/>
          <w:tab w:val="left" w:pos="1541"/>
        </w:tabs>
        <w:autoSpaceDE w:val="0"/>
        <w:autoSpaceDN w:val="0"/>
        <w:rPr>
          <w:rFonts w:ascii="Verdana" w:hAnsi="Verdana"/>
        </w:rPr>
      </w:pPr>
      <w:r w:rsidRPr="00564A3B">
        <w:rPr>
          <w:rFonts w:ascii="Verdana" w:hAnsi="Verdana"/>
        </w:rPr>
        <w:t>States should also ensure:</w:t>
      </w:r>
    </w:p>
    <w:p w14:paraId="2EE860AD" w14:textId="77777777" w:rsidR="002357DC" w:rsidRPr="00564A3B" w:rsidRDefault="002357DC" w:rsidP="002357DC">
      <w:pPr>
        <w:pStyle w:val="ListParagraph"/>
        <w:widowControl w:val="0"/>
        <w:tabs>
          <w:tab w:val="left" w:pos="1540"/>
          <w:tab w:val="left" w:pos="1541"/>
        </w:tabs>
        <w:autoSpaceDE w:val="0"/>
        <w:autoSpaceDN w:val="0"/>
        <w:rPr>
          <w:rFonts w:ascii="Verdana" w:hAnsi="Verdana"/>
        </w:rPr>
      </w:pPr>
    </w:p>
    <w:p w14:paraId="76863CA4" w14:textId="15092BFF" w:rsidR="002357DC" w:rsidRPr="00564A3B" w:rsidRDefault="002357DC" w:rsidP="00B43B63">
      <w:pPr>
        <w:pStyle w:val="Quote"/>
        <w:spacing w:before="24" w:after="24" w:line="360" w:lineRule="auto"/>
        <w:ind w:left="1440"/>
        <w:rPr>
          <w:rFonts w:cs="Arial"/>
          <w:iCs w:val="0"/>
        </w:rPr>
      </w:pPr>
      <w:r w:rsidRPr="00564A3B">
        <w:rPr>
          <w:rFonts w:cs="Arial"/>
          <w:iCs w:val="0"/>
        </w:rPr>
        <w:t>the dissemination of concrete information on available government or non-government preventive measures. This means the wide dissemination of information leaflets or posters or on-line information material on services which the police or the local community offers, contact information of local, regional or national services such as helplines or shelters and much more.</w:t>
      </w:r>
      <w:r w:rsidR="00866BFD" w:rsidRPr="00564A3B">
        <w:rPr>
          <w:rStyle w:val="FootnoteReference"/>
          <w:rFonts w:cs="Arial"/>
          <w:iCs w:val="0"/>
        </w:rPr>
        <w:footnoteReference w:id="84"/>
      </w:r>
    </w:p>
    <w:p w14:paraId="55C2B7D7" w14:textId="77777777" w:rsidR="002357DC" w:rsidRPr="00564A3B" w:rsidRDefault="002357DC" w:rsidP="002357DC">
      <w:pPr>
        <w:pStyle w:val="ListParagraph"/>
        <w:widowControl w:val="0"/>
        <w:tabs>
          <w:tab w:val="left" w:pos="1540"/>
          <w:tab w:val="left" w:pos="1541"/>
        </w:tabs>
        <w:autoSpaceDE w:val="0"/>
        <w:autoSpaceDN w:val="0"/>
        <w:contextualSpacing w:val="0"/>
        <w:rPr>
          <w:rFonts w:ascii="Verdana" w:hAnsi="Verdana"/>
        </w:rPr>
      </w:pPr>
    </w:p>
    <w:p w14:paraId="6735337D" w14:textId="3DB713DD" w:rsidR="005A2388" w:rsidRPr="00564A3B" w:rsidRDefault="005A2388">
      <w:pPr>
        <w:pStyle w:val="ListParagraph"/>
        <w:widowControl w:val="0"/>
        <w:numPr>
          <w:ilvl w:val="1"/>
          <w:numId w:val="1"/>
        </w:numPr>
        <w:tabs>
          <w:tab w:val="left" w:pos="1540"/>
          <w:tab w:val="left" w:pos="1541"/>
        </w:tabs>
        <w:autoSpaceDE w:val="0"/>
        <w:autoSpaceDN w:val="0"/>
        <w:contextualSpacing w:val="0"/>
        <w:rPr>
          <w:rFonts w:ascii="Verdana" w:hAnsi="Verdana"/>
        </w:rPr>
      </w:pPr>
      <w:r w:rsidRPr="00564A3B">
        <w:rPr>
          <w:rFonts w:ascii="Verdana" w:hAnsi="Verdana"/>
        </w:rPr>
        <w:t xml:space="preserve">The UN CRC Committee </w:t>
      </w:r>
      <w:r w:rsidR="00EF216A" w:rsidRPr="00564A3B">
        <w:rPr>
          <w:rFonts w:ascii="Verdana" w:hAnsi="Verdana"/>
        </w:rPr>
        <w:t xml:space="preserve">also states </w:t>
      </w:r>
      <w:r w:rsidRPr="00564A3B">
        <w:rPr>
          <w:rFonts w:ascii="Verdana" w:hAnsi="Verdana"/>
        </w:rPr>
        <w:t>that</w:t>
      </w:r>
      <w:r w:rsidR="008C020A" w:rsidRPr="00564A3B">
        <w:rPr>
          <w:rFonts w:ascii="Verdana" w:hAnsi="Verdana"/>
        </w:rPr>
        <w:t>:</w:t>
      </w:r>
    </w:p>
    <w:p w14:paraId="7F053918" w14:textId="77777777" w:rsidR="005A2388" w:rsidRPr="00564A3B" w:rsidRDefault="005A2388" w:rsidP="00280622">
      <w:pPr>
        <w:pStyle w:val="BodyText"/>
        <w:spacing w:before="7"/>
        <w:ind w:left="426"/>
        <w:rPr>
          <w:rFonts w:ascii="Verdana" w:hAnsi="Verdana"/>
        </w:rPr>
      </w:pPr>
    </w:p>
    <w:p w14:paraId="2CF34821" w14:textId="4A57AC87" w:rsidR="005A2388" w:rsidRPr="00564A3B" w:rsidRDefault="005A2388" w:rsidP="00B43B63">
      <w:pPr>
        <w:pStyle w:val="Quote"/>
        <w:spacing w:before="24" w:after="24" w:line="360" w:lineRule="auto"/>
        <w:ind w:left="1440"/>
        <w:rPr>
          <w:rFonts w:cs="Arial"/>
          <w:iCs w:val="0"/>
        </w:rPr>
      </w:pPr>
      <w:r w:rsidRPr="00564A3B">
        <w:rPr>
          <w:rFonts w:cs="Arial"/>
          <w:iCs w:val="0"/>
        </w:rPr>
        <w:t>States should address all forms of gender discrimination as part of a comprehensive violence-prevention strategy. This includes addressing gender-based stereotypes, power imbalances, inequalities and discrimination which support and perpetuate the use of violence and coercion in the home, in school and educational settings, in communities, in the workplace, in institutions and in society more broadly.</w:t>
      </w:r>
      <w:r w:rsidR="00280622" w:rsidRPr="00564A3B">
        <w:rPr>
          <w:rFonts w:cs="Arial"/>
          <w:iCs w:val="0"/>
          <w:vertAlign w:val="superscript"/>
        </w:rPr>
        <w:footnoteReference w:id="85"/>
      </w:r>
    </w:p>
    <w:p w14:paraId="2082A0FE" w14:textId="77777777" w:rsidR="003607BC" w:rsidRPr="00564A3B" w:rsidRDefault="003607BC" w:rsidP="00B5326F">
      <w:pPr>
        <w:rPr>
          <w:rFonts w:ascii="Verdana" w:hAnsi="Verdana"/>
        </w:rPr>
      </w:pPr>
    </w:p>
    <w:p w14:paraId="188CE021" w14:textId="3B48688D" w:rsidR="003607BC" w:rsidRPr="00564A3B" w:rsidRDefault="003607BC">
      <w:pPr>
        <w:pStyle w:val="ListParagraph"/>
        <w:numPr>
          <w:ilvl w:val="1"/>
          <w:numId w:val="1"/>
        </w:numPr>
        <w:spacing w:before="24" w:after="24" w:line="360" w:lineRule="auto"/>
        <w:rPr>
          <w:rFonts w:ascii="Verdana" w:hAnsi="Verdana"/>
        </w:rPr>
      </w:pPr>
      <w:r w:rsidRPr="00564A3B">
        <w:rPr>
          <w:rFonts w:ascii="Verdana" w:hAnsi="Verdana"/>
        </w:rPr>
        <w:t xml:space="preserve">Article 26(2) of the </w:t>
      </w:r>
      <w:r w:rsidR="00640E6A" w:rsidRPr="00564A3B">
        <w:rPr>
          <w:rFonts w:ascii="Verdana" w:hAnsi="Verdana"/>
        </w:rPr>
        <w:t xml:space="preserve">EU </w:t>
      </w:r>
      <w:r w:rsidRPr="00564A3B">
        <w:rPr>
          <w:rFonts w:ascii="Verdana" w:hAnsi="Verdana"/>
        </w:rPr>
        <w:t xml:space="preserve">Victims’ Directive requires States to take all appropriate action aimed at raising awareness of rights set out in the Directive. The </w:t>
      </w:r>
      <w:r w:rsidR="00866BFD" w:rsidRPr="00564A3B">
        <w:rPr>
          <w:rFonts w:ascii="Verdana" w:hAnsi="Verdana"/>
        </w:rPr>
        <w:t xml:space="preserve">EU </w:t>
      </w:r>
      <w:r w:rsidRPr="00564A3B">
        <w:rPr>
          <w:rFonts w:ascii="Verdana" w:hAnsi="Verdana"/>
        </w:rPr>
        <w:t>Directive identifies that awareness raising should target groups at higher risk, such as children, victims of gender-based violence and violence in close relationships.</w:t>
      </w:r>
      <w:r w:rsidRPr="00564A3B">
        <w:rPr>
          <w:rStyle w:val="FootnoteReference"/>
          <w:rFonts w:ascii="Verdana" w:hAnsi="Verdana"/>
        </w:rPr>
        <w:footnoteReference w:id="86"/>
      </w:r>
    </w:p>
    <w:p w14:paraId="63DFCCA7" w14:textId="77777777" w:rsidR="001D7AA7" w:rsidRPr="00564A3B" w:rsidRDefault="001D7AA7" w:rsidP="001D7AA7">
      <w:pPr>
        <w:pStyle w:val="ListParagraph"/>
        <w:spacing w:before="24" w:after="24" w:line="360" w:lineRule="auto"/>
        <w:rPr>
          <w:rFonts w:ascii="Verdana" w:hAnsi="Verdana"/>
        </w:rPr>
      </w:pPr>
    </w:p>
    <w:p w14:paraId="5CE99A21" w14:textId="0D9BAD1F" w:rsidR="00EF216A" w:rsidRPr="00564A3B" w:rsidRDefault="00EF216A">
      <w:pPr>
        <w:pStyle w:val="ListParagraph"/>
        <w:numPr>
          <w:ilvl w:val="1"/>
          <w:numId w:val="1"/>
        </w:numPr>
        <w:spacing w:before="24" w:after="24" w:line="360" w:lineRule="auto"/>
        <w:rPr>
          <w:rFonts w:ascii="Verdana" w:hAnsi="Verdana"/>
        </w:rPr>
      </w:pPr>
      <w:r w:rsidRPr="00564A3B">
        <w:rPr>
          <w:rFonts w:ascii="Verdana" w:hAnsi="Verdana"/>
        </w:rPr>
        <w:t xml:space="preserve">The NIHRC welcomes the inclusion of awareness raising within pillar 2 of the strategy. However, this priority area can be strengthened by making clear provision for gender-sensitive awareness campaigns </w:t>
      </w:r>
      <w:r w:rsidR="001577FC" w:rsidRPr="00564A3B">
        <w:rPr>
          <w:rFonts w:ascii="Verdana" w:hAnsi="Verdana"/>
        </w:rPr>
        <w:t>and the dissemination of fully accessible information on support services.</w:t>
      </w:r>
    </w:p>
    <w:p w14:paraId="29CD378F" w14:textId="77777777" w:rsidR="00EF216A" w:rsidRPr="00564A3B" w:rsidRDefault="00EF216A" w:rsidP="00EF216A">
      <w:pPr>
        <w:pStyle w:val="ListParagraph"/>
        <w:spacing w:before="24" w:after="24" w:line="360" w:lineRule="auto"/>
        <w:rPr>
          <w:rFonts w:ascii="Verdana" w:hAnsi="Verdana"/>
          <w:b/>
          <w:bCs/>
        </w:rPr>
      </w:pPr>
    </w:p>
    <w:p w14:paraId="42150D97" w14:textId="7F097B54" w:rsidR="00084B01" w:rsidRPr="00564A3B" w:rsidRDefault="00E161D5">
      <w:pPr>
        <w:pStyle w:val="ListParagraph"/>
        <w:numPr>
          <w:ilvl w:val="1"/>
          <w:numId w:val="1"/>
        </w:numPr>
        <w:spacing w:before="24" w:after="24" w:line="360" w:lineRule="auto"/>
        <w:rPr>
          <w:rFonts w:ascii="Verdana" w:hAnsi="Verdana"/>
          <w:b/>
          <w:bCs/>
        </w:rPr>
      </w:pPr>
      <w:r w:rsidRPr="00564A3B">
        <w:rPr>
          <w:rFonts w:ascii="Verdana" w:hAnsi="Verdana"/>
          <w:b/>
          <w:bCs/>
        </w:rPr>
        <w:t>The NIHRC recommends tha</w:t>
      </w:r>
      <w:r w:rsidR="00E75EAF" w:rsidRPr="00564A3B">
        <w:rPr>
          <w:rFonts w:ascii="Verdana" w:hAnsi="Verdana"/>
          <w:b/>
          <w:bCs/>
        </w:rPr>
        <w:t>t</w:t>
      </w:r>
      <w:r w:rsidR="00D52187" w:rsidRPr="00564A3B">
        <w:rPr>
          <w:rFonts w:ascii="Verdana" w:hAnsi="Verdana"/>
          <w:b/>
          <w:bCs/>
        </w:rPr>
        <w:t xml:space="preserve"> the strategy includes</w:t>
      </w:r>
      <w:r w:rsidR="00801EEF" w:rsidRPr="00564A3B">
        <w:rPr>
          <w:rFonts w:ascii="Verdana" w:hAnsi="Verdana"/>
          <w:b/>
          <w:bCs/>
        </w:rPr>
        <w:t xml:space="preserve"> </w:t>
      </w:r>
      <w:r w:rsidR="003A306D" w:rsidRPr="00564A3B">
        <w:rPr>
          <w:rFonts w:ascii="Verdana" w:hAnsi="Verdana"/>
          <w:b/>
          <w:bCs/>
        </w:rPr>
        <w:t>awareness-raising campaigns</w:t>
      </w:r>
      <w:r w:rsidR="00F04A33" w:rsidRPr="00564A3B">
        <w:rPr>
          <w:rFonts w:ascii="Verdana" w:hAnsi="Verdana"/>
          <w:b/>
          <w:bCs/>
        </w:rPr>
        <w:t xml:space="preserve"> </w:t>
      </w:r>
      <w:r w:rsidR="00D52187" w:rsidRPr="00564A3B">
        <w:rPr>
          <w:rFonts w:ascii="Verdana" w:hAnsi="Verdana"/>
          <w:b/>
          <w:bCs/>
        </w:rPr>
        <w:t xml:space="preserve">that </w:t>
      </w:r>
      <w:r w:rsidR="00F04A33" w:rsidRPr="00564A3B">
        <w:rPr>
          <w:rFonts w:ascii="Verdana" w:hAnsi="Verdana"/>
          <w:b/>
          <w:bCs/>
        </w:rPr>
        <w:t>are</w:t>
      </w:r>
      <w:r w:rsidR="003A306D" w:rsidRPr="00564A3B">
        <w:rPr>
          <w:rFonts w:ascii="Verdana" w:hAnsi="Verdana"/>
          <w:b/>
          <w:bCs/>
        </w:rPr>
        <w:t xml:space="preserve"> gender-sen</w:t>
      </w:r>
      <w:r w:rsidR="00EC0878" w:rsidRPr="00564A3B">
        <w:rPr>
          <w:rFonts w:ascii="Verdana" w:hAnsi="Verdana"/>
          <w:b/>
          <w:bCs/>
        </w:rPr>
        <w:t>sitive</w:t>
      </w:r>
      <w:r w:rsidR="00270793" w:rsidRPr="00564A3B">
        <w:rPr>
          <w:rFonts w:ascii="Verdana" w:hAnsi="Verdana"/>
          <w:b/>
          <w:bCs/>
        </w:rPr>
        <w:t xml:space="preserve">, </w:t>
      </w:r>
      <w:r w:rsidR="001F7D20" w:rsidRPr="00564A3B">
        <w:rPr>
          <w:rFonts w:ascii="Verdana" w:hAnsi="Verdana"/>
          <w:b/>
          <w:bCs/>
        </w:rPr>
        <w:t xml:space="preserve">promote </w:t>
      </w:r>
      <w:r w:rsidR="00A6604D" w:rsidRPr="00564A3B">
        <w:rPr>
          <w:rFonts w:ascii="Verdana" w:hAnsi="Verdana"/>
          <w:b/>
          <w:bCs/>
        </w:rPr>
        <w:t>equality between women and men</w:t>
      </w:r>
      <w:r w:rsidR="00270793" w:rsidRPr="00564A3B">
        <w:rPr>
          <w:rFonts w:ascii="Verdana" w:hAnsi="Verdana"/>
          <w:b/>
          <w:bCs/>
        </w:rPr>
        <w:t xml:space="preserve"> and challenge stereotypes</w:t>
      </w:r>
      <w:r w:rsidR="001F7D20" w:rsidRPr="00564A3B">
        <w:rPr>
          <w:rFonts w:ascii="Verdana" w:hAnsi="Verdana"/>
          <w:b/>
          <w:bCs/>
        </w:rPr>
        <w:t xml:space="preserve">. </w:t>
      </w:r>
      <w:r w:rsidR="002668AC" w:rsidRPr="00564A3B">
        <w:rPr>
          <w:rFonts w:ascii="Verdana" w:hAnsi="Verdana"/>
          <w:b/>
          <w:bCs/>
        </w:rPr>
        <w:t xml:space="preserve"> </w:t>
      </w:r>
    </w:p>
    <w:p w14:paraId="3F5E5099" w14:textId="77777777" w:rsidR="00D52187" w:rsidRPr="00564A3B" w:rsidRDefault="00D52187" w:rsidP="00D52187">
      <w:pPr>
        <w:pStyle w:val="ListParagraph"/>
        <w:spacing w:before="24" w:after="24" w:line="360" w:lineRule="auto"/>
        <w:rPr>
          <w:rFonts w:ascii="Verdana" w:hAnsi="Verdana"/>
        </w:rPr>
      </w:pPr>
    </w:p>
    <w:p w14:paraId="3EE1618C" w14:textId="5CDAC138" w:rsidR="00AF2260" w:rsidRPr="00564A3B" w:rsidRDefault="001F7D20">
      <w:pPr>
        <w:pStyle w:val="ListParagraph"/>
        <w:numPr>
          <w:ilvl w:val="1"/>
          <w:numId w:val="1"/>
        </w:numPr>
        <w:spacing w:before="24" w:after="24" w:line="360" w:lineRule="auto"/>
        <w:rPr>
          <w:rFonts w:ascii="Verdana" w:hAnsi="Verdana"/>
          <w:b/>
          <w:bCs/>
        </w:rPr>
      </w:pPr>
      <w:r w:rsidRPr="00564A3B">
        <w:rPr>
          <w:rFonts w:ascii="Verdana" w:hAnsi="Verdana"/>
          <w:b/>
          <w:bCs/>
        </w:rPr>
        <w:t xml:space="preserve">The NIHRC </w:t>
      </w:r>
      <w:r w:rsidR="00D52187" w:rsidRPr="00564A3B">
        <w:rPr>
          <w:rFonts w:ascii="Verdana" w:hAnsi="Verdana"/>
          <w:b/>
          <w:bCs/>
        </w:rPr>
        <w:t>recommends that the</w:t>
      </w:r>
      <w:r w:rsidR="00613846" w:rsidRPr="00564A3B">
        <w:rPr>
          <w:rFonts w:ascii="Verdana" w:hAnsi="Verdana"/>
          <w:b/>
          <w:bCs/>
        </w:rPr>
        <w:t xml:space="preserve"> final</w:t>
      </w:r>
      <w:r w:rsidR="00D52187" w:rsidRPr="00564A3B">
        <w:rPr>
          <w:rFonts w:ascii="Verdana" w:hAnsi="Verdana"/>
          <w:b/>
          <w:bCs/>
        </w:rPr>
        <w:t xml:space="preserve"> strategy includes measure</w:t>
      </w:r>
      <w:r w:rsidR="00053550" w:rsidRPr="00564A3B">
        <w:rPr>
          <w:rFonts w:ascii="Verdana" w:hAnsi="Verdana"/>
          <w:b/>
          <w:bCs/>
        </w:rPr>
        <w:t>s</w:t>
      </w:r>
      <w:r w:rsidR="00D52187" w:rsidRPr="00564A3B">
        <w:rPr>
          <w:rFonts w:ascii="Verdana" w:hAnsi="Verdana"/>
          <w:b/>
          <w:bCs/>
        </w:rPr>
        <w:t xml:space="preserve"> to ensure the dissemination </w:t>
      </w:r>
      <w:r w:rsidR="00F26454" w:rsidRPr="00564A3B">
        <w:rPr>
          <w:rFonts w:ascii="Verdana" w:hAnsi="Verdana"/>
          <w:b/>
          <w:bCs/>
        </w:rPr>
        <w:t xml:space="preserve">of </w:t>
      </w:r>
      <w:r w:rsidR="00964542" w:rsidRPr="00564A3B">
        <w:rPr>
          <w:rFonts w:ascii="Verdana" w:hAnsi="Verdana"/>
          <w:b/>
          <w:bCs/>
        </w:rPr>
        <w:t xml:space="preserve">accessible </w:t>
      </w:r>
      <w:r w:rsidR="00F26454" w:rsidRPr="00564A3B">
        <w:rPr>
          <w:rFonts w:ascii="Verdana" w:hAnsi="Verdana"/>
          <w:b/>
          <w:bCs/>
        </w:rPr>
        <w:t xml:space="preserve">information on available support services. </w:t>
      </w:r>
      <w:r w:rsidR="00881905" w:rsidRPr="00564A3B">
        <w:rPr>
          <w:rFonts w:ascii="Verdana" w:hAnsi="Verdana"/>
          <w:b/>
          <w:bCs/>
        </w:rPr>
        <w:t xml:space="preserve">This should </w:t>
      </w:r>
      <w:r w:rsidR="005F66B4" w:rsidRPr="00564A3B">
        <w:rPr>
          <w:rFonts w:ascii="Verdana" w:hAnsi="Verdana"/>
          <w:b/>
          <w:bCs/>
        </w:rPr>
        <w:t xml:space="preserve">include campaigns that are </w:t>
      </w:r>
      <w:r w:rsidR="00881905" w:rsidRPr="00564A3B">
        <w:rPr>
          <w:rFonts w:ascii="Verdana" w:hAnsi="Verdana"/>
          <w:b/>
          <w:bCs/>
        </w:rPr>
        <w:t xml:space="preserve">targeted </w:t>
      </w:r>
      <w:r w:rsidR="00726A90" w:rsidRPr="00564A3B">
        <w:rPr>
          <w:rFonts w:ascii="Verdana" w:hAnsi="Verdana"/>
          <w:b/>
          <w:bCs/>
        </w:rPr>
        <w:t xml:space="preserve">at </w:t>
      </w:r>
      <w:r w:rsidR="00322326" w:rsidRPr="00564A3B">
        <w:rPr>
          <w:rFonts w:ascii="Verdana" w:hAnsi="Verdana"/>
          <w:b/>
          <w:bCs/>
        </w:rPr>
        <w:t xml:space="preserve">groups that are identified as </w:t>
      </w:r>
      <w:r w:rsidR="00881905" w:rsidRPr="00564A3B">
        <w:rPr>
          <w:rFonts w:ascii="Verdana" w:hAnsi="Verdana"/>
          <w:b/>
          <w:bCs/>
        </w:rPr>
        <w:t xml:space="preserve">facing additional barriers to </w:t>
      </w:r>
      <w:r w:rsidR="002C744C" w:rsidRPr="00564A3B">
        <w:rPr>
          <w:rFonts w:ascii="Verdana" w:hAnsi="Verdana"/>
          <w:b/>
          <w:bCs/>
        </w:rPr>
        <w:t xml:space="preserve">accessing support. </w:t>
      </w:r>
      <w:r w:rsidR="0018088A" w:rsidRPr="00564A3B">
        <w:rPr>
          <w:rFonts w:ascii="Verdana" w:hAnsi="Verdana"/>
          <w:b/>
          <w:bCs/>
        </w:rPr>
        <w:t>Information should be</w:t>
      </w:r>
      <w:r w:rsidR="004B3C3D" w:rsidRPr="00564A3B">
        <w:rPr>
          <w:rFonts w:ascii="Verdana" w:hAnsi="Verdana"/>
          <w:b/>
          <w:bCs/>
        </w:rPr>
        <w:t xml:space="preserve"> </w:t>
      </w:r>
      <w:r w:rsidR="00964542" w:rsidRPr="00564A3B">
        <w:rPr>
          <w:rFonts w:ascii="Verdana" w:hAnsi="Verdana"/>
          <w:b/>
          <w:bCs/>
        </w:rPr>
        <w:t xml:space="preserve">fully </w:t>
      </w:r>
      <w:r w:rsidR="004B3C3D" w:rsidRPr="00564A3B">
        <w:rPr>
          <w:rFonts w:ascii="Verdana" w:hAnsi="Verdana"/>
          <w:b/>
          <w:bCs/>
        </w:rPr>
        <w:t>accessible</w:t>
      </w:r>
      <w:r w:rsidR="00964542" w:rsidRPr="00564A3B">
        <w:rPr>
          <w:rFonts w:ascii="Verdana" w:hAnsi="Verdana"/>
          <w:b/>
          <w:bCs/>
        </w:rPr>
        <w:t>, including that it is</w:t>
      </w:r>
      <w:r w:rsidR="0018088A" w:rsidRPr="00564A3B">
        <w:rPr>
          <w:rFonts w:ascii="Verdana" w:hAnsi="Verdana"/>
          <w:b/>
          <w:bCs/>
        </w:rPr>
        <w:t xml:space="preserve"> tailored </w:t>
      </w:r>
      <w:r w:rsidR="00C95932" w:rsidRPr="00564A3B">
        <w:rPr>
          <w:rFonts w:ascii="Verdana" w:hAnsi="Verdana"/>
          <w:b/>
          <w:bCs/>
        </w:rPr>
        <w:t xml:space="preserve">to a range of communication requirements. </w:t>
      </w:r>
      <w:r w:rsidR="00AF2260" w:rsidRPr="00564A3B">
        <w:rPr>
          <w:rFonts w:ascii="Verdana" w:hAnsi="Verdana"/>
          <w:b/>
          <w:bCs/>
        </w:rPr>
        <w:t xml:space="preserve">For example, through the provision of language translations, large print, easy read and audio versions. </w:t>
      </w:r>
    </w:p>
    <w:p w14:paraId="24023E49" w14:textId="0CB3223F" w:rsidR="00EA0C16" w:rsidRPr="00564A3B" w:rsidRDefault="00EA0C16" w:rsidP="002D5470">
      <w:pPr>
        <w:rPr>
          <w:rFonts w:ascii="Verdana" w:hAnsi="Verdana"/>
        </w:rPr>
      </w:pPr>
    </w:p>
    <w:p w14:paraId="7AC7206F" w14:textId="63119A29" w:rsidR="00484DA1" w:rsidRPr="00564A3B" w:rsidRDefault="001577FC" w:rsidP="008C20D7">
      <w:pPr>
        <w:spacing w:before="24" w:after="24" w:line="360" w:lineRule="auto"/>
        <w:rPr>
          <w:rFonts w:ascii="Verdana" w:hAnsi="Verdana"/>
          <w:b/>
          <w:bCs/>
        </w:rPr>
      </w:pPr>
      <w:r w:rsidRPr="00564A3B">
        <w:rPr>
          <w:rFonts w:ascii="Verdana" w:hAnsi="Verdana"/>
          <w:b/>
          <w:bCs/>
        </w:rPr>
        <w:t xml:space="preserve">Relationship and </w:t>
      </w:r>
      <w:r w:rsidR="00A92DC2" w:rsidRPr="00564A3B">
        <w:rPr>
          <w:rFonts w:ascii="Verdana" w:hAnsi="Verdana"/>
          <w:b/>
          <w:bCs/>
        </w:rPr>
        <w:t>s</w:t>
      </w:r>
      <w:r w:rsidRPr="00564A3B">
        <w:rPr>
          <w:rFonts w:ascii="Verdana" w:hAnsi="Verdana"/>
          <w:b/>
          <w:bCs/>
        </w:rPr>
        <w:t xml:space="preserve">exuality </w:t>
      </w:r>
      <w:r w:rsidR="00A92DC2" w:rsidRPr="00564A3B">
        <w:rPr>
          <w:rFonts w:ascii="Verdana" w:hAnsi="Verdana"/>
          <w:b/>
          <w:bCs/>
        </w:rPr>
        <w:t>e</w:t>
      </w:r>
      <w:r w:rsidRPr="00564A3B">
        <w:rPr>
          <w:rFonts w:ascii="Verdana" w:hAnsi="Verdana"/>
          <w:b/>
          <w:bCs/>
        </w:rPr>
        <w:t>ducation</w:t>
      </w:r>
    </w:p>
    <w:p w14:paraId="05A15A43" w14:textId="36524018" w:rsidR="001C4CE2" w:rsidRPr="00564A3B" w:rsidRDefault="001577FC">
      <w:pPr>
        <w:pStyle w:val="ListParagraph"/>
        <w:numPr>
          <w:ilvl w:val="1"/>
          <w:numId w:val="1"/>
        </w:numPr>
        <w:spacing w:before="24" w:after="24" w:line="360" w:lineRule="auto"/>
        <w:rPr>
          <w:rFonts w:ascii="Verdana" w:hAnsi="Verdana"/>
        </w:rPr>
      </w:pPr>
      <w:r w:rsidRPr="00564A3B">
        <w:rPr>
          <w:rFonts w:ascii="Verdana" w:hAnsi="Verdana"/>
        </w:rPr>
        <w:t xml:space="preserve"> </w:t>
      </w:r>
      <w:r w:rsidR="0082602E" w:rsidRPr="00564A3B">
        <w:rPr>
          <w:rFonts w:ascii="Verdana" w:hAnsi="Verdana"/>
          <w:iCs/>
        </w:rPr>
        <w:t xml:space="preserve">Article 14 of the </w:t>
      </w:r>
      <w:proofErr w:type="spellStart"/>
      <w:r w:rsidR="00DB1E0C" w:rsidRPr="00564A3B">
        <w:rPr>
          <w:rFonts w:ascii="Verdana" w:hAnsi="Verdana"/>
          <w:iCs/>
        </w:rPr>
        <w:t>CoE</w:t>
      </w:r>
      <w:proofErr w:type="spellEnd"/>
      <w:r w:rsidR="00DB1E0C" w:rsidRPr="00564A3B">
        <w:rPr>
          <w:rFonts w:ascii="Verdana" w:hAnsi="Verdana"/>
          <w:iCs/>
        </w:rPr>
        <w:t xml:space="preserve"> </w:t>
      </w:r>
      <w:r w:rsidR="0082602E" w:rsidRPr="00564A3B">
        <w:rPr>
          <w:rFonts w:ascii="Verdana" w:hAnsi="Verdana"/>
          <w:iCs/>
        </w:rPr>
        <w:t>Istanbul Convention states that:</w:t>
      </w:r>
    </w:p>
    <w:p w14:paraId="25129B27" w14:textId="77777777" w:rsidR="00F821D9" w:rsidRPr="00564A3B" w:rsidRDefault="00F821D9" w:rsidP="00CA6C46">
      <w:pPr>
        <w:pStyle w:val="ListParagraph"/>
        <w:spacing w:before="24" w:after="24" w:line="360" w:lineRule="auto"/>
        <w:rPr>
          <w:rFonts w:ascii="Verdana" w:hAnsi="Verdana"/>
        </w:rPr>
      </w:pPr>
    </w:p>
    <w:p w14:paraId="54299623" w14:textId="22AF52BE" w:rsidR="0082602E" w:rsidRPr="00564A3B" w:rsidRDefault="0082602E" w:rsidP="00B43B63">
      <w:pPr>
        <w:pStyle w:val="Quote"/>
        <w:spacing w:before="24" w:after="24" w:line="360" w:lineRule="auto"/>
        <w:ind w:left="1440"/>
        <w:rPr>
          <w:rFonts w:cs="Arial"/>
          <w:iCs w:val="0"/>
        </w:rPr>
      </w:pPr>
      <w:r w:rsidRPr="00564A3B">
        <w:rPr>
          <w:rFonts w:cs="Arial"/>
          <w:iCs w:val="0"/>
        </w:rPr>
        <w:t>parties shall take, where appropriate, the necessary steps to include teaching material on issues such as equality between women and men, non-stereotyped gender roles, mutual respect, non-violent conflict resolution in interpersonal relationships, gender-based violence against women and the right to personal integrity, adapted to the evolving capacity of learners, in formal curricula and at all levels of education.</w:t>
      </w:r>
      <w:r w:rsidRPr="00564A3B">
        <w:rPr>
          <w:rFonts w:cs="Arial"/>
          <w:iCs w:val="0"/>
          <w:vertAlign w:val="superscript"/>
        </w:rPr>
        <w:footnoteReference w:id="87"/>
      </w:r>
    </w:p>
    <w:p w14:paraId="2117A578" w14:textId="77777777" w:rsidR="00F10360" w:rsidRPr="00564A3B" w:rsidRDefault="00F10360" w:rsidP="00461155">
      <w:pPr>
        <w:spacing w:before="24" w:after="24" w:line="360" w:lineRule="auto"/>
        <w:rPr>
          <w:rFonts w:ascii="Verdana" w:hAnsi="Verdana"/>
        </w:rPr>
      </w:pPr>
    </w:p>
    <w:p w14:paraId="241A3C29" w14:textId="08B5D558" w:rsidR="008A3EA4" w:rsidRPr="00564A3B" w:rsidRDefault="008A3EA4">
      <w:pPr>
        <w:pStyle w:val="ListParagraph"/>
        <w:numPr>
          <w:ilvl w:val="1"/>
          <w:numId w:val="1"/>
        </w:numPr>
        <w:spacing w:before="24" w:after="24" w:line="360" w:lineRule="auto"/>
        <w:rPr>
          <w:rFonts w:ascii="Verdana" w:hAnsi="Verdana"/>
        </w:rPr>
      </w:pPr>
      <w:r w:rsidRPr="00564A3B">
        <w:rPr>
          <w:rFonts w:ascii="Verdana" w:hAnsi="Verdana"/>
        </w:rPr>
        <w:t>The Committee of the Parties to the Lanzarote Convention (Lanzarote Committee) has stated that:</w:t>
      </w:r>
    </w:p>
    <w:p w14:paraId="42C63ED3" w14:textId="77777777" w:rsidR="008A3EA4" w:rsidRPr="00564A3B" w:rsidRDefault="008A3EA4" w:rsidP="008A3EA4">
      <w:pPr>
        <w:pStyle w:val="ListParagraph"/>
        <w:spacing w:before="24" w:after="24" w:line="360" w:lineRule="auto"/>
        <w:rPr>
          <w:rFonts w:ascii="Verdana" w:hAnsi="Verdana"/>
        </w:rPr>
      </w:pPr>
    </w:p>
    <w:p w14:paraId="20756E96" w14:textId="6FDCF517" w:rsidR="008A3EA4" w:rsidRPr="00564A3B" w:rsidRDefault="008A3EA4" w:rsidP="008A3EA4">
      <w:pPr>
        <w:pStyle w:val="Quote"/>
        <w:spacing w:before="24" w:after="24" w:line="360" w:lineRule="auto"/>
        <w:ind w:left="1440"/>
        <w:rPr>
          <w:rFonts w:cs="Arial"/>
          <w:iCs w:val="0"/>
        </w:rPr>
      </w:pPr>
      <w:r w:rsidRPr="00564A3B">
        <w:rPr>
          <w:rFonts w:cs="Arial"/>
          <w:iCs w:val="0"/>
        </w:rPr>
        <w:t xml:space="preserve">the fact that children are frequently victims of sexual violence within the family framework and by persons close to them or </w:t>
      </w:r>
      <w:r w:rsidRPr="00564A3B">
        <w:rPr>
          <w:rFonts w:cs="Arial"/>
          <w:iCs w:val="0"/>
        </w:rPr>
        <w:lastRenderedPageBreak/>
        <w:t>in their “circle of trust” should be highlighted and considers that the school environment is particularly appropriate to do so.</w:t>
      </w:r>
      <w:r w:rsidRPr="00564A3B">
        <w:rPr>
          <w:rStyle w:val="FootnoteReference"/>
          <w:rFonts w:cs="Arial"/>
          <w:iCs w:val="0"/>
        </w:rPr>
        <w:footnoteReference w:id="88"/>
      </w:r>
    </w:p>
    <w:p w14:paraId="0AB37090" w14:textId="77777777" w:rsidR="008A3EA4" w:rsidRPr="00564A3B" w:rsidRDefault="008A3EA4" w:rsidP="008A3EA4">
      <w:pPr>
        <w:rPr>
          <w:rFonts w:ascii="Verdana" w:hAnsi="Verdana"/>
        </w:rPr>
      </w:pPr>
    </w:p>
    <w:p w14:paraId="247F26EA" w14:textId="261D2FC0" w:rsidR="001E0545" w:rsidRPr="00564A3B" w:rsidRDefault="00883A8D">
      <w:pPr>
        <w:pStyle w:val="ListParagraph"/>
        <w:numPr>
          <w:ilvl w:val="1"/>
          <w:numId w:val="1"/>
        </w:numPr>
        <w:spacing w:before="24" w:after="24" w:line="360" w:lineRule="auto"/>
        <w:rPr>
          <w:rFonts w:ascii="Verdana" w:hAnsi="Verdana"/>
        </w:rPr>
      </w:pPr>
      <w:r w:rsidRPr="00564A3B">
        <w:rPr>
          <w:rFonts w:ascii="Verdana" w:hAnsi="Verdana"/>
        </w:rPr>
        <w:t xml:space="preserve">The </w:t>
      </w:r>
      <w:proofErr w:type="spellStart"/>
      <w:r w:rsidRPr="00564A3B">
        <w:rPr>
          <w:rFonts w:ascii="Verdana" w:hAnsi="Verdana"/>
        </w:rPr>
        <w:t>CoE</w:t>
      </w:r>
      <w:proofErr w:type="spellEnd"/>
      <w:r w:rsidRPr="00564A3B">
        <w:rPr>
          <w:rFonts w:ascii="Verdana" w:hAnsi="Verdana"/>
        </w:rPr>
        <w:t xml:space="preserve"> Committee of Ministers has</w:t>
      </w:r>
      <w:r w:rsidR="008A3EA4" w:rsidRPr="00564A3B">
        <w:rPr>
          <w:rFonts w:ascii="Verdana" w:hAnsi="Verdana"/>
        </w:rPr>
        <w:t xml:space="preserve"> further</w:t>
      </w:r>
      <w:r w:rsidR="004C4970" w:rsidRPr="00564A3B">
        <w:rPr>
          <w:rFonts w:ascii="Verdana" w:hAnsi="Verdana"/>
        </w:rPr>
        <w:t xml:space="preserve"> </w:t>
      </w:r>
      <w:r w:rsidRPr="00564A3B">
        <w:rPr>
          <w:rFonts w:ascii="Verdana" w:hAnsi="Verdana"/>
        </w:rPr>
        <w:t>advised that young people should be taught “to consider and interpret relationships with reference to gender equality, human rights, power relations and violence”</w:t>
      </w:r>
      <w:r w:rsidRPr="00564A3B">
        <w:rPr>
          <w:rFonts w:ascii="Verdana" w:hAnsi="Verdana"/>
          <w:vertAlign w:val="superscript"/>
        </w:rPr>
        <w:footnoteReference w:id="89"/>
      </w:r>
      <w:r w:rsidRPr="00564A3B">
        <w:rPr>
          <w:rFonts w:ascii="Verdana" w:hAnsi="Verdana"/>
          <w:vertAlign w:val="superscript"/>
        </w:rPr>
        <w:t xml:space="preserve"> </w:t>
      </w:r>
      <w:r w:rsidRPr="00564A3B">
        <w:rPr>
          <w:rFonts w:ascii="Verdana" w:hAnsi="Verdana"/>
        </w:rPr>
        <w:t xml:space="preserve">and that girls and boys should be </w:t>
      </w:r>
      <w:r w:rsidR="00320A8C" w:rsidRPr="00564A3B">
        <w:rPr>
          <w:rFonts w:ascii="Verdana" w:hAnsi="Verdana"/>
        </w:rPr>
        <w:t>“</w:t>
      </w:r>
      <w:r w:rsidRPr="00564A3B">
        <w:rPr>
          <w:rFonts w:ascii="Verdana" w:hAnsi="Verdana"/>
        </w:rPr>
        <w:t>made aware of the dangers of exploitation, sexual abuse and trafficking to which they are exposed”.</w:t>
      </w:r>
      <w:r w:rsidRPr="00564A3B">
        <w:rPr>
          <w:rFonts w:ascii="Verdana" w:hAnsi="Verdana"/>
          <w:vertAlign w:val="superscript"/>
        </w:rPr>
        <w:footnoteReference w:id="90"/>
      </w:r>
    </w:p>
    <w:p w14:paraId="6DDAD508" w14:textId="77777777" w:rsidR="008A3EA4" w:rsidRPr="00564A3B" w:rsidRDefault="008A3EA4" w:rsidP="008A3EA4">
      <w:pPr>
        <w:pStyle w:val="ListParagraph"/>
        <w:spacing w:before="24" w:after="24" w:line="360" w:lineRule="auto"/>
        <w:rPr>
          <w:rFonts w:ascii="Verdana" w:hAnsi="Verdana"/>
        </w:rPr>
      </w:pPr>
    </w:p>
    <w:p w14:paraId="2CC6EE5D" w14:textId="58F5209B" w:rsidR="008A3EA4" w:rsidRPr="00564A3B" w:rsidRDefault="008A3EA4">
      <w:pPr>
        <w:pStyle w:val="ListParagraph"/>
        <w:numPr>
          <w:ilvl w:val="1"/>
          <w:numId w:val="1"/>
        </w:numPr>
        <w:spacing w:before="24" w:after="24" w:line="360" w:lineRule="auto"/>
        <w:rPr>
          <w:rFonts w:ascii="Verdana" w:hAnsi="Verdana"/>
        </w:rPr>
      </w:pPr>
      <w:r w:rsidRPr="00564A3B">
        <w:rPr>
          <w:rFonts w:ascii="Verdana" w:hAnsi="Verdana"/>
        </w:rPr>
        <w:t xml:space="preserve">In its jurisprudence the ECtHR has also identified that the role of </w:t>
      </w:r>
      <w:r w:rsidR="008C20D7" w:rsidRPr="00564A3B">
        <w:rPr>
          <w:rFonts w:ascii="Verdana" w:hAnsi="Verdana"/>
        </w:rPr>
        <w:t xml:space="preserve">relationship and sexuality education </w:t>
      </w:r>
      <w:r w:rsidRPr="00564A3B">
        <w:rPr>
          <w:rFonts w:ascii="Verdana" w:hAnsi="Verdana"/>
        </w:rPr>
        <w:t>in the prevention of sexual violence and exploitation.</w:t>
      </w:r>
      <w:r w:rsidRPr="00564A3B">
        <w:rPr>
          <w:rFonts w:ascii="Verdana" w:hAnsi="Verdana"/>
          <w:vertAlign w:val="superscript"/>
        </w:rPr>
        <w:footnoteReference w:id="91"/>
      </w:r>
    </w:p>
    <w:p w14:paraId="62922981" w14:textId="77777777" w:rsidR="00F50ADB" w:rsidRPr="00564A3B" w:rsidRDefault="00F50ADB" w:rsidP="00F50ADB">
      <w:pPr>
        <w:pStyle w:val="ListParagraph"/>
        <w:spacing w:before="24" w:after="24" w:line="360" w:lineRule="auto"/>
        <w:rPr>
          <w:rFonts w:ascii="Verdana" w:hAnsi="Verdana"/>
        </w:rPr>
      </w:pPr>
    </w:p>
    <w:p w14:paraId="2B87F687" w14:textId="5E991D91" w:rsidR="00F50ADB" w:rsidRPr="00564A3B" w:rsidRDefault="00184EF3">
      <w:pPr>
        <w:pStyle w:val="ListParagraph"/>
        <w:numPr>
          <w:ilvl w:val="1"/>
          <w:numId w:val="1"/>
        </w:numPr>
        <w:spacing w:before="24" w:after="24" w:line="360" w:lineRule="auto"/>
        <w:rPr>
          <w:rFonts w:ascii="Verdana" w:hAnsi="Verdana"/>
        </w:rPr>
      </w:pPr>
      <w:r w:rsidRPr="00564A3B">
        <w:rPr>
          <w:rFonts w:ascii="Verdana" w:hAnsi="Verdana"/>
        </w:rPr>
        <w:t xml:space="preserve">The NIHRC welcomes the recognition of the role of education in schools in promoting understanding of domestic and sexual abuse. </w:t>
      </w:r>
      <w:r w:rsidR="00331571" w:rsidRPr="00564A3B">
        <w:rPr>
          <w:rFonts w:ascii="Verdana" w:hAnsi="Verdana"/>
        </w:rPr>
        <w:t>E</w:t>
      </w:r>
      <w:r w:rsidR="000E707F" w:rsidRPr="00564A3B">
        <w:rPr>
          <w:rFonts w:ascii="Verdana" w:hAnsi="Verdana"/>
        </w:rPr>
        <w:t>ducation o</w:t>
      </w:r>
      <w:r w:rsidR="00514F90" w:rsidRPr="00564A3B">
        <w:rPr>
          <w:rFonts w:ascii="Verdana" w:hAnsi="Verdana"/>
        </w:rPr>
        <w:t>n</w:t>
      </w:r>
      <w:r w:rsidR="000E707F" w:rsidRPr="00564A3B">
        <w:rPr>
          <w:rFonts w:ascii="Verdana" w:hAnsi="Verdana"/>
        </w:rPr>
        <w:t xml:space="preserve"> domestic and sexual abuse should take place within a programme of c</w:t>
      </w:r>
      <w:r w:rsidR="00933D48" w:rsidRPr="00564A3B">
        <w:rPr>
          <w:rFonts w:ascii="Verdana" w:hAnsi="Verdana"/>
        </w:rPr>
        <w:t xml:space="preserve">omprehensive </w:t>
      </w:r>
      <w:r w:rsidR="00134063" w:rsidRPr="00564A3B">
        <w:rPr>
          <w:rFonts w:ascii="Verdana" w:hAnsi="Verdana"/>
        </w:rPr>
        <w:t>relationship and sexuality education</w:t>
      </w:r>
      <w:r w:rsidR="00161B41" w:rsidRPr="00564A3B">
        <w:rPr>
          <w:rFonts w:ascii="Verdana" w:hAnsi="Verdana"/>
        </w:rPr>
        <w:t xml:space="preserve">. As with all elements of this strategy, </w:t>
      </w:r>
      <w:r w:rsidR="001374DE" w:rsidRPr="00564A3B">
        <w:rPr>
          <w:rFonts w:ascii="Verdana" w:hAnsi="Verdana"/>
        </w:rPr>
        <w:t xml:space="preserve">specific consideration should be given to the </w:t>
      </w:r>
      <w:bookmarkStart w:id="24" w:name="_Hlk131155118"/>
      <w:r w:rsidR="001374DE" w:rsidRPr="00564A3B">
        <w:rPr>
          <w:rFonts w:ascii="Verdana" w:hAnsi="Verdana"/>
        </w:rPr>
        <w:t>experience of marginalised groups including, but not limited to,</w:t>
      </w:r>
      <w:r w:rsidR="00B939AE" w:rsidRPr="00564A3B">
        <w:rPr>
          <w:rFonts w:ascii="Verdana" w:hAnsi="Verdana"/>
        </w:rPr>
        <w:t xml:space="preserve"> </w:t>
      </w:r>
      <w:r w:rsidR="009B0438" w:rsidRPr="00564A3B">
        <w:rPr>
          <w:rFonts w:ascii="Verdana" w:hAnsi="Verdana"/>
        </w:rPr>
        <w:t xml:space="preserve">deaf and </w:t>
      </w:r>
      <w:r w:rsidR="00B939AE" w:rsidRPr="00564A3B">
        <w:rPr>
          <w:rFonts w:ascii="Verdana" w:hAnsi="Verdana"/>
        </w:rPr>
        <w:t xml:space="preserve">disabled persons, </w:t>
      </w:r>
      <w:r w:rsidR="001374DE" w:rsidRPr="00564A3B">
        <w:rPr>
          <w:rFonts w:ascii="Verdana" w:hAnsi="Verdana"/>
        </w:rPr>
        <w:t>LGBTQIA+ persons</w:t>
      </w:r>
      <w:r w:rsidR="00A12145" w:rsidRPr="00564A3B">
        <w:rPr>
          <w:rFonts w:ascii="Verdana" w:hAnsi="Verdana"/>
        </w:rPr>
        <w:t>,</w:t>
      </w:r>
      <w:r w:rsidR="001374DE" w:rsidRPr="00564A3B">
        <w:rPr>
          <w:rFonts w:ascii="Verdana" w:hAnsi="Verdana"/>
        </w:rPr>
        <w:t xml:space="preserve"> and </w:t>
      </w:r>
      <w:r w:rsidR="001374DE" w:rsidRPr="00564A3B">
        <w:rPr>
          <w:rFonts w:ascii="Verdana" w:hAnsi="Verdana"/>
          <w:iCs/>
        </w:rPr>
        <w:t>persons of national or ethnic minority background.</w:t>
      </w:r>
    </w:p>
    <w:bookmarkEnd w:id="24"/>
    <w:p w14:paraId="308566A4" w14:textId="77777777" w:rsidR="00057D06" w:rsidRPr="00564A3B" w:rsidRDefault="00057D06" w:rsidP="00057D06">
      <w:pPr>
        <w:pStyle w:val="ListParagraph"/>
        <w:rPr>
          <w:rFonts w:ascii="Verdana" w:hAnsi="Verdana"/>
        </w:rPr>
      </w:pPr>
    </w:p>
    <w:p w14:paraId="66464301" w14:textId="0C5BBA79" w:rsidR="00057D06" w:rsidRPr="00564A3B" w:rsidRDefault="00057D06">
      <w:pPr>
        <w:pStyle w:val="ListParagraph"/>
        <w:numPr>
          <w:ilvl w:val="1"/>
          <w:numId w:val="1"/>
        </w:numPr>
        <w:spacing w:before="24" w:after="24" w:line="360" w:lineRule="auto"/>
        <w:rPr>
          <w:rFonts w:ascii="Verdana" w:hAnsi="Verdana"/>
          <w:b/>
          <w:bCs/>
        </w:rPr>
      </w:pPr>
      <w:r w:rsidRPr="00564A3B">
        <w:rPr>
          <w:rFonts w:ascii="Verdana" w:hAnsi="Verdana"/>
          <w:b/>
          <w:bCs/>
        </w:rPr>
        <w:t xml:space="preserve">The NIHRC recommends </w:t>
      </w:r>
      <w:r w:rsidR="007A6414" w:rsidRPr="00564A3B">
        <w:rPr>
          <w:rFonts w:ascii="Verdana" w:hAnsi="Verdana"/>
          <w:b/>
          <w:bCs/>
        </w:rPr>
        <w:t>that the Department</w:t>
      </w:r>
      <w:r w:rsidR="00100A11" w:rsidRPr="00564A3B">
        <w:rPr>
          <w:rFonts w:ascii="Verdana" w:hAnsi="Verdana"/>
          <w:b/>
          <w:bCs/>
        </w:rPr>
        <w:t xml:space="preserve"> of Health and Department of Justice</w:t>
      </w:r>
      <w:r w:rsidR="00610B45" w:rsidRPr="00564A3B">
        <w:rPr>
          <w:rFonts w:ascii="Verdana" w:hAnsi="Verdana"/>
          <w:b/>
          <w:bCs/>
        </w:rPr>
        <w:t xml:space="preserve"> </w:t>
      </w:r>
      <w:r w:rsidR="007A6414" w:rsidRPr="00564A3B">
        <w:rPr>
          <w:rFonts w:ascii="Verdana" w:hAnsi="Verdana"/>
          <w:b/>
          <w:bCs/>
        </w:rPr>
        <w:t xml:space="preserve">engage with the Department for Education </w:t>
      </w:r>
      <w:r w:rsidR="00AC5CBE" w:rsidRPr="00564A3B">
        <w:rPr>
          <w:rFonts w:ascii="Verdana" w:hAnsi="Verdana"/>
          <w:b/>
          <w:bCs/>
        </w:rPr>
        <w:t>to ensure t</w:t>
      </w:r>
      <w:r w:rsidR="001D4E63" w:rsidRPr="00564A3B">
        <w:rPr>
          <w:rFonts w:ascii="Verdana" w:hAnsi="Verdana"/>
          <w:b/>
          <w:bCs/>
        </w:rPr>
        <w:t>hat the domestic and sexual abuse strategy</w:t>
      </w:r>
      <w:r w:rsidR="00AC5CBE" w:rsidRPr="00564A3B">
        <w:rPr>
          <w:rFonts w:ascii="Verdana" w:hAnsi="Verdana"/>
          <w:b/>
          <w:bCs/>
        </w:rPr>
        <w:t xml:space="preserve"> is embedded</w:t>
      </w:r>
      <w:r w:rsidR="00781BD2" w:rsidRPr="00564A3B">
        <w:rPr>
          <w:rFonts w:ascii="Verdana" w:hAnsi="Verdana"/>
          <w:b/>
          <w:bCs/>
        </w:rPr>
        <w:t xml:space="preserve"> </w:t>
      </w:r>
      <w:r w:rsidR="00AC5CBE" w:rsidRPr="00564A3B">
        <w:rPr>
          <w:rFonts w:ascii="Verdana" w:hAnsi="Verdana"/>
          <w:b/>
          <w:bCs/>
        </w:rPr>
        <w:t xml:space="preserve">into </w:t>
      </w:r>
      <w:r w:rsidR="00781BD2" w:rsidRPr="00564A3B">
        <w:rPr>
          <w:rFonts w:ascii="Verdana" w:hAnsi="Verdana"/>
          <w:b/>
          <w:bCs/>
        </w:rPr>
        <w:t>relationship and sexuality education</w:t>
      </w:r>
      <w:r w:rsidR="00761A0F" w:rsidRPr="00564A3B">
        <w:rPr>
          <w:rFonts w:ascii="Verdana" w:hAnsi="Verdana"/>
          <w:b/>
          <w:bCs/>
        </w:rPr>
        <w:t xml:space="preserve"> in all schools in </w:t>
      </w:r>
      <w:r w:rsidR="00722645" w:rsidRPr="00564A3B">
        <w:rPr>
          <w:rFonts w:ascii="Verdana" w:hAnsi="Verdana"/>
          <w:b/>
          <w:bCs/>
        </w:rPr>
        <w:t>NI</w:t>
      </w:r>
      <w:r w:rsidR="00781BD2" w:rsidRPr="00564A3B">
        <w:rPr>
          <w:rFonts w:ascii="Verdana" w:hAnsi="Verdana"/>
          <w:b/>
          <w:bCs/>
        </w:rPr>
        <w:t xml:space="preserve">. </w:t>
      </w:r>
    </w:p>
    <w:p w14:paraId="08C96788" w14:textId="77777777" w:rsidR="00B61A1A" w:rsidRPr="00564A3B" w:rsidRDefault="00B61A1A" w:rsidP="002D5470">
      <w:pPr>
        <w:rPr>
          <w:rFonts w:ascii="Verdana" w:hAnsi="Verdana"/>
        </w:rPr>
      </w:pPr>
    </w:p>
    <w:p w14:paraId="251091EF" w14:textId="5C06AF42" w:rsidR="001577FC" w:rsidRPr="00564A3B" w:rsidRDefault="001577FC" w:rsidP="00722645">
      <w:pPr>
        <w:pStyle w:val="Heading2"/>
      </w:pPr>
      <w:bookmarkStart w:id="25" w:name="_Toc133586133"/>
      <w:r w:rsidRPr="00564A3B">
        <w:lastRenderedPageBreak/>
        <w:t>Cost</w:t>
      </w:r>
      <w:r w:rsidR="00722645" w:rsidRPr="00564A3B">
        <w:t xml:space="preserve"> </w:t>
      </w:r>
      <w:r w:rsidRPr="00564A3B">
        <w:t>of</w:t>
      </w:r>
      <w:r w:rsidR="00722645" w:rsidRPr="00564A3B">
        <w:t xml:space="preserve"> </w:t>
      </w:r>
      <w:r w:rsidRPr="00564A3B">
        <w:t>living</w:t>
      </w:r>
      <w:bookmarkEnd w:id="25"/>
      <w:r w:rsidRPr="00564A3B">
        <w:t xml:space="preserve"> </w:t>
      </w:r>
    </w:p>
    <w:p w14:paraId="38508FBC" w14:textId="57DDF3E4" w:rsidR="008C6874" w:rsidRPr="00564A3B" w:rsidRDefault="001577FC">
      <w:pPr>
        <w:pStyle w:val="ListParagraph"/>
        <w:numPr>
          <w:ilvl w:val="1"/>
          <w:numId w:val="1"/>
        </w:numPr>
        <w:spacing w:before="24" w:after="24" w:line="360" w:lineRule="auto"/>
        <w:rPr>
          <w:rFonts w:ascii="Verdana" w:hAnsi="Verdana"/>
        </w:rPr>
      </w:pPr>
      <w:r w:rsidRPr="00564A3B">
        <w:rPr>
          <w:rFonts w:ascii="Verdana" w:hAnsi="Verdana"/>
          <w:lang w:val="en-US"/>
        </w:rPr>
        <w:t>The</w:t>
      </w:r>
      <w:r w:rsidR="008C6874" w:rsidRPr="00564A3B">
        <w:rPr>
          <w:rFonts w:ascii="Verdana" w:hAnsi="Verdana"/>
          <w:lang w:val="en-US"/>
        </w:rPr>
        <w:t xml:space="preserve"> UN CEDAW Committee has </w:t>
      </w:r>
      <w:proofErr w:type="spellStart"/>
      <w:r w:rsidR="008C6874" w:rsidRPr="00564A3B">
        <w:rPr>
          <w:rFonts w:ascii="Verdana" w:hAnsi="Verdana"/>
          <w:lang w:val="en-US"/>
        </w:rPr>
        <w:t>recognised</w:t>
      </w:r>
      <w:proofErr w:type="spellEnd"/>
      <w:r w:rsidR="008C6874" w:rsidRPr="00564A3B">
        <w:rPr>
          <w:rFonts w:ascii="Verdana" w:hAnsi="Verdana"/>
          <w:lang w:val="en-US"/>
        </w:rPr>
        <w:t xml:space="preserve"> the impact of socio-economic circumstances on violence against women noting that</w:t>
      </w:r>
      <w:r w:rsidR="00FB63C8" w:rsidRPr="00564A3B">
        <w:rPr>
          <w:rFonts w:ascii="Verdana" w:hAnsi="Verdana"/>
          <w:lang w:val="en-US"/>
        </w:rPr>
        <w:t xml:space="preserve"> </w:t>
      </w:r>
      <w:r w:rsidR="008C6874" w:rsidRPr="00564A3B">
        <w:rPr>
          <w:rFonts w:ascii="Verdana" w:hAnsi="Verdana"/>
          <w:lang w:val="en-US"/>
        </w:rPr>
        <w:t>“</w:t>
      </w:r>
      <w:r w:rsidR="00FB63C8" w:rsidRPr="00564A3B">
        <w:rPr>
          <w:rFonts w:ascii="Verdana" w:hAnsi="Verdana"/>
          <w:lang w:val="en-US"/>
        </w:rPr>
        <w:t>l</w:t>
      </w:r>
      <w:r w:rsidR="008C6874" w:rsidRPr="00564A3B">
        <w:rPr>
          <w:rFonts w:ascii="Verdana" w:hAnsi="Verdana"/>
          <w:lang w:val="en-US"/>
        </w:rPr>
        <w:t>ack of economic independence forces many women to stay in violent relationships”</w:t>
      </w:r>
      <w:r w:rsidR="00184373" w:rsidRPr="00564A3B">
        <w:rPr>
          <w:rFonts w:ascii="Verdana" w:hAnsi="Verdana"/>
          <w:lang w:val="en-US"/>
        </w:rPr>
        <w:t>.</w:t>
      </w:r>
      <w:r w:rsidR="0009678D">
        <w:rPr>
          <w:rStyle w:val="FootnoteReference"/>
          <w:rFonts w:ascii="Verdana" w:hAnsi="Verdana"/>
          <w:lang w:val="en-US"/>
        </w:rPr>
        <w:footnoteReference w:id="92"/>
      </w:r>
    </w:p>
    <w:p w14:paraId="6B838E3C" w14:textId="77777777" w:rsidR="008F69CC" w:rsidRPr="00564A3B" w:rsidRDefault="008F69CC" w:rsidP="008F69CC">
      <w:pPr>
        <w:pStyle w:val="ListParagraph"/>
        <w:rPr>
          <w:rFonts w:ascii="Verdana" w:hAnsi="Verdana"/>
        </w:rPr>
      </w:pPr>
    </w:p>
    <w:p w14:paraId="0ACACB2F" w14:textId="3D41C3B5" w:rsidR="004174EC" w:rsidRPr="00564A3B" w:rsidRDefault="008F69CC">
      <w:pPr>
        <w:pStyle w:val="ListParagraph"/>
        <w:numPr>
          <w:ilvl w:val="1"/>
          <w:numId w:val="1"/>
        </w:numPr>
        <w:spacing w:before="24" w:after="24" w:line="360" w:lineRule="auto"/>
        <w:rPr>
          <w:rFonts w:ascii="Verdana" w:hAnsi="Verdana"/>
        </w:rPr>
      </w:pPr>
      <w:r w:rsidRPr="00564A3B">
        <w:rPr>
          <w:rFonts w:ascii="Verdana" w:hAnsi="Verdana"/>
        </w:rPr>
        <w:t>The UN CEDAW</w:t>
      </w:r>
      <w:r w:rsidR="00156091" w:rsidRPr="00564A3B">
        <w:rPr>
          <w:rFonts w:ascii="Verdana" w:hAnsi="Verdana"/>
        </w:rPr>
        <w:t xml:space="preserve"> Committee has also noted with concern </w:t>
      </w:r>
      <w:r w:rsidR="00110B85" w:rsidRPr="00564A3B">
        <w:rPr>
          <w:rFonts w:ascii="Verdana" w:hAnsi="Verdana"/>
        </w:rPr>
        <w:t>“</w:t>
      </w:r>
      <w:r w:rsidR="00156091" w:rsidRPr="00564A3B">
        <w:rPr>
          <w:rFonts w:ascii="Verdana" w:hAnsi="Verdana"/>
        </w:rPr>
        <w:t xml:space="preserve">that austerity measures </w:t>
      </w:r>
      <w:r w:rsidR="00622CBF" w:rsidRPr="00564A3B">
        <w:rPr>
          <w:rFonts w:ascii="Verdana" w:hAnsi="Verdana"/>
        </w:rPr>
        <w:t xml:space="preserve">[in the UK] </w:t>
      </w:r>
      <w:r w:rsidR="00156091" w:rsidRPr="00564A3B">
        <w:rPr>
          <w:rFonts w:ascii="Verdana" w:hAnsi="Verdana"/>
        </w:rPr>
        <w:t>have resulted in cuts in funding to organi</w:t>
      </w:r>
      <w:r w:rsidR="00110B85" w:rsidRPr="00564A3B">
        <w:rPr>
          <w:rFonts w:ascii="Verdana" w:hAnsi="Verdana"/>
        </w:rPr>
        <w:t>s</w:t>
      </w:r>
      <w:r w:rsidR="00156091" w:rsidRPr="00564A3B">
        <w:rPr>
          <w:rFonts w:ascii="Verdana" w:hAnsi="Verdana"/>
        </w:rPr>
        <w:t>ations that provide social services to women, including those that provide services for women only</w:t>
      </w:r>
      <w:r w:rsidR="00110B85" w:rsidRPr="00564A3B">
        <w:rPr>
          <w:rFonts w:ascii="Verdana" w:hAnsi="Verdana"/>
        </w:rPr>
        <w:t>”.</w:t>
      </w:r>
      <w:r w:rsidR="00AE22E6" w:rsidRPr="00564A3B">
        <w:rPr>
          <w:rStyle w:val="FootnoteReference"/>
          <w:rFonts w:ascii="Verdana" w:hAnsi="Verdana"/>
        </w:rPr>
        <w:footnoteReference w:id="93"/>
      </w:r>
      <w:r w:rsidR="00F93BE4" w:rsidRPr="00564A3B">
        <w:rPr>
          <w:rFonts w:ascii="Verdana" w:hAnsi="Verdana"/>
        </w:rPr>
        <w:t xml:space="preserve"> </w:t>
      </w:r>
    </w:p>
    <w:p w14:paraId="7C52B46B" w14:textId="77777777" w:rsidR="00622CBF" w:rsidRPr="00564A3B" w:rsidRDefault="00622CBF" w:rsidP="007A7653">
      <w:pPr>
        <w:pStyle w:val="ListParagraph"/>
        <w:spacing w:before="24" w:after="24" w:line="360" w:lineRule="auto"/>
        <w:rPr>
          <w:rFonts w:ascii="Verdana" w:hAnsi="Verdana"/>
        </w:rPr>
      </w:pPr>
    </w:p>
    <w:p w14:paraId="50AB713B" w14:textId="4EF0BE90" w:rsidR="00FB63C8" w:rsidRPr="00564A3B" w:rsidRDefault="00FB63C8">
      <w:pPr>
        <w:pStyle w:val="ListParagraph"/>
        <w:numPr>
          <w:ilvl w:val="1"/>
          <w:numId w:val="1"/>
        </w:numPr>
        <w:spacing w:before="24" w:after="24" w:line="360" w:lineRule="auto"/>
        <w:rPr>
          <w:rFonts w:ascii="Verdana" w:hAnsi="Verdana"/>
        </w:rPr>
      </w:pPr>
      <w:r w:rsidRPr="00564A3B">
        <w:rPr>
          <w:rFonts w:ascii="Verdana" w:hAnsi="Verdana"/>
          <w:lang w:val="en-US"/>
        </w:rPr>
        <w:t xml:space="preserve">The NIHRC welcomes the inclusion of financial abuse in the definition of Domestic Violence and Abuse in the draft </w:t>
      </w:r>
      <w:r w:rsidR="00E71FBF" w:rsidRPr="00564A3B">
        <w:rPr>
          <w:rFonts w:ascii="Verdana" w:hAnsi="Verdana"/>
          <w:lang w:val="en-US"/>
        </w:rPr>
        <w:t>s</w:t>
      </w:r>
      <w:r w:rsidRPr="00564A3B">
        <w:rPr>
          <w:rFonts w:ascii="Verdana" w:hAnsi="Verdana"/>
          <w:lang w:val="en-US"/>
        </w:rPr>
        <w:t xml:space="preserve">trategy and considers this issue to be pertinent </w:t>
      </w:r>
      <w:r w:rsidR="009A16B4" w:rsidRPr="00564A3B">
        <w:rPr>
          <w:rFonts w:ascii="Verdana" w:hAnsi="Verdana"/>
          <w:lang w:val="en-US"/>
        </w:rPr>
        <w:t>with</w:t>
      </w:r>
      <w:r w:rsidRPr="00564A3B">
        <w:rPr>
          <w:rFonts w:ascii="Verdana" w:hAnsi="Verdana"/>
          <w:lang w:val="en-US"/>
        </w:rPr>
        <w:t xml:space="preserve"> </w:t>
      </w:r>
      <w:r w:rsidR="00E94814" w:rsidRPr="00564A3B">
        <w:rPr>
          <w:rFonts w:ascii="Verdana" w:hAnsi="Verdana"/>
          <w:lang w:val="en-US"/>
        </w:rPr>
        <w:t xml:space="preserve">the persistent </w:t>
      </w:r>
      <w:r w:rsidR="00BF4BC7" w:rsidRPr="00564A3B">
        <w:rPr>
          <w:rFonts w:ascii="Verdana" w:hAnsi="Verdana"/>
          <w:lang w:val="en-US"/>
        </w:rPr>
        <w:t xml:space="preserve">and sharp </w:t>
      </w:r>
      <w:r w:rsidR="00E94814" w:rsidRPr="00564A3B">
        <w:rPr>
          <w:rFonts w:ascii="Verdana" w:hAnsi="Verdana"/>
          <w:lang w:val="en-US"/>
        </w:rPr>
        <w:t xml:space="preserve">rise in </w:t>
      </w:r>
      <w:r w:rsidRPr="00564A3B">
        <w:rPr>
          <w:rFonts w:ascii="Verdana" w:hAnsi="Verdana"/>
          <w:lang w:val="en-US"/>
        </w:rPr>
        <w:t>the cost</w:t>
      </w:r>
      <w:r w:rsidR="00E94814" w:rsidRPr="00564A3B">
        <w:rPr>
          <w:rFonts w:ascii="Verdana" w:hAnsi="Verdana"/>
          <w:lang w:val="en-US"/>
        </w:rPr>
        <w:t xml:space="preserve"> </w:t>
      </w:r>
      <w:r w:rsidRPr="00564A3B">
        <w:rPr>
          <w:rFonts w:ascii="Verdana" w:hAnsi="Verdana"/>
          <w:lang w:val="en-US"/>
        </w:rPr>
        <w:t>of</w:t>
      </w:r>
      <w:r w:rsidR="00E94814" w:rsidRPr="00564A3B">
        <w:rPr>
          <w:rFonts w:ascii="Verdana" w:hAnsi="Verdana"/>
          <w:lang w:val="en-US"/>
        </w:rPr>
        <w:t xml:space="preserve"> </w:t>
      </w:r>
      <w:r w:rsidRPr="00564A3B">
        <w:rPr>
          <w:rFonts w:ascii="Verdana" w:hAnsi="Verdana"/>
          <w:lang w:val="en-US"/>
        </w:rPr>
        <w:t xml:space="preserve">living. </w:t>
      </w:r>
      <w:r w:rsidR="00280426" w:rsidRPr="00564A3B">
        <w:rPr>
          <w:rFonts w:ascii="Verdana" w:hAnsi="Verdana"/>
          <w:lang w:val="en-US"/>
        </w:rPr>
        <w:t xml:space="preserve">Recital 18 of the EU Victims’ Directive identifies that the impact of domestic abuse is worsened where a victim is financially dependent on their partner and that this disproportionately effects women. </w:t>
      </w:r>
      <w:r w:rsidR="00BF4BC7" w:rsidRPr="00564A3B">
        <w:rPr>
          <w:rFonts w:ascii="Verdana" w:hAnsi="Verdana"/>
          <w:lang w:val="en-US"/>
        </w:rPr>
        <w:t>There is the risk</w:t>
      </w:r>
      <w:r w:rsidR="004174EC" w:rsidRPr="00564A3B">
        <w:rPr>
          <w:rFonts w:ascii="Verdana" w:hAnsi="Verdana"/>
          <w:lang w:val="en-US"/>
        </w:rPr>
        <w:t xml:space="preserve"> that the </w:t>
      </w:r>
      <w:r w:rsidR="00C55F75" w:rsidRPr="00564A3B">
        <w:rPr>
          <w:rFonts w:ascii="Verdana" w:hAnsi="Verdana"/>
          <w:lang w:val="en-US"/>
        </w:rPr>
        <w:t xml:space="preserve">persistent and sharp rise in </w:t>
      </w:r>
      <w:r w:rsidR="004174EC" w:rsidRPr="00564A3B">
        <w:rPr>
          <w:rFonts w:ascii="Verdana" w:hAnsi="Verdana"/>
          <w:lang w:val="en-US"/>
        </w:rPr>
        <w:t>cost</w:t>
      </w:r>
      <w:r w:rsidR="00BF4BC7" w:rsidRPr="00564A3B">
        <w:rPr>
          <w:rFonts w:ascii="Verdana" w:hAnsi="Verdana"/>
          <w:lang w:val="en-US"/>
        </w:rPr>
        <w:t xml:space="preserve"> </w:t>
      </w:r>
      <w:r w:rsidR="004174EC" w:rsidRPr="00564A3B">
        <w:rPr>
          <w:rFonts w:ascii="Verdana" w:hAnsi="Verdana"/>
          <w:lang w:val="en-US"/>
        </w:rPr>
        <w:t>of</w:t>
      </w:r>
      <w:r w:rsidR="00BF4BC7" w:rsidRPr="00564A3B">
        <w:rPr>
          <w:rFonts w:ascii="Verdana" w:hAnsi="Verdana"/>
          <w:lang w:val="en-US"/>
        </w:rPr>
        <w:t xml:space="preserve"> </w:t>
      </w:r>
      <w:r w:rsidR="004174EC" w:rsidRPr="00564A3B">
        <w:rPr>
          <w:rFonts w:ascii="Verdana" w:hAnsi="Verdana"/>
          <w:lang w:val="en-US"/>
        </w:rPr>
        <w:t>living may exacerbate the issue of financial abuse</w:t>
      </w:r>
      <w:r w:rsidR="00C55F75" w:rsidRPr="00564A3B">
        <w:rPr>
          <w:rFonts w:ascii="Verdana" w:hAnsi="Verdana"/>
          <w:lang w:val="en-US"/>
        </w:rPr>
        <w:t>,</w:t>
      </w:r>
      <w:r w:rsidR="004174EC" w:rsidRPr="00564A3B">
        <w:rPr>
          <w:rFonts w:ascii="Verdana" w:hAnsi="Verdana"/>
          <w:lang w:val="en-US"/>
        </w:rPr>
        <w:t xml:space="preserve"> as well as create an additional barrier to those seeking to flee from all forms of domestic abuse.</w:t>
      </w:r>
      <w:r w:rsidR="00A83A85" w:rsidRPr="00564A3B">
        <w:rPr>
          <w:rStyle w:val="FootnoteReference"/>
          <w:rFonts w:ascii="Verdana" w:hAnsi="Verdana"/>
          <w:lang w:val="en-US"/>
        </w:rPr>
        <w:footnoteReference w:id="94"/>
      </w:r>
      <w:r w:rsidR="004174EC" w:rsidRPr="00564A3B">
        <w:rPr>
          <w:rFonts w:ascii="Verdana" w:hAnsi="Verdana"/>
          <w:lang w:val="en-US"/>
        </w:rPr>
        <w:t xml:space="preserve"> </w:t>
      </w:r>
    </w:p>
    <w:p w14:paraId="6A3E6FBA" w14:textId="77777777" w:rsidR="00AA0CF7" w:rsidRPr="00564A3B" w:rsidRDefault="00AA0CF7" w:rsidP="00AA0CF7">
      <w:pPr>
        <w:pStyle w:val="ListParagraph"/>
        <w:rPr>
          <w:rFonts w:ascii="Verdana" w:hAnsi="Verdana"/>
        </w:rPr>
      </w:pPr>
    </w:p>
    <w:p w14:paraId="3F5991E2" w14:textId="54ED1781" w:rsidR="00AA0CF7" w:rsidRPr="00564A3B" w:rsidRDefault="00AA0CF7">
      <w:pPr>
        <w:pStyle w:val="ListParagraph"/>
        <w:numPr>
          <w:ilvl w:val="1"/>
          <w:numId w:val="1"/>
        </w:numPr>
        <w:spacing w:before="24" w:after="24" w:line="360" w:lineRule="auto"/>
        <w:rPr>
          <w:rFonts w:ascii="Verdana" w:hAnsi="Verdana"/>
          <w:b/>
          <w:bCs/>
        </w:rPr>
      </w:pPr>
      <w:r w:rsidRPr="00564A3B">
        <w:rPr>
          <w:rFonts w:ascii="Verdana" w:hAnsi="Verdana"/>
          <w:b/>
          <w:bCs/>
        </w:rPr>
        <w:t xml:space="preserve">The NIHRC </w:t>
      </w:r>
      <w:r w:rsidR="00A27B8A" w:rsidRPr="00564A3B">
        <w:rPr>
          <w:rFonts w:ascii="Verdana" w:hAnsi="Verdana"/>
          <w:b/>
          <w:bCs/>
        </w:rPr>
        <w:t>recommends that</w:t>
      </w:r>
      <w:r w:rsidR="001840E9" w:rsidRPr="00564A3B">
        <w:rPr>
          <w:rFonts w:ascii="Verdana" w:hAnsi="Verdana"/>
          <w:b/>
          <w:bCs/>
        </w:rPr>
        <w:t>,</w:t>
      </w:r>
      <w:r w:rsidR="00A27B8A" w:rsidRPr="00564A3B">
        <w:rPr>
          <w:rFonts w:ascii="Verdana" w:hAnsi="Verdana"/>
          <w:b/>
          <w:bCs/>
        </w:rPr>
        <w:t xml:space="preserve"> </w:t>
      </w:r>
      <w:r w:rsidR="00852F16" w:rsidRPr="00564A3B">
        <w:rPr>
          <w:rFonts w:ascii="Verdana" w:hAnsi="Verdana"/>
          <w:b/>
          <w:bCs/>
        </w:rPr>
        <w:t>i</w:t>
      </w:r>
      <w:r w:rsidR="001840E9" w:rsidRPr="00564A3B">
        <w:rPr>
          <w:rFonts w:ascii="Verdana" w:hAnsi="Verdana"/>
          <w:b/>
          <w:bCs/>
        </w:rPr>
        <w:t xml:space="preserve">n partnership with other relevant </w:t>
      </w:r>
      <w:r w:rsidR="00852F16" w:rsidRPr="00564A3B">
        <w:rPr>
          <w:rFonts w:ascii="Verdana" w:hAnsi="Verdana"/>
          <w:b/>
          <w:bCs/>
        </w:rPr>
        <w:t>D</w:t>
      </w:r>
      <w:r w:rsidR="001840E9" w:rsidRPr="00564A3B">
        <w:rPr>
          <w:rFonts w:ascii="Verdana" w:hAnsi="Verdana"/>
          <w:b/>
          <w:bCs/>
        </w:rPr>
        <w:t>epartments</w:t>
      </w:r>
      <w:r w:rsidR="00CA046B" w:rsidRPr="00564A3B">
        <w:rPr>
          <w:rFonts w:ascii="Verdana" w:hAnsi="Verdana"/>
          <w:b/>
          <w:bCs/>
        </w:rPr>
        <w:t xml:space="preserve">, the </w:t>
      </w:r>
      <w:r w:rsidR="0010640A" w:rsidRPr="00564A3B">
        <w:rPr>
          <w:rFonts w:ascii="Verdana" w:hAnsi="Verdana"/>
          <w:b/>
          <w:bCs/>
        </w:rPr>
        <w:t>s</w:t>
      </w:r>
      <w:r w:rsidR="00CA046B" w:rsidRPr="00564A3B">
        <w:rPr>
          <w:rFonts w:ascii="Verdana" w:hAnsi="Verdana"/>
          <w:b/>
          <w:bCs/>
        </w:rPr>
        <w:t xml:space="preserve">trategy </w:t>
      </w:r>
      <w:r w:rsidR="00251943" w:rsidRPr="00564A3B">
        <w:rPr>
          <w:rFonts w:ascii="Verdana" w:hAnsi="Verdana"/>
          <w:b/>
          <w:bCs/>
        </w:rPr>
        <w:t xml:space="preserve">includes measures to </w:t>
      </w:r>
      <w:r w:rsidR="002F2240" w:rsidRPr="00564A3B">
        <w:rPr>
          <w:rFonts w:ascii="Verdana" w:hAnsi="Verdana"/>
          <w:b/>
          <w:bCs/>
        </w:rPr>
        <w:t xml:space="preserve">address the </w:t>
      </w:r>
      <w:r w:rsidR="00F023F1" w:rsidRPr="00564A3B">
        <w:rPr>
          <w:rFonts w:ascii="Verdana" w:hAnsi="Verdana"/>
          <w:b/>
          <w:bCs/>
        </w:rPr>
        <w:t xml:space="preserve">exacerbating </w:t>
      </w:r>
      <w:r w:rsidR="0010640A" w:rsidRPr="00564A3B">
        <w:rPr>
          <w:rFonts w:ascii="Verdana" w:hAnsi="Verdana"/>
          <w:b/>
          <w:bCs/>
        </w:rPr>
        <w:t xml:space="preserve">effect </w:t>
      </w:r>
      <w:r w:rsidR="00F023F1" w:rsidRPr="00564A3B">
        <w:rPr>
          <w:rFonts w:ascii="Verdana" w:hAnsi="Verdana"/>
          <w:b/>
          <w:bCs/>
        </w:rPr>
        <w:t xml:space="preserve">of the </w:t>
      </w:r>
      <w:r w:rsidR="00E73893" w:rsidRPr="00564A3B">
        <w:rPr>
          <w:rFonts w:ascii="Verdana" w:hAnsi="Verdana"/>
          <w:b/>
          <w:bCs/>
        </w:rPr>
        <w:t xml:space="preserve">persistent and sharp rise in </w:t>
      </w:r>
      <w:r w:rsidR="00F023F1" w:rsidRPr="00564A3B">
        <w:rPr>
          <w:rFonts w:ascii="Verdana" w:hAnsi="Verdana"/>
          <w:b/>
          <w:bCs/>
        </w:rPr>
        <w:t>cost</w:t>
      </w:r>
      <w:r w:rsidR="00E73893" w:rsidRPr="00564A3B">
        <w:rPr>
          <w:rFonts w:ascii="Verdana" w:hAnsi="Verdana"/>
          <w:b/>
          <w:bCs/>
        </w:rPr>
        <w:t xml:space="preserve"> </w:t>
      </w:r>
      <w:r w:rsidR="00F023F1" w:rsidRPr="00564A3B">
        <w:rPr>
          <w:rFonts w:ascii="Verdana" w:hAnsi="Verdana"/>
          <w:b/>
          <w:bCs/>
        </w:rPr>
        <w:t>of</w:t>
      </w:r>
      <w:r w:rsidR="00E73893" w:rsidRPr="00564A3B">
        <w:rPr>
          <w:rFonts w:ascii="Verdana" w:hAnsi="Verdana"/>
          <w:b/>
          <w:bCs/>
        </w:rPr>
        <w:t xml:space="preserve"> </w:t>
      </w:r>
      <w:r w:rsidR="00F023F1" w:rsidRPr="00564A3B">
        <w:rPr>
          <w:rFonts w:ascii="Verdana" w:hAnsi="Verdana"/>
          <w:b/>
          <w:bCs/>
        </w:rPr>
        <w:t xml:space="preserve">living on domestic and sexual abuse. </w:t>
      </w:r>
      <w:r w:rsidR="00D13B66" w:rsidRPr="00564A3B">
        <w:rPr>
          <w:rFonts w:ascii="Verdana" w:hAnsi="Verdana"/>
          <w:b/>
          <w:bCs/>
        </w:rPr>
        <w:t xml:space="preserve">This should include ensuring that specialised services are </w:t>
      </w:r>
      <w:r w:rsidR="00E73893" w:rsidRPr="00564A3B">
        <w:rPr>
          <w:rFonts w:ascii="Verdana" w:hAnsi="Verdana"/>
          <w:b/>
          <w:bCs/>
        </w:rPr>
        <w:t xml:space="preserve">accessible and </w:t>
      </w:r>
      <w:r w:rsidR="00D13B66" w:rsidRPr="00564A3B">
        <w:rPr>
          <w:rFonts w:ascii="Verdana" w:hAnsi="Verdana"/>
          <w:b/>
          <w:bCs/>
        </w:rPr>
        <w:t xml:space="preserve">adequately funded. </w:t>
      </w:r>
    </w:p>
    <w:p w14:paraId="3946BDC6" w14:textId="77777777" w:rsidR="004174EC" w:rsidRPr="00564A3B" w:rsidRDefault="004174EC" w:rsidP="002D5470">
      <w:pPr>
        <w:rPr>
          <w:rFonts w:ascii="Verdana" w:hAnsi="Verdana"/>
        </w:rPr>
      </w:pPr>
    </w:p>
    <w:p w14:paraId="3F2A856C" w14:textId="6B922CA8" w:rsidR="00424B0D" w:rsidRPr="00564A3B" w:rsidRDefault="001577FC" w:rsidP="003914AA">
      <w:pPr>
        <w:pStyle w:val="Heading2"/>
      </w:pPr>
      <w:bookmarkStart w:id="26" w:name="_Toc133586134"/>
      <w:r w:rsidRPr="00564A3B">
        <w:t>Online and digital abuse</w:t>
      </w:r>
      <w:bookmarkEnd w:id="26"/>
    </w:p>
    <w:p w14:paraId="588A7E4B" w14:textId="77C9CD61" w:rsidR="004A30C8" w:rsidRPr="00564A3B" w:rsidRDefault="00286303">
      <w:pPr>
        <w:pStyle w:val="ListParagraph"/>
        <w:numPr>
          <w:ilvl w:val="1"/>
          <w:numId w:val="1"/>
        </w:numPr>
        <w:spacing w:before="24" w:after="24" w:line="360" w:lineRule="auto"/>
        <w:rPr>
          <w:rFonts w:ascii="Verdana" w:hAnsi="Verdana"/>
        </w:rPr>
      </w:pPr>
      <w:r w:rsidRPr="00564A3B">
        <w:rPr>
          <w:rFonts w:ascii="Verdana" w:hAnsi="Verdana" w:cs="MinionPro-Regular"/>
          <w:bCs/>
          <w:color w:val="000000"/>
        </w:rPr>
        <w:t>I</w:t>
      </w:r>
      <w:r w:rsidR="004A30C8" w:rsidRPr="00564A3B">
        <w:rPr>
          <w:rFonts w:ascii="Verdana" w:hAnsi="Verdana" w:cs="MinionPro-Regular"/>
          <w:bCs/>
          <w:color w:val="000000"/>
        </w:rPr>
        <w:t xml:space="preserve">n </w:t>
      </w:r>
      <w:proofErr w:type="spellStart"/>
      <w:r w:rsidR="004A30C8" w:rsidRPr="00564A3B">
        <w:rPr>
          <w:rFonts w:ascii="Verdana" w:hAnsi="Verdana" w:cs="MinionPro-Regular"/>
          <w:bCs/>
          <w:i/>
          <w:color w:val="000000"/>
        </w:rPr>
        <w:t>Buturugă</w:t>
      </w:r>
      <w:proofErr w:type="spellEnd"/>
      <w:r w:rsidR="004A30C8" w:rsidRPr="00564A3B">
        <w:rPr>
          <w:rFonts w:ascii="Verdana" w:hAnsi="Verdana" w:cs="MinionPro-Regular"/>
          <w:bCs/>
          <w:i/>
          <w:color w:val="000000"/>
        </w:rPr>
        <w:t xml:space="preserve"> v Romania</w:t>
      </w:r>
      <w:r w:rsidR="00462A16" w:rsidRPr="00564A3B">
        <w:rPr>
          <w:rFonts w:ascii="Verdana" w:hAnsi="Verdana" w:cs="MinionPro-Regular"/>
          <w:bCs/>
          <w:i/>
          <w:color w:val="000000"/>
        </w:rPr>
        <w:t xml:space="preserve"> </w:t>
      </w:r>
      <w:r w:rsidR="00462A16" w:rsidRPr="00564A3B">
        <w:rPr>
          <w:rFonts w:ascii="Verdana" w:hAnsi="Verdana" w:cs="MinionPro-Regular"/>
          <w:bCs/>
          <w:iCs/>
          <w:color w:val="000000"/>
        </w:rPr>
        <w:t>(</w:t>
      </w:r>
      <w:r w:rsidR="004174EC" w:rsidRPr="00564A3B">
        <w:rPr>
          <w:rFonts w:ascii="Verdana" w:hAnsi="Verdana" w:cs="MinionPro-Regular"/>
          <w:bCs/>
          <w:iCs/>
          <w:color w:val="000000"/>
        </w:rPr>
        <w:t>2020</w:t>
      </w:r>
      <w:r w:rsidR="00462A16" w:rsidRPr="00564A3B">
        <w:rPr>
          <w:rFonts w:ascii="Verdana" w:hAnsi="Verdana" w:cs="MinionPro-Regular"/>
          <w:bCs/>
          <w:iCs/>
          <w:color w:val="000000"/>
        </w:rPr>
        <w:t>)</w:t>
      </w:r>
      <w:r w:rsidR="004A30C8" w:rsidRPr="00564A3B">
        <w:rPr>
          <w:rFonts w:ascii="Verdana" w:hAnsi="Verdana" w:cs="MinionPro-Regular"/>
          <w:bCs/>
          <w:color w:val="000000"/>
        </w:rPr>
        <w:t xml:space="preserve">, </w:t>
      </w:r>
      <w:r w:rsidRPr="00564A3B">
        <w:rPr>
          <w:rFonts w:ascii="Verdana" w:hAnsi="Verdana" w:cs="MinionPro-Regular"/>
          <w:bCs/>
          <w:color w:val="000000"/>
        </w:rPr>
        <w:t xml:space="preserve">the European Court of Human Rights </w:t>
      </w:r>
      <w:r w:rsidR="001D7F4E" w:rsidRPr="00564A3B">
        <w:rPr>
          <w:rFonts w:ascii="Verdana" w:hAnsi="Verdana" w:cs="MinionPro-Regular"/>
          <w:bCs/>
          <w:color w:val="000000"/>
        </w:rPr>
        <w:t xml:space="preserve">(ECtHR) </w:t>
      </w:r>
      <w:r w:rsidR="004A30C8" w:rsidRPr="00564A3B">
        <w:rPr>
          <w:rFonts w:ascii="Verdana" w:hAnsi="Verdana" w:cs="MinionPro-Regular"/>
          <w:bCs/>
          <w:color w:val="000000"/>
        </w:rPr>
        <w:t xml:space="preserve">emphasised the need to comprehensively address the </w:t>
      </w:r>
      <w:r w:rsidR="004A30C8" w:rsidRPr="00564A3B">
        <w:rPr>
          <w:rFonts w:ascii="Verdana" w:hAnsi="Verdana" w:cs="MinionPro-Regular"/>
          <w:bCs/>
          <w:color w:val="000000"/>
        </w:rPr>
        <w:lastRenderedPageBreak/>
        <w:t>phenomenon of domestic violence in all its forms.</w:t>
      </w:r>
      <w:r w:rsidR="004174EC" w:rsidRPr="00564A3B">
        <w:rPr>
          <w:rStyle w:val="FootnoteReference"/>
          <w:rFonts w:ascii="Verdana" w:hAnsi="Verdana" w:cs="MinionPro-Regular"/>
          <w:bCs/>
          <w:color w:val="000000"/>
        </w:rPr>
        <w:footnoteReference w:id="95"/>
      </w:r>
      <w:r w:rsidR="004A30C8" w:rsidRPr="00564A3B">
        <w:rPr>
          <w:rFonts w:ascii="Verdana" w:hAnsi="Verdana" w:cs="MinionPro-Regular"/>
          <w:bCs/>
          <w:color w:val="000000"/>
        </w:rPr>
        <w:t xml:space="preserve"> </w:t>
      </w:r>
      <w:r w:rsidR="00462A16" w:rsidRPr="00564A3B">
        <w:rPr>
          <w:rFonts w:ascii="Verdana" w:hAnsi="Verdana" w:cs="MinionPro-Regular"/>
          <w:bCs/>
          <w:color w:val="000000"/>
        </w:rPr>
        <w:t>The ECtHR found that</w:t>
      </w:r>
      <w:r w:rsidR="004A1877" w:rsidRPr="00564A3B">
        <w:rPr>
          <w:rFonts w:ascii="Verdana" w:hAnsi="Verdana" w:cs="MinionPro-Regular"/>
          <w:bCs/>
          <w:color w:val="000000"/>
        </w:rPr>
        <w:t>, by not taking into account the link between cyberbullying and domestic violence,</w:t>
      </w:r>
      <w:r w:rsidR="005C0E11" w:rsidRPr="00564A3B">
        <w:rPr>
          <w:rFonts w:ascii="Verdana" w:hAnsi="Verdana" w:cs="MinionPro-Regular"/>
          <w:bCs/>
          <w:color w:val="000000"/>
        </w:rPr>
        <w:t xml:space="preserve"> </w:t>
      </w:r>
      <w:r w:rsidR="00462A16" w:rsidRPr="00564A3B">
        <w:rPr>
          <w:rFonts w:ascii="Verdana" w:hAnsi="Verdana" w:cs="MinionPro-Regular"/>
          <w:bCs/>
          <w:color w:val="000000"/>
        </w:rPr>
        <w:t>t</w:t>
      </w:r>
      <w:r w:rsidR="004A30C8" w:rsidRPr="00564A3B">
        <w:rPr>
          <w:rFonts w:ascii="Verdana" w:hAnsi="Verdana" w:cs="MinionPro-Regular"/>
          <w:bCs/>
          <w:color w:val="000000"/>
        </w:rPr>
        <w:t xml:space="preserve">he authorities </w:t>
      </w:r>
      <w:r w:rsidR="00462A16" w:rsidRPr="00564A3B">
        <w:rPr>
          <w:rFonts w:ascii="Verdana" w:hAnsi="Verdana" w:cs="MinionPro-Regular"/>
          <w:bCs/>
          <w:color w:val="000000"/>
        </w:rPr>
        <w:t xml:space="preserve">had </w:t>
      </w:r>
      <w:r w:rsidR="005C0E11" w:rsidRPr="00564A3B">
        <w:rPr>
          <w:rFonts w:ascii="Verdana" w:hAnsi="Verdana" w:cs="MinionPro-Regular"/>
          <w:bCs/>
          <w:color w:val="000000"/>
        </w:rPr>
        <w:t>violated Article 8 ECHR by failing</w:t>
      </w:r>
      <w:r w:rsidR="004A30C8" w:rsidRPr="00564A3B">
        <w:rPr>
          <w:rFonts w:ascii="Verdana" w:hAnsi="Verdana" w:cs="MinionPro-Regular"/>
          <w:bCs/>
          <w:color w:val="000000"/>
        </w:rPr>
        <w:t xml:space="preserve"> to take into consideration the various forms that domestic violence could take. </w:t>
      </w:r>
    </w:p>
    <w:p w14:paraId="541BE759" w14:textId="0DB31366" w:rsidR="004A30C8" w:rsidRPr="00564A3B" w:rsidRDefault="004A30C8" w:rsidP="004A30C8">
      <w:pPr>
        <w:pStyle w:val="ListParagraph"/>
        <w:spacing w:before="24" w:after="24" w:line="360" w:lineRule="auto"/>
        <w:rPr>
          <w:rFonts w:ascii="Verdana" w:hAnsi="Verdana" w:cs="MinionPro-Regular"/>
          <w:bCs/>
          <w:color w:val="000000"/>
        </w:rPr>
      </w:pPr>
    </w:p>
    <w:p w14:paraId="3FD5DECD" w14:textId="77777777" w:rsidR="00E448F1" w:rsidRPr="00564A3B" w:rsidRDefault="00E448F1">
      <w:pPr>
        <w:pStyle w:val="ListParagraph"/>
        <w:numPr>
          <w:ilvl w:val="1"/>
          <w:numId w:val="1"/>
        </w:numPr>
        <w:spacing w:before="24" w:after="24" w:line="360" w:lineRule="auto"/>
        <w:rPr>
          <w:rFonts w:ascii="Verdana" w:hAnsi="Verdana"/>
        </w:rPr>
      </w:pPr>
      <w:r w:rsidRPr="00564A3B">
        <w:rPr>
          <w:rFonts w:ascii="Verdana" w:hAnsi="Verdana" w:cs="MinionPro-Regular"/>
          <w:color w:val="000000"/>
        </w:rPr>
        <w:t xml:space="preserve">The draft strategy recognises the role of technology in perpetrating domestic and sexual abuse. However, the strategy does not include any measures to address this form of abuse. </w:t>
      </w:r>
    </w:p>
    <w:p w14:paraId="29FBF238" w14:textId="77777777" w:rsidR="00E448F1" w:rsidRPr="00564A3B" w:rsidRDefault="00E448F1" w:rsidP="004A30C8">
      <w:pPr>
        <w:pStyle w:val="ListParagraph"/>
        <w:spacing w:before="24" w:after="24" w:line="360" w:lineRule="auto"/>
        <w:rPr>
          <w:rFonts w:ascii="Verdana" w:hAnsi="Verdana" w:cs="MinionPro-Regular"/>
          <w:bCs/>
          <w:color w:val="000000"/>
        </w:rPr>
      </w:pPr>
    </w:p>
    <w:p w14:paraId="4D8734F2" w14:textId="5DBBB556" w:rsidR="004A30C8" w:rsidRPr="00564A3B" w:rsidRDefault="00E448F1">
      <w:pPr>
        <w:pStyle w:val="ListParagraph"/>
        <w:numPr>
          <w:ilvl w:val="1"/>
          <w:numId w:val="1"/>
        </w:numPr>
        <w:spacing w:before="24" w:after="24" w:line="360" w:lineRule="auto"/>
        <w:rPr>
          <w:rFonts w:ascii="Verdana" w:hAnsi="Verdana"/>
        </w:rPr>
      </w:pPr>
      <w:r w:rsidRPr="00564A3B">
        <w:rPr>
          <w:rFonts w:ascii="Verdana" w:hAnsi="Verdana" w:cs="MinionPro-Regular"/>
          <w:bCs/>
          <w:color w:val="000000"/>
        </w:rPr>
        <w:t>Furthermore,</w:t>
      </w:r>
      <w:r w:rsidR="004A30C8" w:rsidRPr="00564A3B">
        <w:rPr>
          <w:rFonts w:ascii="Verdana" w:hAnsi="Verdana" w:cs="MinionPro-Regular"/>
          <w:bCs/>
          <w:color w:val="000000"/>
        </w:rPr>
        <w:t xml:space="preserve"> </w:t>
      </w:r>
      <w:r w:rsidRPr="00564A3B">
        <w:rPr>
          <w:rFonts w:ascii="Verdana" w:hAnsi="Verdana" w:cs="MinionPro-Regular"/>
          <w:bCs/>
          <w:color w:val="000000"/>
        </w:rPr>
        <w:t>consideration should be given to the fact that</w:t>
      </w:r>
      <w:r w:rsidR="004A30C8" w:rsidRPr="00564A3B">
        <w:rPr>
          <w:rFonts w:ascii="Verdana" w:hAnsi="Verdana" w:cs="MinionPro-Regular"/>
          <w:bCs/>
          <w:color w:val="000000"/>
        </w:rPr>
        <w:t xml:space="preserve"> new forms of </w:t>
      </w:r>
      <w:r w:rsidR="00255987" w:rsidRPr="00564A3B">
        <w:rPr>
          <w:rFonts w:ascii="Verdana" w:hAnsi="Verdana" w:cs="MinionPro-Regular"/>
          <w:bCs/>
          <w:color w:val="000000"/>
        </w:rPr>
        <w:t xml:space="preserve">domestic and sexual abuse </w:t>
      </w:r>
      <w:r w:rsidR="004A30C8" w:rsidRPr="00564A3B">
        <w:rPr>
          <w:rFonts w:ascii="Verdana" w:hAnsi="Verdana" w:cs="MinionPro-Regular"/>
          <w:bCs/>
          <w:color w:val="000000"/>
        </w:rPr>
        <w:t xml:space="preserve">using technology are emerging and developing rapidly. </w:t>
      </w:r>
      <w:r w:rsidR="00AE6867" w:rsidRPr="00564A3B">
        <w:rPr>
          <w:rFonts w:ascii="Verdana" w:hAnsi="Verdana" w:cs="MinionPro-Regular"/>
          <w:bCs/>
          <w:color w:val="000000"/>
        </w:rPr>
        <w:t>This requires the strategy to</w:t>
      </w:r>
      <w:r w:rsidR="004A30C8" w:rsidRPr="00564A3B">
        <w:rPr>
          <w:rFonts w:ascii="Verdana" w:hAnsi="Verdana" w:cs="MinionPro-Regular"/>
          <w:bCs/>
          <w:color w:val="000000"/>
        </w:rPr>
        <w:t xml:space="preserve"> </w:t>
      </w:r>
      <w:r w:rsidR="00AE6867" w:rsidRPr="00564A3B">
        <w:rPr>
          <w:rFonts w:ascii="Verdana" w:hAnsi="Verdana" w:cs="MinionPro-Regular"/>
          <w:bCs/>
          <w:color w:val="000000"/>
        </w:rPr>
        <w:t xml:space="preserve">acknowledge this reality </w:t>
      </w:r>
      <w:r w:rsidR="004A30C8" w:rsidRPr="00564A3B">
        <w:rPr>
          <w:rFonts w:ascii="Verdana" w:hAnsi="Verdana" w:cs="MinionPro-Regular"/>
          <w:bCs/>
          <w:color w:val="000000"/>
        </w:rPr>
        <w:t>and be sufficiently flexible to adapt to th</w:t>
      </w:r>
      <w:r w:rsidR="00AE6867" w:rsidRPr="00564A3B">
        <w:rPr>
          <w:rFonts w:ascii="Verdana" w:hAnsi="Verdana" w:cs="MinionPro-Regular"/>
          <w:bCs/>
          <w:color w:val="000000"/>
        </w:rPr>
        <w:t>e</w:t>
      </w:r>
      <w:r w:rsidR="004A30C8" w:rsidRPr="00564A3B">
        <w:rPr>
          <w:rFonts w:ascii="Verdana" w:hAnsi="Verdana" w:cs="MinionPro-Regular"/>
          <w:bCs/>
          <w:color w:val="000000"/>
        </w:rPr>
        <w:t xml:space="preserve"> ever-changing landscape. For example, there have been increasing reports of the use of cyber ‘</w:t>
      </w:r>
      <w:proofErr w:type="spellStart"/>
      <w:r w:rsidR="004A30C8" w:rsidRPr="00564A3B">
        <w:rPr>
          <w:rFonts w:ascii="Verdana" w:hAnsi="Verdana" w:cs="MinionPro-Regular"/>
          <w:bCs/>
          <w:color w:val="000000"/>
        </w:rPr>
        <w:t>stalkerware</w:t>
      </w:r>
      <w:proofErr w:type="spellEnd"/>
      <w:r w:rsidR="004A30C8" w:rsidRPr="00564A3B">
        <w:rPr>
          <w:rFonts w:ascii="Verdana" w:hAnsi="Verdana" w:cs="MinionPro-Regular"/>
          <w:bCs/>
          <w:color w:val="000000"/>
        </w:rPr>
        <w:t>’</w:t>
      </w:r>
      <w:r w:rsidR="0032396F" w:rsidRPr="00564A3B">
        <w:rPr>
          <w:rFonts w:ascii="Verdana" w:hAnsi="Verdana" w:cs="MinionPro-Regular"/>
          <w:bCs/>
          <w:color w:val="000000"/>
        </w:rPr>
        <w:t>, which</w:t>
      </w:r>
      <w:r w:rsidR="004A30C8" w:rsidRPr="00564A3B">
        <w:rPr>
          <w:rFonts w:ascii="Verdana" w:hAnsi="Verdana" w:cs="MinionPro-Regular"/>
          <w:bCs/>
          <w:color w:val="000000"/>
        </w:rPr>
        <w:t xml:space="preserve"> are highly intrusive spy applications that monitor someone's activities and communications without their knowledge or consent.</w:t>
      </w:r>
      <w:r w:rsidR="004A30C8" w:rsidRPr="00564A3B">
        <w:rPr>
          <w:rFonts w:ascii="Verdana" w:hAnsi="Verdana" w:cs="MinionPro-Regular"/>
          <w:bCs/>
          <w:color w:val="000000"/>
          <w:vertAlign w:val="superscript"/>
        </w:rPr>
        <w:footnoteReference w:id="96"/>
      </w:r>
      <w:r w:rsidR="007609D1" w:rsidRPr="00564A3B">
        <w:rPr>
          <w:rFonts w:ascii="Verdana" w:hAnsi="Verdana" w:cs="MinionPro-Regular"/>
          <w:bCs/>
          <w:color w:val="000000"/>
        </w:rPr>
        <w:t xml:space="preserve"> Devices such as Apple </w:t>
      </w:r>
      <w:proofErr w:type="spellStart"/>
      <w:r w:rsidR="007609D1" w:rsidRPr="00564A3B">
        <w:rPr>
          <w:rFonts w:ascii="Verdana" w:hAnsi="Verdana" w:cs="MinionPro-Regular"/>
          <w:bCs/>
          <w:color w:val="000000"/>
        </w:rPr>
        <w:t>AirTags</w:t>
      </w:r>
      <w:proofErr w:type="spellEnd"/>
      <w:r w:rsidR="007609D1" w:rsidRPr="00564A3B">
        <w:rPr>
          <w:rFonts w:ascii="Verdana" w:hAnsi="Verdana" w:cs="MinionPro-Regular"/>
          <w:bCs/>
          <w:color w:val="000000"/>
        </w:rPr>
        <w:t xml:space="preserve"> have also been used as a tool for stalking.</w:t>
      </w:r>
      <w:r w:rsidR="007609D1" w:rsidRPr="00564A3B">
        <w:rPr>
          <w:rStyle w:val="FootnoteReference"/>
          <w:rFonts w:ascii="Verdana" w:hAnsi="Verdana" w:cs="MinionPro-Regular"/>
          <w:bCs/>
          <w:color w:val="000000"/>
        </w:rPr>
        <w:footnoteReference w:id="97"/>
      </w:r>
    </w:p>
    <w:p w14:paraId="63C5686D" w14:textId="77777777" w:rsidR="00B436F1" w:rsidRPr="00564A3B" w:rsidRDefault="00B436F1" w:rsidP="00B436F1">
      <w:pPr>
        <w:spacing w:before="24" w:after="24" w:line="360" w:lineRule="auto"/>
        <w:rPr>
          <w:rFonts w:ascii="Verdana" w:hAnsi="Verdana"/>
          <w:b/>
          <w:bCs/>
        </w:rPr>
      </w:pPr>
    </w:p>
    <w:p w14:paraId="4CE825EC" w14:textId="7F498E1D" w:rsidR="004348F5" w:rsidRPr="00564A3B" w:rsidRDefault="00640902">
      <w:pPr>
        <w:pStyle w:val="ListParagraph"/>
        <w:numPr>
          <w:ilvl w:val="1"/>
          <w:numId w:val="1"/>
        </w:numPr>
        <w:spacing w:before="24" w:after="24" w:line="360" w:lineRule="auto"/>
        <w:rPr>
          <w:rFonts w:ascii="Verdana" w:hAnsi="Verdana"/>
          <w:b/>
          <w:bCs/>
        </w:rPr>
      </w:pPr>
      <w:r w:rsidRPr="00564A3B">
        <w:rPr>
          <w:rFonts w:ascii="Verdana" w:hAnsi="Verdana"/>
          <w:b/>
          <w:bCs/>
        </w:rPr>
        <w:t xml:space="preserve">The NIHRC </w:t>
      </w:r>
      <w:r w:rsidR="00B436F1" w:rsidRPr="00564A3B">
        <w:rPr>
          <w:rFonts w:ascii="Verdana" w:hAnsi="Verdana"/>
          <w:b/>
          <w:bCs/>
        </w:rPr>
        <w:t xml:space="preserve">recommends that the </w:t>
      </w:r>
      <w:r w:rsidR="003E14E2" w:rsidRPr="00564A3B">
        <w:rPr>
          <w:rFonts w:ascii="Verdana" w:hAnsi="Verdana"/>
          <w:b/>
          <w:bCs/>
        </w:rPr>
        <w:t>s</w:t>
      </w:r>
      <w:r w:rsidR="00B436F1" w:rsidRPr="00564A3B">
        <w:rPr>
          <w:rFonts w:ascii="Verdana" w:hAnsi="Verdana"/>
          <w:b/>
          <w:bCs/>
        </w:rPr>
        <w:t>trategy</w:t>
      </w:r>
      <w:r w:rsidR="00DD2135" w:rsidRPr="00564A3B">
        <w:rPr>
          <w:rFonts w:ascii="Verdana" w:hAnsi="Verdana"/>
          <w:b/>
          <w:bCs/>
        </w:rPr>
        <w:t xml:space="preserve"> includes measures to prevent online-based</w:t>
      </w:r>
      <w:r w:rsidR="006D2E3F" w:rsidRPr="00564A3B">
        <w:rPr>
          <w:rFonts w:ascii="Verdana" w:hAnsi="Verdana"/>
          <w:b/>
          <w:bCs/>
        </w:rPr>
        <w:t xml:space="preserve"> and technology-related</w:t>
      </w:r>
      <w:r w:rsidR="00DD2135" w:rsidRPr="00564A3B">
        <w:rPr>
          <w:rFonts w:ascii="Verdana" w:hAnsi="Verdana"/>
          <w:b/>
          <w:bCs/>
        </w:rPr>
        <w:t xml:space="preserve"> domestic and sexual abuse</w:t>
      </w:r>
      <w:r w:rsidR="00F64B7F" w:rsidRPr="00564A3B">
        <w:rPr>
          <w:rFonts w:ascii="Verdana" w:hAnsi="Verdana"/>
          <w:b/>
          <w:bCs/>
        </w:rPr>
        <w:t>,</w:t>
      </w:r>
      <w:r w:rsidR="00DD2135" w:rsidRPr="00564A3B">
        <w:rPr>
          <w:rFonts w:ascii="Verdana" w:hAnsi="Verdana"/>
          <w:b/>
          <w:bCs/>
        </w:rPr>
        <w:t xml:space="preserve"> as well as support for those affected. </w:t>
      </w:r>
      <w:r w:rsidR="006D2E3F" w:rsidRPr="00564A3B">
        <w:rPr>
          <w:rFonts w:ascii="Verdana" w:hAnsi="Verdana"/>
          <w:b/>
          <w:bCs/>
        </w:rPr>
        <w:t xml:space="preserve">Measures should be adaptable to take account of new developments. </w:t>
      </w:r>
    </w:p>
    <w:p w14:paraId="2D918173" w14:textId="77777777" w:rsidR="001E0545" w:rsidRPr="00564A3B" w:rsidRDefault="001E0545" w:rsidP="001E0545">
      <w:pPr>
        <w:spacing w:before="24" w:after="24" w:line="360" w:lineRule="auto"/>
        <w:rPr>
          <w:rFonts w:ascii="Verdana" w:hAnsi="Verdana"/>
        </w:rPr>
      </w:pPr>
    </w:p>
    <w:p w14:paraId="05305781" w14:textId="2B7F279E" w:rsidR="005255D7" w:rsidRPr="00564A3B" w:rsidRDefault="001E0545">
      <w:pPr>
        <w:pStyle w:val="Heading1"/>
        <w:numPr>
          <w:ilvl w:val="0"/>
          <w:numId w:val="1"/>
        </w:numPr>
        <w:spacing w:before="24" w:after="24" w:line="360" w:lineRule="auto"/>
      </w:pPr>
      <w:bookmarkStart w:id="27" w:name="_Toc133586135"/>
      <w:r w:rsidRPr="00564A3B">
        <w:t>Pillar 3: Support</w:t>
      </w:r>
      <w:bookmarkEnd w:id="27"/>
    </w:p>
    <w:p w14:paraId="4C608AB7" w14:textId="77777777" w:rsidR="004156A4" w:rsidRPr="00564A3B" w:rsidRDefault="004156A4" w:rsidP="004156A4">
      <w:pPr>
        <w:pStyle w:val="Heading2"/>
      </w:pPr>
      <w:bookmarkStart w:id="28" w:name="_Toc133586136"/>
      <w:r w:rsidRPr="00564A3B">
        <w:t>Specific needs</w:t>
      </w:r>
      <w:bookmarkEnd w:id="28"/>
    </w:p>
    <w:p w14:paraId="05A5706A" w14:textId="1B9E5172" w:rsidR="005255D7" w:rsidRPr="00564A3B" w:rsidRDefault="005255D7">
      <w:pPr>
        <w:pStyle w:val="ListParagraph"/>
        <w:numPr>
          <w:ilvl w:val="1"/>
          <w:numId w:val="1"/>
        </w:numPr>
        <w:spacing w:before="24" w:after="24" w:line="360" w:lineRule="auto"/>
        <w:rPr>
          <w:rFonts w:ascii="Verdana" w:hAnsi="Verdana" w:cs="Arial"/>
          <w:lang w:val="en-US"/>
        </w:rPr>
      </w:pPr>
      <w:r w:rsidRPr="00564A3B">
        <w:rPr>
          <w:rFonts w:ascii="Verdana" w:eastAsia="Times New Roman" w:hAnsi="Verdana" w:cs="Arial"/>
        </w:rPr>
        <w:t xml:space="preserve">The UN CEDAW Committee, in its 2019 Concluding Observations on the UK, noted “with particular concern the inadequacy of laws and policies to protect women in </w:t>
      </w:r>
      <w:r w:rsidR="007D38A3" w:rsidRPr="00564A3B">
        <w:rPr>
          <w:rFonts w:ascii="Verdana" w:eastAsia="Times New Roman" w:hAnsi="Verdana" w:cs="Arial"/>
        </w:rPr>
        <w:t>NI</w:t>
      </w:r>
      <w:r w:rsidRPr="00564A3B">
        <w:rPr>
          <w:rFonts w:ascii="Verdana" w:eastAsia="Times New Roman" w:hAnsi="Verdana" w:cs="Arial"/>
        </w:rPr>
        <w:t xml:space="preserve"> (from gender-based violence)”.</w:t>
      </w:r>
      <w:r w:rsidRPr="00564A3B">
        <w:rPr>
          <w:rFonts w:ascii="Verdana" w:eastAsia="Times New Roman" w:hAnsi="Verdana" w:cs="Arial"/>
          <w:vertAlign w:val="superscript"/>
        </w:rPr>
        <w:footnoteReference w:id="98"/>
      </w:r>
      <w:r w:rsidRPr="00564A3B">
        <w:rPr>
          <w:rFonts w:ascii="Verdana" w:eastAsia="Times New Roman" w:hAnsi="Verdana" w:cs="Arial"/>
        </w:rPr>
        <w:t xml:space="preserve"> </w:t>
      </w:r>
    </w:p>
    <w:p w14:paraId="3B240CFC" w14:textId="77777777" w:rsidR="005255D7" w:rsidRPr="00564A3B" w:rsidRDefault="005255D7" w:rsidP="005255D7">
      <w:pPr>
        <w:pStyle w:val="ListParagraph"/>
        <w:spacing w:before="24" w:after="24" w:line="360" w:lineRule="auto"/>
        <w:rPr>
          <w:rFonts w:ascii="Verdana" w:hAnsi="Verdana" w:cs="Arial"/>
          <w:lang w:val="en-US"/>
        </w:rPr>
      </w:pPr>
    </w:p>
    <w:p w14:paraId="24D9047C" w14:textId="5E115AE8" w:rsidR="005441D4" w:rsidRPr="00564A3B" w:rsidRDefault="003149C2">
      <w:pPr>
        <w:pStyle w:val="ListParagraph"/>
        <w:numPr>
          <w:ilvl w:val="1"/>
          <w:numId w:val="1"/>
        </w:numPr>
        <w:spacing w:before="24" w:after="24" w:line="360" w:lineRule="auto"/>
        <w:rPr>
          <w:rFonts w:ascii="Verdana" w:hAnsi="Verdana"/>
        </w:rPr>
      </w:pPr>
      <w:r w:rsidRPr="00564A3B">
        <w:rPr>
          <w:rFonts w:ascii="Verdana" w:hAnsi="Verdana"/>
        </w:rPr>
        <w:t>T</w:t>
      </w:r>
      <w:r w:rsidR="002A4249" w:rsidRPr="00564A3B">
        <w:rPr>
          <w:rFonts w:ascii="Verdana" w:hAnsi="Verdana"/>
        </w:rPr>
        <w:t>he UN Declaration on the Elimination of Violence against Women note</w:t>
      </w:r>
      <w:r w:rsidRPr="00564A3B">
        <w:rPr>
          <w:rFonts w:ascii="Verdana" w:hAnsi="Verdana"/>
        </w:rPr>
        <w:t>s</w:t>
      </w:r>
      <w:r w:rsidR="002A4249" w:rsidRPr="00564A3B">
        <w:rPr>
          <w:rFonts w:ascii="Verdana" w:hAnsi="Verdana"/>
        </w:rPr>
        <w:t xml:space="preserve"> that some groups of women are </w:t>
      </w:r>
      <w:r w:rsidR="00E64E3F" w:rsidRPr="00564A3B">
        <w:rPr>
          <w:rFonts w:ascii="Verdana" w:hAnsi="Verdana"/>
        </w:rPr>
        <w:t xml:space="preserve">at a heightened risk of violence </w:t>
      </w:r>
      <w:r w:rsidR="002A4249" w:rsidRPr="00564A3B">
        <w:rPr>
          <w:rFonts w:ascii="Verdana" w:hAnsi="Verdana"/>
        </w:rPr>
        <w:t>including “women belonging to minority groups, indigenous women, refugee women, migrant women, women living in rural or remote communities, destitute women, women in institutions or in detention, female children, women with disabilities, elderly women and women in situations of armed conflict”</w:t>
      </w:r>
      <w:r w:rsidR="00E64E3F" w:rsidRPr="00564A3B">
        <w:rPr>
          <w:rFonts w:ascii="Verdana" w:hAnsi="Verdana"/>
        </w:rPr>
        <w:t>.</w:t>
      </w:r>
      <w:r w:rsidR="00E64E3F" w:rsidRPr="00564A3B">
        <w:rPr>
          <w:rStyle w:val="FootnoteReference"/>
          <w:rFonts w:ascii="Verdana" w:hAnsi="Verdana"/>
        </w:rPr>
        <w:footnoteReference w:id="99"/>
      </w:r>
      <w:r w:rsidR="002A4249" w:rsidRPr="00564A3B">
        <w:rPr>
          <w:rFonts w:ascii="Verdana" w:hAnsi="Verdana"/>
        </w:rPr>
        <w:t xml:space="preserve"> Pursuant to that </w:t>
      </w:r>
      <w:r w:rsidR="007D38A3" w:rsidRPr="00564A3B">
        <w:rPr>
          <w:rFonts w:ascii="Verdana" w:hAnsi="Verdana"/>
        </w:rPr>
        <w:t xml:space="preserve">UN </w:t>
      </w:r>
      <w:r w:rsidR="002A4249" w:rsidRPr="00564A3B">
        <w:rPr>
          <w:rFonts w:ascii="Verdana" w:hAnsi="Verdana"/>
        </w:rPr>
        <w:t>Declaration, States should “</w:t>
      </w:r>
      <w:r w:rsidR="007D38A3" w:rsidRPr="00564A3B">
        <w:rPr>
          <w:rFonts w:ascii="Verdana" w:hAnsi="Verdana"/>
        </w:rPr>
        <w:t>a</w:t>
      </w:r>
      <w:r w:rsidR="002A4249" w:rsidRPr="00564A3B">
        <w:rPr>
          <w:rFonts w:ascii="Verdana" w:hAnsi="Verdana"/>
        </w:rPr>
        <w:t>dopt measures towards the elimination of violence against women who are especially vulnerable to violence</w:t>
      </w:r>
      <w:r w:rsidR="00881BDE" w:rsidRPr="00564A3B">
        <w:rPr>
          <w:rFonts w:ascii="Verdana" w:hAnsi="Verdana"/>
        </w:rPr>
        <w:t>”</w:t>
      </w:r>
      <w:r w:rsidR="002A4249" w:rsidRPr="00564A3B">
        <w:rPr>
          <w:rFonts w:ascii="Verdana" w:hAnsi="Verdana"/>
        </w:rPr>
        <w:t>.</w:t>
      </w:r>
      <w:r w:rsidR="00527650" w:rsidRPr="00564A3B">
        <w:rPr>
          <w:rStyle w:val="FootnoteReference"/>
          <w:rFonts w:ascii="Verdana" w:hAnsi="Verdana"/>
        </w:rPr>
        <w:footnoteReference w:id="100"/>
      </w:r>
    </w:p>
    <w:p w14:paraId="348DD58D" w14:textId="77777777" w:rsidR="005441D4" w:rsidRPr="00564A3B" w:rsidRDefault="005441D4" w:rsidP="005441D4">
      <w:pPr>
        <w:pStyle w:val="ListParagraph"/>
        <w:rPr>
          <w:rFonts w:ascii="Verdana" w:hAnsi="Verdana"/>
        </w:rPr>
      </w:pPr>
    </w:p>
    <w:p w14:paraId="7EE41DAC" w14:textId="099A7A2C" w:rsidR="00380DF6" w:rsidRPr="00564A3B" w:rsidRDefault="00380DF6">
      <w:pPr>
        <w:pStyle w:val="ListParagraph"/>
        <w:numPr>
          <w:ilvl w:val="1"/>
          <w:numId w:val="1"/>
        </w:numPr>
        <w:spacing w:before="24" w:after="24" w:line="360" w:lineRule="auto"/>
        <w:rPr>
          <w:rFonts w:ascii="Verdana" w:hAnsi="Verdana"/>
        </w:rPr>
      </w:pPr>
      <w:r w:rsidRPr="00564A3B">
        <w:rPr>
          <w:rFonts w:ascii="Verdana" w:hAnsi="Verdana"/>
        </w:rPr>
        <w:t>The</w:t>
      </w:r>
      <w:r w:rsidR="00640E6A" w:rsidRPr="00564A3B">
        <w:rPr>
          <w:rFonts w:ascii="Verdana" w:hAnsi="Verdana"/>
        </w:rPr>
        <w:t xml:space="preserve"> EU</w:t>
      </w:r>
      <w:r w:rsidRPr="00564A3B">
        <w:rPr>
          <w:rFonts w:ascii="Verdana" w:hAnsi="Verdana"/>
        </w:rPr>
        <w:t xml:space="preserve"> Victims’ Directive further requires all victims of crime be recognised and treated in a respectful and sensitive manner, without discrimination of any kind based on any ground including, but not limited to, race, membership of a national minority, residence status and disability.</w:t>
      </w:r>
      <w:r w:rsidRPr="00564A3B">
        <w:rPr>
          <w:rStyle w:val="FootnoteReference"/>
          <w:rFonts w:ascii="Verdana" w:hAnsi="Verdana"/>
        </w:rPr>
        <w:footnoteReference w:id="101"/>
      </w:r>
      <w:r w:rsidRPr="00564A3B">
        <w:rPr>
          <w:rFonts w:ascii="Verdana" w:hAnsi="Verdana"/>
        </w:rPr>
        <w:t xml:space="preserve"> </w:t>
      </w:r>
    </w:p>
    <w:p w14:paraId="6700E11D" w14:textId="77777777" w:rsidR="005441D4" w:rsidRPr="00564A3B" w:rsidRDefault="005441D4" w:rsidP="005441D4">
      <w:pPr>
        <w:pStyle w:val="ListParagraph"/>
        <w:spacing w:before="24" w:after="24" w:line="360" w:lineRule="auto"/>
        <w:rPr>
          <w:rFonts w:ascii="Verdana" w:hAnsi="Verdana"/>
        </w:rPr>
      </w:pPr>
    </w:p>
    <w:p w14:paraId="7FAA79FB" w14:textId="34AB1AA0" w:rsidR="005441D4" w:rsidRPr="00564A3B" w:rsidRDefault="005441D4">
      <w:pPr>
        <w:pStyle w:val="ListParagraph"/>
        <w:numPr>
          <w:ilvl w:val="1"/>
          <w:numId w:val="1"/>
        </w:numPr>
        <w:spacing w:before="24" w:after="24" w:line="360" w:lineRule="auto"/>
        <w:rPr>
          <w:rFonts w:ascii="Verdana" w:eastAsia="Times New Roman" w:hAnsi="Verdana" w:cs="Times New Roman"/>
          <w:color w:val="000000"/>
          <w:shd w:val="clear" w:color="auto" w:fill="FFFFFF"/>
        </w:rPr>
      </w:pPr>
      <w:r w:rsidRPr="00564A3B">
        <w:rPr>
          <w:rFonts w:ascii="Verdana" w:eastAsia="Times New Roman" w:hAnsi="Verdana" w:cs="Times New Roman"/>
        </w:rPr>
        <w:t xml:space="preserve">Article 9 of the </w:t>
      </w:r>
      <w:r w:rsidR="007D38A3" w:rsidRPr="00564A3B">
        <w:rPr>
          <w:rFonts w:ascii="Verdana" w:eastAsia="Times New Roman" w:hAnsi="Verdana" w:cs="Times New Roman"/>
        </w:rPr>
        <w:t xml:space="preserve">EU Victims’ </w:t>
      </w:r>
      <w:r w:rsidRPr="00564A3B">
        <w:rPr>
          <w:rFonts w:ascii="Verdana" w:eastAsia="Times New Roman" w:hAnsi="Verdana" w:cs="Times New Roman"/>
        </w:rPr>
        <w:t>Directive provides for specialist</w:t>
      </w:r>
      <w:r w:rsidRPr="00564A3B">
        <w:rPr>
          <w:rFonts w:ascii="Verdana" w:eastAsia="Times New Roman" w:hAnsi="Verdana" w:cs="Times New Roman"/>
          <w:color w:val="000000"/>
          <w:shd w:val="clear" w:color="auto" w:fill="FFFFFF"/>
        </w:rPr>
        <w:t xml:space="preserve"> support for victims with specific needs including “victims of sexual violence, victims of gender-based violence and victims of violence in close relationships, including trauma support and counselling”.</w:t>
      </w:r>
      <w:r w:rsidRPr="00564A3B">
        <w:rPr>
          <w:rFonts w:ascii="Verdana" w:hAnsi="Verdana"/>
          <w:color w:val="000000"/>
          <w:shd w:val="clear" w:color="auto" w:fill="FFFFFF"/>
          <w:vertAlign w:val="superscript"/>
        </w:rPr>
        <w:footnoteReference w:id="102"/>
      </w:r>
    </w:p>
    <w:p w14:paraId="4F256C5C" w14:textId="77777777" w:rsidR="002A4249" w:rsidRPr="00564A3B" w:rsidRDefault="002A4249" w:rsidP="00380DF6">
      <w:pPr>
        <w:pStyle w:val="ListParagraph"/>
        <w:spacing w:before="24" w:after="24" w:line="360" w:lineRule="auto"/>
        <w:rPr>
          <w:rFonts w:ascii="Verdana" w:hAnsi="Verdana"/>
        </w:rPr>
      </w:pPr>
    </w:p>
    <w:p w14:paraId="5864CD7D" w14:textId="7126BCDD" w:rsidR="003149C2" w:rsidRPr="00564A3B" w:rsidRDefault="003149C2">
      <w:pPr>
        <w:pStyle w:val="ListParagraph"/>
        <w:numPr>
          <w:ilvl w:val="1"/>
          <w:numId w:val="1"/>
        </w:numPr>
        <w:spacing w:before="24" w:after="24" w:line="360" w:lineRule="auto"/>
        <w:rPr>
          <w:rFonts w:ascii="Verdana" w:hAnsi="Verdana"/>
        </w:rPr>
      </w:pPr>
      <w:r w:rsidRPr="00564A3B">
        <w:rPr>
          <w:rFonts w:ascii="Verdana" w:hAnsi="Verdana"/>
        </w:rPr>
        <w:t>The NIHRC welcomes the recognition that certain groups face additional barriers in accessing support</w:t>
      </w:r>
      <w:r w:rsidR="00A70B6A" w:rsidRPr="00564A3B">
        <w:rPr>
          <w:rFonts w:ascii="Verdana" w:hAnsi="Verdana"/>
        </w:rPr>
        <w:t>.</w:t>
      </w:r>
      <w:r w:rsidRPr="00564A3B">
        <w:rPr>
          <w:rFonts w:ascii="Verdana" w:hAnsi="Verdana"/>
        </w:rPr>
        <w:t xml:space="preserve"> </w:t>
      </w:r>
      <w:r w:rsidR="00A70B6A" w:rsidRPr="00564A3B">
        <w:rPr>
          <w:rFonts w:ascii="Verdana" w:hAnsi="Verdana"/>
        </w:rPr>
        <w:t>H</w:t>
      </w:r>
      <w:r w:rsidRPr="00564A3B">
        <w:rPr>
          <w:rFonts w:ascii="Verdana" w:hAnsi="Verdana"/>
        </w:rPr>
        <w:t xml:space="preserve">owever, more detail is required to ensure protection for those groups in practice. </w:t>
      </w:r>
      <w:r w:rsidR="00F573A3" w:rsidRPr="00564A3B">
        <w:rPr>
          <w:rFonts w:ascii="Verdana" w:hAnsi="Verdana"/>
        </w:rPr>
        <w:t xml:space="preserve">For example, particular consideration should be given to </w:t>
      </w:r>
      <w:r w:rsidR="00E630F9" w:rsidRPr="00564A3B">
        <w:rPr>
          <w:rFonts w:ascii="Verdana" w:hAnsi="Verdana"/>
        </w:rPr>
        <w:t>deaf and disabled persons</w:t>
      </w:r>
      <w:r w:rsidR="0008768A" w:rsidRPr="00564A3B">
        <w:rPr>
          <w:rFonts w:ascii="Verdana" w:hAnsi="Verdana"/>
        </w:rPr>
        <w:t>,</w:t>
      </w:r>
      <w:r w:rsidR="00F5057D" w:rsidRPr="00564A3B">
        <w:rPr>
          <w:rStyle w:val="FootnoteReference"/>
          <w:rFonts w:ascii="Verdana" w:hAnsi="Verdana"/>
        </w:rPr>
        <w:footnoteReference w:id="103"/>
      </w:r>
      <w:r w:rsidR="0008768A" w:rsidRPr="00564A3B">
        <w:rPr>
          <w:rFonts w:ascii="Verdana" w:hAnsi="Verdana"/>
        </w:rPr>
        <w:t xml:space="preserve"> racial and </w:t>
      </w:r>
      <w:r w:rsidR="0008768A" w:rsidRPr="00564A3B">
        <w:rPr>
          <w:rFonts w:ascii="Verdana" w:hAnsi="Verdana"/>
        </w:rPr>
        <w:lastRenderedPageBreak/>
        <w:t>ethnic minorities,</w:t>
      </w:r>
      <w:r w:rsidR="009F7191" w:rsidRPr="00564A3B">
        <w:rPr>
          <w:rStyle w:val="FootnoteReference"/>
          <w:rFonts w:ascii="Verdana" w:hAnsi="Verdana"/>
        </w:rPr>
        <w:footnoteReference w:id="104"/>
      </w:r>
      <w:r w:rsidR="00292CE8" w:rsidRPr="00564A3B">
        <w:rPr>
          <w:rFonts w:ascii="Verdana" w:hAnsi="Verdana"/>
        </w:rPr>
        <w:t xml:space="preserve"> </w:t>
      </w:r>
      <w:r w:rsidR="0008768A" w:rsidRPr="00564A3B">
        <w:rPr>
          <w:rFonts w:ascii="Verdana" w:hAnsi="Verdana"/>
        </w:rPr>
        <w:t>migrants,</w:t>
      </w:r>
      <w:r w:rsidR="00F5057D" w:rsidRPr="00564A3B">
        <w:rPr>
          <w:rStyle w:val="FootnoteReference"/>
          <w:rFonts w:ascii="Verdana" w:hAnsi="Verdana"/>
        </w:rPr>
        <w:footnoteReference w:id="105"/>
      </w:r>
      <w:r w:rsidR="0008768A" w:rsidRPr="00564A3B">
        <w:rPr>
          <w:rFonts w:ascii="Verdana" w:hAnsi="Verdana"/>
        </w:rPr>
        <w:t xml:space="preserve"> LGBTQIA+,</w:t>
      </w:r>
      <w:r w:rsidR="00F5057D" w:rsidRPr="00564A3B">
        <w:rPr>
          <w:rStyle w:val="FootnoteReference"/>
          <w:rFonts w:ascii="Verdana" w:hAnsi="Verdana"/>
        </w:rPr>
        <w:footnoteReference w:id="106"/>
      </w:r>
      <w:r w:rsidR="0008768A" w:rsidRPr="00564A3B">
        <w:rPr>
          <w:rFonts w:ascii="Verdana" w:hAnsi="Verdana"/>
        </w:rPr>
        <w:t xml:space="preserve"> older persons</w:t>
      </w:r>
      <w:r w:rsidR="00F5057D" w:rsidRPr="00564A3B">
        <w:rPr>
          <w:rStyle w:val="FootnoteReference"/>
          <w:rFonts w:ascii="Verdana" w:hAnsi="Verdana"/>
        </w:rPr>
        <w:footnoteReference w:id="107"/>
      </w:r>
      <w:r w:rsidR="0008768A" w:rsidRPr="00564A3B">
        <w:rPr>
          <w:rFonts w:ascii="Verdana" w:hAnsi="Verdana"/>
        </w:rPr>
        <w:t xml:space="preserve"> and rural communities</w:t>
      </w:r>
      <w:r w:rsidR="00F5057D" w:rsidRPr="00564A3B">
        <w:rPr>
          <w:rFonts w:ascii="Verdana" w:hAnsi="Verdana"/>
        </w:rPr>
        <w:t>.</w:t>
      </w:r>
      <w:r w:rsidR="00F5057D" w:rsidRPr="00564A3B">
        <w:rPr>
          <w:rStyle w:val="FootnoteReference"/>
          <w:rFonts w:ascii="Verdana" w:hAnsi="Verdana"/>
        </w:rPr>
        <w:footnoteReference w:id="108"/>
      </w:r>
    </w:p>
    <w:p w14:paraId="0454C68B" w14:textId="77777777" w:rsidR="00DC60F9" w:rsidRPr="00564A3B" w:rsidRDefault="00DC60F9" w:rsidP="00DC60F9">
      <w:pPr>
        <w:pStyle w:val="ListParagraph"/>
        <w:spacing w:line="360" w:lineRule="auto"/>
        <w:rPr>
          <w:rFonts w:ascii="Verdana" w:hAnsi="Verdana"/>
          <w:bCs/>
        </w:rPr>
      </w:pPr>
    </w:p>
    <w:p w14:paraId="5962D31F" w14:textId="0B671B3C" w:rsidR="000A3DEA" w:rsidRPr="00564A3B" w:rsidRDefault="000A3DEA">
      <w:pPr>
        <w:pStyle w:val="ListParagraph"/>
        <w:numPr>
          <w:ilvl w:val="1"/>
          <w:numId w:val="1"/>
        </w:numPr>
        <w:spacing w:before="24" w:after="24" w:line="360" w:lineRule="auto"/>
        <w:rPr>
          <w:rFonts w:ascii="Verdana" w:hAnsi="Verdana"/>
          <w:b/>
          <w:bCs/>
        </w:rPr>
      </w:pPr>
      <w:r w:rsidRPr="00564A3B">
        <w:rPr>
          <w:rFonts w:ascii="Verdana" w:hAnsi="Verdana"/>
          <w:b/>
          <w:lang w:val="en-US"/>
        </w:rPr>
        <w:t xml:space="preserve">The NIHRC recommends that the </w:t>
      </w:r>
      <w:r w:rsidR="00743E6E" w:rsidRPr="00564A3B">
        <w:rPr>
          <w:rFonts w:ascii="Verdana" w:hAnsi="Verdana"/>
          <w:b/>
          <w:lang w:val="en-US"/>
        </w:rPr>
        <w:t>s</w:t>
      </w:r>
      <w:r w:rsidRPr="00564A3B">
        <w:rPr>
          <w:rFonts w:ascii="Verdana" w:hAnsi="Verdana"/>
          <w:b/>
          <w:lang w:val="en-US"/>
        </w:rPr>
        <w:t>trategy make</w:t>
      </w:r>
      <w:r w:rsidR="00743E6E" w:rsidRPr="00564A3B">
        <w:rPr>
          <w:rFonts w:ascii="Verdana" w:hAnsi="Verdana"/>
          <w:b/>
          <w:lang w:val="en-US"/>
        </w:rPr>
        <w:t>s</w:t>
      </w:r>
      <w:r w:rsidRPr="00564A3B">
        <w:rPr>
          <w:rFonts w:ascii="Verdana" w:hAnsi="Verdana"/>
          <w:b/>
          <w:lang w:val="en-US"/>
        </w:rPr>
        <w:t xml:space="preserve"> explicit provision for </w:t>
      </w:r>
      <w:r w:rsidR="00996801" w:rsidRPr="00564A3B">
        <w:rPr>
          <w:rFonts w:ascii="Verdana" w:hAnsi="Verdana"/>
          <w:b/>
          <w:lang w:val="en-US"/>
        </w:rPr>
        <w:t>persons</w:t>
      </w:r>
      <w:r w:rsidRPr="00564A3B">
        <w:rPr>
          <w:rFonts w:ascii="Verdana" w:hAnsi="Verdana"/>
          <w:b/>
          <w:lang w:val="en-US"/>
        </w:rPr>
        <w:t xml:space="preserve"> who are at an increased risk or who face additional barriers to accessing support for domestic and sexual violence and abuse, including but not limited to</w:t>
      </w:r>
      <w:r w:rsidR="00743E6E" w:rsidRPr="00564A3B">
        <w:rPr>
          <w:rFonts w:ascii="Verdana" w:hAnsi="Verdana"/>
          <w:b/>
          <w:lang w:val="en-US"/>
        </w:rPr>
        <w:t>,</w:t>
      </w:r>
      <w:r w:rsidRPr="00564A3B">
        <w:rPr>
          <w:rFonts w:ascii="Verdana" w:hAnsi="Verdana"/>
          <w:b/>
          <w:lang w:val="en-US"/>
        </w:rPr>
        <w:t xml:space="preserve"> </w:t>
      </w:r>
      <w:r w:rsidR="00C069C2" w:rsidRPr="00564A3B">
        <w:rPr>
          <w:rFonts w:ascii="Verdana" w:hAnsi="Verdana"/>
          <w:b/>
          <w:lang w:val="en-US"/>
        </w:rPr>
        <w:t xml:space="preserve">deaf and </w:t>
      </w:r>
      <w:r w:rsidR="0052301C" w:rsidRPr="00564A3B">
        <w:rPr>
          <w:rFonts w:ascii="Verdana" w:hAnsi="Verdana"/>
          <w:b/>
          <w:lang w:val="en-US"/>
        </w:rPr>
        <w:t xml:space="preserve">disabled persons, ethnic minority communities, </w:t>
      </w:r>
      <w:r w:rsidRPr="00564A3B">
        <w:rPr>
          <w:rFonts w:ascii="Verdana" w:hAnsi="Verdana"/>
          <w:b/>
          <w:lang w:val="en-US"/>
        </w:rPr>
        <w:t>LGBTQ</w:t>
      </w:r>
      <w:r w:rsidR="0052301C" w:rsidRPr="00564A3B">
        <w:rPr>
          <w:rFonts w:ascii="Verdana" w:hAnsi="Verdana"/>
          <w:b/>
          <w:lang w:val="en-US"/>
        </w:rPr>
        <w:t>IA</w:t>
      </w:r>
      <w:r w:rsidRPr="00564A3B">
        <w:rPr>
          <w:rFonts w:ascii="Verdana" w:hAnsi="Verdana"/>
          <w:b/>
          <w:lang w:val="en-US"/>
        </w:rPr>
        <w:t xml:space="preserve">+ persons, older persons, </w:t>
      </w:r>
      <w:r w:rsidR="00550C41" w:rsidRPr="00564A3B">
        <w:rPr>
          <w:rFonts w:ascii="Verdana" w:hAnsi="Verdana"/>
          <w:b/>
          <w:lang w:val="en-US"/>
        </w:rPr>
        <w:t xml:space="preserve">and </w:t>
      </w:r>
      <w:r w:rsidR="00BA0C36" w:rsidRPr="00564A3B">
        <w:rPr>
          <w:rFonts w:ascii="Verdana" w:hAnsi="Verdana"/>
          <w:b/>
          <w:lang w:val="en-US"/>
        </w:rPr>
        <w:t xml:space="preserve">those living in rural communities. </w:t>
      </w:r>
      <w:r w:rsidR="000B4F97" w:rsidRPr="00564A3B">
        <w:rPr>
          <w:rFonts w:ascii="Verdana" w:hAnsi="Verdana"/>
          <w:b/>
          <w:bCs/>
        </w:rPr>
        <w:t xml:space="preserve">This should include ensuring that specialised services are </w:t>
      </w:r>
      <w:r w:rsidR="007259F2" w:rsidRPr="00564A3B">
        <w:rPr>
          <w:rFonts w:ascii="Verdana" w:hAnsi="Verdana"/>
          <w:b/>
          <w:bCs/>
        </w:rPr>
        <w:t xml:space="preserve">consistently </w:t>
      </w:r>
      <w:r w:rsidR="000B4F97" w:rsidRPr="00564A3B">
        <w:rPr>
          <w:rFonts w:ascii="Verdana" w:hAnsi="Verdana"/>
          <w:b/>
          <w:bCs/>
        </w:rPr>
        <w:t xml:space="preserve">available </w:t>
      </w:r>
      <w:r w:rsidR="007259F2" w:rsidRPr="00564A3B">
        <w:rPr>
          <w:rFonts w:ascii="Verdana" w:hAnsi="Verdana"/>
          <w:b/>
          <w:bCs/>
        </w:rPr>
        <w:t>and fully accessible</w:t>
      </w:r>
      <w:r w:rsidR="000B4F97" w:rsidRPr="00564A3B">
        <w:rPr>
          <w:rFonts w:ascii="Verdana" w:hAnsi="Verdana"/>
          <w:b/>
          <w:bCs/>
        </w:rPr>
        <w:t>.</w:t>
      </w:r>
    </w:p>
    <w:p w14:paraId="6144790F" w14:textId="03448372" w:rsidR="00A83A85" w:rsidRPr="00564A3B" w:rsidRDefault="00A83A85" w:rsidP="00A83A85">
      <w:pPr>
        <w:rPr>
          <w:rFonts w:ascii="Verdana" w:hAnsi="Verdana"/>
          <w:b/>
          <w:bCs/>
        </w:rPr>
      </w:pPr>
    </w:p>
    <w:p w14:paraId="76735878" w14:textId="5330123D" w:rsidR="006D3B88" w:rsidRPr="00564A3B" w:rsidRDefault="006D3B88" w:rsidP="006D3B88">
      <w:pPr>
        <w:pStyle w:val="Heading2"/>
      </w:pPr>
      <w:bookmarkStart w:id="30" w:name="_Toc133586137"/>
      <w:r w:rsidRPr="00564A3B">
        <w:t>Immigration status</w:t>
      </w:r>
      <w:bookmarkEnd w:id="30"/>
    </w:p>
    <w:p w14:paraId="3AA9006A" w14:textId="27BB952B" w:rsidR="000F67CE" w:rsidRPr="00564A3B" w:rsidRDefault="000F67CE">
      <w:pPr>
        <w:numPr>
          <w:ilvl w:val="1"/>
          <w:numId w:val="1"/>
        </w:numPr>
        <w:spacing w:before="24" w:after="24" w:line="360" w:lineRule="auto"/>
        <w:rPr>
          <w:rFonts w:ascii="Verdana" w:hAnsi="Verdana"/>
        </w:rPr>
      </w:pPr>
      <w:r w:rsidRPr="00564A3B">
        <w:rPr>
          <w:rFonts w:ascii="Verdana" w:hAnsi="Verdana"/>
        </w:rPr>
        <w:t xml:space="preserve">The Council of Europe Resolution </w:t>
      </w:r>
      <w:r w:rsidRPr="00564A3B">
        <w:rPr>
          <w:rFonts w:ascii="Verdana" w:hAnsi="Verdana"/>
          <w:lang w:val="en-US"/>
        </w:rPr>
        <w:t>1697</w:t>
      </w:r>
      <w:r w:rsidRPr="00564A3B">
        <w:rPr>
          <w:rFonts w:ascii="Verdana" w:hAnsi="Verdana"/>
        </w:rPr>
        <w:t xml:space="preserve"> invites </w:t>
      </w:r>
      <w:r w:rsidR="006D3B88" w:rsidRPr="00564A3B">
        <w:rPr>
          <w:rFonts w:ascii="Verdana" w:hAnsi="Verdana"/>
        </w:rPr>
        <w:t>M</w:t>
      </w:r>
      <w:r w:rsidRPr="00564A3B">
        <w:rPr>
          <w:rFonts w:ascii="Verdana" w:hAnsi="Verdana"/>
        </w:rPr>
        <w:t xml:space="preserve">ember </w:t>
      </w:r>
      <w:r w:rsidR="006D3B88" w:rsidRPr="00564A3B">
        <w:rPr>
          <w:rFonts w:ascii="Verdana" w:hAnsi="Verdana"/>
        </w:rPr>
        <w:t>S</w:t>
      </w:r>
      <w:r w:rsidRPr="00564A3B">
        <w:rPr>
          <w:rFonts w:ascii="Verdana" w:hAnsi="Verdana"/>
        </w:rPr>
        <w:t>tates to “adopt dedicated action plans addressing the specific needs of migrant women who are victims of violence, including domestic violence…”.</w:t>
      </w:r>
      <w:r w:rsidRPr="00564A3B">
        <w:rPr>
          <w:rFonts w:ascii="Verdana" w:hAnsi="Verdana"/>
          <w:vertAlign w:val="superscript"/>
        </w:rPr>
        <w:footnoteReference w:id="109"/>
      </w:r>
    </w:p>
    <w:p w14:paraId="0081BD7A" w14:textId="77777777" w:rsidR="000F67CE" w:rsidRPr="00564A3B" w:rsidRDefault="000F67CE" w:rsidP="000F67CE">
      <w:pPr>
        <w:spacing w:before="24" w:after="24" w:line="360" w:lineRule="auto"/>
        <w:rPr>
          <w:rFonts w:ascii="Verdana" w:hAnsi="Verdana"/>
        </w:rPr>
      </w:pPr>
    </w:p>
    <w:p w14:paraId="0C4E9211" w14:textId="2B8F606B" w:rsidR="000F67CE" w:rsidRPr="00564A3B" w:rsidRDefault="000F67CE">
      <w:pPr>
        <w:numPr>
          <w:ilvl w:val="1"/>
          <w:numId w:val="1"/>
        </w:numPr>
        <w:spacing w:before="24" w:after="24" w:line="360" w:lineRule="auto"/>
        <w:rPr>
          <w:rFonts w:ascii="Verdana" w:hAnsi="Verdana"/>
        </w:rPr>
      </w:pPr>
      <w:r w:rsidRPr="00564A3B">
        <w:rPr>
          <w:rFonts w:ascii="Verdana" w:hAnsi="Verdana"/>
        </w:rPr>
        <w:t>The NIHRC remains concerned about the No Recourse to Public Funds Status,</w:t>
      </w:r>
      <w:r w:rsidRPr="00564A3B">
        <w:rPr>
          <w:rFonts w:ascii="Verdana" w:hAnsi="Verdana"/>
          <w:vertAlign w:val="superscript"/>
        </w:rPr>
        <w:footnoteReference w:id="110"/>
      </w:r>
      <w:r w:rsidRPr="00564A3B">
        <w:rPr>
          <w:rFonts w:ascii="Verdana" w:hAnsi="Verdana"/>
        </w:rPr>
        <w:t xml:space="preserve"> which prevents those with a variety of visas from accessing safe refuge accommodation or other support. </w:t>
      </w:r>
    </w:p>
    <w:p w14:paraId="419B47A6" w14:textId="7D187987" w:rsidR="004348F5" w:rsidRPr="00564A3B" w:rsidRDefault="004348F5" w:rsidP="004348F5">
      <w:pPr>
        <w:rPr>
          <w:rFonts w:ascii="Verdana" w:hAnsi="Verdana"/>
        </w:rPr>
      </w:pPr>
    </w:p>
    <w:p w14:paraId="7D85A362" w14:textId="3E94ABC4" w:rsidR="000C667D" w:rsidRPr="00564A3B" w:rsidRDefault="000C667D">
      <w:pPr>
        <w:pStyle w:val="ListParagraph"/>
        <w:numPr>
          <w:ilvl w:val="1"/>
          <w:numId w:val="1"/>
        </w:numPr>
        <w:spacing w:before="24" w:after="24" w:line="360" w:lineRule="auto"/>
        <w:rPr>
          <w:rFonts w:ascii="Verdana" w:hAnsi="Verdana"/>
          <w:b/>
          <w:bCs/>
        </w:rPr>
      </w:pPr>
      <w:r w:rsidRPr="00564A3B">
        <w:rPr>
          <w:rFonts w:ascii="Verdana" w:hAnsi="Verdana"/>
          <w:b/>
          <w:bCs/>
        </w:rPr>
        <w:lastRenderedPageBreak/>
        <w:t>The NIHRC recommends that the Department</w:t>
      </w:r>
      <w:r w:rsidR="006D2E3F" w:rsidRPr="00564A3B">
        <w:rPr>
          <w:rFonts w:ascii="Verdana" w:hAnsi="Verdana"/>
          <w:b/>
          <w:bCs/>
        </w:rPr>
        <w:t xml:space="preserve"> of Health and Department of Justice</w:t>
      </w:r>
      <w:r w:rsidRPr="00564A3B">
        <w:rPr>
          <w:rFonts w:ascii="Verdana" w:hAnsi="Verdana"/>
          <w:b/>
          <w:bCs/>
        </w:rPr>
        <w:t xml:space="preserve"> ensure </w:t>
      </w:r>
      <w:r w:rsidR="006D2E3F" w:rsidRPr="00564A3B">
        <w:rPr>
          <w:rFonts w:ascii="Verdana" w:hAnsi="Verdana"/>
          <w:b/>
          <w:bCs/>
        </w:rPr>
        <w:t>that support is available, regardless of immigration status, and that sufficient refuge places are available in NI according to need.</w:t>
      </w:r>
    </w:p>
    <w:p w14:paraId="0ED23E3A" w14:textId="77777777" w:rsidR="000C667D" w:rsidRPr="00564A3B" w:rsidRDefault="000C667D" w:rsidP="000C667D">
      <w:pPr>
        <w:pStyle w:val="ListParagraph"/>
        <w:rPr>
          <w:rFonts w:ascii="Verdana" w:hAnsi="Verdana"/>
        </w:rPr>
      </w:pPr>
    </w:p>
    <w:p w14:paraId="2EFB2229" w14:textId="77777777" w:rsidR="004348F5" w:rsidRPr="00564A3B" w:rsidRDefault="004348F5" w:rsidP="004348F5">
      <w:pPr>
        <w:rPr>
          <w:rFonts w:ascii="Verdana" w:hAnsi="Verdana"/>
        </w:rPr>
      </w:pPr>
    </w:p>
    <w:p w14:paraId="37A41FF8" w14:textId="23028A66" w:rsidR="00557B79" w:rsidRPr="00564A3B" w:rsidRDefault="001E0545">
      <w:pPr>
        <w:pStyle w:val="Heading1"/>
        <w:numPr>
          <w:ilvl w:val="0"/>
          <w:numId w:val="1"/>
        </w:numPr>
        <w:spacing w:before="24" w:after="24" w:line="360" w:lineRule="auto"/>
      </w:pPr>
      <w:bookmarkStart w:id="32" w:name="_Toc133586138"/>
      <w:r w:rsidRPr="00564A3B">
        <w:t>Pillar 4: Justice</w:t>
      </w:r>
      <w:bookmarkEnd w:id="32"/>
      <w:r w:rsidRPr="00564A3B">
        <w:t xml:space="preserve"> </w:t>
      </w:r>
    </w:p>
    <w:p w14:paraId="652CB806" w14:textId="672F9533" w:rsidR="002B69CD" w:rsidRPr="00564A3B" w:rsidRDefault="002B69CD" w:rsidP="002B69CD">
      <w:pPr>
        <w:pStyle w:val="Heading2"/>
        <w:rPr>
          <w:lang w:val="en-US"/>
        </w:rPr>
      </w:pPr>
      <w:bookmarkStart w:id="33" w:name="_Toc133586139"/>
      <w:r w:rsidRPr="00564A3B">
        <w:rPr>
          <w:lang w:val="en-US"/>
        </w:rPr>
        <w:t>Training</w:t>
      </w:r>
      <w:bookmarkEnd w:id="33"/>
    </w:p>
    <w:p w14:paraId="2A11F6DC" w14:textId="215F6EDC" w:rsidR="005441D4" w:rsidRPr="00564A3B" w:rsidRDefault="005441D4">
      <w:pPr>
        <w:pStyle w:val="ListParagraph"/>
        <w:numPr>
          <w:ilvl w:val="1"/>
          <w:numId w:val="1"/>
        </w:numPr>
        <w:spacing w:before="24" w:after="24" w:line="360" w:lineRule="auto"/>
        <w:rPr>
          <w:rFonts w:ascii="Verdana" w:hAnsi="Verdana" w:cs="Arial"/>
          <w:lang w:val="en-US"/>
        </w:rPr>
      </w:pPr>
      <w:r w:rsidRPr="00564A3B">
        <w:rPr>
          <w:rFonts w:ascii="Verdana" w:hAnsi="Verdana" w:cs="Arial"/>
          <w:lang w:val="en-US"/>
        </w:rPr>
        <w:t xml:space="preserve">The UN CAT Committee, in its 2019 Concluding Observations on the UK, raised concerns about </w:t>
      </w:r>
      <w:r w:rsidRPr="00564A3B">
        <w:rPr>
          <w:rFonts w:ascii="Verdana" w:hAnsi="Verdana"/>
        </w:rPr>
        <w:t>sexual and domestic violence, recording increasing numbers of domestic abuse crimes and sexual offences, mainly against women, while also recording low prosecution and conviction rates.</w:t>
      </w:r>
      <w:r w:rsidRPr="00564A3B">
        <w:rPr>
          <w:rFonts w:ascii="Verdana" w:hAnsi="Verdana"/>
          <w:vertAlign w:val="superscript"/>
        </w:rPr>
        <w:footnoteReference w:id="111"/>
      </w:r>
      <w:r w:rsidRPr="00564A3B">
        <w:rPr>
          <w:rFonts w:ascii="Verdana" w:eastAsia="MS Mincho" w:hAnsi="Verdana" w:cs="Times New Roman"/>
        </w:rPr>
        <w:t xml:space="preserve"> The UN CAT Committee recommended “that all domestic violence cases, in all United Kingdom (UK) territories and dependencies, are thoroughly investigated, that perpetrators are prosecuted and, if they are convicted, are punished with appropriate sanctions”.</w:t>
      </w:r>
      <w:r w:rsidRPr="00564A3B">
        <w:rPr>
          <w:rFonts w:ascii="Verdana" w:eastAsia="MS Mincho" w:hAnsi="Verdana" w:cs="Times New Roman"/>
          <w:vertAlign w:val="superscript"/>
        </w:rPr>
        <w:footnoteReference w:id="112"/>
      </w:r>
      <w:r w:rsidRPr="00564A3B">
        <w:rPr>
          <w:rFonts w:ascii="Verdana" w:eastAsia="MS Mincho" w:hAnsi="Verdana" w:cs="Times New Roman"/>
        </w:rPr>
        <w:t xml:space="preserve"> Furthermore, that “victims have access to effective remedies and means of protection, including strong police protection”.</w:t>
      </w:r>
      <w:r w:rsidRPr="00564A3B">
        <w:rPr>
          <w:rFonts w:ascii="Verdana" w:eastAsia="MS Mincho" w:hAnsi="Verdana" w:cs="Times New Roman"/>
          <w:vertAlign w:val="superscript"/>
        </w:rPr>
        <w:footnoteReference w:id="113"/>
      </w:r>
    </w:p>
    <w:p w14:paraId="71DBCF73" w14:textId="77777777" w:rsidR="005241B2" w:rsidRPr="00564A3B" w:rsidRDefault="005241B2" w:rsidP="005241B2">
      <w:pPr>
        <w:pStyle w:val="ListParagraph"/>
        <w:spacing w:before="24" w:after="24" w:line="360" w:lineRule="auto"/>
        <w:rPr>
          <w:rFonts w:ascii="Verdana" w:hAnsi="Verdana" w:cs="Arial"/>
          <w:lang w:val="en-US"/>
        </w:rPr>
      </w:pPr>
    </w:p>
    <w:p w14:paraId="0F81251E" w14:textId="6362A860" w:rsidR="00CB0487" w:rsidRPr="00564A3B" w:rsidRDefault="000A792D">
      <w:pPr>
        <w:numPr>
          <w:ilvl w:val="1"/>
          <w:numId w:val="1"/>
        </w:numPr>
        <w:spacing w:before="24" w:after="24" w:line="360" w:lineRule="auto"/>
        <w:rPr>
          <w:rFonts w:ascii="Verdana" w:hAnsi="Verdana"/>
        </w:rPr>
      </w:pPr>
      <w:r w:rsidRPr="00564A3B">
        <w:rPr>
          <w:rFonts w:ascii="Verdana" w:hAnsi="Verdana"/>
        </w:rPr>
        <w:t xml:space="preserve">The </w:t>
      </w:r>
      <w:r w:rsidR="007D6A8C" w:rsidRPr="00564A3B">
        <w:rPr>
          <w:rFonts w:ascii="Verdana" w:hAnsi="Verdana"/>
        </w:rPr>
        <w:t xml:space="preserve">UN </w:t>
      </w:r>
      <w:r w:rsidRPr="00564A3B">
        <w:rPr>
          <w:rFonts w:ascii="Verdana" w:hAnsi="Verdana"/>
        </w:rPr>
        <w:t>CEDAW Committee has</w:t>
      </w:r>
      <w:r w:rsidR="00542D53" w:rsidRPr="00564A3B">
        <w:rPr>
          <w:rFonts w:ascii="Verdana" w:hAnsi="Verdana"/>
        </w:rPr>
        <w:t xml:space="preserve"> advised </w:t>
      </w:r>
      <w:r w:rsidRPr="00564A3B">
        <w:rPr>
          <w:rFonts w:ascii="Verdana" w:hAnsi="Verdana"/>
        </w:rPr>
        <w:t>that</w:t>
      </w:r>
      <w:r w:rsidR="00357734" w:rsidRPr="00564A3B">
        <w:rPr>
          <w:rFonts w:ascii="Verdana" w:hAnsi="Verdana"/>
        </w:rPr>
        <w:t xml:space="preserve"> States should</w:t>
      </w:r>
      <w:r w:rsidRPr="00564A3B">
        <w:rPr>
          <w:rFonts w:ascii="Verdana" w:hAnsi="Verdana"/>
        </w:rPr>
        <w:t xml:space="preserve"> </w:t>
      </w:r>
      <w:r w:rsidR="00357734" w:rsidRPr="00564A3B">
        <w:rPr>
          <w:rFonts w:ascii="Verdana" w:hAnsi="Verdana"/>
        </w:rPr>
        <w:t>“p</w:t>
      </w:r>
      <w:r w:rsidR="00933B12" w:rsidRPr="00564A3B">
        <w:rPr>
          <w:rFonts w:ascii="Verdana" w:hAnsi="Verdana"/>
        </w:rPr>
        <w:t>rovide mandatory, recurrent and effective capacity-building, education and training for members of the judiciary, lawyers and law enforcement officers</w:t>
      </w:r>
      <w:r w:rsidR="003B4F76" w:rsidRPr="00564A3B">
        <w:rPr>
          <w:rFonts w:ascii="Verdana" w:hAnsi="Verdana"/>
        </w:rPr>
        <w:t xml:space="preserve"> other public officials is essential</w:t>
      </w:r>
      <w:r w:rsidR="00357734" w:rsidRPr="00564A3B">
        <w:rPr>
          <w:rFonts w:ascii="Verdana" w:hAnsi="Verdana"/>
        </w:rPr>
        <w:t>”</w:t>
      </w:r>
      <w:r w:rsidRPr="00564A3B">
        <w:rPr>
          <w:rStyle w:val="FootnoteReference"/>
          <w:rFonts w:ascii="Verdana" w:hAnsi="Verdana"/>
        </w:rPr>
        <w:footnoteReference w:id="114"/>
      </w:r>
      <w:r w:rsidR="00886F9E" w:rsidRPr="00564A3B">
        <w:rPr>
          <w:rFonts w:ascii="Verdana" w:hAnsi="Verdana"/>
        </w:rPr>
        <w:t xml:space="preserve"> which should promote understanding of “how gender stereotypes and bias lead to gender-based violence against women and inadequate responses to it”.</w:t>
      </w:r>
      <w:r w:rsidR="00886F9E" w:rsidRPr="00564A3B">
        <w:rPr>
          <w:rStyle w:val="FootnoteReference"/>
          <w:rFonts w:ascii="Verdana" w:hAnsi="Verdana"/>
        </w:rPr>
        <w:footnoteReference w:id="115"/>
      </w:r>
    </w:p>
    <w:p w14:paraId="5AE24889" w14:textId="77777777" w:rsidR="00CB0487" w:rsidRPr="00564A3B" w:rsidRDefault="00CB0487" w:rsidP="00CB0487">
      <w:pPr>
        <w:spacing w:before="24" w:after="24" w:line="360" w:lineRule="auto"/>
        <w:ind w:left="720"/>
        <w:rPr>
          <w:rFonts w:ascii="Verdana" w:hAnsi="Verdana"/>
        </w:rPr>
      </w:pPr>
    </w:p>
    <w:p w14:paraId="581DBD6F" w14:textId="77777777" w:rsidR="00CB0487" w:rsidRPr="00564A3B" w:rsidRDefault="00720B51">
      <w:pPr>
        <w:numPr>
          <w:ilvl w:val="1"/>
          <w:numId w:val="1"/>
        </w:numPr>
        <w:spacing w:before="24" w:after="24" w:line="360" w:lineRule="auto"/>
        <w:rPr>
          <w:rFonts w:ascii="Verdana" w:hAnsi="Verdana"/>
        </w:rPr>
      </w:pPr>
      <w:r w:rsidRPr="00564A3B">
        <w:rPr>
          <w:rFonts w:ascii="Verdana" w:hAnsi="Verdana"/>
        </w:rPr>
        <w:t>Further, t</w:t>
      </w:r>
      <w:r w:rsidR="007A556C" w:rsidRPr="00564A3B">
        <w:rPr>
          <w:rFonts w:ascii="Verdana" w:hAnsi="Verdana"/>
        </w:rPr>
        <w:t>he</w:t>
      </w:r>
      <w:r w:rsidR="00640E6A" w:rsidRPr="00564A3B">
        <w:rPr>
          <w:rFonts w:ascii="Verdana" w:hAnsi="Verdana"/>
        </w:rPr>
        <w:t xml:space="preserve"> EU</w:t>
      </w:r>
      <w:r w:rsidR="007A556C" w:rsidRPr="00564A3B">
        <w:rPr>
          <w:rFonts w:ascii="Verdana" w:hAnsi="Verdana"/>
        </w:rPr>
        <w:t xml:space="preserve"> Victims’ Directive </w:t>
      </w:r>
      <w:r w:rsidR="0030105D" w:rsidRPr="00564A3B">
        <w:rPr>
          <w:rFonts w:ascii="Verdana" w:hAnsi="Verdana"/>
        </w:rPr>
        <w:t>requires States to “</w:t>
      </w:r>
      <w:r w:rsidR="007A556C" w:rsidRPr="00564A3B">
        <w:rPr>
          <w:rFonts w:ascii="Verdana" w:hAnsi="Verdana"/>
        </w:rPr>
        <w:t xml:space="preserve">ensure appropriate training to identify victims and their specific needs is provided to police </w:t>
      </w:r>
      <w:r w:rsidR="007A556C" w:rsidRPr="00564A3B">
        <w:rPr>
          <w:rFonts w:ascii="Verdana" w:hAnsi="Verdana"/>
        </w:rPr>
        <w:lastRenderedPageBreak/>
        <w:t>services, court staff, lawyers, prosecutors and judges</w:t>
      </w:r>
      <w:r w:rsidR="00EE5968" w:rsidRPr="00564A3B">
        <w:rPr>
          <w:rFonts w:ascii="Verdana" w:hAnsi="Verdana"/>
          <w:color w:val="000000"/>
          <w:shd w:val="clear" w:color="auto" w:fill="FFFFFF"/>
        </w:rPr>
        <w:t xml:space="preserve"> </w:t>
      </w:r>
      <w:r w:rsidR="00EE5968" w:rsidRPr="00564A3B">
        <w:rPr>
          <w:rFonts w:ascii="Verdana" w:hAnsi="Verdana"/>
        </w:rPr>
        <w:t>and for practitioners who provide victim support or restorative justice services</w:t>
      </w:r>
      <w:r w:rsidR="00697A38" w:rsidRPr="00564A3B">
        <w:rPr>
          <w:rFonts w:ascii="Verdana" w:hAnsi="Verdana"/>
        </w:rPr>
        <w:t>”</w:t>
      </w:r>
      <w:r w:rsidR="007A556C" w:rsidRPr="00564A3B">
        <w:rPr>
          <w:rFonts w:ascii="Verdana" w:hAnsi="Verdana"/>
        </w:rPr>
        <w:t>.</w:t>
      </w:r>
      <w:r w:rsidR="007A556C" w:rsidRPr="00564A3B">
        <w:rPr>
          <w:rFonts w:ascii="Verdana" w:hAnsi="Verdana"/>
          <w:vertAlign w:val="superscript"/>
        </w:rPr>
        <w:footnoteReference w:id="116"/>
      </w:r>
      <w:r w:rsidR="00CB0487" w:rsidRPr="00564A3B">
        <w:rPr>
          <w:rFonts w:ascii="Verdana" w:hAnsi="Verdana"/>
        </w:rPr>
        <w:t xml:space="preserve">  </w:t>
      </w:r>
    </w:p>
    <w:p w14:paraId="07F94323" w14:textId="77777777" w:rsidR="00CB0487" w:rsidRPr="00564A3B" w:rsidRDefault="00CB0487" w:rsidP="00CB0487">
      <w:pPr>
        <w:pStyle w:val="ListParagraph"/>
        <w:rPr>
          <w:rFonts w:ascii="Verdana" w:hAnsi="Verdana"/>
        </w:rPr>
      </w:pPr>
    </w:p>
    <w:p w14:paraId="2C3C0DE7" w14:textId="40A013A0" w:rsidR="00163FCD" w:rsidRPr="00564A3B" w:rsidRDefault="007D6A8C">
      <w:pPr>
        <w:numPr>
          <w:ilvl w:val="1"/>
          <w:numId w:val="1"/>
        </w:numPr>
        <w:spacing w:before="24" w:after="24" w:line="360" w:lineRule="auto"/>
        <w:rPr>
          <w:rFonts w:ascii="Verdana" w:hAnsi="Verdana"/>
        </w:rPr>
      </w:pPr>
      <w:r w:rsidRPr="00564A3B">
        <w:rPr>
          <w:rFonts w:ascii="Verdana" w:hAnsi="Verdana"/>
        </w:rPr>
        <w:t>UK data suggests that almost 60 per cent of women who are supervised in the community or in custody have experienced domestic abuse.</w:t>
      </w:r>
      <w:r w:rsidRPr="00564A3B">
        <w:rPr>
          <w:rStyle w:val="FootnoteReference"/>
          <w:rFonts w:ascii="Verdana" w:hAnsi="Verdana"/>
        </w:rPr>
        <w:footnoteReference w:id="117"/>
      </w:r>
      <w:r w:rsidRPr="00564A3B">
        <w:rPr>
          <w:rFonts w:ascii="Verdana" w:hAnsi="Verdana"/>
        </w:rPr>
        <w:t xml:space="preserve"> Research by the Prison Reform Trust has also found that “there are strong links between women’s experience of domestic and sexual abuse and coercive relationships, and their offending”</w:t>
      </w:r>
      <w:r w:rsidRPr="00564A3B">
        <w:rPr>
          <w:rStyle w:val="FootnoteReference"/>
          <w:rFonts w:ascii="Verdana" w:hAnsi="Verdana"/>
        </w:rPr>
        <w:footnoteReference w:id="118"/>
      </w:r>
      <w:r w:rsidRPr="00564A3B">
        <w:rPr>
          <w:rFonts w:ascii="Verdana" w:hAnsi="Verdana"/>
        </w:rPr>
        <w:t xml:space="preserve"> and that “the response of criminal justice agencies to women offenders affected by domestic abuse is key to breaking the cycle of victimisation and offending”.</w:t>
      </w:r>
      <w:r w:rsidRPr="00564A3B">
        <w:rPr>
          <w:rStyle w:val="FootnoteReference"/>
          <w:rFonts w:ascii="Verdana" w:hAnsi="Verdana"/>
        </w:rPr>
        <w:footnoteReference w:id="119"/>
      </w:r>
      <w:r w:rsidRPr="00564A3B">
        <w:rPr>
          <w:rFonts w:ascii="Verdana" w:hAnsi="Verdana"/>
        </w:rPr>
        <w:t xml:space="preserve"> </w:t>
      </w:r>
    </w:p>
    <w:p w14:paraId="16EE1629" w14:textId="77777777" w:rsidR="00163FCD" w:rsidRPr="00564A3B" w:rsidRDefault="00163FCD" w:rsidP="00163FCD">
      <w:pPr>
        <w:pStyle w:val="ListParagraph"/>
        <w:rPr>
          <w:rFonts w:ascii="Verdana" w:hAnsi="Verdana"/>
        </w:rPr>
      </w:pPr>
    </w:p>
    <w:p w14:paraId="32549192" w14:textId="27D71063" w:rsidR="007D6A8C" w:rsidRPr="00564A3B" w:rsidRDefault="007D6A8C">
      <w:pPr>
        <w:numPr>
          <w:ilvl w:val="1"/>
          <w:numId w:val="1"/>
        </w:numPr>
        <w:spacing w:before="24" w:after="24" w:line="360" w:lineRule="auto"/>
        <w:rPr>
          <w:rFonts w:ascii="Verdana" w:hAnsi="Verdana"/>
        </w:rPr>
      </w:pPr>
      <w:r w:rsidRPr="00564A3B">
        <w:rPr>
          <w:rFonts w:ascii="Verdana" w:hAnsi="Verdana"/>
        </w:rPr>
        <w:t>The NIHRC considers that the strategy could be strengthened by the inclusion of measures that address the co-existence of victimisation and offending.</w:t>
      </w:r>
      <w:r w:rsidR="00163FCD" w:rsidRPr="00564A3B">
        <w:rPr>
          <w:rFonts w:ascii="Verdana" w:hAnsi="Verdana"/>
        </w:rPr>
        <w:t xml:space="preserve"> </w:t>
      </w:r>
      <w:r w:rsidRPr="00564A3B">
        <w:rPr>
          <w:rFonts w:ascii="Verdana" w:hAnsi="Verdana"/>
        </w:rPr>
        <w:t xml:space="preserve">The NIHRC further notes that Pillar 4 of the strategy does not include provision for the training </w:t>
      </w:r>
      <w:r w:rsidR="006329F8" w:rsidRPr="00564A3B">
        <w:rPr>
          <w:rFonts w:ascii="Verdana" w:hAnsi="Verdana"/>
        </w:rPr>
        <w:t xml:space="preserve">for professionals and </w:t>
      </w:r>
      <w:r w:rsidR="00E1496D" w:rsidRPr="00564A3B">
        <w:rPr>
          <w:rFonts w:ascii="Verdana" w:hAnsi="Verdana"/>
        </w:rPr>
        <w:t>other</w:t>
      </w:r>
      <w:r w:rsidR="006329F8" w:rsidRPr="00564A3B">
        <w:rPr>
          <w:rFonts w:ascii="Verdana" w:hAnsi="Verdana"/>
        </w:rPr>
        <w:t xml:space="preserve"> </w:t>
      </w:r>
      <w:r w:rsidR="004E0922" w:rsidRPr="00564A3B">
        <w:rPr>
          <w:rFonts w:ascii="Verdana" w:hAnsi="Verdana"/>
        </w:rPr>
        <w:t>employees</w:t>
      </w:r>
      <w:r w:rsidR="00974F5C" w:rsidRPr="00564A3B">
        <w:rPr>
          <w:rFonts w:ascii="Verdana" w:hAnsi="Verdana"/>
        </w:rPr>
        <w:t>, including for example call handlers, receptionists and security guards,</w:t>
      </w:r>
      <w:r w:rsidR="006329F8" w:rsidRPr="00564A3B">
        <w:rPr>
          <w:rFonts w:ascii="Verdana" w:hAnsi="Verdana"/>
        </w:rPr>
        <w:t xml:space="preserve"> across </w:t>
      </w:r>
      <w:r w:rsidR="00E1496D" w:rsidRPr="00564A3B">
        <w:rPr>
          <w:rFonts w:ascii="Verdana" w:hAnsi="Verdana"/>
        </w:rPr>
        <w:t>a victim’s journey within the criminal justice system.</w:t>
      </w:r>
      <w:r w:rsidR="003F409C" w:rsidRPr="00564A3B">
        <w:rPr>
          <w:rFonts w:ascii="Verdana" w:hAnsi="Verdana"/>
        </w:rPr>
        <w:t xml:space="preserve"> </w:t>
      </w:r>
      <w:r w:rsidRPr="00564A3B">
        <w:rPr>
          <w:rFonts w:ascii="Verdana" w:hAnsi="Verdana"/>
        </w:rPr>
        <w:t xml:space="preserve"> </w:t>
      </w:r>
    </w:p>
    <w:p w14:paraId="1FFB1177" w14:textId="77777777" w:rsidR="00163FCD" w:rsidRPr="00564A3B" w:rsidRDefault="00163FCD" w:rsidP="00785D4D">
      <w:pPr>
        <w:spacing w:before="24" w:after="24" w:line="360" w:lineRule="auto"/>
        <w:rPr>
          <w:rFonts w:ascii="Verdana" w:hAnsi="Verdana"/>
        </w:rPr>
      </w:pPr>
    </w:p>
    <w:p w14:paraId="36CBD8D8" w14:textId="2E76AA3E" w:rsidR="00EB7DB5" w:rsidRPr="00564A3B" w:rsidRDefault="00C47F08">
      <w:pPr>
        <w:numPr>
          <w:ilvl w:val="1"/>
          <w:numId w:val="1"/>
        </w:numPr>
        <w:spacing w:line="360" w:lineRule="auto"/>
        <w:rPr>
          <w:rFonts w:ascii="Verdana" w:hAnsi="Verdana"/>
          <w:b/>
          <w:bCs/>
        </w:rPr>
      </w:pPr>
      <w:r w:rsidRPr="00564A3B">
        <w:rPr>
          <w:rFonts w:ascii="Verdana" w:hAnsi="Verdana"/>
          <w:b/>
          <w:bCs/>
        </w:rPr>
        <w:t>The NIHRC recommends that Pillar 4 of the strategy outlines provisions for</w:t>
      </w:r>
      <w:r w:rsidR="00785D4D" w:rsidRPr="00564A3B">
        <w:rPr>
          <w:rFonts w:ascii="Verdana" w:hAnsi="Verdana"/>
          <w:b/>
          <w:bCs/>
        </w:rPr>
        <w:t xml:space="preserve"> gender-sensit</w:t>
      </w:r>
      <w:r w:rsidR="00DC0218" w:rsidRPr="00564A3B">
        <w:rPr>
          <w:rFonts w:ascii="Verdana" w:hAnsi="Verdana"/>
          <w:b/>
          <w:bCs/>
        </w:rPr>
        <w:t>i</w:t>
      </w:r>
      <w:r w:rsidR="00785D4D" w:rsidRPr="00564A3B">
        <w:rPr>
          <w:rFonts w:ascii="Verdana" w:hAnsi="Verdana"/>
          <w:b/>
          <w:bCs/>
        </w:rPr>
        <w:t>ve</w:t>
      </w:r>
      <w:r w:rsidRPr="00564A3B">
        <w:rPr>
          <w:rFonts w:ascii="Verdana" w:hAnsi="Verdana"/>
          <w:b/>
          <w:bCs/>
        </w:rPr>
        <w:t xml:space="preserve"> training of criminal justice professionals </w:t>
      </w:r>
      <w:r w:rsidR="00974F5C" w:rsidRPr="00564A3B">
        <w:rPr>
          <w:rFonts w:ascii="Verdana" w:hAnsi="Verdana"/>
          <w:b/>
          <w:bCs/>
        </w:rPr>
        <w:t>and other employees that</w:t>
      </w:r>
      <w:r w:rsidR="00A67FDF" w:rsidRPr="00564A3B">
        <w:rPr>
          <w:rFonts w:ascii="Verdana" w:hAnsi="Verdana"/>
          <w:b/>
          <w:bCs/>
        </w:rPr>
        <w:t xml:space="preserve"> would </w:t>
      </w:r>
      <w:r w:rsidR="007D5E9E" w:rsidRPr="00564A3B">
        <w:rPr>
          <w:rFonts w:ascii="Verdana" w:hAnsi="Verdana"/>
          <w:b/>
          <w:bCs/>
        </w:rPr>
        <w:t>have contact with</w:t>
      </w:r>
      <w:r w:rsidR="00974F5C" w:rsidRPr="00564A3B">
        <w:rPr>
          <w:rFonts w:ascii="Verdana" w:hAnsi="Verdana"/>
          <w:b/>
          <w:bCs/>
        </w:rPr>
        <w:t xml:space="preserve"> victims </w:t>
      </w:r>
      <w:r w:rsidR="00A67FDF" w:rsidRPr="00564A3B">
        <w:rPr>
          <w:rFonts w:ascii="Verdana" w:hAnsi="Verdana"/>
          <w:b/>
          <w:bCs/>
        </w:rPr>
        <w:t>on</w:t>
      </w:r>
      <w:r w:rsidR="00394444" w:rsidRPr="00564A3B">
        <w:rPr>
          <w:rFonts w:ascii="Verdana" w:hAnsi="Verdana"/>
          <w:b/>
          <w:bCs/>
        </w:rPr>
        <w:t xml:space="preserve"> </w:t>
      </w:r>
      <w:r w:rsidRPr="00564A3B">
        <w:rPr>
          <w:rFonts w:ascii="Verdana" w:hAnsi="Verdana"/>
          <w:b/>
          <w:bCs/>
        </w:rPr>
        <w:t xml:space="preserve">domestic and sexual abuse, including on the experience of marginalised groups such as disabled persons, LGBTQIA+ persons, and </w:t>
      </w:r>
      <w:r w:rsidRPr="00564A3B">
        <w:rPr>
          <w:rFonts w:ascii="Verdana" w:hAnsi="Verdana"/>
          <w:b/>
          <w:bCs/>
          <w:iCs/>
        </w:rPr>
        <w:t>persons of national or ethnic minority background.</w:t>
      </w:r>
      <w:r w:rsidR="003B4BF2" w:rsidRPr="00564A3B">
        <w:rPr>
          <w:rFonts w:ascii="Verdana" w:hAnsi="Verdana"/>
          <w:b/>
          <w:bCs/>
        </w:rPr>
        <w:t xml:space="preserve"> </w:t>
      </w:r>
      <w:r w:rsidR="00F34BFE" w:rsidRPr="00564A3B">
        <w:rPr>
          <w:rFonts w:ascii="Verdana" w:hAnsi="Verdana"/>
          <w:b/>
          <w:bCs/>
        </w:rPr>
        <w:t>Gender-sensitive t</w:t>
      </w:r>
      <w:r w:rsidR="003B4BF2" w:rsidRPr="00564A3B">
        <w:rPr>
          <w:rFonts w:ascii="Verdana" w:hAnsi="Verdana"/>
          <w:b/>
          <w:bCs/>
        </w:rPr>
        <w:t>raining should also include a specific focus on the links between domestic abuse and offending.</w:t>
      </w:r>
    </w:p>
    <w:p w14:paraId="25CCD731" w14:textId="349AF8C4" w:rsidR="00CD2825" w:rsidRPr="00564A3B" w:rsidRDefault="00CD2825" w:rsidP="00194E17">
      <w:pPr>
        <w:spacing w:before="24" w:after="24" w:line="360" w:lineRule="auto"/>
        <w:rPr>
          <w:rFonts w:ascii="Verdana" w:hAnsi="Verdana"/>
        </w:rPr>
      </w:pPr>
    </w:p>
    <w:p w14:paraId="38463B50" w14:textId="0D469AAC" w:rsidR="00194E17" w:rsidRPr="00564A3B" w:rsidRDefault="00194E17" w:rsidP="00194E17">
      <w:pPr>
        <w:pStyle w:val="Heading2"/>
      </w:pPr>
      <w:bookmarkStart w:id="34" w:name="_Toc133586140"/>
      <w:r w:rsidRPr="00564A3B">
        <w:lastRenderedPageBreak/>
        <w:t>Accessibility</w:t>
      </w:r>
      <w:bookmarkEnd w:id="34"/>
    </w:p>
    <w:p w14:paraId="0C5CC4DF" w14:textId="2C735E78" w:rsidR="006D1096" w:rsidRPr="00564A3B" w:rsidRDefault="00107E68">
      <w:pPr>
        <w:numPr>
          <w:ilvl w:val="1"/>
          <w:numId w:val="1"/>
        </w:numPr>
        <w:spacing w:before="24" w:after="24" w:line="360" w:lineRule="auto"/>
        <w:rPr>
          <w:rFonts w:ascii="Verdana" w:hAnsi="Verdana"/>
        </w:rPr>
      </w:pPr>
      <w:r w:rsidRPr="00564A3B">
        <w:rPr>
          <w:rFonts w:ascii="Verdana" w:hAnsi="Verdana"/>
        </w:rPr>
        <w:t xml:space="preserve">The UN Rules for the Treatment of Women Prisoners and Non-custodial Measures for Women Offenders state that the “health screening of women prisoners… also shall determine… </w:t>
      </w:r>
      <w:r w:rsidR="00181288" w:rsidRPr="00564A3B">
        <w:rPr>
          <w:rFonts w:ascii="Verdana" w:hAnsi="Verdana"/>
        </w:rPr>
        <w:t>s</w:t>
      </w:r>
      <w:r w:rsidRPr="00564A3B">
        <w:rPr>
          <w:rFonts w:ascii="Verdana" w:hAnsi="Verdana"/>
        </w:rPr>
        <w:t>exual abuse and other forms of violence that may have been suffered prior to admission”</w:t>
      </w:r>
      <w:r w:rsidR="006D1096" w:rsidRPr="00564A3B">
        <w:rPr>
          <w:rFonts w:ascii="Verdana" w:hAnsi="Verdana"/>
        </w:rPr>
        <w:t>.</w:t>
      </w:r>
      <w:r w:rsidR="0052406F" w:rsidRPr="00564A3B">
        <w:rPr>
          <w:rStyle w:val="FootnoteReference"/>
          <w:rFonts w:ascii="Verdana" w:hAnsi="Verdana"/>
        </w:rPr>
        <w:footnoteReference w:id="120"/>
      </w:r>
      <w:r w:rsidR="0052406F" w:rsidRPr="00564A3B">
        <w:rPr>
          <w:rFonts w:ascii="Verdana" w:hAnsi="Verdana"/>
        </w:rPr>
        <w:t xml:space="preserve"> </w:t>
      </w:r>
      <w:r w:rsidRPr="00564A3B">
        <w:rPr>
          <w:rFonts w:ascii="Verdana" w:hAnsi="Verdana"/>
        </w:rPr>
        <w:t>Rule 7 provides</w:t>
      </w:r>
      <w:r w:rsidR="007F6B60" w:rsidRPr="00564A3B">
        <w:rPr>
          <w:rFonts w:ascii="Verdana" w:hAnsi="Verdana"/>
        </w:rPr>
        <w:t>:</w:t>
      </w:r>
    </w:p>
    <w:p w14:paraId="2F45ED4E" w14:textId="77777777" w:rsidR="00DE0E35" w:rsidRPr="00564A3B" w:rsidRDefault="00DE0E35" w:rsidP="00DE0E35">
      <w:pPr>
        <w:spacing w:before="24" w:after="24" w:line="360" w:lineRule="auto"/>
        <w:rPr>
          <w:rFonts w:ascii="Verdana" w:hAnsi="Verdana"/>
        </w:rPr>
      </w:pPr>
    </w:p>
    <w:p w14:paraId="0009074D" w14:textId="330814C2" w:rsidR="007F6B60" w:rsidRPr="00564A3B" w:rsidRDefault="00107E68">
      <w:pPr>
        <w:pStyle w:val="Quote"/>
        <w:numPr>
          <w:ilvl w:val="0"/>
          <w:numId w:val="7"/>
        </w:numPr>
        <w:spacing w:before="24" w:after="24" w:line="360" w:lineRule="auto"/>
        <w:rPr>
          <w:rFonts w:cs="Arial"/>
          <w:iCs w:val="0"/>
        </w:rPr>
      </w:pPr>
      <w:r w:rsidRPr="00564A3B">
        <w:rPr>
          <w:rFonts w:cs="Arial"/>
          <w:iCs w:val="0"/>
        </w:rPr>
        <w:t xml:space="preserve">If the existence of sexual abuse or other forms of violence before or during detention is diagnosed, the woman prisoner shall be informed of her right to seek recourse from judicial authorities. The woman prisoner should be fully informed of the procedures and steps involved. If the woman prisoner agrees to take legal action, appropriate staff shall be informed and immediately refer the case to the competent authority for investigation. Prison authorities shall help such women to access legal assistance. </w:t>
      </w:r>
    </w:p>
    <w:p w14:paraId="5811302A" w14:textId="77777777" w:rsidR="0012015E" w:rsidRPr="00564A3B" w:rsidRDefault="0012015E" w:rsidP="0012015E">
      <w:pPr>
        <w:rPr>
          <w:rFonts w:ascii="Verdana" w:hAnsi="Verdana"/>
        </w:rPr>
      </w:pPr>
    </w:p>
    <w:p w14:paraId="16F299D6" w14:textId="18AD2FAA" w:rsidR="00695A69" w:rsidRPr="00564A3B" w:rsidRDefault="00107E68">
      <w:pPr>
        <w:pStyle w:val="Quote"/>
        <w:numPr>
          <w:ilvl w:val="0"/>
          <w:numId w:val="7"/>
        </w:numPr>
        <w:spacing w:before="24" w:after="24" w:line="360" w:lineRule="auto"/>
        <w:rPr>
          <w:rFonts w:cs="Arial"/>
          <w:iCs w:val="0"/>
        </w:rPr>
      </w:pPr>
      <w:r w:rsidRPr="00564A3B">
        <w:rPr>
          <w:rFonts w:cs="Arial"/>
          <w:iCs w:val="0"/>
        </w:rPr>
        <w:t>Whether or not the woman chooses to take legal action, prison authorities shall endeavour to ensure that she has immediate access to specialized psychological support or counsel</w:t>
      </w:r>
      <w:r w:rsidR="00E242D5" w:rsidRPr="00564A3B">
        <w:rPr>
          <w:rFonts w:cs="Arial"/>
          <w:iCs w:val="0"/>
        </w:rPr>
        <w:t>l</w:t>
      </w:r>
      <w:r w:rsidRPr="00564A3B">
        <w:rPr>
          <w:rFonts w:cs="Arial"/>
          <w:iCs w:val="0"/>
        </w:rPr>
        <w:t xml:space="preserve">ing. </w:t>
      </w:r>
    </w:p>
    <w:p w14:paraId="470A5AC2" w14:textId="77777777" w:rsidR="0012015E" w:rsidRPr="00564A3B" w:rsidRDefault="0012015E" w:rsidP="0012015E">
      <w:pPr>
        <w:rPr>
          <w:rFonts w:ascii="Verdana" w:hAnsi="Verdana"/>
        </w:rPr>
      </w:pPr>
    </w:p>
    <w:p w14:paraId="0FD64D6D" w14:textId="2CD306B4" w:rsidR="00791D88" w:rsidRPr="00564A3B" w:rsidRDefault="00107E68">
      <w:pPr>
        <w:pStyle w:val="Quote"/>
        <w:numPr>
          <w:ilvl w:val="0"/>
          <w:numId w:val="7"/>
        </w:numPr>
        <w:spacing w:before="24" w:after="24" w:line="360" w:lineRule="auto"/>
        <w:rPr>
          <w:rFonts w:cs="Arial"/>
          <w:iCs w:val="0"/>
        </w:rPr>
      </w:pPr>
      <w:r w:rsidRPr="00564A3B">
        <w:rPr>
          <w:rFonts w:cs="Arial"/>
          <w:iCs w:val="0"/>
        </w:rPr>
        <w:t>Specific measures shall be developed to avoid any form of retaliation against those making such reports or taking legal action.</w:t>
      </w:r>
    </w:p>
    <w:p w14:paraId="004B38CF" w14:textId="77777777" w:rsidR="00791D88" w:rsidRPr="00564A3B" w:rsidRDefault="00791D88" w:rsidP="00791D88">
      <w:pPr>
        <w:spacing w:before="24" w:after="24" w:line="360" w:lineRule="auto"/>
        <w:rPr>
          <w:rFonts w:ascii="Verdana" w:hAnsi="Verdana"/>
        </w:rPr>
      </w:pPr>
    </w:p>
    <w:p w14:paraId="218FCBCF" w14:textId="6C858709" w:rsidR="000F67CE" w:rsidRPr="00564A3B" w:rsidRDefault="000F67CE">
      <w:pPr>
        <w:numPr>
          <w:ilvl w:val="1"/>
          <w:numId w:val="1"/>
        </w:numPr>
        <w:spacing w:before="24" w:after="24" w:line="360" w:lineRule="auto"/>
        <w:rPr>
          <w:rFonts w:ascii="Verdana" w:hAnsi="Verdana"/>
        </w:rPr>
      </w:pPr>
      <w:r w:rsidRPr="00564A3B">
        <w:rPr>
          <w:rFonts w:ascii="Verdana" w:hAnsi="Verdana"/>
        </w:rPr>
        <w:t xml:space="preserve">While the draft strategy indicates that it will provide victims of domestic and sexual abuse with information and services and support them through </w:t>
      </w:r>
      <w:r w:rsidRPr="00564A3B">
        <w:rPr>
          <w:rFonts w:ascii="Verdana" w:hAnsi="Verdana"/>
        </w:rPr>
        <w:lastRenderedPageBreak/>
        <w:t>the criminal justice process,</w:t>
      </w:r>
      <w:r w:rsidRPr="00564A3B">
        <w:rPr>
          <w:rStyle w:val="FootnoteReference"/>
          <w:rFonts w:ascii="Verdana" w:hAnsi="Verdana"/>
        </w:rPr>
        <w:footnoteReference w:id="121"/>
      </w:r>
      <w:r w:rsidRPr="00564A3B">
        <w:rPr>
          <w:rFonts w:ascii="Verdana" w:hAnsi="Verdana"/>
        </w:rPr>
        <w:t xml:space="preserve"> it does not specifically provide for those who are currently in detention. </w:t>
      </w:r>
    </w:p>
    <w:p w14:paraId="2D8FEAF8" w14:textId="77777777" w:rsidR="000F67CE" w:rsidRPr="00564A3B" w:rsidRDefault="000F67CE" w:rsidP="000F67CE">
      <w:pPr>
        <w:spacing w:before="24" w:after="24" w:line="360" w:lineRule="auto"/>
        <w:ind w:left="720"/>
        <w:rPr>
          <w:rFonts w:ascii="Verdana" w:hAnsi="Verdana"/>
        </w:rPr>
      </w:pPr>
    </w:p>
    <w:p w14:paraId="7E7BA099" w14:textId="0E7C6D79" w:rsidR="00E84193" w:rsidRPr="00564A3B" w:rsidRDefault="00354F40">
      <w:pPr>
        <w:numPr>
          <w:ilvl w:val="1"/>
          <w:numId w:val="1"/>
        </w:numPr>
        <w:spacing w:before="24" w:after="24" w:line="360" w:lineRule="auto"/>
        <w:rPr>
          <w:rFonts w:ascii="Verdana" w:hAnsi="Verdana"/>
          <w:b/>
          <w:bCs/>
        </w:rPr>
      </w:pPr>
      <w:r w:rsidRPr="00564A3B">
        <w:rPr>
          <w:rFonts w:ascii="Verdana" w:hAnsi="Verdana"/>
          <w:b/>
          <w:bCs/>
        </w:rPr>
        <w:t xml:space="preserve">The NIHRC recommends that the </w:t>
      </w:r>
      <w:r w:rsidR="000F67CE" w:rsidRPr="00564A3B">
        <w:rPr>
          <w:rFonts w:ascii="Verdana" w:hAnsi="Verdana"/>
          <w:b/>
          <w:bCs/>
        </w:rPr>
        <w:t xml:space="preserve">final </w:t>
      </w:r>
      <w:r w:rsidR="00061042" w:rsidRPr="00564A3B">
        <w:rPr>
          <w:rFonts w:ascii="Verdana" w:hAnsi="Verdana"/>
          <w:b/>
          <w:bCs/>
        </w:rPr>
        <w:t>s</w:t>
      </w:r>
      <w:r w:rsidRPr="00564A3B">
        <w:rPr>
          <w:rFonts w:ascii="Verdana" w:hAnsi="Verdana"/>
          <w:b/>
          <w:bCs/>
        </w:rPr>
        <w:t>trategy should include specific measures to ensure accessible services, including health and justice for individuals in any form of detention who have been victims of domestic or sexual abuse.</w:t>
      </w:r>
    </w:p>
    <w:p w14:paraId="0B312CAC" w14:textId="0A90CB02" w:rsidR="008C18F0" w:rsidRPr="00564A3B" w:rsidRDefault="008C18F0" w:rsidP="000B32DD">
      <w:pPr>
        <w:spacing w:before="24" w:after="24"/>
        <w:rPr>
          <w:rFonts w:ascii="Verdana" w:hAnsi="Verdana"/>
          <w:b/>
          <w:bCs/>
        </w:rPr>
      </w:pPr>
    </w:p>
    <w:p w14:paraId="6FC8C87E" w14:textId="599559E8" w:rsidR="00194E17" w:rsidRPr="00564A3B" w:rsidRDefault="00194E17" w:rsidP="00194E17">
      <w:pPr>
        <w:pStyle w:val="Heading2"/>
      </w:pPr>
      <w:bookmarkStart w:id="35" w:name="_Toc133586141"/>
      <w:r w:rsidRPr="00564A3B">
        <w:t>Best interests of the child</w:t>
      </w:r>
      <w:bookmarkEnd w:id="35"/>
    </w:p>
    <w:p w14:paraId="60370A8F" w14:textId="26C7F5DD" w:rsidR="00061042" w:rsidRPr="00564A3B" w:rsidRDefault="00485E53">
      <w:pPr>
        <w:numPr>
          <w:ilvl w:val="1"/>
          <w:numId w:val="1"/>
        </w:numPr>
        <w:spacing w:before="24" w:after="24" w:line="360" w:lineRule="auto"/>
        <w:rPr>
          <w:rFonts w:ascii="Verdana" w:hAnsi="Verdana"/>
        </w:rPr>
      </w:pPr>
      <w:r w:rsidRPr="00564A3B">
        <w:rPr>
          <w:rFonts w:ascii="Verdana" w:hAnsi="Verdana"/>
        </w:rPr>
        <w:t>The UN CRC Committee has noted that the “right of children to have their best interests be a primary consideration in all matters involving or affecting them must be respected, especially when they are victims of violence</w:t>
      </w:r>
      <w:r w:rsidR="000B32DD" w:rsidRPr="00564A3B">
        <w:rPr>
          <w:rFonts w:ascii="Verdana" w:hAnsi="Verdana"/>
        </w:rPr>
        <w:t>…”</w:t>
      </w:r>
      <w:r w:rsidRPr="00564A3B">
        <w:rPr>
          <w:rFonts w:ascii="Verdana" w:hAnsi="Verdana"/>
        </w:rPr>
        <w:t>.</w:t>
      </w:r>
      <w:r w:rsidRPr="00564A3B">
        <w:rPr>
          <w:rFonts w:ascii="Verdana" w:hAnsi="Verdana"/>
          <w:vertAlign w:val="superscript"/>
        </w:rPr>
        <w:footnoteReference w:id="122"/>
      </w:r>
      <w:r w:rsidR="00061042" w:rsidRPr="00564A3B">
        <w:rPr>
          <w:rFonts w:ascii="Verdana" w:hAnsi="Verdana"/>
        </w:rPr>
        <w:t xml:space="preserve"> </w:t>
      </w:r>
    </w:p>
    <w:p w14:paraId="2B893165" w14:textId="77777777" w:rsidR="003607BC" w:rsidRPr="00564A3B" w:rsidRDefault="003607BC" w:rsidP="00CB0487">
      <w:pPr>
        <w:pStyle w:val="ListParagraph"/>
        <w:rPr>
          <w:rFonts w:ascii="Verdana" w:hAnsi="Verdana"/>
        </w:rPr>
      </w:pPr>
    </w:p>
    <w:p w14:paraId="67F48D9D" w14:textId="530BD69A" w:rsidR="00474B80" w:rsidRPr="00564A3B" w:rsidRDefault="003607BC">
      <w:pPr>
        <w:numPr>
          <w:ilvl w:val="1"/>
          <w:numId w:val="1"/>
        </w:numPr>
        <w:spacing w:before="24" w:after="24" w:line="360" w:lineRule="auto"/>
        <w:rPr>
          <w:rFonts w:ascii="Verdana" w:hAnsi="Verdana"/>
        </w:rPr>
      </w:pPr>
      <w:r w:rsidRPr="00564A3B">
        <w:rPr>
          <w:rFonts w:ascii="Verdana" w:hAnsi="Verdana"/>
        </w:rPr>
        <w:t xml:space="preserve">Article 24 of the </w:t>
      </w:r>
      <w:r w:rsidR="00640E6A" w:rsidRPr="00564A3B">
        <w:rPr>
          <w:rFonts w:ascii="Verdana" w:hAnsi="Verdana"/>
        </w:rPr>
        <w:t xml:space="preserve">EU </w:t>
      </w:r>
      <w:r w:rsidRPr="00564A3B">
        <w:rPr>
          <w:rFonts w:ascii="Verdana" w:hAnsi="Verdana"/>
        </w:rPr>
        <w:t>Victims’ Directive sets out specific provisions to safeguard the rights of child victims during criminal proceedings.</w:t>
      </w:r>
      <w:r w:rsidRPr="00564A3B">
        <w:rPr>
          <w:rStyle w:val="FootnoteReference"/>
          <w:rFonts w:ascii="Verdana" w:hAnsi="Verdana"/>
        </w:rPr>
        <w:footnoteReference w:id="123"/>
      </w:r>
      <w:r w:rsidR="00791D88" w:rsidRPr="00564A3B">
        <w:rPr>
          <w:rFonts w:ascii="Verdana" w:hAnsi="Verdana"/>
        </w:rPr>
        <w:t xml:space="preserve"> </w:t>
      </w:r>
      <w:r w:rsidR="00061042" w:rsidRPr="00564A3B">
        <w:rPr>
          <w:rFonts w:ascii="Verdana" w:hAnsi="Verdana"/>
        </w:rPr>
        <w:t>Pillar 4 does not make reference to support for children within the criminal justice system.</w:t>
      </w:r>
    </w:p>
    <w:p w14:paraId="15844B58" w14:textId="77777777" w:rsidR="00474B80" w:rsidRPr="00564A3B" w:rsidRDefault="00474B80" w:rsidP="00474B80">
      <w:pPr>
        <w:spacing w:before="24" w:after="24" w:line="360" w:lineRule="auto"/>
        <w:rPr>
          <w:rFonts w:ascii="Verdana" w:hAnsi="Verdana"/>
        </w:rPr>
      </w:pPr>
    </w:p>
    <w:p w14:paraId="29E3C2AA" w14:textId="793798B1" w:rsidR="008C18F0" w:rsidRPr="00564A3B" w:rsidRDefault="00474B80">
      <w:pPr>
        <w:numPr>
          <w:ilvl w:val="1"/>
          <w:numId w:val="1"/>
        </w:numPr>
        <w:spacing w:before="24" w:after="24" w:line="360" w:lineRule="auto"/>
        <w:rPr>
          <w:rFonts w:ascii="Verdana" w:hAnsi="Verdana"/>
        </w:rPr>
      </w:pPr>
      <w:r w:rsidRPr="00564A3B">
        <w:rPr>
          <w:rFonts w:ascii="Verdana" w:hAnsi="Verdana"/>
        </w:rPr>
        <w:t>In 2020, the Criminal Justice Inspection NI found in the context of child sexual exploitation that “Public Prosecution Service NI staff instructions specific to child sexual abuse and exploitation were needed” and “where cases did progress to court, support for children was required”.</w:t>
      </w:r>
      <w:r w:rsidRPr="00564A3B">
        <w:rPr>
          <w:rFonts w:ascii="Verdana" w:hAnsi="Verdana"/>
          <w:vertAlign w:val="superscript"/>
        </w:rPr>
        <w:footnoteReference w:id="124"/>
      </w:r>
      <w:r w:rsidRPr="00564A3B">
        <w:rPr>
          <w:rFonts w:ascii="Verdana" w:hAnsi="Verdana"/>
        </w:rPr>
        <w:t xml:space="preserve"> The </w:t>
      </w:r>
      <w:proofErr w:type="spellStart"/>
      <w:r w:rsidRPr="00564A3B">
        <w:rPr>
          <w:rFonts w:ascii="Verdana" w:hAnsi="Verdana"/>
        </w:rPr>
        <w:t>Barnahus</w:t>
      </w:r>
      <w:proofErr w:type="spellEnd"/>
      <w:r w:rsidRPr="00564A3B">
        <w:rPr>
          <w:rFonts w:ascii="Verdana" w:hAnsi="Verdana"/>
        </w:rPr>
        <w:t xml:space="preserve"> (children’s house) model was proposed as the preferred approach.</w:t>
      </w:r>
      <w:r w:rsidRPr="00564A3B">
        <w:rPr>
          <w:rFonts w:ascii="Verdana" w:hAnsi="Verdana"/>
          <w:vertAlign w:val="superscript"/>
        </w:rPr>
        <w:footnoteReference w:id="125"/>
      </w:r>
    </w:p>
    <w:p w14:paraId="58620622" w14:textId="77777777" w:rsidR="003D752C" w:rsidRPr="00564A3B" w:rsidRDefault="003D752C" w:rsidP="003D752C">
      <w:pPr>
        <w:spacing w:before="24" w:after="24"/>
        <w:ind w:left="720"/>
        <w:rPr>
          <w:rFonts w:ascii="Verdana" w:hAnsi="Verdana"/>
          <w:b/>
          <w:bCs/>
        </w:rPr>
      </w:pPr>
    </w:p>
    <w:p w14:paraId="08C3D851" w14:textId="75C627FB" w:rsidR="00A844E9" w:rsidRPr="00564A3B" w:rsidRDefault="00E84193">
      <w:pPr>
        <w:numPr>
          <w:ilvl w:val="1"/>
          <w:numId w:val="1"/>
        </w:numPr>
        <w:spacing w:before="24" w:after="24" w:line="360" w:lineRule="auto"/>
        <w:rPr>
          <w:rFonts w:ascii="Verdana" w:hAnsi="Verdana"/>
          <w:b/>
          <w:bCs/>
        </w:rPr>
      </w:pPr>
      <w:r w:rsidRPr="00564A3B">
        <w:rPr>
          <w:rFonts w:ascii="Verdana" w:hAnsi="Verdana"/>
          <w:b/>
          <w:bCs/>
        </w:rPr>
        <w:lastRenderedPageBreak/>
        <w:t xml:space="preserve">The NIHRC recommends that </w:t>
      </w:r>
      <w:r w:rsidR="00061042" w:rsidRPr="00564A3B">
        <w:rPr>
          <w:rFonts w:ascii="Verdana" w:hAnsi="Verdana"/>
          <w:b/>
          <w:bCs/>
        </w:rPr>
        <w:t>P</w:t>
      </w:r>
      <w:r w:rsidR="00CA2D36" w:rsidRPr="00564A3B">
        <w:rPr>
          <w:rFonts w:ascii="Verdana" w:hAnsi="Verdana"/>
          <w:b/>
          <w:bCs/>
        </w:rPr>
        <w:t>ill</w:t>
      </w:r>
      <w:r w:rsidR="00053FAB" w:rsidRPr="00564A3B">
        <w:rPr>
          <w:rFonts w:ascii="Verdana" w:hAnsi="Verdana"/>
          <w:b/>
          <w:bCs/>
        </w:rPr>
        <w:t>a</w:t>
      </w:r>
      <w:r w:rsidR="00CA2D36" w:rsidRPr="00564A3B">
        <w:rPr>
          <w:rFonts w:ascii="Verdana" w:hAnsi="Verdana"/>
          <w:b/>
          <w:bCs/>
        </w:rPr>
        <w:t xml:space="preserve">r 4 of the </w:t>
      </w:r>
      <w:r w:rsidR="000F67CE" w:rsidRPr="00564A3B">
        <w:rPr>
          <w:rFonts w:ascii="Verdana" w:hAnsi="Verdana"/>
          <w:b/>
          <w:bCs/>
        </w:rPr>
        <w:t xml:space="preserve">final </w:t>
      </w:r>
      <w:r w:rsidR="00CA2D36" w:rsidRPr="00564A3B">
        <w:rPr>
          <w:rFonts w:ascii="Verdana" w:hAnsi="Verdana"/>
          <w:b/>
          <w:bCs/>
        </w:rPr>
        <w:t>strategy include</w:t>
      </w:r>
      <w:r w:rsidR="00061042" w:rsidRPr="00564A3B">
        <w:rPr>
          <w:rFonts w:ascii="Verdana" w:hAnsi="Verdana"/>
          <w:b/>
          <w:bCs/>
        </w:rPr>
        <w:t>s</w:t>
      </w:r>
      <w:r w:rsidR="00CA2D36" w:rsidRPr="00564A3B">
        <w:rPr>
          <w:rFonts w:ascii="Verdana" w:hAnsi="Verdana"/>
          <w:b/>
          <w:bCs/>
        </w:rPr>
        <w:t xml:space="preserve"> measures to ensure </w:t>
      </w:r>
      <w:r w:rsidR="00A0191B" w:rsidRPr="00564A3B">
        <w:rPr>
          <w:rFonts w:ascii="Verdana" w:hAnsi="Verdana"/>
          <w:b/>
          <w:bCs/>
        </w:rPr>
        <w:t xml:space="preserve">the best interests of the child are a primary consideration regarding a child’s involvement in any related court proceedings and evidence gathering, for example by making specific reference to the </w:t>
      </w:r>
      <w:proofErr w:type="spellStart"/>
      <w:r w:rsidR="00A0191B" w:rsidRPr="00564A3B">
        <w:rPr>
          <w:rFonts w:ascii="Verdana" w:hAnsi="Verdana"/>
          <w:b/>
          <w:bCs/>
        </w:rPr>
        <w:t>Barnahus</w:t>
      </w:r>
      <w:proofErr w:type="spellEnd"/>
      <w:r w:rsidR="00A0191B" w:rsidRPr="00564A3B">
        <w:rPr>
          <w:rFonts w:ascii="Verdana" w:hAnsi="Verdana"/>
          <w:b/>
          <w:bCs/>
        </w:rPr>
        <w:t xml:space="preserve"> approach.</w:t>
      </w:r>
    </w:p>
    <w:p w14:paraId="3EB11D51" w14:textId="77777777" w:rsidR="006B4C56" w:rsidRPr="00564A3B" w:rsidRDefault="006B4C56" w:rsidP="006B4C56">
      <w:pPr>
        <w:pStyle w:val="ListParagraph"/>
        <w:rPr>
          <w:rFonts w:ascii="Verdana" w:hAnsi="Verdana"/>
          <w:b/>
          <w:bCs/>
        </w:rPr>
      </w:pPr>
    </w:p>
    <w:p w14:paraId="00647126" w14:textId="77777777" w:rsidR="006B4C56" w:rsidRPr="00564A3B" w:rsidRDefault="006B4C56" w:rsidP="006B4C56">
      <w:pPr>
        <w:pStyle w:val="ListParagraph"/>
        <w:spacing w:before="24" w:after="24" w:line="360" w:lineRule="auto"/>
        <w:rPr>
          <w:rFonts w:ascii="Verdana" w:hAnsi="Verdana"/>
        </w:rPr>
      </w:pPr>
    </w:p>
    <w:p w14:paraId="08C65889" w14:textId="77777777" w:rsidR="00780574" w:rsidRPr="00564A3B" w:rsidRDefault="00780574" w:rsidP="007B7853">
      <w:pPr>
        <w:spacing w:before="24" w:after="24"/>
        <w:rPr>
          <w:rFonts w:ascii="Verdana" w:hAnsi="Verdana"/>
        </w:rPr>
      </w:pPr>
    </w:p>
    <w:p w14:paraId="559FD761" w14:textId="593E42B5" w:rsidR="00316020" w:rsidRPr="00564A3B" w:rsidRDefault="00316020" w:rsidP="00316020">
      <w:pPr>
        <w:spacing w:before="24" w:after="24"/>
        <w:rPr>
          <w:rFonts w:ascii="Verdana" w:hAnsi="Verdana"/>
        </w:rPr>
      </w:pPr>
    </w:p>
    <w:p w14:paraId="09987923" w14:textId="5F9DF512" w:rsidR="00192CEB" w:rsidRPr="00564A3B" w:rsidRDefault="00192CEB" w:rsidP="00192CEB">
      <w:pPr>
        <w:spacing w:before="24" w:after="24"/>
        <w:rPr>
          <w:rFonts w:ascii="Verdana" w:hAnsi="Verdana"/>
        </w:rPr>
      </w:pPr>
    </w:p>
    <w:p w14:paraId="774DDBD3" w14:textId="5CF06E54" w:rsidR="00192CEB" w:rsidRPr="00564A3B" w:rsidRDefault="00192CEB" w:rsidP="003D3EEA">
      <w:pPr>
        <w:spacing w:before="24" w:after="24" w:line="360" w:lineRule="auto"/>
        <w:rPr>
          <w:rFonts w:ascii="Verdana" w:hAnsi="Verdana"/>
        </w:rPr>
      </w:pPr>
    </w:p>
    <w:p w14:paraId="1662DE09" w14:textId="77777777" w:rsidR="00FE4383" w:rsidRPr="00564A3B" w:rsidRDefault="00FE4383" w:rsidP="00D50FDD">
      <w:pPr>
        <w:pStyle w:val="BasicParagraph"/>
        <w:suppressAutoHyphens/>
        <w:rPr>
          <w:rFonts w:ascii="Verdana" w:hAnsi="Verdana" w:cs="Arial"/>
          <w:b/>
          <w:bCs/>
          <w:color w:val="77328A"/>
          <w:sz w:val="36"/>
          <w:szCs w:val="36"/>
        </w:rPr>
      </w:pPr>
    </w:p>
    <w:p w14:paraId="7A76C508" w14:textId="77777777" w:rsidR="00791D88" w:rsidRPr="00564A3B" w:rsidRDefault="00791D88" w:rsidP="00331C61">
      <w:pPr>
        <w:pStyle w:val="BasicParagraph"/>
        <w:suppressAutoHyphens/>
        <w:jc w:val="center"/>
        <w:rPr>
          <w:rFonts w:ascii="Verdana" w:hAnsi="Verdana" w:cs="Arial"/>
          <w:b/>
          <w:bCs/>
          <w:color w:val="77328A"/>
          <w:sz w:val="36"/>
          <w:szCs w:val="36"/>
        </w:rPr>
      </w:pPr>
    </w:p>
    <w:p w14:paraId="5D8B6BC3" w14:textId="77777777" w:rsidR="00791D88" w:rsidRPr="00564A3B" w:rsidRDefault="00791D88" w:rsidP="00331C61">
      <w:pPr>
        <w:pStyle w:val="BasicParagraph"/>
        <w:suppressAutoHyphens/>
        <w:jc w:val="center"/>
        <w:rPr>
          <w:rFonts w:ascii="Verdana" w:hAnsi="Verdana" w:cs="Arial"/>
          <w:b/>
          <w:bCs/>
          <w:color w:val="77328A"/>
          <w:sz w:val="36"/>
          <w:szCs w:val="36"/>
        </w:rPr>
      </w:pPr>
    </w:p>
    <w:p w14:paraId="6DFBCD18" w14:textId="77777777" w:rsidR="00791D88" w:rsidRPr="00564A3B" w:rsidRDefault="00791D88" w:rsidP="00331C61">
      <w:pPr>
        <w:pStyle w:val="BasicParagraph"/>
        <w:suppressAutoHyphens/>
        <w:jc w:val="center"/>
        <w:rPr>
          <w:rFonts w:ascii="Verdana" w:hAnsi="Verdana" w:cs="Arial"/>
          <w:b/>
          <w:bCs/>
          <w:color w:val="77328A"/>
          <w:sz w:val="36"/>
          <w:szCs w:val="36"/>
        </w:rPr>
      </w:pPr>
    </w:p>
    <w:p w14:paraId="1AE87BA7" w14:textId="77777777" w:rsidR="00791D88" w:rsidRPr="00564A3B" w:rsidRDefault="00791D88" w:rsidP="00331C61">
      <w:pPr>
        <w:pStyle w:val="BasicParagraph"/>
        <w:suppressAutoHyphens/>
        <w:jc w:val="center"/>
        <w:rPr>
          <w:rFonts w:ascii="Verdana" w:hAnsi="Verdana" w:cs="Arial"/>
          <w:b/>
          <w:bCs/>
          <w:color w:val="77328A"/>
          <w:sz w:val="36"/>
          <w:szCs w:val="36"/>
        </w:rPr>
      </w:pPr>
    </w:p>
    <w:p w14:paraId="1D2FDA49" w14:textId="77777777" w:rsidR="00791D88" w:rsidRPr="00564A3B" w:rsidRDefault="00791D88" w:rsidP="00331C61">
      <w:pPr>
        <w:pStyle w:val="BasicParagraph"/>
        <w:suppressAutoHyphens/>
        <w:jc w:val="center"/>
        <w:rPr>
          <w:rFonts w:ascii="Verdana" w:hAnsi="Verdana" w:cs="Arial"/>
          <w:b/>
          <w:bCs/>
          <w:color w:val="77328A"/>
          <w:sz w:val="36"/>
          <w:szCs w:val="36"/>
        </w:rPr>
      </w:pPr>
    </w:p>
    <w:p w14:paraId="58EFAFC6" w14:textId="77777777" w:rsidR="00791D88" w:rsidRPr="00564A3B" w:rsidRDefault="00791D88" w:rsidP="00331C61">
      <w:pPr>
        <w:pStyle w:val="BasicParagraph"/>
        <w:suppressAutoHyphens/>
        <w:jc w:val="center"/>
        <w:rPr>
          <w:rFonts w:ascii="Verdana" w:hAnsi="Verdana" w:cs="Arial"/>
          <w:b/>
          <w:bCs/>
          <w:color w:val="77328A"/>
          <w:sz w:val="36"/>
          <w:szCs w:val="36"/>
        </w:rPr>
      </w:pPr>
    </w:p>
    <w:p w14:paraId="28AAD03B" w14:textId="77777777" w:rsidR="00791D88" w:rsidRPr="00564A3B" w:rsidRDefault="00791D88" w:rsidP="00791D88">
      <w:pPr>
        <w:pStyle w:val="BasicParagraph"/>
        <w:suppressAutoHyphens/>
        <w:rPr>
          <w:rFonts w:ascii="Verdana" w:hAnsi="Verdana" w:cs="Arial"/>
          <w:b/>
          <w:bCs/>
          <w:color w:val="77328A"/>
          <w:sz w:val="36"/>
          <w:szCs w:val="36"/>
        </w:rPr>
      </w:pPr>
    </w:p>
    <w:p w14:paraId="630BB630" w14:textId="78554140" w:rsidR="00791D88" w:rsidRPr="00564A3B" w:rsidRDefault="00791D88" w:rsidP="00331C61">
      <w:pPr>
        <w:pStyle w:val="BasicParagraph"/>
        <w:suppressAutoHyphens/>
        <w:jc w:val="center"/>
        <w:rPr>
          <w:rFonts w:ascii="Verdana" w:hAnsi="Verdana" w:cs="Arial"/>
          <w:b/>
          <w:bCs/>
          <w:color w:val="77328A"/>
          <w:sz w:val="36"/>
          <w:szCs w:val="36"/>
        </w:rPr>
      </w:pPr>
    </w:p>
    <w:p w14:paraId="79B532BA" w14:textId="3767FACA" w:rsidR="00AB46EB" w:rsidRPr="00564A3B" w:rsidRDefault="00AB46EB" w:rsidP="00331C61">
      <w:pPr>
        <w:pStyle w:val="BasicParagraph"/>
        <w:suppressAutoHyphens/>
        <w:jc w:val="center"/>
        <w:rPr>
          <w:rFonts w:ascii="Verdana" w:hAnsi="Verdana" w:cs="Arial"/>
          <w:b/>
          <w:bCs/>
          <w:color w:val="77328A"/>
          <w:sz w:val="36"/>
          <w:szCs w:val="36"/>
        </w:rPr>
      </w:pPr>
    </w:p>
    <w:p w14:paraId="2B0CDC8B" w14:textId="27758D13" w:rsidR="00AB46EB" w:rsidRPr="00564A3B" w:rsidRDefault="00AB46EB" w:rsidP="00331C61">
      <w:pPr>
        <w:pStyle w:val="BasicParagraph"/>
        <w:suppressAutoHyphens/>
        <w:jc w:val="center"/>
        <w:rPr>
          <w:rFonts w:ascii="Verdana" w:hAnsi="Verdana" w:cs="Arial"/>
          <w:b/>
          <w:bCs/>
          <w:color w:val="77328A"/>
          <w:sz w:val="36"/>
          <w:szCs w:val="36"/>
        </w:rPr>
      </w:pPr>
    </w:p>
    <w:p w14:paraId="63B1DDCE" w14:textId="399701C0" w:rsidR="00AB46EB" w:rsidRPr="00564A3B" w:rsidRDefault="00AB46EB" w:rsidP="00331C61">
      <w:pPr>
        <w:pStyle w:val="BasicParagraph"/>
        <w:suppressAutoHyphens/>
        <w:jc w:val="center"/>
        <w:rPr>
          <w:rFonts w:ascii="Verdana" w:hAnsi="Verdana" w:cs="Arial"/>
          <w:b/>
          <w:bCs/>
          <w:color w:val="77328A"/>
          <w:sz w:val="36"/>
          <w:szCs w:val="36"/>
        </w:rPr>
      </w:pPr>
    </w:p>
    <w:p w14:paraId="6CAFDC96" w14:textId="31AE59A8" w:rsidR="00AB46EB" w:rsidRPr="00564A3B" w:rsidRDefault="00AB46EB" w:rsidP="00331C61">
      <w:pPr>
        <w:pStyle w:val="BasicParagraph"/>
        <w:suppressAutoHyphens/>
        <w:jc w:val="center"/>
        <w:rPr>
          <w:rFonts w:ascii="Verdana" w:hAnsi="Verdana" w:cs="Arial"/>
          <w:b/>
          <w:bCs/>
          <w:color w:val="77328A"/>
          <w:sz w:val="36"/>
          <w:szCs w:val="36"/>
        </w:rPr>
      </w:pPr>
    </w:p>
    <w:p w14:paraId="08B262EB" w14:textId="77777777" w:rsidR="00AB46EB" w:rsidRPr="00564A3B" w:rsidRDefault="00AB46EB" w:rsidP="00331C61">
      <w:pPr>
        <w:pStyle w:val="BasicParagraph"/>
        <w:suppressAutoHyphens/>
        <w:jc w:val="center"/>
        <w:rPr>
          <w:rFonts w:ascii="Verdana" w:hAnsi="Verdana" w:cs="Arial"/>
          <w:b/>
          <w:bCs/>
          <w:color w:val="77328A"/>
          <w:sz w:val="36"/>
          <w:szCs w:val="36"/>
        </w:rPr>
      </w:pPr>
    </w:p>
    <w:p w14:paraId="63457741" w14:textId="77777777" w:rsidR="006E698D" w:rsidRDefault="006E698D" w:rsidP="00331C61">
      <w:pPr>
        <w:pStyle w:val="BasicParagraph"/>
        <w:suppressAutoHyphens/>
        <w:jc w:val="center"/>
        <w:rPr>
          <w:rFonts w:ascii="Verdana" w:hAnsi="Verdana" w:cs="Arial"/>
          <w:b/>
          <w:bCs/>
          <w:color w:val="77328A"/>
          <w:sz w:val="36"/>
          <w:szCs w:val="36"/>
        </w:rPr>
      </w:pPr>
    </w:p>
    <w:p w14:paraId="54429DD2" w14:textId="77777777" w:rsidR="006E698D" w:rsidRDefault="006E698D" w:rsidP="000778C1">
      <w:pPr>
        <w:pStyle w:val="BasicParagraph"/>
        <w:suppressAutoHyphens/>
        <w:rPr>
          <w:rFonts w:ascii="Verdana" w:hAnsi="Verdana" w:cs="Arial"/>
          <w:b/>
          <w:bCs/>
          <w:color w:val="77328A"/>
          <w:sz w:val="36"/>
          <w:szCs w:val="36"/>
        </w:rPr>
      </w:pPr>
    </w:p>
    <w:p w14:paraId="06D01B33" w14:textId="77777777" w:rsidR="006E698D" w:rsidRDefault="006E698D" w:rsidP="00331C61">
      <w:pPr>
        <w:pStyle w:val="BasicParagraph"/>
        <w:suppressAutoHyphens/>
        <w:jc w:val="center"/>
        <w:rPr>
          <w:rFonts w:ascii="Verdana" w:hAnsi="Verdana" w:cs="Arial"/>
          <w:b/>
          <w:bCs/>
          <w:color w:val="77328A"/>
          <w:sz w:val="36"/>
          <w:szCs w:val="36"/>
        </w:rPr>
      </w:pPr>
    </w:p>
    <w:p w14:paraId="19481DDD" w14:textId="77777777" w:rsidR="006E698D" w:rsidRDefault="006E698D" w:rsidP="00331C61">
      <w:pPr>
        <w:pStyle w:val="BasicParagraph"/>
        <w:suppressAutoHyphens/>
        <w:jc w:val="center"/>
        <w:rPr>
          <w:rFonts w:ascii="Verdana" w:hAnsi="Verdana" w:cs="Arial"/>
          <w:b/>
          <w:bCs/>
          <w:color w:val="77328A"/>
          <w:sz w:val="36"/>
          <w:szCs w:val="36"/>
        </w:rPr>
      </w:pPr>
    </w:p>
    <w:p w14:paraId="0B501631" w14:textId="77777777" w:rsidR="006B3799" w:rsidRDefault="006B3799" w:rsidP="00331C61">
      <w:pPr>
        <w:pStyle w:val="BasicParagraph"/>
        <w:suppressAutoHyphens/>
        <w:jc w:val="center"/>
        <w:rPr>
          <w:rFonts w:ascii="Verdana" w:hAnsi="Verdana" w:cs="Arial"/>
          <w:b/>
          <w:bCs/>
          <w:color w:val="77328A"/>
          <w:sz w:val="36"/>
          <w:szCs w:val="36"/>
        </w:rPr>
      </w:pPr>
    </w:p>
    <w:p w14:paraId="558E4C92" w14:textId="77777777" w:rsidR="006B3799" w:rsidRDefault="006B3799" w:rsidP="00331C61">
      <w:pPr>
        <w:pStyle w:val="BasicParagraph"/>
        <w:suppressAutoHyphens/>
        <w:jc w:val="center"/>
        <w:rPr>
          <w:rFonts w:ascii="Verdana" w:hAnsi="Verdana" w:cs="Arial"/>
          <w:b/>
          <w:bCs/>
          <w:color w:val="77328A"/>
          <w:sz w:val="36"/>
          <w:szCs w:val="36"/>
        </w:rPr>
      </w:pPr>
    </w:p>
    <w:p w14:paraId="0D66059A" w14:textId="77777777" w:rsidR="006B3799" w:rsidRDefault="006B3799" w:rsidP="00331C61">
      <w:pPr>
        <w:pStyle w:val="BasicParagraph"/>
        <w:suppressAutoHyphens/>
        <w:jc w:val="center"/>
        <w:rPr>
          <w:rFonts w:ascii="Verdana" w:hAnsi="Verdana" w:cs="Arial"/>
          <w:b/>
          <w:bCs/>
          <w:color w:val="77328A"/>
          <w:sz w:val="36"/>
          <w:szCs w:val="36"/>
        </w:rPr>
      </w:pPr>
    </w:p>
    <w:p w14:paraId="5B3A18D5" w14:textId="77777777" w:rsidR="006B3799" w:rsidRDefault="006B3799" w:rsidP="00331C61">
      <w:pPr>
        <w:pStyle w:val="BasicParagraph"/>
        <w:suppressAutoHyphens/>
        <w:jc w:val="center"/>
        <w:rPr>
          <w:rFonts w:ascii="Verdana" w:hAnsi="Verdana" w:cs="Arial"/>
          <w:b/>
          <w:bCs/>
          <w:color w:val="77328A"/>
          <w:sz w:val="36"/>
          <w:szCs w:val="36"/>
        </w:rPr>
      </w:pPr>
    </w:p>
    <w:p w14:paraId="0DEB4800" w14:textId="77777777" w:rsidR="006B3799" w:rsidRDefault="006B3799" w:rsidP="00331C61">
      <w:pPr>
        <w:pStyle w:val="BasicParagraph"/>
        <w:suppressAutoHyphens/>
        <w:jc w:val="center"/>
        <w:rPr>
          <w:rFonts w:ascii="Verdana" w:hAnsi="Verdana" w:cs="Arial"/>
          <w:b/>
          <w:bCs/>
          <w:color w:val="77328A"/>
          <w:sz w:val="36"/>
          <w:szCs w:val="36"/>
        </w:rPr>
      </w:pPr>
    </w:p>
    <w:p w14:paraId="2A6E31CA" w14:textId="77777777" w:rsidR="006B3799" w:rsidRDefault="006B3799" w:rsidP="00331C61">
      <w:pPr>
        <w:pStyle w:val="BasicParagraph"/>
        <w:suppressAutoHyphens/>
        <w:jc w:val="center"/>
        <w:rPr>
          <w:rFonts w:ascii="Verdana" w:hAnsi="Verdana" w:cs="Arial"/>
          <w:b/>
          <w:bCs/>
          <w:color w:val="77328A"/>
          <w:sz w:val="36"/>
          <w:szCs w:val="36"/>
        </w:rPr>
      </w:pPr>
    </w:p>
    <w:p w14:paraId="7856C533" w14:textId="1635D662" w:rsidR="00705833" w:rsidRPr="00564A3B" w:rsidRDefault="00705833" w:rsidP="00331C61">
      <w:pPr>
        <w:pStyle w:val="BasicParagraph"/>
        <w:suppressAutoHyphens/>
        <w:jc w:val="center"/>
        <w:rPr>
          <w:rFonts w:ascii="Verdana" w:hAnsi="Verdana" w:cs="Arial"/>
          <w:b/>
          <w:bCs/>
          <w:color w:val="77328A"/>
          <w:sz w:val="36"/>
          <w:szCs w:val="36"/>
        </w:rPr>
      </w:pPr>
      <w:r w:rsidRPr="00564A3B">
        <w:rPr>
          <w:rFonts w:ascii="Verdana" w:hAnsi="Verdana" w:cs="Arial"/>
          <w:b/>
          <w:bCs/>
          <w:color w:val="77328A"/>
          <w:sz w:val="36"/>
          <w:szCs w:val="36"/>
        </w:rPr>
        <w:t>Co</w:t>
      </w:r>
      <w:r w:rsidR="0096459E" w:rsidRPr="00564A3B">
        <w:rPr>
          <w:rFonts w:ascii="Verdana" w:hAnsi="Verdana" w:cs="Arial"/>
          <w:b/>
          <w:bCs/>
          <w:color w:val="77328A"/>
          <w:sz w:val="36"/>
          <w:szCs w:val="36"/>
        </w:rPr>
        <w:t xml:space="preserve">ntact us </w:t>
      </w:r>
    </w:p>
    <w:p w14:paraId="33D83BCD" w14:textId="26E2B3B6" w:rsidR="00331C61" w:rsidRDefault="00331C61" w:rsidP="00331C61">
      <w:pPr>
        <w:pStyle w:val="BasicParagraph"/>
        <w:suppressAutoHyphens/>
        <w:jc w:val="center"/>
        <w:rPr>
          <w:rFonts w:ascii="Verdana" w:hAnsi="Verdana" w:cs="Arial"/>
          <w:b/>
          <w:color w:val="77328A"/>
          <w:sz w:val="36"/>
          <w:szCs w:val="36"/>
        </w:rPr>
      </w:pPr>
    </w:p>
    <w:p w14:paraId="62151CB0" w14:textId="77777777" w:rsidR="00386226" w:rsidRPr="00564A3B" w:rsidRDefault="00386226" w:rsidP="00331C61">
      <w:pPr>
        <w:pStyle w:val="BasicParagraph"/>
        <w:suppressAutoHyphens/>
        <w:jc w:val="center"/>
        <w:rPr>
          <w:rFonts w:ascii="Verdana" w:hAnsi="Verdana" w:cs="Arial"/>
          <w:b/>
          <w:color w:val="77328A"/>
          <w:sz w:val="36"/>
          <w:szCs w:val="36"/>
        </w:rPr>
      </w:pPr>
    </w:p>
    <w:p w14:paraId="4C0E4CD7" w14:textId="3B8180A8" w:rsidR="007E0719" w:rsidRDefault="00DE7230" w:rsidP="003B7D0E">
      <w:pPr>
        <w:spacing w:line="288" w:lineRule="auto"/>
        <w:jc w:val="center"/>
        <w:rPr>
          <w:rFonts w:ascii="Verdana" w:hAnsi="Verdana" w:cs="Arial"/>
          <w:b/>
          <w:color w:val="232120"/>
          <w:sz w:val="30"/>
          <w:szCs w:val="30"/>
        </w:rPr>
      </w:pPr>
      <w:r>
        <w:rPr>
          <w:rFonts w:ascii="Verdana" w:hAnsi="Verdana"/>
          <w:sz w:val="30"/>
          <w:szCs w:val="30"/>
        </w:rPr>
        <w:t>A</w:t>
      </w:r>
      <w:r w:rsidRPr="00DE7230">
        <w:rPr>
          <w:rFonts w:ascii="Verdana" w:hAnsi="Verdana"/>
          <w:sz w:val="30"/>
          <w:szCs w:val="30"/>
        </w:rPr>
        <w:t>ny queries please contact:</w:t>
      </w:r>
      <w:r w:rsidRPr="00DE7230">
        <w:rPr>
          <w:rFonts w:ascii="Verdana" w:hAnsi="Verdana"/>
        </w:rPr>
        <w:t xml:space="preserve"> </w:t>
      </w:r>
      <w:hyperlink r:id="rId12" w:history="1">
        <w:r w:rsidR="00782B53" w:rsidRPr="00564A3B">
          <w:rPr>
            <w:rStyle w:val="Hyperlink"/>
            <w:rFonts w:ascii="Verdana" w:hAnsi="Verdana" w:cs="Arial"/>
            <w:b/>
            <w:sz w:val="30"/>
            <w:szCs w:val="30"/>
          </w:rPr>
          <w:t>Colin.Caughey@nihrc.org</w:t>
        </w:r>
      </w:hyperlink>
      <w:r w:rsidR="007E0719" w:rsidRPr="00564A3B">
        <w:rPr>
          <w:rFonts w:ascii="Verdana" w:hAnsi="Verdana" w:cs="Arial"/>
          <w:b/>
          <w:color w:val="232120"/>
          <w:sz w:val="30"/>
          <w:szCs w:val="30"/>
        </w:rPr>
        <w:t xml:space="preserve"> </w:t>
      </w:r>
    </w:p>
    <w:p w14:paraId="0D9C9822" w14:textId="77777777" w:rsidR="000778C1" w:rsidRPr="00564A3B" w:rsidRDefault="000778C1" w:rsidP="003B7D0E">
      <w:pPr>
        <w:spacing w:line="288" w:lineRule="auto"/>
        <w:jc w:val="center"/>
        <w:rPr>
          <w:rFonts w:ascii="Verdana" w:hAnsi="Verdana" w:cs="Arial"/>
          <w:b/>
          <w:color w:val="232120"/>
          <w:sz w:val="30"/>
          <w:szCs w:val="30"/>
        </w:rPr>
      </w:pPr>
    </w:p>
    <w:p w14:paraId="5BA6C0AD" w14:textId="77777777" w:rsidR="00331C61" w:rsidRPr="00564A3B" w:rsidRDefault="00331C61" w:rsidP="003B7D0E">
      <w:pPr>
        <w:spacing w:line="288" w:lineRule="auto"/>
        <w:jc w:val="center"/>
        <w:rPr>
          <w:rFonts w:ascii="Verdana" w:hAnsi="Verdana" w:cs="Arial"/>
          <w:b/>
          <w:color w:val="232120"/>
          <w:sz w:val="30"/>
          <w:szCs w:val="30"/>
        </w:rPr>
      </w:pPr>
    </w:p>
    <w:p w14:paraId="273A8E42" w14:textId="77777777" w:rsidR="00331C61" w:rsidRPr="00564A3B" w:rsidRDefault="00331C61" w:rsidP="003B7D0E">
      <w:pPr>
        <w:spacing w:line="288" w:lineRule="auto"/>
        <w:jc w:val="center"/>
        <w:rPr>
          <w:rFonts w:ascii="Verdana" w:hAnsi="Verdana" w:cs="Arial"/>
          <w:b/>
          <w:color w:val="232120"/>
          <w:sz w:val="30"/>
          <w:szCs w:val="30"/>
        </w:rPr>
      </w:pPr>
    </w:p>
    <w:p w14:paraId="0C70328D" w14:textId="77777777" w:rsidR="00331C61" w:rsidRPr="00564A3B" w:rsidRDefault="00000000" w:rsidP="00331C61">
      <w:pPr>
        <w:spacing w:line="288" w:lineRule="auto"/>
        <w:jc w:val="center"/>
        <w:rPr>
          <w:rFonts w:ascii="Verdana" w:hAnsi="Verdana" w:cs="Arial"/>
          <w:color w:val="232120"/>
          <w:sz w:val="28"/>
          <w:szCs w:val="28"/>
        </w:rPr>
      </w:pPr>
      <w:hyperlink r:id="rId13" w:history="1">
        <w:r w:rsidR="00331C61" w:rsidRPr="00564A3B">
          <w:rPr>
            <w:rStyle w:val="Hyperlink"/>
            <w:rFonts w:ascii="Verdana" w:hAnsi="Verdana" w:cs="Arial"/>
            <w:color w:val="232120"/>
            <w:sz w:val="28"/>
            <w:szCs w:val="28"/>
            <w:u w:val="none"/>
            <w:lang w:val="en-US"/>
          </w:rPr>
          <w:t>www.nihrc.org</w:t>
        </w:r>
      </w:hyperlink>
      <w:r w:rsidR="00331C61" w:rsidRPr="00564A3B">
        <w:rPr>
          <w:rFonts w:ascii="Verdana" w:hAnsi="Verdana" w:cs="Arial"/>
          <w:color w:val="232120"/>
          <w:sz w:val="28"/>
          <w:szCs w:val="28"/>
          <w:lang w:val="en-US"/>
        </w:rPr>
        <w:t xml:space="preserve">  |  </w:t>
      </w:r>
      <w:hyperlink r:id="rId14" w:history="1">
        <w:r w:rsidR="00331C61" w:rsidRPr="00564A3B">
          <w:rPr>
            <w:rStyle w:val="Hyperlink"/>
            <w:rFonts w:ascii="Verdana" w:hAnsi="Verdana" w:cs="Arial"/>
            <w:color w:val="232120"/>
            <w:sz w:val="28"/>
            <w:szCs w:val="28"/>
            <w:u w:val="none"/>
            <w:lang w:val="en-US"/>
          </w:rPr>
          <w:t>info@nihrc.org</w:t>
        </w:r>
      </w:hyperlink>
      <w:r w:rsidR="00331C61" w:rsidRPr="00564A3B">
        <w:rPr>
          <w:rFonts w:ascii="Verdana" w:hAnsi="Verdana" w:cs="Arial"/>
          <w:color w:val="232120"/>
          <w:sz w:val="28"/>
          <w:szCs w:val="28"/>
          <w:lang w:val="en-US"/>
        </w:rPr>
        <w:t xml:space="preserve">  |  +44 (0)28 9024 3987</w:t>
      </w:r>
    </w:p>
    <w:p w14:paraId="47500405" w14:textId="77777777" w:rsidR="00F56C78" w:rsidRPr="00564A3B" w:rsidRDefault="00D16532" w:rsidP="00331C61">
      <w:pPr>
        <w:spacing w:line="288" w:lineRule="auto"/>
        <w:jc w:val="center"/>
        <w:rPr>
          <w:rFonts w:ascii="Verdana" w:hAnsi="Verdana" w:cs="Arial"/>
          <w:color w:val="232120"/>
          <w:sz w:val="28"/>
          <w:szCs w:val="28"/>
        </w:rPr>
      </w:pPr>
      <w:r w:rsidRPr="00564A3B">
        <w:rPr>
          <w:rFonts w:ascii="Verdana" w:hAnsi="Verdana" w:cs="Arial"/>
          <w:color w:val="232120"/>
          <w:sz w:val="28"/>
          <w:szCs w:val="28"/>
          <w:lang w:val="en-US"/>
        </w:rPr>
        <w:t>4</w:t>
      </w:r>
      <w:r w:rsidRPr="00564A3B">
        <w:rPr>
          <w:rFonts w:ascii="Verdana" w:hAnsi="Verdana" w:cs="Arial"/>
          <w:color w:val="232120"/>
          <w:sz w:val="28"/>
          <w:szCs w:val="28"/>
          <w:vertAlign w:val="superscript"/>
          <w:lang w:val="en-US"/>
        </w:rPr>
        <w:t>th</w:t>
      </w:r>
      <w:r w:rsidRPr="00564A3B">
        <w:rPr>
          <w:rFonts w:ascii="Verdana" w:hAnsi="Verdana" w:cs="Arial"/>
          <w:color w:val="232120"/>
          <w:sz w:val="28"/>
          <w:szCs w:val="28"/>
          <w:lang w:val="en-US"/>
        </w:rPr>
        <w:t xml:space="preserve"> Floor, Alfred House, 19-21 Alfred Street, Belfast, BT2 8ED</w:t>
      </w:r>
    </w:p>
    <w:p w14:paraId="63B70184" w14:textId="77777777" w:rsidR="00F56C78" w:rsidRPr="00564A3B" w:rsidRDefault="00F56C78" w:rsidP="003B7D0E">
      <w:pPr>
        <w:spacing w:line="288" w:lineRule="auto"/>
        <w:jc w:val="center"/>
        <w:rPr>
          <w:rFonts w:ascii="Verdana" w:hAnsi="Verdana" w:cs="Arial"/>
          <w:b/>
          <w:color w:val="232120"/>
          <w:sz w:val="28"/>
          <w:szCs w:val="28"/>
        </w:rPr>
      </w:pPr>
    </w:p>
    <w:p w14:paraId="7EC20CA6" w14:textId="77777777" w:rsidR="00F56C78" w:rsidRPr="00564A3B" w:rsidRDefault="00F56C78" w:rsidP="003B7D0E">
      <w:pPr>
        <w:spacing w:line="288" w:lineRule="auto"/>
        <w:jc w:val="center"/>
        <w:rPr>
          <w:rFonts w:ascii="Verdana" w:hAnsi="Verdana" w:cs="Arial"/>
          <w:color w:val="232120"/>
          <w:sz w:val="20"/>
          <w:szCs w:val="20"/>
        </w:rPr>
      </w:pPr>
    </w:p>
    <w:p w14:paraId="756C4B7D" w14:textId="77777777" w:rsidR="00705833" w:rsidRPr="00564A3B" w:rsidRDefault="00F56C78" w:rsidP="003B7D0E">
      <w:pPr>
        <w:pStyle w:val="BasicParagraph"/>
        <w:suppressAutoHyphens/>
        <w:spacing w:line="240" w:lineRule="auto"/>
        <w:jc w:val="center"/>
        <w:rPr>
          <w:rFonts w:ascii="Verdana" w:hAnsi="Verdana" w:cs="Arial"/>
          <w:color w:val="232120"/>
          <w:sz w:val="28"/>
          <w:szCs w:val="28"/>
        </w:rPr>
      </w:pPr>
      <w:r w:rsidRPr="00564A3B">
        <w:rPr>
          <w:rFonts w:ascii="Verdana" w:hAnsi="Verdana" w:cs="Arial"/>
          <w:noProof/>
          <w:color w:val="232120"/>
          <w:sz w:val="28"/>
          <w:szCs w:val="28"/>
          <w:lang w:eastAsia="en-GB"/>
        </w:rPr>
        <w:drawing>
          <wp:inline distT="0" distB="0" distL="0" distR="0" wp14:anchorId="299DEC75" wp14:editId="2A84FEBA">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564A3B" w:rsidSect="003B7D0E">
      <w:footerReference w:type="default" r:id="rId16"/>
      <w:footerReference w:type="first" r:id="rId17"/>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8E7CD" w14:textId="77777777" w:rsidR="004C1CA8" w:rsidRDefault="004C1CA8" w:rsidP="00962B2B">
      <w:r>
        <w:separator/>
      </w:r>
    </w:p>
  </w:endnote>
  <w:endnote w:type="continuationSeparator" w:id="0">
    <w:p w14:paraId="42D8C3A2" w14:textId="77777777" w:rsidR="004C1CA8" w:rsidRDefault="004C1CA8" w:rsidP="00962B2B">
      <w:r>
        <w:continuationSeparator/>
      </w:r>
    </w:p>
  </w:endnote>
  <w:endnote w:type="continuationNotice" w:id="1">
    <w:p w14:paraId="7ACE5B81" w14:textId="77777777" w:rsidR="004C1CA8" w:rsidRDefault="004C1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7FEB" w14:textId="77777777" w:rsidR="00D2770F" w:rsidRDefault="00D2770F" w:rsidP="00656ECD">
    <w:pPr>
      <w:pStyle w:val="Footer"/>
      <w:jc w:val="right"/>
      <w:rPr>
        <w:rStyle w:val="PageNumber"/>
        <w:rFonts w:ascii="Arial" w:hAnsi="Arial" w:cs="Arial"/>
        <w:b/>
        <w:sz w:val="16"/>
        <w:szCs w:val="16"/>
      </w:rPr>
    </w:pPr>
  </w:p>
  <w:p w14:paraId="097B2DEB" w14:textId="779B6EBF" w:rsidR="00D2770F" w:rsidRPr="00533270" w:rsidRDefault="00D2770F" w:rsidP="00656ECD">
    <w:pPr>
      <w:pStyle w:val="Footer"/>
      <w:jc w:val="right"/>
      <w:rPr>
        <w:rFonts w:ascii="Verdana" w:hAnsi="Verdana" w:cs="Arial"/>
        <w:bCs/>
        <w:color w:val="77328A"/>
      </w:rPr>
    </w:pPr>
    <w:r w:rsidRPr="00533270">
      <w:rPr>
        <w:rStyle w:val="PageNumber"/>
        <w:rFonts w:ascii="Verdana" w:hAnsi="Verdana" w:cs="Arial"/>
        <w:bCs/>
        <w:color w:val="77328A"/>
      </w:rPr>
      <w:fldChar w:fldCharType="begin"/>
    </w:r>
    <w:r w:rsidRPr="00533270">
      <w:rPr>
        <w:rStyle w:val="PageNumber"/>
        <w:rFonts w:ascii="Verdana" w:hAnsi="Verdana" w:cs="Arial"/>
        <w:bCs/>
        <w:color w:val="77328A"/>
      </w:rPr>
      <w:instrText xml:space="preserve"> PAGE </w:instrText>
    </w:r>
    <w:r w:rsidRPr="00533270">
      <w:rPr>
        <w:rStyle w:val="PageNumber"/>
        <w:rFonts w:ascii="Verdana" w:hAnsi="Verdana" w:cs="Arial"/>
        <w:bCs/>
        <w:color w:val="77328A"/>
      </w:rPr>
      <w:fldChar w:fldCharType="separate"/>
    </w:r>
    <w:r w:rsidR="00C93D90" w:rsidRPr="00533270">
      <w:rPr>
        <w:rStyle w:val="PageNumber"/>
        <w:rFonts w:ascii="Verdana" w:hAnsi="Verdana" w:cs="Arial"/>
        <w:bCs/>
        <w:noProof/>
        <w:color w:val="77328A"/>
      </w:rPr>
      <w:t>22</w:t>
    </w:r>
    <w:r w:rsidRPr="00533270">
      <w:rPr>
        <w:rStyle w:val="PageNumber"/>
        <w:rFonts w:ascii="Verdana" w:hAnsi="Verdana" w:cs="Arial"/>
        <w:bCs/>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AA76" w14:textId="77777777" w:rsidR="00D2770F" w:rsidRDefault="00D2770F" w:rsidP="00046705">
    <w:pPr>
      <w:pStyle w:val="Footer"/>
      <w:jc w:val="right"/>
      <w:rPr>
        <w:rStyle w:val="PageNumber"/>
        <w:rFonts w:ascii="Arial" w:hAnsi="Arial" w:cs="Arial"/>
        <w:b/>
        <w:sz w:val="16"/>
        <w:szCs w:val="16"/>
      </w:rPr>
    </w:pPr>
  </w:p>
  <w:p w14:paraId="41D71F9F"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F39FD" w14:textId="77777777" w:rsidR="004C1CA8" w:rsidRDefault="004C1CA8" w:rsidP="00B96D34">
      <w:r>
        <w:continuationSeparator/>
      </w:r>
    </w:p>
    <w:p w14:paraId="1AF05456" w14:textId="77777777" w:rsidR="004C1CA8" w:rsidRPr="00B96D34" w:rsidRDefault="004C1CA8" w:rsidP="00B96D34">
      <w:pPr>
        <w:pStyle w:val="Footer"/>
      </w:pPr>
    </w:p>
  </w:footnote>
  <w:footnote w:type="continuationSeparator" w:id="0">
    <w:p w14:paraId="035C14C4" w14:textId="77777777" w:rsidR="004C1CA8" w:rsidRDefault="004C1CA8" w:rsidP="00962B2B">
      <w:r>
        <w:continuationSeparator/>
      </w:r>
    </w:p>
  </w:footnote>
  <w:footnote w:type="continuationNotice" w:id="1">
    <w:p w14:paraId="41E3461E" w14:textId="77777777" w:rsidR="004C1CA8" w:rsidRDefault="004C1CA8"/>
  </w:footnote>
  <w:footnote w:id="2">
    <w:p w14:paraId="761A81EE" w14:textId="77777777" w:rsidR="00416E0A" w:rsidRPr="005F6125" w:rsidRDefault="00416E0A" w:rsidP="0045051B">
      <w:pPr>
        <w:pStyle w:val="NIHRCFootnotes"/>
      </w:pPr>
      <w:r>
        <w:rPr>
          <w:rStyle w:val="FootnoteReference"/>
        </w:rPr>
        <w:footnoteRef/>
      </w:r>
      <w:r>
        <w:t xml:space="preserve"> </w:t>
      </w:r>
      <w:r w:rsidRPr="005F6125">
        <w:t>The Windsor Framework was formerly known as the Protocol on Ireland/Northern Ireland to the UK-EU Withdrawal Agreement and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p w14:paraId="1B0AFA3A" w14:textId="71F78244" w:rsidR="00416E0A" w:rsidRDefault="00416E0A" w:rsidP="0045051B">
      <w:pPr>
        <w:pStyle w:val="NIHRCFootnotes"/>
      </w:pPr>
      <w:r w:rsidRPr="005F6125">
        <w:rPr>
          <w:rStyle w:val="FootnoteReference"/>
        </w:rPr>
        <w:footnoteRef/>
      </w:r>
      <w:r w:rsidRPr="005F6125">
        <w:t xml:space="preserve"> Article 31, UN Refugee Convention 1951.</w:t>
      </w:r>
    </w:p>
  </w:footnote>
  <w:footnote w:id="3">
    <w:p w14:paraId="7885F4B1" w14:textId="77777777" w:rsidR="0055193F" w:rsidRPr="0055193F" w:rsidRDefault="0055193F" w:rsidP="0045051B">
      <w:pPr>
        <w:pStyle w:val="NIHRCFootnotes"/>
      </w:pPr>
      <w:r w:rsidRPr="0055193F">
        <w:rPr>
          <w:rStyle w:val="FootnoteReference"/>
        </w:rPr>
        <w:footnoteRef/>
      </w:r>
      <w:r w:rsidRPr="0055193F">
        <w:t xml:space="preserve"> Ratified by the UK 1951. Further guidance is also taken from the body of case law from the European Court of Human</w:t>
      </w:r>
    </w:p>
    <w:p w14:paraId="46092209" w14:textId="77777777" w:rsidR="0055193F" w:rsidRPr="0055193F" w:rsidRDefault="0055193F" w:rsidP="0045051B">
      <w:pPr>
        <w:pStyle w:val="NIHRCFootnotes"/>
      </w:pPr>
      <w:r w:rsidRPr="0055193F">
        <w:t>Rights (ECtHR).</w:t>
      </w:r>
    </w:p>
  </w:footnote>
  <w:footnote w:id="4">
    <w:p w14:paraId="417560F9" w14:textId="5EBB2FD9" w:rsidR="00862A65" w:rsidRPr="00862A65" w:rsidRDefault="00862A65" w:rsidP="0045051B">
      <w:pPr>
        <w:pStyle w:val="NIHRCFootnotes"/>
      </w:pPr>
      <w:r w:rsidRPr="00862A65">
        <w:rPr>
          <w:rStyle w:val="FootnoteReference"/>
          <w:color w:val="76328A"/>
        </w:rPr>
        <w:footnoteRef/>
      </w:r>
      <w:r w:rsidRPr="00862A65">
        <w:rPr>
          <w:color w:val="76328A"/>
        </w:rPr>
        <w:t xml:space="preserve"> Ratified by the UK in 1962. </w:t>
      </w:r>
    </w:p>
  </w:footnote>
  <w:footnote w:id="5">
    <w:p w14:paraId="2BB6B08D" w14:textId="7E2D8758" w:rsidR="00C724E4" w:rsidRPr="00C724E4" w:rsidRDefault="00C724E4" w:rsidP="0045051B">
      <w:pPr>
        <w:pStyle w:val="NIHRCFootnotes"/>
      </w:pPr>
      <w:r w:rsidRPr="006D1825">
        <w:rPr>
          <w:rStyle w:val="FootnoteReference"/>
          <w:color w:val="76328A"/>
        </w:rPr>
        <w:footnoteRef/>
      </w:r>
      <w:r w:rsidRPr="006D1825">
        <w:rPr>
          <w:color w:val="76328A"/>
        </w:rPr>
        <w:t xml:space="preserve"> Ratified by the UK in 1991. </w:t>
      </w:r>
    </w:p>
  </w:footnote>
  <w:footnote w:id="6">
    <w:p w14:paraId="6E225AEF" w14:textId="77777777" w:rsidR="00D85F81" w:rsidRPr="0055193F" w:rsidRDefault="00D85F81" w:rsidP="0045051B">
      <w:pPr>
        <w:pStyle w:val="NIHRCFootnotes"/>
      </w:pPr>
      <w:r w:rsidRPr="0055193F">
        <w:rPr>
          <w:rStyle w:val="FootnoteReference"/>
        </w:rPr>
        <w:footnoteRef/>
      </w:r>
      <w:r w:rsidRPr="0055193F">
        <w:t xml:space="preserve"> </w:t>
      </w:r>
      <w:r>
        <w:t xml:space="preserve">Ratified by the UK in 2022. </w:t>
      </w:r>
    </w:p>
  </w:footnote>
  <w:footnote w:id="7">
    <w:p w14:paraId="2E350472" w14:textId="77777777" w:rsidR="00AC5CF0" w:rsidRPr="00C10D50" w:rsidRDefault="00AC5CF0" w:rsidP="0045051B">
      <w:pPr>
        <w:pStyle w:val="NIHRCFootnotes"/>
        <w:rPr>
          <w:color w:val="76328A"/>
        </w:rPr>
      </w:pPr>
      <w:r w:rsidRPr="00C10D50">
        <w:rPr>
          <w:rStyle w:val="FootnoteReference"/>
          <w:color w:val="76328A"/>
        </w:rPr>
        <w:footnoteRef/>
      </w:r>
      <w:r w:rsidRPr="00C10D50">
        <w:rPr>
          <w:color w:val="76328A"/>
        </w:rPr>
        <w:t xml:space="preserve"> Ratified by the UK in 1969. </w:t>
      </w:r>
    </w:p>
  </w:footnote>
  <w:footnote w:id="8">
    <w:p w14:paraId="25982B42" w14:textId="77777777" w:rsidR="0055193F" w:rsidRPr="0055193F" w:rsidRDefault="0055193F" w:rsidP="0045051B">
      <w:pPr>
        <w:pStyle w:val="NIHRCFootnotes"/>
      </w:pPr>
      <w:r w:rsidRPr="0055193F">
        <w:rPr>
          <w:rStyle w:val="FootnoteReference"/>
        </w:rPr>
        <w:footnoteRef/>
      </w:r>
      <w:r w:rsidRPr="0055193F">
        <w:t xml:space="preserve"> Ratified by the UK 1966. </w:t>
      </w:r>
    </w:p>
  </w:footnote>
  <w:footnote w:id="9">
    <w:p w14:paraId="59C044FD" w14:textId="77777777" w:rsidR="0055193F" w:rsidRPr="0055193F" w:rsidRDefault="0055193F" w:rsidP="0045051B">
      <w:pPr>
        <w:pStyle w:val="NIHRCFootnotes"/>
      </w:pPr>
      <w:r w:rsidRPr="0055193F">
        <w:rPr>
          <w:rStyle w:val="FootnoteReference"/>
        </w:rPr>
        <w:footnoteRef/>
      </w:r>
      <w:r w:rsidRPr="0055193F">
        <w:t xml:space="preserve"> Ratified by the UK 1986.</w:t>
      </w:r>
    </w:p>
  </w:footnote>
  <w:footnote w:id="10">
    <w:p w14:paraId="402378B9" w14:textId="77777777" w:rsidR="0055193F" w:rsidRPr="00EA7C68" w:rsidRDefault="0055193F" w:rsidP="0045051B">
      <w:pPr>
        <w:pStyle w:val="NIHRCFootnotes"/>
        <w:rPr>
          <w:color w:val="7030A0"/>
        </w:rPr>
      </w:pPr>
      <w:r w:rsidRPr="0055193F">
        <w:rPr>
          <w:rStyle w:val="FootnoteReference"/>
        </w:rPr>
        <w:footnoteRef/>
      </w:r>
      <w:r w:rsidRPr="0055193F">
        <w:t xml:space="preserve"> Ratified by the UK 1988. </w:t>
      </w:r>
    </w:p>
  </w:footnote>
  <w:footnote w:id="11">
    <w:p w14:paraId="038B283A" w14:textId="23CCEE81" w:rsidR="00611079" w:rsidRPr="00D96863" w:rsidRDefault="00611079" w:rsidP="0045051B">
      <w:pPr>
        <w:pStyle w:val="NIHRCFootnotes"/>
        <w:rPr>
          <w:color w:val="76328A"/>
        </w:rPr>
      </w:pPr>
      <w:r w:rsidRPr="00D96863">
        <w:rPr>
          <w:rStyle w:val="FootnoteReference"/>
          <w:color w:val="76328A"/>
        </w:rPr>
        <w:footnoteRef/>
      </w:r>
      <w:r w:rsidRPr="00D96863">
        <w:rPr>
          <w:color w:val="76328A"/>
        </w:rPr>
        <w:t xml:space="preserve"> </w:t>
      </w:r>
      <w:r w:rsidR="00D96863" w:rsidRPr="00D96863">
        <w:rPr>
          <w:color w:val="76328A"/>
        </w:rPr>
        <w:t>Ratified by the UK 1991.</w:t>
      </w:r>
    </w:p>
  </w:footnote>
  <w:footnote w:id="12">
    <w:p w14:paraId="62FF5523" w14:textId="2CE3DE3F" w:rsidR="00C14DCD" w:rsidRDefault="00C14DCD" w:rsidP="0045051B">
      <w:pPr>
        <w:pStyle w:val="NIHRCFootnotes"/>
      </w:pPr>
      <w:r w:rsidRPr="00D96863">
        <w:rPr>
          <w:rStyle w:val="FootnoteReference"/>
          <w:color w:val="76328A"/>
        </w:rPr>
        <w:footnoteRef/>
      </w:r>
      <w:r w:rsidRPr="00D96863">
        <w:rPr>
          <w:color w:val="76328A"/>
        </w:rPr>
        <w:t xml:space="preserve"> </w:t>
      </w:r>
      <w:r w:rsidR="00873241" w:rsidRPr="00D96863">
        <w:rPr>
          <w:color w:val="76328A"/>
        </w:rPr>
        <w:t>Ratified by the UK 2009.</w:t>
      </w:r>
    </w:p>
  </w:footnote>
  <w:footnote w:id="13">
    <w:p w14:paraId="70937B23" w14:textId="14BDE91A" w:rsidR="006D1825" w:rsidRPr="008C020A" w:rsidRDefault="006D1825" w:rsidP="0045051B">
      <w:pPr>
        <w:pStyle w:val="NIHRCFootnotes"/>
      </w:pPr>
      <w:r w:rsidRPr="008C020A">
        <w:rPr>
          <w:rStyle w:val="FootnoteReference"/>
          <w:color w:val="76328A"/>
        </w:rPr>
        <w:footnoteRef/>
      </w:r>
      <w:r w:rsidRPr="008C020A">
        <w:rPr>
          <w:color w:val="76328A"/>
        </w:rPr>
        <w:t xml:space="preserve"> CM/Rec</w:t>
      </w:r>
      <w:r>
        <w:rPr>
          <w:color w:val="76328A"/>
        </w:rPr>
        <w:t xml:space="preserve"> </w:t>
      </w:r>
      <w:r w:rsidRPr="008C020A">
        <w:rPr>
          <w:color w:val="76328A"/>
        </w:rPr>
        <w:t>(2007)13, ‘Recommendation 13 of the Committee of Ministers to Member States on Gender Mainstreaming in Education’, 10 October 2007</w:t>
      </w:r>
      <w:r w:rsidR="008B1836">
        <w:rPr>
          <w:color w:val="76328A"/>
        </w:rPr>
        <w:t>,</w:t>
      </w:r>
      <w:r w:rsidRPr="008C020A">
        <w:rPr>
          <w:color w:val="76328A"/>
        </w:rPr>
        <w:t xml:space="preserve"> at para 44.</w:t>
      </w:r>
    </w:p>
  </w:footnote>
  <w:footnote w:id="14">
    <w:p w14:paraId="63EB5582" w14:textId="77777777" w:rsidR="006D1825" w:rsidRDefault="006D1825" w:rsidP="0045051B">
      <w:pPr>
        <w:pStyle w:val="NIHRCFootnotes"/>
      </w:pPr>
      <w:r w:rsidRPr="008C020A">
        <w:rPr>
          <w:rStyle w:val="FootnoteReference"/>
          <w:color w:val="76328A"/>
        </w:rPr>
        <w:footnoteRef/>
      </w:r>
      <w:r>
        <w:t xml:space="preserve"> </w:t>
      </w:r>
      <w:bookmarkStart w:id="2" w:name="_Hlk131521555"/>
      <w:r w:rsidRPr="008C020A">
        <w:rPr>
          <w:color w:val="76328A"/>
          <w:lang w:val="en-US"/>
        </w:rPr>
        <w:t xml:space="preserve">Council of Europe, ‘Parliamentary Assembly Resolution 1697 (2009): Migrant Women: at </w:t>
      </w:r>
      <w:r>
        <w:rPr>
          <w:color w:val="76328A"/>
          <w:lang w:val="en-US"/>
        </w:rPr>
        <w:t>P</w:t>
      </w:r>
      <w:r w:rsidRPr="008C020A">
        <w:rPr>
          <w:color w:val="76328A"/>
          <w:lang w:val="en-US"/>
        </w:rPr>
        <w:t xml:space="preserve">articular </w:t>
      </w:r>
      <w:r>
        <w:rPr>
          <w:color w:val="76328A"/>
          <w:lang w:val="en-US"/>
        </w:rPr>
        <w:t>R</w:t>
      </w:r>
      <w:r w:rsidRPr="008C020A">
        <w:rPr>
          <w:color w:val="76328A"/>
          <w:lang w:val="en-US"/>
        </w:rPr>
        <w:t xml:space="preserve">isk from </w:t>
      </w:r>
      <w:r>
        <w:rPr>
          <w:color w:val="76328A"/>
          <w:lang w:val="en-US"/>
        </w:rPr>
        <w:t>D</w:t>
      </w:r>
      <w:r w:rsidRPr="008C020A">
        <w:rPr>
          <w:color w:val="76328A"/>
          <w:lang w:val="en-US"/>
        </w:rPr>
        <w:t xml:space="preserve">omestic </w:t>
      </w:r>
      <w:r>
        <w:rPr>
          <w:color w:val="76328A"/>
          <w:lang w:val="en-US"/>
        </w:rPr>
        <w:t>V</w:t>
      </w:r>
      <w:r w:rsidRPr="008C020A">
        <w:rPr>
          <w:color w:val="76328A"/>
          <w:lang w:val="en-US"/>
        </w:rPr>
        <w:t>iolence’</w:t>
      </w:r>
      <w:r>
        <w:rPr>
          <w:color w:val="76328A"/>
          <w:lang w:val="en-US"/>
        </w:rPr>
        <w:t xml:space="preserve">, 20 November 2009. </w:t>
      </w:r>
      <w:bookmarkEnd w:id="2"/>
    </w:p>
  </w:footnote>
  <w:footnote w:id="15">
    <w:p w14:paraId="563C449A" w14:textId="77777777" w:rsidR="006D1825" w:rsidRPr="005B68B1" w:rsidRDefault="006D1825" w:rsidP="0045051B">
      <w:pPr>
        <w:pStyle w:val="NIHRCFootnotes"/>
        <w:rPr>
          <w:color w:val="76328A"/>
        </w:rPr>
      </w:pPr>
      <w:r w:rsidRPr="008C020A">
        <w:rPr>
          <w:rStyle w:val="FootnoteReference"/>
          <w:color w:val="76328A"/>
        </w:rPr>
        <w:footnoteRef/>
      </w:r>
      <w:r w:rsidRPr="008C020A">
        <w:rPr>
          <w:color w:val="76328A"/>
        </w:rPr>
        <w:t xml:space="preserve"> 7 CM/Rec</w:t>
      </w:r>
      <w:r>
        <w:rPr>
          <w:color w:val="76328A"/>
        </w:rPr>
        <w:t xml:space="preserve"> </w:t>
      </w:r>
      <w:r w:rsidRPr="008C020A">
        <w:rPr>
          <w:color w:val="76328A"/>
        </w:rPr>
        <w:t>(2014)2, ‘CoE Committee of Ministers, Recommendation to Member States on the Promotion of Human Rights of Older Persons’, 19 February 2014.</w:t>
      </w:r>
    </w:p>
  </w:footnote>
  <w:footnote w:id="16">
    <w:p w14:paraId="340FD2C7" w14:textId="77777777" w:rsidR="006D1825" w:rsidRPr="00EA7C68" w:rsidRDefault="006D1825" w:rsidP="0045051B">
      <w:pPr>
        <w:pStyle w:val="NIHRCFootnotes"/>
        <w:rPr>
          <w:color w:val="7030A0"/>
        </w:rPr>
      </w:pPr>
      <w:r w:rsidRPr="0055193F">
        <w:rPr>
          <w:rStyle w:val="FootnoteReference"/>
        </w:rPr>
        <w:footnoteRef/>
      </w:r>
      <w:r w:rsidRPr="0055193F">
        <w:t xml:space="preserve"> UN General Assembly, ‘Declaration on the Elimination of Violence against Women’, 20 December 1993.</w:t>
      </w:r>
    </w:p>
  </w:footnote>
  <w:footnote w:id="17">
    <w:p w14:paraId="4DC67126" w14:textId="54A45260" w:rsidR="006D1825" w:rsidRPr="001C72BC" w:rsidRDefault="006D1825" w:rsidP="0045051B">
      <w:pPr>
        <w:pStyle w:val="NIHRCFootnotes"/>
      </w:pPr>
      <w:r w:rsidRPr="001C72BC">
        <w:rPr>
          <w:rStyle w:val="FootnoteReference"/>
          <w:color w:val="76328A"/>
        </w:rPr>
        <w:footnoteRef/>
      </w:r>
      <w:r w:rsidRPr="001C72BC">
        <w:rPr>
          <w:color w:val="76328A"/>
        </w:rPr>
        <w:t xml:space="preserve"> A/54/38/Rev.1, ‘UN CEDAW Committee General Recommendation No 24: Article 12 of the Convention (Women and Health), 1999.</w:t>
      </w:r>
    </w:p>
  </w:footnote>
  <w:footnote w:id="18">
    <w:p w14:paraId="520D7171" w14:textId="77777777" w:rsidR="006D1825" w:rsidRPr="0055193F" w:rsidRDefault="006D1825" w:rsidP="0045051B">
      <w:pPr>
        <w:pStyle w:val="NIHRCFootnotes"/>
      </w:pPr>
      <w:r w:rsidRPr="0055193F">
        <w:rPr>
          <w:rStyle w:val="FootnoteReference"/>
        </w:rPr>
        <w:footnoteRef/>
      </w:r>
      <w:r w:rsidRPr="0055193F">
        <w:t xml:space="preserve"> CCPR/C/GC/32, ‘UN Human Rights Committee General Comment No 32: Article 14 on the Right to Equality Before the Courts and Tribunals and to a Fair Trial’, 23 August 2007, at para 29.</w:t>
      </w:r>
    </w:p>
  </w:footnote>
  <w:footnote w:id="19">
    <w:p w14:paraId="166B6E39" w14:textId="39A4D8F9" w:rsidR="006D1825" w:rsidRPr="008C020A" w:rsidRDefault="006D1825" w:rsidP="0045051B">
      <w:pPr>
        <w:pStyle w:val="NIHRCFootnotes"/>
      </w:pPr>
      <w:r w:rsidRPr="008C020A">
        <w:rPr>
          <w:rStyle w:val="FootnoteReference"/>
          <w:color w:val="76328A"/>
        </w:rPr>
        <w:footnoteRef/>
      </w:r>
      <w:r w:rsidRPr="008C020A">
        <w:rPr>
          <w:color w:val="76328A"/>
        </w:rPr>
        <w:t xml:space="preserve"> CEDAW/C/GC/27 ‘UN </w:t>
      </w:r>
      <w:r w:rsidRPr="008C020A">
        <w:rPr>
          <w:color w:val="76328A"/>
          <w:lang w:val="en-US"/>
        </w:rPr>
        <w:t xml:space="preserve">CEDAW Committee, General Recommendation </w:t>
      </w:r>
      <w:r w:rsidR="008B1836">
        <w:rPr>
          <w:color w:val="76328A"/>
          <w:lang w:val="en-US"/>
        </w:rPr>
        <w:t xml:space="preserve">No </w:t>
      </w:r>
      <w:r w:rsidRPr="008C020A">
        <w:rPr>
          <w:color w:val="76328A"/>
          <w:lang w:val="en-US"/>
        </w:rPr>
        <w:t>27</w:t>
      </w:r>
      <w:r w:rsidR="008B1836">
        <w:rPr>
          <w:color w:val="76328A"/>
          <w:lang w:val="en-US"/>
        </w:rPr>
        <w:t xml:space="preserve">: </w:t>
      </w:r>
      <w:r w:rsidR="00DB193D">
        <w:rPr>
          <w:color w:val="76328A"/>
          <w:lang w:val="en-US"/>
        </w:rPr>
        <w:t>O</w:t>
      </w:r>
      <w:r w:rsidRPr="008C020A">
        <w:rPr>
          <w:color w:val="76328A"/>
          <w:lang w:val="en-US"/>
        </w:rPr>
        <w:t xml:space="preserve">lder </w:t>
      </w:r>
      <w:r w:rsidR="00DB193D">
        <w:rPr>
          <w:color w:val="76328A"/>
          <w:lang w:val="en-US"/>
        </w:rPr>
        <w:t>W</w:t>
      </w:r>
      <w:r w:rsidRPr="008C020A">
        <w:rPr>
          <w:color w:val="76328A"/>
          <w:lang w:val="en-US"/>
        </w:rPr>
        <w:t xml:space="preserve">omen and </w:t>
      </w:r>
      <w:r w:rsidR="00DB193D">
        <w:rPr>
          <w:color w:val="76328A"/>
          <w:lang w:val="en-US"/>
        </w:rPr>
        <w:t>P</w:t>
      </w:r>
      <w:r w:rsidRPr="008C020A">
        <w:rPr>
          <w:color w:val="76328A"/>
          <w:lang w:val="en-US"/>
        </w:rPr>
        <w:t xml:space="preserve">rotection of their </w:t>
      </w:r>
      <w:r w:rsidR="00DB193D">
        <w:rPr>
          <w:color w:val="76328A"/>
          <w:lang w:val="en-US"/>
        </w:rPr>
        <w:t>H</w:t>
      </w:r>
      <w:r w:rsidRPr="008C020A">
        <w:rPr>
          <w:color w:val="76328A"/>
          <w:lang w:val="en-US"/>
        </w:rPr>
        <w:t xml:space="preserve">uman </w:t>
      </w:r>
      <w:r w:rsidR="00DB193D">
        <w:rPr>
          <w:color w:val="76328A"/>
          <w:lang w:val="en-US"/>
        </w:rPr>
        <w:t>R</w:t>
      </w:r>
      <w:r w:rsidRPr="008C020A">
        <w:rPr>
          <w:color w:val="76328A"/>
          <w:lang w:val="en-US"/>
        </w:rPr>
        <w:t>ights’, 16 December 2010.</w:t>
      </w:r>
    </w:p>
  </w:footnote>
  <w:footnote w:id="20">
    <w:p w14:paraId="055E228F" w14:textId="6752F298" w:rsidR="006D1825" w:rsidRPr="006A38E3" w:rsidRDefault="006D1825" w:rsidP="0045051B">
      <w:pPr>
        <w:pStyle w:val="NIHRCFootnotes"/>
      </w:pPr>
      <w:r w:rsidRPr="006A38E3">
        <w:rPr>
          <w:rStyle w:val="FootnoteReference"/>
          <w:color w:val="76328A"/>
        </w:rPr>
        <w:footnoteRef/>
      </w:r>
      <w:r w:rsidRPr="006A38E3">
        <w:rPr>
          <w:color w:val="76328A"/>
        </w:rPr>
        <w:t xml:space="preserve"> CRC/C/GC/13, ‘UN CRC Committee</w:t>
      </w:r>
      <w:r w:rsidR="008B1836">
        <w:rPr>
          <w:color w:val="76328A"/>
        </w:rPr>
        <w:t xml:space="preserve"> </w:t>
      </w:r>
      <w:r w:rsidRPr="006A38E3">
        <w:rPr>
          <w:color w:val="76328A"/>
        </w:rPr>
        <w:t>General Comment</w:t>
      </w:r>
      <w:r w:rsidR="008B1836">
        <w:rPr>
          <w:color w:val="76328A"/>
        </w:rPr>
        <w:t xml:space="preserve"> No</w:t>
      </w:r>
      <w:r w:rsidRPr="006A38E3">
        <w:rPr>
          <w:color w:val="76328A"/>
        </w:rPr>
        <w:t xml:space="preserve"> 13</w:t>
      </w:r>
      <w:r w:rsidR="008B1836">
        <w:rPr>
          <w:color w:val="76328A"/>
        </w:rPr>
        <w:t>:</w:t>
      </w:r>
      <w:r w:rsidRPr="006A38E3">
        <w:rPr>
          <w:color w:val="76328A"/>
        </w:rPr>
        <w:t xml:space="preserve"> </w:t>
      </w:r>
      <w:r>
        <w:rPr>
          <w:color w:val="76328A"/>
        </w:rPr>
        <w:t>R</w:t>
      </w:r>
      <w:r w:rsidRPr="006A38E3">
        <w:rPr>
          <w:color w:val="76328A"/>
        </w:rPr>
        <w:t xml:space="preserve">ight of the </w:t>
      </w:r>
      <w:r>
        <w:rPr>
          <w:color w:val="76328A"/>
        </w:rPr>
        <w:t>C</w:t>
      </w:r>
      <w:r w:rsidRPr="006A38E3">
        <w:rPr>
          <w:color w:val="76328A"/>
        </w:rPr>
        <w:t xml:space="preserve">hild to be </w:t>
      </w:r>
      <w:r>
        <w:rPr>
          <w:color w:val="76328A"/>
        </w:rPr>
        <w:t>F</w:t>
      </w:r>
      <w:r w:rsidRPr="006A38E3">
        <w:rPr>
          <w:color w:val="76328A"/>
        </w:rPr>
        <w:t xml:space="preserve">ree from </w:t>
      </w:r>
      <w:r>
        <w:rPr>
          <w:color w:val="76328A"/>
        </w:rPr>
        <w:t>V</w:t>
      </w:r>
      <w:r w:rsidRPr="006A38E3">
        <w:rPr>
          <w:color w:val="76328A"/>
        </w:rPr>
        <w:t>iolence’, 18 April 2011.</w:t>
      </w:r>
    </w:p>
  </w:footnote>
  <w:footnote w:id="21">
    <w:p w14:paraId="6D47DE81" w14:textId="2DF53600" w:rsidR="006A38E3" w:rsidRPr="006A38E3" w:rsidRDefault="006A38E3" w:rsidP="0045051B">
      <w:pPr>
        <w:pStyle w:val="NIHRCFootnotes"/>
      </w:pPr>
      <w:r w:rsidRPr="006A38E3">
        <w:rPr>
          <w:rStyle w:val="FootnoteReference"/>
          <w:color w:val="76328A"/>
        </w:rPr>
        <w:footnoteRef/>
      </w:r>
      <w:r w:rsidRPr="006A38E3">
        <w:rPr>
          <w:color w:val="76328A"/>
        </w:rPr>
        <w:t xml:space="preserve"> CEDAW/C/GC/35, ‘Committee on the Elimination of Discrimination against Women General </w:t>
      </w:r>
      <w:r w:rsidR="008B1836">
        <w:rPr>
          <w:color w:val="76328A"/>
        </w:rPr>
        <w:t>R</w:t>
      </w:r>
      <w:r w:rsidRPr="006A38E3">
        <w:rPr>
          <w:color w:val="76328A"/>
        </w:rPr>
        <w:t>ecommendation No 35</w:t>
      </w:r>
      <w:r w:rsidR="002E682A">
        <w:rPr>
          <w:color w:val="76328A"/>
        </w:rPr>
        <w:t>:</w:t>
      </w:r>
      <w:r w:rsidRPr="006A38E3">
        <w:rPr>
          <w:color w:val="76328A"/>
        </w:rPr>
        <w:t xml:space="preserve"> </w:t>
      </w:r>
      <w:r w:rsidR="002E682A">
        <w:rPr>
          <w:color w:val="76328A"/>
        </w:rPr>
        <w:t>G</w:t>
      </w:r>
      <w:r w:rsidRPr="006A38E3">
        <w:rPr>
          <w:color w:val="76328A"/>
        </w:rPr>
        <w:t xml:space="preserve">ender-based </w:t>
      </w:r>
      <w:r w:rsidR="002E682A">
        <w:rPr>
          <w:color w:val="76328A"/>
        </w:rPr>
        <w:t>V</w:t>
      </w:r>
      <w:r w:rsidRPr="006A38E3">
        <w:rPr>
          <w:color w:val="76328A"/>
        </w:rPr>
        <w:t xml:space="preserve">iolence </w:t>
      </w:r>
      <w:r w:rsidR="002E682A">
        <w:rPr>
          <w:color w:val="76328A"/>
        </w:rPr>
        <w:t>A</w:t>
      </w:r>
      <w:r w:rsidRPr="006A38E3">
        <w:rPr>
          <w:color w:val="76328A"/>
        </w:rPr>
        <w:t xml:space="preserve">gainst </w:t>
      </w:r>
      <w:r w:rsidR="002E682A">
        <w:rPr>
          <w:color w:val="76328A"/>
        </w:rPr>
        <w:t>W</w:t>
      </w:r>
      <w:r w:rsidRPr="006A38E3">
        <w:rPr>
          <w:color w:val="76328A"/>
        </w:rPr>
        <w:t xml:space="preserve">omen, </w:t>
      </w:r>
      <w:r w:rsidR="002E682A">
        <w:rPr>
          <w:color w:val="76328A"/>
        </w:rPr>
        <w:t>U</w:t>
      </w:r>
      <w:r w:rsidRPr="006A38E3">
        <w:rPr>
          <w:color w:val="76328A"/>
        </w:rPr>
        <w:t xml:space="preserve">pdating </w:t>
      </w:r>
      <w:r w:rsidR="002E682A">
        <w:rPr>
          <w:color w:val="76328A"/>
        </w:rPr>
        <w:t>G</w:t>
      </w:r>
      <w:r w:rsidRPr="006A38E3">
        <w:rPr>
          <w:color w:val="76328A"/>
        </w:rPr>
        <w:t xml:space="preserve">eneral </w:t>
      </w:r>
      <w:r w:rsidR="002E682A">
        <w:rPr>
          <w:color w:val="76328A"/>
        </w:rPr>
        <w:t>R</w:t>
      </w:r>
      <w:r w:rsidRPr="006A38E3">
        <w:rPr>
          <w:color w:val="76328A"/>
        </w:rPr>
        <w:t>ecommendation No 19’, 14 July 2017.</w:t>
      </w:r>
    </w:p>
  </w:footnote>
  <w:footnote w:id="22">
    <w:p w14:paraId="75840CB6" w14:textId="77777777" w:rsidR="00C724E4" w:rsidRPr="0055193F" w:rsidRDefault="00C724E4" w:rsidP="0045051B">
      <w:pPr>
        <w:pStyle w:val="NIHRCFootnotes"/>
      </w:pPr>
      <w:r w:rsidRPr="0055193F">
        <w:rPr>
          <w:rStyle w:val="FootnoteReference"/>
        </w:rPr>
        <w:footnoteRef/>
      </w:r>
      <w:r w:rsidRPr="0055193F">
        <w:t xml:space="preserve"> CAT/C/GBR/CO/6, ‘UN CAT Committee Concluding Observations on the Sixth Periodic Report of the UK of Great Britain and NI’, 7 June 2019.</w:t>
      </w:r>
    </w:p>
  </w:footnote>
  <w:footnote w:id="23">
    <w:p w14:paraId="65E89E59" w14:textId="77777777" w:rsidR="00C724E4" w:rsidRPr="0055193F" w:rsidRDefault="00C724E4" w:rsidP="0045051B">
      <w:pPr>
        <w:pStyle w:val="NIHRCFootnotes"/>
      </w:pPr>
      <w:r w:rsidRPr="0055193F">
        <w:rPr>
          <w:rStyle w:val="FootnoteReference"/>
        </w:rPr>
        <w:footnoteRef/>
      </w:r>
      <w:r w:rsidRPr="0055193F">
        <w:t xml:space="preserve"> CEDAW/C/GBR/CO/8, ‘UN CEDAW Committee Concluding Observations on the UK Eighth Periodic Report’, 8 March 2019.</w:t>
      </w:r>
    </w:p>
  </w:footnote>
  <w:footnote w:id="24">
    <w:p w14:paraId="15A9D3BA" w14:textId="2F5436B1" w:rsidR="003607BC" w:rsidRDefault="003607BC" w:rsidP="0045051B">
      <w:pPr>
        <w:pStyle w:val="NIHRCFootnotes"/>
      </w:pPr>
      <w:r>
        <w:rPr>
          <w:rStyle w:val="FootnoteReference"/>
        </w:rPr>
        <w:footnoteRef/>
      </w:r>
      <w:r>
        <w:t xml:space="preserve"> EU Directive 2012/29/EU</w:t>
      </w:r>
      <w:r w:rsidR="008B1836">
        <w:t>, ‘</w:t>
      </w:r>
      <w:r>
        <w:t>European Parliament and of the Council</w:t>
      </w:r>
      <w:r w:rsidR="008B1836">
        <w:t xml:space="preserve"> E</w:t>
      </w:r>
      <w:r>
        <w:t xml:space="preserve">stablishing </w:t>
      </w:r>
      <w:r w:rsidR="008B1836">
        <w:t>M</w:t>
      </w:r>
      <w:r>
        <w:t xml:space="preserve">inimum </w:t>
      </w:r>
      <w:r w:rsidR="008B1836">
        <w:t>S</w:t>
      </w:r>
      <w:r>
        <w:t xml:space="preserve">tandards on the </w:t>
      </w:r>
      <w:r w:rsidR="008B1836">
        <w:t>R</w:t>
      </w:r>
      <w:r>
        <w:t xml:space="preserve">ights, </w:t>
      </w:r>
      <w:r w:rsidR="008B1836">
        <w:t>S</w:t>
      </w:r>
      <w:r>
        <w:t xml:space="preserve">upport and </w:t>
      </w:r>
      <w:r w:rsidR="008B1836">
        <w:t>P</w:t>
      </w:r>
      <w:r>
        <w:t xml:space="preserve">rotection of </w:t>
      </w:r>
      <w:r w:rsidR="008B1836">
        <w:t>V</w:t>
      </w:r>
      <w:r>
        <w:t xml:space="preserve">ictims of </w:t>
      </w:r>
      <w:r w:rsidR="008B1836">
        <w:t>C</w:t>
      </w:r>
      <w:r>
        <w:t>rime</w:t>
      </w:r>
      <w:r w:rsidR="008B1836">
        <w:t>’, 25 October 2012</w:t>
      </w:r>
      <w:r>
        <w:t>.</w:t>
      </w:r>
    </w:p>
  </w:footnote>
  <w:footnote w:id="25">
    <w:p w14:paraId="28EA5A2C" w14:textId="6B21B84E" w:rsidR="003607BC" w:rsidRDefault="003607BC" w:rsidP="0045051B">
      <w:pPr>
        <w:pStyle w:val="NIHRCFootnotes"/>
      </w:pPr>
      <w:r>
        <w:rPr>
          <w:rStyle w:val="FootnoteReference"/>
        </w:rPr>
        <w:footnoteRef/>
      </w:r>
      <w:r>
        <w:t xml:space="preserve"> NI Human Rights Commission, ‘Response to Call for Views: Domestic Abuse Strategy and Equally Safe Strategy – A strategy to tackle violence against women and girls’, (NIHRC, 2022), at 9; To avoid duplication, the NIHRC directs readers to its previous submission to the Departments on the Domestic Abuse Strategy for an explanation as to why the </w:t>
      </w:r>
      <w:r w:rsidR="00640E6A">
        <w:t xml:space="preserve">EU </w:t>
      </w:r>
      <w:r>
        <w:t>Victims’ Directive remains relevant under Article 2 of the Windsor Framework</w:t>
      </w:r>
      <w:r w:rsidR="004718BF">
        <w:t xml:space="preserve"> (formerly known as the Protocol </w:t>
      </w:r>
      <w:r w:rsidR="00247706">
        <w:t xml:space="preserve">on </w:t>
      </w:r>
      <w:r w:rsidR="00E169D1">
        <w:t>Ireland</w:t>
      </w:r>
      <w:r w:rsidR="00247706">
        <w:t>/Northern Ireland)</w:t>
      </w:r>
      <w:r>
        <w:t>.</w:t>
      </w:r>
    </w:p>
  </w:footnote>
  <w:footnote w:id="26">
    <w:p w14:paraId="495F0E68" w14:textId="235A4219" w:rsidR="00A6195E" w:rsidRPr="00A6195E" w:rsidRDefault="00A6195E" w:rsidP="0045051B">
      <w:pPr>
        <w:pStyle w:val="NIHRCFootnotes"/>
      </w:pPr>
      <w:r w:rsidRPr="00A6195E">
        <w:rPr>
          <w:rStyle w:val="FootnoteReference"/>
          <w:color w:val="76328A"/>
        </w:rPr>
        <w:footnoteRef/>
      </w:r>
      <w:r w:rsidRPr="00A6195E">
        <w:rPr>
          <w:color w:val="76328A"/>
        </w:rPr>
        <w:t xml:space="preserve"> European Committee of Social Rights, ‘Conclusions XXI-4 - Netherlands Curaçao - Article 16’, 5 December 2019. </w:t>
      </w:r>
    </w:p>
  </w:footnote>
  <w:footnote w:id="27">
    <w:p w14:paraId="23219E3A" w14:textId="5829E08F" w:rsidR="002C2F6F" w:rsidRPr="00FE4383" w:rsidRDefault="002C2F6F" w:rsidP="0045051B">
      <w:pPr>
        <w:pStyle w:val="NIHRCFootnotes"/>
        <w:rPr>
          <w:color w:val="76328A"/>
        </w:rPr>
      </w:pPr>
      <w:r w:rsidRPr="00FE4383">
        <w:rPr>
          <w:rStyle w:val="FootnoteReference"/>
          <w:color w:val="76328A"/>
        </w:rPr>
        <w:footnoteRef/>
      </w:r>
      <w:r w:rsidRPr="00FE4383">
        <w:rPr>
          <w:color w:val="76328A"/>
        </w:rPr>
        <w:t xml:space="preserve"> </w:t>
      </w:r>
      <w:r w:rsidR="00FE4383" w:rsidRPr="00FE4383">
        <w:rPr>
          <w:color w:val="76328A"/>
        </w:rPr>
        <w:t xml:space="preserve">UN Population Fund ‘The Human Rights-Based Approach’. Available at: </w:t>
      </w:r>
      <w:r w:rsidR="000A18CD" w:rsidRPr="000A18CD">
        <w:t>https://www.unfpa.org/human-rights-based-approach</w:t>
      </w:r>
    </w:p>
  </w:footnote>
  <w:footnote w:id="28">
    <w:p w14:paraId="0C3EF7BC" w14:textId="05EF1654" w:rsidR="00E169D1" w:rsidRDefault="00E169D1" w:rsidP="0045051B">
      <w:pPr>
        <w:pStyle w:val="NIHRCFootnotes"/>
      </w:pPr>
      <w:r>
        <w:rPr>
          <w:rStyle w:val="FootnoteReference"/>
        </w:rPr>
        <w:footnoteRef/>
      </w:r>
      <w:r>
        <w:t xml:space="preserve"> Belfast (Good Friday) Agreement, 10 April 1998, </w:t>
      </w:r>
      <w:r w:rsidR="000A18CD">
        <w:t xml:space="preserve">at </w:t>
      </w:r>
      <w:r>
        <w:t>Part 6 on Rights, Safeguards and Equality of Opportunity.</w:t>
      </w:r>
    </w:p>
  </w:footnote>
  <w:footnote w:id="29">
    <w:p w14:paraId="66B2991F" w14:textId="042B0999" w:rsidR="00E169D1" w:rsidRDefault="00E169D1" w:rsidP="0045051B">
      <w:pPr>
        <w:pStyle w:val="NIHRCFootnotes"/>
      </w:pPr>
      <w:r>
        <w:rPr>
          <w:rStyle w:val="FootnoteReference"/>
        </w:rPr>
        <w:footnoteRef/>
      </w:r>
      <w:r>
        <w:t xml:space="preserve"> UK Government, ‘UK Government </w:t>
      </w:r>
      <w:r w:rsidR="000A18CD">
        <w:t>C</w:t>
      </w:r>
      <w:r>
        <w:t xml:space="preserve">ommitment to </w:t>
      </w:r>
      <w:r w:rsidR="000A18CD">
        <w:t>N</w:t>
      </w:r>
      <w:r>
        <w:t xml:space="preserve">o-diminution of </w:t>
      </w:r>
      <w:r w:rsidR="000A18CD">
        <w:t>R</w:t>
      </w:r>
      <w:r>
        <w:t xml:space="preserve">ights, </w:t>
      </w:r>
      <w:r w:rsidR="000A18CD">
        <w:t>S</w:t>
      </w:r>
      <w:r>
        <w:t xml:space="preserve">afeguards and </w:t>
      </w:r>
      <w:r w:rsidR="000A18CD">
        <w:t>E</w:t>
      </w:r>
      <w:r>
        <w:t xml:space="preserve">quality of </w:t>
      </w:r>
      <w:r w:rsidR="000A18CD">
        <w:t>O</w:t>
      </w:r>
      <w:r>
        <w:t xml:space="preserve">pportunity in </w:t>
      </w:r>
      <w:r w:rsidR="000A18CD">
        <w:t>NI</w:t>
      </w:r>
      <w:r>
        <w:t xml:space="preserve">’ (NIO, 2020); Directive 2012/29/EU, ‘Directive of the European Parliament and of the Council </w:t>
      </w:r>
      <w:r w:rsidR="000A18CD">
        <w:t>E</w:t>
      </w:r>
      <w:r>
        <w:t xml:space="preserve">stablishing </w:t>
      </w:r>
      <w:r w:rsidR="000A18CD">
        <w:t>M</w:t>
      </w:r>
      <w:r>
        <w:t xml:space="preserve">inimum </w:t>
      </w:r>
      <w:r w:rsidR="000A18CD">
        <w:t>S</w:t>
      </w:r>
      <w:r>
        <w:t xml:space="preserve">tandards on the </w:t>
      </w:r>
      <w:r w:rsidR="000A18CD">
        <w:t>R</w:t>
      </w:r>
      <w:r>
        <w:t xml:space="preserve">ights, </w:t>
      </w:r>
      <w:r w:rsidR="000A18CD">
        <w:t>S</w:t>
      </w:r>
      <w:r>
        <w:t xml:space="preserve">upport and </w:t>
      </w:r>
      <w:r w:rsidR="000A18CD">
        <w:t>P</w:t>
      </w:r>
      <w:r>
        <w:t xml:space="preserve">rotection of </w:t>
      </w:r>
      <w:r w:rsidR="000A18CD">
        <w:t>V</w:t>
      </w:r>
      <w:r>
        <w:t xml:space="preserve">ictims of </w:t>
      </w:r>
      <w:r w:rsidR="000A18CD">
        <w:t>C</w:t>
      </w:r>
      <w:r>
        <w:t>rime’, 25 October 2012.</w:t>
      </w:r>
    </w:p>
  </w:footnote>
  <w:footnote w:id="30">
    <w:p w14:paraId="690947C2" w14:textId="76398DEF" w:rsidR="002C14A3" w:rsidRPr="005376DF" w:rsidRDefault="002C14A3" w:rsidP="0045051B">
      <w:pPr>
        <w:pStyle w:val="NIHRCFootnotes"/>
      </w:pPr>
      <w:r w:rsidRPr="00245E58">
        <w:rPr>
          <w:rStyle w:val="FootnoteReference"/>
        </w:rPr>
        <w:footnoteRef/>
      </w:r>
      <w:r w:rsidRPr="00245E58">
        <w:t xml:space="preserve"> E</w:t>
      </w:r>
      <w:r w:rsidR="000A18CD">
        <w:t xml:space="preserve">uropean </w:t>
      </w:r>
      <w:r w:rsidR="00C52F5E">
        <w:t>Network of National Human Rights Institutions</w:t>
      </w:r>
      <w:r w:rsidRPr="00245E58">
        <w:t xml:space="preserve">, ‘Human Rights Based Approach’. Available at: </w:t>
      </w:r>
      <w:hyperlink r:id="rId1" w:history="1">
        <w:r w:rsidRPr="005376DF">
          <w:rPr>
            <w:rStyle w:val="Hyperlink"/>
          </w:rPr>
          <w:t>https://ennhri.org/about-nhris/human-rights-based-approach/</w:t>
        </w:r>
      </w:hyperlink>
      <w:r w:rsidRPr="005376DF">
        <w:t xml:space="preserve"> </w:t>
      </w:r>
    </w:p>
  </w:footnote>
  <w:footnote w:id="31">
    <w:p w14:paraId="7C988AF7" w14:textId="25AB7BF0" w:rsidR="00AB46EB" w:rsidRPr="00AB46EB" w:rsidRDefault="00AB46EB">
      <w:pPr>
        <w:pStyle w:val="FootnoteText"/>
        <w:rPr>
          <w:rFonts w:ascii="Verdana" w:hAnsi="Verdana"/>
          <w:sz w:val="16"/>
          <w:szCs w:val="16"/>
        </w:rPr>
      </w:pPr>
      <w:r w:rsidRPr="00AB46EB">
        <w:rPr>
          <w:rStyle w:val="FootnoteReference"/>
          <w:rFonts w:ascii="Verdana" w:hAnsi="Verdana"/>
          <w:color w:val="76328A"/>
          <w:sz w:val="16"/>
          <w:szCs w:val="16"/>
        </w:rPr>
        <w:footnoteRef/>
      </w:r>
      <w:r w:rsidRPr="00AB46EB">
        <w:rPr>
          <w:rFonts w:ascii="Verdana" w:hAnsi="Verdana"/>
          <w:color w:val="76328A"/>
          <w:sz w:val="16"/>
          <w:szCs w:val="16"/>
        </w:rPr>
        <w:t xml:space="preserve"> For example, </w:t>
      </w:r>
      <w:r w:rsidRPr="00AB46EB">
        <w:rPr>
          <w:rFonts w:ascii="Verdana" w:hAnsi="Verdana"/>
          <w:i/>
          <w:color w:val="76328A"/>
          <w:sz w:val="16"/>
          <w:szCs w:val="16"/>
        </w:rPr>
        <w:t>Opuz v Turkey</w:t>
      </w:r>
      <w:r w:rsidRPr="00AB46EB">
        <w:rPr>
          <w:rFonts w:ascii="Verdana" w:hAnsi="Verdana"/>
          <w:color w:val="76328A"/>
          <w:sz w:val="16"/>
          <w:szCs w:val="16"/>
        </w:rPr>
        <w:t xml:space="preserve">, Application </w:t>
      </w:r>
      <w:r w:rsidR="00C52F5E">
        <w:rPr>
          <w:rFonts w:ascii="Verdana" w:hAnsi="Verdana"/>
          <w:color w:val="76328A"/>
          <w:sz w:val="16"/>
          <w:szCs w:val="16"/>
        </w:rPr>
        <w:t>No</w:t>
      </w:r>
      <w:r w:rsidRPr="00AB46EB">
        <w:rPr>
          <w:rFonts w:ascii="Verdana" w:hAnsi="Verdana"/>
          <w:color w:val="76328A"/>
          <w:sz w:val="16"/>
          <w:szCs w:val="16"/>
        </w:rPr>
        <w:t xml:space="preserve"> 33401/02, 9 September 2009.</w:t>
      </w:r>
    </w:p>
  </w:footnote>
  <w:footnote w:id="32">
    <w:p w14:paraId="3A54DC39" w14:textId="77777777" w:rsidR="005441D4" w:rsidRPr="00245E58" w:rsidRDefault="005441D4" w:rsidP="0045051B">
      <w:pPr>
        <w:pStyle w:val="NIHRCFootnotes"/>
      </w:pPr>
      <w:r w:rsidRPr="00245E58">
        <w:rPr>
          <w:rStyle w:val="FootnoteReference"/>
        </w:rPr>
        <w:footnoteRef/>
      </w:r>
      <w:r w:rsidRPr="00245E58">
        <w:t xml:space="preserve">  CAT/C/GBR/CO/6, ‘UN CAT Committee Concluding Observations on the Sixth Periodic Report of the UK of Great Britain and NI’, 7 June 2019, at para 56; CEDAW/C/GBR/CO/8, ‘UN CEDAW Committee Concluding Observations on the Eighth Periodic Report of the UK of Great Britain and NI’, 14 March 2019, at para 29.</w:t>
      </w:r>
    </w:p>
  </w:footnote>
  <w:footnote w:id="33">
    <w:p w14:paraId="60105726" w14:textId="4846CE84" w:rsidR="006F6119" w:rsidRDefault="006F6119" w:rsidP="0045051B">
      <w:pPr>
        <w:pStyle w:val="NIHRCFootnotes"/>
      </w:pPr>
      <w:r>
        <w:rPr>
          <w:rStyle w:val="FootnoteReference"/>
        </w:rPr>
        <w:footnoteRef/>
      </w:r>
      <w:r>
        <w:t xml:space="preserve"> </w:t>
      </w:r>
      <w:r w:rsidR="00AB46EB" w:rsidRPr="00AB46EB">
        <w:rPr>
          <w:i/>
        </w:rPr>
        <w:t>Case of Centre for Legal Resources on Behalf of Valentin Campeanu v Romania</w:t>
      </w:r>
      <w:r w:rsidR="00AB46EB" w:rsidRPr="00AB46EB">
        <w:t xml:space="preserve"> (2014) ECHR 14.</w:t>
      </w:r>
    </w:p>
  </w:footnote>
  <w:footnote w:id="34">
    <w:p w14:paraId="6F7F5594" w14:textId="1D5BD6B4" w:rsidR="006F6119" w:rsidRDefault="006F6119" w:rsidP="0045051B">
      <w:pPr>
        <w:pStyle w:val="NIHRCFootnotes"/>
      </w:pPr>
      <w:r>
        <w:rPr>
          <w:rStyle w:val="FootnoteReference"/>
        </w:rPr>
        <w:footnoteRef/>
      </w:r>
      <w:r>
        <w:t xml:space="preserve"> </w:t>
      </w:r>
      <w:r w:rsidR="00AB46EB" w:rsidRPr="00AB46EB">
        <w:t>For example</w:t>
      </w:r>
      <w:r w:rsidR="00AB46EB" w:rsidRPr="00AB46EB">
        <w:rPr>
          <w:i/>
        </w:rPr>
        <w:t>, Levchuk v Ukraine</w:t>
      </w:r>
      <w:r w:rsidR="00AB46EB" w:rsidRPr="00AB46EB">
        <w:t xml:space="preserve">, Application </w:t>
      </w:r>
      <w:r w:rsidR="00AD293E">
        <w:t>N</w:t>
      </w:r>
      <w:r w:rsidR="00AB46EB" w:rsidRPr="00AB46EB">
        <w:t xml:space="preserve">o 17496/19, 3 September 2020; </w:t>
      </w:r>
      <w:r w:rsidR="00AB46EB" w:rsidRPr="00AB46EB">
        <w:rPr>
          <w:i/>
        </w:rPr>
        <w:t xml:space="preserve">Bevacqua and S v Bulgaria, </w:t>
      </w:r>
      <w:r w:rsidR="00AB46EB" w:rsidRPr="00AB46EB">
        <w:t xml:space="preserve">Application </w:t>
      </w:r>
      <w:r w:rsidR="00AD293E">
        <w:t>No</w:t>
      </w:r>
      <w:r w:rsidR="00AB46EB" w:rsidRPr="00AB46EB">
        <w:t xml:space="preserve"> 71127/01 &amp; </w:t>
      </w:r>
      <w:r w:rsidR="00AB46EB" w:rsidRPr="00AB46EB">
        <w:rPr>
          <w:i/>
        </w:rPr>
        <w:t xml:space="preserve">A v Croatia, </w:t>
      </w:r>
      <w:r w:rsidR="00AB46EB" w:rsidRPr="00AB46EB">
        <w:t xml:space="preserve">Application </w:t>
      </w:r>
      <w:r w:rsidR="00AD293E">
        <w:t>No</w:t>
      </w:r>
      <w:r w:rsidR="00AB46EB" w:rsidRPr="00AB46EB">
        <w:t xml:space="preserve"> 55164/08,</w:t>
      </w:r>
      <w:r w:rsidR="00AB46EB" w:rsidRPr="00AB46EB">
        <w:rPr>
          <w:i/>
        </w:rPr>
        <w:t xml:space="preserve"> </w:t>
      </w:r>
      <w:r w:rsidR="00AB46EB" w:rsidRPr="00AB46EB">
        <w:t>14 January 2011.</w:t>
      </w:r>
    </w:p>
  </w:footnote>
  <w:footnote w:id="35">
    <w:p w14:paraId="46F9C69A" w14:textId="08FB01C5" w:rsidR="006F6119" w:rsidRDefault="006F6119" w:rsidP="0045051B">
      <w:pPr>
        <w:pStyle w:val="NIHRCFootnotes"/>
      </w:pPr>
      <w:r>
        <w:rPr>
          <w:rStyle w:val="FootnoteReference"/>
        </w:rPr>
        <w:footnoteRef/>
      </w:r>
      <w:r>
        <w:t xml:space="preserve"> </w:t>
      </w:r>
      <w:r w:rsidR="00AB46EB" w:rsidRPr="00AB46EB">
        <w:rPr>
          <w:i/>
        </w:rPr>
        <w:t>X and Y v the Netherlands</w:t>
      </w:r>
      <w:r w:rsidR="00AB46EB" w:rsidRPr="00AB46EB">
        <w:t>, Application no. 8978/80, 26 March 1985, at para 22.</w:t>
      </w:r>
    </w:p>
  </w:footnote>
  <w:footnote w:id="36">
    <w:p w14:paraId="64915C0C" w14:textId="77777777" w:rsidR="005441D4" w:rsidRDefault="005441D4" w:rsidP="0045051B">
      <w:pPr>
        <w:pStyle w:val="NIHRCFootnotes"/>
      </w:pPr>
      <w:r w:rsidRPr="00245E58">
        <w:rPr>
          <w:rStyle w:val="FootnoteReference"/>
        </w:rPr>
        <w:footnoteRef/>
      </w:r>
      <w:r w:rsidRPr="00245E58">
        <w:t xml:space="preserve"> For example, </w:t>
      </w:r>
      <w:r w:rsidRPr="00245E58">
        <w:rPr>
          <w:i/>
        </w:rPr>
        <w:t>Opuz v. Turkey</w:t>
      </w:r>
      <w:r w:rsidRPr="00245E58">
        <w:t>, Application no. 33401/02, 9 September 2009.</w:t>
      </w:r>
      <w:r>
        <w:t xml:space="preserve"> </w:t>
      </w:r>
    </w:p>
  </w:footnote>
  <w:footnote w:id="37">
    <w:p w14:paraId="7E5797B2" w14:textId="77777777" w:rsidR="00F61662" w:rsidRPr="006A38E3" w:rsidRDefault="00F61662" w:rsidP="0045051B">
      <w:pPr>
        <w:pStyle w:val="NIHRCFootnotes"/>
        <w:rPr>
          <w:color w:val="76328A"/>
        </w:rPr>
      </w:pPr>
      <w:r w:rsidRPr="006A38E3">
        <w:rPr>
          <w:rStyle w:val="FootnoteReference"/>
          <w:color w:val="76328A"/>
        </w:rPr>
        <w:footnoteRef/>
      </w:r>
      <w:r w:rsidRPr="006A38E3">
        <w:rPr>
          <w:color w:val="76328A"/>
        </w:rPr>
        <w:t xml:space="preserve"> </w:t>
      </w:r>
      <w:bookmarkStart w:id="7" w:name="_Hlk131492311"/>
      <w:r w:rsidRPr="006A38E3">
        <w:rPr>
          <w:i/>
          <w:color w:val="76328A"/>
        </w:rPr>
        <w:t>Taddeucci and McCall v Italy</w:t>
      </w:r>
      <w:r w:rsidRPr="006A38E3">
        <w:rPr>
          <w:color w:val="76328A"/>
        </w:rPr>
        <w:t xml:space="preserve"> (2016) ECHR 604, at para 81.</w:t>
      </w:r>
      <w:bookmarkEnd w:id="7"/>
    </w:p>
  </w:footnote>
  <w:footnote w:id="38">
    <w:p w14:paraId="01638A7E" w14:textId="7F86C53A" w:rsidR="00F61662" w:rsidRPr="007B4CE6" w:rsidRDefault="00F61662" w:rsidP="0045051B">
      <w:pPr>
        <w:pStyle w:val="NIHRCFootnotes"/>
        <w:rPr>
          <w:color w:val="7030A0"/>
        </w:rPr>
      </w:pPr>
      <w:r w:rsidRPr="006A38E3">
        <w:rPr>
          <w:rStyle w:val="FootnoteReference"/>
          <w:color w:val="76328A"/>
        </w:rPr>
        <w:footnoteRef/>
      </w:r>
      <w:r w:rsidRPr="006A38E3">
        <w:rPr>
          <w:color w:val="76328A"/>
        </w:rPr>
        <w:t xml:space="preserve"> </w:t>
      </w:r>
      <w:r w:rsidR="00AB5216" w:rsidRPr="00AB5216">
        <w:rPr>
          <w:iCs/>
          <w:color w:val="76328A"/>
        </w:rPr>
        <w:t>Ibid.</w:t>
      </w:r>
    </w:p>
  </w:footnote>
  <w:footnote w:id="39">
    <w:p w14:paraId="36E53972" w14:textId="77777777" w:rsidR="007324E6" w:rsidRPr="001F1D2B" w:rsidRDefault="007324E6" w:rsidP="0045051B">
      <w:pPr>
        <w:pStyle w:val="NIHRCFootnotes"/>
      </w:pPr>
      <w:r w:rsidRPr="001F1D2B">
        <w:rPr>
          <w:rStyle w:val="FootnoteReference"/>
        </w:rPr>
        <w:footnoteRef/>
      </w:r>
      <w:r w:rsidRPr="001F1D2B">
        <w:t xml:space="preserve"> </w:t>
      </w:r>
      <w:hyperlink w:history="1"/>
      <w:r>
        <w:t xml:space="preserve"> </w:t>
      </w:r>
      <w:r w:rsidRPr="001F1D2B">
        <w:t>CAT/C/GBR/CO/6, ‘UN CAT Committee Concluding Observations on the Sixth Periodic Report of the UK of Great Britain and NI’, 7 June 2019, at para 56; CEDAW/C/GBR/CO/8, ‘UN CEDAW Committee Concluding Observations on the Eighth Periodic Report of the UK of Great Britain and NI’, 14 March 2019, at para 29.</w:t>
      </w:r>
    </w:p>
  </w:footnote>
  <w:footnote w:id="40">
    <w:p w14:paraId="12D99FAF" w14:textId="77777777" w:rsidR="007324E6" w:rsidRPr="001F1D2B" w:rsidRDefault="007324E6" w:rsidP="0045051B">
      <w:pPr>
        <w:pStyle w:val="NIHRCFootnotes"/>
      </w:pPr>
      <w:r w:rsidRPr="001F1D2B">
        <w:rPr>
          <w:rStyle w:val="FootnoteReference"/>
        </w:rPr>
        <w:footnoteRef/>
      </w:r>
      <w:r w:rsidRPr="001F1D2B">
        <w:t xml:space="preserve"> </w:t>
      </w:r>
      <w:r>
        <w:t xml:space="preserve"> Ibid.</w:t>
      </w:r>
    </w:p>
  </w:footnote>
  <w:footnote w:id="41">
    <w:p w14:paraId="051666E3" w14:textId="77777777" w:rsidR="00D8639C" w:rsidRPr="00940617" w:rsidRDefault="00D8639C" w:rsidP="0045051B">
      <w:pPr>
        <w:pStyle w:val="NIHRCFootnotes"/>
        <w:rPr>
          <w:color w:val="76328A"/>
        </w:rPr>
      </w:pPr>
      <w:r w:rsidRPr="00940617">
        <w:rPr>
          <w:rStyle w:val="FootnoteReference"/>
          <w:color w:val="76328A"/>
        </w:rPr>
        <w:footnoteRef/>
      </w:r>
      <w:r w:rsidRPr="00940617">
        <w:rPr>
          <w:color w:val="76328A"/>
        </w:rPr>
        <w:t xml:space="preserve"> CEDAW/C/GBR/CO/8, ‘UN CEDAW Committee Concluding Observations on the Eighth Periodic Report of the UK of Great Britain and NI’, 14 March 2019, at para 29.</w:t>
      </w:r>
    </w:p>
  </w:footnote>
  <w:footnote w:id="42">
    <w:p w14:paraId="68B8737D" w14:textId="2A66FF62" w:rsidR="005255D7" w:rsidRPr="00834510" w:rsidRDefault="005255D7" w:rsidP="0045051B">
      <w:pPr>
        <w:pStyle w:val="NIHRCFootnotes"/>
      </w:pPr>
      <w:r w:rsidRPr="00834510">
        <w:rPr>
          <w:rStyle w:val="FootnoteReference"/>
        </w:rPr>
        <w:footnoteRef/>
      </w:r>
      <w:r w:rsidRPr="00834510">
        <w:t xml:space="preserve"> </w:t>
      </w:r>
      <w:bookmarkStart w:id="8" w:name="_Hlk131502137"/>
      <w:r w:rsidRPr="00834510">
        <w:t>CEDAW/C/GC/35, ‘</w:t>
      </w:r>
      <w:bookmarkStart w:id="9" w:name="_Hlk131520614"/>
      <w:r w:rsidR="004F5BC4">
        <w:t>UN CEDAW Committee</w:t>
      </w:r>
      <w:r w:rsidRPr="00834510">
        <w:t xml:space="preserve"> General </w:t>
      </w:r>
      <w:r w:rsidR="004F5BC4">
        <w:t>R</w:t>
      </w:r>
      <w:r w:rsidRPr="00834510">
        <w:t>ecommendation No 35</w:t>
      </w:r>
      <w:r w:rsidR="004F5BC4">
        <w:t>: G</w:t>
      </w:r>
      <w:r w:rsidRPr="00834510">
        <w:t xml:space="preserve">ender-based </w:t>
      </w:r>
      <w:r w:rsidR="004F5BC4">
        <w:t>V</w:t>
      </w:r>
      <w:r w:rsidRPr="00834510">
        <w:t xml:space="preserve">iolence </w:t>
      </w:r>
      <w:r w:rsidR="004F5BC4">
        <w:t>A</w:t>
      </w:r>
      <w:r w:rsidRPr="00834510">
        <w:t xml:space="preserve">gainst </w:t>
      </w:r>
      <w:r w:rsidR="004F5BC4">
        <w:t>W</w:t>
      </w:r>
      <w:r w:rsidRPr="00834510">
        <w:t xml:space="preserve">omen, </w:t>
      </w:r>
      <w:r w:rsidR="004F5BC4">
        <w:t>U</w:t>
      </w:r>
      <w:r w:rsidRPr="00834510">
        <w:t xml:space="preserve">pdating </w:t>
      </w:r>
      <w:r w:rsidR="004F5BC4">
        <w:t>G</w:t>
      </w:r>
      <w:r w:rsidRPr="00834510">
        <w:t xml:space="preserve">eneral </w:t>
      </w:r>
      <w:r w:rsidR="004F5BC4">
        <w:t>R</w:t>
      </w:r>
      <w:r w:rsidRPr="00834510">
        <w:t>ecommendation No 19’</w:t>
      </w:r>
      <w:bookmarkEnd w:id="9"/>
      <w:r w:rsidRPr="00834510">
        <w:t>, 14 July 2017</w:t>
      </w:r>
      <w:r>
        <w:t xml:space="preserve"> at para 29 (d).</w:t>
      </w:r>
      <w:bookmarkEnd w:id="8"/>
    </w:p>
  </w:footnote>
  <w:footnote w:id="43">
    <w:p w14:paraId="1C8FBBFD" w14:textId="6E8C29AA" w:rsidR="00FD4C66" w:rsidRPr="00940617" w:rsidRDefault="00FD4C66" w:rsidP="0045051B">
      <w:pPr>
        <w:pStyle w:val="NIHRCFootnotes"/>
        <w:rPr>
          <w:color w:val="76328A"/>
        </w:rPr>
      </w:pPr>
      <w:r w:rsidRPr="00940617">
        <w:rPr>
          <w:rStyle w:val="FootnoteReference"/>
          <w:color w:val="76328A"/>
        </w:rPr>
        <w:footnoteRef/>
      </w:r>
      <w:r w:rsidRPr="00940617">
        <w:rPr>
          <w:color w:val="76328A"/>
        </w:rPr>
        <w:t xml:space="preserve"> Article 6, CoE Convention on Preventing and Combating Violence Against Women and Domestic Violence 2011.</w:t>
      </w:r>
    </w:p>
  </w:footnote>
  <w:footnote w:id="44">
    <w:p w14:paraId="0E85C2C6" w14:textId="7959C12F" w:rsidR="000E1F52" w:rsidRPr="00940617" w:rsidRDefault="000E1F52" w:rsidP="0045051B">
      <w:pPr>
        <w:pStyle w:val="NIHRCFootnotes"/>
        <w:rPr>
          <w:color w:val="76328A"/>
        </w:rPr>
      </w:pPr>
      <w:r w:rsidRPr="00940617">
        <w:rPr>
          <w:rStyle w:val="FootnoteReference"/>
          <w:color w:val="76328A"/>
        </w:rPr>
        <w:footnoteRef/>
      </w:r>
      <w:r w:rsidRPr="00940617">
        <w:rPr>
          <w:color w:val="76328A"/>
        </w:rPr>
        <w:t xml:space="preserve"> </w:t>
      </w:r>
      <w:r w:rsidR="00CD30A2" w:rsidRPr="00940617">
        <w:rPr>
          <w:color w:val="76328A"/>
        </w:rPr>
        <w:t xml:space="preserve">GREVIO, ‘Mid-term Horizontal Review of GREVIO </w:t>
      </w:r>
      <w:r w:rsidR="00AD293E">
        <w:rPr>
          <w:color w:val="76328A"/>
        </w:rPr>
        <w:t>B</w:t>
      </w:r>
      <w:r w:rsidR="00CD30A2" w:rsidRPr="00940617">
        <w:rPr>
          <w:color w:val="76328A"/>
        </w:rPr>
        <w:t xml:space="preserve">aseline </w:t>
      </w:r>
      <w:r w:rsidR="00AD293E">
        <w:rPr>
          <w:color w:val="76328A"/>
        </w:rPr>
        <w:t>E</w:t>
      </w:r>
      <w:r w:rsidR="00CD30A2" w:rsidRPr="00940617">
        <w:rPr>
          <w:color w:val="76328A"/>
        </w:rPr>
        <w:t xml:space="preserve">valuation </w:t>
      </w:r>
      <w:r w:rsidR="00AD293E">
        <w:rPr>
          <w:color w:val="76328A"/>
        </w:rPr>
        <w:t>R</w:t>
      </w:r>
      <w:r w:rsidR="00CD30A2" w:rsidRPr="00940617">
        <w:rPr>
          <w:color w:val="76328A"/>
        </w:rPr>
        <w:t>eports’</w:t>
      </w:r>
      <w:r w:rsidR="00CA2F78" w:rsidRPr="00940617">
        <w:rPr>
          <w:color w:val="76328A"/>
        </w:rPr>
        <w:t xml:space="preserve"> (CoE, 2022), at</w:t>
      </w:r>
      <w:r w:rsidR="00B6508B" w:rsidRPr="00940617">
        <w:rPr>
          <w:color w:val="76328A"/>
        </w:rPr>
        <w:t xml:space="preserve"> 19. </w:t>
      </w:r>
    </w:p>
  </w:footnote>
  <w:footnote w:id="45">
    <w:p w14:paraId="092B8772" w14:textId="59496507" w:rsidR="00070EEB" w:rsidRDefault="00070EEB" w:rsidP="0045051B">
      <w:pPr>
        <w:pStyle w:val="NIHRCFootnotes"/>
      </w:pPr>
      <w:r w:rsidRPr="00940617">
        <w:rPr>
          <w:rStyle w:val="FootnoteReference"/>
          <w:color w:val="76328A"/>
        </w:rPr>
        <w:footnoteRef/>
      </w:r>
      <w:r w:rsidRPr="00940617">
        <w:rPr>
          <w:color w:val="76328A"/>
        </w:rPr>
        <w:t xml:space="preserve"> GREVIO, ‘1st General Report </w:t>
      </w:r>
      <w:r w:rsidR="00CD6307" w:rsidRPr="00940617">
        <w:rPr>
          <w:color w:val="76328A"/>
        </w:rPr>
        <w:t>o</w:t>
      </w:r>
      <w:r w:rsidRPr="00940617">
        <w:rPr>
          <w:color w:val="76328A"/>
        </w:rPr>
        <w:t>n G</w:t>
      </w:r>
      <w:r w:rsidR="00252E07" w:rsidRPr="00940617">
        <w:rPr>
          <w:color w:val="76328A"/>
        </w:rPr>
        <w:t>REVIO</w:t>
      </w:r>
      <w:r w:rsidRPr="00940617">
        <w:rPr>
          <w:color w:val="76328A"/>
        </w:rPr>
        <w:t>’s Activities</w:t>
      </w:r>
      <w:r w:rsidR="00CD6307" w:rsidRPr="00940617">
        <w:rPr>
          <w:color w:val="76328A"/>
        </w:rPr>
        <w:t xml:space="preserve">’ (CoE,2020), at 25. </w:t>
      </w:r>
    </w:p>
  </w:footnote>
  <w:footnote w:id="46">
    <w:p w14:paraId="5CD41948" w14:textId="3F3D56D1" w:rsidR="00252E07" w:rsidRPr="00940617" w:rsidRDefault="00252E07" w:rsidP="0045051B">
      <w:pPr>
        <w:pStyle w:val="NIHRCFootnotes"/>
        <w:rPr>
          <w:color w:val="76328A"/>
        </w:rPr>
      </w:pPr>
      <w:r w:rsidRPr="00940617">
        <w:rPr>
          <w:rStyle w:val="FootnoteReference"/>
          <w:color w:val="76328A"/>
        </w:rPr>
        <w:footnoteRef/>
      </w:r>
      <w:r w:rsidRPr="00940617">
        <w:rPr>
          <w:color w:val="76328A"/>
        </w:rPr>
        <w:t xml:space="preserve"> </w:t>
      </w:r>
      <w:r w:rsidR="00D97797">
        <w:rPr>
          <w:color w:val="76328A"/>
        </w:rPr>
        <w:t>Ibid.</w:t>
      </w:r>
    </w:p>
  </w:footnote>
  <w:footnote w:id="47">
    <w:p w14:paraId="5CE08EEB" w14:textId="310D38B5" w:rsidR="000823EE" w:rsidRPr="00940617" w:rsidRDefault="000823EE" w:rsidP="0045051B">
      <w:pPr>
        <w:pStyle w:val="NIHRCFootnotes"/>
        <w:rPr>
          <w:color w:val="76328A"/>
        </w:rPr>
      </w:pPr>
      <w:r w:rsidRPr="00940617">
        <w:rPr>
          <w:rStyle w:val="FootnoteReference"/>
          <w:color w:val="76328A"/>
        </w:rPr>
        <w:footnoteRef/>
      </w:r>
      <w:r w:rsidRPr="00940617">
        <w:rPr>
          <w:color w:val="76328A"/>
        </w:rPr>
        <w:t xml:space="preserve"> </w:t>
      </w:r>
      <w:r w:rsidR="00434EC0" w:rsidRPr="00940617">
        <w:rPr>
          <w:color w:val="76328A"/>
          <w:lang w:val="en-US"/>
        </w:rPr>
        <w:t>A/Res/48/104, ‘</w:t>
      </w:r>
      <w:r w:rsidR="002414B0" w:rsidRPr="00940617">
        <w:rPr>
          <w:color w:val="76328A"/>
          <w:lang w:val="en-US"/>
        </w:rPr>
        <w:t>UN General Assembly Declaration on the Elimination of Violence against Women</w:t>
      </w:r>
      <w:r w:rsidR="00434EC0" w:rsidRPr="00940617">
        <w:rPr>
          <w:color w:val="76328A"/>
          <w:lang w:val="en-US"/>
        </w:rPr>
        <w:t>’</w:t>
      </w:r>
      <w:r w:rsidR="002414B0" w:rsidRPr="00940617">
        <w:rPr>
          <w:color w:val="76328A"/>
          <w:lang w:val="en-US"/>
        </w:rPr>
        <w:t>, 1993,</w:t>
      </w:r>
      <w:r w:rsidR="00AD293E">
        <w:rPr>
          <w:color w:val="76328A"/>
          <w:lang w:val="en-US"/>
        </w:rPr>
        <w:t xml:space="preserve"> at</w:t>
      </w:r>
      <w:r w:rsidR="002414B0" w:rsidRPr="00940617">
        <w:rPr>
          <w:color w:val="76328A"/>
          <w:lang w:val="en-US"/>
        </w:rPr>
        <w:t xml:space="preserve"> Article 4(f).</w:t>
      </w:r>
    </w:p>
  </w:footnote>
  <w:footnote w:id="48">
    <w:p w14:paraId="4D9A0B25" w14:textId="4618A0CB" w:rsidR="006E3ADC" w:rsidRDefault="006E3ADC" w:rsidP="0045051B">
      <w:pPr>
        <w:pStyle w:val="NIHRCFootnotes"/>
      </w:pPr>
      <w:r>
        <w:rPr>
          <w:rStyle w:val="FootnoteReference"/>
        </w:rPr>
        <w:footnoteRef/>
      </w:r>
      <w:r>
        <w:t xml:space="preserve"> </w:t>
      </w:r>
      <w:r w:rsidRPr="00940617">
        <w:t xml:space="preserve">Recitals 17 and 18, Directive 2012/29/EU, ‘Directive of the European Parliament and of the Council establishing </w:t>
      </w:r>
      <w:r>
        <w:t>M</w:t>
      </w:r>
      <w:r w:rsidRPr="00940617">
        <w:t xml:space="preserve">inimum </w:t>
      </w:r>
      <w:r>
        <w:t>S</w:t>
      </w:r>
      <w:r w:rsidRPr="00940617">
        <w:t xml:space="preserve">tandards on the </w:t>
      </w:r>
      <w:r>
        <w:t>R</w:t>
      </w:r>
      <w:r w:rsidRPr="00940617">
        <w:t xml:space="preserve">ights, </w:t>
      </w:r>
      <w:r>
        <w:t>S</w:t>
      </w:r>
      <w:r w:rsidRPr="00940617">
        <w:t xml:space="preserve">upport and </w:t>
      </w:r>
      <w:r>
        <w:t>P</w:t>
      </w:r>
      <w:r w:rsidRPr="00940617">
        <w:t xml:space="preserve">rotection of </w:t>
      </w:r>
      <w:r>
        <w:t>V</w:t>
      </w:r>
      <w:r w:rsidRPr="00940617">
        <w:t xml:space="preserve">ictims of </w:t>
      </w:r>
      <w:r>
        <w:t>C</w:t>
      </w:r>
      <w:r w:rsidRPr="00940617">
        <w:t>rime’, 25 October 2012.</w:t>
      </w:r>
    </w:p>
  </w:footnote>
  <w:footnote w:id="49">
    <w:p w14:paraId="71B43373" w14:textId="4992DC4D" w:rsidR="00F61662" w:rsidRPr="00940617" w:rsidRDefault="00F61662" w:rsidP="0045051B">
      <w:pPr>
        <w:pStyle w:val="NIHRCFootnotes"/>
      </w:pPr>
      <w:r w:rsidRPr="00940617">
        <w:rPr>
          <w:rStyle w:val="FootnoteReference"/>
          <w:color w:val="76328A"/>
        </w:rPr>
        <w:footnoteRef/>
      </w:r>
      <w:r w:rsidRPr="00940617">
        <w:t xml:space="preserve"> </w:t>
      </w:r>
      <w:r w:rsidR="006E3ADC">
        <w:t>Ibid</w:t>
      </w:r>
      <w:r w:rsidR="001D678E">
        <w:t>.</w:t>
      </w:r>
    </w:p>
  </w:footnote>
  <w:footnote w:id="50">
    <w:p w14:paraId="50CBA2D4" w14:textId="74D155A0" w:rsidR="00121D4F" w:rsidRPr="00121D4F" w:rsidRDefault="00121D4F" w:rsidP="0045051B">
      <w:pPr>
        <w:pStyle w:val="NIHRCFootnotes"/>
      </w:pPr>
      <w:r>
        <w:rPr>
          <w:rStyle w:val="FootnoteReference"/>
        </w:rPr>
        <w:footnoteRef/>
      </w:r>
      <w:r>
        <w:t xml:space="preserve"> </w:t>
      </w:r>
      <w:r w:rsidRPr="00940617">
        <w:t>Recital</w:t>
      </w:r>
      <w:r>
        <w:t xml:space="preserve"> </w:t>
      </w:r>
      <w:r w:rsidRPr="00940617">
        <w:t xml:space="preserve">18, Directive 2012/29/EU, ‘Directive of the European Parliament and of the Council establishing </w:t>
      </w:r>
      <w:r>
        <w:t>M</w:t>
      </w:r>
      <w:r w:rsidRPr="00940617">
        <w:t xml:space="preserve">inimum </w:t>
      </w:r>
      <w:r>
        <w:t>S</w:t>
      </w:r>
      <w:r w:rsidRPr="00940617">
        <w:t xml:space="preserve">tandards on the </w:t>
      </w:r>
      <w:r>
        <w:t>R</w:t>
      </w:r>
      <w:r w:rsidRPr="00940617">
        <w:t xml:space="preserve">ights, </w:t>
      </w:r>
      <w:r>
        <w:t>S</w:t>
      </w:r>
      <w:r w:rsidRPr="00940617">
        <w:t xml:space="preserve">upport and </w:t>
      </w:r>
      <w:r>
        <w:t>P</w:t>
      </w:r>
      <w:r w:rsidRPr="00940617">
        <w:t xml:space="preserve">rotection of </w:t>
      </w:r>
      <w:r>
        <w:t>V</w:t>
      </w:r>
      <w:r w:rsidRPr="00940617">
        <w:t xml:space="preserve">ictims of </w:t>
      </w:r>
      <w:r>
        <w:t>C</w:t>
      </w:r>
      <w:r w:rsidRPr="00940617">
        <w:t>rime’, 25 October 2012.</w:t>
      </w:r>
    </w:p>
  </w:footnote>
  <w:footnote w:id="51">
    <w:p w14:paraId="2926C59B" w14:textId="597C25B1" w:rsidR="00F61662" w:rsidRDefault="00F61662" w:rsidP="0045051B">
      <w:pPr>
        <w:pStyle w:val="NIHRCFootnotes"/>
      </w:pPr>
      <w:r w:rsidRPr="00940617">
        <w:rPr>
          <w:rStyle w:val="FootnoteReference"/>
          <w:color w:val="76328A"/>
        </w:rPr>
        <w:footnoteRef/>
      </w:r>
      <w:r w:rsidRPr="00940617">
        <w:rPr>
          <w:color w:val="76328A"/>
        </w:rPr>
        <w:t xml:space="preserve"> Articles 22 and 23, Directive 2012/29/EU, ‘Directive of the European Parliament and of the Council </w:t>
      </w:r>
      <w:r w:rsidR="00E307E6">
        <w:rPr>
          <w:color w:val="76328A"/>
        </w:rPr>
        <w:t>E</w:t>
      </w:r>
      <w:r w:rsidRPr="00940617">
        <w:rPr>
          <w:color w:val="76328A"/>
        </w:rPr>
        <w:t xml:space="preserve">stablishing </w:t>
      </w:r>
      <w:r w:rsidR="00E307E6">
        <w:rPr>
          <w:color w:val="76328A"/>
        </w:rPr>
        <w:t>M</w:t>
      </w:r>
      <w:r w:rsidRPr="00940617">
        <w:rPr>
          <w:color w:val="76328A"/>
        </w:rPr>
        <w:t xml:space="preserve">inimum </w:t>
      </w:r>
      <w:r w:rsidR="00E307E6">
        <w:rPr>
          <w:color w:val="76328A"/>
        </w:rPr>
        <w:t>S</w:t>
      </w:r>
      <w:r w:rsidRPr="00940617">
        <w:rPr>
          <w:color w:val="76328A"/>
        </w:rPr>
        <w:t xml:space="preserve">tandards on the </w:t>
      </w:r>
      <w:r w:rsidR="00E307E6">
        <w:rPr>
          <w:color w:val="76328A"/>
        </w:rPr>
        <w:t>R</w:t>
      </w:r>
      <w:r w:rsidRPr="00940617">
        <w:rPr>
          <w:color w:val="76328A"/>
        </w:rPr>
        <w:t xml:space="preserve">ights, </w:t>
      </w:r>
      <w:r w:rsidR="00E307E6">
        <w:rPr>
          <w:color w:val="76328A"/>
        </w:rPr>
        <w:t>S</w:t>
      </w:r>
      <w:r w:rsidRPr="00940617">
        <w:rPr>
          <w:color w:val="76328A"/>
        </w:rPr>
        <w:t xml:space="preserve">upport and </w:t>
      </w:r>
      <w:r w:rsidR="00E307E6">
        <w:rPr>
          <w:color w:val="76328A"/>
        </w:rPr>
        <w:t>P</w:t>
      </w:r>
      <w:r w:rsidRPr="00940617">
        <w:rPr>
          <w:color w:val="76328A"/>
        </w:rPr>
        <w:t xml:space="preserve">rotection of </w:t>
      </w:r>
      <w:r w:rsidR="00E307E6">
        <w:rPr>
          <w:color w:val="76328A"/>
        </w:rPr>
        <w:t>V</w:t>
      </w:r>
      <w:r w:rsidRPr="00940617">
        <w:rPr>
          <w:color w:val="76328A"/>
        </w:rPr>
        <w:t xml:space="preserve">ictims of </w:t>
      </w:r>
      <w:r w:rsidR="00E307E6">
        <w:rPr>
          <w:color w:val="76328A"/>
        </w:rPr>
        <w:t>C</w:t>
      </w:r>
      <w:r w:rsidRPr="00940617">
        <w:rPr>
          <w:color w:val="76328A"/>
        </w:rPr>
        <w:t>rime’, 25 October 2012.</w:t>
      </w:r>
    </w:p>
  </w:footnote>
  <w:footnote w:id="52">
    <w:p w14:paraId="6A91298A" w14:textId="77777777" w:rsidR="004716F9" w:rsidRPr="00544DF7" w:rsidRDefault="004716F9" w:rsidP="0045051B">
      <w:pPr>
        <w:pStyle w:val="NIHRCFootnotes"/>
        <w:rPr>
          <w:color w:val="76328A"/>
        </w:rPr>
      </w:pPr>
      <w:r w:rsidRPr="006A38E3">
        <w:rPr>
          <w:rStyle w:val="FootnoteReference"/>
          <w:color w:val="76328A"/>
        </w:rPr>
        <w:footnoteRef/>
      </w:r>
      <w:r w:rsidRPr="006A38E3">
        <w:rPr>
          <w:color w:val="76328A"/>
        </w:rPr>
        <w:t xml:space="preserve"> </w:t>
      </w:r>
      <w:bookmarkStart w:id="10" w:name="_Hlk131518711"/>
      <w:r w:rsidRPr="006A38E3">
        <w:rPr>
          <w:color w:val="76328A"/>
        </w:rPr>
        <w:t xml:space="preserve">Department of Health and Department of Justice, ‘Draft Domestic and Sexual Abuse Strategy: 2023-2030’, (DOH and DOJ, 2023) at 18. </w:t>
      </w:r>
      <w:bookmarkEnd w:id="10"/>
    </w:p>
  </w:footnote>
  <w:footnote w:id="53">
    <w:p w14:paraId="7F4FFE66" w14:textId="2B59DD82" w:rsidR="008E2C6D" w:rsidRPr="00FE4383" w:rsidRDefault="008E2C6D" w:rsidP="0045051B">
      <w:pPr>
        <w:pStyle w:val="NIHRCFootnotes"/>
        <w:rPr>
          <w:color w:val="76328A"/>
        </w:rPr>
      </w:pPr>
      <w:r w:rsidRPr="00FE4383">
        <w:rPr>
          <w:rStyle w:val="FootnoteReference"/>
          <w:color w:val="76328A"/>
        </w:rPr>
        <w:footnoteRef/>
      </w:r>
      <w:r w:rsidRPr="00FE4383">
        <w:rPr>
          <w:color w:val="76328A"/>
        </w:rPr>
        <w:t xml:space="preserve"> Police Service NI, ‘Trends in Domestic Abuse Incidents and Crimes Recorded by the Police in NI 2004/2005 to 2020/2021’ (PSNI</w:t>
      </w:r>
      <w:r w:rsidR="005A5DFE">
        <w:rPr>
          <w:color w:val="76328A"/>
        </w:rPr>
        <w:t>,</w:t>
      </w:r>
      <w:r w:rsidRPr="00FE4383">
        <w:rPr>
          <w:color w:val="76328A"/>
        </w:rPr>
        <w:t xml:space="preserve"> 2021), at para 5.</w:t>
      </w:r>
    </w:p>
  </w:footnote>
  <w:footnote w:id="54">
    <w:p w14:paraId="6DBB495B" w14:textId="56A7E5F0" w:rsidR="006A38E3" w:rsidRPr="00661AB1" w:rsidRDefault="006A38E3" w:rsidP="0045051B">
      <w:pPr>
        <w:pStyle w:val="NIHRCFootnotes"/>
        <w:rPr>
          <w:color w:val="76328A"/>
          <w:lang w:val="en-US"/>
        </w:rPr>
      </w:pPr>
      <w:r w:rsidRPr="00661AB1">
        <w:rPr>
          <w:rStyle w:val="FootnoteReference"/>
          <w:color w:val="76328A"/>
        </w:rPr>
        <w:footnoteRef/>
      </w:r>
      <w:r w:rsidR="001946A2">
        <w:rPr>
          <w:color w:val="76328A"/>
        </w:rPr>
        <w:t xml:space="preserve"> </w:t>
      </w:r>
      <w:r w:rsidRPr="00661AB1">
        <w:rPr>
          <w:color w:val="76328A"/>
        </w:rPr>
        <w:t>CEDAW/C/GC/30, ‘</w:t>
      </w:r>
      <w:r w:rsidRPr="00661AB1">
        <w:rPr>
          <w:color w:val="76328A"/>
          <w:lang w:val="en-US"/>
        </w:rPr>
        <w:t xml:space="preserve">UN CEDAW Committee, General Recommendation </w:t>
      </w:r>
      <w:r w:rsidR="00E307E6">
        <w:rPr>
          <w:color w:val="76328A"/>
          <w:lang w:val="en-US"/>
        </w:rPr>
        <w:t>No</w:t>
      </w:r>
      <w:r w:rsidRPr="00661AB1">
        <w:rPr>
          <w:color w:val="76328A"/>
          <w:lang w:val="en-US"/>
        </w:rPr>
        <w:t xml:space="preserve"> 30</w:t>
      </w:r>
      <w:r w:rsidR="001946A2">
        <w:rPr>
          <w:color w:val="76328A"/>
          <w:lang w:val="en-US"/>
        </w:rPr>
        <w:t xml:space="preserve">: </w:t>
      </w:r>
      <w:r w:rsidRPr="00661AB1">
        <w:rPr>
          <w:color w:val="76328A"/>
          <w:lang w:val="en-US"/>
        </w:rPr>
        <w:t>Women in Conflict Prevention, Conflict and Post-Conflict Situations’, 1 Nov 2013, at para 4.</w:t>
      </w:r>
      <w:r w:rsidRPr="00661AB1">
        <w:rPr>
          <w:color w:val="76328A"/>
        </w:rPr>
        <w:t xml:space="preserve"> </w:t>
      </w:r>
    </w:p>
  </w:footnote>
  <w:footnote w:id="55">
    <w:p w14:paraId="44FA0C2A" w14:textId="76FCC2C8" w:rsidR="006A38E3" w:rsidRDefault="006A38E3" w:rsidP="0045051B">
      <w:pPr>
        <w:pStyle w:val="NIHRCFootnotes"/>
      </w:pPr>
      <w:r w:rsidRPr="00661AB1">
        <w:rPr>
          <w:rStyle w:val="FootnoteReference"/>
          <w:color w:val="76328A"/>
        </w:rPr>
        <w:footnoteRef/>
      </w:r>
      <w:r w:rsidRPr="00661AB1">
        <w:rPr>
          <w:color w:val="76328A"/>
        </w:rPr>
        <w:t xml:space="preserve"> </w:t>
      </w:r>
      <w:r w:rsidR="00C633F2">
        <w:rPr>
          <w:color w:val="76328A"/>
        </w:rPr>
        <w:t>Ibid</w:t>
      </w:r>
      <w:r w:rsidRPr="00661AB1">
        <w:rPr>
          <w:color w:val="76328A"/>
          <w:lang w:val="en-US"/>
        </w:rPr>
        <w:t>, at para 35.</w:t>
      </w:r>
    </w:p>
  </w:footnote>
  <w:footnote w:id="56">
    <w:p w14:paraId="47B17482" w14:textId="046D5839" w:rsidR="006A38E3" w:rsidRPr="00661AB1" w:rsidRDefault="006A38E3" w:rsidP="0045051B">
      <w:pPr>
        <w:pStyle w:val="NIHRCFootnotes"/>
      </w:pPr>
      <w:r w:rsidRPr="00661AB1">
        <w:rPr>
          <w:rStyle w:val="FootnoteReference"/>
          <w:color w:val="76328A"/>
        </w:rPr>
        <w:footnoteRef/>
      </w:r>
      <w:r w:rsidRPr="00661AB1">
        <w:rPr>
          <w:color w:val="76328A"/>
        </w:rPr>
        <w:t xml:space="preserve"> </w:t>
      </w:r>
      <w:r w:rsidR="005A5DFE">
        <w:rPr>
          <w:color w:val="76328A"/>
        </w:rPr>
        <w:t xml:space="preserve">CoE </w:t>
      </w:r>
      <w:r w:rsidRPr="00661AB1">
        <w:rPr>
          <w:color w:val="76328A"/>
          <w:lang w:val="en-US"/>
        </w:rPr>
        <w:t>Istanbul Convention, Preamble.</w:t>
      </w:r>
    </w:p>
  </w:footnote>
  <w:footnote w:id="57">
    <w:p w14:paraId="5D6F4118" w14:textId="3FAD1201" w:rsidR="00FE592C" w:rsidRDefault="00FE592C" w:rsidP="0045051B">
      <w:pPr>
        <w:pStyle w:val="NIHRCFootnotes"/>
      </w:pPr>
      <w:r>
        <w:rPr>
          <w:rStyle w:val="FootnoteReference"/>
        </w:rPr>
        <w:footnoteRef/>
      </w:r>
      <w:r>
        <w:t xml:space="preserve"> Article 2(1), UN ICCPR.</w:t>
      </w:r>
    </w:p>
  </w:footnote>
  <w:footnote w:id="58">
    <w:p w14:paraId="7FA5EDF2" w14:textId="264BA4B9" w:rsidR="005E220C" w:rsidRDefault="005E220C" w:rsidP="0045051B">
      <w:pPr>
        <w:pStyle w:val="NIHRCFootnotes"/>
      </w:pPr>
      <w:r>
        <w:rPr>
          <w:rStyle w:val="FootnoteReference"/>
        </w:rPr>
        <w:footnoteRef/>
      </w:r>
      <w:r>
        <w:t xml:space="preserve"> </w:t>
      </w:r>
      <w:r w:rsidR="005F72B9">
        <w:t>CCPR/C/21/Rev.1/Add.13, ‘</w:t>
      </w:r>
      <w:r w:rsidR="00621DD7">
        <w:t xml:space="preserve">UN Human Rights Committee General Comment No 31: Nature of the General Legal Obligation Imposed on States Parties to the UN ICCPR’, 29 March 2004, at para </w:t>
      </w:r>
      <w:r w:rsidR="00175932">
        <w:t>5.</w:t>
      </w:r>
    </w:p>
  </w:footnote>
  <w:footnote w:id="59">
    <w:p w14:paraId="4D5E93D2" w14:textId="05CD5DEA" w:rsidR="0045051B" w:rsidRDefault="0045051B" w:rsidP="0045051B">
      <w:pPr>
        <w:pStyle w:val="NIHRCFootnotes"/>
      </w:pPr>
      <w:r>
        <w:rPr>
          <w:rStyle w:val="FootnoteReference"/>
        </w:rPr>
        <w:footnoteRef/>
      </w:r>
      <w:r>
        <w:t xml:space="preserve"> </w:t>
      </w:r>
      <w:r w:rsidR="00C633F2">
        <w:t>Ibid</w:t>
      </w:r>
      <w:r>
        <w:t>, at para 6.</w:t>
      </w:r>
    </w:p>
  </w:footnote>
  <w:footnote w:id="60">
    <w:p w14:paraId="2BD95C59" w14:textId="25C52AAB" w:rsidR="0045051B" w:rsidRDefault="0045051B" w:rsidP="0045051B">
      <w:pPr>
        <w:pStyle w:val="NIHRCFootnotes"/>
      </w:pPr>
      <w:r>
        <w:rPr>
          <w:rStyle w:val="FootnoteReference"/>
        </w:rPr>
        <w:footnoteRef/>
      </w:r>
      <w:r>
        <w:t xml:space="preserve"> </w:t>
      </w:r>
      <w:r w:rsidR="00C633F2">
        <w:t>Ibid</w:t>
      </w:r>
      <w:r>
        <w:t>, at para 7.</w:t>
      </w:r>
    </w:p>
  </w:footnote>
  <w:footnote w:id="61">
    <w:p w14:paraId="11CE273C" w14:textId="77777777" w:rsidR="007C5475" w:rsidRDefault="007C5475" w:rsidP="007C5475">
      <w:pPr>
        <w:pStyle w:val="NIHRCFootnotes"/>
      </w:pPr>
      <w:r>
        <w:rPr>
          <w:rStyle w:val="FootnoteReference"/>
        </w:rPr>
        <w:footnoteRef/>
      </w:r>
      <w:r>
        <w:t xml:space="preserve"> Article 2(2), UN ICESCR; Article 4(2), UN CRPD.</w:t>
      </w:r>
    </w:p>
  </w:footnote>
  <w:footnote w:id="62">
    <w:p w14:paraId="66462B91" w14:textId="06B1473A" w:rsidR="00B5562A" w:rsidRPr="000C11F9" w:rsidRDefault="00B5562A" w:rsidP="00B5562A">
      <w:pPr>
        <w:pStyle w:val="NIHRCFootnotes"/>
        <w:rPr>
          <w:color w:val="76328A"/>
        </w:rPr>
      </w:pPr>
      <w:r w:rsidRPr="000C11F9">
        <w:rPr>
          <w:rStyle w:val="FootnoteReference"/>
          <w:color w:val="76328A"/>
        </w:rPr>
        <w:footnoteRef/>
      </w:r>
      <w:r w:rsidRPr="000C11F9">
        <w:rPr>
          <w:color w:val="76328A"/>
        </w:rPr>
        <w:t xml:space="preserve"> E/1991/23, </w:t>
      </w:r>
      <w:r w:rsidR="005A5DFE">
        <w:rPr>
          <w:color w:val="76328A"/>
        </w:rPr>
        <w:t xml:space="preserve">‘UN ICESCR Committee </w:t>
      </w:r>
      <w:r w:rsidRPr="000C11F9">
        <w:rPr>
          <w:color w:val="76328A"/>
        </w:rPr>
        <w:t>General Comment No 3: The Nature of States Parties’ Obligations’</w:t>
      </w:r>
      <w:r w:rsidR="00BC45D1">
        <w:rPr>
          <w:color w:val="76328A"/>
        </w:rPr>
        <w:t>, 14 December</w:t>
      </w:r>
      <w:r w:rsidRPr="000C11F9">
        <w:rPr>
          <w:color w:val="76328A"/>
        </w:rPr>
        <w:t xml:space="preserve"> 1990, at para 10.</w:t>
      </w:r>
    </w:p>
  </w:footnote>
  <w:footnote w:id="63">
    <w:p w14:paraId="3AEF101A" w14:textId="33CA0E4B" w:rsidR="005313A3" w:rsidRDefault="005313A3" w:rsidP="005313A3">
      <w:pPr>
        <w:pStyle w:val="NIHRCFootnotes"/>
      </w:pPr>
      <w:r w:rsidRPr="000C11F9">
        <w:rPr>
          <w:rStyle w:val="FootnoteReference"/>
          <w:color w:val="76328A"/>
        </w:rPr>
        <w:footnoteRef/>
      </w:r>
      <w:r w:rsidRPr="000C11F9">
        <w:rPr>
          <w:color w:val="76328A"/>
        </w:rPr>
        <w:t xml:space="preserve"> </w:t>
      </w:r>
      <w:r w:rsidR="00BC45D1" w:rsidRPr="000C11F9">
        <w:rPr>
          <w:color w:val="76328A"/>
        </w:rPr>
        <w:t xml:space="preserve">E/1991/23, </w:t>
      </w:r>
      <w:r w:rsidR="00BC45D1">
        <w:rPr>
          <w:color w:val="76328A"/>
        </w:rPr>
        <w:t xml:space="preserve">‘UN ICESCR Committee </w:t>
      </w:r>
      <w:r w:rsidR="00BC45D1" w:rsidRPr="000C11F9">
        <w:rPr>
          <w:color w:val="76328A"/>
        </w:rPr>
        <w:t>General Comment No 3: The Nature of States Parties’ Obligations’</w:t>
      </w:r>
      <w:r w:rsidR="00BC45D1">
        <w:rPr>
          <w:color w:val="76328A"/>
        </w:rPr>
        <w:t>, 14 December</w:t>
      </w:r>
      <w:r w:rsidR="00BC45D1" w:rsidRPr="000C11F9">
        <w:rPr>
          <w:color w:val="76328A"/>
        </w:rPr>
        <w:t xml:space="preserve"> 1990, at </w:t>
      </w:r>
      <w:r w:rsidRPr="000C11F9">
        <w:rPr>
          <w:color w:val="76328A"/>
        </w:rPr>
        <w:t>para 9.</w:t>
      </w:r>
    </w:p>
  </w:footnote>
  <w:footnote w:id="64">
    <w:p w14:paraId="235A25FC" w14:textId="77777777" w:rsidR="000C11F9" w:rsidRPr="00661AB1" w:rsidRDefault="000C11F9" w:rsidP="0045051B">
      <w:pPr>
        <w:pStyle w:val="NIHRCFootnotes"/>
      </w:pPr>
      <w:r w:rsidRPr="00661AB1">
        <w:rPr>
          <w:vertAlign w:val="superscript"/>
        </w:rPr>
        <w:footnoteRef/>
      </w:r>
      <w:r w:rsidRPr="00661AB1">
        <w:rPr>
          <w:vertAlign w:val="superscript"/>
        </w:rPr>
        <w:t xml:space="preserve"> </w:t>
      </w:r>
      <w:r w:rsidRPr="00661AB1">
        <w:t xml:space="preserve">UN Human Rights Office of the High Commissioner, ‘Realising Human Rights Through Government Budget’ (OHCHR, 2017). </w:t>
      </w:r>
    </w:p>
  </w:footnote>
  <w:footnote w:id="65">
    <w:p w14:paraId="38DFDDDD" w14:textId="1F7C8240" w:rsidR="0035128C" w:rsidRPr="0035128C" w:rsidRDefault="0035128C" w:rsidP="0045051B">
      <w:pPr>
        <w:pStyle w:val="NIHRCFootnotes"/>
      </w:pPr>
      <w:r w:rsidRPr="0035128C">
        <w:rPr>
          <w:rStyle w:val="FootnoteReference"/>
          <w:color w:val="76328A"/>
        </w:rPr>
        <w:footnoteRef/>
      </w:r>
      <w:r w:rsidRPr="0035128C">
        <w:rPr>
          <w:color w:val="76328A"/>
        </w:rPr>
        <w:t xml:space="preserve"> Department of Health and Department of Justice, ‘Draft Domestic and Sexual Abuse Strategy: 2023-2030’ (D</w:t>
      </w:r>
      <w:r w:rsidR="00BC45D1">
        <w:rPr>
          <w:color w:val="76328A"/>
        </w:rPr>
        <w:t>o</w:t>
      </w:r>
      <w:r w:rsidRPr="0035128C">
        <w:rPr>
          <w:color w:val="76328A"/>
        </w:rPr>
        <w:t>H and D</w:t>
      </w:r>
      <w:r w:rsidR="00BC45D1">
        <w:rPr>
          <w:color w:val="76328A"/>
        </w:rPr>
        <w:t>o</w:t>
      </w:r>
      <w:r w:rsidRPr="0035128C">
        <w:rPr>
          <w:color w:val="76328A"/>
        </w:rPr>
        <w:t>J, 2023) at 35.</w:t>
      </w:r>
    </w:p>
  </w:footnote>
  <w:footnote w:id="66">
    <w:p w14:paraId="26E2203C" w14:textId="52452BFE" w:rsidR="002671EE" w:rsidRPr="002671EE" w:rsidRDefault="002671EE" w:rsidP="0045051B">
      <w:pPr>
        <w:pStyle w:val="NIHRCFootnotes"/>
      </w:pPr>
      <w:r w:rsidRPr="002671EE">
        <w:rPr>
          <w:rStyle w:val="FootnoteReference"/>
          <w:color w:val="76328A"/>
        </w:rPr>
        <w:footnoteRef/>
      </w:r>
      <w:r w:rsidRPr="002671EE">
        <w:rPr>
          <w:color w:val="76328A"/>
        </w:rPr>
        <w:t xml:space="preserve"> </w:t>
      </w:r>
      <w:r w:rsidR="00CF5D7F">
        <w:rPr>
          <w:color w:val="76328A"/>
        </w:rPr>
        <w:t>Ibid.</w:t>
      </w:r>
    </w:p>
  </w:footnote>
  <w:footnote w:id="67">
    <w:p w14:paraId="28762AB2" w14:textId="77777777" w:rsidR="00B873C1" w:rsidRPr="00661AB1" w:rsidRDefault="00B873C1" w:rsidP="0045051B">
      <w:pPr>
        <w:pStyle w:val="NIHRCFootnotes"/>
        <w:rPr>
          <w:color w:val="76328A"/>
        </w:rPr>
      </w:pPr>
      <w:r w:rsidRPr="00661AB1">
        <w:rPr>
          <w:rStyle w:val="FootnoteReference"/>
          <w:color w:val="76328A"/>
        </w:rPr>
        <w:footnoteRef/>
      </w:r>
      <w:r w:rsidRPr="00661AB1">
        <w:rPr>
          <w:color w:val="76328A"/>
        </w:rPr>
        <w:t xml:space="preserve"> CEDAW/C/GBR/CO/8, ‘UN CEDAW Committee Concluding Observations on the Eighth Periodic Report of the UK of Great Britain and NI’, 14 March 2019, at para 26(d).</w:t>
      </w:r>
    </w:p>
  </w:footnote>
  <w:footnote w:id="68">
    <w:p w14:paraId="5850B9D1" w14:textId="6351B246" w:rsidR="00B873C1" w:rsidRDefault="00B873C1" w:rsidP="0045051B">
      <w:pPr>
        <w:pStyle w:val="NIHRCFootnotes"/>
      </w:pPr>
      <w:r w:rsidRPr="00661AB1">
        <w:rPr>
          <w:rStyle w:val="FootnoteReference"/>
          <w:color w:val="76328A"/>
        </w:rPr>
        <w:footnoteRef/>
      </w:r>
      <w:r w:rsidRPr="00661AB1">
        <w:rPr>
          <w:color w:val="76328A"/>
        </w:rPr>
        <w:t xml:space="preserve"> CEDAW/C/GC/35, ‘Committee on the Elimination of Discrimination against Women General </w:t>
      </w:r>
      <w:r w:rsidR="007A7653">
        <w:rPr>
          <w:color w:val="76328A"/>
        </w:rPr>
        <w:t>R</w:t>
      </w:r>
      <w:r w:rsidRPr="00661AB1">
        <w:rPr>
          <w:color w:val="76328A"/>
        </w:rPr>
        <w:t>ecommendation No 35</w:t>
      </w:r>
      <w:r w:rsidR="00326F56">
        <w:rPr>
          <w:color w:val="76328A"/>
        </w:rPr>
        <w:t>:</w:t>
      </w:r>
      <w:r w:rsidRPr="00661AB1">
        <w:rPr>
          <w:color w:val="76328A"/>
        </w:rPr>
        <w:t xml:space="preserve"> </w:t>
      </w:r>
      <w:r w:rsidR="007F5544">
        <w:rPr>
          <w:color w:val="76328A"/>
        </w:rPr>
        <w:t>G</w:t>
      </w:r>
      <w:r w:rsidRPr="00661AB1">
        <w:rPr>
          <w:color w:val="76328A"/>
        </w:rPr>
        <w:t>ender-</w:t>
      </w:r>
      <w:r w:rsidR="007F5544">
        <w:rPr>
          <w:color w:val="76328A"/>
        </w:rPr>
        <w:t>B</w:t>
      </w:r>
      <w:r w:rsidRPr="00661AB1">
        <w:rPr>
          <w:color w:val="76328A"/>
        </w:rPr>
        <w:t xml:space="preserve">ased </w:t>
      </w:r>
      <w:r w:rsidR="007F5544">
        <w:rPr>
          <w:color w:val="76328A"/>
        </w:rPr>
        <w:t>V</w:t>
      </w:r>
      <w:r w:rsidRPr="00661AB1">
        <w:rPr>
          <w:color w:val="76328A"/>
        </w:rPr>
        <w:t xml:space="preserve">iolence </w:t>
      </w:r>
      <w:r w:rsidR="007F5544">
        <w:rPr>
          <w:color w:val="76328A"/>
        </w:rPr>
        <w:t>A</w:t>
      </w:r>
      <w:r w:rsidRPr="00661AB1">
        <w:rPr>
          <w:color w:val="76328A"/>
        </w:rPr>
        <w:t xml:space="preserve">gainst </w:t>
      </w:r>
      <w:r w:rsidR="007F5544">
        <w:rPr>
          <w:color w:val="76328A"/>
        </w:rPr>
        <w:t>W</w:t>
      </w:r>
      <w:r w:rsidRPr="00661AB1">
        <w:rPr>
          <w:color w:val="76328A"/>
        </w:rPr>
        <w:t xml:space="preserve">omen, </w:t>
      </w:r>
      <w:r w:rsidR="007F5544">
        <w:rPr>
          <w:color w:val="76328A"/>
        </w:rPr>
        <w:t>U</w:t>
      </w:r>
      <w:r w:rsidRPr="00661AB1">
        <w:rPr>
          <w:color w:val="76328A"/>
        </w:rPr>
        <w:t xml:space="preserve">pdating </w:t>
      </w:r>
      <w:r w:rsidR="007F5544">
        <w:rPr>
          <w:color w:val="76328A"/>
        </w:rPr>
        <w:t>G</w:t>
      </w:r>
      <w:r w:rsidRPr="00661AB1">
        <w:rPr>
          <w:color w:val="76328A"/>
        </w:rPr>
        <w:t xml:space="preserve">eneral </w:t>
      </w:r>
      <w:r w:rsidR="007F5544">
        <w:rPr>
          <w:color w:val="76328A"/>
        </w:rPr>
        <w:t>R</w:t>
      </w:r>
      <w:r w:rsidRPr="00661AB1">
        <w:rPr>
          <w:color w:val="76328A"/>
        </w:rPr>
        <w:t>ecommendation No 19’, 14 July 2017 at para 49.</w:t>
      </w:r>
    </w:p>
  </w:footnote>
  <w:footnote w:id="69">
    <w:p w14:paraId="2BF567E2" w14:textId="50312310" w:rsidR="00B873C1" w:rsidRPr="00661AB1" w:rsidRDefault="00B873C1" w:rsidP="0045051B">
      <w:pPr>
        <w:pStyle w:val="NIHRCFootnotes"/>
        <w:rPr>
          <w:color w:val="76328A"/>
        </w:rPr>
      </w:pPr>
      <w:r w:rsidRPr="00661AB1">
        <w:rPr>
          <w:rStyle w:val="FootnoteReference"/>
          <w:color w:val="76328A"/>
        </w:rPr>
        <w:footnoteRef/>
      </w:r>
      <w:r w:rsidRPr="00661AB1">
        <w:rPr>
          <w:color w:val="76328A"/>
        </w:rPr>
        <w:t xml:space="preserve">A/HRC/41/45, ‘UN Independent Expert on Protection Against Violence </w:t>
      </w:r>
      <w:r w:rsidR="002C018C">
        <w:rPr>
          <w:color w:val="76328A"/>
        </w:rPr>
        <w:t>a</w:t>
      </w:r>
      <w:r w:rsidRPr="00661AB1">
        <w:rPr>
          <w:color w:val="76328A"/>
        </w:rPr>
        <w:t xml:space="preserve">nd Discrimination Based </w:t>
      </w:r>
      <w:r w:rsidR="007A7653">
        <w:rPr>
          <w:color w:val="76328A"/>
        </w:rPr>
        <w:t>o</w:t>
      </w:r>
      <w:r w:rsidRPr="00661AB1">
        <w:rPr>
          <w:color w:val="76328A"/>
        </w:rPr>
        <w:t xml:space="preserve">n Sexual Orientation </w:t>
      </w:r>
      <w:r w:rsidR="007A7653">
        <w:rPr>
          <w:color w:val="76328A"/>
        </w:rPr>
        <w:t>a</w:t>
      </w:r>
      <w:r w:rsidRPr="00661AB1">
        <w:rPr>
          <w:color w:val="76328A"/>
        </w:rPr>
        <w:t>nd Gender Identity Report on Data Collection and Management as a Means to Create Heightened Awareness of Violence and Discrimination Based on Sexual Orientation and Gender Identity’, 14 May 2019</w:t>
      </w:r>
      <w:r w:rsidR="00326F56">
        <w:rPr>
          <w:color w:val="76328A"/>
        </w:rPr>
        <w:t>,</w:t>
      </w:r>
      <w:r w:rsidRPr="00661AB1">
        <w:rPr>
          <w:color w:val="76328A"/>
        </w:rPr>
        <w:t xml:space="preserve"> at para 20.</w:t>
      </w:r>
    </w:p>
  </w:footnote>
  <w:footnote w:id="70">
    <w:p w14:paraId="009F2498" w14:textId="6705AB4A" w:rsidR="00B873C1" w:rsidRPr="00661AB1" w:rsidRDefault="00B873C1" w:rsidP="0045051B">
      <w:pPr>
        <w:pStyle w:val="NIHRCFootnotes"/>
        <w:rPr>
          <w:color w:val="76328A"/>
        </w:rPr>
      </w:pPr>
      <w:r w:rsidRPr="00661AB1">
        <w:rPr>
          <w:rStyle w:val="FootnoteReference"/>
          <w:color w:val="76328A"/>
        </w:rPr>
        <w:footnoteRef/>
      </w:r>
      <w:r w:rsidRPr="00661AB1">
        <w:rPr>
          <w:color w:val="76328A"/>
        </w:rPr>
        <w:t xml:space="preserve"> Recital 64, Directive 2012/29/EU, ‘Directive of the European Parliament and of the Council </w:t>
      </w:r>
      <w:r w:rsidR="00326F56">
        <w:rPr>
          <w:color w:val="76328A"/>
        </w:rPr>
        <w:t>E</w:t>
      </w:r>
      <w:r w:rsidRPr="00661AB1">
        <w:rPr>
          <w:color w:val="76328A"/>
        </w:rPr>
        <w:t xml:space="preserve">stablishing </w:t>
      </w:r>
      <w:r w:rsidR="00326F56">
        <w:rPr>
          <w:color w:val="76328A"/>
        </w:rPr>
        <w:t>M</w:t>
      </w:r>
      <w:r w:rsidRPr="00661AB1">
        <w:rPr>
          <w:color w:val="76328A"/>
        </w:rPr>
        <w:t xml:space="preserve">inimum </w:t>
      </w:r>
      <w:r w:rsidR="00326F56">
        <w:rPr>
          <w:color w:val="76328A"/>
        </w:rPr>
        <w:t>S</w:t>
      </w:r>
      <w:r w:rsidRPr="00661AB1">
        <w:rPr>
          <w:color w:val="76328A"/>
        </w:rPr>
        <w:t xml:space="preserve">tandards on the </w:t>
      </w:r>
      <w:r w:rsidR="00326F56">
        <w:rPr>
          <w:color w:val="76328A"/>
        </w:rPr>
        <w:t>R</w:t>
      </w:r>
      <w:r w:rsidRPr="00661AB1">
        <w:rPr>
          <w:color w:val="76328A"/>
        </w:rPr>
        <w:t xml:space="preserve">ights, </w:t>
      </w:r>
      <w:r w:rsidR="00326F56">
        <w:rPr>
          <w:color w:val="76328A"/>
        </w:rPr>
        <w:t>S</w:t>
      </w:r>
      <w:r w:rsidRPr="00661AB1">
        <w:rPr>
          <w:color w:val="76328A"/>
        </w:rPr>
        <w:t xml:space="preserve">upport and </w:t>
      </w:r>
      <w:r w:rsidR="00326F56">
        <w:rPr>
          <w:color w:val="76328A"/>
        </w:rPr>
        <w:t>P</w:t>
      </w:r>
      <w:r w:rsidRPr="00661AB1">
        <w:rPr>
          <w:color w:val="76328A"/>
        </w:rPr>
        <w:t xml:space="preserve">rotection of </w:t>
      </w:r>
      <w:r w:rsidR="00326F56">
        <w:rPr>
          <w:color w:val="76328A"/>
        </w:rPr>
        <w:t>V</w:t>
      </w:r>
      <w:r w:rsidRPr="00661AB1">
        <w:rPr>
          <w:color w:val="76328A"/>
        </w:rPr>
        <w:t xml:space="preserve">ictims of </w:t>
      </w:r>
      <w:r w:rsidR="00326F56">
        <w:rPr>
          <w:color w:val="76328A"/>
        </w:rPr>
        <w:t>C</w:t>
      </w:r>
      <w:r w:rsidRPr="00661AB1">
        <w:rPr>
          <w:color w:val="76328A"/>
        </w:rPr>
        <w:t>rime’, 25 October 2012.</w:t>
      </w:r>
    </w:p>
  </w:footnote>
  <w:footnote w:id="71">
    <w:p w14:paraId="330157E9" w14:textId="3229270B" w:rsidR="001E2E75" w:rsidRPr="001E2E75" w:rsidRDefault="001E2E75" w:rsidP="0045051B">
      <w:pPr>
        <w:pStyle w:val="NIHRCFootnotes"/>
      </w:pPr>
      <w:r w:rsidRPr="001E2E75">
        <w:rPr>
          <w:rStyle w:val="FootnoteReference"/>
          <w:color w:val="76328A"/>
        </w:rPr>
        <w:footnoteRef/>
      </w:r>
      <w:r w:rsidRPr="001E2E75">
        <w:rPr>
          <w:color w:val="76328A"/>
        </w:rPr>
        <w:t xml:space="preserve"> Department of Health and Department of Justice, ‘Draft Domestic and Sexual Abuse Strategy: 2023-2030’ (D</w:t>
      </w:r>
      <w:r w:rsidR="00326F56">
        <w:rPr>
          <w:color w:val="76328A"/>
        </w:rPr>
        <w:t>o</w:t>
      </w:r>
      <w:r w:rsidRPr="001E2E75">
        <w:rPr>
          <w:color w:val="76328A"/>
        </w:rPr>
        <w:t>H and D</w:t>
      </w:r>
      <w:r w:rsidR="00326F56">
        <w:rPr>
          <w:color w:val="76328A"/>
        </w:rPr>
        <w:t>o</w:t>
      </w:r>
      <w:r w:rsidRPr="001E2E75">
        <w:rPr>
          <w:color w:val="76328A"/>
        </w:rPr>
        <w:t>J, 2023) at 21.</w:t>
      </w:r>
    </w:p>
  </w:footnote>
  <w:footnote w:id="72">
    <w:p w14:paraId="2E44D115" w14:textId="77777777" w:rsidR="002D53AC" w:rsidRPr="00E9697D" w:rsidRDefault="002D53AC" w:rsidP="0045051B">
      <w:pPr>
        <w:pStyle w:val="NIHRCFootnotes"/>
      </w:pPr>
      <w:r w:rsidRPr="00233D77">
        <w:rPr>
          <w:vertAlign w:val="superscript"/>
        </w:rPr>
        <w:footnoteRef/>
      </w:r>
      <w:r w:rsidRPr="00E9697D">
        <w:t xml:space="preserve"> E/C.12/GC/20, ‘UN ICESCR Committee General Comment No 20: Non-discrimination in Economic, Social and Cultural Rights’, 2 July 2009, at para 41; ‘UN CEDAW Committee General Comment No 6: Effective National Machinery and Publicity’, 1988, at para 1(b); CRC/GC/2003/5, ‘UN CRC Committee General Comment No 5: General Measures of Implementation of the UN CRC’, 27 November 2003, at para 45.</w:t>
      </w:r>
    </w:p>
  </w:footnote>
  <w:footnote w:id="73">
    <w:p w14:paraId="2115EB7F" w14:textId="77777777" w:rsidR="002D53AC" w:rsidRPr="00E9697D" w:rsidRDefault="002D53AC" w:rsidP="0045051B">
      <w:pPr>
        <w:pStyle w:val="NIHRCFootnotes"/>
      </w:pPr>
      <w:r w:rsidRPr="00233D77">
        <w:rPr>
          <w:vertAlign w:val="superscript"/>
        </w:rPr>
        <w:footnoteRef/>
      </w:r>
      <w:r w:rsidRPr="00E9697D">
        <w:t xml:space="preserve"> E/C.12/GC/20, ‘UN ICESCR Committee General Comment No 20: Non-discrimination in Economic, Social and Cultural Rights’, 2 July 2009, at para 41.</w:t>
      </w:r>
    </w:p>
  </w:footnote>
  <w:footnote w:id="74">
    <w:p w14:paraId="60F82AF2" w14:textId="77777777" w:rsidR="002D53AC" w:rsidRPr="00E9697D" w:rsidRDefault="002D53AC" w:rsidP="0045051B">
      <w:pPr>
        <w:pStyle w:val="NIHRCFootnotes"/>
      </w:pPr>
      <w:r w:rsidRPr="00233D77">
        <w:rPr>
          <w:vertAlign w:val="superscript"/>
        </w:rPr>
        <w:footnoteRef/>
      </w:r>
      <w:r w:rsidRPr="00233D77">
        <w:rPr>
          <w:vertAlign w:val="superscript"/>
        </w:rPr>
        <w:t xml:space="preserve"> </w:t>
      </w:r>
      <w:r w:rsidRPr="00E9697D">
        <w:t>‘UN CEDAW Committee General Comment No 6: Effective National Machinery and Publicity’, 1988, at para 1(b).</w:t>
      </w:r>
    </w:p>
  </w:footnote>
  <w:footnote w:id="75">
    <w:p w14:paraId="584F3877" w14:textId="77777777" w:rsidR="006B5114" w:rsidRPr="002A16F9" w:rsidRDefault="006B5114" w:rsidP="0045051B">
      <w:pPr>
        <w:pStyle w:val="NIHRCFootnotes"/>
      </w:pPr>
      <w:r w:rsidRPr="002A16F9">
        <w:rPr>
          <w:vertAlign w:val="superscript"/>
        </w:rPr>
        <w:footnoteRef/>
      </w:r>
      <w:r w:rsidRPr="002A16F9">
        <w:rPr>
          <w:vertAlign w:val="superscript"/>
        </w:rPr>
        <w:t xml:space="preserve"> </w:t>
      </w:r>
      <w:r w:rsidRPr="002A16F9">
        <w:t xml:space="preserve">Department of Finance, ‘Procurement Policy Note PPN 05/21 Human Rights in Public Procurement’ (DoF, 2021). </w:t>
      </w:r>
    </w:p>
  </w:footnote>
  <w:footnote w:id="76">
    <w:p w14:paraId="70261985" w14:textId="0DFA4AA8" w:rsidR="00C8173A" w:rsidRPr="00E21F3A" w:rsidRDefault="00C8173A" w:rsidP="0045051B">
      <w:pPr>
        <w:pStyle w:val="NIHRCFootnotes"/>
      </w:pPr>
      <w:r w:rsidRPr="00E21F3A">
        <w:rPr>
          <w:rStyle w:val="FootnoteReference"/>
          <w:color w:val="76328A"/>
        </w:rPr>
        <w:footnoteRef/>
      </w:r>
      <w:r w:rsidRPr="00E21F3A">
        <w:rPr>
          <w:color w:val="76328A"/>
        </w:rPr>
        <w:t xml:space="preserve"> A/54/38/Rev.1,</w:t>
      </w:r>
      <w:r w:rsidR="00135C19" w:rsidRPr="00E21F3A">
        <w:rPr>
          <w:color w:val="76328A"/>
        </w:rPr>
        <w:t xml:space="preserve"> ‘</w:t>
      </w:r>
      <w:r w:rsidR="003B463F" w:rsidRPr="00E21F3A">
        <w:rPr>
          <w:color w:val="76328A"/>
        </w:rPr>
        <w:t xml:space="preserve">UN CEDAW Committee </w:t>
      </w:r>
      <w:r w:rsidR="00135C19" w:rsidRPr="00E21F3A">
        <w:rPr>
          <w:color w:val="76328A"/>
        </w:rPr>
        <w:t>General Recommendation No 24: Article 12 of the Convention (Women and Health), 1999</w:t>
      </w:r>
      <w:r w:rsidR="003B463F" w:rsidRPr="00E21F3A">
        <w:rPr>
          <w:color w:val="76328A"/>
        </w:rPr>
        <w:t xml:space="preserve">, at </w:t>
      </w:r>
      <w:r w:rsidR="00E21F3A" w:rsidRPr="00E21F3A">
        <w:rPr>
          <w:color w:val="76328A"/>
        </w:rPr>
        <w:t xml:space="preserve">para 15. </w:t>
      </w:r>
    </w:p>
  </w:footnote>
  <w:footnote w:id="77">
    <w:p w14:paraId="3CC367F4" w14:textId="6704D746" w:rsidR="003607BC" w:rsidRPr="00AD1AA0" w:rsidRDefault="003607BC" w:rsidP="0045051B">
      <w:pPr>
        <w:pStyle w:val="NIHRCFootnotes"/>
        <w:rPr>
          <w:color w:val="76328A"/>
        </w:rPr>
      </w:pPr>
      <w:r>
        <w:rPr>
          <w:rStyle w:val="FootnoteReference"/>
        </w:rPr>
        <w:footnoteRef/>
      </w:r>
      <w:r>
        <w:t xml:space="preserve"> Article 25, </w:t>
      </w:r>
      <w:r w:rsidR="00D01D5D" w:rsidRPr="00661AB1">
        <w:rPr>
          <w:color w:val="76328A"/>
        </w:rPr>
        <w:t xml:space="preserve">Directive 2012/29/EU, ‘Directive of the European Parliament and of the Council </w:t>
      </w:r>
      <w:r w:rsidR="00D01D5D">
        <w:rPr>
          <w:color w:val="76328A"/>
        </w:rPr>
        <w:t>E</w:t>
      </w:r>
      <w:r w:rsidR="00D01D5D" w:rsidRPr="00661AB1">
        <w:rPr>
          <w:color w:val="76328A"/>
        </w:rPr>
        <w:t xml:space="preserve">stablishing </w:t>
      </w:r>
      <w:r w:rsidR="00D01D5D">
        <w:rPr>
          <w:color w:val="76328A"/>
        </w:rPr>
        <w:t>M</w:t>
      </w:r>
      <w:r w:rsidR="00D01D5D" w:rsidRPr="00661AB1">
        <w:rPr>
          <w:color w:val="76328A"/>
        </w:rPr>
        <w:t xml:space="preserve">inimum </w:t>
      </w:r>
      <w:r w:rsidR="00D01D5D">
        <w:rPr>
          <w:color w:val="76328A"/>
        </w:rPr>
        <w:t>S</w:t>
      </w:r>
      <w:r w:rsidR="00D01D5D" w:rsidRPr="00661AB1">
        <w:rPr>
          <w:color w:val="76328A"/>
        </w:rPr>
        <w:t xml:space="preserve">tandards on the </w:t>
      </w:r>
      <w:r w:rsidR="00D01D5D">
        <w:rPr>
          <w:color w:val="76328A"/>
        </w:rPr>
        <w:t>R</w:t>
      </w:r>
      <w:r w:rsidR="00D01D5D" w:rsidRPr="00661AB1">
        <w:rPr>
          <w:color w:val="76328A"/>
        </w:rPr>
        <w:t xml:space="preserve">ights, </w:t>
      </w:r>
      <w:r w:rsidR="00D01D5D">
        <w:rPr>
          <w:color w:val="76328A"/>
        </w:rPr>
        <w:t>S</w:t>
      </w:r>
      <w:r w:rsidR="00D01D5D" w:rsidRPr="00661AB1">
        <w:rPr>
          <w:color w:val="76328A"/>
        </w:rPr>
        <w:t xml:space="preserve">upport and </w:t>
      </w:r>
      <w:r w:rsidR="00D01D5D">
        <w:rPr>
          <w:color w:val="76328A"/>
        </w:rPr>
        <w:t>P</w:t>
      </w:r>
      <w:r w:rsidR="00D01D5D" w:rsidRPr="00661AB1">
        <w:rPr>
          <w:color w:val="76328A"/>
        </w:rPr>
        <w:t xml:space="preserve">rotection of </w:t>
      </w:r>
      <w:r w:rsidR="00D01D5D">
        <w:rPr>
          <w:color w:val="76328A"/>
        </w:rPr>
        <w:t>V</w:t>
      </w:r>
      <w:r w:rsidR="00D01D5D" w:rsidRPr="00661AB1">
        <w:rPr>
          <w:color w:val="76328A"/>
        </w:rPr>
        <w:t xml:space="preserve">ictims of </w:t>
      </w:r>
      <w:r w:rsidR="00D01D5D">
        <w:rPr>
          <w:color w:val="76328A"/>
        </w:rPr>
        <w:t>C</w:t>
      </w:r>
      <w:r w:rsidR="00D01D5D" w:rsidRPr="00661AB1">
        <w:rPr>
          <w:color w:val="76328A"/>
        </w:rPr>
        <w:t>rime’, 25 October 2012.</w:t>
      </w:r>
    </w:p>
  </w:footnote>
  <w:footnote w:id="78">
    <w:p w14:paraId="0F5E0494" w14:textId="4C6A600B" w:rsidR="00485C28" w:rsidRDefault="00485C28" w:rsidP="0045051B">
      <w:pPr>
        <w:pStyle w:val="NIHRCFootnotes"/>
      </w:pPr>
      <w:r>
        <w:rPr>
          <w:rStyle w:val="FootnoteReference"/>
        </w:rPr>
        <w:footnoteRef/>
      </w:r>
      <w:r>
        <w:t xml:space="preserve"> Recital 61, </w:t>
      </w:r>
      <w:r w:rsidR="00D01D5D" w:rsidRPr="00661AB1">
        <w:rPr>
          <w:color w:val="76328A"/>
        </w:rPr>
        <w:t xml:space="preserve">Directive 2012/29/EU, ‘Directive of the European Parliament and of the Council </w:t>
      </w:r>
      <w:r w:rsidR="00D01D5D">
        <w:rPr>
          <w:color w:val="76328A"/>
        </w:rPr>
        <w:t>E</w:t>
      </w:r>
      <w:r w:rsidR="00D01D5D" w:rsidRPr="00661AB1">
        <w:rPr>
          <w:color w:val="76328A"/>
        </w:rPr>
        <w:t xml:space="preserve">stablishing </w:t>
      </w:r>
      <w:r w:rsidR="00D01D5D">
        <w:rPr>
          <w:color w:val="76328A"/>
        </w:rPr>
        <w:t>M</w:t>
      </w:r>
      <w:r w:rsidR="00D01D5D" w:rsidRPr="00661AB1">
        <w:rPr>
          <w:color w:val="76328A"/>
        </w:rPr>
        <w:t xml:space="preserve">inimum </w:t>
      </w:r>
      <w:r w:rsidR="00D01D5D">
        <w:rPr>
          <w:color w:val="76328A"/>
        </w:rPr>
        <w:t>S</w:t>
      </w:r>
      <w:r w:rsidR="00D01D5D" w:rsidRPr="00661AB1">
        <w:rPr>
          <w:color w:val="76328A"/>
        </w:rPr>
        <w:t xml:space="preserve">tandards on the </w:t>
      </w:r>
      <w:r w:rsidR="00D01D5D">
        <w:rPr>
          <w:color w:val="76328A"/>
        </w:rPr>
        <w:t>R</w:t>
      </w:r>
      <w:r w:rsidR="00D01D5D" w:rsidRPr="00661AB1">
        <w:rPr>
          <w:color w:val="76328A"/>
        </w:rPr>
        <w:t xml:space="preserve">ights, </w:t>
      </w:r>
      <w:r w:rsidR="00D01D5D">
        <w:rPr>
          <w:color w:val="76328A"/>
        </w:rPr>
        <w:t>S</w:t>
      </w:r>
      <w:r w:rsidR="00D01D5D" w:rsidRPr="00661AB1">
        <w:rPr>
          <w:color w:val="76328A"/>
        </w:rPr>
        <w:t xml:space="preserve">upport and </w:t>
      </w:r>
      <w:r w:rsidR="00D01D5D">
        <w:rPr>
          <w:color w:val="76328A"/>
        </w:rPr>
        <w:t>P</w:t>
      </w:r>
      <w:r w:rsidR="00D01D5D" w:rsidRPr="00661AB1">
        <w:rPr>
          <w:color w:val="76328A"/>
        </w:rPr>
        <w:t xml:space="preserve">rotection of </w:t>
      </w:r>
      <w:r w:rsidR="00D01D5D">
        <w:rPr>
          <w:color w:val="76328A"/>
        </w:rPr>
        <w:t>V</w:t>
      </w:r>
      <w:r w:rsidR="00D01D5D" w:rsidRPr="00661AB1">
        <w:rPr>
          <w:color w:val="76328A"/>
        </w:rPr>
        <w:t xml:space="preserve">ictims of </w:t>
      </w:r>
      <w:r w:rsidR="00D01D5D">
        <w:rPr>
          <w:color w:val="76328A"/>
        </w:rPr>
        <w:t>C</w:t>
      </w:r>
      <w:r w:rsidR="00D01D5D" w:rsidRPr="00661AB1">
        <w:rPr>
          <w:color w:val="76328A"/>
        </w:rPr>
        <w:t>rime’, 25 October 2012.</w:t>
      </w:r>
    </w:p>
  </w:footnote>
  <w:footnote w:id="79">
    <w:p w14:paraId="15A5AA7F" w14:textId="5725FD40" w:rsidR="009F3B2C" w:rsidRPr="00BA528B" w:rsidRDefault="009F3B2C" w:rsidP="0045051B">
      <w:pPr>
        <w:pStyle w:val="NIHRCFootnotes"/>
        <w:rPr>
          <w:color w:val="76328A"/>
        </w:rPr>
      </w:pPr>
      <w:r w:rsidRPr="006942B1">
        <w:rPr>
          <w:rStyle w:val="FootnoteReference"/>
          <w:color w:val="76328A"/>
        </w:rPr>
        <w:footnoteRef/>
      </w:r>
      <w:r w:rsidRPr="006942B1">
        <w:rPr>
          <w:color w:val="76328A"/>
        </w:rPr>
        <w:t>CRPD/C/GC/7, ‘UN CPRD Committee</w:t>
      </w:r>
      <w:r w:rsidRPr="006942B1">
        <w:rPr>
          <w:rFonts w:eastAsia="Times New Roman" w:cs="Times New Roman"/>
          <w:color w:val="76328A"/>
          <w:lang w:eastAsia="en-GB"/>
        </w:rPr>
        <w:t xml:space="preserve"> </w:t>
      </w:r>
      <w:r w:rsidRPr="006942B1">
        <w:rPr>
          <w:color w:val="76328A"/>
        </w:rPr>
        <w:t>General Comment No 7</w:t>
      </w:r>
      <w:r w:rsidR="00D01D5D">
        <w:rPr>
          <w:color w:val="76328A"/>
        </w:rPr>
        <w:t xml:space="preserve">: </w:t>
      </w:r>
      <w:r w:rsidRPr="006942B1">
        <w:rPr>
          <w:color w:val="76328A"/>
        </w:rPr>
        <w:t xml:space="preserve">Participation of Persons with Disabilities, Including Children </w:t>
      </w:r>
      <w:r>
        <w:rPr>
          <w:color w:val="76328A"/>
        </w:rPr>
        <w:t>w</w:t>
      </w:r>
      <w:r w:rsidRPr="006942B1">
        <w:rPr>
          <w:color w:val="76328A"/>
        </w:rPr>
        <w:t xml:space="preserve">ith Disabilities, Through Their Representative Organizations, in the Implementation and Monitoring of the Convention’, 9 November 2018, at para 23. </w:t>
      </w:r>
    </w:p>
  </w:footnote>
  <w:footnote w:id="80">
    <w:p w14:paraId="062F330C" w14:textId="471C6224" w:rsidR="009F3B2C" w:rsidRPr="009F3B2C" w:rsidRDefault="009F3B2C" w:rsidP="0045051B">
      <w:pPr>
        <w:pStyle w:val="NIHRCFootnotes"/>
      </w:pPr>
      <w:r w:rsidRPr="009F3B2C">
        <w:rPr>
          <w:rStyle w:val="FootnoteReference"/>
          <w:color w:val="76328A"/>
        </w:rPr>
        <w:footnoteRef/>
      </w:r>
      <w:r w:rsidRPr="009F3B2C">
        <w:rPr>
          <w:color w:val="76328A"/>
        </w:rPr>
        <w:t xml:space="preserve"> Department of Health and Department of Justice, ‘Draft Domestic and Sexual Abuse Strategy: 2023-2030’ (D</w:t>
      </w:r>
      <w:r w:rsidR="00D01D5D">
        <w:rPr>
          <w:color w:val="76328A"/>
        </w:rPr>
        <w:t>o</w:t>
      </w:r>
      <w:r w:rsidRPr="009F3B2C">
        <w:rPr>
          <w:color w:val="76328A"/>
        </w:rPr>
        <w:t>H and D</w:t>
      </w:r>
      <w:r w:rsidR="00D01D5D">
        <w:rPr>
          <w:color w:val="76328A"/>
        </w:rPr>
        <w:t>o</w:t>
      </w:r>
      <w:r w:rsidRPr="009F3B2C">
        <w:rPr>
          <w:color w:val="76328A"/>
        </w:rPr>
        <w:t>J, 2023)</w:t>
      </w:r>
      <w:r w:rsidR="00D01D5D">
        <w:rPr>
          <w:color w:val="76328A"/>
        </w:rPr>
        <w:t>,</w:t>
      </w:r>
      <w:r w:rsidRPr="009F3B2C">
        <w:rPr>
          <w:color w:val="76328A"/>
        </w:rPr>
        <w:t xml:space="preserve"> at </w:t>
      </w:r>
      <w:r>
        <w:rPr>
          <w:color w:val="76328A"/>
        </w:rPr>
        <w:t>23</w:t>
      </w:r>
      <w:r w:rsidRPr="009F3B2C">
        <w:rPr>
          <w:color w:val="76328A"/>
        </w:rPr>
        <w:t>.</w:t>
      </w:r>
    </w:p>
  </w:footnote>
  <w:footnote w:id="81">
    <w:p w14:paraId="76413BCD" w14:textId="0F736C5B" w:rsidR="00364747" w:rsidRPr="00364747" w:rsidRDefault="00364747" w:rsidP="0045051B">
      <w:pPr>
        <w:pStyle w:val="NIHRCFootnotes"/>
      </w:pPr>
      <w:r w:rsidRPr="00364747">
        <w:rPr>
          <w:rStyle w:val="FootnoteReference"/>
          <w:color w:val="76328A"/>
        </w:rPr>
        <w:footnoteRef/>
      </w:r>
      <w:r w:rsidRPr="00364747">
        <w:rPr>
          <w:color w:val="76328A"/>
        </w:rPr>
        <w:t xml:space="preserve"> Recital 57, </w:t>
      </w:r>
      <w:r w:rsidR="00D01D5D" w:rsidRPr="00661AB1">
        <w:rPr>
          <w:color w:val="76328A"/>
        </w:rPr>
        <w:t xml:space="preserve">Directive 2012/29/EU, ‘Directive of the European Parliament and of the Council </w:t>
      </w:r>
      <w:r w:rsidR="00D01D5D">
        <w:rPr>
          <w:color w:val="76328A"/>
        </w:rPr>
        <w:t>E</w:t>
      </w:r>
      <w:r w:rsidR="00D01D5D" w:rsidRPr="00661AB1">
        <w:rPr>
          <w:color w:val="76328A"/>
        </w:rPr>
        <w:t xml:space="preserve">stablishing </w:t>
      </w:r>
      <w:r w:rsidR="00D01D5D">
        <w:rPr>
          <w:color w:val="76328A"/>
        </w:rPr>
        <w:t>M</w:t>
      </w:r>
      <w:r w:rsidR="00D01D5D" w:rsidRPr="00661AB1">
        <w:rPr>
          <w:color w:val="76328A"/>
        </w:rPr>
        <w:t xml:space="preserve">inimum </w:t>
      </w:r>
      <w:r w:rsidR="00D01D5D">
        <w:rPr>
          <w:color w:val="76328A"/>
        </w:rPr>
        <w:t>S</w:t>
      </w:r>
      <w:r w:rsidR="00D01D5D" w:rsidRPr="00661AB1">
        <w:rPr>
          <w:color w:val="76328A"/>
        </w:rPr>
        <w:t xml:space="preserve">tandards on the </w:t>
      </w:r>
      <w:r w:rsidR="00D01D5D">
        <w:rPr>
          <w:color w:val="76328A"/>
        </w:rPr>
        <w:t>R</w:t>
      </w:r>
      <w:r w:rsidR="00D01D5D" w:rsidRPr="00661AB1">
        <w:rPr>
          <w:color w:val="76328A"/>
        </w:rPr>
        <w:t xml:space="preserve">ights, </w:t>
      </w:r>
      <w:r w:rsidR="00D01D5D">
        <w:rPr>
          <w:color w:val="76328A"/>
        </w:rPr>
        <w:t>S</w:t>
      </w:r>
      <w:r w:rsidR="00D01D5D" w:rsidRPr="00661AB1">
        <w:rPr>
          <w:color w:val="76328A"/>
        </w:rPr>
        <w:t xml:space="preserve">upport and </w:t>
      </w:r>
      <w:r w:rsidR="00D01D5D">
        <w:rPr>
          <w:color w:val="76328A"/>
        </w:rPr>
        <w:t>P</w:t>
      </w:r>
      <w:r w:rsidR="00D01D5D" w:rsidRPr="00661AB1">
        <w:rPr>
          <w:color w:val="76328A"/>
        </w:rPr>
        <w:t xml:space="preserve">rotection of </w:t>
      </w:r>
      <w:r w:rsidR="00D01D5D">
        <w:rPr>
          <w:color w:val="76328A"/>
        </w:rPr>
        <w:t>V</w:t>
      </w:r>
      <w:r w:rsidR="00D01D5D" w:rsidRPr="00661AB1">
        <w:rPr>
          <w:color w:val="76328A"/>
        </w:rPr>
        <w:t xml:space="preserve">ictims of </w:t>
      </w:r>
      <w:r w:rsidR="00D01D5D">
        <w:rPr>
          <w:color w:val="76328A"/>
        </w:rPr>
        <w:t>C</w:t>
      </w:r>
      <w:r w:rsidR="00D01D5D" w:rsidRPr="00661AB1">
        <w:rPr>
          <w:color w:val="76328A"/>
        </w:rPr>
        <w:t>rime’, 25 October 2012.</w:t>
      </w:r>
    </w:p>
  </w:footnote>
  <w:footnote w:id="82">
    <w:p w14:paraId="3185A079" w14:textId="1C5B3FE9" w:rsidR="003518D9" w:rsidRPr="003518D9" w:rsidRDefault="003518D9" w:rsidP="0045051B">
      <w:pPr>
        <w:pStyle w:val="NIHRCFootnotes"/>
        <w:rPr>
          <w:color w:val="76328A"/>
        </w:rPr>
      </w:pPr>
      <w:r w:rsidRPr="003518D9">
        <w:rPr>
          <w:rStyle w:val="FootnoteReference"/>
          <w:color w:val="76328A"/>
        </w:rPr>
        <w:footnoteRef/>
      </w:r>
      <w:r w:rsidRPr="003518D9">
        <w:rPr>
          <w:color w:val="76328A"/>
        </w:rPr>
        <w:t xml:space="preserve"> Department of Health and Department of Justice, ‘Draft Domestic and Sexual Abuse Strategy: 2023-2030’ (D</w:t>
      </w:r>
      <w:r w:rsidR="00D01D5D">
        <w:rPr>
          <w:color w:val="76328A"/>
        </w:rPr>
        <w:t>o</w:t>
      </w:r>
      <w:r w:rsidRPr="003518D9">
        <w:rPr>
          <w:color w:val="76328A"/>
        </w:rPr>
        <w:t>H and D</w:t>
      </w:r>
      <w:r w:rsidR="00D01D5D">
        <w:rPr>
          <w:color w:val="76328A"/>
        </w:rPr>
        <w:t>o</w:t>
      </w:r>
      <w:r w:rsidRPr="003518D9">
        <w:rPr>
          <w:color w:val="76328A"/>
        </w:rPr>
        <w:t>J, 2023) at 11.</w:t>
      </w:r>
    </w:p>
  </w:footnote>
  <w:footnote w:id="83">
    <w:p w14:paraId="7AF2CD3C" w14:textId="48880E3B" w:rsidR="00866BFD" w:rsidRPr="003914AA" w:rsidRDefault="00866BFD">
      <w:pPr>
        <w:pStyle w:val="FootnoteText"/>
        <w:rPr>
          <w:rFonts w:ascii="Verdana" w:hAnsi="Verdana"/>
          <w:sz w:val="16"/>
          <w:szCs w:val="16"/>
        </w:rPr>
      </w:pPr>
      <w:r w:rsidRPr="003914AA">
        <w:rPr>
          <w:rStyle w:val="FootnoteReference"/>
          <w:rFonts w:ascii="Verdana" w:hAnsi="Verdana"/>
          <w:color w:val="76328A"/>
          <w:sz w:val="16"/>
          <w:szCs w:val="16"/>
        </w:rPr>
        <w:footnoteRef/>
      </w:r>
      <w:r w:rsidRPr="003914AA">
        <w:rPr>
          <w:rFonts w:ascii="Verdana" w:hAnsi="Verdana"/>
          <w:color w:val="76328A"/>
          <w:sz w:val="16"/>
          <w:szCs w:val="16"/>
        </w:rPr>
        <w:t xml:space="preserve"> </w:t>
      </w:r>
      <w:r w:rsidR="003914AA" w:rsidRPr="003914AA">
        <w:rPr>
          <w:rFonts w:ascii="Verdana" w:hAnsi="Verdana"/>
          <w:color w:val="76328A"/>
          <w:sz w:val="16"/>
          <w:szCs w:val="16"/>
        </w:rPr>
        <w:t xml:space="preserve">CoE, ‘Explanatory Report to the Council of Europe Convention on </w:t>
      </w:r>
      <w:r w:rsidR="008C20D7">
        <w:rPr>
          <w:rFonts w:ascii="Verdana" w:hAnsi="Verdana"/>
          <w:color w:val="76328A"/>
          <w:sz w:val="16"/>
          <w:szCs w:val="16"/>
        </w:rPr>
        <w:t>P</w:t>
      </w:r>
      <w:r w:rsidR="003914AA" w:rsidRPr="003914AA">
        <w:rPr>
          <w:rFonts w:ascii="Verdana" w:hAnsi="Verdana"/>
          <w:color w:val="76328A"/>
          <w:sz w:val="16"/>
          <w:szCs w:val="16"/>
        </w:rPr>
        <w:t xml:space="preserve">reventing and </w:t>
      </w:r>
      <w:r w:rsidR="008C20D7">
        <w:rPr>
          <w:rFonts w:ascii="Verdana" w:hAnsi="Verdana"/>
          <w:color w:val="76328A"/>
          <w:sz w:val="16"/>
          <w:szCs w:val="16"/>
        </w:rPr>
        <w:t>C</w:t>
      </w:r>
      <w:r w:rsidR="003914AA" w:rsidRPr="003914AA">
        <w:rPr>
          <w:rFonts w:ascii="Verdana" w:hAnsi="Verdana"/>
          <w:color w:val="76328A"/>
          <w:sz w:val="16"/>
          <w:szCs w:val="16"/>
        </w:rPr>
        <w:t xml:space="preserve">ombating </w:t>
      </w:r>
      <w:r w:rsidR="008C20D7">
        <w:rPr>
          <w:rFonts w:ascii="Verdana" w:hAnsi="Verdana"/>
          <w:color w:val="76328A"/>
          <w:sz w:val="16"/>
          <w:szCs w:val="16"/>
        </w:rPr>
        <w:t>V</w:t>
      </w:r>
      <w:r w:rsidR="003914AA" w:rsidRPr="003914AA">
        <w:rPr>
          <w:rFonts w:ascii="Verdana" w:hAnsi="Verdana"/>
          <w:color w:val="76328A"/>
          <w:sz w:val="16"/>
          <w:szCs w:val="16"/>
        </w:rPr>
        <w:t xml:space="preserve">iolence </w:t>
      </w:r>
      <w:r w:rsidR="008C20D7">
        <w:rPr>
          <w:rFonts w:ascii="Verdana" w:hAnsi="Verdana"/>
          <w:color w:val="76328A"/>
          <w:sz w:val="16"/>
          <w:szCs w:val="16"/>
        </w:rPr>
        <w:t>A</w:t>
      </w:r>
      <w:r w:rsidR="003914AA" w:rsidRPr="003914AA">
        <w:rPr>
          <w:rFonts w:ascii="Verdana" w:hAnsi="Verdana"/>
          <w:color w:val="76328A"/>
          <w:sz w:val="16"/>
          <w:szCs w:val="16"/>
        </w:rPr>
        <w:t xml:space="preserve">gainst </w:t>
      </w:r>
      <w:r w:rsidR="008C20D7">
        <w:rPr>
          <w:rFonts w:ascii="Verdana" w:hAnsi="Verdana"/>
          <w:color w:val="76328A"/>
          <w:sz w:val="16"/>
          <w:szCs w:val="16"/>
        </w:rPr>
        <w:t>W</w:t>
      </w:r>
      <w:r w:rsidR="003914AA" w:rsidRPr="003914AA">
        <w:rPr>
          <w:rFonts w:ascii="Verdana" w:hAnsi="Verdana"/>
          <w:color w:val="76328A"/>
          <w:sz w:val="16"/>
          <w:szCs w:val="16"/>
        </w:rPr>
        <w:t xml:space="preserve">omen and </w:t>
      </w:r>
      <w:r w:rsidR="008C20D7">
        <w:rPr>
          <w:rFonts w:ascii="Verdana" w:hAnsi="Verdana"/>
          <w:color w:val="76328A"/>
          <w:sz w:val="16"/>
          <w:szCs w:val="16"/>
        </w:rPr>
        <w:t>D</w:t>
      </w:r>
      <w:r w:rsidR="003914AA" w:rsidRPr="003914AA">
        <w:rPr>
          <w:rFonts w:ascii="Verdana" w:hAnsi="Verdana"/>
          <w:color w:val="76328A"/>
          <w:sz w:val="16"/>
          <w:szCs w:val="16"/>
        </w:rPr>
        <w:t xml:space="preserve">omestic </w:t>
      </w:r>
      <w:r w:rsidR="008C20D7">
        <w:rPr>
          <w:rFonts w:ascii="Verdana" w:hAnsi="Verdana"/>
          <w:color w:val="76328A"/>
          <w:sz w:val="16"/>
          <w:szCs w:val="16"/>
        </w:rPr>
        <w:t>V</w:t>
      </w:r>
      <w:r w:rsidR="003914AA" w:rsidRPr="003914AA">
        <w:rPr>
          <w:rFonts w:ascii="Verdana" w:hAnsi="Verdana"/>
          <w:color w:val="76328A"/>
          <w:sz w:val="16"/>
          <w:szCs w:val="16"/>
        </w:rPr>
        <w:t>iolence’ (CoE, 2011)</w:t>
      </w:r>
      <w:r w:rsidR="008C20D7">
        <w:rPr>
          <w:rFonts w:ascii="Verdana" w:hAnsi="Verdana"/>
          <w:color w:val="76328A"/>
          <w:sz w:val="16"/>
          <w:szCs w:val="16"/>
        </w:rPr>
        <w:t>,</w:t>
      </w:r>
      <w:r w:rsidR="003914AA" w:rsidRPr="003914AA">
        <w:rPr>
          <w:rFonts w:ascii="Verdana" w:hAnsi="Verdana"/>
          <w:color w:val="76328A"/>
          <w:sz w:val="16"/>
          <w:szCs w:val="16"/>
        </w:rPr>
        <w:t xml:space="preserve"> at para 91.</w:t>
      </w:r>
    </w:p>
  </w:footnote>
  <w:footnote w:id="84">
    <w:p w14:paraId="1BE99195" w14:textId="50D5A581" w:rsidR="00866BFD" w:rsidRPr="00C842B3" w:rsidRDefault="00866BFD">
      <w:pPr>
        <w:pStyle w:val="FootnoteText"/>
        <w:rPr>
          <w:rFonts w:ascii="Verdana" w:hAnsi="Verdana"/>
          <w:sz w:val="16"/>
          <w:szCs w:val="16"/>
        </w:rPr>
      </w:pPr>
      <w:r w:rsidRPr="00C842B3">
        <w:rPr>
          <w:rStyle w:val="FootnoteReference"/>
          <w:rFonts w:ascii="Verdana" w:hAnsi="Verdana"/>
          <w:color w:val="76328A"/>
          <w:sz w:val="16"/>
          <w:szCs w:val="16"/>
        </w:rPr>
        <w:footnoteRef/>
      </w:r>
      <w:r w:rsidRPr="00C842B3">
        <w:rPr>
          <w:rFonts w:ascii="Verdana" w:hAnsi="Verdana"/>
          <w:color w:val="76328A"/>
          <w:sz w:val="16"/>
          <w:szCs w:val="16"/>
        </w:rPr>
        <w:t xml:space="preserve"> </w:t>
      </w:r>
      <w:r w:rsidR="00315C62">
        <w:rPr>
          <w:rFonts w:ascii="Verdana" w:hAnsi="Verdana"/>
          <w:color w:val="76328A"/>
          <w:sz w:val="16"/>
          <w:szCs w:val="16"/>
        </w:rPr>
        <w:t>Ibid,</w:t>
      </w:r>
      <w:r w:rsidR="00C842B3" w:rsidRPr="00C842B3">
        <w:rPr>
          <w:rFonts w:ascii="Verdana" w:hAnsi="Verdana"/>
          <w:color w:val="76328A"/>
          <w:sz w:val="16"/>
          <w:szCs w:val="16"/>
        </w:rPr>
        <w:t xml:space="preserve"> at para 93. </w:t>
      </w:r>
    </w:p>
  </w:footnote>
  <w:footnote w:id="85">
    <w:p w14:paraId="2B952003" w14:textId="4F540B83" w:rsidR="00280622" w:rsidRPr="002A16F9" w:rsidRDefault="00280622" w:rsidP="0045051B">
      <w:pPr>
        <w:pStyle w:val="NIHRCFootnotes"/>
      </w:pPr>
      <w:r w:rsidRPr="002A16F9">
        <w:rPr>
          <w:rStyle w:val="FootnoteReference"/>
          <w:color w:val="76328A"/>
        </w:rPr>
        <w:footnoteRef/>
      </w:r>
      <w:r w:rsidRPr="002A16F9">
        <w:rPr>
          <w:color w:val="76328A"/>
        </w:rPr>
        <w:t xml:space="preserve"> </w:t>
      </w:r>
      <w:r w:rsidR="00FE5178" w:rsidRPr="002A16F9">
        <w:rPr>
          <w:color w:val="76328A"/>
        </w:rPr>
        <w:t>CRC/C/GC/13</w:t>
      </w:r>
      <w:r w:rsidR="002A16F9" w:rsidRPr="002A16F9">
        <w:rPr>
          <w:color w:val="76328A"/>
        </w:rPr>
        <w:t>,</w:t>
      </w:r>
      <w:r w:rsidR="00FE5178" w:rsidRPr="002A16F9">
        <w:rPr>
          <w:color w:val="76328A"/>
        </w:rPr>
        <w:t xml:space="preserve"> </w:t>
      </w:r>
      <w:r w:rsidR="001A0AD4" w:rsidRPr="002A16F9">
        <w:rPr>
          <w:color w:val="76328A"/>
        </w:rPr>
        <w:t>‘</w:t>
      </w:r>
      <w:r w:rsidR="00083182" w:rsidRPr="002A16F9">
        <w:rPr>
          <w:color w:val="76328A"/>
          <w:lang w:val="en-US"/>
        </w:rPr>
        <w:t xml:space="preserve">UN CRC Committee, General Comment </w:t>
      </w:r>
      <w:r w:rsidR="007A7653">
        <w:rPr>
          <w:color w:val="76328A"/>
          <w:lang w:val="en-US"/>
        </w:rPr>
        <w:t xml:space="preserve">No </w:t>
      </w:r>
      <w:r w:rsidR="00083182" w:rsidRPr="002A16F9">
        <w:rPr>
          <w:color w:val="76328A"/>
          <w:lang w:val="en-US"/>
        </w:rPr>
        <w:t>13</w:t>
      </w:r>
      <w:r w:rsidR="008C20D7">
        <w:rPr>
          <w:color w:val="76328A"/>
          <w:lang w:val="en-US"/>
        </w:rPr>
        <w:t>:</w:t>
      </w:r>
      <w:r w:rsidR="00083182" w:rsidRPr="002A16F9">
        <w:rPr>
          <w:color w:val="76328A"/>
          <w:lang w:val="en-US"/>
        </w:rPr>
        <w:t xml:space="preserve"> </w:t>
      </w:r>
      <w:r w:rsidR="008C20D7">
        <w:rPr>
          <w:color w:val="76328A"/>
          <w:lang w:val="en-US"/>
        </w:rPr>
        <w:t>R</w:t>
      </w:r>
      <w:r w:rsidR="00083182" w:rsidRPr="002A16F9">
        <w:rPr>
          <w:color w:val="76328A"/>
          <w:lang w:val="en-US"/>
        </w:rPr>
        <w:t xml:space="preserve">ight of the </w:t>
      </w:r>
      <w:r w:rsidR="008C20D7">
        <w:rPr>
          <w:color w:val="76328A"/>
          <w:lang w:val="en-US"/>
        </w:rPr>
        <w:t>C</w:t>
      </w:r>
      <w:r w:rsidR="00083182" w:rsidRPr="002A16F9">
        <w:rPr>
          <w:color w:val="76328A"/>
          <w:lang w:val="en-US"/>
        </w:rPr>
        <w:t xml:space="preserve">hild to be </w:t>
      </w:r>
      <w:r w:rsidR="008C20D7">
        <w:rPr>
          <w:color w:val="76328A"/>
          <w:lang w:val="en-US"/>
        </w:rPr>
        <w:t>F</w:t>
      </w:r>
      <w:r w:rsidR="00083182" w:rsidRPr="002A16F9">
        <w:rPr>
          <w:color w:val="76328A"/>
          <w:lang w:val="en-US"/>
        </w:rPr>
        <w:t xml:space="preserve">ree from </w:t>
      </w:r>
      <w:r w:rsidR="008C20D7">
        <w:rPr>
          <w:color w:val="76328A"/>
          <w:lang w:val="en-US"/>
        </w:rPr>
        <w:t>V</w:t>
      </w:r>
      <w:r w:rsidR="00083182" w:rsidRPr="002A16F9">
        <w:rPr>
          <w:color w:val="76328A"/>
          <w:lang w:val="en-US"/>
        </w:rPr>
        <w:t>iolence</w:t>
      </w:r>
      <w:r w:rsidR="008C20D7">
        <w:rPr>
          <w:color w:val="76328A"/>
          <w:lang w:val="en-US"/>
        </w:rPr>
        <w:t>’</w:t>
      </w:r>
      <w:r w:rsidR="00083182" w:rsidRPr="002A16F9">
        <w:rPr>
          <w:color w:val="76328A"/>
          <w:lang w:val="en-US"/>
        </w:rPr>
        <w:t xml:space="preserve">, </w:t>
      </w:r>
      <w:r w:rsidR="001A0AD4" w:rsidRPr="002A16F9">
        <w:rPr>
          <w:color w:val="76328A"/>
          <w:lang w:val="en-US"/>
        </w:rPr>
        <w:t xml:space="preserve">18 April 2011, at </w:t>
      </w:r>
      <w:r w:rsidR="00083182" w:rsidRPr="002A16F9">
        <w:rPr>
          <w:color w:val="76328A"/>
          <w:lang w:val="en-US"/>
        </w:rPr>
        <w:t>para 72(b).</w:t>
      </w:r>
    </w:p>
  </w:footnote>
  <w:footnote w:id="86">
    <w:p w14:paraId="6F7F0529" w14:textId="316BF7BE" w:rsidR="003607BC" w:rsidRPr="00661AB1" w:rsidRDefault="003607BC" w:rsidP="0045051B">
      <w:pPr>
        <w:pStyle w:val="NIHRCFootnotes"/>
        <w:rPr>
          <w:color w:val="76328A"/>
        </w:rPr>
      </w:pPr>
      <w:r>
        <w:rPr>
          <w:rStyle w:val="FootnoteReference"/>
        </w:rPr>
        <w:footnoteRef/>
      </w:r>
      <w:r>
        <w:t xml:space="preserve"> Article 26(2), </w:t>
      </w:r>
      <w:r w:rsidR="00D01D5D" w:rsidRPr="00661AB1">
        <w:rPr>
          <w:color w:val="76328A"/>
        </w:rPr>
        <w:t xml:space="preserve">Directive 2012/29/EU, ‘Directive of the European Parliament and of the Council </w:t>
      </w:r>
      <w:r w:rsidR="00D01D5D">
        <w:rPr>
          <w:color w:val="76328A"/>
        </w:rPr>
        <w:t>E</w:t>
      </w:r>
      <w:r w:rsidR="00D01D5D" w:rsidRPr="00661AB1">
        <w:rPr>
          <w:color w:val="76328A"/>
        </w:rPr>
        <w:t xml:space="preserve">stablishing </w:t>
      </w:r>
      <w:r w:rsidR="00D01D5D">
        <w:rPr>
          <w:color w:val="76328A"/>
        </w:rPr>
        <w:t>M</w:t>
      </w:r>
      <w:r w:rsidR="00D01D5D" w:rsidRPr="00661AB1">
        <w:rPr>
          <w:color w:val="76328A"/>
        </w:rPr>
        <w:t xml:space="preserve">inimum </w:t>
      </w:r>
      <w:r w:rsidR="00D01D5D">
        <w:rPr>
          <w:color w:val="76328A"/>
        </w:rPr>
        <w:t>S</w:t>
      </w:r>
      <w:r w:rsidR="00D01D5D" w:rsidRPr="00661AB1">
        <w:rPr>
          <w:color w:val="76328A"/>
        </w:rPr>
        <w:t xml:space="preserve">tandards on the </w:t>
      </w:r>
      <w:r w:rsidR="00D01D5D">
        <w:rPr>
          <w:color w:val="76328A"/>
        </w:rPr>
        <w:t>R</w:t>
      </w:r>
      <w:r w:rsidR="00D01D5D" w:rsidRPr="00661AB1">
        <w:rPr>
          <w:color w:val="76328A"/>
        </w:rPr>
        <w:t xml:space="preserve">ights, </w:t>
      </w:r>
      <w:r w:rsidR="00D01D5D">
        <w:rPr>
          <w:color w:val="76328A"/>
        </w:rPr>
        <w:t>S</w:t>
      </w:r>
      <w:r w:rsidR="00D01D5D" w:rsidRPr="00661AB1">
        <w:rPr>
          <w:color w:val="76328A"/>
        </w:rPr>
        <w:t xml:space="preserve">upport and </w:t>
      </w:r>
      <w:r w:rsidR="00D01D5D">
        <w:rPr>
          <w:color w:val="76328A"/>
        </w:rPr>
        <w:t>P</w:t>
      </w:r>
      <w:r w:rsidR="00D01D5D" w:rsidRPr="00661AB1">
        <w:rPr>
          <w:color w:val="76328A"/>
        </w:rPr>
        <w:t xml:space="preserve">rotection of </w:t>
      </w:r>
      <w:r w:rsidR="00D01D5D">
        <w:rPr>
          <w:color w:val="76328A"/>
        </w:rPr>
        <w:t>V</w:t>
      </w:r>
      <w:r w:rsidR="00D01D5D" w:rsidRPr="00661AB1">
        <w:rPr>
          <w:color w:val="76328A"/>
        </w:rPr>
        <w:t xml:space="preserve">ictims of </w:t>
      </w:r>
      <w:r w:rsidR="00D01D5D">
        <w:rPr>
          <w:color w:val="76328A"/>
        </w:rPr>
        <w:t>C</w:t>
      </w:r>
      <w:r w:rsidR="00D01D5D" w:rsidRPr="00661AB1">
        <w:rPr>
          <w:color w:val="76328A"/>
        </w:rPr>
        <w:t>rime’, 25 October 2012.</w:t>
      </w:r>
    </w:p>
    <w:p w14:paraId="76F5F86B" w14:textId="77777777" w:rsidR="003607BC" w:rsidRDefault="003607BC" w:rsidP="0045051B">
      <w:pPr>
        <w:pStyle w:val="NIHRCFootnotes"/>
      </w:pPr>
    </w:p>
  </w:footnote>
  <w:footnote w:id="87">
    <w:p w14:paraId="00E17B08" w14:textId="77777777" w:rsidR="0082602E" w:rsidRPr="008D4E15" w:rsidRDefault="0082602E" w:rsidP="0045051B">
      <w:pPr>
        <w:pStyle w:val="NIHRCFootnotes"/>
      </w:pPr>
      <w:r w:rsidRPr="008D4E15">
        <w:rPr>
          <w:vertAlign w:val="superscript"/>
        </w:rPr>
        <w:footnoteRef/>
      </w:r>
      <w:r w:rsidRPr="008D4E15">
        <w:t xml:space="preserve"> Article 14 Convention on Combatting and Preventing Violence Against Women and Domestic Violence.</w:t>
      </w:r>
    </w:p>
  </w:footnote>
  <w:footnote w:id="88">
    <w:p w14:paraId="3763F8A0" w14:textId="4BDCA87F" w:rsidR="008A3EA4" w:rsidRPr="008A3EA4" w:rsidRDefault="008A3EA4">
      <w:pPr>
        <w:pStyle w:val="FootnoteText"/>
        <w:rPr>
          <w:rFonts w:ascii="Verdana" w:hAnsi="Verdana"/>
          <w:color w:val="76328A"/>
          <w:sz w:val="16"/>
          <w:szCs w:val="16"/>
        </w:rPr>
      </w:pPr>
      <w:r w:rsidRPr="008A3EA4">
        <w:rPr>
          <w:rStyle w:val="FootnoteReference"/>
          <w:rFonts w:ascii="Verdana" w:hAnsi="Verdana"/>
          <w:color w:val="76328A"/>
          <w:sz w:val="16"/>
          <w:szCs w:val="16"/>
        </w:rPr>
        <w:footnoteRef/>
      </w:r>
      <w:r w:rsidRPr="008A3EA4">
        <w:rPr>
          <w:rFonts w:ascii="Verdana" w:hAnsi="Verdana"/>
          <w:color w:val="76328A"/>
          <w:sz w:val="16"/>
          <w:szCs w:val="16"/>
        </w:rPr>
        <w:t xml:space="preserve"> Committee of the Parties to the Council of Europe Convention on the Protection of Children Against Sexual Exploitation and </w:t>
      </w:r>
      <w:r w:rsidR="00A657C6">
        <w:rPr>
          <w:rFonts w:ascii="Verdana" w:hAnsi="Verdana"/>
          <w:color w:val="76328A"/>
          <w:sz w:val="16"/>
          <w:szCs w:val="16"/>
        </w:rPr>
        <w:t>S</w:t>
      </w:r>
      <w:r w:rsidRPr="008A3EA4">
        <w:rPr>
          <w:rFonts w:ascii="Verdana" w:hAnsi="Verdana"/>
          <w:color w:val="76328A"/>
          <w:sz w:val="16"/>
          <w:szCs w:val="16"/>
        </w:rPr>
        <w:t>exual Abuse (Lanzarote Committee), ‘2nd Implementation Report: Protection of Children Against Sexual Abuse in the Circle Of Trust’ (CoE, 2018)</w:t>
      </w:r>
      <w:r w:rsidR="003E0206">
        <w:rPr>
          <w:rFonts w:ascii="Verdana" w:hAnsi="Verdana"/>
          <w:color w:val="76328A"/>
          <w:sz w:val="16"/>
          <w:szCs w:val="16"/>
        </w:rPr>
        <w:t>,</w:t>
      </w:r>
      <w:r w:rsidRPr="008A3EA4">
        <w:rPr>
          <w:rFonts w:ascii="Verdana" w:hAnsi="Verdana"/>
          <w:color w:val="76328A"/>
          <w:sz w:val="16"/>
          <w:szCs w:val="16"/>
        </w:rPr>
        <w:t xml:space="preserve"> at para 45.</w:t>
      </w:r>
    </w:p>
  </w:footnote>
  <w:footnote w:id="89">
    <w:p w14:paraId="2CB621B4" w14:textId="64CBE97C" w:rsidR="00883A8D" w:rsidRPr="004305A2" w:rsidRDefault="00883A8D" w:rsidP="0045051B">
      <w:pPr>
        <w:pStyle w:val="NIHRCFootnotes"/>
        <w:rPr>
          <w:color w:val="76328A"/>
        </w:rPr>
      </w:pPr>
      <w:r w:rsidRPr="008A3EA4">
        <w:rPr>
          <w:rStyle w:val="FootnoteReference"/>
          <w:color w:val="76328A"/>
        </w:rPr>
        <w:footnoteRef/>
      </w:r>
      <w:r w:rsidRPr="008A3EA4">
        <w:rPr>
          <w:color w:val="76328A"/>
        </w:rPr>
        <w:t xml:space="preserve"> </w:t>
      </w:r>
      <w:bookmarkStart w:id="23" w:name="_Hlk131521276"/>
      <w:r w:rsidRPr="008A3EA4">
        <w:rPr>
          <w:color w:val="76328A"/>
        </w:rPr>
        <w:t>CM/Rec</w:t>
      </w:r>
      <w:r w:rsidRPr="00DD1D85">
        <w:rPr>
          <w:color w:val="76328A"/>
        </w:rPr>
        <w:t xml:space="preserve">(2007)13, ‘Recommendation 13  of the </w:t>
      </w:r>
      <w:r w:rsidR="003E0206">
        <w:rPr>
          <w:color w:val="76328A"/>
        </w:rPr>
        <w:t xml:space="preserve">CoE </w:t>
      </w:r>
      <w:r w:rsidRPr="00DD1D85">
        <w:rPr>
          <w:color w:val="76328A"/>
        </w:rPr>
        <w:t>Committee of Ministers to Member States on Gender Mainstreaming in Education’, 10 October 2007 at para 44.</w:t>
      </w:r>
      <w:bookmarkEnd w:id="23"/>
    </w:p>
  </w:footnote>
  <w:footnote w:id="90">
    <w:p w14:paraId="6237CFDA" w14:textId="2C70E28B" w:rsidR="00883A8D" w:rsidRPr="00DD1D85" w:rsidRDefault="00883A8D" w:rsidP="0045051B">
      <w:pPr>
        <w:pStyle w:val="NIHRCFootnotes"/>
      </w:pPr>
      <w:r w:rsidRPr="00DD1D85">
        <w:rPr>
          <w:rStyle w:val="FootnoteReference"/>
          <w:color w:val="76328A"/>
        </w:rPr>
        <w:footnoteRef/>
      </w:r>
      <w:r w:rsidRPr="00DD1D85">
        <w:rPr>
          <w:color w:val="76328A"/>
        </w:rPr>
        <w:t xml:space="preserve"> </w:t>
      </w:r>
      <w:r w:rsidR="00A657C6">
        <w:rPr>
          <w:color w:val="76328A"/>
        </w:rPr>
        <w:t xml:space="preserve">Ibid, </w:t>
      </w:r>
      <w:r w:rsidRPr="00DD1D85">
        <w:rPr>
          <w:color w:val="76328A"/>
        </w:rPr>
        <w:t>at para 47.</w:t>
      </w:r>
    </w:p>
  </w:footnote>
  <w:footnote w:id="91">
    <w:p w14:paraId="31938C58" w14:textId="444C504C" w:rsidR="008A3EA4" w:rsidRPr="008A3EA4" w:rsidRDefault="008A3EA4" w:rsidP="008A3EA4">
      <w:pPr>
        <w:pStyle w:val="FootnoteText"/>
        <w:rPr>
          <w:rFonts w:ascii="Verdana" w:hAnsi="Verdana"/>
          <w:sz w:val="16"/>
          <w:szCs w:val="16"/>
        </w:rPr>
      </w:pPr>
      <w:r w:rsidRPr="008A3EA4">
        <w:rPr>
          <w:rFonts w:ascii="Verdana" w:hAnsi="Verdana"/>
          <w:color w:val="76328A"/>
          <w:sz w:val="16"/>
          <w:szCs w:val="16"/>
          <w:vertAlign w:val="superscript"/>
        </w:rPr>
        <w:footnoteRef/>
      </w:r>
      <w:r w:rsidRPr="008A3EA4">
        <w:rPr>
          <w:rFonts w:ascii="Verdana" w:hAnsi="Verdana"/>
          <w:color w:val="76328A"/>
          <w:sz w:val="16"/>
          <w:szCs w:val="16"/>
          <w:vertAlign w:val="superscript"/>
        </w:rPr>
        <w:t xml:space="preserve"> </w:t>
      </w:r>
      <w:r w:rsidRPr="003E0206">
        <w:rPr>
          <w:rFonts w:ascii="Verdana" w:hAnsi="Verdana"/>
          <w:i/>
          <w:iCs/>
          <w:color w:val="76328A"/>
          <w:sz w:val="16"/>
          <w:szCs w:val="16"/>
        </w:rPr>
        <w:t>AR and LR v Switzerland</w:t>
      </w:r>
      <w:r w:rsidRPr="008A3EA4">
        <w:rPr>
          <w:rFonts w:ascii="Verdana" w:hAnsi="Verdana"/>
          <w:color w:val="76328A"/>
          <w:sz w:val="16"/>
          <w:szCs w:val="16"/>
        </w:rPr>
        <w:t xml:space="preserve">, Application No 22338/15, </w:t>
      </w:r>
      <w:r w:rsidR="003E0206">
        <w:rPr>
          <w:rFonts w:ascii="Verdana" w:hAnsi="Verdana"/>
          <w:color w:val="76328A"/>
          <w:sz w:val="16"/>
          <w:szCs w:val="16"/>
        </w:rPr>
        <w:t>J</w:t>
      </w:r>
      <w:r w:rsidRPr="008A3EA4">
        <w:rPr>
          <w:rFonts w:ascii="Verdana" w:hAnsi="Verdana"/>
          <w:color w:val="76328A"/>
          <w:sz w:val="16"/>
          <w:szCs w:val="16"/>
        </w:rPr>
        <w:t>udgment of 18 January 2018.</w:t>
      </w:r>
    </w:p>
  </w:footnote>
  <w:footnote w:id="92">
    <w:p w14:paraId="78E25016" w14:textId="5237A0DC" w:rsidR="0009678D" w:rsidRPr="00E53A15" w:rsidRDefault="0009678D">
      <w:pPr>
        <w:pStyle w:val="FootnoteText"/>
        <w:rPr>
          <w:rFonts w:ascii="Verdana" w:hAnsi="Verdana"/>
          <w:color w:val="76328A"/>
          <w:sz w:val="16"/>
          <w:szCs w:val="16"/>
        </w:rPr>
      </w:pPr>
      <w:r w:rsidRPr="00E53A15">
        <w:rPr>
          <w:rStyle w:val="FootnoteReference"/>
          <w:rFonts w:ascii="Verdana" w:hAnsi="Verdana"/>
          <w:color w:val="76328A"/>
          <w:sz w:val="16"/>
          <w:szCs w:val="16"/>
        </w:rPr>
        <w:footnoteRef/>
      </w:r>
      <w:r w:rsidRPr="00E53A15">
        <w:rPr>
          <w:rFonts w:ascii="Verdana" w:hAnsi="Verdana"/>
          <w:color w:val="76328A"/>
          <w:sz w:val="16"/>
          <w:szCs w:val="16"/>
        </w:rPr>
        <w:t xml:space="preserve"> </w:t>
      </w:r>
      <w:r w:rsidR="001E3DA0" w:rsidRPr="001E3DA0">
        <w:rPr>
          <w:rFonts w:ascii="Verdana" w:hAnsi="Verdana"/>
          <w:color w:val="76328A"/>
          <w:sz w:val="16"/>
          <w:szCs w:val="16"/>
        </w:rPr>
        <w:t>A/47/38</w:t>
      </w:r>
      <w:r w:rsidR="00654D2B">
        <w:rPr>
          <w:rFonts w:ascii="Verdana" w:hAnsi="Verdana"/>
          <w:color w:val="76328A"/>
          <w:sz w:val="16"/>
          <w:szCs w:val="16"/>
        </w:rPr>
        <w:t>,</w:t>
      </w:r>
      <w:r w:rsidR="001E3DA0" w:rsidRPr="001E3DA0">
        <w:rPr>
          <w:rFonts w:ascii="Verdana" w:hAnsi="Verdana"/>
          <w:color w:val="76328A"/>
          <w:sz w:val="16"/>
          <w:szCs w:val="16"/>
        </w:rPr>
        <w:t xml:space="preserve"> </w:t>
      </w:r>
      <w:r w:rsidR="00654D2B">
        <w:rPr>
          <w:rFonts w:ascii="Verdana" w:hAnsi="Verdana"/>
          <w:color w:val="76328A"/>
          <w:sz w:val="16"/>
          <w:szCs w:val="16"/>
        </w:rPr>
        <w:t>‘</w:t>
      </w:r>
      <w:r w:rsidRPr="00E53A15">
        <w:rPr>
          <w:rFonts w:ascii="Verdana" w:hAnsi="Verdana"/>
          <w:color w:val="76328A"/>
          <w:sz w:val="16"/>
          <w:szCs w:val="16"/>
        </w:rPr>
        <w:t>UN CEDAW Committee General Recommendation No</w:t>
      </w:r>
      <w:r w:rsidR="00B11A87" w:rsidRPr="00E53A15">
        <w:rPr>
          <w:rFonts w:ascii="Verdana" w:hAnsi="Verdana"/>
          <w:color w:val="76328A"/>
          <w:sz w:val="16"/>
          <w:szCs w:val="16"/>
        </w:rPr>
        <w:t xml:space="preserve"> </w:t>
      </w:r>
      <w:r w:rsidRPr="00E53A15">
        <w:rPr>
          <w:rFonts w:ascii="Verdana" w:hAnsi="Verdana"/>
          <w:color w:val="76328A"/>
          <w:sz w:val="16"/>
          <w:szCs w:val="16"/>
        </w:rPr>
        <w:t>19: Violence against women</w:t>
      </w:r>
      <w:r w:rsidR="00654D2B">
        <w:rPr>
          <w:rFonts w:ascii="Verdana" w:hAnsi="Verdana"/>
          <w:color w:val="76328A"/>
          <w:sz w:val="16"/>
          <w:szCs w:val="16"/>
        </w:rPr>
        <w:t>’</w:t>
      </w:r>
      <w:r w:rsidRPr="00E53A15">
        <w:rPr>
          <w:rFonts w:ascii="Verdana" w:hAnsi="Verdana"/>
          <w:color w:val="76328A"/>
          <w:sz w:val="16"/>
          <w:szCs w:val="16"/>
        </w:rPr>
        <w:t>, 1992</w:t>
      </w:r>
      <w:r w:rsidR="00B11A87" w:rsidRPr="00E53A15">
        <w:rPr>
          <w:rFonts w:ascii="Verdana" w:hAnsi="Verdana"/>
          <w:color w:val="76328A"/>
          <w:sz w:val="16"/>
          <w:szCs w:val="16"/>
        </w:rPr>
        <w:t xml:space="preserve">, at </w:t>
      </w:r>
      <w:r w:rsidR="00353264" w:rsidRPr="00E53A15">
        <w:rPr>
          <w:rFonts w:ascii="Verdana" w:hAnsi="Verdana"/>
          <w:color w:val="76328A"/>
          <w:sz w:val="16"/>
          <w:szCs w:val="16"/>
        </w:rPr>
        <w:t xml:space="preserve">para 23. </w:t>
      </w:r>
    </w:p>
  </w:footnote>
  <w:footnote w:id="93">
    <w:p w14:paraId="77666CFC" w14:textId="02CC861F" w:rsidR="00AE22E6" w:rsidRPr="004F35F9" w:rsidRDefault="00AE22E6" w:rsidP="0045051B">
      <w:pPr>
        <w:pStyle w:val="NIHRCFootnotes"/>
      </w:pPr>
      <w:r w:rsidRPr="004F35F9">
        <w:rPr>
          <w:rStyle w:val="FootnoteReference"/>
          <w:color w:val="76328A"/>
        </w:rPr>
        <w:footnoteRef/>
      </w:r>
      <w:r w:rsidRPr="004F35F9">
        <w:rPr>
          <w:color w:val="76328A"/>
        </w:rPr>
        <w:t xml:space="preserve"> CEDAW/C/GBR/CO/8, ‘UN CEDAW Committee Concluding Observations on the Eighth Periodic Report of the UK of Great Britain and NI’, 14 March 2019, at para 29.</w:t>
      </w:r>
    </w:p>
  </w:footnote>
  <w:footnote w:id="94">
    <w:p w14:paraId="454932A8" w14:textId="1026A576" w:rsidR="00A83A85" w:rsidRPr="00A83A85" w:rsidRDefault="00A83A85">
      <w:pPr>
        <w:pStyle w:val="FootnoteText"/>
        <w:rPr>
          <w:rFonts w:ascii="Verdana" w:hAnsi="Verdana"/>
          <w:sz w:val="16"/>
          <w:szCs w:val="16"/>
        </w:rPr>
      </w:pPr>
      <w:r w:rsidRPr="00A83A85">
        <w:rPr>
          <w:rStyle w:val="FootnoteReference"/>
          <w:rFonts w:ascii="Verdana" w:hAnsi="Verdana"/>
          <w:color w:val="76328A"/>
          <w:sz w:val="16"/>
          <w:szCs w:val="16"/>
        </w:rPr>
        <w:footnoteRef/>
      </w:r>
      <w:r w:rsidRPr="00A83A85">
        <w:rPr>
          <w:rFonts w:ascii="Verdana" w:hAnsi="Verdana"/>
          <w:color w:val="76328A"/>
          <w:sz w:val="16"/>
          <w:szCs w:val="16"/>
        </w:rPr>
        <w:t xml:space="preserve"> Grainne Conolly, ‘Cost-of-living crisis trapping women in abusive relationships, charity says’, </w:t>
      </w:r>
      <w:r w:rsidRPr="009A16B4">
        <w:rPr>
          <w:rFonts w:ascii="Verdana" w:hAnsi="Verdana"/>
          <w:i/>
          <w:iCs/>
          <w:color w:val="76328A"/>
          <w:sz w:val="16"/>
          <w:szCs w:val="16"/>
        </w:rPr>
        <w:t>BBC New</w:t>
      </w:r>
      <w:r w:rsidR="009A16B4" w:rsidRPr="009A16B4">
        <w:rPr>
          <w:rFonts w:ascii="Verdana" w:hAnsi="Verdana"/>
          <w:i/>
          <w:iCs/>
          <w:color w:val="76328A"/>
          <w:sz w:val="16"/>
          <w:szCs w:val="16"/>
        </w:rPr>
        <w:t>s</w:t>
      </w:r>
      <w:r w:rsidRPr="00A83A85">
        <w:rPr>
          <w:rFonts w:ascii="Verdana" w:hAnsi="Verdana"/>
          <w:color w:val="76328A"/>
          <w:sz w:val="16"/>
          <w:szCs w:val="16"/>
        </w:rPr>
        <w:t xml:space="preserve">, 1 December 2022. </w:t>
      </w:r>
    </w:p>
  </w:footnote>
  <w:footnote w:id="95">
    <w:p w14:paraId="4FC0DD83" w14:textId="481590C4" w:rsidR="004174EC" w:rsidRPr="007609D1" w:rsidRDefault="004174EC" w:rsidP="0045051B">
      <w:pPr>
        <w:pStyle w:val="NIHRCFootnotes"/>
        <w:rPr>
          <w:color w:val="76328A"/>
        </w:rPr>
      </w:pPr>
      <w:r w:rsidRPr="007609D1">
        <w:rPr>
          <w:rStyle w:val="FootnoteReference"/>
          <w:color w:val="76328A"/>
        </w:rPr>
        <w:footnoteRef/>
      </w:r>
      <w:r w:rsidRPr="007609D1">
        <w:rPr>
          <w:color w:val="76328A"/>
        </w:rPr>
        <w:t xml:space="preserve"> </w:t>
      </w:r>
      <w:r w:rsidRPr="007609D1">
        <w:rPr>
          <w:i/>
          <w:iCs/>
          <w:color w:val="76328A"/>
        </w:rPr>
        <w:t>Buturuga v Romania</w:t>
      </w:r>
      <w:r w:rsidR="007609D1" w:rsidRPr="007609D1">
        <w:rPr>
          <w:color w:val="76328A"/>
        </w:rPr>
        <w:t xml:space="preserve"> (2020)</w:t>
      </w:r>
      <w:r w:rsidRPr="007609D1">
        <w:rPr>
          <w:color w:val="76328A"/>
        </w:rPr>
        <w:t xml:space="preserve"> ECHR 11</w:t>
      </w:r>
      <w:r w:rsidR="007609D1" w:rsidRPr="007609D1">
        <w:rPr>
          <w:color w:val="76328A"/>
        </w:rPr>
        <w:t>.</w:t>
      </w:r>
    </w:p>
  </w:footnote>
  <w:footnote w:id="96">
    <w:p w14:paraId="57070C2B" w14:textId="1312FA77" w:rsidR="004A30C8" w:rsidRPr="004F35F9" w:rsidRDefault="004A30C8" w:rsidP="0045051B">
      <w:pPr>
        <w:pStyle w:val="NIHRCFootnotes"/>
        <w:rPr>
          <w:color w:val="76328A"/>
        </w:rPr>
      </w:pPr>
      <w:r w:rsidRPr="004F35F9">
        <w:rPr>
          <w:rStyle w:val="FootnoteReference"/>
          <w:color w:val="76328A"/>
        </w:rPr>
        <w:footnoteRef/>
      </w:r>
      <w:r w:rsidRPr="004F35F9">
        <w:rPr>
          <w:color w:val="76328A"/>
        </w:rPr>
        <w:t xml:space="preserve"> European Parliamentary Research Service, ‘Combating </w:t>
      </w:r>
      <w:r w:rsidR="000225EE">
        <w:rPr>
          <w:color w:val="76328A"/>
        </w:rPr>
        <w:t>G</w:t>
      </w:r>
      <w:r w:rsidRPr="004F35F9">
        <w:rPr>
          <w:color w:val="76328A"/>
        </w:rPr>
        <w:t xml:space="preserve">ender-based </w:t>
      </w:r>
      <w:r w:rsidR="000225EE">
        <w:rPr>
          <w:color w:val="76328A"/>
        </w:rPr>
        <w:t>V</w:t>
      </w:r>
      <w:r w:rsidRPr="004F35F9">
        <w:rPr>
          <w:color w:val="76328A"/>
        </w:rPr>
        <w:t xml:space="preserve">iolence: Cyber </w:t>
      </w:r>
      <w:r w:rsidR="000225EE">
        <w:rPr>
          <w:color w:val="76328A"/>
        </w:rPr>
        <w:t>V</w:t>
      </w:r>
      <w:r w:rsidRPr="004F35F9">
        <w:rPr>
          <w:color w:val="76328A"/>
        </w:rPr>
        <w:t>iolence’</w:t>
      </w:r>
      <w:r w:rsidR="000225EE">
        <w:rPr>
          <w:color w:val="76328A"/>
        </w:rPr>
        <w:t xml:space="preserve"> (EPRS,</w:t>
      </w:r>
      <w:r w:rsidRPr="004F35F9">
        <w:rPr>
          <w:color w:val="76328A"/>
        </w:rPr>
        <w:t xml:space="preserve"> 2021</w:t>
      </w:r>
      <w:r w:rsidR="000225EE">
        <w:rPr>
          <w:color w:val="76328A"/>
        </w:rPr>
        <w:t>)</w:t>
      </w:r>
      <w:r w:rsidRPr="004F35F9">
        <w:rPr>
          <w:color w:val="76328A"/>
        </w:rPr>
        <w:t xml:space="preserve">. </w:t>
      </w:r>
    </w:p>
  </w:footnote>
  <w:footnote w:id="97">
    <w:p w14:paraId="0528861A" w14:textId="35A65B70" w:rsidR="007609D1" w:rsidRPr="00100A11" w:rsidRDefault="007609D1" w:rsidP="0045051B">
      <w:pPr>
        <w:pStyle w:val="NIHRCFootnotes"/>
        <w:rPr>
          <w:color w:val="76328A"/>
        </w:rPr>
      </w:pPr>
      <w:r w:rsidRPr="006D2E3F">
        <w:rPr>
          <w:rStyle w:val="FootnoteReference"/>
          <w:color w:val="76328A"/>
        </w:rPr>
        <w:footnoteRef/>
      </w:r>
      <w:r w:rsidRPr="006D2E3F">
        <w:rPr>
          <w:color w:val="76328A"/>
        </w:rPr>
        <w:t>James Clayton &amp; Jasmin Dyer, ‘Apple AirTags - A perfect tool for stalking’</w:t>
      </w:r>
      <w:r w:rsidR="006D2E3F" w:rsidRPr="006D2E3F">
        <w:rPr>
          <w:color w:val="76328A"/>
        </w:rPr>
        <w:t xml:space="preserve">, </w:t>
      </w:r>
      <w:r w:rsidR="006D2E3F" w:rsidRPr="006D2E3F">
        <w:rPr>
          <w:i/>
          <w:iCs/>
          <w:color w:val="76328A"/>
        </w:rPr>
        <w:t>BBC New</w:t>
      </w:r>
      <w:r w:rsidR="009A16B4">
        <w:rPr>
          <w:i/>
          <w:iCs/>
          <w:color w:val="76328A"/>
        </w:rPr>
        <w:t>s</w:t>
      </w:r>
      <w:r w:rsidR="006D2E3F" w:rsidRPr="006D2E3F">
        <w:rPr>
          <w:color w:val="76328A"/>
        </w:rPr>
        <w:t xml:space="preserve">, 20 January 2022. </w:t>
      </w:r>
    </w:p>
  </w:footnote>
  <w:footnote w:id="98">
    <w:p w14:paraId="65BCB403" w14:textId="77777777" w:rsidR="005255D7" w:rsidRPr="00834510" w:rsidRDefault="005255D7" w:rsidP="0045051B">
      <w:pPr>
        <w:pStyle w:val="NIHRCFootnotes"/>
      </w:pPr>
      <w:r w:rsidRPr="00834510">
        <w:rPr>
          <w:rStyle w:val="FootnoteReference"/>
        </w:rPr>
        <w:footnoteRef/>
      </w:r>
      <w:r w:rsidRPr="00834510">
        <w:t xml:space="preserve"> </w:t>
      </w:r>
      <w:bookmarkStart w:id="29" w:name="_Hlk131334909"/>
      <w:r w:rsidRPr="00834510">
        <w:t xml:space="preserve">CEDAW/C/GBR/CO/8, ‘UN CEDAW Committee Concluding Observations on the Eighth Periodic Report of the UK of Great Britain and NI’, 14 March 2019, at para 29. </w:t>
      </w:r>
      <w:bookmarkEnd w:id="29"/>
    </w:p>
  </w:footnote>
  <w:footnote w:id="99">
    <w:p w14:paraId="2A6B47B9" w14:textId="6A767D3D" w:rsidR="00E64E3F" w:rsidRDefault="00E64E3F" w:rsidP="0045051B">
      <w:pPr>
        <w:pStyle w:val="NIHRCFootnotes"/>
      </w:pPr>
      <w:r w:rsidRPr="004F35F9">
        <w:rPr>
          <w:rStyle w:val="FootnoteReference"/>
          <w:color w:val="76328A"/>
        </w:rPr>
        <w:footnoteRef/>
      </w:r>
      <w:r w:rsidRPr="004F35F9">
        <w:rPr>
          <w:color w:val="76328A"/>
        </w:rPr>
        <w:t xml:space="preserve"> </w:t>
      </w:r>
      <w:r w:rsidR="000D66A8" w:rsidRPr="004F35F9">
        <w:rPr>
          <w:color w:val="76328A"/>
          <w:lang w:val="en-US"/>
        </w:rPr>
        <w:t>A/Res/48/104</w:t>
      </w:r>
      <w:r w:rsidR="004F35F9" w:rsidRPr="004F35F9">
        <w:rPr>
          <w:color w:val="76328A"/>
          <w:lang w:val="en-US"/>
        </w:rPr>
        <w:t>,</w:t>
      </w:r>
      <w:r w:rsidR="000D66A8" w:rsidRPr="004F35F9">
        <w:rPr>
          <w:color w:val="76328A"/>
          <w:lang w:val="en-US"/>
        </w:rPr>
        <w:t xml:space="preserve"> ‘</w:t>
      </w:r>
      <w:r w:rsidR="00881BDE" w:rsidRPr="004F35F9">
        <w:rPr>
          <w:color w:val="76328A"/>
          <w:lang w:val="en-US"/>
        </w:rPr>
        <w:t>UN General Assembly Declaration on the Elimination of Violence against Women</w:t>
      </w:r>
      <w:r w:rsidR="000225EE">
        <w:rPr>
          <w:color w:val="76328A"/>
          <w:lang w:val="en-US"/>
        </w:rPr>
        <w:t>’</w:t>
      </w:r>
      <w:r w:rsidR="00881BDE" w:rsidRPr="004F35F9">
        <w:rPr>
          <w:color w:val="76328A"/>
          <w:lang w:val="en-US"/>
        </w:rPr>
        <w:t>, 1993.</w:t>
      </w:r>
    </w:p>
  </w:footnote>
  <w:footnote w:id="100">
    <w:p w14:paraId="6C009366" w14:textId="18D4D123" w:rsidR="00527650" w:rsidRPr="004528D9" w:rsidRDefault="00527650" w:rsidP="0045051B">
      <w:pPr>
        <w:pStyle w:val="NIHRCFootnotes"/>
        <w:rPr>
          <w:color w:val="76328A"/>
        </w:rPr>
      </w:pPr>
      <w:r w:rsidRPr="004528D9">
        <w:rPr>
          <w:rStyle w:val="FootnoteReference"/>
          <w:color w:val="76328A"/>
        </w:rPr>
        <w:footnoteRef/>
      </w:r>
      <w:r w:rsidR="0063145F">
        <w:rPr>
          <w:color w:val="76328A"/>
          <w:lang w:val="en-US"/>
        </w:rPr>
        <w:t xml:space="preserve">Ibid, </w:t>
      </w:r>
      <w:r w:rsidR="000225EE">
        <w:rPr>
          <w:color w:val="76328A"/>
          <w:lang w:val="en-US"/>
        </w:rPr>
        <w:t xml:space="preserve">at </w:t>
      </w:r>
      <w:r w:rsidRPr="004528D9">
        <w:rPr>
          <w:color w:val="76328A"/>
          <w:lang w:val="en-US"/>
        </w:rPr>
        <w:t>Article 4(l).</w:t>
      </w:r>
    </w:p>
  </w:footnote>
  <w:footnote w:id="101">
    <w:p w14:paraId="10534B58" w14:textId="30827220" w:rsidR="00380DF6" w:rsidRPr="004528D9" w:rsidRDefault="00380DF6" w:rsidP="0045051B">
      <w:pPr>
        <w:pStyle w:val="NIHRCFootnotes"/>
        <w:rPr>
          <w:color w:val="76328A"/>
        </w:rPr>
      </w:pPr>
      <w:r w:rsidRPr="004528D9">
        <w:rPr>
          <w:rStyle w:val="FootnoteReference"/>
          <w:color w:val="76328A"/>
        </w:rPr>
        <w:footnoteRef/>
      </w:r>
      <w:r w:rsidRPr="004528D9">
        <w:rPr>
          <w:color w:val="76328A"/>
        </w:rPr>
        <w:t xml:space="preserve"> Recital 9, </w:t>
      </w:r>
      <w:r w:rsidR="000225EE" w:rsidRPr="00661AB1">
        <w:rPr>
          <w:color w:val="76328A"/>
        </w:rPr>
        <w:t xml:space="preserve">Directive 2012/29/EU, ‘Directive of the European Parliament and of the Council </w:t>
      </w:r>
      <w:r w:rsidR="000225EE">
        <w:rPr>
          <w:color w:val="76328A"/>
        </w:rPr>
        <w:t>E</w:t>
      </w:r>
      <w:r w:rsidR="000225EE" w:rsidRPr="00661AB1">
        <w:rPr>
          <w:color w:val="76328A"/>
        </w:rPr>
        <w:t xml:space="preserve">stablishing </w:t>
      </w:r>
      <w:r w:rsidR="000225EE">
        <w:rPr>
          <w:color w:val="76328A"/>
        </w:rPr>
        <w:t>M</w:t>
      </w:r>
      <w:r w:rsidR="000225EE" w:rsidRPr="00661AB1">
        <w:rPr>
          <w:color w:val="76328A"/>
        </w:rPr>
        <w:t xml:space="preserve">inimum </w:t>
      </w:r>
      <w:r w:rsidR="000225EE">
        <w:rPr>
          <w:color w:val="76328A"/>
        </w:rPr>
        <w:t>S</w:t>
      </w:r>
      <w:r w:rsidR="000225EE" w:rsidRPr="00661AB1">
        <w:rPr>
          <w:color w:val="76328A"/>
        </w:rPr>
        <w:t xml:space="preserve">tandards on the </w:t>
      </w:r>
      <w:r w:rsidR="000225EE">
        <w:rPr>
          <w:color w:val="76328A"/>
        </w:rPr>
        <w:t>R</w:t>
      </w:r>
      <w:r w:rsidR="000225EE" w:rsidRPr="00661AB1">
        <w:rPr>
          <w:color w:val="76328A"/>
        </w:rPr>
        <w:t xml:space="preserve">ights, </w:t>
      </w:r>
      <w:r w:rsidR="000225EE">
        <w:rPr>
          <w:color w:val="76328A"/>
        </w:rPr>
        <w:t>S</w:t>
      </w:r>
      <w:r w:rsidR="000225EE" w:rsidRPr="00661AB1">
        <w:rPr>
          <w:color w:val="76328A"/>
        </w:rPr>
        <w:t xml:space="preserve">upport and </w:t>
      </w:r>
      <w:r w:rsidR="000225EE">
        <w:rPr>
          <w:color w:val="76328A"/>
        </w:rPr>
        <w:t>P</w:t>
      </w:r>
      <w:r w:rsidR="000225EE" w:rsidRPr="00661AB1">
        <w:rPr>
          <w:color w:val="76328A"/>
        </w:rPr>
        <w:t xml:space="preserve">rotection of </w:t>
      </w:r>
      <w:r w:rsidR="000225EE">
        <w:rPr>
          <w:color w:val="76328A"/>
        </w:rPr>
        <w:t>V</w:t>
      </w:r>
      <w:r w:rsidR="000225EE" w:rsidRPr="00661AB1">
        <w:rPr>
          <w:color w:val="76328A"/>
        </w:rPr>
        <w:t xml:space="preserve">ictims of </w:t>
      </w:r>
      <w:r w:rsidR="000225EE">
        <w:rPr>
          <w:color w:val="76328A"/>
        </w:rPr>
        <w:t>C</w:t>
      </w:r>
      <w:r w:rsidR="000225EE" w:rsidRPr="00661AB1">
        <w:rPr>
          <w:color w:val="76328A"/>
        </w:rPr>
        <w:t>rime’, 25 October 2012.</w:t>
      </w:r>
    </w:p>
  </w:footnote>
  <w:footnote w:id="102">
    <w:p w14:paraId="0F28F09D" w14:textId="51AA7AAC" w:rsidR="005441D4" w:rsidRPr="001F1D2B" w:rsidRDefault="005441D4" w:rsidP="0045051B">
      <w:pPr>
        <w:pStyle w:val="NIHRCFootnotes"/>
      </w:pPr>
      <w:r w:rsidRPr="001F1D2B">
        <w:rPr>
          <w:rStyle w:val="FootnoteReference"/>
          <w:rFonts w:cs="Cambria"/>
        </w:rPr>
        <w:footnoteRef/>
      </w:r>
      <w:r w:rsidRPr="001F1D2B">
        <w:rPr>
          <w:rFonts w:cs="Cambria"/>
        </w:rPr>
        <w:t xml:space="preserve"> </w:t>
      </w:r>
      <w:r w:rsidR="003317DB">
        <w:rPr>
          <w:rFonts w:cs="Cambria"/>
        </w:rPr>
        <w:t>Ibid.</w:t>
      </w:r>
    </w:p>
  </w:footnote>
  <w:footnote w:id="103">
    <w:p w14:paraId="58762E7E" w14:textId="190167B5" w:rsidR="00F5057D" w:rsidRPr="00100C57" w:rsidRDefault="00F5057D" w:rsidP="0045051B">
      <w:pPr>
        <w:pStyle w:val="NIHRCFootnotes"/>
        <w:rPr>
          <w:color w:val="76328A"/>
        </w:rPr>
      </w:pPr>
      <w:r w:rsidRPr="00100C57">
        <w:rPr>
          <w:rStyle w:val="FootnoteReference"/>
          <w:color w:val="76328A"/>
        </w:rPr>
        <w:footnoteRef/>
      </w:r>
      <w:r w:rsidRPr="00100C57">
        <w:rPr>
          <w:color w:val="76328A"/>
        </w:rPr>
        <w:t xml:space="preserve"> </w:t>
      </w:r>
      <w:r w:rsidR="00292CE8" w:rsidRPr="00100C57">
        <w:rPr>
          <w:color w:val="76328A"/>
          <w:lang w:val="en-US"/>
        </w:rPr>
        <w:t>UN CRPD, Preamble,</w:t>
      </w:r>
      <w:r w:rsidR="000225EE">
        <w:rPr>
          <w:color w:val="76328A"/>
          <w:lang w:val="en-US"/>
        </w:rPr>
        <w:t xml:space="preserve"> at</w:t>
      </w:r>
      <w:r w:rsidR="00292CE8" w:rsidRPr="00100C57">
        <w:rPr>
          <w:color w:val="76328A"/>
          <w:lang w:val="en-US"/>
        </w:rPr>
        <w:t xml:space="preserve"> para q; </w:t>
      </w:r>
      <w:r w:rsidR="00292CE8" w:rsidRPr="00100C57">
        <w:rPr>
          <w:color w:val="76328A"/>
        </w:rPr>
        <w:t xml:space="preserve">CRC/C/GC/9, ‘UN </w:t>
      </w:r>
      <w:r w:rsidR="00292CE8" w:rsidRPr="00100C57">
        <w:rPr>
          <w:color w:val="76328A"/>
          <w:lang w:val="en-US"/>
        </w:rPr>
        <w:t xml:space="preserve">CRC Committee General Comment </w:t>
      </w:r>
      <w:r w:rsidR="000225EE">
        <w:rPr>
          <w:color w:val="76328A"/>
          <w:lang w:val="en-US"/>
        </w:rPr>
        <w:t xml:space="preserve">No </w:t>
      </w:r>
      <w:r w:rsidR="00292CE8" w:rsidRPr="00100C57">
        <w:rPr>
          <w:color w:val="76328A"/>
          <w:lang w:val="en-US"/>
        </w:rPr>
        <w:t>9</w:t>
      </w:r>
      <w:r w:rsidR="000225EE">
        <w:rPr>
          <w:color w:val="76328A"/>
          <w:lang w:val="en-US"/>
        </w:rPr>
        <w:t>:</w:t>
      </w:r>
      <w:r w:rsidR="00292CE8" w:rsidRPr="00100C57">
        <w:rPr>
          <w:color w:val="76328A"/>
          <w:lang w:val="en-US"/>
        </w:rPr>
        <w:t xml:space="preserve"> </w:t>
      </w:r>
      <w:r w:rsidR="00FA5018">
        <w:rPr>
          <w:color w:val="76328A"/>
          <w:lang w:val="en-US"/>
        </w:rPr>
        <w:t>R</w:t>
      </w:r>
      <w:r w:rsidR="00292CE8" w:rsidRPr="00100C57">
        <w:rPr>
          <w:color w:val="76328A"/>
          <w:lang w:val="en-US"/>
        </w:rPr>
        <w:t xml:space="preserve">ights of </w:t>
      </w:r>
      <w:r w:rsidR="00FA5018">
        <w:rPr>
          <w:color w:val="76328A"/>
          <w:lang w:val="en-US"/>
        </w:rPr>
        <w:t>C</w:t>
      </w:r>
      <w:r w:rsidR="00292CE8" w:rsidRPr="00100C57">
        <w:rPr>
          <w:color w:val="76328A"/>
          <w:lang w:val="en-US"/>
        </w:rPr>
        <w:t xml:space="preserve">hildren with </w:t>
      </w:r>
      <w:r w:rsidR="00FA5018">
        <w:rPr>
          <w:color w:val="76328A"/>
          <w:lang w:val="en-US"/>
        </w:rPr>
        <w:t>D</w:t>
      </w:r>
      <w:r w:rsidR="00292CE8" w:rsidRPr="00100C57">
        <w:rPr>
          <w:color w:val="76328A"/>
          <w:lang w:val="en-US"/>
        </w:rPr>
        <w:t xml:space="preserve">isabilities’, 27 February 2007, at para 42; </w:t>
      </w:r>
      <w:r w:rsidR="00292CE8" w:rsidRPr="00292CE8">
        <w:rPr>
          <w:color w:val="76328A"/>
        </w:rPr>
        <w:t>CEDAW/C/GBR/CO/8, ‘UN CEDAW Committee Concluding Observations on the Eighth Periodic Report of the UK of Great Britain and NI’, 14 March 2019, at para 29</w:t>
      </w:r>
      <w:r w:rsidR="00292CE8" w:rsidRPr="00100C57">
        <w:rPr>
          <w:color w:val="76328A"/>
        </w:rPr>
        <w:t xml:space="preserve">; </w:t>
      </w:r>
      <w:r w:rsidR="00292CE8" w:rsidRPr="00100C57">
        <w:rPr>
          <w:color w:val="76328A"/>
          <w:lang w:val="en-US"/>
        </w:rPr>
        <w:t xml:space="preserve">CEDAW/C/32/D/2/2003, </w:t>
      </w:r>
      <w:r w:rsidR="00292CE8" w:rsidRPr="00100C57">
        <w:rPr>
          <w:i/>
          <w:color w:val="76328A"/>
          <w:lang w:val="en-US"/>
        </w:rPr>
        <w:t>A</w:t>
      </w:r>
      <w:r w:rsidR="000225EE">
        <w:rPr>
          <w:i/>
          <w:color w:val="76328A"/>
          <w:lang w:val="en-US"/>
        </w:rPr>
        <w:t>T</w:t>
      </w:r>
      <w:r w:rsidR="00292CE8" w:rsidRPr="00100C57">
        <w:rPr>
          <w:i/>
          <w:color w:val="76328A"/>
          <w:lang w:val="en-US"/>
        </w:rPr>
        <w:t xml:space="preserve"> v Hungary</w:t>
      </w:r>
      <w:r w:rsidR="00292CE8" w:rsidRPr="00100C57">
        <w:rPr>
          <w:color w:val="76328A"/>
          <w:lang w:val="en-US"/>
        </w:rPr>
        <w:t>, 26 January 2005, at para 9.4.</w:t>
      </w:r>
    </w:p>
  </w:footnote>
  <w:footnote w:id="104">
    <w:p w14:paraId="781F80C3" w14:textId="6B036368" w:rsidR="009F7191" w:rsidRPr="00A83A85" w:rsidRDefault="009F7191">
      <w:pPr>
        <w:pStyle w:val="FootnoteText"/>
        <w:rPr>
          <w:rFonts w:ascii="Verdana" w:hAnsi="Verdana"/>
          <w:sz w:val="16"/>
          <w:szCs w:val="16"/>
        </w:rPr>
      </w:pPr>
      <w:r w:rsidRPr="00A83A85">
        <w:rPr>
          <w:rStyle w:val="FootnoteReference"/>
          <w:rFonts w:ascii="Verdana" w:hAnsi="Verdana"/>
          <w:color w:val="76328A"/>
          <w:sz w:val="16"/>
          <w:szCs w:val="16"/>
        </w:rPr>
        <w:footnoteRef/>
      </w:r>
      <w:r w:rsidRPr="00A83A85">
        <w:rPr>
          <w:rFonts w:ascii="Verdana" w:hAnsi="Verdana"/>
          <w:color w:val="76328A"/>
          <w:sz w:val="16"/>
          <w:szCs w:val="16"/>
        </w:rPr>
        <w:t xml:space="preserve"> </w:t>
      </w:r>
      <w:r w:rsidR="00A83A85" w:rsidRPr="00A83A85">
        <w:rPr>
          <w:rFonts w:ascii="Verdana" w:hAnsi="Verdana"/>
          <w:color w:val="76328A"/>
          <w:sz w:val="16"/>
          <w:szCs w:val="16"/>
        </w:rPr>
        <w:t>CEDAW/C/GBR/CO/8, ‘UN CEDAW Committee Concluding Observations on the UK Eighth Periodic Report’, 8 March 2019 at para 24</w:t>
      </w:r>
      <w:r w:rsidR="000F67CE">
        <w:rPr>
          <w:rFonts w:ascii="Verdana" w:hAnsi="Verdana"/>
          <w:color w:val="76328A"/>
          <w:sz w:val="16"/>
          <w:szCs w:val="16"/>
        </w:rPr>
        <w:t xml:space="preserve">; </w:t>
      </w:r>
      <w:r w:rsidR="000F67CE" w:rsidRPr="000F67CE">
        <w:rPr>
          <w:rFonts w:ascii="Verdana" w:hAnsi="Verdana"/>
          <w:color w:val="76328A"/>
          <w:sz w:val="16"/>
          <w:szCs w:val="16"/>
          <w:lang w:val="en-US"/>
        </w:rPr>
        <w:t>Council of Europe, ‘Parliamentary Assembly Resolution 1697</w:t>
      </w:r>
      <w:r w:rsidR="001B0B41">
        <w:rPr>
          <w:rFonts w:ascii="Verdana" w:hAnsi="Verdana"/>
          <w:color w:val="76328A"/>
          <w:sz w:val="16"/>
          <w:szCs w:val="16"/>
          <w:lang w:val="en-US"/>
        </w:rPr>
        <w:t xml:space="preserve">: </w:t>
      </w:r>
      <w:r w:rsidR="000F67CE" w:rsidRPr="000F67CE">
        <w:rPr>
          <w:rFonts w:ascii="Verdana" w:hAnsi="Verdana"/>
          <w:color w:val="76328A"/>
          <w:sz w:val="16"/>
          <w:szCs w:val="16"/>
          <w:lang w:val="en-US"/>
        </w:rPr>
        <w:t xml:space="preserve">Migrant Women </w:t>
      </w:r>
      <w:r w:rsidR="001B0B41">
        <w:rPr>
          <w:rFonts w:ascii="Verdana" w:hAnsi="Verdana"/>
          <w:color w:val="76328A"/>
          <w:sz w:val="16"/>
          <w:szCs w:val="16"/>
          <w:lang w:val="en-US"/>
        </w:rPr>
        <w:t>A</w:t>
      </w:r>
      <w:r w:rsidR="000F67CE" w:rsidRPr="000F67CE">
        <w:rPr>
          <w:rFonts w:ascii="Verdana" w:hAnsi="Verdana"/>
          <w:color w:val="76328A"/>
          <w:sz w:val="16"/>
          <w:szCs w:val="16"/>
          <w:lang w:val="en-US"/>
        </w:rPr>
        <w:t xml:space="preserve">t </w:t>
      </w:r>
      <w:r w:rsidR="001B0B41">
        <w:rPr>
          <w:rFonts w:ascii="Verdana" w:hAnsi="Verdana"/>
          <w:color w:val="76328A"/>
          <w:sz w:val="16"/>
          <w:szCs w:val="16"/>
          <w:lang w:val="en-US"/>
        </w:rPr>
        <w:t>P</w:t>
      </w:r>
      <w:r w:rsidR="000F67CE" w:rsidRPr="000F67CE">
        <w:rPr>
          <w:rFonts w:ascii="Verdana" w:hAnsi="Verdana"/>
          <w:color w:val="76328A"/>
          <w:sz w:val="16"/>
          <w:szCs w:val="16"/>
          <w:lang w:val="en-US"/>
        </w:rPr>
        <w:t xml:space="preserve">articular </w:t>
      </w:r>
      <w:r w:rsidR="001B0B41">
        <w:rPr>
          <w:rFonts w:ascii="Verdana" w:hAnsi="Verdana"/>
          <w:color w:val="76328A"/>
          <w:sz w:val="16"/>
          <w:szCs w:val="16"/>
          <w:lang w:val="en-US"/>
        </w:rPr>
        <w:t>R</w:t>
      </w:r>
      <w:r w:rsidR="000F67CE" w:rsidRPr="000F67CE">
        <w:rPr>
          <w:rFonts w:ascii="Verdana" w:hAnsi="Verdana"/>
          <w:color w:val="76328A"/>
          <w:sz w:val="16"/>
          <w:szCs w:val="16"/>
          <w:lang w:val="en-US"/>
        </w:rPr>
        <w:t xml:space="preserve">isk from </w:t>
      </w:r>
      <w:r w:rsidR="001B0B41">
        <w:rPr>
          <w:rFonts w:ascii="Verdana" w:hAnsi="Verdana"/>
          <w:color w:val="76328A"/>
          <w:sz w:val="16"/>
          <w:szCs w:val="16"/>
          <w:lang w:val="en-US"/>
        </w:rPr>
        <w:t>D</w:t>
      </w:r>
      <w:r w:rsidR="000F67CE" w:rsidRPr="000F67CE">
        <w:rPr>
          <w:rFonts w:ascii="Verdana" w:hAnsi="Verdana"/>
          <w:color w:val="76328A"/>
          <w:sz w:val="16"/>
          <w:szCs w:val="16"/>
          <w:lang w:val="en-US"/>
        </w:rPr>
        <w:t xml:space="preserve">omestic </w:t>
      </w:r>
      <w:r w:rsidR="001B0B41">
        <w:rPr>
          <w:rFonts w:ascii="Verdana" w:hAnsi="Verdana"/>
          <w:color w:val="76328A"/>
          <w:sz w:val="16"/>
          <w:szCs w:val="16"/>
          <w:lang w:val="en-US"/>
        </w:rPr>
        <w:t>V</w:t>
      </w:r>
      <w:r w:rsidR="000F67CE" w:rsidRPr="000F67CE">
        <w:rPr>
          <w:rFonts w:ascii="Verdana" w:hAnsi="Verdana"/>
          <w:color w:val="76328A"/>
          <w:sz w:val="16"/>
          <w:szCs w:val="16"/>
          <w:lang w:val="en-US"/>
        </w:rPr>
        <w:t>iolence’, 20 November 2009, at para 4.2.</w:t>
      </w:r>
    </w:p>
  </w:footnote>
  <w:footnote w:id="105">
    <w:p w14:paraId="11D9B9D1" w14:textId="25E40C8E" w:rsidR="00F5057D" w:rsidRPr="00100C57" w:rsidRDefault="00F5057D" w:rsidP="0045051B">
      <w:pPr>
        <w:pStyle w:val="NIHRCFootnotes"/>
        <w:rPr>
          <w:color w:val="76328A"/>
        </w:rPr>
      </w:pPr>
      <w:r w:rsidRPr="00100C57">
        <w:rPr>
          <w:rStyle w:val="FootnoteReference"/>
          <w:color w:val="76328A"/>
        </w:rPr>
        <w:footnoteRef/>
      </w:r>
      <w:r w:rsidRPr="00100C57">
        <w:rPr>
          <w:color w:val="76328A"/>
        </w:rPr>
        <w:t xml:space="preserve"> </w:t>
      </w:r>
      <w:r w:rsidR="001E3808" w:rsidRPr="001E3808">
        <w:rPr>
          <w:color w:val="76328A"/>
        </w:rPr>
        <w:t>CEDAW/C/GBR/CO/8, ‘UN CEDAW Committee Concluding Observations on the Eighth Periodic Report of the UK of Great Britain and NI’, 14 March 2019, at para 29</w:t>
      </w:r>
      <w:r w:rsidR="000A2E1D">
        <w:rPr>
          <w:color w:val="76328A"/>
        </w:rPr>
        <w:t xml:space="preserve">; </w:t>
      </w:r>
      <w:r w:rsidR="001E3808" w:rsidRPr="001E3808">
        <w:rPr>
          <w:color w:val="76328A"/>
          <w:lang w:val="en-US"/>
        </w:rPr>
        <w:t>CEDAW/C/52/D/32/2011,</w:t>
      </w:r>
      <w:r w:rsidR="001E3808" w:rsidRPr="001E3808">
        <w:rPr>
          <w:color w:val="76328A"/>
        </w:rPr>
        <w:t xml:space="preserve"> </w:t>
      </w:r>
      <w:r w:rsidR="001E3808" w:rsidRPr="001E3808">
        <w:rPr>
          <w:i/>
          <w:color w:val="76328A"/>
          <w:lang w:val="en-US"/>
        </w:rPr>
        <w:t>Jallow v Bulgaria</w:t>
      </w:r>
      <w:r w:rsidR="001E3808" w:rsidRPr="001E3808">
        <w:rPr>
          <w:color w:val="76328A"/>
          <w:lang w:val="en-US"/>
        </w:rPr>
        <w:t>, 28 August 2012, at para 8.5</w:t>
      </w:r>
      <w:r w:rsidR="000A2E1D">
        <w:rPr>
          <w:color w:val="76328A"/>
          <w:lang w:val="en-US"/>
        </w:rPr>
        <w:t xml:space="preserve">; </w:t>
      </w:r>
      <w:r w:rsidR="001E3808" w:rsidRPr="001E3808">
        <w:rPr>
          <w:color w:val="76328A"/>
          <w:lang w:val="en-US"/>
        </w:rPr>
        <w:t>Council of Europe, ‘Parliamentary Assembly Resolution 1697</w:t>
      </w:r>
      <w:r w:rsidR="008453AD">
        <w:rPr>
          <w:color w:val="76328A"/>
          <w:lang w:val="en-US"/>
        </w:rPr>
        <w:t xml:space="preserve">: </w:t>
      </w:r>
      <w:r w:rsidR="001E3808" w:rsidRPr="001E3808">
        <w:rPr>
          <w:color w:val="76328A"/>
          <w:lang w:val="en-US"/>
        </w:rPr>
        <w:t>Migrant Wome</w:t>
      </w:r>
      <w:r w:rsidR="008453AD">
        <w:rPr>
          <w:color w:val="76328A"/>
          <w:lang w:val="en-US"/>
        </w:rPr>
        <w:t>n A</w:t>
      </w:r>
      <w:r w:rsidR="001E3808" w:rsidRPr="001E3808">
        <w:rPr>
          <w:color w:val="76328A"/>
          <w:lang w:val="en-US"/>
        </w:rPr>
        <w:t xml:space="preserve">t </w:t>
      </w:r>
      <w:r w:rsidR="00FA5018">
        <w:rPr>
          <w:color w:val="76328A"/>
          <w:lang w:val="en-US"/>
        </w:rPr>
        <w:t>P</w:t>
      </w:r>
      <w:r w:rsidR="001E3808" w:rsidRPr="001E3808">
        <w:rPr>
          <w:color w:val="76328A"/>
          <w:lang w:val="en-US"/>
        </w:rPr>
        <w:t xml:space="preserve">articular </w:t>
      </w:r>
      <w:r w:rsidR="00FA5018">
        <w:rPr>
          <w:color w:val="76328A"/>
          <w:lang w:val="en-US"/>
        </w:rPr>
        <w:t>R</w:t>
      </w:r>
      <w:r w:rsidR="001E3808" w:rsidRPr="001E3808">
        <w:rPr>
          <w:color w:val="76328A"/>
          <w:lang w:val="en-US"/>
        </w:rPr>
        <w:t xml:space="preserve">isk from </w:t>
      </w:r>
      <w:r w:rsidR="00FA5018">
        <w:rPr>
          <w:color w:val="76328A"/>
          <w:lang w:val="en-US"/>
        </w:rPr>
        <w:t>D</w:t>
      </w:r>
      <w:r w:rsidR="001E3808" w:rsidRPr="001E3808">
        <w:rPr>
          <w:color w:val="76328A"/>
          <w:lang w:val="en-US"/>
        </w:rPr>
        <w:t xml:space="preserve">omestic </w:t>
      </w:r>
      <w:r w:rsidR="00FA5018">
        <w:rPr>
          <w:color w:val="76328A"/>
          <w:lang w:val="en-US"/>
        </w:rPr>
        <w:t>V</w:t>
      </w:r>
      <w:r w:rsidR="001E3808" w:rsidRPr="001E3808">
        <w:rPr>
          <w:color w:val="76328A"/>
          <w:lang w:val="en-US"/>
        </w:rPr>
        <w:t>iolence’, 20 November 2009, at para 4.2.</w:t>
      </w:r>
    </w:p>
  </w:footnote>
  <w:footnote w:id="106">
    <w:p w14:paraId="12ED6831" w14:textId="7F438378" w:rsidR="00F5057D" w:rsidRPr="00100C57" w:rsidRDefault="00F5057D" w:rsidP="0045051B">
      <w:pPr>
        <w:pStyle w:val="NIHRCFootnotes"/>
        <w:rPr>
          <w:color w:val="76328A"/>
        </w:rPr>
      </w:pPr>
      <w:r w:rsidRPr="00100C57">
        <w:rPr>
          <w:rStyle w:val="FootnoteReference"/>
          <w:color w:val="76328A"/>
        </w:rPr>
        <w:footnoteRef/>
      </w:r>
      <w:r w:rsidRPr="00100C57">
        <w:rPr>
          <w:color w:val="76328A"/>
        </w:rPr>
        <w:t xml:space="preserve"> </w:t>
      </w:r>
      <w:r w:rsidR="00292CE8" w:rsidRPr="00100C57">
        <w:rPr>
          <w:color w:val="76328A"/>
        </w:rPr>
        <w:t xml:space="preserve">A/HRC/41/45, ‘UN Independent Expert on Protection Against Violence and Discrimination Based </w:t>
      </w:r>
      <w:r w:rsidR="00F73D4C">
        <w:rPr>
          <w:color w:val="76328A"/>
        </w:rPr>
        <w:t>o</w:t>
      </w:r>
      <w:r w:rsidR="00292CE8" w:rsidRPr="00100C57">
        <w:rPr>
          <w:color w:val="76328A"/>
        </w:rPr>
        <w:t xml:space="preserve">n Sexual Orientation </w:t>
      </w:r>
      <w:r w:rsidR="009E5BD0">
        <w:rPr>
          <w:color w:val="76328A"/>
        </w:rPr>
        <w:t>a</w:t>
      </w:r>
      <w:r w:rsidR="00292CE8" w:rsidRPr="00100C57">
        <w:rPr>
          <w:color w:val="76328A"/>
        </w:rPr>
        <w:t>nd Gender Identity Report on Data Collection and Management as a Means to Create Heightened Awareness of Violence and Discrimination Based on Sexual Orientation and Gender Identity’, 14 May 2019 at para 14.</w:t>
      </w:r>
    </w:p>
  </w:footnote>
  <w:footnote w:id="107">
    <w:p w14:paraId="7F02E47E" w14:textId="590381AA" w:rsidR="00F5057D" w:rsidRPr="00100C57" w:rsidRDefault="00F5057D" w:rsidP="0045051B">
      <w:pPr>
        <w:pStyle w:val="NIHRCFootnotes"/>
        <w:rPr>
          <w:color w:val="76328A"/>
        </w:rPr>
      </w:pPr>
      <w:r w:rsidRPr="00100C57">
        <w:rPr>
          <w:rStyle w:val="FootnoteReference"/>
          <w:color w:val="76328A"/>
        </w:rPr>
        <w:footnoteRef/>
      </w:r>
      <w:r w:rsidRPr="00100C57">
        <w:rPr>
          <w:color w:val="76328A"/>
        </w:rPr>
        <w:t xml:space="preserve"> </w:t>
      </w:r>
      <w:r w:rsidR="00292CE8" w:rsidRPr="00100C57">
        <w:rPr>
          <w:color w:val="76328A"/>
        </w:rPr>
        <w:t>A/RES/46/91, ‘</w:t>
      </w:r>
      <w:r w:rsidR="008453AD">
        <w:rPr>
          <w:color w:val="76328A"/>
        </w:rPr>
        <w:t>UN</w:t>
      </w:r>
      <w:r w:rsidR="00292CE8" w:rsidRPr="00100C57">
        <w:rPr>
          <w:color w:val="76328A"/>
        </w:rPr>
        <w:t xml:space="preserve"> Principles for Older Persons’, 16 December 1991; </w:t>
      </w:r>
      <w:r w:rsidR="00292CE8" w:rsidRPr="00292CE8">
        <w:rPr>
          <w:color w:val="76328A"/>
        </w:rPr>
        <w:t>7 CM/Rec</w:t>
      </w:r>
      <w:r w:rsidR="007A7653">
        <w:rPr>
          <w:color w:val="76328A"/>
        </w:rPr>
        <w:t xml:space="preserve"> </w:t>
      </w:r>
      <w:r w:rsidR="00292CE8" w:rsidRPr="00292CE8">
        <w:rPr>
          <w:color w:val="76328A"/>
        </w:rPr>
        <w:t>(2014)2, ‘CoE Committee of Ministers, Recommendation to Member States on the Promotion of Human Rights of Older Persons’, 19 February 2014, at 5</w:t>
      </w:r>
      <w:r w:rsidR="00292CE8" w:rsidRPr="00100C57">
        <w:rPr>
          <w:color w:val="76328A"/>
        </w:rPr>
        <w:t xml:space="preserve">; CEDAW/C/GC/27 ‘UN </w:t>
      </w:r>
      <w:r w:rsidR="00292CE8" w:rsidRPr="00100C57">
        <w:rPr>
          <w:color w:val="76328A"/>
          <w:lang w:val="en-US"/>
        </w:rPr>
        <w:t xml:space="preserve">CEDAW Committee, General Recommendation </w:t>
      </w:r>
      <w:r w:rsidR="00B10B41">
        <w:rPr>
          <w:color w:val="76328A"/>
          <w:lang w:val="en-US"/>
        </w:rPr>
        <w:t xml:space="preserve">No </w:t>
      </w:r>
      <w:r w:rsidR="00292CE8" w:rsidRPr="00100C57">
        <w:rPr>
          <w:color w:val="76328A"/>
          <w:lang w:val="en-US"/>
        </w:rPr>
        <w:t>27</w:t>
      </w:r>
      <w:r w:rsidR="00B10B41">
        <w:rPr>
          <w:color w:val="76328A"/>
          <w:lang w:val="en-US"/>
        </w:rPr>
        <w:t>:</w:t>
      </w:r>
      <w:r w:rsidR="00292CE8" w:rsidRPr="00100C57">
        <w:rPr>
          <w:color w:val="76328A"/>
          <w:lang w:val="en-US"/>
        </w:rPr>
        <w:t xml:space="preserve"> </w:t>
      </w:r>
      <w:r w:rsidR="00FA5018">
        <w:rPr>
          <w:color w:val="76328A"/>
          <w:lang w:val="en-US"/>
        </w:rPr>
        <w:t>O</w:t>
      </w:r>
      <w:r w:rsidR="00292CE8" w:rsidRPr="00100C57">
        <w:rPr>
          <w:color w:val="76328A"/>
          <w:lang w:val="en-US"/>
        </w:rPr>
        <w:t xml:space="preserve">lder </w:t>
      </w:r>
      <w:r w:rsidR="00FA5018">
        <w:rPr>
          <w:color w:val="76328A"/>
          <w:lang w:val="en-US"/>
        </w:rPr>
        <w:t>W</w:t>
      </w:r>
      <w:r w:rsidR="00292CE8" w:rsidRPr="00100C57">
        <w:rPr>
          <w:color w:val="76328A"/>
          <w:lang w:val="en-US"/>
        </w:rPr>
        <w:t xml:space="preserve">omen and </w:t>
      </w:r>
      <w:r w:rsidR="00FA5018">
        <w:rPr>
          <w:color w:val="76328A"/>
          <w:lang w:val="en-US"/>
        </w:rPr>
        <w:t>P</w:t>
      </w:r>
      <w:r w:rsidR="00292CE8" w:rsidRPr="00100C57">
        <w:rPr>
          <w:color w:val="76328A"/>
          <w:lang w:val="en-US"/>
        </w:rPr>
        <w:t xml:space="preserve">rotection of their </w:t>
      </w:r>
      <w:r w:rsidR="00FA5018">
        <w:rPr>
          <w:color w:val="76328A"/>
          <w:lang w:val="en-US"/>
        </w:rPr>
        <w:t>H</w:t>
      </w:r>
      <w:r w:rsidR="00292CE8" w:rsidRPr="00100C57">
        <w:rPr>
          <w:color w:val="76328A"/>
          <w:lang w:val="en-US"/>
        </w:rPr>
        <w:t xml:space="preserve">uman </w:t>
      </w:r>
      <w:r w:rsidR="00FA5018">
        <w:rPr>
          <w:color w:val="76328A"/>
          <w:lang w:val="en-US"/>
        </w:rPr>
        <w:t>R</w:t>
      </w:r>
      <w:r w:rsidR="00292CE8" w:rsidRPr="00100C57">
        <w:rPr>
          <w:color w:val="76328A"/>
          <w:lang w:val="en-US"/>
        </w:rPr>
        <w:t>ights’, 16 December 2010, at para 37 and 38.</w:t>
      </w:r>
    </w:p>
  </w:footnote>
  <w:footnote w:id="108">
    <w:p w14:paraId="71BE6530" w14:textId="545C52A8" w:rsidR="00F5057D" w:rsidRDefault="00F5057D" w:rsidP="0045051B">
      <w:pPr>
        <w:pStyle w:val="NIHRCFootnotes"/>
      </w:pPr>
      <w:r w:rsidRPr="00100C57">
        <w:rPr>
          <w:rStyle w:val="FootnoteReference"/>
          <w:color w:val="76328A"/>
        </w:rPr>
        <w:footnoteRef/>
      </w:r>
      <w:r w:rsidRPr="00100C57">
        <w:rPr>
          <w:color w:val="76328A"/>
        </w:rPr>
        <w:t xml:space="preserve"> </w:t>
      </w:r>
      <w:r w:rsidR="003A077F">
        <w:rPr>
          <w:color w:val="76328A"/>
        </w:rPr>
        <w:t>‘</w:t>
      </w:r>
      <w:r w:rsidR="00292CE8" w:rsidRPr="00100C57">
        <w:rPr>
          <w:color w:val="76328A"/>
        </w:rPr>
        <w:t xml:space="preserve">UN </w:t>
      </w:r>
      <w:r w:rsidR="00292CE8" w:rsidRPr="00100C57">
        <w:rPr>
          <w:color w:val="76328A"/>
          <w:lang w:val="en-US"/>
        </w:rPr>
        <w:t>CEDAW Committee</w:t>
      </w:r>
      <w:r w:rsidR="003A077F">
        <w:rPr>
          <w:color w:val="76328A"/>
          <w:lang w:val="en-US"/>
        </w:rPr>
        <w:t xml:space="preserve"> </w:t>
      </w:r>
      <w:r w:rsidR="00292CE8" w:rsidRPr="00100C57">
        <w:rPr>
          <w:color w:val="76328A"/>
          <w:lang w:val="en-US"/>
        </w:rPr>
        <w:t xml:space="preserve">General Recommendation </w:t>
      </w:r>
      <w:r w:rsidR="00E461F6">
        <w:rPr>
          <w:color w:val="76328A"/>
          <w:lang w:val="en-US"/>
        </w:rPr>
        <w:t xml:space="preserve">No </w:t>
      </w:r>
      <w:r w:rsidR="00292CE8" w:rsidRPr="00100C57">
        <w:rPr>
          <w:color w:val="76328A"/>
          <w:lang w:val="en-US"/>
        </w:rPr>
        <w:t>19</w:t>
      </w:r>
      <w:r w:rsidR="00B10B41">
        <w:rPr>
          <w:color w:val="76328A"/>
          <w:lang w:val="en-US"/>
        </w:rPr>
        <w:t>:</w:t>
      </w:r>
      <w:r w:rsidR="00292CE8" w:rsidRPr="00100C57">
        <w:rPr>
          <w:color w:val="76328A"/>
          <w:lang w:val="en-US"/>
        </w:rPr>
        <w:t xml:space="preserve"> </w:t>
      </w:r>
      <w:r w:rsidR="00E461F6">
        <w:rPr>
          <w:color w:val="76328A"/>
          <w:lang w:val="en-US"/>
        </w:rPr>
        <w:t>V</w:t>
      </w:r>
      <w:r w:rsidR="00292CE8" w:rsidRPr="00100C57">
        <w:rPr>
          <w:color w:val="76328A"/>
          <w:lang w:val="en-US"/>
        </w:rPr>
        <w:t xml:space="preserve">iolence </w:t>
      </w:r>
      <w:r w:rsidR="00E461F6">
        <w:rPr>
          <w:color w:val="76328A"/>
          <w:lang w:val="en-US"/>
        </w:rPr>
        <w:t>A</w:t>
      </w:r>
      <w:r w:rsidR="00292CE8" w:rsidRPr="00100C57">
        <w:rPr>
          <w:color w:val="76328A"/>
          <w:lang w:val="en-US"/>
        </w:rPr>
        <w:t xml:space="preserve">gainst </w:t>
      </w:r>
      <w:r w:rsidR="00E461F6">
        <w:rPr>
          <w:color w:val="76328A"/>
          <w:lang w:val="en-US"/>
        </w:rPr>
        <w:t>W</w:t>
      </w:r>
      <w:r w:rsidR="00292CE8" w:rsidRPr="00100C57">
        <w:rPr>
          <w:color w:val="76328A"/>
          <w:lang w:val="en-US"/>
        </w:rPr>
        <w:t>omen</w:t>
      </w:r>
      <w:r w:rsidR="00B10B41">
        <w:rPr>
          <w:color w:val="76328A"/>
          <w:lang w:val="en-US"/>
        </w:rPr>
        <w:t>’</w:t>
      </w:r>
      <w:r w:rsidR="00292CE8" w:rsidRPr="00100C57">
        <w:rPr>
          <w:color w:val="76328A"/>
          <w:lang w:val="en-US"/>
        </w:rPr>
        <w:t>,</w:t>
      </w:r>
      <w:r w:rsidR="003A077F">
        <w:rPr>
          <w:color w:val="76328A"/>
          <w:lang w:val="en-US"/>
        </w:rPr>
        <w:t xml:space="preserve"> 1992,</w:t>
      </w:r>
      <w:r w:rsidR="00292CE8" w:rsidRPr="00100C57">
        <w:rPr>
          <w:color w:val="76328A"/>
          <w:lang w:val="en-US"/>
        </w:rPr>
        <w:t xml:space="preserve"> </w:t>
      </w:r>
      <w:r w:rsidR="00E461F6">
        <w:rPr>
          <w:color w:val="76328A"/>
          <w:lang w:val="en-US"/>
        </w:rPr>
        <w:t xml:space="preserve">at </w:t>
      </w:r>
      <w:r w:rsidR="00292CE8" w:rsidRPr="00100C57">
        <w:rPr>
          <w:color w:val="76328A"/>
          <w:lang w:val="en-US"/>
        </w:rPr>
        <w:t xml:space="preserve">para 24(o)’; </w:t>
      </w:r>
      <w:r w:rsidR="000E31CC">
        <w:rPr>
          <w:color w:val="76328A"/>
          <w:lang w:val="en-US"/>
        </w:rPr>
        <w:t xml:space="preserve">E/C.12/2000/4, </w:t>
      </w:r>
      <w:r w:rsidR="00292CE8" w:rsidRPr="00100C57">
        <w:rPr>
          <w:color w:val="76328A"/>
        </w:rPr>
        <w:t xml:space="preserve">‘UN </w:t>
      </w:r>
      <w:r w:rsidR="000E31CC">
        <w:rPr>
          <w:color w:val="76328A"/>
        </w:rPr>
        <w:t>I</w:t>
      </w:r>
      <w:r w:rsidR="00292CE8" w:rsidRPr="00100C57">
        <w:rPr>
          <w:color w:val="76328A"/>
          <w:lang w:val="en-US"/>
        </w:rPr>
        <w:t>CESCR</w:t>
      </w:r>
      <w:r w:rsidR="000E31CC">
        <w:rPr>
          <w:color w:val="76328A"/>
          <w:lang w:val="en-US"/>
        </w:rPr>
        <w:t xml:space="preserve"> Committee</w:t>
      </w:r>
      <w:r w:rsidR="00292CE8" w:rsidRPr="00100C57">
        <w:rPr>
          <w:color w:val="76328A"/>
          <w:lang w:val="en-US"/>
        </w:rPr>
        <w:t xml:space="preserve"> General Comment No 14</w:t>
      </w:r>
      <w:r w:rsidR="003A077F">
        <w:rPr>
          <w:color w:val="76328A"/>
          <w:lang w:val="en-US"/>
        </w:rPr>
        <w:t xml:space="preserve">: </w:t>
      </w:r>
      <w:r w:rsidR="00E461F6">
        <w:rPr>
          <w:color w:val="76328A"/>
          <w:lang w:val="en-US"/>
        </w:rPr>
        <w:t>R</w:t>
      </w:r>
      <w:r w:rsidR="00292CE8" w:rsidRPr="00100C57">
        <w:rPr>
          <w:color w:val="76328A"/>
          <w:lang w:val="en-US"/>
        </w:rPr>
        <w:t xml:space="preserve">ight to the </w:t>
      </w:r>
      <w:r w:rsidR="00E461F6">
        <w:rPr>
          <w:color w:val="76328A"/>
          <w:lang w:val="en-US"/>
        </w:rPr>
        <w:t>Hi</w:t>
      </w:r>
      <w:r w:rsidR="00292CE8" w:rsidRPr="00100C57">
        <w:rPr>
          <w:color w:val="76328A"/>
          <w:lang w:val="en-US"/>
        </w:rPr>
        <w:t xml:space="preserve">ghest </w:t>
      </w:r>
      <w:r w:rsidR="00E461F6">
        <w:rPr>
          <w:color w:val="76328A"/>
          <w:lang w:val="en-US"/>
        </w:rPr>
        <w:t>A</w:t>
      </w:r>
      <w:r w:rsidR="00292CE8" w:rsidRPr="00100C57">
        <w:rPr>
          <w:color w:val="76328A"/>
          <w:lang w:val="en-US"/>
        </w:rPr>
        <w:t xml:space="preserve">ttainable </w:t>
      </w:r>
      <w:r w:rsidR="00E461F6">
        <w:rPr>
          <w:color w:val="76328A"/>
          <w:lang w:val="en-US"/>
        </w:rPr>
        <w:t>S</w:t>
      </w:r>
      <w:r w:rsidR="00292CE8" w:rsidRPr="00100C57">
        <w:rPr>
          <w:color w:val="76328A"/>
          <w:lang w:val="en-US"/>
        </w:rPr>
        <w:t xml:space="preserve">tandard of </w:t>
      </w:r>
      <w:r w:rsidR="00E461F6">
        <w:rPr>
          <w:color w:val="76328A"/>
          <w:lang w:val="en-US"/>
        </w:rPr>
        <w:t>H</w:t>
      </w:r>
      <w:r w:rsidR="00292CE8" w:rsidRPr="00100C57">
        <w:rPr>
          <w:color w:val="76328A"/>
          <w:lang w:val="en-US"/>
        </w:rPr>
        <w:t xml:space="preserve">ealth’, </w:t>
      </w:r>
      <w:r w:rsidR="007D6E77">
        <w:rPr>
          <w:color w:val="76328A"/>
          <w:lang w:val="en-US"/>
        </w:rPr>
        <w:t xml:space="preserve">11 May 2000, at </w:t>
      </w:r>
      <w:r w:rsidR="00292CE8" w:rsidRPr="00100C57">
        <w:rPr>
          <w:color w:val="76328A"/>
          <w:lang w:val="en-US"/>
        </w:rPr>
        <w:t>para 12(b)(ii).</w:t>
      </w:r>
    </w:p>
  </w:footnote>
  <w:footnote w:id="109">
    <w:p w14:paraId="3D46581D" w14:textId="2863DE23" w:rsidR="000F67CE" w:rsidRPr="004528D9" w:rsidRDefault="000F67CE" w:rsidP="000F67CE">
      <w:pPr>
        <w:pStyle w:val="FootnoteText"/>
        <w:rPr>
          <w:rFonts w:ascii="Verdana" w:hAnsi="Verdana"/>
          <w:color w:val="76328A"/>
          <w:sz w:val="16"/>
          <w:szCs w:val="16"/>
        </w:rPr>
      </w:pPr>
      <w:r w:rsidRPr="004528D9">
        <w:rPr>
          <w:rStyle w:val="FootnoteReference"/>
          <w:rFonts w:ascii="Verdana" w:hAnsi="Verdana"/>
          <w:color w:val="76328A"/>
          <w:sz w:val="16"/>
          <w:szCs w:val="16"/>
        </w:rPr>
        <w:footnoteRef/>
      </w:r>
      <w:bookmarkStart w:id="31" w:name="_Hlk132720949"/>
      <w:r w:rsidRPr="008C020A">
        <w:rPr>
          <w:rFonts w:ascii="Verdana" w:hAnsi="Verdana"/>
          <w:color w:val="76328A"/>
          <w:sz w:val="16"/>
          <w:szCs w:val="16"/>
          <w:lang w:val="en-US"/>
        </w:rPr>
        <w:t>Council of Europe, ‘Parliamentary Assembly Resolution 1697</w:t>
      </w:r>
      <w:r w:rsidR="007D6E77">
        <w:rPr>
          <w:rFonts w:ascii="Verdana" w:hAnsi="Verdana"/>
          <w:color w:val="76328A"/>
          <w:sz w:val="16"/>
          <w:szCs w:val="16"/>
          <w:lang w:val="en-US"/>
        </w:rPr>
        <w:t xml:space="preserve">: </w:t>
      </w:r>
      <w:r w:rsidRPr="008C020A">
        <w:rPr>
          <w:rFonts w:ascii="Verdana" w:hAnsi="Verdana"/>
          <w:color w:val="76328A"/>
          <w:sz w:val="16"/>
          <w:szCs w:val="16"/>
          <w:lang w:val="en-US"/>
        </w:rPr>
        <w:t>Migrant Women</w:t>
      </w:r>
      <w:r w:rsidR="007D6E77">
        <w:rPr>
          <w:rFonts w:ascii="Verdana" w:hAnsi="Verdana"/>
          <w:color w:val="76328A"/>
          <w:sz w:val="16"/>
          <w:szCs w:val="16"/>
          <w:lang w:val="en-US"/>
        </w:rPr>
        <w:t xml:space="preserve"> At</w:t>
      </w:r>
      <w:r w:rsidRPr="008C020A">
        <w:rPr>
          <w:rFonts w:ascii="Verdana" w:hAnsi="Verdana"/>
          <w:color w:val="76328A"/>
          <w:sz w:val="16"/>
          <w:szCs w:val="16"/>
          <w:lang w:val="en-US"/>
        </w:rPr>
        <w:t xml:space="preserve"> </w:t>
      </w:r>
      <w:r w:rsidR="007D6E77">
        <w:rPr>
          <w:rFonts w:ascii="Verdana" w:hAnsi="Verdana"/>
          <w:color w:val="76328A"/>
          <w:sz w:val="16"/>
          <w:szCs w:val="16"/>
          <w:lang w:val="en-US"/>
        </w:rPr>
        <w:t>P</w:t>
      </w:r>
      <w:r w:rsidRPr="008C020A">
        <w:rPr>
          <w:rFonts w:ascii="Verdana" w:hAnsi="Verdana"/>
          <w:color w:val="76328A"/>
          <w:sz w:val="16"/>
          <w:szCs w:val="16"/>
          <w:lang w:val="en-US"/>
        </w:rPr>
        <w:t xml:space="preserve">articular </w:t>
      </w:r>
      <w:r w:rsidR="007D6E77">
        <w:rPr>
          <w:rFonts w:ascii="Verdana" w:hAnsi="Verdana"/>
          <w:color w:val="76328A"/>
          <w:sz w:val="16"/>
          <w:szCs w:val="16"/>
          <w:lang w:val="en-US"/>
        </w:rPr>
        <w:t>R</w:t>
      </w:r>
      <w:r w:rsidRPr="008C020A">
        <w:rPr>
          <w:rFonts w:ascii="Verdana" w:hAnsi="Verdana"/>
          <w:color w:val="76328A"/>
          <w:sz w:val="16"/>
          <w:szCs w:val="16"/>
          <w:lang w:val="en-US"/>
        </w:rPr>
        <w:t xml:space="preserve">isk from </w:t>
      </w:r>
      <w:r w:rsidR="007D6E77">
        <w:rPr>
          <w:rFonts w:ascii="Verdana" w:hAnsi="Verdana"/>
          <w:color w:val="76328A"/>
          <w:sz w:val="16"/>
          <w:szCs w:val="16"/>
          <w:lang w:val="en-US"/>
        </w:rPr>
        <w:t>D</w:t>
      </w:r>
      <w:r w:rsidRPr="008C020A">
        <w:rPr>
          <w:rFonts w:ascii="Verdana" w:hAnsi="Verdana"/>
          <w:color w:val="76328A"/>
          <w:sz w:val="16"/>
          <w:szCs w:val="16"/>
          <w:lang w:val="en-US"/>
        </w:rPr>
        <w:t xml:space="preserve">omestic </w:t>
      </w:r>
      <w:r w:rsidR="007D6E77">
        <w:rPr>
          <w:rFonts w:ascii="Verdana" w:hAnsi="Verdana"/>
          <w:color w:val="76328A"/>
          <w:sz w:val="16"/>
          <w:szCs w:val="16"/>
          <w:lang w:val="en-US"/>
        </w:rPr>
        <w:t>V</w:t>
      </w:r>
      <w:r w:rsidRPr="008C020A">
        <w:rPr>
          <w:rFonts w:ascii="Verdana" w:hAnsi="Verdana"/>
          <w:color w:val="76328A"/>
          <w:sz w:val="16"/>
          <w:szCs w:val="16"/>
          <w:lang w:val="en-US"/>
        </w:rPr>
        <w:t>iolence’, 20 November 2009</w:t>
      </w:r>
      <w:r>
        <w:rPr>
          <w:rFonts w:ascii="Verdana" w:hAnsi="Verdana"/>
          <w:color w:val="76328A"/>
          <w:sz w:val="16"/>
          <w:szCs w:val="16"/>
          <w:lang w:val="en-US"/>
        </w:rPr>
        <w:t>, at para 4.2.</w:t>
      </w:r>
      <w:bookmarkEnd w:id="31"/>
    </w:p>
  </w:footnote>
  <w:footnote w:id="110">
    <w:p w14:paraId="4EAF2FE1" w14:textId="77777777" w:rsidR="000F67CE" w:rsidRPr="004528D9" w:rsidRDefault="000F67CE" w:rsidP="000F67CE">
      <w:pPr>
        <w:rPr>
          <w:rFonts w:ascii="Verdana" w:eastAsia="MS Mincho" w:hAnsi="Verdana"/>
          <w:color w:val="76328A"/>
          <w:sz w:val="16"/>
          <w:szCs w:val="16"/>
        </w:rPr>
      </w:pPr>
      <w:r w:rsidRPr="004528D9">
        <w:rPr>
          <w:rStyle w:val="FootnoteReference"/>
          <w:rFonts w:ascii="Verdana" w:eastAsia="MS Mincho" w:hAnsi="Verdana"/>
          <w:color w:val="76328A"/>
          <w:sz w:val="16"/>
          <w:szCs w:val="16"/>
        </w:rPr>
        <w:footnoteRef/>
      </w:r>
      <w:r w:rsidRPr="004528D9">
        <w:rPr>
          <w:rFonts w:ascii="Verdana" w:eastAsia="MS Mincho" w:hAnsi="Verdana"/>
          <w:color w:val="76328A"/>
          <w:sz w:val="16"/>
          <w:szCs w:val="16"/>
        </w:rPr>
        <w:t xml:space="preserve"> NI Human Rights Commission, ’Submission to the NI Affairs Committee into the Experience of Minority Ethnic and Migrant People in NI’ (NIHRC, 2021), at para 5.14.</w:t>
      </w:r>
    </w:p>
  </w:footnote>
  <w:footnote w:id="111">
    <w:p w14:paraId="2216DE8B" w14:textId="77777777" w:rsidR="005441D4" w:rsidRPr="001F1D2B" w:rsidRDefault="005441D4" w:rsidP="0045051B">
      <w:pPr>
        <w:pStyle w:val="NIHRCFootnotes"/>
      </w:pPr>
      <w:r w:rsidRPr="001F1D2B">
        <w:rPr>
          <w:rStyle w:val="FootnoteReference"/>
        </w:rPr>
        <w:footnoteRef/>
      </w:r>
      <w:r w:rsidRPr="001F1D2B">
        <w:t xml:space="preserve"> CAT/C/GBR/CO/6, ‘UN CAT Committee Concluding Observations on the Sixth Periodic Report of the UK of Great Britain and NI’, 7 June 2019, at para 56</w:t>
      </w:r>
      <w:r>
        <w:t>.</w:t>
      </w:r>
    </w:p>
  </w:footnote>
  <w:footnote w:id="112">
    <w:p w14:paraId="62644100" w14:textId="65743787" w:rsidR="005441D4" w:rsidRPr="001F1D2B" w:rsidRDefault="005441D4" w:rsidP="0045051B">
      <w:pPr>
        <w:pStyle w:val="NIHRCFootnotes"/>
      </w:pPr>
      <w:r w:rsidRPr="001F1D2B">
        <w:rPr>
          <w:rStyle w:val="FootnoteReference"/>
        </w:rPr>
        <w:footnoteRef/>
      </w:r>
      <w:r w:rsidRPr="001F1D2B">
        <w:t xml:space="preserve"> </w:t>
      </w:r>
      <w:r w:rsidR="00241F60">
        <w:t>Ibid</w:t>
      </w:r>
      <w:r w:rsidRPr="001F1D2B">
        <w:t>, at para 57.</w:t>
      </w:r>
    </w:p>
  </w:footnote>
  <w:footnote w:id="113">
    <w:p w14:paraId="3B1E9A48" w14:textId="3C22F773" w:rsidR="005441D4" w:rsidRPr="009C2D5F" w:rsidRDefault="005441D4" w:rsidP="0045051B">
      <w:pPr>
        <w:pStyle w:val="NIHRCFootnotes"/>
        <w:rPr>
          <w:color w:val="7030A0"/>
        </w:rPr>
      </w:pPr>
      <w:r w:rsidRPr="001F1D2B">
        <w:rPr>
          <w:rStyle w:val="FootnoteReference"/>
        </w:rPr>
        <w:footnoteRef/>
      </w:r>
      <w:r w:rsidRPr="001F1D2B">
        <w:t xml:space="preserve"> </w:t>
      </w:r>
      <w:r w:rsidR="00241F60">
        <w:t>Ibid.</w:t>
      </w:r>
    </w:p>
  </w:footnote>
  <w:footnote w:id="114">
    <w:p w14:paraId="19C713B3" w14:textId="1AE6FD54" w:rsidR="000A792D" w:rsidRPr="00E77856" w:rsidRDefault="000A792D" w:rsidP="0045051B">
      <w:pPr>
        <w:pStyle w:val="NIHRCFootnotes"/>
        <w:rPr>
          <w:color w:val="76328A"/>
        </w:rPr>
      </w:pPr>
      <w:r w:rsidRPr="00E77856">
        <w:rPr>
          <w:rStyle w:val="FootnoteReference"/>
          <w:color w:val="76328A"/>
        </w:rPr>
        <w:footnoteRef/>
      </w:r>
      <w:r w:rsidRPr="00E77856">
        <w:rPr>
          <w:color w:val="76328A"/>
        </w:rPr>
        <w:t xml:space="preserve"> </w:t>
      </w:r>
      <w:r w:rsidR="00C06AAA" w:rsidRPr="00E77856">
        <w:rPr>
          <w:color w:val="76328A"/>
        </w:rPr>
        <w:t>CEDAW/C/GC/35, ‘</w:t>
      </w:r>
      <w:r w:rsidR="007E0F13">
        <w:rPr>
          <w:color w:val="76328A"/>
        </w:rPr>
        <w:t>UN CEDAW Committee</w:t>
      </w:r>
      <w:r w:rsidR="00C06AAA" w:rsidRPr="00E77856">
        <w:rPr>
          <w:color w:val="76328A"/>
        </w:rPr>
        <w:t xml:space="preserve"> General </w:t>
      </w:r>
      <w:r w:rsidR="007E0F13">
        <w:rPr>
          <w:color w:val="76328A"/>
        </w:rPr>
        <w:t>R</w:t>
      </w:r>
      <w:r w:rsidR="00C06AAA" w:rsidRPr="00E77856">
        <w:rPr>
          <w:color w:val="76328A"/>
        </w:rPr>
        <w:t>ecommendation No 35</w:t>
      </w:r>
      <w:r w:rsidR="007E0F13">
        <w:rPr>
          <w:color w:val="76328A"/>
        </w:rPr>
        <w:t xml:space="preserve">: </w:t>
      </w:r>
      <w:r w:rsidR="00FA5018">
        <w:rPr>
          <w:color w:val="76328A"/>
        </w:rPr>
        <w:t>G</w:t>
      </w:r>
      <w:r w:rsidR="00C06AAA" w:rsidRPr="00E77856">
        <w:rPr>
          <w:color w:val="76328A"/>
        </w:rPr>
        <w:t>ender-</w:t>
      </w:r>
      <w:r w:rsidR="00FA5018">
        <w:rPr>
          <w:color w:val="76328A"/>
        </w:rPr>
        <w:t>B</w:t>
      </w:r>
      <w:r w:rsidR="00C06AAA" w:rsidRPr="00E77856">
        <w:rPr>
          <w:color w:val="76328A"/>
        </w:rPr>
        <w:t xml:space="preserve">ased </w:t>
      </w:r>
      <w:r w:rsidR="00FA5018">
        <w:rPr>
          <w:color w:val="76328A"/>
        </w:rPr>
        <w:t>V</w:t>
      </w:r>
      <w:r w:rsidR="00C06AAA" w:rsidRPr="00E77856">
        <w:rPr>
          <w:color w:val="76328A"/>
        </w:rPr>
        <w:t xml:space="preserve">iolence </w:t>
      </w:r>
      <w:r w:rsidR="00FA5018">
        <w:rPr>
          <w:color w:val="76328A"/>
        </w:rPr>
        <w:t>A</w:t>
      </w:r>
      <w:r w:rsidR="00C06AAA" w:rsidRPr="00E77856">
        <w:rPr>
          <w:color w:val="76328A"/>
        </w:rPr>
        <w:t xml:space="preserve">gainst </w:t>
      </w:r>
      <w:r w:rsidR="00FA5018">
        <w:rPr>
          <w:color w:val="76328A"/>
        </w:rPr>
        <w:t>W</w:t>
      </w:r>
      <w:r w:rsidR="00C06AAA" w:rsidRPr="00E77856">
        <w:rPr>
          <w:color w:val="76328A"/>
        </w:rPr>
        <w:t xml:space="preserve">omen, </w:t>
      </w:r>
      <w:r w:rsidR="00FA5018">
        <w:rPr>
          <w:color w:val="76328A"/>
        </w:rPr>
        <w:t>U</w:t>
      </w:r>
      <w:r w:rsidR="00C06AAA" w:rsidRPr="00E77856">
        <w:rPr>
          <w:color w:val="76328A"/>
        </w:rPr>
        <w:t xml:space="preserve">pdating </w:t>
      </w:r>
      <w:r w:rsidR="00FA5018">
        <w:rPr>
          <w:color w:val="76328A"/>
        </w:rPr>
        <w:t>G</w:t>
      </w:r>
      <w:r w:rsidR="00C06AAA" w:rsidRPr="00E77856">
        <w:rPr>
          <w:color w:val="76328A"/>
        </w:rPr>
        <w:t xml:space="preserve">eneral </w:t>
      </w:r>
      <w:r w:rsidR="00FA5018">
        <w:rPr>
          <w:color w:val="76328A"/>
        </w:rPr>
        <w:t>R</w:t>
      </w:r>
      <w:r w:rsidR="00C06AAA" w:rsidRPr="00E77856">
        <w:rPr>
          <w:color w:val="76328A"/>
        </w:rPr>
        <w:t>ecommendation No 19’, 14 July 2017</w:t>
      </w:r>
      <w:r w:rsidR="007E0F13">
        <w:rPr>
          <w:color w:val="76328A"/>
        </w:rPr>
        <w:t>,</w:t>
      </w:r>
      <w:r w:rsidR="00C06AAA" w:rsidRPr="00E77856">
        <w:rPr>
          <w:color w:val="76328A"/>
        </w:rPr>
        <w:t xml:space="preserve"> at para </w:t>
      </w:r>
      <w:r w:rsidR="00551FB8" w:rsidRPr="00E77856">
        <w:rPr>
          <w:color w:val="76328A"/>
        </w:rPr>
        <w:t>30(e).</w:t>
      </w:r>
    </w:p>
  </w:footnote>
  <w:footnote w:id="115">
    <w:p w14:paraId="2E0C6F74" w14:textId="155C72E5" w:rsidR="00886F9E" w:rsidRDefault="00886F9E" w:rsidP="0045051B">
      <w:pPr>
        <w:pStyle w:val="NIHRCFootnotes"/>
      </w:pPr>
      <w:r w:rsidRPr="00E77856">
        <w:rPr>
          <w:rStyle w:val="FootnoteReference"/>
          <w:color w:val="76328A"/>
        </w:rPr>
        <w:footnoteRef/>
      </w:r>
      <w:r w:rsidRPr="00E77856">
        <w:rPr>
          <w:color w:val="76328A"/>
        </w:rPr>
        <w:t xml:space="preserve"> </w:t>
      </w:r>
      <w:r w:rsidR="0083050A">
        <w:rPr>
          <w:color w:val="76328A"/>
        </w:rPr>
        <w:t>Ibid</w:t>
      </w:r>
      <w:r w:rsidR="007E0F13">
        <w:rPr>
          <w:color w:val="76328A"/>
        </w:rPr>
        <w:t>,</w:t>
      </w:r>
      <w:r w:rsidR="007E0F13" w:rsidRPr="00E77856">
        <w:rPr>
          <w:color w:val="76328A"/>
        </w:rPr>
        <w:t xml:space="preserve"> </w:t>
      </w:r>
      <w:r w:rsidRPr="00E77856">
        <w:rPr>
          <w:color w:val="76328A"/>
        </w:rPr>
        <w:t>at para 30 (e)</w:t>
      </w:r>
      <w:r w:rsidR="00C66FBB" w:rsidRPr="00E77856">
        <w:rPr>
          <w:color w:val="76328A"/>
        </w:rPr>
        <w:t>(i)</w:t>
      </w:r>
      <w:r w:rsidRPr="00E77856">
        <w:rPr>
          <w:color w:val="76328A"/>
        </w:rPr>
        <w:t>.</w:t>
      </w:r>
    </w:p>
  </w:footnote>
  <w:footnote w:id="116">
    <w:p w14:paraId="6BFFBD8C" w14:textId="6BBF6B8A" w:rsidR="007A556C" w:rsidRPr="001F1D2B" w:rsidRDefault="007A556C" w:rsidP="0045051B">
      <w:pPr>
        <w:pStyle w:val="NIHRCFootnotes"/>
      </w:pPr>
      <w:r w:rsidRPr="001F1D2B">
        <w:rPr>
          <w:rStyle w:val="FootnoteReference"/>
        </w:rPr>
        <w:footnoteRef/>
      </w:r>
      <w:r w:rsidRPr="001F1D2B">
        <w:t xml:space="preserve"> Recital 61, Directive 2012/29/EU, ‘Directive of the European Parliament and of the Council </w:t>
      </w:r>
      <w:r w:rsidR="007E0F13">
        <w:t>E</w:t>
      </w:r>
      <w:r w:rsidRPr="001F1D2B">
        <w:t xml:space="preserve">stablishing </w:t>
      </w:r>
      <w:r w:rsidR="007E0F13">
        <w:t>M</w:t>
      </w:r>
      <w:r w:rsidRPr="001F1D2B">
        <w:t xml:space="preserve">inimum </w:t>
      </w:r>
      <w:r w:rsidR="007E0F13">
        <w:t>S</w:t>
      </w:r>
      <w:r w:rsidRPr="001F1D2B">
        <w:t xml:space="preserve">tandards on the </w:t>
      </w:r>
      <w:r w:rsidR="007E0F13">
        <w:t>R</w:t>
      </w:r>
      <w:r w:rsidRPr="001F1D2B">
        <w:t xml:space="preserve">ights, </w:t>
      </w:r>
      <w:r w:rsidR="007E0F13">
        <w:t>S</w:t>
      </w:r>
      <w:r w:rsidRPr="001F1D2B">
        <w:t xml:space="preserve">upport and </w:t>
      </w:r>
      <w:r w:rsidR="007E0F13">
        <w:t>P</w:t>
      </w:r>
      <w:r w:rsidRPr="001F1D2B">
        <w:t xml:space="preserve">rotection of </w:t>
      </w:r>
      <w:r w:rsidR="007E0F13">
        <w:t>V</w:t>
      </w:r>
      <w:r w:rsidRPr="001F1D2B">
        <w:t xml:space="preserve">ictims of </w:t>
      </w:r>
      <w:r w:rsidR="007E0F13">
        <w:t>C</w:t>
      </w:r>
      <w:r w:rsidRPr="001F1D2B">
        <w:t>rime’, 25 October 2012.</w:t>
      </w:r>
    </w:p>
  </w:footnote>
  <w:footnote w:id="117">
    <w:p w14:paraId="716161CE" w14:textId="2C9EBB43" w:rsidR="007D6A8C" w:rsidRPr="00E77856" w:rsidRDefault="007D6A8C" w:rsidP="0045051B">
      <w:pPr>
        <w:pStyle w:val="NIHRCFootnotes"/>
        <w:rPr>
          <w:color w:val="76328A"/>
        </w:rPr>
      </w:pPr>
      <w:r w:rsidRPr="00E77856">
        <w:rPr>
          <w:rStyle w:val="FootnoteReference"/>
          <w:color w:val="76328A"/>
        </w:rPr>
        <w:footnoteRef/>
      </w:r>
      <w:r w:rsidRPr="00E77856">
        <w:rPr>
          <w:color w:val="76328A"/>
        </w:rPr>
        <w:t xml:space="preserve"> Ministry of Justice, ‘Supporting </w:t>
      </w:r>
      <w:r w:rsidR="00791D88">
        <w:rPr>
          <w:color w:val="76328A"/>
        </w:rPr>
        <w:t>D</w:t>
      </w:r>
      <w:r w:rsidRPr="00E77856">
        <w:rPr>
          <w:color w:val="76328A"/>
        </w:rPr>
        <w:t xml:space="preserve">ata </w:t>
      </w:r>
      <w:r w:rsidR="00791D88">
        <w:rPr>
          <w:color w:val="76328A"/>
        </w:rPr>
        <w:t>T</w:t>
      </w:r>
      <w:r w:rsidRPr="00E77856">
        <w:rPr>
          <w:color w:val="76328A"/>
        </w:rPr>
        <w:t xml:space="preserve">ables: Female </w:t>
      </w:r>
      <w:r w:rsidR="00791D88">
        <w:rPr>
          <w:color w:val="76328A"/>
        </w:rPr>
        <w:t>O</w:t>
      </w:r>
      <w:r w:rsidRPr="00E77856">
        <w:rPr>
          <w:color w:val="76328A"/>
        </w:rPr>
        <w:t xml:space="preserve">ffender </w:t>
      </w:r>
      <w:r w:rsidR="00791D88">
        <w:rPr>
          <w:color w:val="76328A"/>
        </w:rPr>
        <w:t>S</w:t>
      </w:r>
      <w:r w:rsidRPr="00E77856">
        <w:rPr>
          <w:color w:val="76328A"/>
        </w:rPr>
        <w:t>trategy’ (M</w:t>
      </w:r>
      <w:r w:rsidR="00A63933">
        <w:rPr>
          <w:color w:val="76328A"/>
        </w:rPr>
        <w:t>o</w:t>
      </w:r>
      <w:r w:rsidRPr="00E77856">
        <w:rPr>
          <w:color w:val="76328A"/>
        </w:rPr>
        <w:t xml:space="preserve">J, 2018). </w:t>
      </w:r>
    </w:p>
  </w:footnote>
  <w:footnote w:id="118">
    <w:p w14:paraId="3FF21EE3" w14:textId="6EBCBF6F" w:rsidR="007D6A8C" w:rsidRPr="00E77856" w:rsidRDefault="007D6A8C" w:rsidP="0045051B">
      <w:pPr>
        <w:pStyle w:val="NIHRCFootnotes"/>
        <w:rPr>
          <w:color w:val="76328A"/>
        </w:rPr>
      </w:pPr>
      <w:r w:rsidRPr="00E77856">
        <w:rPr>
          <w:rStyle w:val="FootnoteReference"/>
          <w:color w:val="76328A"/>
        </w:rPr>
        <w:footnoteRef/>
      </w:r>
      <w:r w:rsidRPr="00E77856">
        <w:rPr>
          <w:color w:val="76328A"/>
        </w:rPr>
        <w:t xml:space="preserve"> Prison Reform Trust, ‘There’s a Reason We’re in Trouble: Domestic Abuse as a Driver to Women’s Offending’ (</w:t>
      </w:r>
      <w:r w:rsidR="00A63933">
        <w:rPr>
          <w:color w:val="76328A"/>
        </w:rPr>
        <w:t>PRT</w:t>
      </w:r>
      <w:r w:rsidRPr="00E77856">
        <w:rPr>
          <w:color w:val="76328A"/>
        </w:rPr>
        <w:t xml:space="preserve">, 2017), at 4. </w:t>
      </w:r>
    </w:p>
  </w:footnote>
  <w:footnote w:id="119">
    <w:p w14:paraId="4697B877" w14:textId="40A2EC5A" w:rsidR="007D6A8C" w:rsidRPr="00E77856" w:rsidRDefault="007D6A8C" w:rsidP="0045051B">
      <w:pPr>
        <w:pStyle w:val="NIHRCFootnotes"/>
        <w:rPr>
          <w:color w:val="76328A"/>
        </w:rPr>
      </w:pPr>
      <w:r w:rsidRPr="00E77856">
        <w:rPr>
          <w:rStyle w:val="FootnoteReference"/>
          <w:color w:val="76328A"/>
        </w:rPr>
        <w:footnoteRef/>
      </w:r>
      <w:r w:rsidRPr="00E77856">
        <w:rPr>
          <w:color w:val="76328A"/>
        </w:rPr>
        <w:t xml:space="preserve"> </w:t>
      </w:r>
      <w:r w:rsidR="00275A5B">
        <w:rPr>
          <w:color w:val="76328A"/>
        </w:rPr>
        <w:t>Ibid.</w:t>
      </w:r>
    </w:p>
  </w:footnote>
  <w:footnote w:id="120">
    <w:p w14:paraId="21595F47" w14:textId="6EA6B9CE" w:rsidR="0052406F" w:rsidRPr="00D811D9" w:rsidRDefault="0052406F" w:rsidP="0045051B">
      <w:pPr>
        <w:pStyle w:val="NIHRCFootnotes"/>
      </w:pPr>
      <w:r w:rsidRPr="00D811D9">
        <w:rPr>
          <w:rStyle w:val="FootnoteReference"/>
          <w:color w:val="76328A"/>
        </w:rPr>
        <w:footnoteRef/>
      </w:r>
      <w:r w:rsidRPr="00D811D9">
        <w:rPr>
          <w:color w:val="76328A"/>
        </w:rPr>
        <w:t xml:space="preserve"> </w:t>
      </w:r>
      <w:r w:rsidR="00FA7DE8" w:rsidRPr="00D811D9">
        <w:rPr>
          <w:color w:val="76328A"/>
        </w:rPr>
        <w:t>A/Res/65/229</w:t>
      </w:r>
      <w:r w:rsidR="00D811D9" w:rsidRPr="00D811D9">
        <w:rPr>
          <w:color w:val="76328A"/>
        </w:rPr>
        <w:t>,</w:t>
      </w:r>
      <w:r w:rsidR="00FA7DE8" w:rsidRPr="00D811D9">
        <w:rPr>
          <w:color w:val="76328A"/>
        </w:rPr>
        <w:t xml:space="preserve"> ‘</w:t>
      </w:r>
      <w:r w:rsidRPr="00D811D9">
        <w:rPr>
          <w:color w:val="76328A"/>
        </w:rPr>
        <w:t>UN Rules for the Treatment of Women Prisoners and Non-custodial Measures for Women Offenders (the Bangkok Rules)</w:t>
      </w:r>
      <w:r w:rsidR="00DF6BF2" w:rsidRPr="00D811D9">
        <w:rPr>
          <w:color w:val="76328A"/>
        </w:rPr>
        <w:t>’</w:t>
      </w:r>
      <w:r w:rsidRPr="00D811D9">
        <w:rPr>
          <w:color w:val="76328A"/>
        </w:rPr>
        <w:t>, 16 March 2011,</w:t>
      </w:r>
      <w:r w:rsidR="00A63933">
        <w:rPr>
          <w:color w:val="76328A"/>
        </w:rPr>
        <w:t xml:space="preserve"> at R</w:t>
      </w:r>
      <w:r w:rsidRPr="00D811D9">
        <w:rPr>
          <w:color w:val="76328A"/>
        </w:rPr>
        <w:t>ule 6.</w:t>
      </w:r>
    </w:p>
  </w:footnote>
  <w:footnote w:id="121">
    <w:p w14:paraId="599A4FA4" w14:textId="303121DA" w:rsidR="000F67CE" w:rsidRPr="000F67CE" w:rsidRDefault="000F67CE">
      <w:pPr>
        <w:pStyle w:val="FootnoteText"/>
        <w:rPr>
          <w:rFonts w:ascii="Verdana" w:hAnsi="Verdana"/>
          <w:sz w:val="16"/>
          <w:szCs w:val="16"/>
        </w:rPr>
      </w:pPr>
      <w:r w:rsidRPr="000F67CE">
        <w:rPr>
          <w:rStyle w:val="FootnoteReference"/>
          <w:rFonts w:ascii="Verdana" w:hAnsi="Verdana"/>
          <w:color w:val="76328A"/>
          <w:sz w:val="16"/>
          <w:szCs w:val="16"/>
        </w:rPr>
        <w:footnoteRef/>
      </w:r>
      <w:r w:rsidRPr="000F67CE">
        <w:rPr>
          <w:rFonts w:ascii="Verdana" w:hAnsi="Verdana"/>
          <w:color w:val="76328A"/>
          <w:sz w:val="16"/>
          <w:szCs w:val="16"/>
        </w:rPr>
        <w:t xml:space="preserve"> Department of Health and Department of Justice, ‘Draft Domestic and Sexual Abuse Strategy: 2023-2030’ (D</w:t>
      </w:r>
      <w:r w:rsidR="00A63933">
        <w:rPr>
          <w:rFonts w:ascii="Verdana" w:hAnsi="Verdana"/>
          <w:color w:val="76328A"/>
          <w:sz w:val="16"/>
          <w:szCs w:val="16"/>
        </w:rPr>
        <w:t>o</w:t>
      </w:r>
      <w:r w:rsidRPr="000F67CE">
        <w:rPr>
          <w:rFonts w:ascii="Verdana" w:hAnsi="Verdana"/>
          <w:color w:val="76328A"/>
          <w:sz w:val="16"/>
          <w:szCs w:val="16"/>
        </w:rPr>
        <w:t>H and D</w:t>
      </w:r>
      <w:r w:rsidR="00A63933">
        <w:rPr>
          <w:rFonts w:ascii="Verdana" w:hAnsi="Verdana"/>
          <w:color w:val="76328A"/>
          <w:sz w:val="16"/>
          <w:szCs w:val="16"/>
        </w:rPr>
        <w:t>o</w:t>
      </w:r>
      <w:r w:rsidRPr="000F67CE">
        <w:rPr>
          <w:rFonts w:ascii="Verdana" w:hAnsi="Verdana"/>
          <w:color w:val="76328A"/>
          <w:sz w:val="16"/>
          <w:szCs w:val="16"/>
        </w:rPr>
        <w:t xml:space="preserve">J, 2023) at 31. </w:t>
      </w:r>
    </w:p>
  </w:footnote>
  <w:footnote w:id="122">
    <w:p w14:paraId="1485A09A" w14:textId="14F7EEAA" w:rsidR="00485E53" w:rsidRPr="00D811D9" w:rsidRDefault="00485E53" w:rsidP="0045051B">
      <w:pPr>
        <w:pStyle w:val="NIHRCFootnotes"/>
      </w:pPr>
      <w:r w:rsidRPr="00D811D9">
        <w:rPr>
          <w:rStyle w:val="FootnoteReference"/>
          <w:color w:val="76328A"/>
        </w:rPr>
        <w:footnoteRef/>
      </w:r>
      <w:r w:rsidRPr="00D811D9">
        <w:rPr>
          <w:color w:val="76328A"/>
        </w:rPr>
        <w:t xml:space="preserve"> </w:t>
      </w:r>
      <w:bookmarkStart w:id="36" w:name="_Hlk131521035"/>
      <w:r w:rsidR="00E12102" w:rsidRPr="00D811D9">
        <w:rPr>
          <w:color w:val="76328A"/>
        </w:rPr>
        <w:t>CRC/C/GC/13</w:t>
      </w:r>
      <w:r w:rsidR="00D811D9" w:rsidRPr="00D811D9">
        <w:rPr>
          <w:color w:val="76328A"/>
        </w:rPr>
        <w:t>,</w:t>
      </w:r>
      <w:r w:rsidR="00E12102" w:rsidRPr="00D811D9">
        <w:rPr>
          <w:color w:val="76328A"/>
        </w:rPr>
        <w:t xml:space="preserve"> </w:t>
      </w:r>
      <w:r w:rsidR="00DF6BF2" w:rsidRPr="00D811D9">
        <w:rPr>
          <w:color w:val="76328A"/>
        </w:rPr>
        <w:t>‘</w:t>
      </w:r>
      <w:r w:rsidRPr="00D811D9">
        <w:rPr>
          <w:color w:val="76328A"/>
        </w:rPr>
        <w:t>UN CRC Committee General Comment 13</w:t>
      </w:r>
      <w:r w:rsidR="00A63933">
        <w:rPr>
          <w:color w:val="76328A"/>
        </w:rPr>
        <w:t>:</w:t>
      </w:r>
      <w:r w:rsidRPr="00D811D9">
        <w:rPr>
          <w:color w:val="76328A"/>
        </w:rPr>
        <w:t xml:space="preserve"> </w:t>
      </w:r>
      <w:r w:rsidR="00791D88">
        <w:rPr>
          <w:color w:val="76328A"/>
        </w:rPr>
        <w:t>R</w:t>
      </w:r>
      <w:r w:rsidRPr="00D811D9">
        <w:rPr>
          <w:color w:val="76328A"/>
        </w:rPr>
        <w:t xml:space="preserve">ight of the </w:t>
      </w:r>
      <w:r w:rsidR="00791D88">
        <w:rPr>
          <w:color w:val="76328A"/>
        </w:rPr>
        <w:t>C</w:t>
      </w:r>
      <w:r w:rsidRPr="00D811D9">
        <w:rPr>
          <w:color w:val="76328A"/>
        </w:rPr>
        <w:t xml:space="preserve">hild to be </w:t>
      </w:r>
      <w:r w:rsidR="00791D88">
        <w:rPr>
          <w:color w:val="76328A"/>
        </w:rPr>
        <w:t>F</w:t>
      </w:r>
      <w:r w:rsidRPr="00D811D9">
        <w:rPr>
          <w:color w:val="76328A"/>
        </w:rPr>
        <w:t xml:space="preserve">ree from </w:t>
      </w:r>
      <w:r w:rsidR="00791D88">
        <w:rPr>
          <w:color w:val="76328A"/>
        </w:rPr>
        <w:t>V</w:t>
      </w:r>
      <w:r w:rsidRPr="00D811D9">
        <w:rPr>
          <w:color w:val="76328A"/>
        </w:rPr>
        <w:t>iolence</w:t>
      </w:r>
      <w:r w:rsidR="00DF6BF2" w:rsidRPr="00D811D9">
        <w:rPr>
          <w:color w:val="76328A"/>
        </w:rPr>
        <w:t>’</w:t>
      </w:r>
      <w:r w:rsidRPr="00D811D9">
        <w:rPr>
          <w:color w:val="76328A"/>
        </w:rPr>
        <w:t xml:space="preserve">, </w:t>
      </w:r>
      <w:r w:rsidR="00BE09CD" w:rsidRPr="00D811D9">
        <w:rPr>
          <w:color w:val="76328A"/>
        </w:rPr>
        <w:t xml:space="preserve">18 April 2011, at </w:t>
      </w:r>
      <w:r w:rsidRPr="00D811D9">
        <w:rPr>
          <w:color w:val="76328A"/>
        </w:rPr>
        <w:t>para 3(f).</w:t>
      </w:r>
      <w:bookmarkEnd w:id="36"/>
    </w:p>
  </w:footnote>
  <w:footnote w:id="123">
    <w:p w14:paraId="438684A5" w14:textId="033543AF" w:rsidR="003607BC" w:rsidRDefault="003607BC" w:rsidP="0045051B">
      <w:pPr>
        <w:pStyle w:val="NIHRCFootnotes"/>
      </w:pPr>
      <w:r>
        <w:rPr>
          <w:rStyle w:val="FootnoteReference"/>
        </w:rPr>
        <w:footnoteRef/>
      </w:r>
      <w:r>
        <w:t xml:space="preserve"> Article 24, </w:t>
      </w:r>
      <w:r w:rsidR="00A63933" w:rsidRPr="001F1D2B">
        <w:t xml:space="preserve">Directive 2012/29/EU, ‘Directive of the European Parliament and of the Council </w:t>
      </w:r>
      <w:r w:rsidR="00A63933">
        <w:t>E</w:t>
      </w:r>
      <w:r w:rsidR="00A63933" w:rsidRPr="001F1D2B">
        <w:t xml:space="preserve">stablishing </w:t>
      </w:r>
      <w:r w:rsidR="00A63933">
        <w:t>M</w:t>
      </w:r>
      <w:r w:rsidR="00A63933" w:rsidRPr="001F1D2B">
        <w:t xml:space="preserve">inimum </w:t>
      </w:r>
      <w:r w:rsidR="00A63933">
        <w:t>S</w:t>
      </w:r>
      <w:r w:rsidR="00A63933" w:rsidRPr="001F1D2B">
        <w:t xml:space="preserve">tandards on the </w:t>
      </w:r>
      <w:r w:rsidR="00A63933">
        <w:t>R</w:t>
      </w:r>
      <w:r w:rsidR="00A63933" w:rsidRPr="001F1D2B">
        <w:t xml:space="preserve">ights, </w:t>
      </w:r>
      <w:r w:rsidR="00A63933">
        <w:t>S</w:t>
      </w:r>
      <w:r w:rsidR="00A63933" w:rsidRPr="001F1D2B">
        <w:t xml:space="preserve">upport and </w:t>
      </w:r>
      <w:r w:rsidR="00A63933">
        <w:t>P</w:t>
      </w:r>
      <w:r w:rsidR="00A63933" w:rsidRPr="001F1D2B">
        <w:t xml:space="preserve">rotection of </w:t>
      </w:r>
      <w:r w:rsidR="00A63933">
        <w:t>V</w:t>
      </w:r>
      <w:r w:rsidR="00A63933" w:rsidRPr="001F1D2B">
        <w:t xml:space="preserve">ictims of </w:t>
      </w:r>
      <w:r w:rsidR="00A63933">
        <w:t>C</w:t>
      </w:r>
      <w:r w:rsidR="00A63933" w:rsidRPr="001F1D2B">
        <w:t>rime’, 25 October 2012.</w:t>
      </w:r>
    </w:p>
  </w:footnote>
  <w:footnote w:id="124">
    <w:p w14:paraId="19A7E4C7" w14:textId="77777777" w:rsidR="00474B80" w:rsidRPr="002023E0" w:rsidRDefault="00474B80" w:rsidP="0045051B">
      <w:pPr>
        <w:pStyle w:val="NIHRCFootnotes"/>
      </w:pPr>
      <w:r w:rsidRPr="002023E0">
        <w:rPr>
          <w:rStyle w:val="FootnoteReference"/>
          <w:color w:val="76328A"/>
        </w:rPr>
        <w:footnoteRef/>
      </w:r>
      <w:r w:rsidRPr="002023E0">
        <w:rPr>
          <w:color w:val="76328A"/>
        </w:rPr>
        <w:t xml:space="preserve"> Criminal Justice Inspection NI, ‘Child Sexual Exploitation in NI: An Inspection of the Criminal Justice System’s Response’ (CJINI, 2020), at 80.</w:t>
      </w:r>
    </w:p>
  </w:footnote>
  <w:footnote w:id="125">
    <w:p w14:paraId="5900556C" w14:textId="07B536F9" w:rsidR="00474B80" w:rsidRPr="00452CD5" w:rsidRDefault="00474B80" w:rsidP="0045051B">
      <w:pPr>
        <w:pStyle w:val="NIHRCFootnotes"/>
      </w:pPr>
      <w:r w:rsidRPr="00452CD5">
        <w:rPr>
          <w:rStyle w:val="FootnoteReference"/>
          <w:color w:val="76328A"/>
        </w:rPr>
        <w:footnoteRef/>
      </w:r>
      <w:r w:rsidRPr="00452CD5">
        <w:rPr>
          <w:color w:val="76328A"/>
        </w:rPr>
        <w:t xml:space="preserve"> </w:t>
      </w:r>
      <w:r w:rsidR="00275A5B">
        <w:rPr>
          <w:color w:val="76328A"/>
        </w:rPr>
        <w:t>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716"/>
    <w:multiLevelType w:val="hybridMultilevel"/>
    <w:tmpl w:val="7452D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7166F"/>
    <w:multiLevelType w:val="multilevel"/>
    <w:tmpl w:val="955C5CD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 w15:restartNumberingAfterBreak="0">
    <w:nsid w:val="13D74158"/>
    <w:multiLevelType w:val="hybridMultilevel"/>
    <w:tmpl w:val="378A0B9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7A727E1"/>
    <w:multiLevelType w:val="hybridMultilevel"/>
    <w:tmpl w:val="B3902A2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546D33E0"/>
    <w:multiLevelType w:val="hybridMultilevel"/>
    <w:tmpl w:val="B3902A2A"/>
    <w:lvl w:ilvl="0" w:tplc="1A1036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C876729"/>
    <w:multiLevelType w:val="hybridMultilevel"/>
    <w:tmpl w:val="F552D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A464472"/>
    <w:multiLevelType w:val="multilevel"/>
    <w:tmpl w:val="F64697B8"/>
    <w:lvl w:ilvl="0">
      <w:start w:val="1"/>
      <w:numFmt w:val="decimal"/>
      <w:lvlText w:val="%1.0"/>
      <w:lvlJc w:val="left"/>
      <w:pPr>
        <w:ind w:left="720" w:hanging="720"/>
      </w:pPr>
      <w:rPr>
        <w:rFonts w:hint="default"/>
        <w:color w:val="77328A"/>
      </w:rPr>
    </w:lvl>
    <w:lvl w:ilvl="1">
      <w:start w:val="1"/>
      <w:numFmt w:val="decimal"/>
      <w:lvlText w:val="%1.%2"/>
      <w:lvlJc w:val="left"/>
      <w:pPr>
        <w:ind w:left="720" w:hanging="720"/>
      </w:pPr>
      <w:rPr>
        <w:rFonts w:hint="default"/>
        <w:b w:val="0"/>
        <w:color w:val="auto"/>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7" w15:restartNumberingAfterBreak="0">
    <w:nsid w:val="756E498D"/>
    <w:multiLevelType w:val="multilevel"/>
    <w:tmpl w:val="B21A2CC2"/>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7CD83C24"/>
    <w:multiLevelType w:val="hybridMultilevel"/>
    <w:tmpl w:val="F640AA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7585589">
    <w:abstractNumId w:val="1"/>
  </w:num>
  <w:num w:numId="2" w16cid:durableId="416370075">
    <w:abstractNumId w:val="6"/>
  </w:num>
  <w:num w:numId="3" w16cid:durableId="2084250829">
    <w:abstractNumId w:val="2"/>
  </w:num>
  <w:num w:numId="4" w16cid:durableId="1755280007">
    <w:abstractNumId w:val="8"/>
  </w:num>
  <w:num w:numId="5" w16cid:durableId="136727057">
    <w:abstractNumId w:val="7"/>
  </w:num>
  <w:num w:numId="6" w16cid:durableId="1683320425">
    <w:abstractNumId w:val="4"/>
  </w:num>
  <w:num w:numId="7" w16cid:durableId="379862720">
    <w:abstractNumId w:val="3"/>
  </w:num>
  <w:num w:numId="8" w16cid:durableId="380978691">
    <w:abstractNumId w:val="5"/>
  </w:num>
  <w:num w:numId="9" w16cid:durableId="30208538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1954"/>
    <w:rsid w:val="00002C9F"/>
    <w:rsid w:val="00002F54"/>
    <w:rsid w:val="00003304"/>
    <w:rsid w:val="0000398C"/>
    <w:rsid w:val="00010293"/>
    <w:rsid w:val="00010BC6"/>
    <w:rsid w:val="00010DB3"/>
    <w:rsid w:val="00012367"/>
    <w:rsid w:val="00020135"/>
    <w:rsid w:val="000225EE"/>
    <w:rsid w:val="00023F96"/>
    <w:rsid w:val="000241DB"/>
    <w:rsid w:val="000255D9"/>
    <w:rsid w:val="0002663B"/>
    <w:rsid w:val="000336A5"/>
    <w:rsid w:val="00033E63"/>
    <w:rsid w:val="000366F1"/>
    <w:rsid w:val="00040427"/>
    <w:rsid w:val="00040DBF"/>
    <w:rsid w:val="000423F6"/>
    <w:rsid w:val="00045A92"/>
    <w:rsid w:val="00045B47"/>
    <w:rsid w:val="00045E66"/>
    <w:rsid w:val="00046705"/>
    <w:rsid w:val="000512DD"/>
    <w:rsid w:val="00051594"/>
    <w:rsid w:val="0005296A"/>
    <w:rsid w:val="000534BA"/>
    <w:rsid w:val="00053550"/>
    <w:rsid w:val="0005379E"/>
    <w:rsid w:val="00053FAB"/>
    <w:rsid w:val="00054A1E"/>
    <w:rsid w:val="00055E93"/>
    <w:rsid w:val="00055FFE"/>
    <w:rsid w:val="000574D9"/>
    <w:rsid w:val="00057D06"/>
    <w:rsid w:val="00060A87"/>
    <w:rsid w:val="00061042"/>
    <w:rsid w:val="00062520"/>
    <w:rsid w:val="00063040"/>
    <w:rsid w:val="00063F45"/>
    <w:rsid w:val="00070EEB"/>
    <w:rsid w:val="00071571"/>
    <w:rsid w:val="00073013"/>
    <w:rsid w:val="000778C1"/>
    <w:rsid w:val="0008083A"/>
    <w:rsid w:val="00080C19"/>
    <w:rsid w:val="00081FAC"/>
    <w:rsid w:val="00082379"/>
    <w:rsid w:val="000823EE"/>
    <w:rsid w:val="00083182"/>
    <w:rsid w:val="00083B40"/>
    <w:rsid w:val="00083CE0"/>
    <w:rsid w:val="00084B01"/>
    <w:rsid w:val="00087130"/>
    <w:rsid w:val="0008768A"/>
    <w:rsid w:val="00090AD1"/>
    <w:rsid w:val="00095D40"/>
    <w:rsid w:val="00095D76"/>
    <w:rsid w:val="0009678D"/>
    <w:rsid w:val="000A18CD"/>
    <w:rsid w:val="000A22F8"/>
    <w:rsid w:val="000A2B36"/>
    <w:rsid w:val="000A2E1D"/>
    <w:rsid w:val="000A3DEA"/>
    <w:rsid w:val="000A488A"/>
    <w:rsid w:val="000A5484"/>
    <w:rsid w:val="000A6DF4"/>
    <w:rsid w:val="000A792D"/>
    <w:rsid w:val="000B196E"/>
    <w:rsid w:val="000B22C2"/>
    <w:rsid w:val="000B32DD"/>
    <w:rsid w:val="000B3647"/>
    <w:rsid w:val="000B4F97"/>
    <w:rsid w:val="000C11F9"/>
    <w:rsid w:val="000C2779"/>
    <w:rsid w:val="000C4325"/>
    <w:rsid w:val="000C6006"/>
    <w:rsid w:val="000C667D"/>
    <w:rsid w:val="000C759B"/>
    <w:rsid w:val="000D04F7"/>
    <w:rsid w:val="000D345B"/>
    <w:rsid w:val="000D3C28"/>
    <w:rsid w:val="000D5B75"/>
    <w:rsid w:val="000D66A8"/>
    <w:rsid w:val="000E135F"/>
    <w:rsid w:val="000E1F52"/>
    <w:rsid w:val="000E1F61"/>
    <w:rsid w:val="000E228B"/>
    <w:rsid w:val="000E31CC"/>
    <w:rsid w:val="000E5FA7"/>
    <w:rsid w:val="000E666D"/>
    <w:rsid w:val="000E707F"/>
    <w:rsid w:val="000E7980"/>
    <w:rsid w:val="000E7D0F"/>
    <w:rsid w:val="000E7F0C"/>
    <w:rsid w:val="000F67CE"/>
    <w:rsid w:val="000F6F0D"/>
    <w:rsid w:val="000F77A0"/>
    <w:rsid w:val="00100146"/>
    <w:rsid w:val="00100A11"/>
    <w:rsid w:val="00100C57"/>
    <w:rsid w:val="00103DCB"/>
    <w:rsid w:val="00105F5B"/>
    <w:rsid w:val="0010640A"/>
    <w:rsid w:val="001070B0"/>
    <w:rsid w:val="00107E68"/>
    <w:rsid w:val="00110B85"/>
    <w:rsid w:val="00113801"/>
    <w:rsid w:val="00115593"/>
    <w:rsid w:val="0012015E"/>
    <w:rsid w:val="00121D4F"/>
    <w:rsid w:val="00121EB0"/>
    <w:rsid w:val="00123128"/>
    <w:rsid w:val="001239B9"/>
    <w:rsid w:val="001247EA"/>
    <w:rsid w:val="001277F8"/>
    <w:rsid w:val="001309ED"/>
    <w:rsid w:val="00133BDA"/>
    <w:rsid w:val="00134063"/>
    <w:rsid w:val="00135C19"/>
    <w:rsid w:val="00136920"/>
    <w:rsid w:val="00136CF6"/>
    <w:rsid w:val="00136EF5"/>
    <w:rsid w:val="0013729A"/>
    <w:rsid w:val="001374DE"/>
    <w:rsid w:val="00141629"/>
    <w:rsid w:val="00142884"/>
    <w:rsid w:val="00154DE3"/>
    <w:rsid w:val="00156091"/>
    <w:rsid w:val="0015733D"/>
    <w:rsid w:val="001577FC"/>
    <w:rsid w:val="00161B41"/>
    <w:rsid w:val="0016318D"/>
    <w:rsid w:val="00163C38"/>
    <w:rsid w:val="00163FCD"/>
    <w:rsid w:val="0016710C"/>
    <w:rsid w:val="00170D75"/>
    <w:rsid w:val="001711B9"/>
    <w:rsid w:val="00171254"/>
    <w:rsid w:val="001748D1"/>
    <w:rsid w:val="00174E0B"/>
    <w:rsid w:val="00175932"/>
    <w:rsid w:val="0018088A"/>
    <w:rsid w:val="00181288"/>
    <w:rsid w:val="0018304E"/>
    <w:rsid w:val="001840E9"/>
    <w:rsid w:val="00184373"/>
    <w:rsid w:val="00184409"/>
    <w:rsid w:val="00184AD4"/>
    <w:rsid w:val="00184EF3"/>
    <w:rsid w:val="001851F0"/>
    <w:rsid w:val="001912F4"/>
    <w:rsid w:val="00192CEB"/>
    <w:rsid w:val="001946A2"/>
    <w:rsid w:val="00194E17"/>
    <w:rsid w:val="001952F3"/>
    <w:rsid w:val="00195795"/>
    <w:rsid w:val="0019615B"/>
    <w:rsid w:val="001961DD"/>
    <w:rsid w:val="00196635"/>
    <w:rsid w:val="001A0AD4"/>
    <w:rsid w:val="001A1349"/>
    <w:rsid w:val="001A3990"/>
    <w:rsid w:val="001A541E"/>
    <w:rsid w:val="001A5993"/>
    <w:rsid w:val="001B048C"/>
    <w:rsid w:val="001B0B41"/>
    <w:rsid w:val="001B1992"/>
    <w:rsid w:val="001B4FC4"/>
    <w:rsid w:val="001B5A9D"/>
    <w:rsid w:val="001C2AB4"/>
    <w:rsid w:val="001C389B"/>
    <w:rsid w:val="001C4CE2"/>
    <w:rsid w:val="001C66F7"/>
    <w:rsid w:val="001C67B8"/>
    <w:rsid w:val="001C72BC"/>
    <w:rsid w:val="001C7BEF"/>
    <w:rsid w:val="001D067E"/>
    <w:rsid w:val="001D4E63"/>
    <w:rsid w:val="001D678E"/>
    <w:rsid w:val="001D7AA7"/>
    <w:rsid w:val="001D7CEC"/>
    <w:rsid w:val="001D7F4E"/>
    <w:rsid w:val="001E0545"/>
    <w:rsid w:val="001E0815"/>
    <w:rsid w:val="001E264F"/>
    <w:rsid w:val="001E2B95"/>
    <w:rsid w:val="001E2E75"/>
    <w:rsid w:val="001E3808"/>
    <w:rsid w:val="001E3DA0"/>
    <w:rsid w:val="001E57E8"/>
    <w:rsid w:val="001E6A24"/>
    <w:rsid w:val="001E7247"/>
    <w:rsid w:val="001E79A9"/>
    <w:rsid w:val="001F063E"/>
    <w:rsid w:val="001F1B67"/>
    <w:rsid w:val="001F7D20"/>
    <w:rsid w:val="002002FE"/>
    <w:rsid w:val="00200733"/>
    <w:rsid w:val="00200B39"/>
    <w:rsid w:val="00201044"/>
    <w:rsid w:val="00201A08"/>
    <w:rsid w:val="002023E0"/>
    <w:rsid w:val="0020266E"/>
    <w:rsid w:val="00203758"/>
    <w:rsid w:val="00206B5E"/>
    <w:rsid w:val="0021279A"/>
    <w:rsid w:val="00213B8A"/>
    <w:rsid w:val="002164ED"/>
    <w:rsid w:val="002205B3"/>
    <w:rsid w:val="002220B3"/>
    <w:rsid w:val="00222FCA"/>
    <w:rsid w:val="00223697"/>
    <w:rsid w:val="00224140"/>
    <w:rsid w:val="00227909"/>
    <w:rsid w:val="00227FD1"/>
    <w:rsid w:val="002329EF"/>
    <w:rsid w:val="002351CB"/>
    <w:rsid w:val="002353FA"/>
    <w:rsid w:val="002357DC"/>
    <w:rsid w:val="002414B0"/>
    <w:rsid w:val="00241F60"/>
    <w:rsid w:val="002428EC"/>
    <w:rsid w:val="0024322B"/>
    <w:rsid w:val="002436DE"/>
    <w:rsid w:val="00245A93"/>
    <w:rsid w:val="00245E58"/>
    <w:rsid w:val="002462C5"/>
    <w:rsid w:val="002464FD"/>
    <w:rsid w:val="00247706"/>
    <w:rsid w:val="00251535"/>
    <w:rsid w:val="00251943"/>
    <w:rsid w:val="00252E07"/>
    <w:rsid w:val="00253978"/>
    <w:rsid w:val="0025570B"/>
    <w:rsid w:val="00255987"/>
    <w:rsid w:val="00257363"/>
    <w:rsid w:val="00257E69"/>
    <w:rsid w:val="00261363"/>
    <w:rsid w:val="00263484"/>
    <w:rsid w:val="0026402F"/>
    <w:rsid w:val="002663B5"/>
    <w:rsid w:val="002668AC"/>
    <w:rsid w:val="002671EE"/>
    <w:rsid w:val="00270793"/>
    <w:rsid w:val="002709B4"/>
    <w:rsid w:val="00270A95"/>
    <w:rsid w:val="00270BC0"/>
    <w:rsid w:val="00271A91"/>
    <w:rsid w:val="00274371"/>
    <w:rsid w:val="00275A5B"/>
    <w:rsid w:val="002765B5"/>
    <w:rsid w:val="00276AE9"/>
    <w:rsid w:val="00280426"/>
    <w:rsid w:val="00280622"/>
    <w:rsid w:val="00281C41"/>
    <w:rsid w:val="00286303"/>
    <w:rsid w:val="00286E8E"/>
    <w:rsid w:val="00291DA9"/>
    <w:rsid w:val="00292CE8"/>
    <w:rsid w:val="00293A8A"/>
    <w:rsid w:val="00295DA4"/>
    <w:rsid w:val="002966E6"/>
    <w:rsid w:val="002A0FB1"/>
    <w:rsid w:val="002A16F9"/>
    <w:rsid w:val="002A204E"/>
    <w:rsid w:val="002A26DC"/>
    <w:rsid w:val="002A4249"/>
    <w:rsid w:val="002A7598"/>
    <w:rsid w:val="002B1272"/>
    <w:rsid w:val="002B2166"/>
    <w:rsid w:val="002B260B"/>
    <w:rsid w:val="002B26AE"/>
    <w:rsid w:val="002B2775"/>
    <w:rsid w:val="002B2799"/>
    <w:rsid w:val="002B39F8"/>
    <w:rsid w:val="002B4372"/>
    <w:rsid w:val="002B49FC"/>
    <w:rsid w:val="002B69CD"/>
    <w:rsid w:val="002B7D94"/>
    <w:rsid w:val="002B7F85"/>
    <w:rsid w:val="002C018C"/>
    <w:rsid w:val="002C14A3"/>
    <w:rsid w:val="002C1EBD"/>
    <w:rsid w:val="002C2F6F"/>
    <w:rsid w:val="002C55DC"/>
    <w:rsid w:val="002C744C"/>
    <w:rsid w:val="002C745E"/>
    <w:rsid w:val="002D14A6"/>
    <w:rsid w:val="002D16C3"/>
    <w:rsid w:val="002D41F5"/>
    <w:rsid w:val="002D53AC"/>
    <w:rsid w:val="002D5470"/>
    <w:rsid w:val="002D67B4"/>
    <w:rsid w:val="002D6E53"/>
    <w:rsid w:val="002E682A"/>
    <w:rsid w:val="002E7657"/>
    <w:rsid w:val="002F1B73"/>
    <w:rsid w:val="002F2240"/>
    <w:rsid w:val="002F2C1B"/>
    <w:rsid w:val="002F7190"/>
    <w:rsid w:val="0030105D"/>
    <w:rsid w:val="00301709"/>
    <w:rsid w:val="00302F2A"/>
    <w:rsid w:val="0030418B"/>
    <w:rsid w:val="00306317"/>
    <w:rsid w:val="00306DDF"/>
    <w:rsid w:val="00314522"/>
    <w:rsid w:val="003149C2"/>
    <w:rsid w:val="00315C62"/>
    <w:rsid w:val="00316020"/>
    <w:rsid w:val="00316E34"/>
    <w:rsid w:val="00320A8C"/>
    <w:rsid w:val="00322326"/>
    <w:rsid w:val="0032396F"/>
    <w:rsid w:val="00323A1D"/>
    <w:rsid w:val="003244B4"/>
    <w:rsid w:val="00326F56"/>
    <w:rsid w:val="00327A2A"/>
    <w:rsid w:val="00331195"/>
    <w:rsid w:val="00331571"/>
    <w:rsid w:val="003317DB"/>
    <w:rsid w:val="00331C61"/>
    <w:rsid w:val="00333A71"/>
    <w:rsid w:val="00334B05"/>
    <w:rsid w:val="00335455"/>
    <w:rsid w:val="00335E36"/>
    <w:rsid w:val="00341BFE"/>
    <w:rsid w:val="0035128C"/>
    <w:rsid w:val="003517C1"/>
    <w:rsid w:val="003518D9"/>
    <w:rsid w:val="00353264"/>
    <w:rsid w:val="00354F40"/>
    <w:rsid w:val="00355AAC"/>
    <w:rsid w:val="0035730D"/>
    <w:rsid w:val="00357734"/>
    <w:rsid w:val="003607BC"/>
    <w:rsid w:val="00362902"/>
    <w:rsid w:val="003637C0"/>
    <w:rsid w:val="00363A0B"/>
    <w:rsid w:val="00364747"/>
    <w:rsid w:val="00364FFF"/>
    <w:rsid w:val="003653F8"/>
    <w:rsid w:val="00365F2C"/>
    <w:rsid w:val="00367CCA"/>
    <w:rsid w:val="003706E1"/>
    <w:rsid w:val="00376373"/>
    <w:rsid w:val="00380DF6"/>
    <w:rsid w:val="0038164D"/>
    <w:rsid w:val="00384576"/>
    <w:rsid w:val="00386226"/>
    <w:rsid w:val="003910B6"/>
    <w:rsid w:val="0039148A"/>
    <w:rsid w:val="003914AA"/>
    <w:rsid w:val="0039344E"/>
    <w:rsid w:val="00393AE9"/>
    <w:rsid w:val="00394444"/>
    <w:rsid w:val="003947AC"/>
    <w:rsid w:val="00397D30"/>
    <w:rsid w:val="00397F83"/>
    <w:rsid w:val="003A019C"/>
    <w:rsid w:val="003A077F"/>
    <w:rsid w:val="003A0E15"/>
    <w:rsid w:val="003A306D"/>
    <w:rsid w:val="003A68D8"/>
    <w:rsid w:val="003B2D4C"/>
    <w:rsid w:val="003B2FB1"/>
    <w:rsid w:val="003B4591"/>
    <w:rsid w:val="003B463F"/>
    <w:rsid w:val="003B46ED"/>
    <w:rsid w:val="003B4BF2"/>
    <w:rsid w:val="003B4F76"/>
    <w:rsid w:val="003B7D0E"/>
    <w:rsid w:val="003C0C59"/>
    <w:rsid w:val="003C1199"/>
    <w:rsid w:val="003C267C"/>
    <w:rsid w:val="003C3375"/>
    <w:rsid w:val="003C38F6"/>
    <w:rsid w:val="003C5CD1"/>
    <w:rsid w:val="003C72AB"/>
    <w:rsid w:val="003C754C"/>
    <w:rsid w:val="003D09D2"/>
    <w:rsid w:val="003D30B2"/>
    <w:rsid w:val="003D3EEA"/>
    <w:rsid w:val="003D4877"/>
    <w:rsid w:val="003D6038"/>
    <w:rsid w:val="003D752C"/>
    <w:rsid w:val="003E0206"/>
    <w:rsid w:val="003E049F"/>
    <w:rsid w:val="003E14E2"/>
    <w:rsid w:val="003E2BF8"/>
    <w:rsid w:val="003E2D96"/>
    <w:rsid w:val="003F22F0"/>
    <w:rsid w:val="003F409C"/>
    <w:rsid w:val="003F63EC"/>
    <w:rsid w:val="003F799B"/>
    <w:rsid w:val="003F7C10"/>
    <w:rsid w:val="0040017A"/>
    <w:rsid w:val="00404770"/>
    <w:rsid w:val="00405B3F"/>
    <w:rsid w:val="00405C26"/>
    <w:rsid w:val="00407C18"/>
    <w:rsid w:val="00410663"/>
    <w:rsid w:val="0041070C"/>
    <w:rsid w:val="004128AC"/>
    <w:rsid w:val="00414159"/>
    <w:rsid w:val="004156A4"/>
    <w:rsid w:val="00416E0A"/>
    <w:rsid w:val="00416F55"/>
    <w:rsid w:val="004174EC"/>
    <w:rsid w:val="00420B2B"/>
    <w:rsid w:val="00421764"/>
    <w:rsid w:val="00424B0D"/>
    <w:rsid w:val="00425782"/>
    <w:rsid w:val="0042640B"/>
    <w:rsid w:val="004265E3"/>
    <w:rsid w:val="00426901"/>
    <w:rsid w:val="00432756"/>
    <w:rsid w:val="004340E3"/>
    <w:rsid w:val="00434431"/>
    <w:rsid w:val="004348F5"/>
    <w:rsid w:val="00434EC0"/>
    <w:rsid w:val="00435478"/>
    <w:rsid w:val="00435884"/>
    <w:rsid w:val="00440808"/>
    <w:rsid w:val="004443FF"/>
    <w:rsid w:val="00445468"/>
    <w:rsid w:val="00445497"/>
    <w:rsid w:val="0044619E"/>
    <w:rsid w:val="0045051B"/>
    <w:rsid w:val="00451C4C"/>
    <w:rsid w:val="004528D9"/>
    <w:rsid w:val="00452CD5"/>
    <w:rsid w:val="00454781"/>
    <w:rsid w:val="00461155"/>
    <w:rsid w:val="004627E8"/>
    <w:rsid w:val="00462A16"/>
    <w:rsid w:val="00463D6B"/>
    <w:rsid w:val="00466A2E"/>
    <w:rsid w:val="00466FBA"/>
    <w:rsid w:val="004672AC"/>
    <w:rsid w:val="0047000E"/>
    <w:rsid w:val="00471461"/>
    <w:rsid w:val="004716F9"/>
    <w:rsid w:val="004718BF"/>
    <w:rsid w:val="00471D60"/>
    <w:rsid w:val="00474000"/>
    <w:rsid w:val="00474B80"/>
    <w:rsid w:val="00480241"/>
    <w:rsid w:val="00480C1B"/>
    <w:rsid w:val="00481BD2"/>
    <w:rsid w:val="00481D55"/>
    <w:rsid w:val="00481FFC"/>
    <w:rsid w:val="00483007"/>
    <w:rsid w:val="0048416E"/>
    <w:rsid w:val="00484659"/>
    <w:rsid w:val="00484777"/>
    <w:rsid w:val="00484DA1"/>
    <w:rsid w:val="004858B2"/>
    <w:rsid w:val="00485C28"/>
    <w:rsid w:val="00485E53"/>
    <w:rsid w:val="00491D2B"/>
    <w:rsid w:val="00492A6F"/>
    <w:rsid w:val="00492F97"/>
    <w:rsid w:val="00494E24"/>
    <w:rsid w:val="004A0508"/>
    <w:rsid w:val="004A1877"/>
    <w:rsid w:val="004A1910"/>
    <w:rsid w:val="004A30C8"/>
    <w:rsid w:val="004A3D21"/>
    <w:rsid w:val="004A4A1D"/>
    <w:rsid w:val="004A4E29"/>
    <w:rsid w:val="004A6056"/>
    <w:rsid w:val="004A61E2"/>
    <w:rsid w:val="004A68C4"/>
    <w:rsid w:val="004A76FF"/>
    <w:rsid w:val="004B35C3"/>
    <w:rsid w:val="004B3C3D"/>
    <w:rsid w:val="004B6745"/>
    <w:rsid w:val="004B74FE"/>
    <w:rsid w:val="004C1514"/>
    <w:rsid w:val="004C169A"/>
    <w:rsid w:val="004C1CA8"/>
    <w:rsid w:val="004C4970"/>
    <w:rsid w:val="004D020D"/>
    <w:rsid w:val="004D4EDC"/>
    <w:rsid w:val="004D64C3"/>
    <w:rsid w:val="004E0444"/>
    <w:rsid w:val="004E0922"/>
    <w:rsid w:val="004E0AE9"/>
    <w:rsid w:val="004E1C74"/>
    <w:rsid w:val="004E59CD"/>
    <w:rsid w:val="004E5CB2"/>
    <w:rsid w:val="004E6588"/>
    <w:rsid w:val="004E7970"/>
    <w:rsid w:val="004E7D18"/>
    <w:rsid w:val="004F289E"/>
    <w:rsid w:val="004F2E0D"/>
    <w:rsid w:val="004F35F9"/>
    <w:rsid w:val="004F3DBA"/>
    <w:rsid w:val="004F42B9"/>
    <w:rsid w:val="004F5BC4"/>
    <w:rsid w:val="004F7F63"/>
    <w:rsid w:val="00503B0F"/>
    <w:rsid w:val="00505207"/>
    <w:rsid w:val="0050635F"/>
    <w:rsid w:val="00506599"/>
    <w:rsid w:val="00511DBD"/>
    <w:rsid w:val="00511E26"/>
    <w:rsid w:val="00514F90"/>
    <w:rsid w:val="0052301C"/>
    <w:rsid w:val="00523832"/>
    <w:rsid w:val="0052406F"/>
    <w:rsid w:val="005241B2"/>
    <w:rsid w:val="005255D7"/>
    <w:rsid w:val="005274F9"/>
    <w:rsid w:val="00527650"/>
    <w:rsid w:val="00527917"/>
    <w:rsid w:val="0053037B"/>
    <w:rsid w:val="005313A3"/>
    <w:rsid w:val="00533270"/>
    <w:rsid w:val="005376DF"/>
    <w:rsid w:val="005407BD"/>
    <w:rsid w:val="00541919"/>
    <w:rsid w:val="00541A13"/>
    <w:rsid w:val="00542D53"/>
    <w:rsid w:val="005441D4"/>
    <w:rsid w:val="00544DF7"/>
    <w:rsid w:val="00545922"/>
    <w:rsid w:val="00546E7E"/>
    <w:rsid w:val="00550C41"/>
    <w:rsid w:val="0055193F"/>
    <w:rsid w:val="00551FB8"/>
    <w:rsid w:val="00552293"/>
    <w:rsid w:val="00555048"/>
    <w:rsid w:val="00555696"/>
    <w:rsid w:val="00556C23"/>
    <w:rsid w:val="00557B79"/>
    <w:rsid w:val="0056252C"/>
    <w:rsid w:val="00564A3B"/>
    <w:rsid w:val="005651FC"/>
    <w:rsid w:val="00566574"/>
    <w:rsid w:val="005729BB"/>
    <w:rsid w:val="00573D3F"/>
    <w:rsid w:val="00575F32"/>
    <w:rsid w:val="00576C76"/>
    <w:rsid w:val="005773E8"/>
    <w:rsid w:val="00580048"/>
    <w:rsid w:val="005800A7"/>
    <w:rsid w:val="005801AF"/>
    <w:rsid w:val="00582011"/>
    <w:rsid w:val="005859DE"/>
    <w:rsid w:val="00585F16"/>
    <w:rsid w:val="00586A2C"/>
    <w:rsid w:val="005916F2"/>
    <w:rsid w:val="005A0DB0"/>
    <w:rsid w:val="005A2388"/>
    <w:rsid w:val="005A50AA"/>
    <w:rsid w:val="005A5451"/>
    <w:rsid w:val="005A54BD"/>
    <w:rsid w:val="005A5DFE"/>
    <w:rsid w:val="005B025D"/>
    <w:rsid w:val="005B150F"/>
    <w:rsid w:val="005B68B1"/>
    <w:rsid w:val="005B723E"/>
    <w:rsid w:val="005C0E11"/>
    <w:rsid w:val="005C1D6C"/>
    <w:rsid w:val="005C4006"/>
    <w:rsid w:val="005C68B7"/>
    <w:rsid w:val="005D0938"/>
    <w:rsid w:val="005D32A8"/>
    <w:rsid w:val="005D78D3"/>
    <w:rsid w:val="005E220C"/>
    <w:rsid w:val="005E29C9"/>
    <w:rsid w:val="005F1534"/>
    <w:rsid w:val="005F1CB6"/>
    <w:rsid w:val="005F66B4"/>
    <w:rsid w:val="005F6A46"/>
    <w:rsid w:val="005F71F6"/>
    <w:rsid w:val="005F72B9"/>
    <w:rsid w:val="006039AA"/>
    <w:rsid w:val="006041B4"/>
    <w:rsid w:val="00606C1D"/>
    <w:rsid w:val="00610B45"/>
    <w:rsid w:val="00611079"/>
    <w:rsid w:val="00611160"/>
    <w:rsid w:val="00613846"/>
    <w:rsid w:val="006156AE"/>
    <w:rsid w:val="00620A01"/>
    <w:rsid w:val="00621DD7"/>
    <w:rsid w:val="00622CBF"/>
    <w:rsid w:val="0063145F"/>
    <w:rsid w:val="006315B0"/>
    <w:rsid w:val="006329F8"/>
    <w:rsid w:val="00633B51"/>
    <w:rsid w:val="00635FAD"/>
    <w:rsid w:val="00640902"/>
    <w:rsid w:val="00640E6A"/>
    <w:rsid w:val="00643C41"/>
    <w:rsid w:val="00650108"/>
    <w:rsid w:val="006539E2"/>
    <w:rsid w:val="00654D2B"/>
    <w:rsid w:val="00656ECD"/>
    <w:rsid w:val="00660025"/>
    <w:rsid w:val="00661742"/>
    <w:rsid w:val="006618AD"/>
    <w:rsid w:val="00661A7E"/>
    <w:rsid w:val="00661AB1"/>
    <w:rsid w:val="006651A6"/>
    <w:rsid w:val="00670729"/>
    <w:rsid w:val="00673125"/>
    <w:rsid w:val="00674F97"/>
    <w:rsid w:val="006900B4"/>
    <w:rsid w:val="006917AB"/>
    <w:rsid w:val="006931A9"/>
    <w:rsid w:val="006937D3"/>
    <w:rsid w:val="00693D0E"/>
    <w:rsid w:val="006942B1"/>
    <w:rsid w:val="00694F38"/>
    <w:rsid w:val="00695A69"/>
    <w:rsid w:val="00697059"/>
    <w:rsid w:val="00697A38"/>
    <w:rsid w:val="00697D97"/>
    <w:rsid w:val="006A14C8"/>
    <w:rsid w:val="006A38E3"/>
    <w:rsid w:val="006A49C6"/>
    <w:rsid w:val="006A52AF"/>
    <w:rsid w:val="006A5F8E"/>
    <w:rsid w:val="006A7855"/>
    <w:rsid w:val="006B1D4E"/>
    <w:rsid w:val="006B29A6"/>
    <w:rsid w:val="006B3799"/>
    <w:rsid w:val="006B4C56"/>
    <w:rsid w:val="006B4FDD"/>
    <w:rsid w:val="006B5114"/>
    <w:rsid w:val="006B5827"/>
    <w:rsid w:val="006B5C3E"/>
    <w:rsid w:val="006C144C"/>
    <w:rsid w:val="006C225A"/>
    <w:rsid w:val="006D1096"/>
    <w:rsid w:val="006D1825"/>
    <w:rsid w:val="006D2E3F"/>
    <w:rsid w:val="006D3B88"/>
    <w:rsid w:val="006D430A"/>
    <w:rsid w:val="006D5BA5"/>
    <w:rsid w:val="006E1EC9"/>
    <w:rsid w:val="006E3ADC"/>
    <w:rsid w:val="006E3E2E"/>
    <w:rsid w:val="006E3E5C"/>
    <w:rsid w:val="006E6304"/>
    <w:rsid w:val="006E698D"/>
    <w:rsid w:val="006F1BB8"/>
    <w:rsid w:val="006F249D"/>
    <w:rsid w:val="006F6119"/>
    <w:rsid w:val="006F7DE0"/>
    <w:rsid w:val="0070054D"/>
    <w:rsid w:val="00703205"/>
    <w:rsid w:val="007039D4"/>
    <w:rsid w:val="00705833"/>
    <w:rsid w:val="00706DF2"/>
    <w:rsid w:val="00710152"/>
    <w:rsid w:val="00710626"/>
    <w:rsid w:val="00714F28"/>
    <w:rsid w:val="00715E3B"/>
    <w:rsid w:val="00720B51"/>
    <w:rsid w:val="00722450"/>
    <w:rsid w:val="007224EB"/>
    <w:rsid w:val="00722645"/>
    <w:rsid w:val="007259F2"/>
    <w:rsid w:val="00726A90"/>
    <w:rsid w:val="00726D62"/>
    <w:rsid w:val="00727401"/>
    <w:rsid w:val="007324E6"/>
    <w:rsid w:val="0073370B"/>
    <w:rsid w:val="00734932"/>
    <w:rsid w:val="00736A28"/>
    <w:rsid w:val="00736BE3"/>
    <w:rsid w:val="00737DC5"/>
    <w:rsid w:val="00742459"/>
    <w:rsid w:val="00743E6E"/>
    <w:rsid w:val="00746917"/>
    <w:rsid w:val="00746B6E"/>
    <w:rsid w:val="007477A1"/>
    <w:rsid w:val="007478F9"/>
    <w:rsid w:val="00747FEE"/>
    <w:rsid w:val="0075186E"/>
    <w:rsid w:val="00752684"/>
    <w:rsid w:val="00753A99"/>
    <w:rsid w:val="0075528F"/>
    <w:rsid w:val="007569C1"/>
    <w:rsid w:val="00756B11"/>
    <w:rsid w:val="00756B38"/>
    <w:rsid w:val="007609D1"/>
    <w:rsid w:val="00761A0F"/>
    <w:rsid w:val="00765726"/>
    <w:rsid w:val="0077185A"/>
    <w:rsid w:val="007726D1"/>
    <w:rsid w:val="007742FF"/>
    <w:rsid w:val="0077678E"/>
    <w:rsid w:val="00780574"/>
    <w:rsid w:val="007815F1"/>
    <w:rsid w:val="00781BD2"/>
    <w:rsid w:val="00781F52"/>
    <w:rsid w:val="0078241F"/>
    <w:rsid w:val="00782B53"/>
    <w:rsid w:val="00785100"/>
    <w:rsid w:val="00785D4D"/>
    <w:rsid w:val="00791D88"/>
    <w:rsid w:val="00792F4A"/>
    <w:rsid w:val="0079388F"/>
    <w:rsid w:val="0079471E"/>
    <w:rsid w:val="00796CEE"/>
    <w:rsid w:val="007A0051"/>
    <w:rsid w:val="007A2178"/>
    <w:rsid w:val="007A556C"/>
    <w:rsid w:val="007A6414"/>
    <w:rsid w:val="007A7653"/>
    <w:rsid w:val="007B253B"/>
    <w:rsid w:val="007B70AB"/>
    <w:rsid w:val="007B7853"/>
    <w:rsid w:val="007C2F85"/>
    <w:rsid w:val="007C5475"/>
    <w:rsid w:val="007C553A"/>
    <w:rsid w:val="007C5632"/>
    <w:rsid w:val="007C5DB9"/>
    <w:rsid w:val="007D0C36"/>
    <w:rsid w:val="007D2D4D"/>
    <w:rsid w:val="007D38A3"/>
    <w:rsid w:val="007D419B"/>
    <w:rsid w:val="007D5E9E"/>
    <w:rsid w:val="007D6A8C"/>
    <w:rsid w:val="007D6E77"/>
    <w:rsid w:val="007D6FB2"/>
    <w:rsid w:val="007E0719"/>
    <w:rsid w:val="007E0F13"/>
    <w:rsid w:val="007E1B84"/>
    <w:rsid w:val="007E4A5E"/>
    <w:rsid w:val="007F132B"/>
    <w:rsid w:val="007F266D"/>
    <w:rsid w:val="007F3315"/>
    <w:rsid w:val="007F5544"/>
    <w:rsid w:val="007F640E"/>
    <w:rsid w:val="007F6B60"/>
    <w:rsid w:val="007F7047"/>
    <w:rsid w:val="00800225"/>
    <w:rsid w:val="00801EEF"/>
    <w:rsid w:val="0080387A"/>
    <w:rsid w:val="008066E1"/>
    <w:rsid w:val="00810B19"/>
    <w:rsid w:val="0081110D"/>
    <w:rsid w:val="00812D47"/>
    <w:rsid w:val="008159E8"/>
    <w:rsid w:val="00816A21"/>
    <w:rsid w:val="00816D9D"/>
    <w:rsid w:val="00821C3C"/>
    <w:rsid w:val="00824EE9"/>
    <w:rsid w:val="0082602E"/>
    <w:rsid w:val="008265F5"/>
    <w:rsid w:val="008275D0"/>
    <w:rsid w:val="0083050A"/>
    <w:rsid w:val="00834260"/>
    <w:rsid w:val="00836279"/>
    <w:rsid w:val="00836A88"/>
    <w:rsid w:val="008410A8"/>
    <w:rsid w:val="00844A8C"/>
    <w:rsid w:val="008453AD"/>
    <w:rsid w:val="00846BDE"/>
    <w:rsid w:val="00850520"/>
    <w:rsid w:val="00852F16"/>
    <w:rsid w:val="00852F84"/>
    <w:rsid w:val="00856BCF"/>
    <w:rsid w:val="00856F73"/>
    <w:rsid w:val="008610B0"/>
    <w:rsid w:val="00862A65"/>
    <w:rsid w:val="0086343E"/>
    <w:rsid w:val="00866BFD"/>
    <w:rsid w:val="0087161B"/>
    <w:rsid w:val="00872187"/>
    <w:rsid w:val="00872E1F"/>
    <w:rsid w:val="00873241"/>
    <w:rsid w:val="00874163"/>
    <w:rsid w:val="00874208"/>
    <w:rsid w:val="00874C77"/>
    <w:rsid w:val="00874FE7"/>
    <w:rsid w:val="00875E68"/>
    <w:rsid w:val="00876241"/>
    <w:rsid w:val="00881905"/>
    <w:rsid w:val="00881BDE"/>
    <w:rsid w:val="00883A8D"/>
    <w:rsid w:val="00886F9E"/>
    <w:rsid w:val="008878B6"/>
    <w:rsid w:val="00887A94"/>
    <w:rsid w:val="00890B4F"/>
    <w:rsid w:val="00897318"/>
    <w:rsid w:val="008A1145"/>
    <w:rsid w:val="008A3EA4"/>
    <w:rsid w:val="008A40DC"/>
    <w:rsid w:val="008B1836"/>
    <w:rsid w:val="008B4868"/>
    <w:rsid w:val="008C020A"/>
    <w:rsid w:val="008C16F7"/>
    <w:rsid w:val="008C18F0"/>
    <w:rsid w:val="008C1ACA"/>
    <w:rsid w:val="008C20D7"/>
    <w:rsid w:val="008C56EA"/>
    <w:rsid w:val="008C5770"/>
    <w:rsid w:val="008C5A05"/>
    <w:rsid w:val="008C5BF8"/>
    <w:rsid w:val="008C6735"/>
    <w:rsid w:val="008C6874"/>
    <w:rsid w:val="008D36E0"/>
    <w:rsid w:val="008D4060"/>
    <w:rsid w:val="008D4551"/>
    <w:rsid w:val="008D4D82"/>
    <w:rsid w:val="008D7C32"/>
    <w:rsid w:val="008D7CE7"/>
    <w:rsid w:val="008E0899"/>
    <w:rsid w:val="008E0930"/>
    <w:rsid w:val="008E2C6D"/>
    <w:rsid w:val="008E519B"/>
    <w:rsid w:val="008E7E04"/>
    <w:rsid w:val="008F0F0B"/>
    <w:rsid w:val="008F1CD9"/>
    <w:rsid w:val="008F69CC"/>
    <w:rsid w:val="008F720F"/>
    <w:rsid w:val="00901943"/>
    <w:rsid w:val="00903DCD"/>
    <w:rsid w:val="009074E2"/>
    <w:rsid w:val="00907FB8"/>
    <w:rsid w:val="00911B93"/>
    <w:rsid w:val="00911DC9"/>
    <w:rsid w:val="00912E68"/>
    <w:rsid w:val="00914815"/>
    <w:rsid w:val="0091544E"/>
    <w:rsid w:val="00915C04"/>
    <w:rsid w:val="00923962"/>
    <w:rsid w:val="0092749A"/>
    <w:rsid w:val="009304BA"/>
    <w:rsid w:val="009331DB"/>
    <w:rsid w:val="00933B12"/>
    <w:rsid w:val="00933D48"/>
    <w:rsid w:val="0093421E"/>
    <w:rsid w:val="00934AA4"/>
    <w:rsid w:val="00940617"/>
    <w:rsid w:val="00941901"/>
    <w:rsid w:val="00947C32"/>
    <w:rsid w:val="009500E1"/>
    <w:rsid w:val="00951278"/>
    <w:rsid w:val="00951EAC"/>
    <w:rsid w:val="00953577"/>
    <w:rsid w:val="00953C50"/>
    <w:rsid w:val="00956E79"/>
    <w:rsid w:val="00957131"/>
    <w:rsid w:val="009573E6"/>
    <w:rsid w:val="00961CDC"/>
    <w:rsid w:val="00962459"/>
    <w:rsid w:val="00962B2B"/>
    <w:rsid w:val="009634FF"/>
    <w:rsid w:val="00964542"/>
    <w:rsid w:val="0096459E"/>
    <w:rsid w:val="00965249"/>
    <w:rsid w:val="00965EE0"/>
    <w:rsid w:val="00966459"/>
    <w:rsid w:val="00970148"/>
    <w:rsid w:val="0097064E"/>
    <w:rsid w:val="00974F5C"/>
    <w:rsid w:val="009763F4"/>
    <w:rsid w:val="009823E3"/>
    <w:rsid w:val="00982874"/>
    <w:rsid w:val="0098461D"/>
    <w:rsid w:val="00984A13"/>
    <w:rsid w:val="0098503C"/>
    <w:rsid w:val="00985249"/>
    <w:rsid w:val="009859A9"/>
    <w:rsid w:val="00991E69"/>
    <w:rsid w:val="00991F97"/>
    <w:rsid w:val="00995970"/>
    <w:rsid w:val="0099601A"/>
    <w:rsid w:val="00996801"/>
    <w:rsid w:val="009973CE"/>
    <w:rsid w:val="00997EA6"/>
    <w:rsid w:val="009A006E"/>
    <w:rsid w:val="009A16B4"/>
    <w:rsid w:val="009A3569"/>
    <w:rsid w:val="009A3AB2"/>
    <w:rsid w:val="009A3F6D"/>
    <w:rsid w:val="009A6019"/>
    <w:rsid w:val="009A74D8"/>
    <w:rsid w:val="009B0438"/>
    <w:rsid w:val="009B0D9F"/>
    <w:rsid w:val="009B3CF2"/>
    <w:rsid w:val="009B4297"/>
    <w:rsid w:val="009B4E57"/>
    <w:rsid w:val="009B6534"/>
    <w:rsid w:val="009B6B24"/>
    <w:rsid w:val="009C259D"/>
    <w:rsid w:val="009C7E30"/>
    <w:rsid w:val="009D1E94"/>
    <w:rsid w:val="009D2859"/>
    <w:rsid w:val="009D3B18"/>
    <w:rsid w:val="009D3BE3"/>
    <w:rsid w:val="009D5561"/>
    <w:rsid w:val="009E1042"/>
    <w:rsid w:val="009E1893"/>
    <w:rsid w:val="009E4C83"/>
    <w:rsid w:val="009E4E97"/>
    <w:rsid w:val="009E5BD0"/>
    <w:rsid w:val="009F24DD"/>
    <w:rsid w:val="009F2C54"/>
    <w:rsid w:val="009F3B2C"/>
    <w:rsid w:val="009F5CB8"/>
    <w:rsid w:val="009F5D2D"/>
    <w:rsid w:val="009F709C"/>
    <w:rsid w:val="009F7191"/>
    <w:rsid w:val="00A0191B"/>
    <w:rsid w:val="00A03BD5"/>
    <w:rsid w:val="00A11A14"/>
    <w:rsid w:val="00A12145"/>
    <w:rsid w:val="00A13E8C"/>
    <w:rsid w:val="00A14B2D"/>
    <w:rsid w:val="00A14E6A"/>
    <w:rsid w:val="00A157F3"/>
    <w:rsid w:val="00A1638D"/>
    <w:rsid w:val="00A16C33"/>
    <w:rsid w:val="00A201B6"/>
    <w:rsid w:val="00A27B8A"/>
    <w:rsid w:val="00A27E14"/>
    <w:rsid w:val="00A33337"/>
    <w:rsid w:val="00A349F7"/>
    <w:rsid w:val="00A355C7"/>
    <w:rsid w:val="00A35E7B"/>
    <w:rsid w:val="00A4137E"/>
    <w:rsid w:val="00A44812"/>
    <w:rsid w:val="00A45DCF"/>
    <w:rsid w:val="00A46180"/>
    <w:rsid w:val="00A503DC"/>
    <w:rsid w:val="00A54230"/>
    <w:rsid w:val="00A5495E"/>
    <w:rsid w:val="00A56EDD"/>
    <w:rsid w:val="00A6195E"/>
    <w:rsid w:val="00A622B0"/>
    <w:rsid w:val="00A6249A"/>
    <w:rsid w:val="00A630F9"/>
    <w:rsid w:val="00A63933"/>
    <w:rsid w:val="00A657C6"/>
    <w:rsid w:val="00A6604D"/>
    <w:rsid w:val="00A67FDF"/>
    <w:rsid w:val="00A70B6A"/>
    <w:rsid w:val="00A713C5"/>
    <w:rsid w:val="00A715D1"/>
    <w:rsid w:val="00A73ACB"/>
    <w:rsid w:val="00A75DA2"/>
    <w:rsid w:val="00A76039"/>
    <w:rsid w:val="00A76EC8"/>
    <w:rsid w:val="00A812FB"/>
    <w:rsid w:val="00A82BC5"/>
    <w:rsid w:val="00A83A85"/>
    <w:rsid w:val="00A844E9"/>
    <w:rsid w:val="00A86DE4"/>
    <w:rsid w:val="00A8750D"/>
    <w:rsid w:val="00A911AF"/>
    <w:rsid w:val="00A92DC2"/>
    <w:rsid w:val="00A96CF0"/>
    <w:rsid w:val="00AA0CF7"/>
    <w:rsid w:val="00AA3008"/>
    <w:rsid w:val="00AA3332"/>
    <w:rsid w:val="00AA55BF"/>
    <w:rsid w:val="00AA6D96"/>
    <w:rsid w:val="00AB2E8A"/>
    <w:rsid w:val="00AB46EB"/>
    <w:rsid w:val="00AB4B99"/>
    <w:rsid w:val="00AB5092"/>
    <w:rsid w:val="00AB5216"/>
    <w:rsid w:val="00AB560B"/>
    <w:rsid w:val="00AC1244"/>
    <w:rsid w:val="00AC25CA"/>
    <w:rsid w:val="00AC5CBE"/>
    <w:rsid w:val="00AC5CF0"/>
    <w:rsid w:val="00AC6628"/>
    <w:rsid w:val="00AD293E"/>
    <w:rsid w:val="00AD29CC"/>
    <w:rsid w:val="00AD2F78"/>
    <w:rsid w:val="00AD4AC3"/>
    <w:rsid w:val="00AD6391"/>
    <w:rsid w:val="00AE22E6"/>
    <w:rsid w:val="00AE3744"/>
    <w:rsid w:val="00AE53AA"/>
    <w:rsid w:val="00AE62D6"/>
    <w:rsid w:val="00AE6867"/>
    <w:rsid w:val="00AE7397"/>
    <w:rsid w:val="00AF022D"/>
    <w:rsid w:val="00AF2260"/>
    <w:rsid w:val="00B013BE"/>
    <w:rsid w:val="00B01EFD"/>
    <w:rsid w:val="00B01FA8"/>
    <w:rsid w:val="00B10B41"/>
    <w:rsid w:val="00B11A87"/>
    <w:rsid w:val="00B12BDD"/>
    <w:rsid w:val="00B144D9"/>
    <w:rsid w:val="00B16292"/>
    <w:rsid w:val="00B17FEA"/>
    <w:rsid w:val="00B20DC1"/>
    <w:rsid w:val="00B22E12"/>
    <w:rsid w:val="00B27AD6"/>
    <w:rsid w:val="00B30DBC"/>
    <w:rsid w:val="00B321C0"/>
    <w:rsid w:val="00B375A0"/>
    <w:rsid w:val="00B37FC0"/>
    <w:rsid w:val="00B40BB4"/>
    <w:rsid w:val="00B40D22"/>
    <w:rsid w:val="00B4146F"/>
    <w:rsid w:val="00B4185F"/>
    <w:rsid w:val="00B436F1"/>
    <w:rsid w:val="00B43B63"/>
    <w:rsid w:val="00B44A01"/>
    <w:rsid w:val="00B451B8"/>
    <w:rsid w:val="00B454D1"/>
    <w:rsid w:val="00B46B8B"/>
    <w:rsid w:val="00B4739D"/>
    <w:rsid w:val="00B50124"/>
    <w:rsid w:val="00B525EC"/>
    <w:rsid w:val="00B52798"/>
    <w:rsid w:val="00B5326F"/>
    <w:rsid w:val="00B53300"/>
    <w:rsid w:val="00B5352B"/>
    <w:rsid w:val="00B5562A"/>
    <w:rsid w:val="00B56AB3"/>
    <w:rsid w:val="00B619D7"/>
    <w:rsid w:val="00B61A1A"/>
    <w:rsid w:val="00B6508B"/>
    <w:rsid w:val="00B66700"/>
    <w:rsid w:val="00B7079A"/>
    <w:rsid w:val="00B73FE6"/>
    <w:rsid w:val="00B80235"/>
    <w:rsid w:val="00B80404"/>
    <w:rsid w:val="00B82730"/>
    <w:rsid w:val="00B84FD9"/>
    <w:rsid w:val="00B8503C"/>
    <w:rsid w:val="00B8663B"/>
    <w:rsid w:val="00B873C1"/>
    <w:rsid w:val="00B87DA4"/>
    <w:rsid w:val="00B9232D"/>
    <w:rsid w:val="00B939AE"/>
    <w:rsid w:val="00B94DA5"/>
    <w:rsid w:val="00B96D34"/>
    <w:rsid w:val="00B97920"/>
    <w:rsid w:val="00B97FC4"/>
    <w:rsid w:val="00BA0C36"/>
    <w:rsid w:val="00BA0CF9"/>
    <w:rsid w:val="00BA292E"/>
    <w:rsid w:val="00BA3652"/>
    <w:rsid w:val="00BA43B3"/>
    <w:rsid w:val="00BA4444"/>
    <w:rsid w:val="00BA4C3F"/>
    <w:rsid w:val="00BA528B"/>
    <w:rsid w:val="00BA7587"/>
    <w:rsid w:val="00BA7C8A"/>
    <w:rsid w:val="00BB1C43"/>
    <w:rsid w:val="00BB4569"/>
    <w:rsid w:val="00BB4949"/>
    <w:rsid w:val="00BB6B1D"/>
    <w:rsid w:val="00BC149D"/>
    <w:rsid w:val="00BC14B0"/>
    <w:rsid w:val="00BC45D1"/>
    <w:rsid w:val="00BC5B72"/>
    <w:rsid w:val="00BC7083"/>
    <w:rsid w:val="00BC79A8"/>
    <w:rsid w:val="00BD188F"/>
    <w:rsid w:val="00BD45DF"/>
    <w:rsid w:val="00BD590C"/>
    <w:rsid w:val="00BE0644"/>
    <w:rsid w:val="00BE09CD"/>
    <w:rsid w:val="00BE1A0C"/>
    <w:rsid w:val="00BE38FC"/>
    <w:rsid w:val="00BE3A90"/>
    <w:rsid w:val="00BE5849"/>
    <w:rsid w:val="00BF1165"/>
    <w:rsid w:val="00BF1C5F"/>
    <w:rsid w:val="00BF1CB0"/>
    <w:rsid w:val="00BF3838"/>
    <w:rsid w:val="00BF4BC7"/>
    <w:rsid w:val="00BF738E"/>
    <w:rsid w:val="00C0453F"/>
    <w:rsid w:val="00C0484F"/>
    <w:rsid w:val="00C05A40"/>
    <w:rsid w:val="00C069C2"/>
    <w:rsid w:val="00C06AAA"/>
    <w:rsid w:val="00C06CBB"/>
    <w:rsid w:val="00C10D50"/>
    <w:rsid w:val="00C1248A"/>
    <w:rsid w:val="00C14B52"/>
    <w:rsid w:val="00C14DCD"/>
    <w:rsid w:val="00C22823"/>
    <w:rsid w:val="00C22F85"/>
    <w:rsid w:val="00C24BE2"/>
    <w:rsid w:val="00C2725D"/>
    <w:rsid w:val="00C30636"/>
    <w:rsid w:val="00C30D1B"/>
    <w:rsid w:val="00C359ED"/>
    <w:rsid w:val="00C40DED"/>
    <w:rsid w:val="00C41B3C"/>
    <w:rsid w:val="00C41B8D"/>
    <w:rsid w:val="00C42283"/>
    <w:rsid w:val="00C460C5"/>
    <w:rsid w:val="00C47A6B"/>
    <w:rsid w:val="00C47F08"/>
    <w:rsid w:val="00C5084B"/>
    <w:rsid w:val="00C52F5E"/>
    <w:rsid w:val="00C53773"/>
    <w:rsid w:val="00C55292"/>
    <w:rsid w:val="00C55F75"/>
    <w:rsid w:val="00C565F2"/>
    <w:rsid w:val="00C62279"/>
    <w:rsid w:val="00C62900"/>
    <w:rsid w:val="00C633F2"/>
    <w:rsid w:val="00C66FBB"/>
    <w:rsid w:val="00C67596"/>
    <w:rsid w:val="00C679A2"/>
    <w:rsid w:val="00C724E4"/>
    <w:rsid w:val="00C72836"/>
    <w:rsid w:val="00C73FB8"/>
    <w:rsid w:val="00C76E49"/>
    <w:rsid w:val="00C810E3"/>
    <w:rsid w:val="00C8173A"/>
    <w:rsid w:val="00C819DC"/>
    <w:rsid w:val="00C82A59"/>
    <w:rsid w:val="00C842B3"/>
    <w:rsid w:val="00C84365"/>
    <w:rsid w:val="00C91774"/>
    <w:rsid w:val="00C92A77"/>
    <w:rsid w:val="00C93D90"/>
    <w:rsid w:val="00C942F1"/>
    <w:rsid w:val="00C95932"/>
    <w:rsid w:val="00CA046B"/>
    <w:rsid w:val="00CA29A1"/>
    <w:rsid w:val="00CA2D36"/>
    <w:rsid w:val="00CA2F78"/>
    <w:rsid w:val="00CA4A9A"/>
    <w:rsid w:val="00CA6691"/>
    <w:rsid w:val="00CA6C46"/>
    <w:rsid w:val="00CB0487"/>
    <w:rsid w:val="00CC5697"/>
    <w:rsid w:val="00CD2391"/>
    <w:rsid w:val="00CD25D4"/>
    <w:rsid w:val="00CD2825"/>
    <w:rsid w:val="00CD30A2"/>
    <w:rsid w:val="00CD3583"/>
    <w:rsid w:val="00CD583A"/>
    <w:rsid w:val="00CD6307"/>
    <w:rsid w:val="00CE082A"/>
    <w:rsid w:val="00CE0E6B"/>
    <w:rsid w:val="00CE1E6A"/>
    <w:rsid w:val="00CE3039"/>
    <w:rsid w:val="00CE39A8"/>
    <w:rsid w:val="00CE4ECD"/>
    <w:rsid w:val="00CE6517"/>
    <w:rsid w:val="00CE6C39"/>
    <w:rsid w:val="00CE7C21"/>
    <w:rsid w:val="00CE7F49"/>
    <w:rsid w:val="00CF0261"/>
    <w:rsid w:val="00CF25F6"/>
    <w:rsid w:val="00CF42D2"/>
    <w:rsid w:val="00CF5D7F"/>
    <w:rsid w:val="00D000F3"/>
    <w:rsid w:val="00D01D5D"/>
    <w:rsid w:val="00D1228B"/>
    <w:rsid w:val="00D12EF8"/>
    <w:rsid w:val="00D13B66"/>
    <w:rsid w:val="00D15DCE"/>
    <w:rsid w:val="00D15DDF"/>
    <w:rsid w:val="00D16532"/>
    <w:rsid w:val="00D24CC7"/>
    <w:rsid w:val="00D2770F"/>
    <w:rsid w:val="00D30BAF"/>
    <w:rsid w:val="00D32C3F"/>
    <w:rsid w:val="00D33568"/>
    <w:rsid w:val="00D40474"/>
    <w:rsid w:val="00D4083F"/>
    <w:rsid w:val="00D4089F"/>
    <w:rsid w:val="00D40B93"/>
    <w:rsid w:val="00D413F7"/>
    <w:rsid w:val="00D416BA"/>
    <w:rsid w:val="00D461C1"/>
    <w:rsid w:val="00D47209"/>
    <w:rsid w:val="00D50FDD"/>
    <w:rsid w:val="00D52187"/>
    <w:rsid w:val="00D53162"/>
    <w:rsid w:val="00D55D7B"/>
    <w:rsid w:val="00D63FEB"/>
    <w:rsid w:val="00D63FF1"/>
    <w:rsid w:val="00D67D47"/>
    <w:rsid w:val="00D71534"/>
    <w:rsid w:val="00D74029"/>
    <w:rsid w:val="00D74AE5"/>
    <w:rsid w:val="00D773B9"/>
    <w:rsid w:val="00D77A12"/>
    <w:rsid w:val="00D811D9"/>
    <w:rsid w:val="00D85F81"/>
    <w:rsid w:val="00D8639C"/>
    <w:rsid w:val="00D927A5"/>
    <w:rsid w:val="00D93186"/>
    <w:rsid w:val="00D957AA"/>
    <w:rsid w:val="00D96566"/>
    <w:rsid w:val="00D9682F"/>
    <w:rsid w:val="00D96863"/>
    <w:rsid w:val="00D97797"/>
    <w:rsid w:val="00DA29D9"/>
    <w:rsid w:val="00DA3CC0"/>
    <w:rsid w:val="00DA428D"/>
    <w:rsid w:val="00DA67F4"/>
    <w:rsid w:val="00DB193D"/>
    <w:rsid w:val="00DB1E0C"/>
    <w:rsid w:val="00DB2F74"/>
    <w:rsid w:val="00DB4694"/>
    <w:rsid w:val="00DC0218"/>
    <w:rsid w:val="00DC1198"/>
    <w:rsid w:val="00DC35DB"/>
    <w:rsid w:val="00DC4CE9"/>
    <w:rsid w:val="00DC5800"/>
    <w:rsid w:val="00DC6022"/>
    <w:rsid w:val="00DC60F9"/>
    <w:rsid w:val="00DC7691"/>
    <w:rsid w:val="00DC7BDE"/>
    <w:rsid w:val="00DC7DE4"/>
    <w:rsid w:val="00DD0A91"/>
    <w:rsid w:val="00DD2135"/>
    <w:rsid w:val="00DD6F26"/>
    <w:rsid w:val="00DE0378"/>
    <w:rsid w:val="00DE039C"/>
    <w:rsid w:val="00DE0E35"/>
    <w:rsid w:val="00DE6F13"/>
    <w:rsid w:val="00DE7230"/>
    <w:rsid w:val="00DF39C4"/>
    <w:rsid w:val="00DF3F51"/>
    <w:rsid w:val="00DF573D"/>
    <w:rsid w:val="00DF6BF2"/>
    <w:rsid w:val="00DF7BCB"/>
    <w:rsid w:val="00DF7BCC"/>
    <w:rsid w:val="00E03743"/>
    <w:rsid w:val="00E12102"/>
    <w:rsid w:val="00E12CD3"/>
    <w:rsid w:val="00E1412D"/>
    <w:rsid w:val="00E1496D"/>
    <w:rsid w:val="00E161D5"/>
    <w:rsid w:val="00E169D1"/>
    <w:rsid w:val="00E174D3"/>
    <w:rsid w:val="00E21F3A"/>
    <w:rsid w:val="00E242D5"/>
    <w:rsid w:val="00E24DF2"/>
    <w:rsid w:val="00E26D91"/>
    <w:rsid w:val="00E307E6"/>
    <w:rsid w:val="00E342A5"/>
    <w:rsid w:val="00E36617"/>
    <w:rsid w:val="00E36658"/>
    <w:rsid w:val="00E41533"/>
    <w:rsid w:val="00E417C9"/>
    <w:rsid w:val="00E41D23"/>
    <w:rsid w:val="00E43B2C"/>
    <w:rsid w:val="00E448F1"/>
    <w:rsid w:val="00E461F6"/>
    <w:rsid w:val="00E506C1"/>
    <w:rsid w:val="00E508DA"/>
    <w:rsid w:val="00E50DF5"/>
    <w:rsid w:val="00E51B0B"/>
    <w:rsid w:val="00E53A15"/>
    <w:rsid w:val="00E55885"/>
    <w:rsid w:val="00E55DE1"/>
    <w:rsid w:val="00E56C23"/>
    <w:rsid w:val="00E630F9"/>
    <w:rsid w:val="00E641EC"/>
    <w:rsid w:val="00E64B72"/>
    <w:rsid w:val="00E64E3F"/>
    <w:rsid w:val="00E66A54"/>
    <w:rsid w:val="00E71FBF"/>
    <w:rsid w:val="00E73893"/>
    <w:rsid w:val="00E75020"/>
    <w:rsid w:val="00E75EAF"/>
    <w:rsid w:val="00E7661E"/>
    <w:rsid w:val="00E7674F"/>
    <w:rsid w:val="00E77856"/>
    <w:rsid w:val="00E84193"/>
    <w:rsid w:val="00E91F35"/>
    <w:rsid w:val="00E94814"/>
    <w:rsid w:val="00EA0C16"/>
    <w:rsid w:val="00EA12CE"/>
    <w:rsid w:val="00EA1592"/>
    <w:rsid w:val="00EA2EB7"/>
    <w:rsid w:val="00EA4932"/>
    <w:rsid w:val="00EA55F1"/>
    <w:rsid w:val="00EA5908"/>
    <w:rsid w:val="00EA6CA9"/>
    <w:rsid w:val="00EB431F"/>
    <w:rsid w:val="00EB4529"/>
    <w:rsid w:val="00EB4B67"/>
    <w:rsid w:val="00EB5386"/>
    <w:rsid w:val="00EB5769"/>
    <w:rsid w:val="00EB6C72"/>
    <w:rsid w:val="00EB7325"/>
    <w:rsid w:val="00EB7D75"/>
    <w:rsid w:val="00EB7DB5"/>
    <w:rsid w:val="00EC03D0"/>
    <w:rsid w:val="00EC0878"/>
    <w:rsid w:val="00EC332C"/>
    <w:rsid w:val="00EC35F4"/>
    <w:rsid w:val="00EC3852"/>
    <w:rsid w:val="00EC4F11"/>
    <w:rsid w:val="00EC5544"/>
    <w:rsid w:val="00ED2960"/>
    <w:rsid w:val="00ED3C35"/>
    <w:rsid w:val="00ED6405"/>
    <w:rsid w:val="00EE04C2"/>
    <w:rsid w:val="00EE0DDE"/>
    <w:rsid w:val="00EE29AD"/>
    <w:rsid w:val="00EE2F3E"/>
    <w:rsid w:val="00EE309B"/>
    <w:rsid w:val="00EE3170"/>
    <w:rsid w:val="00EE3CDC"/>
    <w:rsid w:val="00EE5968"/>
    <w:rsid w:val="00EE610B"/>
    <w:rsid w:val="00EE7AA0"/>
    <w:rsid w:val="00EE7B1D"/>
    <w:rsid w:val="00EF216A"/>
    <w:rsid w:val="00EF3BAD"/>
    <w:rsid w:val="00F023F1"/>
    <w:rsid w:val="00F03CC2"/>
    <w:rsid w:val="00F04A33"/>
    <w:rsid w:val="00F04F05"/>
    <w:rsid w:val="00F07581"/>
    <w:rsid w:val="00F10360"/>
    <w:rsid w:val="00F12FD1"/>
    <w:rsid w:val="00F1448A"/>
    <w:rsid w:val="00F2038E"/>
    <w:rsid w:val="00F206CF"/>
    <w:rsid w:val="00F254D4"/>
    <w:rsid w:val="00F25721"/>
    <w:rsid w:val="00F26454"/>
    <w:rsid w:val="00F2762F"/>
    <w:rsid w:val="00F30305"/>
    <w:rsid w:val="00F31387"/>
    <w:rsid w:val="00F31EAF"/>
    <w:rsid w:val="00F34BFE"/>
    <w:rsid w:val="00F41862"/>
    <w:rsid w:val="00F4270B"/>
    <w:rsid w:val="00F43157"/>
    <w:rsid w:val="00F43A6F"/>
    <w:rsid w:val="00F43CE4"/>
    <w:rsid w:val="00F4582C"/>
    <w:rsid w:val="00F45AB6"/>
    <w:rsid w:val="00F5057D"/>
    <w:rsid w:val="00F50ABA"/>
    <w:rsid w:val="00F50ADB"/>
    <w:rsid w:val="00F56C78"/>
    <w:rsid w:val="00F573A3"/>
    <w:rsid w:val="00F61662"/>
    <w:rsid w:val="00F61EFE"/>
    <w:rsid w:val="00F64B7F"/>
    <w:rsid w:val="00F70505"/>
    <w:rsid w:val="00F73D4C"/>
    <w:rsid w:val="00F77145"/>
    <w:rsid w:val="00F821D9"/>
    <w:rsid w:val="00F82EBE"/>
    <w:rsid w:val="00F86E77"/>
    <w:rsid w:val="00F93BE4"/>
    <w:rsid w:val="00F949FE"/>
    <w:rsid w:val="00F96D23"/>
    <w:rsid w:val="00F96F6D"/>
    <w:rsid w:val="00FA17CC"/>
    <w:rsid w:val="00FA28CE"/>
    <w:rsid w:val="00FA4DE8"/>
    <w:rsid w:val="00FA4EC5"/>
    <w:rsid w:val="00FA5018"/>
    <w:rsid w:val="00FA5C00"/>
    <w:rsid w:val="00FA7DE8"/>
    <w:rsid w:val="00FB0322"/>
    <w:rsid w:val="00FB03FA"/>
    <w:rsid w:val="00FB16C5"/>
    <w:rsid w:val="00FB63C8"/>
    <w:rsid w:val="00FC1342"/>
    <w:rsid w:val="00FC5038"/>
    <w:rsid w:val="00FC5E93"/>
    <w:rsid w:val="00FC7877"/>
    <w:rsid w:val="00FD3D1C"/>
    <w:rsid w:val="00FD4C66"/>
    <w:rsid w:val="00FD6386"/>
    <w:rsid w:val="00FD7101"/>
    <w:rsid w:val="00FE07EA"/>
    <w:rsid w:val="00FE4383"/>
    <w:rsid w:val="00FE47B1"/>
    <w:rsid w:val="00FE5178"/>
    <w:rsid w:val="00FE592C"/>
    <w:rsid w:val="00FE5B7E"/>
    <w:rsid w:val="00FE6841"/>
    <w:rsid w:val="00FE701A"/>
    <w:rsid w:val="00FE71FE"/>
    <w:rsid w:val="00FF0BAC"/>
    <w:rsid w:val="00FF1B58"/>
    <w:rsid w:val="00FF21BD"/>
    <w:rsid w:val="00FF2C5A"/>
    <w:rsid w:val="00FF35D5"/>
    <w:rsid w:val="00FF3CBA"/>
    <w:rsid w:val="00FF7048"/>
    <w:rsid w:val="00FF7D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6EBE5D"/>
  <w14:defaultImageDpi w14:val="300"/>
  <w15:docId w15:val="{9558ACF5-730C-4249-8FD5-9B35A979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C41"/>
    <w:pPr>
      <w:keepNext/>
      <w:keepLines/>
      <w:spacing w:before="240" w:line="480" w:lineRule="auto"/>
      <w:outlineLvl w:val="0"/>
    </w:pPr>
    <w:rPr>
      <w:rFonts w:ascii="Verdana" w:eastAsiaTheme="majorEastAsia" w:hAnsi="Verdana" w:cstheme="majorBidi"/>
      <w:b/>
      <w:color w:val="77328A"/>
      <w:sz w:val="30"/>
      <w:szCs w:val="32"/>
    </w:rPr>
  </w:style>
  <w:style w:type="paragraph" w:styleId="Heading2">
    <w:name w:val="heading 2"/>
    <w:basedOn w:val="Normal"/>
    <w:next w:val="Normal"/>
    <w:link w:val="Heading2Char"/>
    <w:uiPriority w:val="9"/>
    <w:unhideWhenUsed/>
    <w:qFormat/>
    <w:rsid w:val="00643C41"/>
    <w:pPr>
      <w:keepNext/>
      <w:keepLines/>
      <w:spacing w:before="40" w:line="480" w:lineRule="auto"/>
      <w:outlineLvl w:val="1"/>
    </w:pPr>
    <w:rPr>
      <w:rFonts w:ascii="Verdana" w:eastAsiaTheme="majorEastAsia" w:hAnsi="Verdana" w:cstheme="majorBidi"/>
      <w:b/>
      <w:color w:val="000000" w:themeColor="text1"/>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ootnote Text Char1, Char"/>
    <w:basedOn w:val="Normal"/>
    <w:link w:val="FootnoteTextChar"/>
    <w:uiPriority w:val="99"/>
    <w:unhideWhenUsed/>
    <w:qFormat/>
    <w:rsid w:val="00224140"/>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
    <w:basedOn w:val="DefaultParagraphFont"/>
    <w:link w:val="FootnoteText"/>
    <w:uiPriority w:val="99"/>
    <w:rsid w:val="00224140"/>
  </w:style>
  <w:style w:type="character" w:styleId="FootnoteReference">
    <w:name w:val="footnote reference"/>
    <w:aliases w:val="4_G,4_G Char Char,Footnote Reference1 Char Char,Footnotes refss Char Char,ftref Char Char,BVI fnr Char Char,BVI fnr Car Car Char Char,BVI fnr Car Char Char,BVI fnr Car Car Car Car Char Char1,BVI fnr Char Car Car Car Char Char,Black"/>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7E0719"/>
    <w:pPr>
      <w:spacing w:line="240" w:lineRule="exact"/>
      <w:jc w:val="both"/>
    </w:pPr>
    <w:rPr>
      <w:vertAlign w:val="superscript"/>
    </w:rPr>
  </w:style>
  <w:style w:type="character" w:styleId="CommentReference">
    <w:name w:val="annotation reference"/>
    <w:basedOn w:val="DefaultParagraphFont"/>
    <w:uiPriority w:val="99"/>
    <w:semiHidden/>
    <w:unhideWhenUsed/>
    <w:rsid w:val="007E0719"/>
    <w:rPr>
      <w:rFonts w:cs="Times New Roman"/>
      <w:sz w:val="16"/>
      <w:szCs w:val="16"/>
    </w:rPr>
  </w:style>
  <w:style w:type="paragraph" w:styleId="CommentText">
    <w:name w:val="annotation text"/>
    <w:basedOn w:val="Normal"/>
    <w:link w:val="CommentTextChar1"/>
    <w:uiPriority w:val="99"/>
    <w:unhideWhenUsed/>
    <w:rsid w:val="007E0719"/>
    <w:rPr>
      <w:sz w:val="20"/>
      <w:szCs w:val="20"/>
    </w:rPr>
  </w:style>
  <w:style w:type="character" w:customStyle="1" w:styleId="CommentTextChar">
    <w:name w:val="Comment Text Char"/>
    <w:basedOn w:val="DefaultParagraphFont"/>
    <w:uiPriority w:val="99"/>
    <w:semiHidden/>
    <w:rsid w:val="007E0719"/>
    <w:rPr>
      <w:sz w:val="20"/>
      <w:szCs w:val="20"/>
    </w:rPr>
  </w:style>
  <w:style w:type="character" w:customStyle="1" w:styleId="CommentTextChar1">
    <w:name w:val="Comment Text Char1"/>
    <w:basedOn w:val="DefaultParagraphFont"/>
    <w:link w:val="CommentText"/>
    <w:uiPriority w:val="99"/>
    <w:rsid w:val="007E0719"/>
    <w:rPr>
      <w:sz w:val="20"/>
      <w:szCs w:val="20"/>
    </w:rPr>
  </w:style>
  <w:style w:type="character" w:customStyle="1" w:styleId="Heading1Char">
    <w:name w:val="Heading 1 Char"/>
    <w:basedOn w:val="DefaultParagraphFont"/>
    <w:link w:val="Heading1"/>
    <w:uiPriority w:val="9"/>
    <w:rsid w:val="00643C41"/>
    <w:rPr>
      <w:rFonts w:ascii="Verdana" w:eastAsiaTheme="majorEastAsia" w:hAnsi="Verdana" w:cstheme="majorBidi"/>
      <w:b/>
      <w:color w:val="77328A"/>
      <w:sz w:val="30"/>
      <w:szCs w:val="32"/>
    </w:rPr>
  </w:style>
  <w:style w:type="paragraph" w:styleId="ListParagraph">
    <w:name w:val="List Paragraph"/>
    <w:basedOn w:val="Normal"/>
    <w:uiPriority w:val="34"/>
    <w:qFormat/>
    <w:rsid w:val="007E0719"/>
    <w:pPr>
      <w:ind w:left="720"/>
      <w:contextualSpacing/>
    </w:pPr>
  </w:style>
  <w:style w:type="character" w:customStyle="1" w:styleId="Heading2Char">
    <w:name w:val="Heading 2 Char"/>
    <w:basedOn w:val="DefaultParagraphFont"/>
    <w:link w:val="Heading2"/>
    <w:uiPriority w:val="9"/>
    <w:rsid w:val="00643C41"/>
    <w:rPr>
      <w:rFonts w:ascii="Verdana" w:eastAsiaTheme="majorEastAsia" w:hAnsi="Verdana" w:cstheme="majorBidi"/>
      <w:b/>
      <w:color w:val="000000" w:themeColor="text1"/>
      <w:szCs w:val="26"/>
    </w:rPr>
  </w:style>
  <w:style w:type="paragraph" w:styleId="Quote">
    <w:name w:val="Quote"/>
    <w:basedOn w:val="Normal"/>
    <w:next w:val="Normal"/>
    <w:link w:val="QuoteChar"/>
    <w:uiPriority w:val="29"/>
    <w:qFormat/>
    <w:rsid w:val="005376DF"/>
    <w:pPr>
      <w:spacing w:before="200" w:after="160"/>
      <w:ind w:left="864" w:right="864"/>
    </w:pPr>
    <w:rPr>
      <w:rFonts w:ascii="Verdana" w:hAnsi="Verdana"/>
      <w:iCs/>
    </w:rPr>
  </w:style>
  <w:style w:type="character" w:customStyle="1" w:styleId="QuoteChar">
    <w:name w:val="Quote Char"/>
    <w:basedOn w:val="DefaultParagraphFont"/>
    <w:link w:val="Quote"/>
    <w:uiPriority w:val="29"/>
    <w:rsid w:val="005376DF"/>
    <w:rPr>
      <w:rFonts w:ascii="Verdana" w:hAnsi="Verdana"/>
      <w:iCs/>
    </w:rPr>
  </w:style>
  <w:style w:type="paragraph" w:styleId="TOCHeading">
    <w:name w:val="TOC Heading"/>
    <w:basedOn w:val="Heading1"/>
    <w:next w:val="Normal"/>
    <w:uiPriority w:val="39"/>
    <w:unhideWhenUsed/>
    <w:qFormat/>
    <w:rsid w:val="0075528F"/>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564A3B"/>
    <w:pPr>
      <w:tabs>
        <w:tab w:val="left" w:pos="660"/>
        <w:tab w:val="right" w:leader="dot" w:pos="9848"/>
      </w:tabs>
      <w:spacing w:after="100"/>
    </w:pPr>
    <w:rPr>
      <w:rFonts w:ascii="Verdana" w:hAnsi="Verdana"/>
      <w:b/>
      <w:noProof/>
    </w:rPr>
  </w:style>
  <w:style w:type="paragraph" w:styleId="TOC2">
    <w:name w:val="toc 2"/>
    <w:basedOn w:val="Normal"/>
    <w:next w:val="Normal"/>
    <w:autoRedefine/>
    <w:uiPriority w:val="39"/>
    <w:unhideWhenUsed/>
    <w:rsid w:val="00810B19"/>
    <w:pPr>
      <w:tabs>
        <w:tab w:val="right" w:leader="dot" w:pos="9848"/>
      </w:tabs>
      <w:spacing w:after="100"/>
      <w:ind w:left="240"/>
    </w:pPr>
  </w:style>
  <w:style w:type="paragraph" w:styleId="CommentSubject">
    <w:name w:val="annotation subject"/>
    <w:basedOn w:val="CommentText"/>
    <w:next w:val="CommentText"/>
    <w:link w:val="CommentSubjectChar"/>
    <w:uiPriority w:val="99"/>
    <w:semiHidden/>
    <w:unhideWhenUsed/>
    <w:rsid w:val="00245E58"/>
    <w:rPr>
      <w:b/>
      <w:bCs/>
    </w:rPr>
  </w:style>
  <w:style w:type="character" w:customStyle="1" w:styleId="CommentSubjectChar">
    <w:name w:val="Comment Subject Char"/>
    <w:basedOn w:val="CommentTextChar1"/>
    <w:link w:val="CommentSubject"/>
    <w:uiPriority w:val="99"/>
    <w:semiHidden/>
    <w:rsid w:val="00245E58"/>
    <w:rPr>
      <w:b/>
      <w:bCs/>
      <w:sz w:val="20"/>
      <w:szCs w:val="20"/>
    </w:rPr>
  </w:style>
  <w:style w:type="paragraph" w:styleId="Revision">
    <w:name w:val="Revision"/>
    <w:hidden/>
    <w:uiPriority w:val="99"/>
    <w:semiHidden/>
    <w:rsid w:val="0005296A"/>
  </w:style>
  <w:style w:type="paragraph" w:styleId="BodyText">
    <w:name w:val="Body Text"/>
    <w:basedOn w:val="Normal"/>
    <w:link w:val="BodyTextChar"/>
    <w:uiPriority w:val="99"/>
    <w:semiHidden/>
    <w:unhideWhenUsed/>
    <w:rsid w:val="0077185A"/>
    <w:pPr>
      <w:spacing w:after="120"/>
    </w:pPr>
  </w:style>
  <w:style w:type="character" w:customStyle="1" w:styleId="BodyTextChar">
    <w:name w:val="Body Text Char"/>
    <w:basedOn w:val="DefaultParagraphFont"/>
    <w:link w:val="BodyText"/>
    <w:uiPriority w:val="99"/>
    <w:semiHidden/>
    <w:rsid w:val="0077185A"/>
  </w:style>
  <w:style w:type="character" w:styleId="UnresolvedMention">
    <w:name w:val="Unresolved Mention"/>
    <w:basedOn w:val="DefaultParagraphFont"/>
    <w:uiPriority w:val="99"/>
    <w:semiHidden/>
    <w:unhideWhenUsed/>
    <w:rsid w:val="002B7D94"/>
    <w:rPr>
      <w:color w:val="605E5C"/>
      <w:shd w:val="clear" w:color="auto" w:fill="E1DFDD"/>
    </w:rPr>
  </w:style>
  <w:style w:type="character" w:styleId="Emphasis">
    <w:name w:val="Emphasis"/>
    <w:basedOn w:val="DefaultParagraphFont"/>
    <w:uiPriority w:val="20"/>
    <w:qFormat/>
    <w:rsid w:val="000E228B"/>
    <w:rPr>
      <w:i/>
      <w:iCs/>
    </w:rPr>
  </w:style>
  <w:style w:type="character" w:styleId="FollowedHyperlink">
    <w:name w:val="FollowedHyperlink"/>
    <w:basedOn w:val="DefaultParagraphFont"/>
    <w:uiPriority w:val="99"/>
    <w:semiHidden/>
    <w:unhideWhenUsed/>
    <w:rsid w:val="005B68B1"/>
    <w:rPr>
      <w:color w:val="800080" w:themeColor="followedHyperlink"/>
      <w:u w:val="single"/>
    </w:rPr>
  </w:style>
  <w:style w:type="paragraph" w:styleId="EndnoteText">
    <w:name w:val="endnote text"/>
    <w:basedOn w:val="Normal"/>
    <w:link w:val="EndnoteTextChar"/>
    <w:uiPriority w:val="99"/>
    <w:semiHidden/>
    <w:unhideWhenUsed/>
    <w:rsid w:val="00416E0A"/>
    <w:pPr>
      <w:spacing w:line="288" w:lineRule="auto"/>
    </w:pPr>
    <w:rPr>
      <w:rFonts w:ascii="Verdana" w:hAnsi="Verdana"/>
      <w:sz w:val="20"/>
      <w:szCs w:val="20"/>
    </w:rPr>
  </w:style>
  <w:style w:type="character" w:customStyle="1" w:styleId="EndnoteTextChar">
    <w:name w:val="Endnote Text Char"/>
    <w:basedOn w:val="DefaultParagraphFont"/>
    <w:link w:val="EndnoteText"/>
    <w:uiPriority w:val="99"/>
    <w:semiHidden/>
    <w:rsid w:val="00416E0A"/>
    <w:rPr>
      <w:rFonts w:ascii="Verdana" w:hAnsi="Verdana"/>
      <w:sz w:val="20"/>
      <w:szCs w:val="20"/>
    </w:rPr>
  </w:style>
  <w:style w:type="table" w:styleId="TableGrid">
    <w:name w:val="Table Grid"/>
    <w:basedOn w:val="TableNormal"/>
    <w:uiPriority w:val="59"/>
    <w:rsid w:val="00DE7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769759">
      <w:bodyDiv w:val="1"/>
      <w:marLeft w:val="0"/>
      <w:marRight w:val="0"/>
      <w:marTop w:val="0"/>
      <w:marBottom w:val="0"/>
      <w:divBdr>
        <w:top w:val="none" w:sz="0" w:space="0" w:color="auto"/>
        <w:left w:val="none" w:sz="0" w:space="0" w:color="auto"/>
        <w:bottom w:val="none" w:sz="0" w:space="0" w:color="auto"/>
        <w:right w:val="none" w:sz="0" w:space="0" w:color="auto"/>
      </w:divBdr>
    </w:div>
    <w:div w:id="946545615">
      <w:bodyDiv w:val="1"/>
      <w:marLeft w:val="0"/>
      <w:marRight w:val="0"/>
      <w:marTop w:val="0"/>
      <w:marBottom w:val="0"/>
      <w:divBdr>
        <w:top w:val="none" w:sz="0" w:space="0" w:color="auto"/>
        <w:left w:val="none" w:sz="0" w:space="0" w:color="auto"/>
        <w:bottom w:val="none" w:sz="0" w:space="0" w:color="auto"/>
        <w:right w:val="none" w:sz="0" w:space="0" w:color="auto"/>
      </w:divBdr>
    </w:div>
    <w:div w:id="1064723220">
      <w:bodyDiv w:val="1"/>
      <w:marLeft w:val="0"/>
      <w:marRight w:val="0"/>
      <w:marTop w:val="0"/>
      <w:marBottom w:val="0"/>
      <w:divBdr>
        <w:top w:val="none" w:sz="0" w:space="0" w:color="auto"/>
        <w:left w:val="none" w:sz="0" w:space="0" w:color="auto"/>
        <w:bottom w:val="none" w:sz="0" w:space="0" w:color="auto"/>
        <w:right w:val="none" w:sz="0" w:space="0" w:color="auto"/>
      </w:divBdr>
    </w:div>
    <w:div w:id="1145128199">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59842">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482431190">
      <w:bodyDiv w:val="1"/>
      <w:marLeft w:val="0"/>
      <w:marRight w:val="0"/>
      <w:marTop w:val="0"/>
      <w:marBottom w:val="0"/>
      <w:divBdr>
        <w:top w:val="none" w:sz="0" w:space="0" w:color="auto"/>
        <w:left w:val="none" w:sz="0" w:space="0" w:color="auto"/>
        <w:bottom w:val="none" w:sz="0" w:space="0" w:color="auto"/>
        <w:right w:val="none" w:sz="0" w:space="0" w:color="auto"/>
      </w:divBdr>
    </w:div>
    <w:div w:id="1509982039">
      <w:bodyDiv w:val="1"/>
      <w:marLeft w:val="0"/>
      <w:marRight w:val="0"/>
      <w:marTop w:val="0"/>
      <w:marBottom w:val="0"/>
      <w:divBdr>
        <w:top w:val="none" w:sz="0" w:space="0" w:color="auto"/>
        <w:left w:val="none" w:sz="0" w:space="0" w:color="auto"/>
        <w:bottom w:val="none" w:sz="0" w:space="0" w:color="auto"/>
        <w:right w:val="none" w:sz="0" w:space="0" w:color="auto"/>
      </w:divBdr>
    </w:div>
    <w:div w:id="1600215602">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ihr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nhri.org/about-nhris/human-rights-based-appro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27aaff-d31a-49f7-86dd-2acde9cae9c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5F899AC5F7C4C45BC8EF16AB4373A26" ma:contentTypeVersion="14" ma:contentTypeDescription="Create a new document." ma:contentTypeScope="" ma:versionID="a9c3bc57095406c8016e0c9639bfb19d">
  <xsd:schema xmlns:xsd="http://www.w3.org/2001/XMLSchema" xmlns:xs="http://www.w3.org/2001/XMLSchema" xmlns:p="http://schemas.microsoft.com/office/2006/metadata/properties" xmlns:ns3="1a27aaff-d31a-49f7-86dd-2acde9cae9cb" xmlns:ns4="0294a276-9c8c-4f8b-828e-ea5ddf8b436a" targetNamespace="http://schemas.microsoft.com/office/2006/metadata/properties" ma:root="true" ma:fieldsID="ebeef9912da313abe7019a7ccdd2ec2b" ns3:_="" ns4:_="">
    <xsd:import namespace="1a27aaff-d31a-49f7-86dd-2acde9cae9cb"/>
    <xsd:import namespace="0294a276-9c8c-4f8b-828e-ea5ddf8b43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7aaff-d31a-49f7-86dd-2acde9cae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94a276-9c8c-4f8b-828e-ea5ddf8b43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C2F3C-918D-4A8F-BE21-200173024B72}">
  <ds:schemaRefs>
    <ds:schemaRef ds:uri="http://schemas.microsoft.com/office/2006/metadata/properties"/>
    <ds:schemaRef ds:uri="http://schemas.microsoft.com/office/infopath/2007/PartnerControls"/>
    <ds:schemaRef ds:uri="1a27aaff-d31a-49f7-86dd-2acde9cae9cb"/>
  </ds:schemaRefs>
</ds:datastoreItem>
</file>

<file path=customXml/itemProps2.xml><?xml version="1.0" encoding="utf-8"?>
<ds:datastoreItem xmlns:ds="http://schemas.openxmlformats.org/officeDocument/2006/customXml" ds:itemID="{F6D7E8C9-C990-45D5-9CCB-9AEFF30A49CE}">
  <ds:schemaRefs>
    <ds:schemaRef ds:uri="http://schemas.openxmlformats.org/officeDocument/2006/bibliography"/>
  </ds:schemaRefs>
</ds:datastoreItem>
</file>

<file path=customXml/itemProps3.xml><?xml version="1.0" encoding="utf-8"?>
<ds:datastoreItem xmlns:ds="http://schemas.openxmlformats.org/officeDocument/2006/customXml" ds:itemID="{277859BF-9506-4614-B122-085C09E2E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7aaff-d31a-49f7-86dd-2acde9cae9cb"/>
    <ds:schemaRef ds:uri="0294a276-9c8c-4f8b-828e-ea5ddf8b4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945F49-9D1A-4456-9EF7-7B5826351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7827</Words>
  <Characters>44618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52341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Emma Osborne</cp:lastModifiedBy>
  <cp:revision>4</cp:revision>
  <cp:lastPrinted>2023-05-02T13:15:00Z</cp:lastPrinted>
  <dcterms:created xsi:type="dcterms:W3CDTF">2023-05-02T13:11:00Z</dcterms:created>
  <dcterms:modified xsi:type="dcterms:W3CDTF">2023-05-03T09:10:00Z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0x01010025F899AC5F7C4C45BC8EF16AB4373A26</vt:lpwstr>
  </property>
</Properties>
</file>