
<file path=[Content_Types].xml><?xml version="1.0" encoding="utf-8"?>
<Types xmlns="http://schemas.openxmlformats.org/package/2006/content-types">
  <Default Extension="jfif"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6D1750" w14:textId="7792415C" w:rsidR="00F31387" w:rsidRPr="00292922" w:rsidRDefault="00F31387" w:rsidP="0054278B">
      <w:pPr>
        <w:pStyle w:val="BasicParagraph"/>
        <w:suppressAutoHyphens/>
        <w:spacing w:after="240" w:line="276" w:lineRule="auto"/>
        <w:jc w:val="center"/>
        <w:rPr>
          <w:rFonts w:ascii="Verdana" w:hAnsi="Verdana" w:cs="Arial"/>
          <w:b/>
          <w:bCs/>
          <w:color w:val="734791"/>
        </w:rPr>
      </w:pPr>
    </w:p>
    <w:p w14:paraId="0A23FE81" w14:textId="6CE94276" w:rsidR="003B7D0E" w:rsidRPr="00292922" w:rsidRDefault="003B7D0E" w:rsidP="0054278B">
      <w:pPr>
        <w:pStyle w:val="BasicParagraph"/>
        <w:suppressAutoHyphens/>
        <w:spacing w:after="240" w:line="276" w:lineRule="auto"/>
        <w:jc w:val="center"/>
        <w:rPr>
          <w:rFonts w:ascii="Verdana" w:hAnsi="Verdana" w:cs="Arial"/>
          <w:b/>
          <w:bCs/>
          <w:color w:val="734791"/>
        </w:rPr>
      </w:pPr>
    </w:p>
    <w:p w14:paraId="20E481F7" w14:textId="0A6D1BAB" w:rsidR="00AD2EED" w:rsidRDefault="00AD2EED" w:rsidP="0054278B">
      <w:pPr>
        <w:spacing w:after="240" w:line="276" w:lineRule="auto"/>
        <w:jc w:val="center"/>
        <w:rPr>
          <w:rFonts w:ascii="Verdana" w:hAnsi="Verdana" w:cs="Arial"/>
          <w:b/>
          <w:bCs/>
          <w:color w:val="77328A"/>
        </w:rPr>
      </w:pPr>
    </w:p>
    <w:p w14:paraId="25A667E4" w14:textId="16CB2A51" w:rsidR="00AD2EED" w:rsidRPr="002F0BEA" w:rsidRDefault="007F1A12" w:rsidP="0054278B">
      <w:pPr>
        <w:spacing w:after="240" w:line="276" w:lineRule="auto"/>
        <w:jc w:val="center"/>
        <w:rPr>
          <w:rFonts w:ascii="Verdana" w:hAnsi="Verdana" w:cs="Arial"/>
          <w:b/>
          <w:bCs/>
          <w:color w:val="77328A"/>
        </w:rPr>
      </w:pPr>
      <w:r w:rsidRPr="002F0BEA">
        <w:rPr>
          <w:rFonts w:ascii="Arial" w:hAnsi="Arial" w:cs="Arial"/>
          <w:noProof/>
          <w:sz w:val="28"/>
          <w:szCs w:val="28"/>
          <w:lang w:eastAsia="en-GB"/>
        </w:rPr>
        <w:drawing>
          <wp:anchor distT="0" distB="0" distL="114300" distR="114300" simplePos="0" relativeHeight="251660288" behindDoc="0" locked="0" layoutInCell="1" allowOverlap="1" wp14:anchorId="0A0674E2" wp14:editId="0B26B43B">
            <wp:simplePos x="0" y="0"/>
            <wp:positionH relativeFrom="column">
              <wp:posOffset>297596</wp:posOffset>
            </wp:positionH>
            <wp:positionV relativeFrom="paragraph">
              <wp:posOffset>15744</wp:posOffset>
            </wp:positionV>
            <wp:extent cx="2940685" cy="755559"/>
            <wp:effectExtent l="0" t="0" r="0" b="6985"/>
            <wp:wrapNone/>
            <wp:docPr id="5" name="Picture 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942804" cy="756103"/>
                    </a:xfrm>
                    <a:prstGeom prst="rect">
                      <a:avLst/>
                    </a:prstGeom>
                  </pic:spPr>
                </pic:pic>
              </a:graphicData>
            </a:graphic>
            <wp14:sizeRelH relativeFrom="page">
              <wp14:pctWidth>0</wp14:pctWidth>
            </wp14:sizeRelH>
            <wp14:sizeRelV relativeFrom="page">
              <wp14:pctHeight>0</wp14:pctHeight>
            </wp14:sizeRelV>
          </wp:anchor>
        </w:drawing>
      </w:r>
      <w:r w:rsidR="009E024F" w:rsidRPr="002F0BEA">
        <w:rPr>
          <w:rFonts w:ascii="Arial" w:hAnsi="Arial" w:cs="Arial"/>
          <w:noProof/>
          <w:sz w:val="28"/>
          <w:szCs w:val="28"/>
          <w:lang w:eastAsia="en-GB"/>
        </w:rPr>
        <w:drawing>
          <wp:anchor distT="0" distB="0" distL="114300" distR="114300" simplePos="0" relativeHeight="251661312" behindDoc="0" locked="0" layoutInCell="1" allowOverlap="1" wp14:anchorId="7B660227" wp14:editId="63C597A2">
            <wp:simplePos x="0" y="0"/>
            <wp:positionH relativeFrom="column">
              <wp:posOffset>3570605</wp:posOffset>
            </wp:positionH>
            <wp:positionV relativeFrom="paragraph">
              <wp:posOffset>27305</wp:posOffset>
            </wp:positionV>
            <wp:extent cx="2144395" cy="793750"/>
            <wp:effectExtent l="0" t="0" r="8255" b="6350"/>
            <wp:wrapNone/>
            <wp:docPr id="3" name="Picture 3" descr="Graphical user interface,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website&#10;&#10;Description automatically generated"/>
                    <pic:cNvPicPr/>
                  </pic:nvPicPr>
                  <pic:blipFill rotWithShape="1">
                    <a:blip r:embed="rId9" cstate="print">
                      <a:extLst>
                        <a:ext uri="{28A0092B-C50C-407E-A947-70E740481C1C}">
                          <a14:useLocalDpi xmlns:a14="http://schemas.microsoft.com/office/drawing/2010/main" val="0"/>
                        </a:ext>
                      </a:extLst>
                    </a:blip>
                    <a:srcRect l="11811" t="20472" r="11024" b="18110"/>
                    <a:stretch/>
                  </pic:blipFill>
                  <pic:spPr bwMode="auto">
                    <a:xfrm>
                      <a:off x="0" y="0"/>
                      <a:ext cx="2144395" cy="7937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2912FC3" w14:textId="18A7815C" w:rsidR="00AD2EED" w:rsidRPr="002F0BEA" w:rsidRDefault="00AD2EED" w:rsidP="0054278B">
      <w:pPr>
        <w:spacing w:after="240" w:line="276" w:lineRule="auto"/>
        <w:jc w:val="center"/>
        <w:rPr>
          <w:rFonts w:ascii="Verdana" w:hAnsi="Verdana" w:cs="Arial"/>
          <w:b/>
          <w:bCs/>
          <w:color w:val="77328A"/>
        </w:rPr>
      </w:pPr>
    </w:p>
    <w:p w14:paraId="4FB1F484" w14:textId="77777777" w:rsidR="00AD2EED" w:rsidRPr="002F0BEA" w:rsidRDefault="00AD2EED" w:rsidP="0054278B">
      <w:pPr>
        <w:spacing w:after="240" w:line="276" w:lineRule="auto"/>
        <w:jc w:val="center"/>
        <w:rPr>
          <w:rFonts w:ascii="Verdana" w:hAnsi="Verdana" w:cs="Arial"/>
          <w:b/>
          <w:bCs/>
          <w:color w:val="77328A"/>
        </w:rPr>
      </w:pPr>
    </w:p>
    <w:p w14:paraId="4F5ABC50" w14:textId="77777777" w:rsidR="00AD2EED" w:rsidRPr="002F0BEA" w:rsidRDefault="00AD2EED" w:rsidP="0054278B">
      <w:pPr>
        <w:spacing w:after="240" w:line="276" w:lineRule="auto"/>
        <w:jc w:val="center"/>
        <w:rPr>
          <w:rFonts w:ascii="Verdana" w:hAnsi="Verdana" w:cs="Arial"/>
          <w:b/>
          <w:bCs/>
          <w:color w:val="77328A"/>
        </w:rPr>
      </w:pPr>
    </w:p>
    <w:p w14:paraId="31BDCCB2" w14:textId="77777777" w:rsidR="00AD2EED" w:rsidRPr="002F0BEA" w:rsidRDefault="00AD2EED" w:rsidP="0054278B">
      <w:pPr>
        <w:spacing w:after="240" w:line="276" w:lineRule="auto"/>
        <w:jc w:val="center"/>
        <w:rPr>
          <w:rFonts w:ascii="Verdana" w:hAnsi="Verdana" w:cs="Arial"/>
          <w:b/>
          <w:bCs/>
          <w:color w:val="77328A"/>
        </w:rPr>
      </w:pPr>
    </w:p>
    <w:p w14:paraId="2D6EC347" w14:textId="77777777" w:rsidR="00AD2EED" w:rsidRPr="002F0BEA" w:rsidRDefault="00AD2EED" w:rsidP="0054278B">
      <w:pPr>
        <w:spacing w:after="240" w:line="276" w:lineRule="auto"/>
        <w:jc w:val="center"/>
        <w:rPr>
          <w:rFonts w:ascii="Verdana" w:hAnsi="Verdana" w:cs="Arial"/>
          <w:b/>
          <w:bCs/>
          <w:color w:val="77328A"/>
        </w:rPr>
      </w:pPr>
    </w:p>
    <w:p w14:paraId="5A89264B" w14:textId="77777777" w:rsidR="00AD2EED" w:rsidRPr="002F0BEA" w:rsidRDefault="00AD2EED" w:rsidP="0054278B">
      <w:pPr>
        <w:spacing w:after="240" w:line="276" w:lineRule="auto"/>
        <w:jc w:val="center"/>
        <w:rPr>
          <w:rFonts w:ascii="Verdana" w:hAnsi="Verdana" w:cs="Arial"/>
          <w:b/>
          <w:bCs/>
          <w:color w:val="77328A"/>
        </w:rPr>
      </w:pPr>
    </w:p>
    <w:p w14:paraId="21E760D0" w14:textId="7956A3CD" w:rsidR="00202A5B" w:rsidRPr="002F0BEA" w:rsidRDefault="00202A5B" w:rsidP="0054278B">
      <w:pPr>
        <w:spacing w:after="240" w:line="276" w:lineRule="auto"/>
        <w:jc w:val="center"/>
        <w:rPr>
          <w:rFonts w:asciiTheme="majorHAnsi" w:hAnsiTheme="majorHAnsi" w:cstheme="majorHAnsi"/>
          <w:bCs/>
          <w:sz w:val="56"/>
          <w:szCs w:val="56"/>
        </w:rPr>
      </w:pPr>
      <w:r w:rsidRPr="002F0BEA">
        <w:rPr>
          <w:rFonts w:asciiTheme="majorHAnsi" w:hAnsiTheme="majorHAnsi" w:cstheme="majorHAnsi"/>
          <w:b/>
          <w:bCs/>
          <w:sz w:val="56"/>
          <w:szCs w:val="56"/>
        </w:rPr>
        <w:t xml:space="preserve">NIHRC </w:t>
      </w:r>
      <w:r w:rsidR="00DE6566" w:rsidRPr="002F0BEA">
        <w:rPr>
          <w:rFonts w:asciiTheme="majorHAnsi" w:hAnsiTheme="majorHAnsi" w:cstheme="majorHAnsi"/>
          <w:b/>
          <w:bCs/>
          <w:sz w:val="56"/>
          <w:szCs w:val="56"/>
        </w:rPr>
        <w:t xml:space="preserve">/ </w:t>
      </w:r>
      <w:r w:rsidR="00402A10" w:rsidRPr="002F0BEA">
        <w:rPr>
          <w:rFonts w:asciiTheme="majorHAnsi" w:hAnsiTheme="majorHAnsi" w:cstheme="majorHAnsi"/>
          <w:b/>
          <w:bCs/>
          <w:sz w:val="56"/>
          <w:szCs w:val="56"/>
        </w:rPr>
        <w:t xml:space="preserve">ECNI </w:t>
      </w:r>
      <w:r w:rsidRPr="002F0BEA">
        <w:rPr>
          <w:rFonts w:asciiTheme="majorHAnsi" w:hAnsiTheme="majorHAnsi" w:cstheme="majorHAnsi"/>
          <w:b/>
          <w:bCs/>
          <w:sz w:val="56"/>
          <w:szCs w:val="56"/>
        </w:rPr>
        <w:t xml:space="preserve">Briefing </w:t>
      </w:r>
      <w:r w:rsidR="00402A10" w:rsidRPr="002F0BEA">
        <w:rPr>
          <w:rFonts w:asciiTheme="majorHAnsi" w:hAnsiTheme="majorHAnsi" w:cstheme="majorHAnsi"/>
          <w:b/>
          <w:bCs/>
          <w:sz w:val="56"/>
          <w:szCs w:val="56"/>
        </w:rPr>
        <w:t xml:space="preserve">on the </w:t>
      </w:r>
      <w:r w:rsidR="005A158C" w:rsidRPr="002F0BEA">
        <w:rPr>
          <w:rFonts w:asciiTheme="majorHAnsi" w:hAnsiTheme="majorHAnsi" w:cstheme="majorHAnsi"/>
          <w:b/>
          <w:bCs/>
          <w:sz w:val="56"/>
          <w:szCs w:val="56"/>
        </w:rPr>
        <w:t xml:space="preserve">Northern Ireland </w:t>
      </w:r>
      <w:r w:rsidR="00130E38" w:rsidRPr="002F0BEA">
        <w:rPr>
          <w:rFonts w:asciiTheme="majorHAnsi" w:hAnsiTheme="majorHAnsi" w:cstheme="majorHAnsi"/>
          <w:b/>
          <w:bCs/>
          <w:sz w:val="56"/>
          <w:szCs w:val="56"/>
        </w:rPr>
        <w:t>Protocol</w:t>
      </w:r>
      <w:r w:rsidRPr="002F0BEA">
        <w:rPr>
          <w:rFonts w:asciiTheme="majorHAnsi" w:hAnsiTheme="majorHAnsi" w:cstheme="majorHAnsi"/>
          <w:b/>
          <w:bCs/>
          <w:sz w:val="56"/>
          <w:szCs w:val="56"/>
        </w:rPr>
        <w:t xml:space="preserve"> Bill</w:t>
      </w:r>
    </w:p>
    <w:p w14:paraId="4479C166" w14:textId="77777777" w:rsidR="0096459E" w:rsidRPr="002F0BEA" w:rsidRDefault="0096459E" w:rsidP="0054278B">
      <w:pPr>
        <w:pStyle w:val="BasicParagraph"/>
        <w:suppressAutoHyphens/>
        <w:spacing w:after="240" w:line="276" w:lineRule="auto"/>
        <w:jc w:val="center"/>
        <w:rPr>
          <w:rFonts w:ascii="Verdana" w:hAnsi="Verdana" w:cs="Arial"/>
          <w:b/>
          <w:color w:val="77328A"/>
        </w:rPr>
      </w:pPr>
    </w:p>
    <w:p w14:paraId="0DFD403C" w14:textId="003586E5" w:rsidR="00F31387" w:rsidRPr="002F0BEA" w:rsidRDefault="00F31387" w:rsidP="0054278B">
      <w:pPr>
        <w:pStyle w:val="Default"/>
        <w:spacing w:after="240" w:line="276" w:lineRule="auto"/>
        <w:jc w:val="center"/>
        <w:rPr>
          <w:rFonts w:cs="Arial"/>
          <w:color w:val="232120"/>
        </w:rPr>
      </w:pPr>
    </w:p>
    <w:p w14:paraId="20849FCA" w14:textId="77777777" w:rsidR="009D7526" w:rsidRPr="002F0BEA" w:rsidRDefault="009D7526" w:rsidP="0054278B">
      <w:pPr>
        <w:pStyle w:val="Default"/>
        <w:spacing w:after="240" w:line="276" w:lineRule="auto"/>
        <w:jc w:val="center"/>
        <w:rPr>
          <w:rFonts w:cs="Arial"/>
          <w:color w:val="232120"/>
        </w:rPr>
      </w:pPr>
    </w:p>
    <w:p w14:paraId="4795F53E" w14:textId="47C2D9A8" w:rsidR="008159E8" w:rsidRPr="002F0BEA" w:rsidRDefault="00D11AD8" w:rsidP="0054278B">
      <w:pPr>
        <w:spacing w:after="240" w:line="276" w:lineRule="auto"/>
        <w:jc w:val="center"/>
        <w:rPr>
          <w:rFonts w:asciiTheme="majorHAnsi" w:hAnsiTheme="majorHAnsi" w:cstheme="majorHAnsi"/>
          <w:b/>
          <w:color w:val="232120"/>
          <w:sz w:val="36"/>
          <w:szCs w:val="36"/>
        </w:rPr>
      </w:pPr>
      <w:r w:rsidRPr="002F0BEA">
        <w:rPr>
          <w:rFonts w:asciiTheme="majorHAnsi" w:hAnsiTheme="majorHAnsi" w:cstheme="majorHAnsi"/>
          <w:b/>
          <w:color w:val="232120"/>
          <w:sz w:val="36"/>
          <w:szCs w:val="36"/>
        </w:rPr>
        <w:t xml:space="preserve">October </w:t>
      </w:r>
      <w:r w:rsidR="00202A5B" w:rsidRPr="002F0BEA">
        <w:rPr>
          <w:rFonts w:asciiTheme="majorHAnsi" w:hAnsiTheme="majorHAnsi" w:cstheme="majorHAnsi"/>
          <w:b/>
          <w:color w:val="232120"/>
          <w:sz w:val="36"/>
          <w:szCs w:val="36"/>
        </w:rPr>
        <w:t>2022</w:t>
      </w:r>
    </w:p>
    <w:p w14:paraId="5EEE353F" w14:textId="77777777" w:rsidR="00046705" w:rsidRPr="002F0BEA" w:rsidRDefault="00046705" w:rsidP="0054278B">
      <w:pPr>
        <w:spacing w:after="240" w:line="276" w:lineRule="auto"/>
        <w:jc w:val="center"/>
        <w:rPr>
          <w:rFonts w:ascii="Verdana" w:hAnsi="Verdana" w:cs="Arial"/>
          <w:b/>
          <w:color w:val="232120"/>
        </w:rPr>
      </w:pPr>
    </w:p>
    <w:p w14:paraId="737D9709" w14:textId="77777777" w:rsidR="00046705" w:rsidRPr="002F0BEA" w:rsidRDefault="00046705" w:rsidP="0054278B">
      <w:pPr>
        <w:spacing w:after="240" w:line="276" w:lineRule="auto"/>
        <w:jc w:val="center"/>
        <w:rPr>
          <w:rFonts w:ascii="Verdana" w:hAnsi="Verdana" w:cs="Arial"/>
          <w:b/>
          <w:color w:val="232120"/>
        </w:rPr>
      </w:pPr>
    </w:p>
    <w:p w14:paraId="34183CB7" w14:textId="77777777" w:rsidR="00EA12CE" w:rsidRPr="002F0BEA" w:rsidRDefault="00EA12CE" w:rsidP="0054278B">
      <w:pPr>
        <w:pStyle w:val="Default"/>
        <w:spacing w:after="240" w:line="276" w:lineRule="auto"/>
        <w:jc w:val="center"/>
        <w:rPr>
          <w:rFonts w:cs="Arial"/>
          <w:b/>
          <w:color w:val="232120"/>
          <w:lang w:val="en-GB"/>
        </w:rPr>
      </w:pPr>
    </w:p>
    <w:p w14:paraId="20DE097B" w14:textId="77777777" w:rsidR="003B7D0E" w:rsidRPr="002F0BEA" w:rsidRDefault="003B7D0E" w:rsidP="0054278B">
      <w:pPr>
        <w:pStyle w:val="Default"/>
        <w:spacing w:after="240" w:line="276" w:lineRule="auto"/>
        <w:jc w:val="center"/>
        <w:rPr>
          <w:rFonts w:cs="Arial"/>
          <w:b/>
          <w:color w:val="232120"/>
        </w:rPr>
      </w:pPr>
    </w:p>
    <w:p w14:paraId="011E74BA" w14:textId="77777777" w:rsidR="003B7D0E" w:rsidRPr="002F0BEA" w:rsidRDefault="003B7D0E" w:rsidP="0054278B">
      <w:pPr>
        <w:pStyle w:val="Default"/>
        <w:spacing w:after="240" w:line="276" w:lineRule="auto"/>
        <w:jc w:val="center"/>
        <w:rPr>
          <w:rFonts w:cs="Arial"/>
          <w:b/>
          <w:color w:val="232120"/>
        </w:rPr>
      </w:pPr>
    </w:p>
    <w:p w14:paraId="0870AA29" w14:textId="075909C9" w:rsidR="0096459E" w:rsidRPr="002F0BEA" w:rsidRDefault="0096459E" w:rsidP="0054278B">
      <w:pPr>
        <w:pStyle w:val="Default"/>
        <w:spacing w:after="240" w:line="276" w:lineRule="auto"/>
        <w:jc w:val="center"/>
        <w:rPr>
          <w:rFonts w:cs="Arial"/>
          <w:b/>
          <w:color w:val="232120"/>
        </w:rPr>
      </w:pPr>
    </w:p>
    <w:p w14:paraId="7DD92222" w14:textId="380E246D" w:rsidR="000019D8" w:rsidRPr="002F0BEA" w:rsidRDefault="000019D8" w:rsidP="0054278B">
      <w:pPr>
        <w:pStyle w:val="Default"/>
        <w:spacing w:after="240" w:line="276" w:lineRule="auto"/>
        <w:jc w:val="center"/>
        <w:rPr>
          <w:rFonts w:cs="Arial"/>
          <w:b/>
          <w:color w:val="232120"/>
        </w:rPr>
      </w:pPr>
    </w:p>
    <w:p w14:paraId="653CAF46" w14:textId="7099587A" w:rsidR="003B7D0E" w:rsidRPr="002F0BEA" w:rsidRDefault="003B7D0E" w:rsidP="0054278B">
      <w:pPr>
        <w:pStyle w:val="Default"/>
        <w:spacing w:after="240" w:line="276" w:lineRule="auto"/>
        <w:jc w:val="center"/>
        <w:rPr>
          <w:rFonts w:cs="Arial"/>
          <w:b/>
          <w:color w:val="232120"/>
        </w:rPr>
      </w:pPr>
    </w:p>
    <w:p w14:paraId="45E424CD" w14:textId="77777777" w:rsidR="00046575" w:rsidRPr="002F0BEA" w:rsidRDefault="00046575" w:rsidP="0054278B">
      <w:pPr>
        <w:pStyle w:val="Default"/>
        <w:spacing w:after="240" w:line="276" w:lineRule="auto"/>
        <w:jc w:val="center"/>
        <w:rPr>
          <w:rFonts w:cs="Arial"/>
          <w:b/>
          <w:color w:val="232120"/>
        </w:rPr>
      </w:pPr>
    </w:p>
    <w:sdt>
      <w:sdtPr>
        <w:rPr>
          <w:rFonts w:ascii="Verdana" w:eastAsiaTheme="minorEastAsia" w:hAnsi="Verdana" w:cstheme="minorBidi"/>
          <w:color w:val="auto"/>
          <w:sz w:val="24"/>
          <w:szCs w:val="24"/>
          <w:lang w:val="en-GB"/>
        </w:rPr>
        <w:id w:val="-1637332217"/>
        <w:docPartObj>
          <w:docPartGallery w:val="Table of Contents"/>
          <w:docPartUnique/>
        </w:docPartObj>
      </w:sdtPr>
      <w:sdtEndPr>
        <w:rPr>
          <w:b/>
          <w:bCs/>
          <w:noProof/>
        </w:rPr>
      </w:sdtEndPr>
      <w:sdtContent>
        <w:p w14:paraId="641D079A" w14:textId="1CE6DEEA" w:rsidR="00202A5B" w:rsidRPr="002F0BEA" w:rsidRDefault="00202A5B" w:rsidP="0054278B">
          <w:pPr>
            <w:pStyle w:val="TOCHeading"/>
            <w:spacing w:after="240" w:line="276" w:lineRule="auto"/>
            <w:rPr>
              <w:rFonts w:eastAsiaTheme="minorEastAsia" w:cstheme="majorHAnsi"/>
              <w:color w:val="auto"/>
              <w:sz w:val="40"/>
              <w:szCs w:val="40"/>
              <w:lang w:val="en-GB"/>
            </w:rPr>
          </w:pPr>
          <w:r w:rsidRPr="002F0BEA">
            <w:rPr>
              <w:rFonts w:cstheme="majorHAnsi"/>
              <w:b/>
              <w:color w:val="auto"/>
              <w:sz w:val="40"/>
              <w:szCs w:val="40"/>
            </w:rPr>
            <w:t>Table of Contents</w:t>
          </w:r>
        </w:p>
        <w:p w14:paraId="54806BF4" w14:textId="68F7C7B8" w:rsidR="00BA2D92" w:rsidRDefault="00202A5B">
          <w:pPr>
            <w:pStyle w:val="TOC1"/>
            <w:tabs>
              <w:tab w:val="right" w:leader="dot" w:pos="9848"/>
            </w:tabs>
            <w:rPr>
              <w:noProof/>
              <w:sz w:val="22"/>
              <w:szCs w:val="22"/>
              <w:lang w:eastAsia="en-GB"/>
            </w:rPr>
          </w:pPr>
          <w:r w:rsidRPr="002F0BEA">
            <w:rPr>
              <w:rFonts w:asciiTheme="majorHAnsi" w:hAnsiTheme="majorHAnsi" w:cstheme="majorHAnsi"/>
              <w:sz w:val="32"/>
              <w:szCs w:val="32"/>
            </w:rPr>
            <w:fldChar w:fldCharType="begin"/>
          </w:r>
          <w:r w:rsidRPr="002F0BEA">
            <w:rPr>
              <w:rFonts w:asciiTheme="majorHAnsi" w:hAnsiTheme="majorHAnsi" w:cstheme="majorHAnsi"/>
              <w:sz w:val="32"/>
              <w:szCs w:val="32"/>
            </w:rPr>
            <w:instrText xml:space="preserve"> TOC \o "1-3" \h \z \u </w:instrText>
          </w:r>
          <w:r w:rsidRPr="002F0BEA">
            <w:rPr>
              <w:rFonts w:asciiTheme="majorHAnsi" w:hAnsiTheme="majorHAnsi" w:cstheme="majorHAnsi"/>
              <w:sz w:val="32"/>
              <w:szCs w:val="32"/>
            </w:rPr>
            <w:fldChar w:fldCharType="separate"/>
          </w:r>
          <w:hyperlink w:anchor="_Toc116045308" w:history="1">
            <w:r w:rsidR="00BA2D92" w:rsidRPr="00BA46F1">
              <w:rPr>
                <w:rStyle w:val="Hyperlink"/>
                <w:rFonts w:asciiTheme="majorHAnsi" w:hAnsiTheme="majorHAnsi" w:cstheme="majorHAnsi"/>
                <w:noProof/>
              </w:rPr>
              <w:t>Summary of Recommendations</w:t>
            </w:r>
            <w:r w:rsidR="00BA2D92">
              <w:rPr>
                <w:noProof/>
                <w:webHidden/>
              </w:rPr>
              <w:tab/>
            </w:r>
            <w:r w:rsidR="00BA2D92">
              <w:rPr>
                <w:noProof/>
                <w:webHidden/>
              </w:rPr>
              <w:fldChar w:fldCharType="begin"/>
            </w:r>
            <w:r w:rsidR="00BA2D92">
              <w:rPr>
                <w:noProof/>
                <w:webHidden/>
              </w:rPr>
              <w:instrText xml:space="preserve"> PAGEREF _Toc116045308 \h </w:instrText>
            </w:r>
            <w:r w:rsidR="00BA2D92">
              <w:rPr>
                <w:noProof/>
                <w:webHidden/>
              </w:rPr>
            </w:r>
            <w:r w:rsidR="00BA2D92">
              <w:rPr>
                <w:noProof/>
                <w:webHidden/>
              </w:rPr>
              <w:fldChar w:fldCharType="separate"/>
            </w:r>
            <w:r w:rsidR="00BB0B9A">
              <w:rPr>
                <w:noProof/>
                <w:webHidden/>
              </w:rPr>
              <w:t>3</w:t>
            </w:r>
            <w:r w:rsidR="00BA2D92">
              <w:rPr>
                <w:noProof/>
                <w:webHidden/>
              </w:rPr>
              <w:fldChar w:fldCharType="end"/>
            </w:r>
          </w:hyperlink>
        </w:p>
        <w:p w14:paraId="5DBA5996" w14:textId="09599906" w:rsidR="00BA2D92" w:rsidRDefault="00BA2D92">
          <w:pPr>
            <w:pStyle w:val="TOC1"/>
            <w:tabs>
              <w:tab w:val="left" w:pos="660"/>
              <w:tab w:val="right" w:leader="dot" w:pos="9848"/>
            </w:tabs>
            <w:rPr>
              <w:noProof/>
              <w:sz w:val="22"/>
              <w:szCs w:val="22"/>
              <w:lang w:eastAsia="en-GB"/>
            </w:rPr>
          </w:pPr>
          <w:hyperlink w:anchor="_Toc116045309" w:history="1">
            <w:r w:rsidRPr="00BA46F1">
              <w:rPr>
                <w:rStyle w:val="Hyperlink"/>
                <w:rFonts w:asciiTheme="majorHAnsi" w:hAnsiTheme="majorHAnsi" w:cstheme="majorHAnsi"/>
                <w:noProof/>
              </w:rPr>
              <w:t>1.0</w:t>
            </w:r>
            <w:r>
              <w:rPr>
                <w:noProof/>
                <w:sz w:val="22"/>
                <w:szCs w:val="22"/>
                <w:lang w:eastAsia="en-GB"/>
              </w:rPr>
              <w:tab/>
            </w:r>
            <w:r w:rsidRPr="00BA46F1">
              <w:rPr>
                <w:rStyle w:val="Hyperlink"/>
                <w:rFonts w:asciiTheme="majorHAnsi" w:hAnsiTheme="majorHAnsi" w:cstheme="majorHAnsi"/>
                <w:noProof/>
              </w:rPr>
              <w:t>Introduction</w:t>
            </w:r>
            <w:r>
              <w:rPr>
                <w:noProof/>
                <w:webHidden/>
              </w:rPr>
              <w:tab/>
            </w:r>
            <w:r>
              <w:rPr>
                <w:noProof/>
                <w:webHidden/>
              </w:rPr>
              <w:fldChar w:fldCharType="begin"/>
            </w:r>
            <w:r>
              <w:rPr>
                <w:noProof/>
                <w:webHidden/>
              </w:rPr>
              <w:instrText xml:space="preserve"> PAGEREF _Toc116045309 \h </w:instrText>
            </w:r>
            <w:r>
              <w:rPr>
                <w:noProof/>
                <w:webHidden/>
              </w:rPr>
            </w:r>
            <w:r>
              <w:rPr>
                <w:noProof/>
                <w:webHidden/>
              </w:rPr>
              <w:fldChar w:fldCharType="separate"/>
            </w:r>
            <w:r w:rsidR="00BB0B9A">
              <w:rPr>
                <w:noProof/>
                <w:webHidden/>
              </w:rPr>
              <w:t>5</w:t>
            </w:r>
            <w:r>
              <w:rPr>
                <w:noProof/>
                <w:webHidden/>
              </w:rPr>
              <w:fldChar w:fldCharType="end"/>
            </w:r>
          </w:hyperlink>
        </w:p>
        <w:p w14:paraId="510BC98D" w14:textId="1970C551" w:rsidR="00BA2D92" w:rsidRDefault="00BA2D92">
          <w:pPr>
            <w:pStyle w:val="TOC1"/>
            <w:tabs>
              <w:tab w:val="left" w:pos="660"/>
              <w:tab w:val="right" w:leader="dot" w:pos="9848"/>
            </w:tabs>
            <w:rPr>
              <w:noProof/>
              <w:sz w:val="22"/>
              <w:szCs w:val="22"/>
              <w:lang w:eastAsia="en-GB"/>
            </w:rPr>
          </w:pPr>
          <w:hyperlink w:anchor="_Toc116045310" w:history="1">
            <w:r w:rsidRPr="00BA46F1">
              <w:rPr>
                <w:rStyle w:val="Hyperlink"/>
                <w:rFonts w:asciiTheme="majorHAnsi" w:hAnsiTheme="majorHAnsi" w:cstheme="majorHAnsi"/>
                <w:noProof/>
              </w:rPr>
              <w:t>2.0</w:t>
            </w:r>
            <w:r>
              <w:rPr>
                <w:noProof/>
                <w:sz w:val="22"/>
                <w:szCs w:val="22"/>
                <w:lang w:eastAsia="en-GB"/>
              </w:rPr>
              <w:tab/>
            </w:r>
            <w:r w:rsidRPr="00BA46F1">
              <w:rPr>
                <w:rStyle w:val="Hyperlink"/>
                <w:rFonts w:asciiTheme="majorHAnsi" w:hAnsiTheme="majorHAnsi" w:cstheme="majorHAnsi"/>
                <w:noProof/>
              </w:rPr>
              <w:t>Article 2 of the Ireland/NI Protocol</w:t>
            </w:r>
            <w:r>
              <w:rPr>
                <w:noProof/>
                <w:webHidden/>
              </w:rPr>
              <w:tab/>
            </w:r>
            <w:r>
              <w:rPr>
                <w:noProof/>
                <w:webHidden/>
              </w:rPr>
              <w:fldChar w:fldCharType="begin"/>
            </w:r>
            <w:r>
              <w:rPr>
                <w:noProof/>
                <w:webHidden/>
              </w:rPr>
              <w:instrText xml:space="preserve"> PAGEREF _Toc116045310 \h </w:instrText>
            </w:r>
            <w:r>
              <w:rPr>
                <w:noProof/>
                <w:webHidden/>
              </w:rPr>
            </w:r>
            <w:r>
              <w:rPr>
                <w:noProof/>
                <w:webHidden/>
              </w:rPr>
              <w:fldChar w:fldCharType="separate"/>
            </w:r>
            <w:r w:rsidR="00BB0B9A">
              <w:rPr>
                <w:noProof/>
                <w:webHidden/>
              </w:rPr>
              <w:t>6</w:t>
            </w:r>
            <w:r>
              <w:rPr>
                <w:noProof/>
                <w:webHidden/>
              </w:rPr>
              <w:fldChar w:fldCharType="end"/>
            </w:r>
          </w:hyperlink>
        </w:p>
        <w:p w14:paraId="4C3FFBF1" w14:textId="5A22AD02" w:rsidR="00BA2D92" w:rsidRDefault="00BA2D92">
          <w:pPr>
            <w:pStyle w:val="TOC1"/>
            <w:tabs>
              <w:tab w:val="left" w:pos="660"/>
              <w:tab w:val="right" w:leader="dot" w:pos="9848"/>
            </w:tabs>
            <w:rPr>
              <w:noProof/>
              <w:sz w:val="22"/>
              <w:szCs w:val="22"/>
              <w:lang w:eastAsia="en-GB"/>
            </w:rPr>
          </w:pPr>
          <w:hyperlink w:anchor="_Toc116045311" w:history="1">
            <w:r w:rsidRPr="00BA46F1">
              <w:rPr>
                <w:rStyle w:val="Hyperlink"/>
                <w:rFonts w:asciiTheme="majorHAnsi" w:hAnsiTheme="majorHAnsi" w:cstheme="majorHAnsi"/>
                <w:noProof/>
              </w:rPr>
              <w:t>3.0</w:t>
            </w:r>
            <w:r>
              <w:rPr>
                <w:noProof/>
                <w:sz w:val="22"/>
                <w:szCs w:val="22"/>
                <w:lang w:eastAsia="en-GB"/>
              </w:rPr>
              <w:tab/>
            </w:r>
            <w:r w:rsidRPr="00BA46F1">
              <w:rPr>
                <w:rStyle w:val="Hyperlink"/>
                <w:rFonts w:asciiTheme="majorHAnsi" w:hAnsiTheme="majorHAnsi" w:cstheme="majorHAnsi"/>
                <w:noProof/>
              </w:rPr>
              <w:t>The Protocol Bill and Article 2 of the Protocol</w:t>
            </w:r>
            <w:r>
              <w:rPr>
                <w:noProof/>
                <w:webHidden/>
              </w:rPr>
              <w:tab/>
            </w:r>
            <w:r>
              <w:rPr>
                <w:noProof/>
                <w:webHidden/>
              </w:rPr>
              <w:fldChar w:fldCharType="begin"/>
            </w:r>
            <w:r>
              <w:rPr>
                <w:noProof/>
                <w:webHidden/>
              </w:rPr>
              <w:instrText xml:space="preserve"> PAGEREF _Toc116045311 \h </w:instrText>
            </w:r>
            <w:r>
              <w:rPr>
                <w:noProof/>
                <w:webHidden/>
              </w:rPr>
            </w:r>
            <w:r>
              <w:rPr>
                <w:noProof/>
                <w:webHidden/>
              </w:rPr>
              <w:fldChar w:fldCharType="separate"/>
            </w:r>
            <w:r w:rsidR="00BB0B9A">
              <w:rPr>
                <w:noProof/>
                <w:webHidden/>
              </w:rPr>
              <w:t>7</w:t>
            </w:r>
            <w:r>
              <w:rPr>
                <w:noProof/>
                <w:webHidden/>
              </w:rPr>
              <w:fldChar w:fldCharType="end"/>
            </w:r>
          </w:hyperlink>
        </w:p>
        <w:p w14:paraId="4DB11E99" w14:textId="5893A067" w:rsidR="00BA2D92" w:rsidRDefault="00BA2D92">
          <w:pPr>
            <w:pStyle w:val="TOC1"/>
            <w:tabs>
              <w:tab w:val="left" w:pos="660"/>
              <w:tab w:val="right" w:leader="dot" w:pos="9848"/>
            </w:tabs>
            <w:rPr>
              <w:noProof/>
              <w:sz w:val="22"/>
              <w:szCs w:val="22"/>
              <w:lang w:eastAsia="en-GB"/>
            </w:rPr>
          </w:pPr>
          <w:hyperlink w:anchor="_Toc116045312" w:history="1">
            <w:r w:rsidRPr="00BA46F1">
              <w:rPr>
                <w:rStyle w:val="Hyperlink"/>
                <w:rFonts w:asciiTheme="majorHAnsi" w:hAnsiTheme="majorHAnsi" w:cstheme="majorHAnsi"/>
                <w:noProof/>
              </w:rPr>
              <w:t>4.0</w:t>
            </w:r>
            <w:r>
              <w:rPr>
                <w:noProof/>
                <w:sz w:val="22"/>
                <w:szCs w:val="22"/>
                <w:lang w:eastAsia="en-GB"/>
              </w:rPr>
              <w:tab/>
            </w:r>
            <w:r w:rsidRPr="00BA46F1">
              <w:rPr>
                <w:rStyle w:val="Hyperlink"/>
                <w:rFonts w:asciiTheme="majorHAnsi" w:hAnsiTheme="majorHAnsi" w:cstheme="majorHAnsi"/>
                <w:noProof/>
              </w:rPr>
              <w:t>Consideration of compliance with Protocol Article 2</w:t>
            </w:r>
            <w:r>
              <w:rPr>
                <w:noProof/>
                <w:webHidden/>
              </w:rPr>
              <w:tab/>
            </w:r>
            <w:r>
              <w:rPr>
                <w:noProof/>
                <w:webHidden/>
              </w:rPr>
              <w:fldChar w:fldCharType="begin"/>
            </w:r>
            <w:r>
              <w:rPr>
                <w:noProof/>
                <w:webHidden/>
              </w:rPr>
              <w:instrText xml:space="preserve"> PAGEREF _Toc116045312 \h </w:instrText>
            </w:r>
            <w:r>
              <w:rPr>
                <w:noProof/>
                <w:webHidden/>
              </w:rPr>
            </w:r>
            <w:r>
              <w:rPr>
                <w:noProof/>
                <w:webHidden/>
              </w:rPr>
              <w:fldChar w:fldCharType="separate"/>
            </w:r>
            <w:r w:rsidR="00BB0B9A">
              <w:rPr>
                <w:noProof/>
                <w:webHidden/>
              </w:rPr>
              <w:t>12</w:t>
            </w:r>
            <w:r>
              <w:rPr>
                <w:noProof/>
                <w:webHidden/>
              </w:rPr>
              <w:fldChar w:fldCharType="end"/>
            </w:r>
          </w:hyperlink>
        </w:p>
        <w:p w14:paraId="6901A352" w14:textId="1EEFA974" w:rsidR="000B718B" w:rsidRPr="002F0BEA" w:rsidRDefault="00202A5B" w:rsidP="0054278B">
          <w:pPr>
            <w:spacing w:after="240" w:line="276" w:lineRule="auto"/>
            <w:rPr>
              <w:rFonts w:ascii="Verdana" w:hAnsi="Verdana"/>
            </w:rPr>
          </w:pPr>
          <w:r w:rsidRPr="002F0BEA">
            <w:rPr>
              <w:rFonts w:asciiTheme="majorHAnsi" w:hAnsiTheme="majorHAnsi" w:cstheme="majorHAnsi"/>
              <w:b/>
              <w:bCs/>
              <w:noProof/>
              <w:sz w:val="32"/>
              <w:szCs w:val="32"/>
            </w:rPr>
            <w:fldChar w:fldCharType="end"/>
          </w:r>
        </w:p>
      </w:sdtContent>
    </w:sdt>
    <w:p w14:paraId="29EB7F3D" w14:textId="2A5421DC" w:rsidR="00474E4B" w:rsidRPr="002F0BEA" w:rsidRDefault="00474E4B" w:rsidP="0054278B">
      <w:pPr>
        <w:spacing w:after="240" w:line="276" w:lineRule="auto"/>
        <w:rPr>
          <w:rFonts w:ascii="Verdana" w:eastAsiaTheme="majorEastAsia" w:hAnsi="Verdana" w:cstheme="majorBidi"/>
          <w:b/>
          <w:color w:val="77328A"/>
        </w:rPr>
      </w:pPr>
      <w:r w:rsidRPr="002F0BEA">
        <w:rPr>
          <w:rFonts w:ascii="Verdana" w:hAnsi="Verdana"/>
        </w:rPr>
        <w:br w:type="page"/>
      </w:r>
    </w:p>
    <w:bookmarkStart w:id="0" w:name="_Toc116045308"/>
    <w:p w14:paraId="54E26C73" w14:textId="60D7D0D1" w:rsidR="00EA12CE" w:rsidRPr="002F0BEA" w:rsidRDefault="00474E4B" w:rsidP="00C55D96">
      <w:pPr>
        <w:pStyle w:val="Heading1"/>
        <w:spacing w:after="360" w:line="276" w:lineRule="auto"/>
        <w:rPr>
          <w:rFonts w:asciiTheme="majorHAnsi" w:hAnsiTheme="majorHAnsi" w:cstheme="majorHAnsi"/>
          <w:szCs w:val="40"/>
        </w:rPr>
      </w:pPr>
      <w:r w:rsidRPr="002F0BEA">
        <w:rPr>
          <w:rFonts w:asciiTheme="majorHAnsi" w:hAnsiTheme="majorHAnsi" w:cstheme="majorHAnsi"/>
          <w:noProof/>
          <w:szCs w:val="40"/>
          <w:lang w:eastAsia="en-GB"/>
        </w:rPr>
        <w:lastRenderedPageBreak/>
        <mc:AlternateContent>
          <mc:Choice Requires="wps">
            <w:drawing>
              <wp:anchor distT="0" distB="0" distL="114300" distR="114300" simplePos="0" relativeHeight="251659264" behindDoc="0" locked="0" layoutInCell="1" allowOverlap="1" wp14:anchorId="613411CD" wp14:editId="29F17993">
                <wp:simplePos x="0" y="0"/>
                <wp:positionH relativeFrom="column">
                  <wp:posOffset>-148272</wp:posOffset>
                </wp:positionH>
                <wp:positionV relativeFrom="paragraph">
                  <wp:posOffset>-81597</wp:posOffset>
                </wp:positionV>
                <wp:extent cx="6524625" cy="8877300"/>
                <wp:effectExtent l="57150" t="19050" r="85725" b="95250"/>
                <wp:wrapNone/>
                <wp:docPr id="1" name="Rectangle 1"/>
                <wp:cNvGraphicFramePr/>
                <a:graphic xmlns:a="http://schemas.openxmlformats.org/drawingml/2006/main">
                  <a:graphicData uri="http://schemas.microsoft.com/office/word/2010/wordprocessingShape">
                    <wps:wsp>
                      <wps:cNvSpPr/>
                      <wps:spPr>
                        <a:xfrm>
                          <a:off x="0" y="0"/>
                          <a:ext cx="6524625" cy="8877300"/>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0C22F3D" id="Rectangle 1" o:spid="_x0000_s1026" style="position:absolute;margin-left:-11.65pt;margin-top:-6.4pt;width:513.75pt;height:69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" filled="f" strokecolor="black [3213]">
                <v:shadow on="t" color="black" opacity="22937f" origin=",.5" offset="0,.63889mm"/>
              </v:rect>
            </w:pict>
          </mc:Fallback>
        </mc:AlternateContent>
      </w:r>
      <w:r w:rsidR="00882201" w:rsidRPr="002F0BEA">
        <w:rPr>
          <w:rFonts w:asciiTheme="majorHAnsi" w:hAnsiTheme="majorHAnsi" w:cstheme="majorHAnsi"/>
          <w:szCs w:val="40"/>
        </w:rPr>
        <w:t xml:space="preserve">Summary of </w:t>
      </w:r>
      <w:r w:rsidR="00770E20" w:rsidRPr="002F0BEA">
        <w:rPr>
          <w:rFonts w:asciiTheme="majorHAnsi" w:hAnsiTheme="majorHAnsi" w:cstheme="majorHAnsi"/>
          <w:szCs w:val="40"/>
        </w:rPr>
        <w:t>Recommendations</w:t>
      </w:r>
      <w:bookmarkEnd w:id="0"/>
      <w:r w:rsidR="00E01765" w:rsidRPr="002F0BEA">
        <w:rPr>
          <w:rFonts w:asciiTheme="majorHAnsi" w:hAnsiTheme="majorHAnsi" w:cstheme="majorHAnsi"/>
          <w:szCs w:val="40"/>
        </w:rPr>
        <w:t xml:space="preserve"> </w:t>
      </w:r>
    </w:p>
    <w:p w14:paraId="7C9227BF" w14:textId="200CEE49" w:rsidR="00EB05AA" w:rsidRPr="002F0BEA" w:rsidRDefault="00EB05AA" w:rsidP="00EB05AA">
      <w:pPr>
        <w:spacing w:after="240" w:line="276" w:lineRule="auto"/>
        <w:ind w:left="720" w:hanging="720"/>
        <w:rPr>
          <w:rFonts w:asciiTheme="majorHAnsi" w:hAnsiTheme="majorHAnsi" w:cstheme="majorHAnsi"/>
          <w:b/>
          <w:sz w:val="28"/>
          <w:szCs w:val="28"/>
        </w:rPr>
      </w:pPr>
      <w:r w:rsidRPr="002F0BEA">
        <w:rPr>
          <w:rFonts w:asciiTheme="majorHAnsi" w:hAnsiTheme="majorHAnsi" w:cstheme="majorHAnsi"/>
          <w:b/>
          <w:sz w:val="28"/>
          <w:szCs w:val="28"/>
        </w:rPr>
        <w:t>3.5</w:t>
      </w:r>
      <w:r w:rsidRPr="002F0BEA">
        <w:rPr>
          <w:rFonts w:asciiTheme="majorHAnsi" w:hAnsiTheme="majorHAnsi" w:cstheme="majorHAnsi"/>
          <w:b/>
          <w:sz w:val="28"/>
          <w:szCs w:val="28"/>
        </w:rPr>
        <w:tab/>
        <w:t xml:space="preserve">The Commissions recommend that Clause 20 be amended to ensure that it does not impact on the duty, under Protocol Article 13(2), on domestic courts and tribunals to </w:t>
      </w:r>
      <w:r w:rsidRPr="002F0BEA">
        <w:rPr>
          <w:rFonts w:asciiTheme="majorHAnsi" w:hAnsiTheme="majorHAnsi" w:cstheme="majorHAnsi"/>
          <w:b/>
          <w:bCs/>
          <w:sz w:val="28"/>
          <w:szCs w:val="28"/>
        </w:rPr>
        <w:t>interpret EU law relevant to Protocol Article 2 in conformity with the relevant case law of the CJEU.</w:t>
      </w:r>
      <w:r w:rsidRPr="002F0BEA">
        <w:rPr>
          <w:rFonts w:asciiTheme="majorHAnsi" w:hAnsiTheme="majorHAnsi" w:cstheme="majorHAnsi"/>
          <w:sz w:val="28"/>
          <w:szCs w:val="28"/>
        </w:rPr>
        <w:t xml:space="preserve"> </w:t>
      </w:r>
    </w:p>
    <w:p w14:paraId="2C62EE71" w14:textId="7989D05A" w:rsidR="00770E20" w:rsidRPr="002F0BEA" w:rsidRDefault="00591F3C" w:rsidP="00591F3C">
      <w:pPr>
        <w:spacing w:after="240" w:line="276" w:lineRule="auto"/>
        <w:ind w:left="720" w:hanging="720"/>
        <w:rPr>
          <w:rFonts w:asciiTheme="majorHAnsi" w:hAnsiTheme="majorHAnsi" w:cstheme="majorHAnsi"/>
          <w:sz w:val="28"/>
          <w:szCs w:val="28"/>
        </w:rPr>
      </w:pPr>
      <w:r w:rsidRPr="002F0BEA">
        <w:rPr>
          <w:rFonts w:asciiTheme="majorHAnsi" w:hAnsiTheme="majorHAnsi" w:cstheme="majorHAnsi"/>
          <w:b/>
          <w:bCs/>
          <w:sz w:val="28"/>
          <w:szCs w:val="28"/>
        </w:rPr>
        <w:t>3.8</w:t>
      </w:r>
      <w:r w:rsidRPr="002F0BEA">
        <w:rPr>
          <w:rFonts w:asciiTheme="majorHAnsi" w:hAnsiTheme="majorHAnsi" w:cstheme="majorHAnsi"/>
          <w:b/>
          <w:bCs/>
          <w:sz w:val="28"/>
          <w:szCs w:val="28"/>
        </w:rPr>
        <w:tab/>
        <w:t>The Commissions recommend that Clause 13 be amended to make clear that subsection 1 does not restrict the role of the CJEU where it is asked to give a ruling under Article 174 of the Withdrawal Agreement (Disputes raising questions of Union law), relating to the interpretation of EU law relevant to Protocol Article 2.</w:t>
      </w:r>
    </w:p>
    <w:p w14:paraId="7BA38486" w14:textId="121D7F07" w:rsidR="00C37FDE" w:rsidRPr="002F0BEA" w:rsidRDefault="00591F3C" w:rsidP="00C37FDE">
      <w:pPr>
        <w:spacing w:after="240" w:line="276" w:lineRule="auto"/>
        <w:ind w:left="720" w:hanging="720"/>
        <w:rPr>
          <w:rFonts w:asciiTheme="majorHAnsi" w:hAnsiTheme="majorHAnsi" w:cstheme="majorHAnsi"/>
          <w:b/>
          <w:bCs/>
          <w:sz w:val="28"/>
          <w:szCs w:val="28"/>
        </w:rPr>
      </w:pPr>
      <w:r w:rsidRPr="002F0BEA">
        <w:rPr>
          <w:rFonts w:asciiTheme="majorHAnsi" w:hAnsiTheme="majorHAnsi" w:cstheme="majorHAnsi"/>
          <w:b/>
          <w:bCs/>
          <w:sz w:val="28"/>
          <w:szCs w:val="28"/>
        </w:rPr>
        <w:t>3.14</w:t>
      </w:r>
      <w:r w:rsidRPr="002F0BEA">
        <w:rPr>
          <w:rFonts w:asciiTheme="majorHAnsi" w:hAnsiTheme="majorHAnsi" w:cstheme="majorHAnsi"/>
          <w:b/>
          <w:bCs/>
          <w:sz w:val="28"/>
          <w:szCs w:val="28"/>
        </w:rPr>
        <w:tab/>
        <w:t>The Commissions recommend that Clause 15(3) be amended to supplement the restriction preventing Ministers from designating Protocol Article 2 as excluded provision, to ensure that Ministers are also prevented from designating as excluded provision</w:t>
      </w:r>
      <w:r w:rsidR="000559B1" w:rsidRPr="002F0BEA">
        <w:rPr>
          <w:rFonts w:asciiTheme="majorHAnsi" w:hAnsiTheme="majorHAnsi" w:cstheme="majorHAnsi"/>
          <w:b/>
          <w:bCs/>
          <w:sz w:val="28"/>
          <w:szCs w:val="28"/>
        </w:rPr>
        <w:t>,</w:t>
      </w:r>
      <w:r w:rsidRPr="002F0BEA">
        <w:rPr>
          <w:rFonts w:asciiTheme="majorHAnsi" w:hAnsiTheme="majorHAnsi" w:cstheme="majorHAnsi"/>
          <w:b/>
          <w:bCs/>
          <w:sz w:val="28"/>
          <w:szCs w:val="28"/>
        </w:rPr>
        <w:t xml:space="preserve"> </w:t>
      </w:r>
      <w:r w:rsidRPr="00B06E63">
        <w:rPr>
          <w:rFonts w:asciiTheme="majorHAnsi" w:hAnsiTheme="majorHAnsi" w:cstheme="majorHAnsi"/>
          <w:b/>
          <w:bCs/>
          <w:sz w:val="28"/>
          <w:szCs w:val="28"/>
        </w:rPr>
        <w:t>any</w:t>
      </w:r>
      <w:r w:rsidRPr="002F0BEA">
        <w:rPr>
          <w:rFonts w:asciiTheme="majorHAnsi" w:hAnsiTheme="majorHAnsi" w:cstheme="majorHAnsi"/>
          <w:b/>
          <w:bCs/>
          <w:sz w:val="28"/>
          <w:szCs w:val="28"/>
        </w:rPr>
        <w:t xml:space="preserve"> provision of the Withdrawal Agreement or Protocol insofar as it affects the interpretation, implementation and/or enforcement of Protocol Article 2</w:t>
      </w:r>
    </w:p>
    <w:p w14:paraId="5CDEC385" w14:textId="442DBAEF" w:rsidR="00591F3C" w:rsidRPr="002F0BEA" w:rsidRDefault="00591F3C" w:rsidP="00C37FDE">
      <w:pPr>
        <w:spacing w:after="240" w:line="276" w:lineRule="auto"/>
        <w:ind w:left="720" w:hanging="720"/>
        <w:rPr>
          <w:rFonts w:asciiTheme="majorHAnsi" w:hAnsiTheme="majorHAnsi" w:cstheme="majorHAnsi"/>
          <w:b/>
          <w:bCs/>
          <w:sz w:val="28"/>
          <w:szCs w:val="28"/>
        </w:rPr>
      </w:pPr>
      <w:r w:rsidRPr="002F0BEA">
        <w:rPr>
          <w:rFonts w:asciiTheme="majorHAnsi" w:hAnsiTheme="majorHAnsi" w:cstheme="majorHAnsi"/>
          <w:b/>
          <w:bCs/>
          <w:sz w:val="28"/>
          <w:szCs w:val="28"/>
        </w:rPr>
        <w:t>3.19</w:t>
      </w:r>
      <w:r w:rsidRPr="002F0BEA">
        <w:rPr>
          <w:rFonts w:asciiTheme="majorHAnsi" w:hAnsiTheme="majorHAnsi" w:cstheme="majorHAnsi"/>
          <w:b/>
          <w:bCs/>
          <w:sz w:val="28"/>
          <w:szCs w:val="28"/>
        </w:rPr>
        <w:tab/>
        <w:t xml:space="preserve">The Commissions recommend that the Bill be amended to make clear that a Minister’s powers under Clause 14(4), or any other Clause of the Bill, do not extend to taking any action that weakens the interpretation, </w:t>
      </w:r>
      <w:proofErr w:type="gramStart"/>
      <w:r w:rsidRPr="002F0BEA">
        <w:rPr>
          <w:rFonts w:asciiTheme="majorHAnsi" w:hAnsiTheme="majorHAnsi" w:cstheme="majorHAnsi"/>
          <w:b/>
          <w:bCs/>
          <w:sz w:val="28"/>
          <w:szCs w:val="28"/>
        </w:rPr>
        <w:t>implementation</w:t>
      </w:r>
      <w:proofErr w:type="gramEnd"/>
      <w:r w:rsidRPr="002F0BEA">
        <w:rPr>
          <w:rFonts w:asciiTheme="majorHAnsi" w:hAnsiTheme="majorHAnsi" w:cstheme="majorHAnsi"/>
          <w:b/>
          <w:bCs/>
          <w:sz w:val="28"/>
          <w:szCs w:val="28"/>
        </w:rPr>
        <w:t xml:space="preserve"> or enforcement of Protocol Article 2, either by excluding provisions of the Protocol or Withdrawal Agreement insofar as they relate to Protocol Article 2, or by any other exercise of delegated powers under the Bill. </w:t>
      </w:r>
    </w:p>
    <w:p w14:paraId="2489FD6C" w14:textId="0A0F7289" w:rsidR="00C37FDE" w:rsidRPr="002F0BEA" w:rsidRDefault="00C37FDE" w:rsidP="00C37FDE">
      <w:pPr>
        <w:spacing w:after="240" w:line="276" w:lineRule="auto"/>
        <w:ind w:left="720" w:hanging="720"/>
        <w:rPr>
          <w:rFonts w:asciiTheme="majorHAnsi" w:hAnsiTheme="majorHAnsi" w:cstheme="majorHAnsi"/>
          <w:sz w:val="28"/>
          <w:szCs w:val="28"/>
        </w:rPr>
      </w:pPr>
      <w:r w:rsidRPr="002F0BEA">
        <w:rPr>
          <w:rFonts w:asciiTheme="majorHAnsi" w:hAnsiTheme="majorHAnsi" w:cstheme="majorHAnsi"/>
          <w:b/>
          <w:sz w:val="28"/>
          <w:szCs w:val="28"/>
        </w:rPr>
        <w:t>4.2</w:t>
      </w:r>
      <w:r w:rsidRPr="002F0BEA">
        <w:rPr>
          <w:rFonts w:asciiTheme="majorHAnsi" w:hAnsiTheme="majorHAnsi" w:cstheme="majorHAnsi"/>
          <w:b/>
          <w:sz w:val="28"/>
          <w:szCs w:val="28"/>
        </w:rPr>
        <w:tab/>
        <w:t xml:space="preserve">The Commissions recommend that compliance with Protocol Article 2 be considered from the earliest stages in the development of policy and legislation. </w:t>
      </w:r>
    </w:p>
    <w:p w14:paraId="5CCBCC15" w14:textId="30861A8B" w:rsidR="00C37FDE" w:rsidRPr="002F0BEA" w:rsidRDefault="00C37FDE" w:rsidP="00C37FDE">
      <w:pPr>
        <w:spacing w:after="240" w:line="276" w:lineRule="auto"/>
        <w:ind w:left="720" w:hanging="720"/>
        <w:rPr>
          <w:rFonts w:asciiTheme="majorHAnsi" w:hAnsiTheme="majorHAnsi" w:cstheme="majorHAnsi"/>
          <w:sz w:val="28"/>
          <w:szCs w:val="28"/>
        </w:rPr>
      </w:pPr>
      <w:r w:rsidRPr="002F0BEA">
        <w:rPr>
          <w:rFonts w:asciiTheme="majorHAnsi" w:hAnsiTheme="majorHAnsi" w:cstheme="majorHAnsi"/>
          <w:b/>
          <w:bCs/>
          <w:sz w:val="28"/>
          <w:szCs w:val="28"/>
        </w:rPr>
        <w:t>4.3</w:t>
      </w:r>
      <w:r w:rsidRPr="002F0BEA">
        <w:rPr>
          <w:rFonts w:asciiTheme="majorHAnsi" w:hAnsiTheme="majorHAnsi" w:cstheme="majorHAnsi"/>
          <w:b/>
          <w:bCs/>
          <w:sz w:val="28"/>
          <w:szCs w:val="28"/>
        </w:rPr>
        <w:tab/>
        <w:t>The Commissions recommend that the UK Government and NI Executive ensure that Explanatory Memoranda on draft UK and NI legislative proposals that are likely to engage Protocol Article 2 set out what consideration has been given to ensuring conformity with Protocol Article 2.</w:t>
      </w:r>
    </w:p>
    <w:p w14:paraId="4357CDCE" w14:textId="584BF2DF" w:rsidR="00591F3C" w:rsidRPr="002F0BEA" w:rsidRDefault="00591F3C" w:rsidP="00C37FDE">
      <w:pPr>
        <w:spacing w:after="240" w:line="276" w:lineRule="auto"/>
        <w:ind w:left="720" w:hanging="720"/>
        <w:rPr>
          <w:rFonts w:asciiTheme="majorHAnsi" w:hAnsiTheme="majorHAnsi" w:cstheme="majorHAnsi"/>
          <w:b/>
          <w:bCs/>
          <w:sz w:val="28"/>
          <w:szCs w:val="28"/>
        </w:rPr>
      </w:pPr>
      <w:r w:rsidRPr="002F0BEA">
        <w:rPr>
          <w:rFonts w:asciiTheme="majorHAnsi" w:hAnsiTheme="majorHAnsi" w:cstheme="majorHAnsi"/>
          <w:b/>
          <w:bCs/>
          <w:noProof/>
          <w:sz w:val="28"/>
          <w:szCs w:val="28"/>
        </w:rPr>
        <w:lastRenderedPageBreak/>
        <mc:AlternateContent>
          <mc:Choice Requires="wps">
            <w:drawing>
              <wp:anchor distT="45720" distB="45720" distL="114300" distR="114300" simplePos="0" relativeHeight="251663360" behindDoc="0" locked="0" layoutInCell="1" allowOverlap="1" wp14:anchorId="74B149F9" wp14:editId="490400ED">
                <wp:simplePos x="0" y="0"/>
                <wp:positionH relativeFrom="margin">
                  <wp:align>right</wp:align>
                </wp:positionH>
                <wp:positionV relativeFrom="paragraph">
                  <wp:posOffset>6985</wp:posOffset>
                </wp:positionV>
                <wp:extent cx="6231890" cy="1418590"/>
                <wp:effectExtent l="0" t="0" r="16510" b="101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1890" cy="1419149"/>
                        </a:xfrm>
                        <a:prstGeom prst="rect">
                          <a:avLst/>
                        </a:prstGeom>
                        <a:solidFill>
                          <a:srgbClr val="FFFFFF"/>
                        </a:solidFill>
                        <a:ln w="9525">
                          <a:solidFill>
                            <a:srgbClr val="000000"/>
                          </a:solidFill>
                          <a:miter lim="800000"/>
                          <a:headEnd/>
                          <a:tailEnd/>
                        </a:ln>
                      </wps:spPr>
                      <wps:txbx>
                        <w:txbxContent>
                          <w:p w14:paraId="284A5E65" w14:textId="4459E220" w:rsidR="00591F3C" w:rsidRPr="00C37FDE" w:rsidRDefault="00591F3C" w:rsidP="00591F3C">
                            <w:pPr>
                              <w:spacing w:after="240" w:line="276" w:lineRule="auto"/>
                              <w:ind w:left="720" w:hanging="720"/>
                              <w:rPr>
                                <w:rFonts w:asciiTheme="majorHAnsi" w:hAnsiTheme="majorHAnsi" w:cstheme="majorHAnsi"/>
                                <w:sz w:val="28"/>
                                <w:szCs w:val="28"/>
                              </w:rPr>
                            </w:pPr>
                            <w:r>
                              <w:rPr>
                                <w:rFonts w:asciiTheme="majorHAnsi" w:hAnsiTheme="majorHAnsi" w:cstheme="majorHAnsi"/>
                                <w:b/>
                                <w:bCs/>
                                <w:sz w:val="28"/>
                                <w:szCs w:val="28"/>
                              </w:rPr>
                              <w:t>4.4</w:t>
                            </w:r>
                            <w:r>
                              <w:rPr>
                                <w:rFonts w:asciiTheme="majorHAnsi" w:hAnsiTheme="majorHAnsi" w:cstheme="majorHAnsi"/>
                                <w:b/>
                                <w:bCs/>
                                <w:sz w:val="28"/>
                                <w:szCs w:val="28"/>
                              </w:rPr>
                              <w:tab/>
                            </w:r>
                            <w:r w:rsidRPr="00A16F26">
                              <w:rPr>
                                <w:rFonts w:asciiTheme="majorHAnsi" w:hAnsiTheme="majorHAnsi" w:cstheme="majorHAnsi"/>
                                <w:b/>
                                <w:bCs/>
                                <w:sz w:val="28"/>
                                <w:szCs w:val="28"/>
                              </w:rPr>
                              <w:t xml:space="preserve">The Commissions recommend that peers </w:t>
                            </w:r>
                            <w:r w:rsidR="003D2913" w:rsidRPr="00A16F26">
                              <w:rPr>
                                <w:rFonts w:asciiTheme="majorHAnsi" w:hAnsiTheme="majorHAnsi" w:cstheme="majorHAnsi"/>
                                <w:b/>
                                <w:bCs/>
                                <w:sz w:val="28"/>
                                <w:szCs w:val="28"/>
                              </w:rPr>
                              <w:t>ask the UK Government to set out, in detail,</w:t>
                            </w:r>
                            <w:r w:rsidR="00175278" w:rsidRPr="00A16F26">
                              <w:rPr>
                                <w:rFonts w:asciiTheme="majorHAnsi" w:hAnsiTheme="majorHAnsi" w:cstheme="majorHAnsi"/>
                                <w:b/>
                                <w:bCs/>
                                <w:sz w:val="28"/>
                                <w:szCs w:val="28"/>
                              </w:rPr>
                              <w:t xml:space="preserve"> </w:t>
                            </w:r>
                            <w:r w:rsidRPr="00A16F26">
                              <w:rPr>
                                <w:rFonts w:asciiTheme="majorHAnsi" w:hAnsiTheme="majorHAnsi" w:cstheme="majorHAnsi"/>
                                <w:b/>
                                <w:bCs/>
                                <w:sz w:val="28"/>
                                <w:szCs w:val="28"/>
                              </w:rPr>
                              <w:t xml:space="preserve">what consideration was given to </w:t>
                            </w:r>
                            <w:r w:rsidR="00175278" w:rsidRPr="00A16F26">
                              <w:rPr>
                                <w:rFonts w:asciiTheme="majorHAnsi" w:hAnsiTheme="majorHAnsi" w:cstheme="majorHAnsi"/>
                                <w:b/>
                                <w:bCs/>
                                <w:sz w:val="28"/>
                                <w:szCs w:val="28"/>
                              </w:rPr>
                              <w:t xml:space="preserve">compliance with </w:t>
                            </w:r>
                            <w:r w:rsidRPr="00A16F26">
                              <w:rPr>
                                <w:rFonts w:asciiTheme="majorHAnsi" w:hAnsiTheme="majorHAnsi" w:cstheme="majorHAnsi"/>
                                <w:b/>
                                <w:bCs/>
                                <w:sz w:val="28"/>
                                <w:szCs w:val="28"/>
                              </w:rPr>
                              <w:t xml:space="preserve">Protocol Article 2 in the </w:t>
                            </w:r>
                            <w:r w:rsidR="00175278" w:rsidRPr="00A16F26">
                              <w:rPr>
                                <w:rFonts w:asciiTheme="majorHAnsi" w:hAnsiTheme="majorHAnsi" w:cstheme="majorHAnsi"/>
                                <w:b/>
                                <w:bCs/>
                                <w:sz w:val="28"/>
                                <w:szCs w:val="28"/>
                              </w:rPr>
                              <w:t xml:space="preserve">context </w:t>
                            </w:r>
                            <w:r w:rsidRPr="00A16F26">
                              <w:rPr>
                                <w:rFonts w:asciiTheme="majorHAnsi" w:hAnsiTheme="majorHAnsi" w:cstheme="majorHAnsi"/>
                                <w:b/>
                                <w:bCs/>
                                <w:sz w:val="28"/>
                                <w:szCs w:val="28"/>
                              </w:rPr>
                              <w:t>of the Protocol Bill</w:t>
                            </w:r>
                            <w:r w:rsidR="00046575" w:rsidRPr="00A16F26">
                              <w:rPr>
                                <w:rFonts w:asciiTheme="majorHAnsi" w:hAnsiTheme="majorHAnsi" w:cstheme="majorHAnsi"/>
                                <w:b/>
                                <w:bCs/>
                                <w:sz w:val="28"/>
                                <w:szCs w:val="28"/>
                              </w:rPr>
                              <w:t>;</w:t>
                            </w:r>
                            <w:r w:rsidRPr="00A16F26">
                              <w:rPr>
                                <w:rFonts w:asciiTheme="majorHAnsi" w:hAnsiTheme="majorHAnsi" w:cstheme="majorHAnsi"/>
                                <w:b/>
                                <w:bCs/>
                                <w:sz w:val="28"/>
                                <w:szCs w:val="28"/>
                              </w:rPr>
                              <w:t xml:space="preserve"> and recommend that Article 2 should be considered and complied with throughout its implementation and the development of regulations and guidance.</w:t>
                            </w:r>
                            <w:r w:rsidRPr="00C37FDE">
                              <w:rPr>
                                <w:rFonts w:asciiTheme="majorHAnsi" w:hAnsiTheme="majorHAnsi" w:cstheme="majorHAnsi"/>
                                <w:b/>
                                <w:bCs/>
                                <w:sz w:val="28"/>
                                <w:szCs w:val="28"/>
                              </w:rPr>
                              <w:t xml:space="preserve"> </w:t>
                            </w:r>
                          </w:p>
                          <w:p w14:paraId="1268F950" w14:textId="25BABEDB" w:rsidR="00591F3C" w:rsidRDefault="00591F3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B149F9" id="_x0000_t202" coordsize="21600,21600" o:spt="202" path="m,l,21600r21600,l21600,xe">
                <v:stroke joinstyle="miter"/>
                <v:path gradientshapeok="t" o:connecttype="rect"/>
              </v:shapetype>
              <v:shape id="Text Box 2" o:spid="_x0000_s1026" type="#_x0000_t202" style="position:absolute;left:0;text-align:left;margin-left:439.5pt;margin-top:.55pt;width:490.7pt;height:111.7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">
                <v:textbox>
                  <w:txbxContent>
                    <w:p w14:paraId="284A5E65" w14:textId="4459E220" w:rsidR="00591F3C" w:rsidRPr="00C37FDE" w:rsidRDefault="00591F3C" w:rsidP="00591F3C">
                      <w:pPr>
                        <w:spacing w:after="240" w:line="276" w:lineRule="auto"/>
                        <w:ind w:left="720" w:hanging="720"/>
                        <w:rPr>
                          <w:rFonts w:asciiTheme="majorHAnsi" w:hAnsiTheme="majorHAnsi" w:cstheme="majorHAnsi"/>
                          <w:sz w:val="28"/>
                          <w:szCs w:val="28"/>
                        </w:rPr>
                      </w:pPr>
                      <w:r>
                        <w:rPr>
                          <w:rFonts w:asciiTheme="majorHAnsi" w:hAnsiTheme="majorHAnsi" w:cstheme="majorHAnsi"/>
                          <w:b/>
                          <w:bCs/>
                          <w:sz w:val="28"/>
                          <w:szCs w:val="28"/>
                        </w:rPr>
                        <w:t>4.4</w:t>
                      </w:r>
                      <w:r>
                        <w:rPr>
                          <w:rFonts w:asciiTheme="majorHAnsi" w:hAnsiTheme="majorHAnsi" w:cstheme="majorHAnsi"/>
                          <w:b/>
                          <w:bCs/>
                          <w:sz w:val="28"/>
                          <w:szCs w:val="28"/>
                        </w:rPr>
                        <w:tab/>
                      </w:r>
                      <w:r w:rsidRPr="00A16F26">
                        <w:rPr>
                          <w:rFonts w:asciiTheme="majorHAnsi" w:hAnsiTheme="majorHAnsi" w:cstheme="majorHAnsi"/>
                          <w:b/>
                          <w:bCs/>
                          <w:sz w:val="28"/>
                          <w:szCs w:val="28"/>
                        </w:rPr>
                        <w:t xml:space="preserve">The Commissions recommend that peers </w:t>
                      </w:r>
                      <w:r w:rsidR="003D2913" w:rsidRPr="00A16F26">
                        <w:rPr>
                          <w:rFonts w:asciiTheme="majorHAnsi" w:hAnsiTheme="majorHAnsi" w:cstheme="majorHAnsi"/>
                          <w:b/>
                          <w:bCs/>
                          <w:sz w:val="28"/>
                          <w:szCs w:val="28"/>
                        </w:rPr>
                        <w:t>ask the UK Government to set out, in detail,</w:t>
                      </w:r>
                      <w:r w:rsidR="00175278" w:rsidRPr="00A16F26">
                        <w:rPr>
                          <w:rFonts w:asciiTheme="majorHAnsi" w:hAnsiTheme="majorHAnsi" w:cstheme="majorHAnsi"/>
                          <w:b/>
                          <w:bCs/>
                          <w:sz w:val="28"/>
                          <w:szCs w:val="28"/>
                        </w:rPr>
                        <w:t xml:space="preserve"> </w:t>
                      </w:r>
                      <w:r w:rsidRPr="00A16F26">
                        <w:rPr>
                          <w:rFonts w:asciiTheme="majorHAnsi" w:hAnsiTheme="majorHAnsi" w:cstheme="majorHAnsi"/>
                          <w:b/>
                          <w:bCs/>
                          <w:sz w:val="28"/>
                          <w:szCs w:val="28"/>
                        </w:rPr>
                        <w:t xml:space="preserve">what consideration was given to </w:t>
                      </w:r>
                      <w:r w:rsidR="00175278" w:rsidRPr="00A16F26">
                        <w:rPr>
                          <w:rFonts w:asciiTheme="majorHAnsi" w:hAnsiTheme="majorHAnsi" w:cstheme="majorHAnsi"/>
                          <w:b/>
                          <w:bCs/>
                          <w:sz w:val="28"/>
                          <w:szCs w:val="28"/>
                        </w:rPr>
                        <w:t xml:space="preserve">compliance with </w:t>
                      </w:r>
                      <w:r w:rsidRPr="00A16F26">
                        <w:rPr>
                          <w:rFonts w:asciiTheme="majorHAnsi" w:hAnsiTheme="majorHAnsi" w:cstheme="majorHAnsi"/>
                          <w:b/>
                          <w:bCs/>
                          <w:sz w:val="28"/>
                          <w:szCs w:val="28"/>
                        </w:rPr>
                        <w:t xml:space="preserve">Protocol Article 2 in the </w:t>
                      </w:r>
                      <w:r w:rsidR="00175278" w:rsidRPr="00A16F26">
                        <w:rPr>
                          <w:rFonts w:asciiTheme="majorHAnsi" w:hAnsiTheme="majorHAnsi" w:cstheme="majorHAnsi"/>
                          <w:b/>
                          <w:bCs/>
                          <w:sz w:val="28"/>
                          <w:szCs w:val="28"/>
                        </w:rPr>
                        <w:t xml:space="preserve">context </w:t>
                      </w:r>
                      <w:r w:rsidRPr="00A16F26">
                        <w:rPr>
                          <w:rFonts w:asciiTheme="majorHAnsi" w:hAnsiTheme="majorHAnsi" w:cstheme="majorHAnsi"/>
                          <w:b/>
                          <w:bCs/>
                          <w:sz w:val="28"/>
                          <w:szCs w:val="28"/>
                        </w:rPr>
                        <w:t>of the Protocol Bill</w:t>
                      </w:r>
                      <w:r w:rsidR="00046575" w:rsidRPr="00A16F26">
                        <w:rPr>
                          <w:rFonts w:asciiTheme="majorHAnsi" w:hAnsiTheme="majorHAnsi" w:cstheme="majorHAnsi"/>
                          <w:b/>
                          <w:bCs/>
                          <w:sz w:val="28"/>
                          <w:szCs w:val="28"/>
                        </w:rPr>
                        <w:t>;</w:t>
                      </w:r>
                      <w:r w:rsidRPr="00A16F26">
                        <w:rPr>
                          <w:rFonts w:asciiTheme="majorHAnsi" w:hAnsiTheme="majorHAnsi" w:cstheme="majorHAnsi"/>
                          <w:b/>
                          <w:bCs/>
                          <w:sz w:val="28"/>
                          <w:szCs w:val="28"/>
                        </w:rPr>
                        <w:t xml:space="preserve"> and recommend that Article 2 should be considered and complied with throughout its implementation and the development of regulations and guidance.</w:t>
                      </w:r>
                      <w:r w:rsidRPr="00C37FDE">
                        <w:rPr>
                          <w:rFonts w:asciiTheme="majorHAnsi" w:hAnsiTheme="majorHAnsi" w:cstheme="majorHAnsi"/>
                          <w:b/>
                          <w:bCs/>
                          <w:sz w:val="28"/>
                          <w:szCs w:val="28"/>
                        </w:rPr>
                        <w:t xml:space="preserve"> </w:t>
                      </w:r>
                    </w:p>
                    <w:p w14:paraId="1268F950" w14:textId="25BABEDB" w:rsidR="00591F3C" w:rsidRDefault="00591F3C"/>
                  </w:txbxContent>
                </v:textbox>
                <w10:wrap type="square" anchorx="margin"/>
              </v:shape>
            </w:pict>
          </mc:Fallback>
        </mc:AlternateContent>
      </w:r>
    </w:p>
    <w:p w14:paraId="1A2C07D8" w14:textId="77777777" w:rsidR="00591F3C" w:rsidRPr="002F0BEA" w:rsidRDefault="00591F3C" w:rsidP="00C37FDE">
      <w:pPr>
        <w:spacing w:after="240" w:line="276" w:lineRule="auto"/>
        <w:ind w:left="720" w:hanging="720"/>
        <w:rPr>
          <w:rFonts w:asciiTheme="majorHAnsi" w:hAnsiTheme="majorHAnsi" w:cstheme="majorHAnsi"/>
          <w:b/>
          <w:bCs/>
          <w:sz w:val="28"/>
          <w:szCs w:val="28"/>
        </w:rPr>
      </w:pPr>
    </w:p>
    <w:p w14:paraId="11613625" w14:textId="23804FE4" w:rsidR="00C37FDE" w:rsidRPr="002F0BEA" w:rsidRDefault="00C37FDE" w:rsidP="00C37FDE">
      <w:pPr>
        <w:spacing w:after="240" w:line="276" w:lineRule="auto"/>
        <w:ind w:left="720" w:hanging="720"/>
        <w:rPr>
          <w:rFonts w:asciiTheme="majorHAnsi" w:hAnsiTheme="majorHAnsi" w:cstheme="majorHAnsi"/>
          <w:sz w:val="28"/>
          <w:szCs w:val="28"/>
        </w:rPr>
      </w:pPr>
      <w:r w:rsidRPr="002F0BEA">
        <w:rPr>
          <w:rFonts w:asciiTheme="majorHAnsi" w:hAnsiTheme="majorHAnsi" w:cstheme="majorHAnsi"/>
          <w:b/>
          <w:bCs/>
          <w:sz w:val="28"/>
          <w:szCs w:val="28"/>
        </w:rPr>
        <w:t xml:space="preserve"> </w:t>
      </w:r>
    </w:p>
    <w:p w14:paraId="063B1B11" w14:textId="77777777" w:rsidR="00C37FDE" w:rsidRPr="002F0BEA" w:rsidRDefault="00C37FDE" w:rsidP="00C37FDE">
      <w:pPr>
        <w:spacing w:after="240" w:line="276" w:lineRule="auto"/>
        <w:ind w:left="720" w:hanging="720"/>
        <w:rPr>
          <w:rFonts w:asciiTheme="majorHAnsi" w:hAnsiTheme="majorHAnsi" w:cstheme="majorHAnsi"/>
          <w:sz w:val="28"/>
          <w:szCs w:val="28"/>
        </w:rPr>
      </w:pPr>
    </w:p>
    <w:p w14:paraId="12961556" w14:textId="1A2CC5F3" w:rsidR="00130E38" w:rsidRPr="002F0BEA" w:rsidRDefault="00130E38" w:rsidP="0054278B">
      <w:pPr>
        <w:spacing w:after="240" w:line="276" w:lineRule="auto"/>
        <w:ind w:left="709" w:hanging="709"/>
        <w:rPr>
          <w:rFonts w:asciiTheme="majorHAnsi" w:hAnsiTheme="majorHAnsi" w:cstheme="majorHAnsi"/>
          <w:sz w:val="28"/>
          <w:szCs w:val="28"/>
        </w:rPr>
      </w:pPr>
    </w:p>
    <w:p w14:paraId="7DE3CC2D" w14:textId="13A43C40" w:rsidR="000B718B" w:rsidRPr="002F0BEA" w:rsidRDefault="000B718B" w:rsidP="0054278B">
      <w:pPr>
        <w:spacing w:after="240" w:line="276" w:lineRule="auto"/>
        <w:ind w:left="709" w:hanging="709"/>
        <w:rPr>
          <w:rFonts w:asciiTheme="majorHAnsi" w:hAnsiTheme="majorHAnsi" w:cstheme="majorHAnsi"/>
          <w:sz w:val="28"/>
          <w:szCs w:val="28"/>
        </w:rPr>
      </w:pPr>
    </w:p>
    <w:p w14:paraId="09B2FE71" w14:textId="3A531B1A" w:rsidR="000B718B" w:rsidRPr="002F0BEA" w:rsidRDefault="000B718B" w:rsidP="0054278B">
      <w:pPr>
        <w:spacing w:after="240" w:line="276" w:lineRule="auto"/>
        <w:rPr>
          <w:rFonts w:asciiTheme="majorHAnsi" w:hAnsiTheme="majorHAnsi" w:cstheme="majorHAnsi"/>
          <w:sz w:val="28"/>
          <w:szCs w:val="28"/>
        </w:rPr>
      </w:pPr>
    </w:p>
    <w:p w14:paraId="218A3FCD" w14:textId="2512CD1A" w:rsidR="000B718B" w:rsidRPr="002F0BEA" w:rsidRDefault="000B718B" w:rsidP="0054278B">
      <w:pPr>
        <w:pStyle w:val="Default"/>
        <w:spacing w:after="240" w:line="276" w:lineRule="auto"/>
        <w:rPr>
          <w:rFonts w:asciiTheme="majorHAnsi" w:hAnsiTheme="majorHAnsi" w:cstheme="majorHAnsi"/>
          <w:b/>
          <w:color w:val="232120"/>
          <w:sz w:val="28"/>
          <w:szCs w:val="28"/>
        </w:rPr>
      </w:pPr>
    </w:p>
    <w:p w14:paraId="32369807" w14:textId="77777777" w:rsidR="00605CB8" w:rsidRPr="002F0BEA" w:rsidRDefault="00605CB8" w:rsidP="0054278B">
      <w:pPr>
        <w:spacing w:after="240" w:line="276" w:lineRule="auto"/>
        <w:rPr>
          <w:rFonts w:asciiTheme="majorHAnsi" w:eastAsiaTheme="majorEastAsia" w:hAnsiTheme="majorHAnsi" w:cstheme="majorHAnsi"/>
          <w:b/>
          <w:color w:val="77328A"/>
          <w:sz w:val="28"/>
          <w:szCs w:val="28"/>
        </w:rPr>
      </w:pPr>
      <w:r w:rsidRPr="002F0BEA">
        <w:rPr>
          <w:rFonts w:asciiTheme="majorHAnsi" w:hAnsiTheme="majorHAnsi" w:cstheme="majorHAnsi"/>
          <w:sz w:val="28"/>
          <w:szCs w:val="28"/>
        </w:rPr>
        <w:br w:type="page"/>
      </w:r>
    </w:p>
    <w:p w14:paraId="6D5C1818" w14:textId="16A0CF1F" w:rsidR="00202A5B" w:rsidRPr="002F0BEA" w:rsidRDefault="00ED40E9" w:rsidP="0054278B">
      <w:pPr>
        <w:pStyle w:val="Heading1"/>
        <w:numPr>
          <w:ilvl w:val="0"/>
          <w:numId w:val="9"/>
        </w:numPr>
        <w:spacing w:after="240" w:line="276" w:lineRule="auto"/>
        <w:rPr>
          <w:rFonts w:asciiTheme="majorHAnsi" w:hAnsiTheme="majorHAnsi" w:cstheme="majorHAnsi"/>
          <w:szCs w:val="40"/>
        </w:rPr>
      </w:pPr>
      <w:bookmarkStart w:id="1" w:name="_Toc116045309"/>
      <w:r w:rsidRPr="002F0BEA">
        <w:rPr>
          <w:rFonts w:asciiTheme="majorHAnsi" w:hAnsiTheme="majorHAnsi" w:cstheme="majorHAnsi"/>
          <w:szCs w:val="40"/>
        </w:rPr>
        <w:lastRenderedPageBreak/>
        <w:t>Introduction</w:t>
      </w:r>
      <w:bookmarkEnd w:id="1"/>
    </w:p>
    <w:p w14:paraId="4A7C9C7E" w14:textId="7FE959F7" w:rsidR="000C2599" w:rsidRPr="002F0BEA" w:rsidRDefault="00202A5B" w:rsidP="0054278B">
      <w:pPr>
        <w:pStyle w:val="BasicParagraph"/>
        <w:numPr>
          <w:ilvl w:val="1"/>
          <w:numId w:val="9"/>
        </w:numPr>
        <w:suppressAutoHyphens/>
        <w:spacing w:after="240" w:line="276" w:lineRule="auto"/>
        <w:ind w:left="709"/>
        <w:rPr>
          <w:rFonts w:asciiTheme="majorHAnsi" w:hAnsiTheme="majorHAnsi" w:cstheme="majorHAnsi"/>
          <w:sz w:val="28"/>
          <w:szCs w:val="28"/>
        </w:rPr>
      </w:pPr>
      <w:r w:rsidRPr="002F0BEA">
        <w:rPr>
          <w:rFonts w:asciiTheme="majorHAnsi" w:hAnsiTheme="majorHAnsi" w:cstheme="majorHAnsi"/>
          <w:sz w:val="28"/>
          <w:szCs w:val="28"/>
        </w:rPr>
        <w:t>The Northern Ireland Human Rights Commission (</w:t>
      </w:r>
      <w:r w:rsidR="00D270F2" w:rsidRPr="002F0BEA">
        <w:rPr>
          <w:rFonts w:asciiTheme="majorHAnsi" w:hAnsiTheme="majorHAnsi" w:cstheme="majorHAnsi"/>
          <w:sz w:val="28"/>
          <w:szCs w:val="28"/>
        </w:rPr>
        <w:t>NIHRC</w:t>
      </w:r>
      <w:r w:rsidRPr="002F0BEA">
        <w:rPr>
          <w:rFonts w:asciiTheme="majorHAnsi" w:hAnsiTheme="majorHAnsi" w:cstheme="majorHAnsi"/>
          <w:sz w:val="28"/>
          <w:szCs w:val="28"/>
        </w:rPr>
        <w:t xml:space="preserve">) pursuant to Section 69(1) of the Northern Ireland Act 1998, reviews the adequacy and effectiveness of law and practice relating to the protection of human rights in Northern Ireland (NI). </w:t>
      </w:r>
    </w:p>
    <w:p w14:paraId="77186977" w14:textId="77777777" w:rsidR="00DF3651" w:rsidRPr="002F0BEA" w:rsidRDefault="00DF3651" w:rsidP="00DF3651">
      <w:pPr>
        <w:pStyle w:val="ListParagraph"/>
        <w:numPr>
          <w:ilvl w:val="1"/>
          <w:numId w:val="9"/>
        </w:numPr>
        <w:spacing w:after="240" w:line="276" w:lineRule="auto"/>
        <w:ind w:left="709" w:hanging="709"/>
        <w:contextualSpacing w:val="0"/>
        <w:rPr>
          <w:rFonts w:asciiTheme="majorHAnsi" w:hAnsiTheme="majorHAnsi" w:cstheme="majorHAnsi"/>
          <w:color w:val="000000"/>
          <w:sz w:val="28"/>
          <w:szCs w:val="28"/>
        </w:rPr>
      </w:pPr>
      <w:r w:rsidRPr="002F0BEA">
        <w:rPr>
          <w:rFonts w:asciiTheme="majorHAnsi" w:hAnsiTheme="majorHAnsi" w:cstheme="majorHAnsi"/>
          <w:color w:val="000000"/>
          <w:sz w:val="28"/>
          <w:szCs w:val="28"/>
        </w:rPr>
        <w:t xml:space="preserve">The Equality Commission for Northern Ireland (ECNI) is an independent public body established under the Northern Ireland Act 1998. Its powers and duties derive from </w:t>
      </w:r>
      <w:proofErr w:type="gramStart"/>
      <w:r w:rsidRPr="002F0BEA">
        <w:rPr>
          <w:rFonts w:asciiTheme="majorHAnsi" w:hAnsiTheme="majorHAnsi" w:cstheme="majorHAnsi"/>
          <w:color w:val="000000"/>
          <w:sz w:val="28"/>
          <w:szCs w:val="28"/>
        </w:rPr>
        <w:t>a number of</w:t>
      </w:r>
      <w:proofErr w:type="gramEnd"/>
      <w:r w:rsidRPr="002F0BEA">
        <w:rPr>
          <w:rFonts w:asciiTheme="majorHAnsi" w:hAnsiTheme="majorHAnsi" w:cstheme="majorHAnsi"/>
          <w:color w:val="000000"/>
          <w:sz w:val="28"/>
          <w:szCs w:val="28"/>
        </w:rPr>
        <w:t xml:space="preserve"> equality statutes providing protection against discrimination on the grounds of age, disability, race, religion and political opinion, sex and sexual orientation. Its remit also includes overseeing the statutory duties on public authorities on the promotion of equality of opportunity and good relations under Section 75 of the Northern Ireland Act 1998. </w:t>
      </w:r>
    </w:p>
    <w:p w14:paraId="5BB7B270" w14:textId="02B7F3BE" w:rsidR="007F0A5A" w:rsidRPr="002F0BEA" w:rsidRDefault="00D270F2" w:rsidP="00EE2DAA">
      <w:pPr>
        <w:pStyle w:val="BasicParagraph"/>
        <w:numPr>
          <w:ilvl w:val="1"/>
          <w:numId w:val="9"/>
        </w:numPr>
        <w:suppressAutoHyphens/>
        <w:spacing w:after="240" w:line="276" w:lineRule="auto"/>
        <w:ind w:left="709"/>
        <w:rPr>
          <w:rFonts w:asciiTheme="majorHAnsi" w:hAnsiTheme="majorHAnsi" w:cstheme="majorHAnsi"/>
          <w:sz w:val="28"/>
          <w:szCs w:val="28"/>
        </w:rPr>
      </w:pPr>
      <w:r w:rsidRPr="002F0BEA">
        <w:rPr>
          <w:rFonts w:asciiTheme="majorHAnsi" w:hAnsiTheme="majorHAnsi" w:cstheme="majorHAnsi"/>
          <w:sz w:val="28"/>
          <w:szCs w:val="28"/>
        </w:rPr>
        <w:t>NIHRC</w:t>
      </w:r>
      <w:r w:rsidR="00A77481" w:rsidRPr="002F0BEA">
        <w:rPr>
          <w:rFonts w:asciiTheme="majorHAnsi" w:hAnsiTheme="majorHAnsi" w:cstheme="majorHAnsi"/>
          <w:sz w:val="28"/>
          <w:szCs w:val="28"/>
        </w:rPr>
        <w:t xml:space="preserve"> and ECNI</w:t>
      </w:r>
      <w:r w:rsidRPr="002F0BEA">
        <w:rPr>
          <w:rFonts w:asciiTheme="majorHAnsi" w:hAnsiTheme="majorHAnsi" w:cstheme="majorHAnsi"/>
          <w:sz w:val="28"/>
          <w:szCs w:val="28"/>
        </w:rPr>
        <w:t xml:space="preserve">, </w:t>
      </w:r>
      <w:r w:rsidR="00202A5B" w:rsidRPr="002F0BEA">
        <w:rPr>
          <w:rFonts w:asciiTheme="majorHAnsi" w:hAnsiTheme="majorHAnsi" w:cstheme="majorHAnsi"/>
          <w:sz w:val="28"/>
          <w:szCs w:val="28"/>
        </w:rPr>
        <w:t>pursuant to section 78</w:t>
      </w:r>
      <w:proofErr w:type="gramStart"/>
      <w:r w:rsidR="00202A5B" w:rsidRPr="002F0BEA">
        <w:rPr>
          <w:rFonts w:asciiTheme="majorHAnsi" w:hAnsiTheme="majorHAnsi" w:cstheme="majorHAnsi"/>
          <w:sz w:val="28"/>
          <w:szCs w:val="28"/>
        </w:rPr>
        <w:t>A(</w:t>
      </w:r>
      <w:proofErr w:type="gramEnd"/>
      <w:r w:rsidR="00202A5B" w:rsidRPr="002F0BEA">
        <w:rPr>
          <w:rFonts w:asciiTheme="majorHAnsi" w:hAnsiTheme="majorHAnsi" w:cstheme="majorHAnsi"/>
          <w:sz w:val="28"/>
          <w:szCs w:val="28"/>
        </w:rPr>
        <w:t xml:space="preserve">1) </w:t>
      </w:r>
      <w:r w:rsidRPr="002F0BEA">
        <w:rPr>
          <w:rFonts w:asciiTheme="majorHAnsi" w:hAnsiTheme="majorHAnsi" w:cstheme="majorHAnsi"/>
          <w:sz w:val="28"/>
          <w:szCs w:val="28"/>
        </w:rPr>
        <w:t>and 7</w:t>
      </w:r>
      <w:r w:rsidR="004A4125" w:rsidRPr="002F0BEA">
        <w:rPr>
          <w:rFonts w:asciiTheme="majorHAnsi" w:hAnsiTheme="majorHAnsi" w:cstheme="majorHAnsi"/>
          <w:sz w:val="28"/>
          <w:szCs w:val="28"/>
        </w:rPr>
        <w:t>8</w:t>
      </w:r>
      <w:r w:rsidRPr="002F0BEA">
        <w:rPr>
          <w:rFonts w:asciiTheme="majorHAnsi" w:hAnsiTheme="majorHAnsi" w:cstheme="majorHAnsi"/>
          <w:sz w:val="28"/>
          <w:szCs w:val="28"/>
        </w:rPr>
        <w:t xml:space="preserve">B(1) </w:t>
      </w:r>
      <w:r w:rsidR="00202A5B" w:rsidRPr="002F0BEA">
        <w:rPr>
          <w:rFonts w:asciiTheme="majorHAnsi" w:hAnsiTheme="majorHAnsi" w:cstheme="majorHAnsi"/>
          <w:sz w:val="28"/>
          <w:szCs w:val="28"/>
        </w:rPr>
        <w:t>of the Northern Ireland Act 1998</w:t>
      </w:r>
      <w:r w:rsidR="00A77481" w:rsidRPr="002F0BEA">
        <w:rPr>
          <w:rFonts w:asciiTheme="majorHAnsi" w:hAnsiTheme="majorHAnsi" w:cstheme="majorHAnsi"/>
          <w:sz w:val="28"/>
          <w:szCs w:val="28"/>
        </w:rPr>
        <w:t xml:space="preserve"> respectively,</w:t>
      </w:r>
      <w:r w:rsidR="00202A5B" w:rsidRPr="002F0BEA">
        <w:rPr>
          <w:rFonts w:asciiTheme="majorHAnsi" w:hAnsiTheme="majorHAnsi" w:cstheme="majorHAnsi"/>
          <w:sz w:val="28"/>
          <w:szCs w:val="28"/>
        </w:rPr>
        <w:t xml:space="preserve"> monitor the implementation of Article 2(1) of the Protocol on Ireland/Northern Ireland (Protocol Article 2) in the EU Withdrawal Agreement. </w:t>
      </w:r>
      <w:r w:rsidR="007F0A5A" w:rsidRPr="002F0BEA">
        <w:rPr>
          <w:rFonts w:asciiTheme="majorHAnsi" w:hAnsiTheme="majorHAnsi" w:cstheme="majorHAnsi"/>
          <w:sz w:val="28"/>
          <w:szCs w:val="28"/>
        </w:rPr>
        <w:t xml:space="preserve">The Commissions offer </w:t>
      </w:r>
      <w:r w:rsidR="00E84D82" w:rsidRPr="002F0BEA">
        <w:rPr>
          <w:rFonts w:asciiTheme="majorHAnsi" w:hAnsiTheme="majorHAnsi" w:cstheme="majorHAnsi"/>
          <w:sz w:val="28"/>
          <w:szCs w:val="28"/>
        </w:rPr>
        <w:t xml:space="preserve">the following </w:t>
      </w:r>
      <w:r w:rsidR="007F0A5A" w:rsidRPr="002F0BEA">
        <w:rPr>
          <w:rFonts w:asciiTheme="majorHAnsi" w:hAnsiTheme="majorHAnsi" w:cstheme="majorHAnsi"/>
          <w:sz w:val="28"/>
          <w:szCs w:val="28"/>
        </w:rPr>
        <w:t>advice</w:t>
      </w:r>
      <w:r w:rsidR="000A5C8C" w:rsidRPr="002F0BEA">
        <w:rPr>
          <w:rFonts w:asciiTheme="majorHAnsi" w:hAnsiTheme="majorHAnsi" w:cstheme="majorHAnsi"/>
          <w:sz w:val="28"/>
          <w:szCs w:val="28"/>
        </w:rPr>
        <w:t xml:space="preserve"> in accorda</w:t>
      </w:r>
      <w:r w:rsidR="00300EA0" w:rsidRPr="002F0BEA">
        <w:rPr>
          <w:rFonts w:asciiTheme="majorHAnsi" w:hAnsiTheme="majorHAnsi" w:cstheme="majorHAnsi"/>
          <w:sz w:val="28"/>
          <w:szCs w:val="28"/>
        </w:rPr>
        <w:t>nce with these functions</w:t>
      </w:r>
      <w:r w:rsidR="007F0A5A" w:rsidRPr="002F0BEA">
        <w:rPr>
          <w:rFonts w:asciiTheme="majorHAnsi" w:hAnsiTheme="majorHAnsi" w:cstheme="majorHAnsi"/>
          <w:sz w:val="28"/>
          <w:szCs w:val="28"/>
        </w:rPr>
        <w:t xml:space="preserve">. </w:t>
      </w:r>
    </w:p>
    <w:p w14:paraId="6DF0B331" w14:textId="0CEAB8B9" w:rsidR="00BA684A" w:rsidRPr="002F0BEA" w:rsidRDefault="00EE2DAA" w:rsidP="00EE2DAA">
      <w:pPr>
        <w:pStyle w:val="BasicParagraph"/>
        <w:numPr>
          <w:ilvl w:val="1"/>
          <w:numId w:val="9"/>
        </w:numPr>
        <w:suppressAutoHyphens/>
        <w:spacing w:after="240" w:line="276" w:lineRule="auto"/>
        <w:ind w:left="709"/>
        <w:rPr>
          <w:rFonts w:asciiTheme="majorHAnsi" w:hAnsiTheme="majorHAnsi" w:cstheme="majorHAnsi"/>
          <w:sz w:val="28"/>
          <w:szCs w:val="28"/>
        </w:rPr>
      </w:pPr>
      <w:r w:rsidRPr="002F0BEA">
        <w:rPr>
          <w:rFonts w:asciiTheme="majorHAnsi" w:hAnsiTheme="majorHAnsi" w:cstheme="majorHAnsi"/>
          <w:sz w:val="28"/>
          <w:szCs w:val="28"/>
        </w:rPr>
        <w:t>The Commissions have welcomed assurances by the UK Government of its commitment to Protocol Article 2 and its acknowledgement that the commitment is ‘non-controversial’.</w:t>
      </w:r>
      <w:r w:rsidRPr="002F0BEA">
        <w:rPr>
          <w:rStyle w:val="FootnoteReference"/>
          <w:rFonts w:asciiTheme="majorHAnsi" w:hAnsiTheme="majorHAnsi" w:cstheme="majorHAnsi"/>
          <w:sz w:val="28"/>
          <w:szCs w:val="28"/>
        </w:rPr>
        <w:footnoteReference w:id="2"/>
      </w:r>
      <w:r w:rsidR="00A35C17" w:rsidRPr="002F0BEA">
        <w:rPr>
          <w:rFonts w:asciiTheme="majorHAnsi" w:hAnsiTheme="majorHAnsi" w:cstheme="majorHAnsi"/>
          <w:sz w:val="28"/>
          <w:szCs w:val="28"/>
        </w:rPr>
        <w:t xml:space="preserve">However, the </w:t>
      </w:r>
      <w:r w:rsidR="007F0A5A" w:rsidRPr="002F0BEA">
        <w:rPr>
          <w:rFonts w:asciiTheme="majorHAnsi" w:hAnsiTheme="majorHAnsi" w:cstheme="majorHAnsi"/>
          <w:sz w:val="28"/>
          <w:szCs w:val="28"/>
        </w:rPr>
        <w:t>Commissions have identified a number of concerns about the impact of the Bill on the implementation of Protocol Article 2, the commitment by the UK Government to ensure no diminution of certain rights, safeguards and equality of opportunity protections, as a result of the UK’s withdrawal from the EU</w:t>
      </w:r>
      <w:r w:rsidR="006E6BC1" w:rsidRPr="002F0BEA">
        <w:rPr>
          <w:rFonts w:asciiTheme="majorHAnsi" w:hAnsiTheme="majorHAnsi" w:cstheme="majorHAnsi"/>
          <w:sz w:val="28"/>
          <w:szCs w:val="28"/>
        </w:rPr>
        <w:t>.</w:t>
      </w:r>
      <w:r w:rsidR="00856AF3" w:rsidRPr="002F0BEA">
        <w:rPr>
          <w:rFonts w:asciiTheme="majorHAnsi" w:hAnsiTheme="majorHAnsi" w:cstheme="majorHAnsi"/>
          <w:sz w:val="28"/>
          <w:szCs w:val="28"/>
        </w:rPr>
        <w:t xml:space="preserve"> </w:t>
      </w:r>
    </w:p>
    <w:p w14:paraId="32EE5E85" w14:textId="093FFCDA" w:rsidR="007F0A5A" w:rsidRPr="002F0BEA" w:rsidRDefault="007F0A5A" w:rsidP="00A35C17">
      <w:pPr>
        <w:pStyle w:val="BasicParagraph"/>
        <w:numPr>
          <w:ilvl w:val="1"/>
          <w:numId w:val="9"/>
        </w:numPr>
        <w:suppressAutoHyphens/>
        <w:spacing w:after="240" w:line="276" w:lineRule="auto"/>
        <w:ind w:left="709" w:hanging="709"/>
        <w:rPr>
          <w:rFonts w:asciiTheme="majorHAnsi" w:hAnsiTheme="majorHAnsi" w:cstheme="majorHAnsi"/>
          <w:sz w:val="28"/>
          <w:szCs w:val="28"/>
        </w:rPr>
      </w:pPr>
      <w:r w:rsidRPr="002F0BEA">
        <w:rPr>
          <w:rFonts w:asciiTheme="majorHAnsi" w:hAnsiTheme="majorHAnsi" w:cstheme="majorHAnsi"/>
          <w:sz w:val="28"/>
          <w:szCs w:val="28"/>
        </w:rPr>
        <w:t xml:space="preserve">Protocol Article 2 is afforded a degree of protection under the Bill. It is not deemed ‘excluded provision’ and Clause 15 does not permit Ministers to make regulations to define it as such.  While this is welcome, the Commissions are concerned that the logic of Clause 15 is not fully reflected in other Clauses of </w:t>
      </w:r>
      <w:r w:rsidRPr="002F0BEA">
        <w:rPr>
          <w:rFonts w:asciiTheme="majorHAnsi" w:hAnsiTheme="majorHAnsi" w:cstheme="majorHAnsi"/>
          <w:sz w:val="28"/>
          <w:szCs w:val="28"/>
        </w:rPr>
        <w:lastRenderedPageBreak/>
        <w:t>the Bill and that this will weaken the implementation</w:t>
      </w:r>
      <w:r w:rsidR="008E7F6A" w:rsidRPr="002F0BEA">
        <w:rPr>
          <w:rFonts w:asciiTheme="majorHAnsi" w:hAnsiTheme="majorHAnsi" w:cstheme="majorHAnsi"/>
          <w:sz w:val="28"/>
          <w:szCs w:val="28"/>
        </w:rPr>
        <w:t>, interpretation and enforcement</w:t>
      </w:r>
      <w:r w:rsidRPr="002F0BEA">
        <w:rPr>
          <w:rFonts w:asciiTheme="majorHAnsi" w:hAnsiTheme="majorHAnsi" w:cstheme="majorHAnsi"/>
          <w:sz w:val="28"/>
          <w:szCs w:val="28"/>
        </w:rPr>
        <w:t xml:space="preserve"> of Protocol Article 2 if not addressed. Clause 20 is a particular cause for concern but Clauses 15</w:t>
      </w:r>
      <w:r w:rsidR="002F7AB9" w:rsidRPr="002F0BEA">
        <w:rPr>
          <w:rFonts w:asciiTheme="majorHAnsi" w:hAnsiTheme="majorHAnsi" w:cstheme="majorHAnsi"/>
          <w:sz w:val="28"/>
          <w:szCs w:val="28"/>
        </w:rPr>
        <w:t>,</w:t>
      </w:r>
      <w:r w:rsidRPr="002F0BEA">
        <w:rPr>
          <w:rFonts w:asciiTheme="majorHAnsi" w:hAnsiTheme="majorHAnsi" w:cstheme="majorHAnsi"/>
          <w:sz w:val="28"/>
          <w:szCs w:val="28"/>
        </w:rPr>
        <w:t xml:space="preserve"> 13</w:t>
      </w:r>
      <w:r w:rsidR="00A165DB" w:rsidRPr="002F0BEA">
        <w:rPr>
          <w:rFonts w:asciiTheme="majorHAnsi" w:hAnsiTheme="majorHAnsi" w:cstheme="majorHAnsi"/>
          <w:sz w:val="28"/>
          <w:szCs w:val="28"/>
        </w:rPr>
        <w:t>,</w:t>
      </w:r>
      <w:r w:rsidR="002F7AB9" w:rsidRPr="002F0BEA">
        <w:rPr>
          <w:rFonts w:asciiTheme="majorHAnsi" w:hAnsiTheme="majorHAnsi" w:cstheme="majorHAnsi"/>
          <w:sz w:val="28"/>
          <w:szCs w:val="28"/>
        </w:rPr>
        <w:t xml:space="preserve"> 14 </w:t>
      </w:r>
      <w:r w:rsidR="00A165DB" w:rsidRPr="002F0BEA">
        <w:rPr>
          <w:rFonts w:asciiTheme="majorHAnsi" w:hAnsiTheme="majorHAnsi" w:cstheme="majorHAnsi"/>
          <w:sz w:val="28"/>
          <w:szCs w:val="28"/>
        </w:rPr>
        <w:t xml:space="preserve">and 22 </w:t>
      </w:r>
      <w:r w:rsidRPr="002F0BEA">
        <w:rPr>
          <w:rFonts w:asciiTheme="majorHAnsi" w:hAnsiTheme="majorHAnsi" w:cstheme="majorHAnsi"/>
          <w:sz w:val="28"/>
          <w:szCs w:val="28"/>
        </w:rPr>
        <w:t>require consideration also.</w:t>
      </w:r>
    </w:p>
    <w:p w14:paraId="2AC4A72C" w14:textId="41EAA67E" w:rsidR="008E7F6A" w:rsidRDefault="008E7F6A" w:rsidP="00A35C17">
      <w:pPr>
        <w:pStyle w:val="BasicParagraph"/>
        <w:numPr>
          <w:ilvl w:val="1"/>
          <w:numId w:val="9"/>
        </w:numPr>
        <w:suppressAutoHyphens/>
        <w:spacing w:after="240" w:line="276" w:lineRule="auto"/>
        <w:ind w:left="709" w:hanging="709"/>
        <w:rPr>
          <w:rFonts w:asciiTheme="majorHAnsi" w:hAnsiTheme="majorHAnsi" w:cstheme="majorHAnsi"/>
          <w:sz w:val="28"/>
          <w:szCs w:val="28"/>
        </w:rPr>
      </w:pPr>
      <w:r w:rsidRPr="002F0BEA">
        <w:rPr>
          <w:rFonts w:asciiTheme="majorHAnsi" w:hAnsiTheme="majorHAnsi" w:cstheme="majorHAnsi"/>
          <w:sz w:val="28"/>
          <w:szCs w:val="28"/>
        </w:rPr>
        <w:t>It is vital that the Protocol Bill do</w:t>
      </w:r>
      <w:r w:rsidR="002E43EB" w:rsidRPr="002F0BEA">
        <w:rPr>
          <w:rFonts w:asciiTheme="majorHAnsi" w:hAnsiTheme="majorHAnsi" w:cstheme="majorHAnsi"/>
          <w:sz w:val="28"/>
          <w:szCs w:val="28"/>
        </w:rPr>
        <w:t xml:space="preserve">es not result in changes </w:t>
      </w:r>
      <w:r w:rsidRPr="002F0BEA">
        <w:rPr>
          <w:rFonts w:asciiTheme="majorHAnsi" w:hAnsiTheme="majorHAnsi" w:cstheme="majorHAnsi"/>
          <w:sz w:val="28"/>
          <w:szCs w:val="28"/>
        </w:rPr>
        <w:t>that would result in a weakening of either the Protocol Article 2 commitment or rights, safeguards and oversight mechanisms relating to this commitment</w:t>
      </w:r>
      <w:r w:rsidR="002E43EB" w:rsidRPr="002F0BEA">
        <w:rPr>
          <w:rFonts w:asciiTheme="majorHAnsi" w:hAnsiTheme="majorHAnsi" w:cstheme="majorHAnsi"/>
          <w:sz w:val="28"/>
          <w:szCs w:val="28"/>
        </w:rPr>
        <w:t xml:space="preserve">; or the creation of powers by Ministers that would permit a future weakening of Protocol Article 2 or its associated rights, </w:t>
      </w:r>
      <w:proofErr w:type="gramStart"/>
      <w:r w:rsidR="002E43EB" w:rsidRPr="002F0BEA">
        <w:rPr>
          <w:rFonts w:asciiTheme="majorHAnsi" w:hAnsiTheme="majorHAnsi" w:cstheme="majorHAnsi"/>
          <w:sz w:val="28"/>
          <w:szCs w:val="28"/>
        </w:rPr>
        <w:t>safeguards</w:t>
      </w:r>
      <w:proofErr w:type="gramEnd"/>
      <w:r w:rsidR="002E43EB" w:rsidRPr="002F0BEA">
        <w:rPr>
          <w:rFonts w:asciiTheme="majorHAnsi" w:hAnsiTheme="majorHAnsi" w:cstheme="majorHAnsi"/>
          <w:sz w:val="28"/>
          <w:szCs w:val="28"/>
        </w:rPr>
        <w:t xml:space="preserve"> and oversight mechanisms.</w:t>
      </w:r>
    </w:p>
    <w:p w14:paraId="62020125" w14:textId="77777777" w:rsidR="0070230F" w:rsidRPr="002F0BEA" w:rsidRDefault="0070230F" w:rsidP="0070230F">
      <w:pPr>
        <w:pStyle w:val="BasicParagraph"/>
        <w:suppressAutoHyphens/>
        <w:spacing w:after="240" w:line="276" w:lineRule="auto"/>
        <w:ind w:left="709"/>
        <w:rPr>
          <w:rFonts w:asciiTheme="majorHAnsi" w:hAnsiTheme="majorHAnsi" w:cstheme="majorHAnsi"/>
          <w:sz w:val="28"/>
          <w:szCs w:val="28"/>
        </w:rPr>
      </w:pPr>
    </w:p>
    <w:p w14:paraId="0DACAE30" w14:textId="79984E01" w:rsidR="00202A5B" w:rsidRPr="002F0BEA" w:rsidRDefault="00202A5B" w:rsidP="00A35C17">
      <w:pPr>
        <w:pStyle w:val="Heading1"/>
        <w:numPr>
          <w:ilvl w:val="0"/>
          <w:numId w:val="9"/>
        </w:numPr>
        <w:spacing w:after="240" w:line="276" w:lineRule="auto"/>
        <w:rPr>
          <w:rFonts w:asciiTheme="majorHAnsi" w:hAnsiTheme="majorHAnsi" w:cstheme="majorHAnsi"/>
          <w:szCs w:val="40"/>
        </w:rPr>
      </w:pPr>
      <w:bookmarkStart w:id="2" w:name="_Toc116045310"/>
      <w:r w:rsidRPr="002F0BEA">
        <w:rPr>
          <w:rFonts w:asciiTheme="majorHAnsi" w:hAnsiTheme="majorHAnsi" w:cstheme="majorHAnsi"/>
          <w:szCs w:val="40"/>
        </w:rPr>
        <w:t>Article 2</w:t>
      </w:r>
      <w:r w:rsidR="0003550A" w:rsidRPr="002F0BEA">
        <w:rPr>
          <w:rFonts w:asciiTheme="majorHAnsi" w:hAnsiTheme="majorHAnsi" w:cstheme="majorHAnsi"/>
          <w:szCs w:val="40"/>
        </w:rPr>
        <w:t xml:space="preserve"> of the Ireland/NI Protocol</w:t>
      </w:r>
      <w:bookmarkEnd w:id="2"/>
    </w:p>
    <w:p w14:paraId="7126CAD9" w14:textId="118EA7D8" w:rsidR="00202A5B" w:rsidRPr="002F0BEA" w:rsidRDefault="00932D74" w:rsidP="00A35C17">
      <w:pPr>
        <w:pStyle w:val="ListParagraph"/>
        <w:numPr>
          <w:ilvl w:val="1"/>
          <w:numId w:val="9"/>
        </w:numPr>
        <w:spacing w:after="240" w:line="276" w:lineRule="auto"/>
        <w:ind w:left="709"/>
        <w:contextualSpacing w:val="0"/>
        <w:rPr>
          <w:rFonts w:asciiTheme="majorHAnsi" w:hAnsiTheme="majorHAnsi" w:cstheme="majorHAnsi"/>
          <w:sz w:val="28"/>
          <w:szCs w:val="28"/>
        </w:rPr>
      </w:pPr>
      <w:r w:rsidRPr="002F0BEA">
        <w:rPr>
          <w:rFonts w:asciiTheme="majorHAnsi" w:hAnsiTheme="majorHAnsi" w:cstheme="majorHAnsi"/>
          <w:sz w:val="28"/>
          <w:szCs w:val="28"/>
        </w:rPr>
        <w:t>Protocol Article 2</w:t>
      </w:r>
      <w:r w:rsidR="0003550A" w:rsidRPr="002F0BEA">
        <w:rPr>
          <w:rFonts w:asciiTheme="majorHAnsi" w:hAnsiTheme="majorHAnsi" w:cstheme="majorHAnsi"/>
          <w:sz w:val="28"/>
          <w:szCs w:val="28"/>
        </w:rPr>
        <w:t xml:space="preserve"> </w:t>
      </w:r>
      <w:r w:rsidR="00202A5B" w:rsidRPr="002F0BEA">
        <w:rPr>
          <w:rFonts w:asciiTheme="majorHAnsi" w:hAnsiTheme="majorHAnsi" w:cstheme="majorHAnsi"/>
          <w:sz w:val="28"/>
          <w:szCs w:val="28"/>
        </w:rPr>
        <w:t>states:</w:t>
      </w:r>
    </w:p>
    <w:p w14:paraId="6BE961A7" w14:textId="703B7EDF" w:rsidR="00202A5B" w:rsidRPr="002F0BEA" w:rsidRDefault="009F2D36" w:rsidP="0054278B">
      <w:pPr>
        <w:spacing w:after="240" w:line="276" w:lineRule="auto"/>
        <w:ind w:left="709"/>
        <w:rPr>
          <w:rFonts w:asciiTheme="majorHAnsi" w:hAnsiTheme="majorHAnsi" w:cstheme="majorHAnsi"/>
          <w:sz w:val="28"/>
          <w:szCs w:val="28"/>
        </w:rPr>
      </w:pPr>
      <w:r w:rsidRPr="002F0BEA">
        <w:rPr>
          <w:rFonts w:asciiTheme="majorHAnsi" w:hAnsiTheme="majorHAnsi" w:cstheme="majorHAnsi"/>
          <w:sz w:val="28"/>
          <w:szCs w:val="28"/>
        </w:rPr>
        <w:t>“</w:t>
      </w:r>
      <w:r w:rsidR="00202A5B" w:rsidRPr="002F0BEA">
        <w:rPr>
          <w:rFonts w:asciiTheme="majorHAnsi" w:hAnsiTheme="majorHAnsi" w:cstheme="majorHAnsi"/>
          <w:sz w:val="28"/>
          <w:szCs w:val="28"/>
        </w:rPr>
        <w:t>The United Kingdom shall ensure that no diminution of rights, safeguards or equality of opportunity, as set out in that part of the 1998 Agreement entitled Rights, Safeguards and Equality of Opportunity results from its withdrawal from the Union, including in the area of protection against discrimination, as enshrined in the provisions of Union law listed in Annex 1 to this Protocol, and shall implement this paragraph through dedicated mechanisms.</w:t>
      </w:r>
      <w:r w:rsidRPr="002F0BEA">
        <w:rPr>
          <w:rFonts w:asciiTheme="majorHAnsi" w:hAnsiTheme="majorHAnsi" w:cstheme="majorHAnsi"/>
          <w:sz w:val="28"/>
          <w:szCs w:val="28"/>
        </w:rPr>
        <w:t>”</w:t>
      </w:r>
      <w:r w:rsidR="00202A5B" w:rsidRPr="002F0BEA">
        <w:rPr>
          <w:rFonts w:asciiTheme="majorHAnsi" w:hAnsiTheme="majorHAnsi" w:cstheme="majorHAnsi"/>
          <w:sz w:val="28"/>
          <w:szCs w:val="28"/>
        </w:rPr>
        <w:t xml:space="preserve"> </w:t>
      </w:r>
    </w:p>
    <w:p w14:paraId="01D0DE5E" w14:textId="66645953" w:rsidR="007464D0" w:rsidRPr="002F0BEA" w:rsidRDefault="009F2D36" w:rsidP="0054278B">
      <w:pPr>
        <w:spacing w:after="240" w:line="276" w:lineRule="auto"/>
        <w:ind w:left="709" w:hanging="709"/>
        <w:rPr>
          <w:rFonts w:asciiTheme="majorHAnsi" w:hAnsiTheme="majorHAnsi" w:cstheme="majorHAnsi"/>
          <w:sz w:val="28"/>
          <w:szCs w:val="28"/>
        </w:rPr>
      </w:pPr>
      <w:r w:rsidRPr="002F0BEA">
        <w:rPr>
          <w:rFonts w:asciiTheme="majorHAnsi" w:hAnsiTheme="majorHAnsi" w:cstheme="majorHAnsi"/>
          <w:sz w:val="28"/>
          <w:szCs w:val="28"/>
        </w:rPr>
        <w:t>2.2</w:t>
      </w:r>
      <w:r w:rsidRPr="002F0BEA">
        <w:rPr>
          <w:rFonts w:asciiTheme="majorHAnsi" w:hAnsiTheme="majorHAnsi" w:cstheme="majorHAnsi"/>
          <w:sz w:val="28"/>
          <w:szCs w:val="28"/>
        </w:rPr>
        <w:tab/>
        <w:t>Protocol Article 2 means that t</w:t>
      </w:r>
      <w:r w:rsidR="007464D0" w:rsidRPr="002F0BEA">
        <w:rPr>
          <w:rFonts w:asciiTheme="majorHAnsi" w:hAnsiTheme="majorHAnsi" w:cstheme="majorHAnsi"/>
          <w:sz w:val="28"/>
          <w:szCs w:val="28"/>
        </w:rPr>
        <w:t xml:space="preserve">he UK Government </w:t>
      </w:r>
      <w:r w:rsidRPr="002F0BEA">
        <w:rPr>
          <w:rFonts w:asciiTheme="majorHAnsi" w:hAnsiTheme="majorHAnsi" w:cstheme="majorHAnsi"/>
          <w:sz w:val="28"/>
          <w:szCs w:val="28"/>
        </w:rPr>
        <w:t xml:space="preserve">must </w:t>
      </w:r>
      <w:r w:rsidR="007464D0" w:rsidRPr="002F0BEA">
        <w:rPr>
          <w:rFonts w:asciiTheme="majorHAnsi" w:hAnsiTheme="majorHAnsi" w:cstheme="majorHAnsi"/>
          <w:sz w:val="28"/>
          <w:szCs w:val="28"/>
        </w:rPr>
        <w:t xml:space="preserve">ensure </w:t>
      </w:r>
      <w:r w:rsidRPr="002F0BEA">
        <w:rPr>
          <w:rFonts w:asciiTheme="majorHAnsi" w:hAnsiTheme="majorHAnsi" w:cstheme="majorHAnsi"/>
          <w:sz w:val="28"/>
          <w:szCs w:val="28"/>
        </w:rPr>
        <w:t xml:space="preserve">there is </w:t>
      </w:r>
      <w:r w:rsidR="007464D0" w:rsidRPr="002F0BEA">
        <w:rPr>
          <w:rFonts w:asciiTheme="majorHAnsi" w:hAnsiTheme="majorHAnsi" w:cstheme="majorHAnsi"/>
          <w:sz w:val="28"/>
          <w:szCs w:val="28"/>
        </w:rPr>
        <w:t xml:space="preserve">no diminution of rights, </w:t>
      </w:r>
      <w:proofErr w:type="gramStart"/>
      <w:r w:rsidR="007464D0" w:rsidRPr="002F0BEA">
        <w:rPr>
          <w:rFonts w:asciiTheme="majorHAnsi" w:hAnsiTheme="majorHAnsi" w:cstheme="majorHAnsi"/>
          <w:sz w:val="28"/>
          <w:szCs w:val="28"/>
        </w:rPr>
        <w:t>safeguards</w:t>
      </w:r>
      <w:proofErr w:type="gramEnd"/>
      <w:r w:rsidR="007464D0" w:rsidRPr="002F0BEA">
        <w:rPr>
          <w:rFonts w:asciiTheme="majorHAnsi" w:hAnsiTheme="majorHAnsi" w:cstheme="majorHAnsi"/>
          <w:sz w:val="28"/>
          <w:szCs w:val="28"/>
        </w:rPr>
        <w:t xml:space="preserve"> and equality of opportunity, as set out in </w:t>
      </w:r>
      <w:r w:rsidR="004936B1" w:rsidRPr="002F0BEA">
        <w:rPr>
          <w:rFonts w:asciiTheme="majorHAnsi" w:hAnsiTheme="majorHAnsi" w:cstheme="majorHAnsi"/>
          <w:sz w:val="28"/>
          <w:szCs w:val="28"/>
        </w:rPr>
        <w:t xml:space="preserve">the relevant chapter of </w:t>
      </w:r>
      <w:r w:rsidR="007464D0" w:rsidRPr="002F0BEA">
        <w:rPr>
          <w:rFonts w:asciiTheme="majorHAnsi" w:hAnsiTheme="majorHAnsi" w:cstheme="majorHAnsi"/>
          <w:sz w:val="28"/>
          <w:szCs w:val="28"/>
        </w:rPr>
        <w:t xml:space="preserve">the Belfast (Good Friday) Agreement 1998, </w:t>
      </w:r>
      <w:r w:rsidRPr="002F0BEA">
        <w:rPr>
          <w:rFonts w:asciiTheme="majorHAnsi" w:hAnsiTheme="majorHAnsi" w:cstheme="majorHAnsi"/>
          <w:sz w:val="28"/>
          <w:szCs w:val="28"/>
        </w:rPr>
        <w:t xml:space="preserve">resulting </w:t>
      </w:r>
      <w:r w:rsidR="007464D0" w:rsidRPr="002F0BEA">
        <w:rPr>
          <w:rFonts w:asciiTheme="majorHAnsi" w:hAnsiTheme="majorHAnsi" w:cstheme="majorHAnsi"/>
          <w:sz w:val="28"/>
          <w:szCs w:val="28"/>
        </w:rPr>
        <w:t>from the UK’s withdrawal from the EU.</w:t>
      </w:r>
      <w:r w:rsidR="007464D0" w:rsidRPr="002F0BEA">
        <w:rPr>
          <w:rStyle w:val="FootnoteReference"/>
          <w:rFonts w:asciiTheme="majorHAnsi" w:hAnsiTheme="majorHAnsi" w:cstheme="majorHAnsi"/>
          <w:sz w:val="28"/>
          <w:szCs w:val="28"/>
        </w:rPr>
        <w:footnoteReference w:id="3"/>
      </w:r>
    </w:p>
    <w:p w14:paraId="307D6018" w14:textId="08B4D128" w:rsidR="003B7D0E" w:rsidRPr="002F0BEA" w:rsidRDefault="00202A5B" w:rsidP="0054278B">
      <w:pPr>
        <w:pStyle w:val="ListParagraph"/>
        <w:numPr>
          <w:ilvl w:val="1"/>
          <w:numId w:val="21"/>
        </w:numPr>
        <w:spacing w:after="240" w:line="276" w:lineRule="auto"/>
        <w:contextualSpacing w:val="0"/>
        <w:rPr>
          <w:rFonts w:asciiTheme="majorHAnsi" w:hAnsiTheme="majorHAnsi" w:cstheme="majorHAnsi"/>
          <w:sz w:val="28"/>
          <w:szCs w:val="28"/>
        </w:rPr>
      </w:pPr>
      <w:r w:rsidRPr="002F0BEA">
        <w:rPr>
          <w:rFonts w:asciiTheme="majorHAnsi" w:hAnsiTheme="majorHAnsi" w:cstheme="majorHAnsi"/>
          <w:sz w:val="28"/>
          <w:szCs w:val="28"/>
        </w:rPr>
        <w:t xml:space="preserve">Protocol Article 2 includes a commitment to </w:t>
      </w:r>
      <w:r w:rsidR="009F2D36" w:rsidRPr="002F0BEA">
        <w:rPr>
          <w:rFonts w:asciiTheme="majorHAnsi" w:hAnsiTheme="majorHAnsi" w:cstheme="majorHAnsi"/>
          <w:sz w:val="28"/>
          <w:szCs w:val="28"/>
        </w:rPr>
        <w:t>‘</w:t>
      </w:r>
      <w:r w:rsidRPr="002F0BEA">
        <w:rPr>
          <w:rFonts w:asciiTheme="majorHAnsi" w:hAnsiTheme="majorHAnsi" w:cstheme="majorHAnsi"/>
          <w:sz w:val="28"/>
          <w:szCs w:val="28"/>
        </w:rPr>
        <w:t>keep pace</w:t>
      </w:r>
      <w:r w:rsidR="009F2D36" w:rsidRPr="002F0BEA">
        <w:rPr>
          <w:rFonts w:asciiTheme="majorHAnsi" w:hAnsiTheme="majorHAnsi" w:cstheme="majorHAnsi"/>
          <w:sz w:val="28"/>
          <w:szCs w:val="28"/>
        </w:rPr>
        <w:t>’</w:t>
      </w:r>
      <w:r w:rsidRPr="002F0BEA">
        <w:rPr>
          <w:rFonts w:asciiTheme="majorHAnsi" w:hAnsiTheme="majorHAnsi" w:cstheme="majorHAnsi"/>
          <w:sz w:val="28"/>
          <w:szCs w:val="28"/>
        </w:rPr>
        <w:t xml:space="preserve"> with EU law developments </w:t>
      </w:r>
      <w:r w:rsidR="009F2D36" w:rsidRPr="002F0BEA">
        <w:rPr>
          <w:rFonts w:asciiTheme="majorHAnsi" w:hAnsiTheme="majorHAnsi" w:cstheme="majorHAnsi"/>
          <w:sz w:val="28"/>
          <w:szCs w:val="28"/>
        </w:rPr>
        <w:t xml:space="preserve">falling within the </w:t>
      </w:r>
      <w:r w:rsidRPr="002F0BEA">
        <w:rPr>
          <w:rFonts w:asciiTheme="majorHAnsi" w:hAnsiTheme="majorHAnsi" w:cstheme="majorHAnsi"/>
          <w:sz w:val="28"/>
          <w:szCs w:val="28"/>
        </w:rPr>
        <w:t xml:space="preserve">six EU Equality Directives listed in Annex 1 </w:t>
      </w:r>
      <w:r w:rsidR="000446DE" w:rsidRPr="002F0BEA">
        <w:rPr>
          <w:rFonts w:asciiTheme="majorHAnsi" w:hAnsiTheme="majorHAnsi" w:cstheme="majorHAnsi"/>
          <w:sz w:val="28"/>
          <w:szCs w:val="28"/>
        </w:rPr>
        <w:t xml:space="preserve">to </w:t>
      </w:r>
      <w:r w:rsidRPr="002F0BEA">
        <w:rPr>
          <w:rFonts w:asciiTheme="majorHAnsi" w:hAnsiTheme="majorHAnsi" w:cstheme="majorHAnsi"/>
          <w:sz w:val="28"/>
          <w:szCs w:val="28"/>
        </w:rPr>
        <w:t>the Protocol.</w:t>
      </w:r>
      <w:r w:rsidRPr="002F0BEA">
        <w:rPr>
          <w:rStyle w:val="FootnoteReference"/>
          <w:rFonts w:asciiTheme="majorHAnsi" w:hAnsiTheme="majorHAnsi" w:cstheme="majorHAnsi"/>
          <w:sz w:val="28"/>
          <w:szCs w:val="28"/>
        </w:rPr>
        <w:footnoteReference w:id="4"/>
      </w:r>
      <w:r w:rsidRPr="002F0BEA">
        <w:rPr>
          <w:rFonts w:asciiTheme="majorHAnsi" w:hAnsiTheme="majorHAnsi" w:cstheme="majorHAnsi"/>
          <w:sz w:val="28"/>
          <w:szCs w:val="28"/>
        </w:rPr>
        <w:t xml:space="preserve"> </w:t>
      </w:r>
      <w:r w:rsidR="009F2D36" w:rsidRPr="002F0BEA">
        <w:rPr>
          <w:rFonts w:asciiTheme="majorHAnsi" w:hAnsiTheme="majorHAnsi" w:cstheme="majorHAnsi"/>
          <w:sz w:val="28"/>
          <w:szCs w:val="28"/>
        </w:rPr>
        <w:t xml:space="preserve">That means that if </w:t>
      </w:r>
      <w:r w:rsidRPr="002F0BEA">
        <w:rPr>
          <w:rFonts w:asciiTheme="majorHAnsi" w:hAnsiTheme="majorHAnsi" w:cstheme="majorHAnsi"/>
          <w:sz w:val="28"/>
          <w:szCs w:val="28"/>
        </w:rPr>
        <w:t xml:space="preserve">the minimum standards in </w:t>
      </w:r>
      <w:r w:rsidR="009F2D36" w:rsidRPr="002F0BEA">
        <w:rPr>
          <w:rFonts w:asciiTheme="majorHAnsi" w:hAnsiTheme="majorHAnsi" w:cstheme="majorHAnsi"/>
          <w:sz w:val="28"/>
          <w:szCs w:val="28"/>
        </w:rPr>
        <w:t xml:space="preserve">the </w:t>
      </w:r>
      <w:r w:rsidRPr="002F0BEA">
        <w:rPr>
          <w:rFonts w:asciiTheme="majorHAnsi" w:hAnsiTheme="majorHAnsi" w:cstheme="majorHAnsi"/>
          <w:sz w:val="28"/>
          <w:szCs w:val="28"/>
        </w:rPr>
        <w:t xml:space="preserve">Annex 1 </w:t>
      </w:r>
      <w:r w:rsidRPr="002F0BEA">
        <w:rPr>
          <w:rFonts w:asciiTheme="majorHAnsi" w:hAnsiTheme="majorHAnsi" w:cstheme="majorHAnsi"/>
          <w:sz w:val="28"/>
          <w:szCs w:val="28"/>
        </w:rPr>
        <w:lastRenderedPageBreak/>
        <w:t xml:space="preserve">Directives </w:t>
      </w:r>
      <w:r w:rsidR="009F2D36" w:rsidRPr="002F0BEA">
        <w:rPr>
          <w:rFonts w:asciiTheme="majorHAnsi" w:hAnsiTheme="majorHAnsi" w:cstheme="majorHAnsi"/>
          <w:sz w:val="28"/>
          <w:szCs w:val="28"/>
        </w:rPr>
        <w:t xml:space="preserve">are </w:t>
      </w:r>
      <w:r w:rsidRPr="002F0BEA">
        <w:rPr>
          <w:rFonts w:asciiTheme="majorHAnsi" w:hAnsiTheme="majorHAnsi" w:cstheme="majorHAnsi"/>
          <w:sz w:val="28"/>
          <w:szCs w:val="28"/>
        </w:rPr>
        <w:t xml:space="preserve">updated or replaced, the UK Government </w:t>
      </w:r>
      <w:r w:rsidR="009F2D36" w:rsidRPr="002F0BEA">
        <w:rPr>
          <w:rFonts w:asciiTheme="majorHAnsi" w:hAnsiTheme="majorHAnsi" w:cstheme="majorHAnsi"/>
          <w:sz w:val="28"/>
          <w:szCs w:val="28"/>
        </w:rPr>
        <w:t>must</w:t>
      </w:r>
      <w:r w:rsidRPr="002F0BEA">
        <w:rPr>
          <w:rFonts w:asciiTheme="majorHAnsi" w:hAnsiTheme="majorHAnsi" w:cstheme="majorHAnsi"/>
          <w:sz w:val="28"/>
          <w:szCs w:val="28"/>
        </w:rPr>
        <w:t xml:space="preserve"> ensure that domestic legislation in N</w:t>
      </w:r>
      <w:r w:rsidR="00F14271" w:rsidRPr="002F0BEA">
        <w:rPr>
          <w:rFonts w:asciiTheme="majorHAnsi" w:hAnsiTheme="majorHAnsi" w:cstheme="majorHAnsi"/>
          <w:sz w:val="28"/>
          <w:szCs w:val="28"/>
        </w:rPr>
        <w:t xml:space="preserve">orthern </w:t>
      </w:r>
      <w:r w:rsidRPr="002F0BEA">
        <w:rPr>
          <w:rFonts w:asciiTheme="majorHAnsi" w:hAnsiTheme="majorHAnsi" w:cstheme="majorHAnsi"/>
          <w:sz w:val="28"/>
          <w:szCs w:val="28"/>
        </w:rPr>
        <w:t>I</w:t>
      </w:r>
      <w:r w:rsidR="00F14271" w:rsidRPr="002F0BEA">
        <w:rPr>
          <w:rFonts w:asciiTheme="majorHAnsi" w:hAnsiTheme="majorHAnsi" w:cstheme="majorHAnsi"/>
          <w:sz w:val="28"/>
          <w:szCs w:val="28"/>
        </w:rPr>
        <w:t>reland</w:t>
      </w:r>
      <w:r w:rsidRPr="002F0BEA">
        <w:rPr>
          <w:rFonts w:asciiTheme="majorHAnsi" w:hAnsiTheme="majorHAnsi" w:cstheme="majorHAnsi"/>
          <w:sz w:val="28"/>
          <w:szCs w:val="28"/>
        </w:rPr>
        <w:t xml:space="preserve"> reflect</w:t>
      </w:r>
      <w:r w:rsidR="000446DE" w:rsidRPr="002F0BEA">
        <w:rPr>
          <w:rFonts w:asciiTheme="majorHAnsi" w:hAnsiTheme="majorHAnsi" w:cstheme="majorHAnsi"/>
          <w:sz w:val="28"/>
          <w:szCs w:val="28"/>
        </w:rPr>
        <w:t>s</w:t>
      </w:r>
      <w:r w:rsidRPr="002F0BEA">
        <w:rPr>
          <w:rFonts w:asciiTheme="majorHAnsi" w:hAnsiTheme="majorHAnsi" w:cstheme="majorHAnsi"/>
          <w:sz w:val="28"/>
          <w:szCs w:val="28"/>
        </w:rPr>
        <w:t xml:space="preserve"> any substantive enhancements in </w:t>
      </w:r>
      <w:r w:rsidR="00F14271" w:rsidRPr="002F0BEA">
        <w:rPr>
          <w:rFonts w:asciiTheme="majorHAnsi" w:hAnsiTheme="majorHAnsi" w:cstheme="majorHAnsi"/>
          <w:sz w:val="28"/>
          <w:szCs w:val="28"/>
        </w:rPr>
        <w:t xml:space="preserve">relevant </w:t>
      </w:r>
      <w:r w:rsidRPr="002F0BEA">
        <w:rPr>
          <w:rFonts w:asciiTheme="majorHAnsi" w:hAnsiTheme="majorHAnsi" w:cstheme="majorHAnsi"/>
          <w:sz w:val="28"/>
          <w:szCs w:val="28"/>
        </w:rPr>
        <w:t>protections.</w:t>
      </w:r>
      <w:r w:rsidRPr="002F0BEA">
        <w:rPr>
          <w:rStyle w:val="FootnoteReference"/>
          <w:rFonts w:asciiTheme="majorHAnsi" w:hAnsiTheme="majorHAnsi" w:cstheme="majorHAnsi"/>
          <w:sz w:val="28"/>
          <w:szCs w:val="28"/>
        </w:rPr>
        <w:footnoteReference w:id="5"/>
      </w:r>
    </w:p>
    <w:p w14:paraId="2166BFFF" w14:textId="3A9DB110" w:rsidR="007464D0" w:rsidRPr="002F0BEA" w:rsidRDefault="00F14271" w:rsidP="0054278B">
      <w:pPr>
        <w:pStyle w:val="ListParagraph"/>
        <w:numPr>
          <w:ilvl w:val="1"/>
          <w:numId w:val="21"/>
        </w:numPr>
        <w:spacing w:after="240" w:line="276" w:lineRule="auto"/>
        <w:ind w:left="709"/>
        <w:contextualSpacing w:val="0"/>
        <w:rPr>
          <w:rFonts w:asciiTheme="majorHAnsi" w:hAnsiTheme="majorHAnsi" w:cstheme="majorHAnsi"/>
          <w:sz w:val="28"/>
          <w:szCs w:val="28"/>
        </w:rPr>
      </w:pPr>
      <w:r w:rsidRPr="002F0BEA">
        <w:rPr>
          <w:rFonts w:asciiTheme="majorHAnsi" w:hAnsiTheme="majorHAnsi" w:cstheme="majorHAnsi"/>
          <w:sz w:val="28"/>
          <w:szCs w:val="28"/>
        </w:rPr>
        <w:t>In addition to the six Directives</w:t>
      </w:r>
      <w:r w:rsidR="007464D0" w:rsidRPr="002F0BEA">
        <w:rPr>
          <w:rFonts w:asciiTheme="majorHAnsi" w:hAnsiTheme="majorHAnsi" w:cstheme="majorHAnsi"/>
          <w:sz w:val="28"/>
          <w:szCs w:val="28"/>
        </w:rPr>
        <w:t xml:space="preserve">, there </w:t>
      </w:r>
      <w:r w:rsidRPr="002F0BEA">
        <w:rPr>
          <w:rFonts w:asciiTheme="majorHAnsi" w:hAnsiTheme="majorHAnsi" w:cstheme="majorHAnsi"/>
          <w:sz w:val="28"/>
          <w:szCs w:val="28"/>
        </w:rPr>
        <w:t xml:space="preserve">is </w:t>
      </w:r>
      <w:r w:rsidR="007464D0" w:rsidRPr="002F0BEA">
        <w:rPr>
          <w:rFonts w:asciiTheme="majorHAnsi" w:hAnsiTheme="majorHAnsi" w:cstheme="majorHAnsi"/>
          <w:sz w:val="28"/>
          <w:szCs w:val="28"/>
        </w:rPr>
        <w:t xml:space="preserve">other </w:t>
      </w:r>
      <w:r w:rsidR="000446DE" w:rsidRPr="002F0BEA">
        <w:rPr>
          <w:rFonts w:asciiTheme="majorHAnsi" w:hAnsiTheme="majorHAnsi" w:cstheme="majorHAnsi"/>
          <w:sz w:val="28"/>
          <w:szCs w:val="28"/>
        </w:rPr>
        <w:t xml:space="preserve">relevant </w:t>
      </w:r>
      <w:r w:rsidR="007464D0" w:rsidRPr="002F0BEA">
        <w:rPr>
          <w:rFonts w:asciiTheme="majorHAnsi" w:hAnsiTheme="majorHAnsi" w:cstheme="majorHAnsi"/>
          <w:sz w:val="28"/>
          <w:szCs w:val="28"/>
        </w:rPr>
        <w:t xml:space="preserve">EU law </w:t>
      </w:r>
      <w:r w:rsidR="000446DE" w:rsidRPr="002F0BEA">
        <w:rPr>
          <w:rFonts w:asciiTheme="majorHAnsi" w:hAnsiTheme="majorHAnsi" w:cstheme="majorHAnsi"/>
          <w:sz w:val="28"/>
          <w:szCs w:val="28"/>
        </w:rPr>
        <w:t xml:space="preserve">that </w:t>
      </w:r>
      <w:r w:rsidR="007464D0" w:rsidRPr="002F0BEA">
        <w:rPr>
          <w:rFonts w:asciiTheme="majorHAnsi" w:hAnsiTheme="majorHAnsi" w:cstheme="majorHAnsi"/>
          <w:sz w:val="28"/>
          <w:szCs w:val="28"/>
        </w:rPr>
        <w:t>underpin</w:t>
      </w:r>
      <w:r w:rsidR="00A35EDD" w:rsidRPr="002F0BEA">
        <w:rPr>
          <w:rFonts w:asciiTheme="majorHAnsi" w:hAnsiTheme="majorHAnsi" w:cstheme="majorHAnsi"/>
          <w:sz w:val="28"/>
          <w:szCs w:val="28"/>
        </w:rPr>
        <w:t>s rights set out in the relevant chapter of the Belfast (Good Friday) Agreement</w:t>
      </w:r>
      <w:r w:rsidR="007464D0" w:rsidRPr="002F0BEA">
        <w:rPr>
          <w:rFonts w:asciiTheme="majorHAnsi" w:hAnsiTheme="majorHAnsi" w:cstheme="majorHAnsi"/>
          <w:sz w:val="28"/>
          <w:szCs w:val="28"/>
        </w:rPr>
        <w:t>. The UK Government has identified that these include, but are not limited to, the Victims’ Directive</w:t>
      </w:r>
      <w:r w:rsidRPr="002F0BEA">
        <w:rPr>
          <w:rFonts w:asciiTheme="majorHAnsi" w:hAnsiTheme="majorHAnsi" w:cstheme="majorHAnsi"/>
          <w:sz w:val="28"/>
          <w:szCs w:val="28"/>
        </w:rPr>
        <w:t>;</w:t>
      </w:r>
      <w:r w:rsidR="007464D0" w:rsidRPr="002F0BEA">
        <w:rPr>
          <w:rFonts w:asciiTheme="majorHAnsi" w:hAnsiTheme="majorHAnsi" w:cstheme="majorHAnsi"/>
          <w:sz w:val="28"/>
          <w:szCs w:val="28"/>
        </w:rPr>
        <w:t xml:space="preserve"> the Parental Leave Directive</w:t>
      </w:r>
      <w:r w:rsidRPr="002F0BEA">
        <w:rPr>
          <w:rFonts w:asciiTheme="majorHAnsi" w:hAnsiTheme="majorHAnsi" w:cstheme="majorHAnsi"/>
          <w:sz w:val="28"/>
          <w:szCs w:val="28"/>
        </w:rPr>
        <w:t>;</w:t>
      </w:r>
      <w:r w:rsidR="007464D0" w:rsidRPr="002F0BEA">
        <w:rPr>
          <w:rFonts w:asciiTheme="majorHAnsi" w:hAnsiTheme="majorHAnsi" w:cstheme="majorHAnsi"/>
          <w:sz w:val="28"/>
          <w:szCs w:val="28"/>
        </w:rPr>
        <w:t xml:space="preserve"> and the Pregnant Workers</w:t>
      </w:r>
      <w:r w:rsidRPr="002F0BEA">
        <w:rPr>
          <w:rFonts w:asciiTheme="majorHAnsi" w:hAnsiTheme="majorHAnsi" w:cstheme="majorHAnsi"/>
          <w:sz w:val="28"/>
          <w:szCs w:val="28"/>
        </w:rPr>
        <w:t>’</w:t>
      </w:r>
      <w:r w:rsidR="007464D0" w:rsidRPr="002F0BEA">
        <w:rPr>
          <w:rFonts w:asciiTheme="majorHAnsi" w:hAnsiTheme="majorHAnsi" w:cstheme="majorHAnsi"/>
          <w:sz w:val="28"/>
          <w:szCs w:val="28"/>
        </w:rPr>
        <w:t xml:space="preserve"> Directive. </w:t>
      </w:r>
      <w:r w:rsidRPr="002F0BEA">
        <w:rPr>
          <w:rFonts w:asciiTheme="majorHAnsi" w:hAnsiTheme="majorHAnsi" w:cstheme="majorHAnsi"/>
          <w:sz w:val="28"/>
          <w:szCs w:val="28"/>
        </w:rPr>
        <w:t xml:space="preserve">The </w:t>
      </w:r>
      <w:r w:rsidR="007464D0" w:rsidRPr="002F0BEA">
        <w:rPr>
          <w:rFonts w:asciiTheme="majorHAnsi" w:hAnsiTheme="majorHAnsi" w:cstheme="majorHAnsi"/>
          <w:sz w:val="28"/>
          <w:szCs w:val="28"/>
        </w:rPr>
        <w:t>UK Government has committed to ensuring that there will be no diminution of protections as were contained in relevant EU law on 31 December 2020.</w:t>
      </w:r>
      <w:r w:rsidR="007464D0" w:rsidRPr="002F0BEA">
        <w:rPr>
          <w:rStyle w:val="FootnoteReference"/>
          <w:rFonts w:asciiTheme="majorHAnsi" w:hAnsiTheme="majorHAnsi" w:cstheme="majorHAnsi"/>
          <w:sz w:val="28"/>
          <w:szCs w:val="28"/>
        </w:rPr>
        <w:footnoteReference w:id="6"/>
      </w:r>
    </w:p>
    <w:p w14:paraId="24455D51" w14:textId="4F9359CB" w:rsidR="007464D0" w:rsidRPr="002F0BEA" w:rsidRDefault="007464D0" w:rsidP="0054278B">
      <w:pPr>
        <w:pStyle w:val="ListParagraph"/>
        <w:numPr>
          <w:ilvl w:val="1"/>
          <w:numId w:val="21"/>
        </w:numPr>
        <w:spacing w:after="240" w:line="276" w:lineRule="auto"/>
        <w:ind w:left="709"/>
        <w:contextualSpacing w:val="0"/>
        <w:rPr>
          <w:rFonts w:asciiTheme="majorHAnsi" w:hAnsiTheme="majorHAnsi" w:cstheme="majorHAnsi"/>
          <w:sz w:val="28"/>
          <w:szCs w:val="28"/>
        </w:rPr>
      </w:pPr>
      <w:r w:rsidRPr="002F0BEA">
        <w:rPr>
          <w:rFonts w:asciiTheme="majorHAnsi" w:hAnsiTheme="majorHAnsi" w:cstheme="majorHAnsi"/>
          <w:color w:val="000000"/>
          <w:sz w:val="28"/>
          <w:szCs w:val="28"/>
        </w:rPr>
        <w:t xml:space="preserve">The UK has incorporated the Withdrawal Agreement, including the Protocol, into domestic law through the EU (Withdrawal Agreement) Act 2020. Section 7A EU (Withdrawal) Act 2018 provides that all rights, </w:t>
      </w:r>
      <w:proofErr w:type="gramStart"/>
      <w:r w:rsidRPr="002F0BEA">
        <w:rPr>
          <w:rFonts w:asciiTheme="majorHAnsi" w:hAnsiTheme="majorHAnsi" w:cstheme="majorHAnsi"/>
          <w:color w:val="000000"/>
          <w:sz w:val="28"/>
          <w:szCs w:val="28"/>
        </w:rPr>
        <w:t>obligations</w:t>
      </w:r>
      <w:proofErr w:type="gramEnd"/>
      <w:r w:rsidRPr="002F0BEA">
        <w:rPr>
          <w:rFonts w:asciiTheme="majorHAnsi" w:hAnsiTheme="majorHAnsi" w:cstheme="majorHAnsi"/>
          <w:color w:val="000000"/>
          <w:sz w:val="28"/>
          <w:szCs w:val="28"/>
        </w:rPr>
        <w:t xml:space="preserve"> and remedies from </w:t>
      </w:r>
      <w:r w:rsidR="00021C55" w:rsidRPr="00695254">
        <w:rPr>
          <w:rFonts w:asciiTheme="majorHAnsi" w:hAnsiTheme="majorHAnsi" w:cstheme="majorHAnsi"/>
          <w:color w:val="000000"/>
          <w:sz w:val="28"/>
          <w:szCs w:val="28"/>
        </w:rPr>
        <w:t>the</w:t>
      </w:r>
      <w:r w:rsidR="00021C55" w:rsidRPr="002F0BEA">
        <w:rPr>
          <w:rFonts w:asciiTheme="majorHAnsi" w:hAnsiTheme="majorHAnsi" w:cstheme="majorHAnsi"/>
          <w:color w:val="000000"/>
          <w:sz w:val="28"/>
          <w:szCs w:val="28"/>
        </w:rPr>
        <w:t xml:space="preserve"> </w:t>
      </w:r>
      <w:r w:rsidRPr="002F0BEA">
        <w:rPr>
          <w:rFonts w:asciiTheme="majorHAnsi" w:hAnsiTheme="majorHAnsi" w:cstheme="majorHAnsi"/>
          <w:color w:val="000000"/>
          <w:sz w:val="28"/>
          <w:szCs w:val="28"/>
        </w:rPr>
        <w:t xml:space="preserve">Withdrawal Agreement, including Protocol Article 2, are recognised and available in domestic law. </w:t>
      </w:r>
      <w:r w:rsidRPr="002F0BEA">
        <w:rPr>
          <w:rFonts w:asciiTheme="majorHAnsi" w:hAnsiTheme="majorHAnsi" w:cstheme="majorHAnsi"/>
          <w:sz w:val="28"/>
          <w:szCs w:val="28"/>
        </w:rPr>
        <w:t>The Commission</w:t>
      </w:r>
      <w:r w:rsidR="004936B1" w:rsidRPr="002F0BEA">
        <w:rPr>
          <w:rFonts w:asciiTheme="majorHAnsi" w:hAnsiTheme="majorHAnsi" w:cstheme="majorHAnsi"/>
          <w:sz w:val="28"/>
          <w:szCs w:val="28"/>
        </w:rPr>
        <w:t>s</w:t>
      </w:r>
      <w:r w:rsidRPr="002F0BEA">
        <w:rPr>
          <w:rFonts w:asciiTheme="majorHAnsi" w:hAnsiTheme="majorHAnsi" w:cstheme="majorHAnsi"/>
          <w:sz w:val="28"/>
          <w:szCs w:val="28"/>
        </w:rPr>
        <w:t xml:space="preserve"> ha</w:t>
      </w:r>
      <w:r w:rsidR="004936B1" w:rsidRPr="002F0BEA">
        <w:rPr>
          <w:rFonts w:asciiTheme="majorHAnsi" w:hAnsiTheme="majorHAnsi" w:cstheme="majorHAnsi"/>
          <w:sz w:val="28"/>
          <w:szCs w:val="28"/>
        </w:rPr>
        <w:t>ve</w:t>
      </w:r>
      <w:r w:rsidRPr="002F0BEA">
        <w:rPr>
          <w:rFonts w:asciiTheme="majorHAnsi" w:hAnsiTheme="majorHAnsi" w:cstheme="majorHAnsi"/>
          <w:sz w:val="28"/>
          <w:szCs w:val="28"/>
        </w:rPr>
        <w:t xml:space="preserve"> been given additional powers to oversee the UK Government’s commitment under Protocol Article 2.</w:t>
      </w:r>
      <w:r w:rsidR="00A569EE" w:rsidRPr="002F0BEA">
        <w:rPr>
          <w:rStyle w:val="FootnoteReference"/>
          <w:rFonts w:asciiTheme="majorHAnsi" w:hAnsiTheme="majorHAnsi" w:cstheme="majorHAnsi"/>
          <w:sz w:val="28"/>
          <w:szCs w:val="28"/>
        </w:rPr>
        <w:footnoteReference w:id="7"/>
      </w:r>
      <w:r w:rsidR="00B53CEB" w:rsidRPr="002F0BEA">
        <w:rPr>
          <w:rStyle w:val="FootnoteReference"/>
          <w:rFonts w:asciiTheme="majorHAnsi" w:hAnsiTheme="majorHAnsi" w:cstheme="majorHAnsi"/>
          <w:sz w:val="28"/>
          <w:szCs w:val="28"/>
        </w:rPr>
        <w:t xml:space="preserve"> </w:t>
      </w:r>
      <w:r w:rsidRPr="002F0BEA">
        <w:rPr>
          <w:rFonts w:asciiTheme="majorHAnsi" w:hAnsiTheme="majorHAnsi" w:cstheme="majorHAnsi"/>
          <w:sz w:val="28"/>
          <w:szCs w:val="28"/>
        </w:rPr>
        <w:t>The Commission</w:t>
      </w:r>
      <w:r w:rsidR="00D270F2" w:rsidRPr="002F0BEA">
        <w:rPr>
          <w:rFonts w:asciiTheme="majorHAnsi" w:hAnsiTheme="majorHAnsi" w:cstheme="majorHAnsi"/>
          <w:sz w:val="28"/>
          <w:szCs w:val="28"/>
        </w:rPr>
        <w:t>s</w:t>
      </w:r>
      <w:r w:rsidRPr="002F0BEA">
        <w:rPr>
          <w:rFonts w:asciiTheme="majorHAnsi" w:hAnsiTheme="majorHAnsi" w:cstheme="majorHAnsi"/>
          <w:sz w:val="28"/>
          <w:szCs w:val="28"/>
        </w:rPr>
        <w:t xml:space="preserve"> </w:t>
      </w:r>
      <w:r w:rsidR="00D270F2" w:rsidRPr="002F0BEA">
        <w:rPr>
          <w:rFonts w:asciiTheme="majorHAnsi" w:hAnsiTheme="majorHAnsi" w:cstheme="majorHAnsi"/>
          <w:sz w:val="28"/>
          <w:szCs w:val="28"/>
        </w:rPr>
        <w:t>are</w:t>
      </w:r>
      <w:r w:rsidRPr="002F0BEA">
        <w:rPr>
          <w:rFonts w:asciiTheme="majorHAnsi" w:hAnsiTheme="majorHAnsi" w:cstheme="majorHAnsi"/>
          <w:sz w:val="28"/>
          <w:szCs w:val="28"/>
        </w:rPr>
        <w:t xml:space="preserve"> responsible for providing advice to government and monitoring, supervising, </w:t>
      </w:r>
      <w:proofErr w:type="gramStart"/>
      <w:r w:rsidRPr="002F0BEA">
        <w:rPr>
          <w:rFonts w:asciiTheme="majorHAnsi" w:hAnsiTheme="majorHAnsi" w:cstheme="majorHAnsi"/>
          <w:sz w:val="28"/>
          <w:szCs w:val="28"/>
        </w:rPr>
        <w:t>enforcing</w:t>
      </w:r>
      <w:proofErr w:type="gramEnd"/>
      <w:r w:rsidRPr="002F0BEA">
        <w:rPr>
          <w:rFonts w:asciiTheme="majorHAnsi" w:hAnsiTheme="majorHAnsi" w:cstheme="majorHAnsi"/>
          <w:sz w:val="28"/>
          <w:szCs w:val="28"/>
        </w:rPr>
        <w:t xml:space="preserve"> and reporting on the ongoing implementation of this commitment.</w:t>
      </w:r>
    </w:p>
    <w:p w14:paraId="03E6341A" w14:textId="77777777" w:rsidR="001F2F1E" w:rsidRPr="002F0BEA" w:rsidRDefault="001F2F1E" w:rsidP="0054278B">
      <w:pPr>
        <w:pStyle w:val="ListParagraph"/>
        <w:spacing w:after="240" w:line="276" w:lineRule="auto"/>
        <w:ind w:left="709"/>
        <w:contextualSpacing w:val="0"/>
        <w:rPr>
          <w:rFonts w:asciiTheme="majorHAnsi" w:hAnsiTheme="majorHAnsi" w:cstheme="majorHAnsi"/>
          <w:sz w:val="28"/>
          <w:szCs w:val="28"/>
        </w:rPr>
      </w:pPr>
    </w:p>
    <w:p w14:paraId="49F9A129" w14:textId="0939AC0D" w:rsidR="007464D0" w:rsidRPr="002F0BEA" w:rsidRDefault="007464D0" w:rsidP="0054278B">
      <w:pPr>
        <w:pStyle w:val="Heading1"/>
        <w:numPr>
          <w:ilvl w:val="0"/>
          <w:numId w:val="22"/>
        </w:numPr>
        <w:spacing w:after="240" w:line="276" w:lineRule="auto"/>
        <w:rPr>
          <w:rFonts w:asciiTheme="majorHAnsi" w:hAnsiTheme="majorHAnsi" w:cstheme="majorHAnsi"/>
          <w:szCs w:val="40"/>
        </w:rPr>
      </w:pPr>
      <w:bookmarkStart w:id="3" w:name="_Toc116045311"/>
      <w:r w:rsidRPr="002F0BEA">
        <w:rPr>
          <w:rFonts w:asciiTheme="majorHAnsi" w:hAnsiTheme="majorHAnsi" w:cstheme="majorHAnsi"/>
          <w:szCs w:val="40"/>
        </w:rPr>
        <w:t xml:space="preserve">The </w:t>
      </w:r>
      <w:r w:rsidR="00D51BBB" w:rsidRPr="002F0BEA">
        <w:rPr>
          <w:rFonts w:asciiTheme="majorHAnsi" w:hAnsiTheme="majorHAnsi" w:cstheme="majorHAnsi"/>
          <w:szCs w:val="40"/>
        </w:rPr>
        <w:t>Protocol Bill</w:t>
      </w:r>
      <w:r w:rsidR="00BD77BC" w:rsidRPr="002F0BEA">
        <w:rPr>
          <w:rFonts w:asciiTheme="majorHAnsi" w:hAnsiTheme="majorHAnsi" w:cstheme="majorHAnsi"/>
          <w:szCs w:val="40"/>
        </w:rPr>
        <w:t xml:space="preserve"> and Article</w:t>
      </w:r>
      <w:r w:rsidR="004D0630" w:rsidRPr="002F0BEA">
        <w:rPr>
          <w:rFonts w:asciiTheme="majorHAnsi" w:hAnsiTheme="majorHAnsi" w:cstheme="majorHAnsi"/>
          <w:szCs w:val="40"/>
        </w:rPr>
        <w:t xml:space="preserve"> 2 of the Protocol</w:t>
      </w:r>
      <w:bookmarkEnd w:id="3"/>
    </w:p>
    <w:p w14:paraId="494E3A99" w14:textId="77777777" w:rsidR="00C16FEB" w:rsidRPr="002F0BEA" w:rsidRDefault="00184110" w:rsidP="007E64EA">
      <w:pPr>
        <w:pStyle w:val="ListParagraph"/>
        <w:spacing w:after="240" w:line="276" w:lineRule="auto"/>
        <w:ind w:left="709"/>
        <w:contextualSpacing w:val="0"/>
        <w:rPr>
          <w:rFonts w:asciiTheme="majorHAnsi" w:hAnsiTheme="majorHAnsi" w:cstheme="majorHAnsi"/>
          <w:b/>
          <w:bCs/>
          <w:i/>
          <w:iCs/>
          <w:sz w:val="28"/>
          <w:szCs w:val="28"/>
        </w:rPr>
      </w:pPr>
      <w:r w:rsidRPr="002F0BEA">
        <w:rPr>
          <w:rFonts w:asciiTheme="majorHAnsi" w:hAnsiTheme="majorHAnsi" w:cstheme="majorHAnsi"/>
          <w:b/>
          <w:bCs/>
          <w:i/>
          <w:iCs/>
          <w:sz w:val="28"/>
          <w:szCs w:val="28"/>
        </w:rPr>
        <w:t xml:space="preserve">Clause 20 </w:t>
      </w:r>
    </w:p>
    <w:p w14:paraId="771CE1EF" w14:textId="1ACFE23F" w:rsidR="00C16FEB" w:rsidRPr="002F0BEA" w:rsidRDefault="00193CC6" w:rsidP="0054278B">
      <w:pPr>
        <w:pStyle w:val="ListParagraph"/>
        <w:numPr>
          <w:ilvl w:val="1"/>
          <w:numId w:val="22"/>
        </w:numPr>
        <w:spacing w:after="240" w:line="276" w:lineRule="auto"/>
        <w:ind w:left="709"/>
        <w:contextualSpacing w:val="0"/>
        <w:rPr>
          <w:rFonts w:asciiTheme="majorHAnsi" w:hAnsiTheme="majorHAnsi" w:cstheme="majorHAnsi"/>
          <w:sz w:val="28"/>
          <w:szCs w:val="28"/>
        </w:rPr>
      </w:pPr>
      <w:r w:rsidRPr="002F0BEA">
        <w:rPr>
          <w:rFonts w:asciiTheme="majorHAnsi" w:hAnsiTheme="majorHAnsi" w:cstheme="majorHAnsi"/>
          <w:sz w:val="28"/>
          <w:szCs w:val="28"/>
        </w:rPr>
        <w:t>Clause 20(2)(a) of the Bill states that domestic courts and tribunals are “not bound by any principles laid down, or any decisions made, on or after the day on which this section comes into force by the European Court”. No exception is made for Protocol Article 2. This is a</w:t>
      </w:r>
      <w:r w:rsidR="00BF7087" w:rsidRPr="002F0BEA">
        <w:rPr>
          <w:rFonts w:asciiTheme="majorHAnsi" w:hAnsiTheme="majorHAnsi" w:cstheme="majorHAnsi"/>
          <w:sz w:val="28"/>
          <w:szCs w:val="28"/>
        </w:rPr>
        <w:t xml:space="preserve"> serious</w:t>
      </w:r>
      <w:r w:rsidRPr="002F0BEA">
        <w:rPr>
          <w:rFonts w:asciiTheme="majorHAnsi" w:hAnsiTheme="majorHAnsi" w:cstheme="majorHAnsi"/>
          <w:sz w:val="28"/>
          <w:szCs w:val="28"/>
        </w:rPr>
        <w:t xml:space="preserve"> omission because of the ‘keeping </w:t>
      </w:r>
      <w:r w:rsidRPr="002F0BEA">
        <w:rPr>
          <w:rFonts w:asciiTheme="majorHAnsi" w:hAnsiTheme="majorHAnsi" w:cstheme="majorHAnsi"/>
          <w:sz w:val="28"/>
          <w:szCs w:val="28"/>
        </w:rPr>
        <w:lastRenderedPageBreak/>
        <w:t xml:space="preserve">pace’ obligation associated with Protocol Article 2, by virtue of Protocol Article 13 (Common Provisions). </w:t>
      </w:r>
    </w:p>
    <w:p w14:paraId="267C4C60" w14:textId="478C169E" w:rsidR="00C16FEB" w:rsidRPr="002F0BEA" w:rsidRDefault="00193CC6" w:rsidP="0054278B">
      <w:pPr>
        <w:pStyle w:val="ListParagraph"/>
        <w:numPr>
          <w:ilvl w:val="1"/>
          <w:numId w:val="22"/>
        </w:numPr>
        <w:spacing w:after="240" w:line="276" w:lineRule="auto"/>
        <w:ind w:left="709"/>
        <w:contextualSpacing w:val="0"/>
        <w:rPr>
          <w:rFonts w:asciiTheme="majorHAnsi" w:hAnsiTheme="majorHAnsi" w:cstheme="majorHAnsi"/>
          <w:sz w:val="28"/>
          <w:szCs w:val="28"/>
        </w:rPr>
      </w:pPr>
      <w:r w:rsidRPr="002F0BEA">
        <w:rPr>
          <w:rFonts w:asciiTheme="majorHAnsi" w:hAnsiTheme="majorHAnsi" w:cstheme="majorHAnsi"/>
          <w:sz w:val="28"/>
          <w:szCs w:val="28"/>
        </w:rPr>
        <w:t xml:space="preserve">Protocol Article 13(3) states that references to EU law in the Protocol are to that law “as amended or replaced”. Six equality directives related to </w:t>
      </w:r>
      <w:r w:rsidR="00364998" w:rsidRPr="002F0BEA">
        <w:rPr>
          <w:rFonts w:asciiTheme="majorHAnsi" w:hAnsiTheme="majorHAnsi" w:cstheme="majorHAnsi"/>
          <w:sz w:val="28"/>
          <w:szCs w:val="28"/>
        </w:rPr>
        <w:t xml:space="preserve">Protocol </w:t>
      </w:r>
      <w:r w:rsidRPr="002F0BEA">
        <w:rPr>
          <w:rFonts w:asciiTheme="majorHAnsi" w:hAnsiTheme="majorHAnsi" w:cstheme="majorHAnsi"/>
          <w:sz w:val="28"/>
          <w:szCs w:val="28"/>
        </w:rPr>
        <w:t>Article 2 are listed in Annex 1 to the Protocol.</w:t>
      </w:r>
      <w:r w:rsidR="003865AB" w:rsidRPr="002F0BEA">
        <w:rPr>
          <w:rStyle w:val="FootnoteReference"/>
          <w:rFonts w:asciiTheme="majorHAnsi" w:hAnsiTheme="majorHAnsi" w:cstheme="majorHAnsi"/>
          <w:sz w:val="28"/>
          <w:szCs w:val="28"/>
        </w:rPr>
        <w:footnoteReference w:id="8"/>
      </w:r>
      <w:r w:rsidRPr="002F0BEA">
        <w:rPr>
          <w:rFonts w:asciiTheme="majorHAnsi" w:hAnsiTheme="majorHAnsi" w:cstheme="majorHAnsi"/>
          <w:sz w:val="28"/>
          <w:szCs w:val="28"/>
        </w:rPr>
        <w:t xml:space="preserve">  The law in NI therefore </w:t>
      </w:r>
      <w:proofErr w:type="gramStart"/>
      <w:r w:rsidRPr="002F0BEA">
        <w:rPr>
          <w:rFonts w:asciiTheme="majorHAnsi" w:hAnsiTheme="majorHAnsi" w:cstheme="majorHAnsi"/>
          <w:sz w:val="28"/>
          <w:szCs w:val="28"/>
        </w:rPr>
        <w:t>has to</w:t>
      </w:r>
      <w:proofErr w:type="gramEnd"/>
      <w:r w:rsidRPr="002F0BEA">
        <w:rPr>
          <w:rFonts w:asciiTheme="majorHAnsi" w:hAnsiTheme="majorHAnsi" w:cstheme="majorHAnsi"/>
          <w:sz w:val="28"/>
          <w:szCs w:val="28"/>
        </w:rPr>
        <w:t xml:space="preserve"> provide at least the same level of protection as that provided under any of those directives; and standards must be raised as required if those Directives are amended or replaced to enhance protections. </w:t>
      </w:r>
    </w:p>
    <w:p w14:paraId="741399DD" w14:textId="2D443C6A" w:rsidR="00C16FEB" w:rsidRPr="002F0BEA" w:rsidRDefault="00193CC6" w:rsidP="0054278B">
      <w:pPr>
        <w:pStyle w:val="ListParagraph"/>
        <w:numPr>
          <w:ilvl w:val="1"/>
          <w:numId w:val="22"/>
        </w:numPr>
        <w:spacing w:after="240" w:line="276" w:lineRule="auto"/>
        <w:ind w:left="709"/>
        <w:contextualSpacing w:val="0"/>
        <w:rPr>
          <w:rFonts w:asciiTheme="majorHAnsi" w:hAnsiTheme="majorHAnsi" w:cstheme="majorHAnsi"/>
          <w:sz w:val="28"/>
          <w:szCs w:val="28"/>
        </w:rPr>
      </w:pPr>
      <w:r w:rsidRPr="002F0BEA">
        <w:rPr>
          <w:rFonts w:asciiTheme="majorHAnsi" w:hAnsiTheme="majorHAnsi" w:cstheme="majorHAnsi"/>
          <w:sz w:val="28"/>
          <w:szCs w:val="28"/>
        </w:rPr>
        <w:t xml:space="preserve">Protocol Article 13(2) stipulates that provisions of the Protocol referring to EU law shall “be interpreted in conformity with the relevant case law of the Court of Justice of the EU” and </w:t>
      </w:r>
      <w:r w:rsidRPr="002F0BEA">
        <w:rPr>
          <w:rFonts w:asciiTheme="majorHAnsi" w:hAnsiTheme="majorHAnsi" w:cstheme="majorHAnsi"/>
          <w:sz w:val="28"/>
          <w:szCs w:val="28"/>
        </w:rPr>
        <w:t>distinguishes this obligation from the timebound requirement under Article 4 of the Withdrawal Agreement</w:t>
      </w:r>
      <w:r w:rsidR="00446B65" w:rsidRPr="002F0BEA">
        <w:rPr>
          <w:rFonts w:asciiTheme="majorHAnsi" w:hAnsiTheme="majorHAnsi" w:cstheme="majorHAnsi"/>
          <w:sz w:val="28"/>
          <w:szCs w:val="28"/>
        </w:rPr>
        <w:t>. This means</w:t>
      </w:r>
      <w:r w:rsidRPr="002F0BEA">
        <w:rPr>
          <w:rFonts w:asciiTheme="majorHAnsi" w:hAnsiTheme="majorHAnsi" w:cstheme="majorHAnsi"/>
          <w:sz w:val="28"/>
          <w:szCs w:val="28"/>
        </w:rPr>
        <w:t xml:space="preserve"> there is an ongoing interpretive duty as regards jurisprudence relating to the Annex 1 Directives. Th</w:t>
      </w:r>
      <w:r w:rsidR="00021C55" w:rsidRPr="002F0BEA">
        <w:rPr>
          <w:rFonts w:asciiTheme="majorHAnsi" w:hAnsiTheme="majorHAnsi" w:cstheme="majorHAnsi"/>
          <w:sz w:val="28"/>
          <w:szCs w:val="28"/>
        </w:rPr>
        <w:t>erefore</w:t>
      </w:r>
      <w:r w:rsidRPr="002F0BEA">
        <w:rPr>
          <w:rFonts w:asciiTheme="majorHAnsi" w:hAnsiTheme="majorHAnsi" w:cstheme="majorHAnsi"/>
          <w:sz w:val="28"/>
          <w:szCs w:val="28"/>
        </w:rPr>
        <w:t xml:space="preserve">, under the Protocol, the standards set out in the six Directives must be interpreted by domestic courts to ensure at least the same level of protection as is available </w:t>
      </w:r>
      <w:r w:rsidRPr="002F0BEA">
        <w:rPr>
          <w:rFonts w:asciiTheme="majorHAnsi" w:hAnsiTheme="majorHAnsi" w:cstheme="majorHAnsi"/>
          <w:sz w:val="28"/>
          <w:szCs w:val="28"/>
        </w:rPr>
        <w:t>under CJEU interpretation.</w:t>
      </w:r>
    </w:p>
    <w:p w14:paraId="4922C878" w14:textId="3C6DEA5C" w:rsidR="00193CC6" w:rsidRPr="002F0BEA" w:rsidRDefault="00193CC6" w:rsidP="0054278B">
      <w:pPr>
        <w:pStyle w:val="ListParagraph"/>
        <w:numPr>
          <w:ilvl w:val="1"/>
          <w:numId w:val="22"/>
        </w:numPr>
        <w:spacing w:after="240" w:line="276" w:lineRule="auto"/>
        <w:ind w:left="709"/>
        <w:contextualSpacing w:val="0"/>
        <w:rPr>
          <w:rFonts w:asciiTheme="majorHAnsi" w:hAnsiTheme="majorHAnsi" w:cstheme="majorHAnsi"/>
          <w:sz w:val="28"/>
          <w:szCs w:val="28"/>
        </w:rPr>
      </w:pPr>
      <w:r w:rsidRPr="002F0BEA">
        <w:rPr>
          <w:rFonts w:asciiTheme="majorHAnsi" w:hAnsiTheme="majorHAnsi" w:cstheme="majorHAnsi"/>
          <w:sz w:val="28"/>
          <w:szCs w:val="28"/>
        </w:rPr>
        <w:t xml:space="preserve">Failure to make an exception for </w:t>
      </w:r>
      <w:r w:rsidR="00364998" w:rsidRPr="002F0BEA">
        <w:rPr>
          <w:rFonts w:asciiTheme="majorHAnsi" w:hAnsiTheme="majorHAnsi" w:cstheme="majorHAnsi"/>
          <w:sz w:val="28"/>
          <w:szCs w:val="28"/>
        </w:rPr>
        <w:t xml:space="preserve">Protocol </w:t>
      </w:r>
      <w:r w:rsidRPr="002F0BEA">
        <w:rPr>
          <w:rFonts w:asciiTheme="majorHAnsi" w:hAnsiTheme="majorHAnsi" w:cstheme="majorHAnsi"/>
          <w:sz w:val="28"/>
          <w:szCs w:val="28"/>
        </w:rPr>
        <w:t>Article 2, in the text of Clause 20(2)(a)</w:t>
      </w:r>
      <w:r w:rsidR="009E6878" w:rsidRPr="002F0BEA">
        <w:rPr>
          <w:rFonts w:asciiTheme="majorHAnsi" w:hAnsiTheme="majorHAnsi" w:cstheme="majorHAnsi"/>
          <w:sz w:val="28"/>
          <w:szCs w:val="28"/>
        </w:rPr>
        <w:t>,</w:t>
      </w:r>
      <w:r w:rsidRPr="002F0BEA">
        <w:rPr>
          <w:rFonts w:asciiTheme="majorHAnsi" w:hAnsiTheme="majorHAnsi" w:cstheme="majorHAnsi"/>
          <w:sz w:val="28"/>
          <w:szCs w:val="28"/>
        </w:rPr>
        <w:t xml:space="preserve"> may suggest that domestic courts need not adhere to the interpretive requirement in Protocol Article 13, contrary to the Protocol and inconsistent with Clause 15 of the Bill.</w:t>
      </w:r>
    </w:p>
    <w:p w14:paraId="5FC49620" w14:textId="01D913ED" w:rsidR="009877A5" w:rsidRPr="002F0BEA" w:rsidRDefault="0037445E" w:rsidP="0054278B">
      <w:pPr>
        <w:pStyle w:val="ListParagraph"/>
        <w:numPr>
          <w:ilvl w:val="1"/>
          <w:numId w:val="22"/>
        </w:numPr>
        <w:spacing w:after="240" w:line="276" w:lineRule="auto"/>
        <w:ind w:left="709"/>
        <w:contextualSpacing w:val="0"/>
        <w:rPr>
          <w:rFonts w:asciiTheme="majorHAnsi" w:hAnsiTheme="majorHAnsi" w:cstheme="majorHAnsi"/>
          <w:b/>
          <w:sz w:val="28"/>
          <w:szCs w:val="28"/>
        </w:rPr>
      </w:pPr>
      <w:r w:rsidRPr="002F0BEA">
        <w:rPr>
          <w:rFonts w:asciiTheme="majorHAnsi" w:hAnsiTheme="majorHAnsi" w:cstheme="majorHAnsi"/>
          <w:b/>
          <w:sz w:val="28"/>
          <w:szCs w:val="28"/>
        </w:rPr>
        <w:t xml:space="preserve">The Commissions recommend that Clause 20 be amended to ensure that it does not impact </w:t>
      </w:r>
      <w:r w:rsidR="004C5594" w:rsidRPr="002F0BEA">
        <w:rPr>
          <w:rFonts w:asciiTheme="majorHAnsi" w:hAnsiTheme="majorHAnsi" w:cstheme="majorHAnsi"/>
          <w:b/>
          <w:sz w:val="28"/>
          <w:szCs w:val="28"/>
        </w:rPr>
        <w:t xml:space="preserve">on </w:t>
      </w:r>
      <w:r w:rsidRPr="002F0BEA">
        <w:rPr>
          <w:rFonts w:asciiTheme="majorHAnsi" w:hAnsiTheme="majorHAnsi" w:cstheme="majorHAnsi"/>
          <w:b/>
          <w:sz w:val="28"/>
          <w:szCs w:val="28"/>
        </w:rPr>
        <w:t>the duty</w:t>
      </w:r>
      <w:r w:rsidR="004C5594" w:rsidRPr="002F0BEA">
        <w:rPr>
          <w:rFonts w:asciiTheme="majorHAnsi" w:hAnsiTheme="majorHAnsi" w:cstheme="majorHAnsi"/>
          <w:b/>
          <w:sz w:val="28"/>
          <w:szCs w:val="28"/>
        </w:rPr>
        <w:t xml:space="preserve">, under Protocol Article 13(2), </w:t>
      </w:r>
      <w:r w:rsidRPr="002F0BEA">
        <w:rPr>
          <w:rFonts w:asciiTheme="majorHAnsi" w:hAnsiTheme="majorHAnsi" w:cstheme="majorHAnsi"/>
          <w:b/>
          <w:sz w:val="28"/>
          <w:szCs w:val="28"/>
        </w:rPr>
        <w:t>o</w:t>
      </w:r>
      <w:r w:rsidR="002A735F" w:rsidRPr="002F0BEA">
        <w:rPr>
          <w:rFonts w:asciiTheme="majorHAnsi" w:hAnsiTheme="majorHAnsi" w:cstheme="majorHAnsi"/>
          <w:b/>
          <w:sz w:val="28"/>
          <w:szCs w:val="28"/>
        </w:rPr>
        <w:t>n</w:t>
      </w:r>
      <w:r w:rsidRPr="002F0BEA">
        <w:rPr>
          <w:rFonts w:asciiTheme="majorHAnsi" w:hAnsiTheme="majorHAnsi" w:cstheme="majorHAnsi"/>
          <w:b/>
          <w:sz w:val="28"/>
          <w:szCs w:val="28"/>
        </w:rPr>
        <w:t xml:space="preserve"> domestic courts and tribunals to </w:t>
      </w:r>
      <w:r w:rsidR="004C5594" w:rsidRPr="002F0BEA">
        <w:rPr>
          <w:rFonts w:asciiTheme="majorHAnsi" w:hAnsiTheme="majorHAnsi" w:cstheme="majorHAnsi"/>
          <w:b/>
          <w:bCs/>
          <w:sz w:val="28"/>
          <w:szCs w:val="28"/>
        </w:rPr>
        <w:t>interpret EU law relevant to Protocol Article 2 in conformity with the relevant case law of the CJEU.</w:t>
      </w:r>
      <w:r w:rsidR="004C5594" w:rsidRPr="002F0BEA">
        <w:rPr>
          <w:rFonts w:asciiTheme="majorHAnsi" w:hAnsiTheme="majorHAnsi" w:cstheme="majorHAnsi"/>
          <w:sz w:val="28"/>
          <w:szCs w:val="28"/>
        </w:rPr>
        <w:t xml:space="preserve"> </w:t>
      </w:r>
    </w:p>
    <w:p w14:paraId="243CF43C" w14:textId="77777777" w:rsidR="00F213C1" w:rsidRPr="002F0BEA" w:rsidRDefault="00F213C1" w:rsidP="0054278B">
      <w:pPr>
        <w:pStyle w:val="ListParagraph"/>
        <w:spacing w:after="240" w:line="276" w:lineRule="auto"/>
        <w:ind w:left="709"/>
        <w:contextualSpacing w:val="0"/>
        <w:rPr>
          <w:rFonts w:asciiTheme="majorHAnsi" w:hAnsiTheme="majorHAnsi" w:cstheme="majorHAnsi"/>
          <w:b/>
          <w:bCs/>
          <w:i/>
          <w:iCs/>
          <w:sz w:val="28"/>
          <w:szCs w:val="28"/>
        </w:rPr>
      </w:pPr>
    </w:p>
    <w:p w14:paraId="781545E3" w14:textId="54647BE4" w:rsidR="00B75AF1" w:rsidRPr="002F0BEA" w:rsidRDefault="00B75AF1" w:rsidP="0054278B">
      <w:pPr>
        <w:pStyle w:val="ListParagraph"/>
        <w:spacing w:after="240" w:line="276" w:lineRule="auto"/>
        <w:ind w:left="709"/>
        <w:contextualSpacing w:val="0"/>
        <w:rPr>
          <w:rFonts w:asciiTheme="majorHAnsi" w:hAnsiTheme="majorHAnsi" w:cstheme="majorHAnsi"/>
          <w:b/>
          <w:bCs/>
          <w:i/>
          <w:iCs/>
          <w:sz w:val="28"/>
          <w:szCs w:val="28"/>
        </w:rPr>
      </w:pPr>
      <w:r w:rsidRPr="002F0BEA">
        <w:rPr>
          <w:rFonts w:asciiTheme="majorHAnsi" w:hAnsiTheme="majorHAnsi" w:cstheme="majorHAnsi"/>
          <w:b/>
          <w:bCs/>
          <w:i/>
          <w:iCs/>
          <w:sz w:val="28"/>
          <w:szCs w:val="28"/>
        </w:rPr>
        <w:lastRenderedPageBreak/>
        <w:t>Clause 13</w:t>
      </w:r>
    </w:p>
    <w:p w14:paraId="7C72EA4F" w14:textId="62E51F7F" w:rsidR="00B75AF1" w:rsidRPr="002F0BEA" w:rsidRDefault="00B75AF1" w:rsidP="0054278B">
      <w:pPr>
        <w:pStyle w:val="ListParagraph"/>
        <w:numPr>
          <w:ilvl w:val="1"/>
          <w:numId w:val="22"/>
        </w:numPr>
        <w:spacing w:after="240" w:line="276" w:lineRule="auto"/>
        <w:ind w:left="709" w:hanging="709"/>
        <w:contextualSpacing w:val="0"/>
        <w:rPr>
          <w:rFonts w:asciiTheme="majorHAnsi" w:hAnsiTheme="majorHAnsi" w:cstheme="majorHAnsi"/>
          <w:sz w:val="28"/>
          <w:szCs w:val="28"/>
        </w:rPr>
      </w:pPr>
      <w:r w:rsidRPr="002F0BEA">
        <w:rPr>
          <w:rFonts w:asciiTheme="majorHAnsi" w:hAnsiTheme="majorHAnsi" w:cstheme="majorHAnsi"/>
          <w:sz w:val="28"/>
          <w:szCs w:val="28"/>
        </w:rPr>
        <w:t>Clause 13(1) states that any provision of the Protocol or Withdrawal Agreement is excluded provision so far as it confers jurisdiction on the CJEU in relation to the Protocol or the Withdrawal Agreement</w:t>
      </w:r>
      <w:r w:rsidR="00C44857" w:rsidRPr="002F0BEA">
        <w:rPr>
          <w:rFonts w:asciiTheme="majorHAnsi" w:hAnsiTheme="majorHAnsi" w:cstheme="majorHAnsi"/>
          <w:sz w:val="28"/>
          <w:szCs w:val="28"/>
        </w:rPr>
        <w:t>,</w:t>
      </w:r>
      <w:r w:rsidRPr="002F0BEA">
        <w:rPr>
          <w:rFonts w:asciiTheme="majorHAnsi" w:hAnsiTheme="majorHAnsi" w:cstheme="majorHAnsi"/>
          <w:sz w:val="28"/>
          <w:szCs w:val="28"/>
        </w:rPr>
        <w:t xml:space="preserve"> whether the jurisdiction relates to excluded provision or any other matter. </w:t>
      </w:r>
    </w:p>
    <w:p w14:paraId="136E3BFF" w14:textId="6114040E" w:rsidR="00B75AF1" w:rsidRPr="002F0BEA" w:rsidRDefault="00B75AF1" w:rsidP="0054278B">
      <w:pPr>
        <w:pStyle w:val="ListParagraph"/>
        <w:numPr>
          <w:ilvl w:val="1"/>
          <w:numId w:val="22"/>
        </w:numPr>
        <w:spacing w:after="240" w:line="276" w:lineRule="auto"/>
        <w:ind w:left="709" w:hanging="709"/>
        <w:contextualSpacing w:val="0"/>
        <w:rPr>
          <w:rFonts w:asciiTheme="majorHAnsi" w:hAnsiTheme="majorHAnsi" w:cstheme="majorHAnsi"/>
          <w:sz w:val="28"/>
          <w:szCs w:val="28"/>
        </w:rPr>
      </w:pPr>
      <w:r w:rsidRPr="002F0BEA">
        <w:rPr>
          <w:rFonts w:asciiTheme="majorHAnsi" w:hAnsiTheme="majorHAnsi" w:cstheme="majorHAnsi"/>
          <w:sz w:val="28"/>
          <w:szCs w:val="28"/>
        </w:rPr>
        <w:t xml:space="preserve">This may be relevant to Protocol Article 2. Under Article 164 of the Withdrawal Agreement, the </w:t>
      </w:r>
      <w:proofErr w:type="gramStart"/>
      <w:r w:rsidRPr="002F0BEA">
        <w:rPr>
          <w:rFonts w:asciiTheme="majorHAnsi" w:hAnsiTheme="majorHAnsi" w:cstheme="majorHAnsi"/>
          <w:sz w:val="28"/>
          <w:szCs w:val="28"/>
        </w:rPr>
        <w:t>UK</w:t>
      </w:r>
      <w:proofErr w:type="gramEnd"/>
      <w:r w:rsidRPr="002F0BEA">
        <w:rPr>
          <w:rFonts w:asciiTheme="majorHAnsi" w:hAnsiTheme="majorHAnsi" w:cstheme="majorHAnsi"/>
          <w:sz w:val="28"/>
          <w:szCs w:val="28"/>
        </w:rPr>
        <w:t xml:space="preserve"> and the EU, through the Joint Committee, supervise and facilitate the implementation of the UK-EU Withdrawal Agreement. The Joint Committee can adopt decisions and make appropriate recommendations to the UK and EU. Such decisions shall be agreed by mutual consent between the parties, have the same legal effect as the Withdrawal Agreement and </w:t>
      </w:r>
      <w:r w:rsidR="00852F61" w:rsidRPr="002F0BEA">
        <w:rPr>
          <w:rFonts w:asciiTheme="majorHAnsi" w:hAnsiTheme="majorHAnsi" w:cstheme="majorHAnsi"/>
          <w:sz w:val="28"/>
          <w:szCs w:val="28"/>
        </w:rPr>
        <w:t>are</w:t>
      </w:r>
      <w:r w:rsidRPr="002F0BEA">
        <w:rPr>
          <w:rFonts w:asciiTheme="majorHAnsi" w:hAnsiTheme="majorHAnsi" w:cstheme="majorHAnsi"/>
          <w:sz w:val="28"/>
          <w:szCs w:val="28"/>
        </w:rPr>
        <w:t xml:space="preserve"> binding on both parties.  Where there is a dispute on the application and interpretation of the UK-EU Withdrawal Agreement that cannot be resolved through the Joint Committee, it will be subject to arbitration and any decision of the arbitration panel will be binding on both parties.  Under Article 174 of the Withdrawal Agreement, where a dispute relates to specified matters, including the interpretation of EU law, an arbitration panel must ask the CJEU to provide its interpretation and the CJEU’s interpretation will be binding. To the extent that Clause 13 of the Bill would restrict the CJEU’s interpretive role in disputes relevant to Protocol Article 2, the Commissions would regard this as a weakening of the non-diminution commitment.</w:t>
      </w:r>
    </w:p>
    <w:p w14:paraId="4F6FC05F" w14:textId="761CE8A0" w:rsidR="00352CC8" w:rsidRPr="002F0BEA" w:rsidRDefault="009A7718" w:rsidP="0054278B">
      <w:pPr>
        <w:pStyle w:val="ListParagraph"/>
        <w:numPr>
          <w:ilvl w:val="1"/>
          <w:numId w:val="22"/>
        </w:numPr>
        <w:spacing w:after="240" w:line="276" w:lineRule="auto"/>
        <w:ind w:left="709" w:hanging="709"/>
        <w:contextualSpacing w:val="0"/>
        <w:rPr>
          <w:rFonts w:asciiTheme="majorHAnsi" w:hAnsiTheme="majorHAnsi" w:cstheme="majorHAnsi"/>
          <w:b/>
          <w:bCs/>
          <w:sz w:val="28"/>
          <w:szCs w:val="28"/>
        </w:rPr>
      </w:pPr>
      <w:r w:rsidRPr="002F0BEA">
        <w:rPr>
          <w:rFonts w:asciiTheme="majorHAnsi" w:hAnsiTheme="majorHAnsi" w:cstheme="majorHAnsi"/>
          <w:b/>
          <w:bCs/>
          <w:sz w:val="28"/>
          <w:szCs w:val="28"/>
        </w:rPr>
        <w:t xml:space="preserve">The Commissions recommend that Clause 13 be amended to </w:t>
      </w:r>
      <w:r w:rsidR="004225E5" w:rsidRPr="002F0BEA">
        <w:rPr>
          <w:rFonts w:asciiTheme="majorHAnsi" w:hAnsiTheme="majorHAnsi" w:cstheme="majorHAnsi"/>
          <w:b/>
          <w:bCs/>
          <w:sz w:val="28"/>
          <w:szCs w:val="28"/>
        </w:rPr>
        <w:t>make clear</w:t>
      </w:r>
      <w:r w:rsidRPr="002F0BEA">
        <w:rPr>
          <w:rFonts w:asciiTheme="majorHAnsi" w:hAnsiTheme="majorHAnsi" w:cstheme="majorHAnsi"/>
          <w:b/>
          <w:bCs/>
          <w:sz w:val="28"/>
          <w:szCs w:val="28"/>
        </w:rPr>
        <w:t xml:space="preserve"> that subsection 1 does not restrict the role of the CJEU where it is asked to give a ruling under Article 174 of the Withdrawal Agreement (Disputes raising questions of Union law), </w:t>
      </w:r>
      <w:r w:rsidR="00E27440" w:rsidRPr="002F0BEA">
        <w:rPr>
          <w:rFonts w:asciiTheme="majorHAnsi" w:hAnsiTheme="majorHAnsi" w:cstheme="majorHAnsi"/>
          <w:b/>
          <w:bCs/>
          <w:sz w:val="28"/>
          <w:szCs w:val="28"/>
        </w:rPr>
        <w:t xml:space="preserve">relating </w:t>
      </w:r>
      <w:r w:rsidRPr="002F0BEA">
        <w:rPr>
          <w:rFonts w:asciiTheme="majorHAnsi" w:hAnsiTheme="majorHAnsi" w:cstheme="majorHAnsi"/>
          <w:b/>
          <w:bCs/>
          <w:sz w:val="28"/>
          <w:szCs w:val="28"/>
        </w:rPr>
        <w:t xml:space="preserve">to the interpretation of </w:t>
      </w:r>
      <w:r w:rsidR="00E27440" w:rsidRPr="002F0BEA">
        <w:rPr>
          <w:rFonts w:asciiTheme="majorHAnsi" w:hAnsiTheme="majorHAnsi" w:cstheme="majorHAnsi"/>
          <w:b/>
          <w:bCs/>
          <w:sz w:val="28"/>
          <w:szCs w:val="28"/>
        </w:rPr>
        <w:t xml:space="preserve">EU law relevant to </w:t>
      </w:r>
      <w:r w:rsidRPr="002F0BEA">
        <w:rPr>
          <w:rFonts w:asciiTheme="majorHAnsi" w:hAnsiTheme="majorHAnsi" w:cstheme="majorHAnsi"/>
          <w:b/>
          <w:bCs/>
          <w:sz w:val="28"/>
          <w:szCs w:val="28"/>
        </w:rPr>
        <w:t>Protocol Article 2.</w:t>
      </w:r>
    </w:p>
    <w:p w14:paraId="4435AFC0" w14:textId="5AEA0369" w:rsidR="007F1416" w:rsidRPr="002F0BEA" w:rsidRDefault="007F1416" w:rsidP="007F1416">
      <w:pPr>
        <w:pStyle w:val="ListParagraph"/>
        <w:spacing w:after="240" w:line="276" w:lineRule="auto"/>
        <w:ind w:left="709"/>
        <w:contextualSpacing w:val="0"/>
        <w:rPr>
          <w:rFonts w:asciiTheme="majorHAnsi" w:hAnsiTheme="majorHAnsi" w:cstheme="majorHAnsi"/>
          <w:b/>
          <w:bCs/>
          <w:i/>
          <w:iCs/>
          <w:sz w:val="28"/>
          <w:szCs w:val="28"/>
        </w:rPr>
      </w:pPr>
      <w:r w:rsidRPr="002F0BEA">
        <w:rPr>
          <w:rFonts w:asciiTheme="majorHAnsi" w:hAnsiTheme="majorHAnsi" w:cstheme="majorHAnsi"/>
          <w:b/>
          <w:bCs/>
          <w:i/>
          <w:iCs/>
          <w:sz w:val="28"/>
          <w:szCs w:val="28"/>
        </w:rPr>
        <w:t>Clause 15</w:t>
      </w:r>
    </w:p>
    <w:p w14:paraId="3FF8694E" w14:textId="77777777" w:rsidR="0054278B" w:rsidRPr="002F0BEA" w:rsidRDefault="0054278B" w:rsidP="0054278B">
      <w:pPr>
        <w:pStyle w:val="ListParagraph"/>
        <w:numPr>
          <w:ilvl w:val="1"/>
          <w:numId w:val="22"/>
        </w:numPr>
        <w:spacing w:after="240" w:line="276" w:lineRule="auto"/>
        <w:ind w:left="709" w:hanging="709"/>
        <w:contextualSpacing w:val="0"/>
        <w:rPr>
          <w:rFonts w:asciiTheme="majorHAnsi" w:hAnsiTheme="majorHAnsi" w:cstheme="majorHAnsi"/>
          <w:sz w:val="28"/>
          <w:szCs w:val="28"/>
        </w:rPr>
      </w:pPr>
      <w:r w:rsidRPr="002F0BEA">
        <w:rPr>
          <w:rFonts w:asciiTheme="majorHAnsi" w:hAnsiTheme="majorHAnsi" w:cstheme="majorHAnsi"/>
          <w:sz w:val="28"/>
          <w:szCs w:val="28"/>
        </w:rPr>
        <w:t xml:space="preserve">While, as mentioned, Clause 15(3) protects Protocol Article 2 insofar as it states that Ministers may not use the powers conferred in the Clause to define Protocol Article 2 as ‘excluded provision’, it does not protect other aspects of the Protocol which are relevant to the implementation of Protocol Article 2. </w:t>
      </w:r>
    </w:p>
    <w:p w14:paraId="37EC9E2B" w14:textId="77777777" w:rsidR="0054278B" w:rsidRPr="002F0BEA" w:rsidRDefault="0054278B" w:rsidP="0054278B">
      <w:pPr>
        <w:pStyle w:val="ListParagraph"/>
        <w:numPr>
          <w:ilvl w:val="1"/>
          <w:numId w:val="22"/>
        </w:numPr>
        <w:spacing w:after="240" w:line="276" w:lineRule="auto"/>
        <w:ind w:left="709" w:hanging="709"/>
        <w:contextualSpacing w:val="0"/>
        <w:rPr>
          <w:rFonts w:asciiTheme="majorHAnsi" w:hAnsiTheme="majorHAnsi" w:cstheme="majorHAnsi"/>
          <w:sz w:val="28"/>
          <w:szCs w:val="28"/>
        </w:rPr>
      </w:pPr>
      <w:r w:rsidRPr="002F0BEA">
        <w:rPr>
          <w:rFonts w:asciiTheme="majorHAnsi" w:hAnsiTheme="majorHAnsi" w:cstheme="majorHAnsi"/>
          <w:sz w:val="28"/>
          <w:szCs w:val="28"/>
        </w:rPr>
        <w:lastRenderedPageBreak/>
        <w:t>Article 14(c) of the Protocol provides that the UK-EU Specialised Committee on the Protocol shall “consider any matter of relevance to Article 2 of this Protocol brought to its attention by the Northern Ireland Human Rights Commission, the Equality Commission for Northern Ireland, and the Joint Committee of representatives of the Human Rights Commissions of Northern Ireland and Ireland”.</w:t>
      </w:r>
    </w:p>
    <w:p w14:paraId="5800FB27" w14:textId="07EFB017" w:rsidR="00C566E6" w:rsidRPr="002F0BEA" w:rsidRDefault="0054278B" w:rsidP="00DF1377">
      <w:pPr>
        <w:pStyle w:val="ListParagraph"/>
        <w:numPr>
          <w:ilvl w:val="1"/>
          <w:numId w:val="22"/>
        </w:numPr>
        <w:spacing w:after="240" w:line="276" w:lineRule="auto"/>
        <w:ind w:left="709" w:hanging="709"/>
        <w:contextualSpacing w:val="0"/>
        <w:rPr>
          <w:rFonts w:asciiTheme="majorHAnsi" w:hAnsiTheme="majorHAnsi" w:cstheme="majorHAnsi"/>
          <w:sz w:val="28"/>
          <w:szCs w:val="28"/>
        </w:rPr>
      </w:pPr>
      <w:r w:rsidRPr="002F0BEA">
        <w:rPr>
          <w:rFonts w:asciiTheme="majorHAnsi" w:hAnsiTheme="majorHAnsi" w:cstheme="majorHAnsi"/>
          <w:sz w:val="28"/>
          <w:szCs w:val="28"/>
        </w:rPr>
        <w:t>Clause 15 does not explicitly protect Protocol Article 14</w:t>
      </w:r>
      <w:r w:rsidR="00F36F05" w:rsidRPr="002F0BEA">
        <w:rPr>
          <w:rFonts w:asciiTheme="majorHAnsi" w:hAnsiTheme="majorHAnsi" w:cstheme="majorHAnsi"/>
          <w:sz w:val="28"/>
          <w:szCs w:val="28"/>
        </w:rPr>
        <w:t>(c)</w:t>
      </w:r>
      <w:r w:rsidRPr="002F0BEA">
        <w:rPr>
          <w:rFonts w:asciiTheme="majorHAnsi" w:hAnsiTheme="majorHAnsi" w:cstheme="majorHAnsi"/>
          <w:sz w:val="28"/>
          <w:szCs w:val="28"/>
        </w:rPr>
        <w:t xml:space="preserve"> from becoming excluded provision. Nor does it protect Protocol Article 15 (Joint Consultative Working Group)</w:t>
      </w:r>
      <w:r w:rsidR="00C566E6" w:rsidRPr="002F0BEA">
        <w:rPr>
          <w:rFonts w:asciiTheme="majorHAnsi" w:hAnsiTheme="majorHAnsi" w:cstheme="majorHAnsi"/>
          <w:sz w:val="28"/>
          <w:szCs w:val="28"/>
        </w:rPr>
        <w:t>, in the context of its relevance to Protocol Article 2,</w:t>
      </w:r>
      <w:r w:rsidRPr="002F0BEA">
        <w:rPr>
          <w:rFonts w:asciiTheme="majorHAnsi" w:hAnsiTheme="majorHAnsi" w:cstheme="majorHAnsi"/>
          <w:sz w:val="28"/>
          <w:szCs w:val="28"/>
        </w:rPr>
        <w:t xml:space="preserve"> which is to “serve as a forum for the exchange of information and mutual consultation”, </w:t>
      </w:r>
      <w:r w:rsidR="00F36F05" w:rsidRPr="002F0BEA">
        <w:rPr>
          <w:rFonts w:asciiTheme="majorHAnsi" w:hAnsiTheme="majorHAnsi" w:cstheme="majorHAnsi"/>
          <w:sz w:val="28"/>
          <w:szCs w:val="28"/>
        </w:rPr>
        <w:t xml:space="preserve">and which is </w:t>
      </w:r>
      <w:r w:rsidRPr="002F0BEA">
        <w:rPr>
          <w:rFonts w:asciiTheme="majorHAnsi" w:hAnsiTheme="majorHAnsi" w:cstheme="majorHAnsi"/>
          <w:sz w:val="28"/>
          <w:szCs w:val="28"/>
        </w:rPr>
        <w:t>also important for the effective operation of Protocol Article 2.</w:t>
      </w:r>
      <w:r w:rsidR="00C566E6" w:rsidRPr="002F0BEA">
        <w:rPr>
          <w:rFonts w:asciiTheme="majorHAnsi" w:hAnsiTheme="majorHAnsi" w:cstheme="majorHAnsi"/>
          <w:sz w:val="28"/>
          <w:szCs w:val="28"/>
        </w:rPr>
        <w:t xml:space="preserve"> </w:t>
      </w:r>
    </w:p>
    <w:p w14:paraId="34C8ADAE" w14:textId="0DD56D65" w:rsidR="000D1D4C" w:rsidRPr="002F0BEA" w:rsidRDefault="00FE0CC8" w:rsidP="000D1D4C">
      <w:pPr>
        <w:pStyle w:val="ListParagraph"/>
        <w:numPr>
          <w:ilvl w:val="1"/>
          <w:numId w:val="22"/>
        </w:numPr>
        <w:spacing w:after="240" w:line="276" w:lineRule="auto"/>
        <w:ind w:left="709" w:hanging="709"/>
        <w:contextualSpacing w:val="0"/>
        <w:rPr>
          <w:rFonts w:asciiTheme="majorHAnsi" w:hAnsiTheme="majorHAnsi" w:cstheme="majorHAnsi"/>
          <w:sz w:val="28"/>
          <w:szCs w:val="28"/>
        </w:rPr>
      </w:pPr>
      <w:r w:rsidRPr="002F0BEA">
        <w:rPr>
          <w:rFonts w:asciiTheme="majorHAnsi" w:hAnsiTheme="majorHAnsi" w:cstheme="majorHAnsi"/>
          <w:sz w:val="28"/>
          <w:szCs w:val="28"/>
        </w:rPr>
        <w:t xml:space="preserve">As </w:t>
      </w:r>
      <w:r w:rsidR="007C0A98" w:rsidRPr="002F0BEA">
        <w:rPr>
          <w:rFonts w:asciiTheme="majorHAnsi" w:hAnsiTheme="majorHAnsi" w:cstheme="majorHAnsi"/>
          <w:sz w:val="28"/>
          <w:szCs w:val="28"/>
        </w:rPr>
        <w:t>referenced further below, t</w:t>
      </w:r>
      <w:r w:rsidR="0054278B" w:rsidRPr="002F0BEA">
        <w:rPr>
          <w:rFonts w:asciiTheme="majorHAnsi" w:hAnsiTheme="majorHAnsi" w:cstheme="majorHAnsi"/>
          <w:sz w:val="28"/>
          <w:szCs w:val="28"/>
        </w:rPr>
        <w:t>he extensive regulation-making powers granted to Ministers under the Bill reinforce the need for clarity on the face of the Bill in respect of the</w:t>
      </w:r>
      <w:r w:rsidR="002F2315" w:rsidRPr="002F0BEA">
        <w:rPr>
          <w:rFonts w:asciiTheme="majorHAnsi" w:hAnsiTheme="majorHAnsi" w:cstheme="majorHAnsi"/>
          <w:sz w:val="28"/>
          <w:szCs w:val="28"/>
        </w:rPr>
        <w:t>se</w:t>
      </w:r>
      <w:r w:rsidR="0054278B" w:rsidRPr="002F0BEA">
        <w:rPr>
          <w:rFonts w:asciiTheme="majorHAnsi" w:hAnsiTheme="majorHAnsi" w:cstheme="majorHAnsi"/>
          <w:sz w:val="28"/>
          <w:szCs w:val="28"/>
        </w:rPr>
        <w:t xml:space="preserve"> matters.</w:t>
      </w:r>
    </w:p>
    <w:p w14:paraId="36281D0F" w14:textId="006BCDCC" w:rsidR="00B0182F" w:rsidRPr="002F0BEA" w:rsidRDefault="00B0182F" w:rsidP="00B62896">
      <w:pPr>
        <w:pStyle w:val="ListParagraph"/>
        <w:numPr>
          <w:ilvl w:val="1"/>
          <w:numId w:val="22"/>
        </w:numPr>
        <w:spacing w:after="240" w:line="276" w:lineRule="auto"/>
        <w:ind w:left="709" w:hanging="709"/>
        <w:contextualSpacing w:val="0"/>
        <w:rPr>
          <w:rFonts w:asciiTheme="majorHAnsi" w:hAnsiTheme="majorHAnsi" w:cstheme="majorHAnsi"/>
          <w:sz w:val="28"/>
          <w:szCs w:val="28"/>
        </w:rPr>
      </w:pPr>
      <w:r w:rsidRPr="002F0BEA">
        <w:rPr>
          <w:rFonts w:asciiTheme="majorHAnsi" w:hAnsiTheme="majorHAnsi" w:cstheme="majorHAnsi"/>
          <w:sz w:val="28"/>
          <w:szCs w:val="28"/>
        </w:rPr>
        <w:t>In addition, Clause 15(2) (a) also provides for an extensive delegated power stating that a Minister “may, by regulations, provide for any provision of the Northern Ireland Protocol or any related provision of the EU withdrawal agreement to become excluded provision wholly or to any other extent…</w:t>
      </w:r>
      <w:r w:rsidR="008035D6" w:rsidRPr="002F0BEA">
        <w:rPr>
          <w:rFonts w:asciiTheme="majorHAnsi" w:hAnsiTheme="majorHAnsi" w:cstheme="majorHAnsi"/>
          <w:sz w:val="28"/>
          <w:szCs w:val="28"/>
        </w:rPr>
        <w:t>”</w:t>
      </w:r>
      <w:r w:rsidRPr="002F0BEA">
        <w:rPr>
          <w:rFonts w:asciiTheme="majorHAnsi" w:hAnsiTheme="majorHAnsi" w:cstheme="majorHAnsi"/>
          <w:sz w:val="28"/>
          <w:szCs w:val="28"/>
        </w:rPr>
        <w:t>.</w:t>
      </w:r>
    </w:p>
    <w:p w14:paraId="78827702" w14:textId="444987D1" w:rsidR="007A5EF4" w:rsidRPr="002F0BEA" w:rsidRDefault="00892743" w:rsidP="007A5EF4">
      <w:pPr>
        <w:pStyle w:val="ListParagraph"/>
        <w:numPr>
          <w:ilvl w:val="1"/>
          <w:numId w:val="22"/>
        </w:numPr>
        <w:spacing w:after="240" w:line="276" w:lineRule="auto"/>
        <w:ind w:left="709" w:hanging="709"/>
        <w:contextualSpacing w:val="0"/>
        <w:rPr>
          <w:rFonts w:asciiTheme="majorHAnsi" w:hAnsiTheme="majorHAnsi" w:cstheme="majorHAnsi"/>
          <w:b/>
          <w:bCs/>
          <w:sz w:val="28"/>
          <w:szCs w:val="28"/>
        </w:rPr>
      </w:pPr>
      <w:r w:rsidRPr="002F0BEA">
        <w:rPr>
          <w:rFonts w:asciiTheme="majorHAnsi" w:hAnsiTheme="majorHAnsi" w:cstheme="majorHAnsi"/>
          <w:b/>
          <w:bCs/>
          <w:sz w:val="28"/>
          <w:szCs w:val="28"/>
        </w:rPr>
        <w:t xml:space="preserve">The Commissions recommend that Clause 15(3) be amended to supplement the restriction preventing Ministers from designating Protocol Article 2 as excluded provision, </w:t>
      </w:r>
      <w:r w:rsidR="00C566E6" w:rsidRPr="002F0BEA">
        <w:rPr>
          <w:rFonts w:asciiTheme="majorHAnsi" w:hAnsiTheme="majorHAnsi" w:cstheme="majorHAnsi"/>
          <w:b/>
          <w:bCs/>
          <w:sz w:val="28"/>
          <w:szCs w:val="28"/>
        </w:rPr>
        <w:t xml:space="preserve">to </w:t>
      </w:r>
      <w:r w:rsidRPr="002F0BEA">
        <w:rPr>
          <w:rFonts w:asciiTheme="majorHAnsi" w:hAnsiTheme="majorHAnsi" w:cstheme="majorHAnsi"/>
          <w:b/>
          <w:bCs/>
          <w:sz w:val="28"/>
          <w:szCs w:val="28"/>
        </w:rPr>
        <w:t>ensur</w:t>
      </w:r>
      <w:r w:rsidR="00C566E6" w:rsidRPr="002F0BEA">
        <w:rPr>
          <w:rFonts w:asciiTheme="majorHAnsi" w:hAnsiTheme="majorHAnsi" w:cstheme="majorHAnsi"/>
          <w:b/>
          <w:bCs/>
          <w:sz w:val="28"/>
          <w:szCs w:val="28"/>
        </w:rPr>
        <w:t>e that</w:t>
      </w:r>
      <w:r w:rsidR="00B0182F" w:rsidRPr="002F0BEA">
        <w:rPr>
          <w:rFonts w:asciiTheme="majorHAnsi" w:hAnsiTheme="majorHAnsi" w:cstheme="majorHAnsi"/>
          <w:b/>
          <w:bCs/>
          <w:sz w:val="28"/>
          <w:szCs w:val="28"/>
        </w:rPr>
        <w:t xml:space="preserve"> </w:t>
      </w:r>
      <w:r w:rsidRPr="002F0BEA">
        <w:rPr>
          <w:rFonts w:asciiTheme="majorHAnsi" w:hAnsiTheme="majorHAnsi" w:cstheme="majorHAnsi"/>
          <w:b/>
          <w:bCs/>
          <w:sz w:val="28"/>
          <w:szCs w:val="28"/>
        </w:rPr>
        <w:t>Ministers are also prevented from designating as excluded provision</w:t>
      </w:r>
      <w:r w:rsidR="0074279E">
        <w:rPr>
          <w:rFonts w:asciiTheme="majorHAnsi" w:hAnsiTheme="majorHAnsi" w:cstheme="majorHAnsi"/>
          <w:b/>
          <w:bCs/>
          <w:sz w:val="28"/>
          <w:szCs w:val="28"/>
        </w:rPr>
        <w:t>,</w:t>
      </w:r>
      <w:r w:rsidRPr="002F0BEA">
        <w:rPr>
          <w:rFonts w:asciiTheme="majorHAnsi" w:hAnsiTheme="majorHAnsi" w:cstheme="majorHAnsi"/>
          <w:b/>
          <w:bCs/>
          <w:sz w:val="28"/>
          <w:szCs w:val="28"/>
        </w:rPr>
        <w:t xml:space="preserve"> any provision of the Withdrawal Agreement or Protocol insofar as it affects the interpretation</w:t>
      </w:r>
      <w:r w:rsidR="00C566E6" w:rsidRPr="002F0BEA">
        <w:rPr>
          <w:rFonts w:asciiTheme="majorHAnsi" w:hAnsiTheme="majorHAnsi" w:cstheme="majorHAnsi"/>
          <w:b/>
          <w:bCs/>
          <w:sz w:val="28"/>
          <w:szCs w:val="28"/>
        </w:rPr>
        <w:t xml:space="preserve">, </w:t>
      </w:r>
      <w:r w:rsidR="00DE70E8" w:rsidRPr="002F0BEA">
        <w:rPr>
          <w:rFonts w:asciiTheme="majorHAnsi" w:hAnsiTheme="majorHAnsi" w:cstheme="majorHAnsi"/>
          <w:b/>
          <w:bCs/>
          <w:sz w:val="28"/>
          <w:szCs w:val="28"/>
        </w:rPr>
        <w:t>implementation</w:t>
      </w:r>
      <w:r w:rsidRPr="002F0BEA">
        <w:rPr>
          <w:rFonts w:asciiTheme="majorHAnsi" w:hAnsiTheme="majorHAnsi" w:cstheme="majorHAnsi"/>
          <w:b/>
          <w:bCs/>
          <w:sz w:val="28"/>
          <w:szCs w:val="28"/>
        </w:rPr>
        <w:t xml:space="preserve"> and</w:t>
      </w:r>
      <w:r w:rsidR="00C566E6" w:rsidRPr="002F0BEA">
        <w:rPr>
          <w:rFonts w:asciiTheme="majorHAnsi" w:hAnsiTheme="majorHAnsi" w:cstheme="majorHAnsi"/>
          <w:b/>
          <w:bCs/>
          <w:sz w:val="28"/>
          <w:szCs w:val="28"/>
        </w:rPr>
        <w:t>/or</w:t>
      </w:r>
      <w:r w:rsidRPr="002F0BEA">
        <w:rPr>
          <w:rFonts w:asciiTheme="majorHAnsi" w:hAnsiTheme="majorHAnsi" w:cstheme="majorHAnsi"/>
          <w:b/>
          <w:bCs/>
          <w:sz w:val="28"/>
          <w:szCs w:val="28"/>
        </w:rPr>
        <w:t xml:space="preserve"> enforcement of Protocol Article 2. </w:t>
      </w:r>
    </w:p>
    <w:p w14:paraId="0FE24AA5" w14:textId="79F4C21A" w:rsidR="007A5EF4" w:rsidRPr="002F0BEA" w:rsidRDefault="00775D52" w:rsidP="007A5EF4">
      <w:pPr>
        <w:pStyle w:val="ListParagraph"/>
        <w:spacing w:after="240" w:line="276" w:lineRule="auto"/>
        <w:ind w:left="709"/>
        <w:contextualSpacing w:val="0"/>
        <w:rPr>
          <w:rFonts w:asciiTheme="majorHAnsi" w:hAnsiTheme="majorHAnsi" w:cstheme="majorHAnsi"/>
          <w:sz w:val="28"/>
          <w:szCs w:val="28"/>
        </w:rPr>
      </w:pPr>
      <w:r w:rsidRPr="002F0BEA">
        <w:rPr>
          <w:rFonts w:asciiTheme="majorHAnsi" w:hAnsiTheme="majorHAnsi" w:cstheme="majorHAnsi"/>
          <w:b/>
          <w:bCs/>
          <w:i/>
          <w:iCs/>
          <w:sz w:val="28"/>
          <w:szCs w:val="28"/>
        </w:rPr>
        <w:t>Delegated Powers</w:t>
      </w:r>
      <w:r w:rsidR="00C92EE6" w:rsidRPr="002F0BEA">
        <w:rPr>
          <w:rFonts w:asciiTheme="majorHAnsi" w:hAnsiTheme="majorHAnsi" w:cstheme="majorHAnsi"/>
          <w:b/>
          <w:bCs/>
          <w:i/>
          <w:iCs/>
          <w:sz w:val="28"/>
          <w:szCs w:val="28"/>
        </w:rPr>
        <w:t xml:space="preserve"> </w:t>
      </w:r>
    </w:p>
    <w:p w14:paraId="5DC61798" w14:textId="7E035E88" w:rsidR="003F3DF3" w:rsidRPr="002F0BEA" w:rsidRDefault="00EB5D12" w:rsidP="007A5EF4">
      <w:pPr>
        <w:pStyle w:val="ListParagraph"/>
        <w:numPr>
          <w:ilvl w:val="1"/>
          <w:numId w:val="22"/>
        </w:numPr>
        <w:spacing w:after="240" w:line="276" w:lineRule="auto"/>
        <w:ind w:left="709" w:hanging="709"/>
        <w:contextualSpacing w:val="0"/>
        <w:rPr>
          <w:rFonts w:asciiTheme="majorHAnsi" w:hAnsiTheme="majorHAnsi" w:cstheme="majorHAnsi"/>
          <w:sz w:val="28"/>
          <w:szCs w:val="28"/>
        </w:rPr>
      </w:pPr>
      <w:r w:rsidRPr="002F0BEA">
        <w:rPr>
          <w:rFonts w:asciiTheme="majorHAnsi" w:hAnsiTheme="majorHAnsi" w:cstheme="majorHAnsi"/>
          <w:sz w:val="28"/>
          <w:szCs w:val="28"/>
        </w:rPr>
        <w:t xml:space="preserve">The </w:t>
      </w:r>
      <w:r w:rsidR="006B6C4D" w:rsidRPr="002F0BEA">
        <w:rPr>
          <w:rFonts w:asciiTheme="majorHAnsi" w:hAnsiTheme="majorHAnsi" w:cstheme="majorHAnsi"/>
          <w:sz w:val="28"/>
          <w:szCs w:val="28"/>
        </w:rPr>
        <w:t xml:space="preserve">Commissions note the </w:t>
      </w:r>
      <w:r w:rsidR="00821402" w:rsidRPr="002F0BEA">
        <w:rPr>
          <w:rFonts w:asciiTheme="majorHAnsi" w:hAnsiTheme="majorHAnsi" w:cstheme="majorHAnsi"/>
          <w:sz w:val="28"/>
          <w:szCs w:val="28"/>
        </w:rPr>
        <w:t xml:space="preserve">strong </w:t>
      </w:r>
      <w:r w:rsidR="006B6C4D" w:rsidRPr="002F0BEA">
        <w:rPr>
          <w:rFonts w:asciiTheme="majorHAnsi" w:hAnsiTheme="majorHAnsi" w:cstheme="majorHAnsi"/>
          <w:sz w:val="28"/>
          <w:szCs w:val="28"/>
        </w:rPr>
        <w:t xml:space="preserve">concerns expressed by the </w:t>
      </w:r>
      <w:r w:rsidR="00821402" w:rsidRPr="002F0BEA">
        <w:rPr>
          <w:rFonts w:asciiTheme="majorHAnsi" w:hAnsiTheme="majorHAnsi" w:cstheme="majorHAnsi"/>
          <w:sz w:val="28"/>
          <w:szCs w:val="28"/>
        </w:rPr>
        <w:t xml:space="preserve">House of Lords </w:t>
      </w:r>
      <w:r w:rsidR="003F3DF3" w:rsidRPr="002F0BEA">
        <w:rPr>
          <w:rFonts w:asciiTheme="majorHAnsi" w:hAnsiTheme="majorHAnsi" w:cstheme="majorHAnsi"/>
          <w:sz w:val="28"/>
          <w:szCs w:val="28"/>
        </w:rPr>
        <w:t>Delegated Powers and Regulatory Reform Committee</w:t>
      </w:r>
      <w:r w:rsidR="00C0396E" w:rsidRPr="002F0BEA">
        <w:rPr>
          <w:rFonts w:asciiTheme="majorHAnsi" w:hAnsiTheme="majorHAnsi" w:cstheme="majorHAnsi"/>
          <w:sz w:val="28"/>
          <w:szCs w:val="28"/>
        </w:rPr>
        <w:t xml:space="preserve"> which </w:t>
      </w:r>
      <w:r w:rsidR="00B70B6F" w:rsidRPr="002F0BEA">
        <w:rPr>
          <w:rFonts w:asciiTheme="majorHAnsi" w:hAnsiTheme="majorHAnsi" w:cstheme="majorHAnsi"/>
          <w:sz w:val="28"/>
          <w:szCs w:val="28"/>
        </w:rPr>
        <w:t xml:space="preserve">stated that the Bill </w:t>
      </w:r>
      <w:r w:rsidR="003A22B3" w:rsidRPr="002F0BEA">
        <w:rPr>
          <w:rFonts w:asciiTheme="majorHAnsi" w:hAnsiTheme="majorHAnsi" w:cstheme="majorHAnsi"/>
          <w:sz w:val="28"/>
          <w:szCs w:val="28"/>
        </w:rPr>
        <w:t>“</w:t>
      </w:r>
      <w:r w:rsidR="00E626D1" w:rsidRPr="002F0BEA">
        <w:rPr>
          <w:rFonts w:asciiTheme="majorHAnsi" w:hAnsiTheme="majorHAnsi" w:cstheme="majorHAnsi"/>
          <w:sz w:val="28"/>
          <w:szCs w:val="28"/>
        </w:rPr>
        <w:t>confers on Ministers a licence to legislate in the widest possible terms</w:t>
      </w:r>
      <w:r w:rsidR="003A22B3" w:rsidRPr="002F0BEA">
        <w:rPr>
          <w:rFonts w:asciiTheme="majorHAnsi" w:hAnsiTheme="majorHAnsi" w:cstheme="majorHAnsi"/>
          <w:sz w:val="28"/>
          <w:szCs w:val="28"/>
        </w:rPr>
        <w:t>”</w:t>
      </w:r>
      <w:r w:rsidR="00E626D1" w:rsidRPr="002F0BEA">
        <w:rPr>
          <w:rFonts w:asciiTheme="majorHAnsi" w:hAnsiTheme="majorHAnsi" w:cstheme="majorHAnsi"/>
          <w:sz w:val="28"/>
          <w:szCs w:val="28"/>
        </w:rPr>
        <w:t xml:space="preserve"> </w:t>
      </w:r>
      <w:r w:rsidR="003A22B3" w:rsidRPr="002F0BEA">
        <w:rPr>
          <w:rFonts w:asciiTheme="majorHAnsi" w:hAnsiTheme="majorHAnsi" w:cstheme="majorHAnsi"/>
          <w:sz w:val="28"/>
          <w:szCs w:val="28"/>
        </w:rPr>
        <w:t>and i</w:t>
      </w:r>
      <w:r w:rsidR="00B70B6F" w:rsidRPr="002F0BEA">
        <w:rPr>
          <w:rFonts w:asciiTheme="majorHAnsi" w:hAnsiTheme="majorHAnsi" w:cstheme="majorHAnsi"/>
          <w:sz w:val="28"/>
          <w:szCs w:val="28"/>
        </w:rPr>
        <w:t xml:space="preserve">s </w:t>
      </w:r>
      <w:r w:rsidR="00B70B6F" w:rsidRPr="002F0BEA">
        <w:rPr>
          <w:rFonts w:asciiTheme="majorHAnsi" w:hAnsiTheme="majorHAnsi" w:cstheme="majorHAnsi"/>
          <w:sz w:val="28"/>
          <w:szCs w:val="28"/>
        </w:rPr>
        <w:lastRenderedPageBreak/>
        <w:t>“unprecedented in its cavalier treatment of Parliament, the EU and the Government’s international obligations”</w:t>
      </w:r>
      <w:r w:rsidR="003F3DF3" w:rsidRPr="002F0BEA">
        <w:rPr>
          <w:rFonts w:asciiTheme="majorHAnsi" w:hAnsiTheme="majorHAnsi" w:cstheme="majorHAnsi"/>
          <w:sz w:val="28"/>
          <w:szCs w:val="28"/>
        </w:rPr>
        <w:t>.</w:t>
      </w:r>
      <w:r w:rsidR="003F3DF3" w:rsidRPr="002F0BEA">
        <w:rPr>
          <w:rStyle w:val="FootnoteReference"/>
          <w:rFonts w:asciiTheme="majorHAnsi" w:hAnsiTheme="majorHAnsi" w:cstheme="majorHAnsi"/>
          <w:sz w:val="28"/>
          <w:szCs w:val="28"/>
        </w:rPr>
        <w:footnoteReference w:id="9"/>
      </w:r>
      <w:r w:rsidR="003F3DF3" w:rsidRPr="002F0BEA">
        <w:rPr>
          <w:rFonts w:asciiTheme="majorHAnsi" w:hAnsiTheme="majorHAnsi" w:cstheme="majorHAnsi"/>
          <w:sz w:val="28"/>
          <w:szCs w:val="28"/>
        </w:rPr>
        <w:t xml:space="preserve"> </w:t>
      </w:r>
    </w:p>
    <w:p w14:paraId="79511C6A" w14:textId="15BBF52B" w:rsidR="00B0182F" w:rsidRPr="002F0BEA" w:rsidRDefault="009D7C04" w:rsidP="00730C66">
      <w:pPr>
        <w:pStyle w:val="ListParagraph"/>
        <w:numPr>
          <w:ilvl w:val="1"/>
          <w:numId w:val="22"/>
        </w:numPr>
        <w:spacing w:after="240" w:line="276" w:lineRule="auto"/>
        <w:ind w:left="709" w:hanging="709"/>
        <w:contextualSpacing w:val="0"/>
        <w:rPr>
          <w:rFonts w:asciiTheme="majorHAnsi" w:hAnsiTheme="majorHAnsi" w:cstheme="majorHAnsi"/>
          <w:sz w:val="28"/>
          <w:szCs w:val="28"/>
        </w:rPr>
      </w:pPr>
      <w:r w:rsidRPr="002F0BEA">
        <w:rPr>
          <w:rFonts w:asciiTheme="majorHAnsi" w:hAnsiTheme="majorHAnsi" w:cstheme="majorHAnsi"/>
          <w:sz w:val="28"/>
          <w:szCs w:val="28"/>
        </w:rPr>
        <w:t>By way of example</w:t>
      </w:r>
      <w:r w:rsidR="00FE6F6C" w:rsidRPr="002F0BEA">
        <w:rPr>
          <w:rFonts w:asciiTheme="majorHAnsi" w:hAnsiTheme="majorHAnsi" w:cstheme="majorHAnsi"/>
          <w:sz w:val="28"/>
          <w:szCs w:val="28"/>
        </w:rPr>
        <w:t xml:space="preserve">, </w:t>
      </w:r>
      <w:r w:rsidR="003955DA" w:rsidRPr="002F0BEA">
        <w:rPr>
          <w:rFonts w:asciiTheme="majorHAnsi" w:hAnsiTheme="majorHAnsi" w:cstheme="majorHAnsi"/>
          <w:sz w:val="28"/>
          <w:szCs w:val="28"/>
        </w:rPr>
        <w:t>Clause 14(4) provide</w:t>
      </w:r>
      <w:r w:rsidRPr="002F0BEA">
        <w:rPr>
          <w:rFonts w:asciiTheme="majorHAnsi" w:hAnsiTheme="majorHAnsi" w:cstheme="majorHAnsi"/>
          <w:sz w:val="28"/>
          <w:szCs w:val="28"/>
        </w:rPr>
        <w:t>s</w:t>
      </w:r>
      <w:r w:rsidR="003955DA" w:rsidRPr="002F0BEA">
        <w:rPr>
          <w:rFonts w:asciiTheme="majorHAnsi" w:hAnsiTheme="majorHAnsi" w:cstheme="majorHAnsi"/>
          <w:sz w:val="28"/>
          <w:szCs w:val="28"/>
        </w:rPr>
        <w:t xml:space="preserve"> an extensive delegated power, stating that </w:t>
      </w:r>
      <w:r w:rsidR="00152B52" w:rsidRPr="002F0BEA">
        <w:rPr>
          <w:rFonts w:asciiTheme="majorHAnsi" w:hAnsiTheme="majorHAnsi" w:cstheme="majorHAnsi"/>
          <w:sz w:val="28"/>
          <w:szCs w:val="28"/>
        </w:rPr>
        <w:t xml:space="preserve">the Minister may </w:t>
      </w:r>
      <w:r w:rsidR="003955DA" w:rsidRPr="002F0BEA">
        <w:rPr>
          <w:rFonts w:asciiTheme="majorHAnsi" w:hAnsiTheme="majorHAnsi" w:cstheme="majorHAnsi"/>
          <w:sz w:val="28"/>
          <w:szCs w:val="28"/>
        </w:rPr>
        <w:t>“make any provision which the Minister considers appropriate in connection with any provision of the</w:t>
      </w:r>
      <w:r w:rsidR="00152B52" w:rsidRPr="002F0BEA">
        <w:rPr>
          <w:rFonts w:asciiTheme="majorHAnsi" w:hAnsiTheme="majorHAnsi" w:cstheme="majorHAnsi"/>
          <w:sz w:val="28"/>
          <w:szCs w:val="28"/>
        </w:rPr>
        <w:t xml:space="preserve"> </w:t>
      </w:r>
      <w:r w:rsidR="003955DA" w:rsidRPr="002F0BEA">
        <w:rPr>
          <w:rFonts w:asciiTheme="majorHAnsi" w:hAnsiTheme="majorHAnsi" w:cstheme="majorHAnsi"/>
          <w:sz w:val="28"/>
          <w:szCs w:val="28"/>
        </w:rPr>
        <w:t>Northern Ireland Protocol and other parts of the EU withdrawal agreement to</w:t>
      </w:r>
      <w:r w:rsidR="00152B52" w:rsidRPr="002F0BEA">
        <w:rPr>
          <w:rFonts w:asciiTheme="majorHAnsi" w:hAnsiTheme="majorHAnsi" w:cstheme="majorHAnsi"/>
          <w:sz w:val="28"/>
          <w:szCs w:val="28"/>
        </w:rPr>
        <w:t xml:space="preserve"> </w:t>
      </w:r>
      <w:r w:rsidR="003955DA" w:rsidRPr="002F0BEA">
        <w:rPr>
          <w:rFonts w:asciiTheme="majorHAnsi" w:hAnsiTheme="majorHAnsi" w:cstheme="majorHAnsi"/>
          <w:sz w:val="28"/>
          <w:szCs w:val="28"/>
        </w:rPr>
        <w:t>which this section relates</w:t>
      </w:r>
      <w:r w:rsidR="00152B52" w:rsidRPr="002F0BEA">
        <w:rPr>
          <w:rFonts w:asciiTheme="majorHAnsi" w:hAnsiTheme="majorHAnsi" w:cstheme="majorHAnsi"/>
          <w:sz w:val="28"/>
          <w:szCs w:val="28"/>
        </w:rPr>
        <w:t>.</w:t>
      </w:r>
      <w:r w:rsidR="00A412DD" w:rsidRPr="002F0BEA">
        <w:rPr>
          <w:rFonts w:asciiTheme="majorHAnsi" w:hAnsiTheme="majorHAnsi" w:cstheme="majorHAnsi"/>
          <w:sz w:val="28"/>
          <w:szCs w:val="28"/>
        </w:rPr>
        <w:t>”</w:t>
      </w:r>
      <w:r w:rsidR="00152B52" w:rsidRPr="002F0BEA">
        <w:rPr>
          <w:rFonts w:asciiTheme="majorHAnsi" w:hAnsiTheme="majorHAnsi" w:cstheme="majorHAnsi"/>
          <w:sz w:val="28"/>
          <w:szCs w:val="28"/>
        </w:rPr>
        <w:t xml:space="preserve"> While Clause</w:t>
      </w:r>
      <w:r w:rsidR="00FE6F6C" w:rsidRPr="002F0BEA">
        <w:rPr>
          <w:rFonts w:asciiTheme="majorHAnsi" w:hAnsiTheme="majorHAnsi" w:cstheme="majorHAnsi"/>
          <w:sz w:val="28"/>
          <w:szCs w:val="28"/>
        </w:rPr>
        <w:t xml:space="preserve"> 14</w:t>
      </w:r>
      <w:r w:rsidR="00152B52" w:rsidRPr="002F0BEA">
        <w:rPr>
          <w:rFonts w:asciiTheme="majorHAnsi" w:hAnsiTheme="majorHAnsi" w:cstheme="majorHAnsi"/>
          <w:sz w:val="28"/>
          <w:szCs w:val="28"/>
        </w:rPr>
        <w:t xml:space="preserve"> does not</w:t>
      </w:r>
      <w:r w:rsidR="00FF5685" w:rsidRPr="002F0BEA">
        <w:rPr>
          <w:rFonts w:asciiTheme="majorHAnsi" w:hAnsiTheme="majorHAnsi" w:cstheme="majorHAnsi"/>
          <w:sz w:val="28"/>
          <w:szCs w:val="28"/>
        </w:rPr>
        <w:t xml:space="preserve"> </w:t>
      </w:r>
      <w:r w:rsidR="00152B52" w:rsidRPr="002F0BEA">
        <w:rPr>
          <w:rFonts w:asciiTheme="majorHAnsi" w:hAnsiTheme="majorHAnsi" w:cstheme="majorHAnsi"/>
          <w:i/>
          <w:iCs/>
          <w:sz w:val="28"/>
          <w:szCs w:val="28"/>
        </w:rPr>
        <w:t>relate</w:t>
      </w:r>
      <w:r w:rsidR="00152B52" w:rsidRPr="002F0BEA">
        <w:rPr>
          <w:rFonts w:asciiTheme="majorHAnsi" w:hAnsiTheme="majorHAnsi" w:cstheme="majorHAnsi"/>
          <w:sz w:val="28"/>
          <w:szCs w:val="28"/>
        </w:rPr>
        <w:t xml:space="preserve"> </w:t>
      </w:r>
      <w:r w:rsidR="00F501B2" w:rsidRPr="002F0BEA">
        <w:rPr>
          <w:rFonts w:asciiTheme="majorHAnsi" w:hAnsiTheme="majorHAnsi" w:cstheme="majorHAnsi"/>
          <w:sz w:val="28"/>
          <w:szCs w:val="28"/>
        </w:rPr>
        <w:t xml:space="preserve">directly </w:t>
      </w:r>
      <w:r w:rsidR="00152B52" w:rsidRPr="002F0BEA">
        <w:rPr>
          <w:rFonts w:asciiTheme="majorHAnsi" w:hAnsiTheme="majorHAnsi" w:cstheme="majorHAnsi"/>
          <w:sz w:val="28"/>
          <w:szCs w:val="28"/>
        </w:rPr>
        <w:t>to Protocol Article 2</w:t>
      </w:r>
      <w:r w:rsidR="00FF5685" w:rsidRPr="002F0BEA">
        <w:rPr>
          <w:rFonts w:asciiTheme="majorHAnsi" w:hAnsiTheme="majorHAnsi" w:cstheme="majorHAnsi"/>
          <w:sz w:val="28"/>
          <w:szCs w:val="28"/>
        </w:rPr>
        <w:t>, subsection (2)</w:t>
      </w:r>
      <w:r w:rsidR="009A5290" w:rsidRPr="002F0BEA">
        <w:rPr>
          <w:rFonts w:asciiTheme="majorHAnsi" w:hAnsiTheme="majorHAnsi" w:cstheme="majorHAnsi"/>
          <w:sz w:val="28"/>
          <w:szCs w:val="28"/>
        </w:rPr>
        <w:t xml:space="preserve"> of the Clause</w:t>
      </w:r>
      <w:r w:rsidR="00FF5685" w:rsidRPr="002F0BEA">
        <w:rPr>
          <w:rFonts w:asciiTheme="majorHAnsi" w:hAnsiTheme="majorHAnsi" w:cstheme="majorHAnsi"/>
          <w:sz w:val="28"/>
          <w:szCs w:val="28"/>
        </w:rPr>
        <w:t xml:space="preserve"> does refer to </w:t>
      </w:r>
      <w:r w:rsidR="00273C94" w:rsidRPr="002F0BEA">
        <w:rPr>
          <w:rFonts w:asciiTheme="majorHAnsi" w:hAnsiTheme="majorHAnsi" w:cstheme="majorHAnsi"/>
          <w:sz w:val="28"/>
          <w:szCs w:val="28"/>
        </w:rPr>
        <w:t xml:space="preserve">Articles of the Protocol and Withdrawal Agreement which are </w:t>
      </w:r>
      <w:r w:rsidR="009A5290" w:rsidRPr="002F0BEA">
        <w:rPr>
          <w:rFonts w:asciiTheme="majorHAnsi" w:hAnsiTheme="majorHAnsi" w:cstheme="majorHAnsi"/>
          <w:sz w:val="28"/>
          <w:szCs w:val="28"/>
        </w:rPr>
        <w:t xml:space="preserve">important for </w:t>
      </w:r>
      <w:r w:rsidR="00273C94" w:rsidRPr="002F0BEA">
        <w:rPr>
          <w:rFonts w:asciiTheme="majorHAnsi" w:hAnsiTheme="majorHAnsi" w:cstheme="majorHAnsi"/>
          <w:sz w:val="28"/>
          <w:szCs w:val="28"/>
        </w:rPr>
        <w:t xml:space="preserve">the </w:t>
      </w:r>
      <w:r w:rsidR="000532F7" w:rsidRPr="002F0BEA">
        <w:rPr>
          <w:rFonts w:asciiTheme="majorHAnsi" w:hAnsiTheme="majorHAnsi" w:cstheme="majorHAnsi"/>
          <w:sz w:val="28"/>
          <w:szCs w:val="28"/>
        </w:rPr>
        <w:t>interpretation</w:t>
      </w:r>
      <w:r w:rsidR="00B0182F" w:rsidRPr="002F0BEA">
        <w:rPr>
          <w:rFonts w:asciiTheme="majorHAnsi" w:hAnsiTheme="majorHAnsi" w:cstheme="majorHAnsi"/>
          <w:sz w:val="28"/>
          <w:szCs w:val="28"/>
        </w:rPr>
        <w:t xml:space="preserve">, </w:t>
      </w:r>
      <w:proofErr w:type="gramStart"/>
      <w:r w:rsidR="00730C66" w:rsidRPr="002F0BEA">
        <w:rPr>
          <w:rFonts w:asciiTheme="majorHAnsi" w:hAnsiTheme="majorHAnsi" w:cstheme="majorHAnsi"/>
          <w:sz w:val="28"/>
          <w:szCs w:val="28"/>
        </w:rPr>
        <w:t>implementation</w:t>
      </w:r>
      <w:proofErr w:type="gramEnd"/>
      <w:r w:rsidR="000532F7" w:rsidRPr="002F0BEA">
        <w:rPr>
          <w:rFonts w:asciiTheme="majorHAnsi" w:hAnsiTheme="majorHAnsi" w:cstheme="majorHAnsi"/>
          <w:sz w:val="28"/>
          <w:szCs w:val="28"/>
        </w:rPr>
        <w:t xml:space="preserve"> and enforcement of Protocol Article 2</w:t>
      </w:r>
      <w:r w:rsidR="00D13947" w:rsidRPr="002F0BEA">
        <w:rPr>
          <w:rFonts w:asciiTheme="majorHAnsi" w:hAnsiTheme="majorHAnsi" w:cstheme="majorHAnsi"/>
          <w:sz w:val="28"/>
          <w:szCs w:val="28"/>
        </w:rPr>
        <w:t xml:space="preserve">. </w:t>
      </w:r>
      <w:r w:rsidR="00FF5685" w:rsidRPr="002F0BEA">
        <w:rPr>
          <w:rFonts w:asciiTheme="majorHAnsi" w:hAnsiTheme="majorHAnsi" w:cstheme="majorHAnsi"/>
          <w:sz w:val="28"/>
          <w:szCs w:val="28"/>
        </w:rPr>
        <w:t xml:space="preserve">Protocol Article 13 </w:t>
      </w:r>
      <w:r w:rsidR="00D13947" w:rsidRPr="002F0BEA">
        <w:rPr>
          <w:rFonts w:asciiTheme="majorHAnsi" w:hAnsiTheme="majorHAnsi" w:cstheme="majorHAnsi"/>
          <w:sz w:val="28"/>
          <w:szCs w:val="28"/>
        </w:rPr>
        <w:t xml:space="preserve">is referenced which, as set out above, </w:t>
      </w:r>
      <w:r w:rsidR="00334441" w:rsidRPr="002F0BEA">
        <w:rPr>
          <w:rFonts w:asciiTheme="majorHAnsi" w:hAnsiTheme="majorHAnsi" w:cstheme="majorHAnsi"/>
          <w:sz w:val="28"/>
          <w:szCs w:val="28"/>
        </w:rPr>
        <w:t>provides for</w:t>
      </w:r>
      <w:r w:rsidR="001C45D3" w:rsidRPr="002F0BEA">
        <w:rPr>
          <w:rFonts w:asciiTheme="majorHAnsi" w:hAnsiTheme="majorHAnsi" w:cstheme="majorHAnsi"/>
          <w:sz w:val="28"/>
          <w:szCs w:val="28"/>
        </w:rPr>
        <w:t xml:space="preserve"> domestic courts to follow </w:t>
      </w:r>
      <w:r w:rsidR="00334441" w:rsidRPr="002F0BEA">
        <w:rPr>
          <w:rFonts w:asciiTheme="majorHAnsi" w:hAnsiTheme="majorHAnsi" w:cstheme="majorHAnsi"/>
          <w:sz w:val="28"/>
          <w:szCs w:val="28"/>
        </w:rPr>
        <w:t xml:space="preserve">certain </w:t>
      </w:r>
      <w:r w:rsidR="00B0182F" w:rsidRPr="002F0BEA">
        <w:rPr>
          <w:rFonts w:asciiTheme="majorHAnsi" w:hAnsiTheme="majorHAnsi" w:cstheme="majorHAnsi"/>
          <w:sz w:val="28"/>
          <w:szCs w:val="28"/>
        </w:rPr>
        <w:t xml:space="preserve">CJEU </w:t>
      </w:r>
      <w:r w:rsidR="001C45D3" w:rsidRPr="002F0BEA">
        <w:rPr>
          <w:rFonts w:asciiTheme="majorHAnsi" w:hAnsiTheme="majorHAnsi" w:cstheme="majorHAnsi"/>
          <w:sz w:val="28"/>
          <w:szCs w:val="28"/>
        </w:rPr>
        <w:t xml:space="preserve">case-law </w:t>
      </w:r>
      <w:r w:rsidR="00334441" w:rsidRPr="002F0BEA">
        <w:rPr>
          <w:rFonts w:asciiTheme="majorHAnsi" w:hAnsiTheme="majorHAnsi" w:cstheme="majorHAnsi"/>
          <w:sz w:val="28"/>
          <w:szCs w:val="28"/>
        </w:rPr>
        <w:t xml:space="preserve">on an ongoing basis; </w:t>
      </w:r>
      <w:r w:rsidR="00FF5685" w:rsidRPr="002F0BEA">
        <w:rPr>
          <w:rFonts w:asciiTheme="majorHAnsi" w:hAnsiTheme="majorHAnsi" w:cstheme="majorHAnsi"/>
          <w:sz w:val="28"/>
          <w:szCs w:val="28"/>
        </w:rPr>
        <w:t xml:space="preserve">and Withdrawal </w:t>
      </w:r>
      <w:r w:rsidR="00643D71" w:rsidRPr="002F0BEA">
        <w:rPr>
          <w:rFonts w:asciiTheme="majorHAnsi" w:hAnsiTheme="majorHAnsi" w:cstheme="majorHAnsi"/>
          <w:sz w:val="28"/>
          <w:szCs w:val="28"/>
        </w:rPr>
        <w:t xml:space="preserve">Agreement </w:t>
      </w:r>
      <w:r w:rsidR="00FF5685" w:rsidRPr="002F0BEA">
        <w:rPr>
          <w:rFonts w:asciiTheme="majorHAnsi" w:hAnsiTheme="majorHAnsi" w:cstheme="majorHAnsi"/>
          <w:sz w:val="28"/>
          <w:szCs w:val="28"/>
        </w:rPr>
        <w:t>Article</w:t>
      </w:r>
      <w:r w:rsidR="006601E9" w:rsidRPr="002F0BEA">
        <w:rPr>
          <w:rFonts w:asciiTheme="majorHAnsi" w:hAnsiTheme="majorHAnsi" w:cstheme="majorHAnsi"/>
          <w:sz w:val="28"/>
          <w:szCs w:val="28"/>
        </w:rPr>
        <w:t xml:space="preserve"> 4</w:t>
      </w:r>
      <w:r w:rsidR="00FD7E0B" w:rsidRPr="002F0BEA">
        <w:rPr>
          <w:rFonts w:asciiTheme="majorHAnsi" w:hAnsiTheme="majorHAnsi" w:cstheme="majorHAnsi"/>
          <w:sz w:val="28"/>
          <w:szCs w:val="28"/>
        </w:rPr>
        <w:t xml:space="preserve"> is referenced, which provides the basis for individual redress.</w:t>
      </w:r>
    </w:p>
    <w:p w14:paraId="0E2353CA" w14:textId="3394C401" w:rsidR="0092668F" w:rsidRPr="002F0BEA" w:rsidRDefault="0092668F" w:rsidP="00A24AAE">
      <w:pPr>
        <w:pStyle w:val="ListParagraph"/>
        <w:numPr>
          <w:ilvl w:val="1"/>
          <w:numId w:val="22"/>
        </w:numPr>
        <w:spacing w:after="240" w:line="276" w:lineRule="auto"/>
        <w:ind w:left="709" w:hanging="709"/>
        <w:contextualSpacing w:val="0"/>
        <w:rPr>
          <w:rFonts w:asciiTheme="majorHAnsi" w:hAnsiTheme="majorHAnsi" w:cstheme="majorHAnsi"/>
          <w:sz w:val="28"/>
          <w:szCs w:val="28"/>
        </w:rPr>
      </w:pPr>
      <w:r w:rsidRPr="002F0BEA">
        <w:rPr>
          <w:rFonts w:asciiTheme="majorHAnsi" w:hAnsiTheme="majorHAnsi" w:cstheme="majorHAnsi"/>
          <w:sz w:val="28"/>
          <w:szCs w:val="28"/>
        </w:rPr>
        <w:t>Further, Clause 9 provides that a Minister ‘may, by regulations, make any provision about regulation of goods which the Minister considers appropriate in connection with the Northern Ireland Protocol’. Under Clause 10, this includes the production and use of goods</w:t>
      </w:r>
      <w:r w:rsidR="00B82D6F" w:rsidRPr="002F0BEA">
        <w:rPr>
          <w:rFonts w:asciiTheme="majorHAnsi" w:hAnsiTheme="majorHAnsi" w:cstheme="majorHAnsi"/>
          <w:sz w:val="28"/>
          <w:szCs w:val="28"/>
        </w:rPr>
        <w:t>, putting goods into service and making goods available on the market</w:t>
      </w:r>
      <w:r w:rsidRPr="002F0BEA">
        <w:rPr>
          <w:rFonts w:asciiTheme="majorHAnsi" w:hAnsiTheme="majorHAnsi" w:cstheme="majorHAnsi"/>
          <w:sz w:val="28"/>
          <w:szCs w:val="28"/>
        </w:rPr>
        <w:t xml:space="preserve">. The Commissions are of the view that </w:t>
      </w:r>
      <w:r w:rsidR="00B82D6F" w:rsidRPr="002F0BEA">
        <w:rPr>
          <w:rFonts w:asciiTheme="majorHAnsi" w:hAnsiTheme="majorHAnsi" w:cstheme="majorHAnsi"/>
          <w:sz w:val="28"/>
          <w:szCs w:val="28"/>
        </w:rPr>
        <w:t xml:space="preserve">there are a </w:t>
      </w:r>
      <w:r w:rsidRPr="002F0BEA">
        <w:rPr>
          <w:rFonts w:asciiTheme="majorHAnsi" w:hAnsiTheme="majorHAnsi" w:cstheme="majorHAnsi"/>
          <w:sz w:val="28"/>
          <w:szCs w:val="28"/>
        </w:rPr>
        <w:t xml:space="preserve">number of EU Directives and Regulations </w:t>
      </w:r>
      <w:r w:rsidR="00B82D6F" w:rsidRPr="002F0BEA">
        <w:rPr>
          <w:rFonts w:asciiTheme="majorHAnsi" w:hAnsiTheme="majorHAnsi" w:cstheme="majorHAnsi"/>
          <w:sz w:val="28"/>
          <w:szCs w:val="28"/>
        </w:rPr>
        <w:t xml:space="preserve">which relate </w:t>
      </w:r>
      <w:r w:rsidRPr="002F0BEA">
        <w:rPr>
          <w:rFonts w:asciiTheme="majorHAnsi" w:hAnsiTheme="majorHAnsi" w:cstheme="majorHAnsi"/>
          <w:sz w:val="28"/>
          <w:szCs w:val="28"/>
        </w:rPr>
        <w:t xml:space="preserve">to accessibility standards of goods and products for disabled people </w:t>
      </w:r>
      <w:r w:rsidR="00B82D6F" w:rsidRPr="002F0BEA">
        <w:rPr>
          <w:rFonts w:asciiTheme="majorHAnsi" w:hAnsiTheme="majorHAnsi" w:cstheme="majorHAnsi"/>
          <w:sz w:val="28"/>
          <w:szCs w:val="28"/>
        </w:rPr>
        <w:t xml:space="preserve">and which are within the scope of </w:t>
      </w:r>
      <w:r w:rsidRPr="002F0BEA">
        <w:rPr>
          <w:rFonts w:asciiTheme="majorHAnsi" w:hAnsiTheme="majorHAnsi" w:cstheme="majorHAnsi"/>
          <w:sz w:val="28"/>
          <w:szCs w:val="28"/>
        </w:rPr>
        <w:t>Protocol Article 2</w:t>
      </w:r>
      <w:r w:rsidR="00AB38CB" w:rsidRPr="002F0BEA">
        <w:rPr>
          <w:rFonts w:asciiTheme="majorHAnsi" w:hAnsiTheme="majorHAnsi" w:cstheme="majorHAnsi"/>
          <w:sz w:val="28"/>
          <w:szCs w:val="28"/>
        </w:rPr>
        <w:t>.</w:t>
      </w:r>
      <w:r w:rsidRPr="002F0BEA">
        <w:rPr>
          <w:rStyle w:val="FootnoteReference"/>
          <w:rFonts w:asciiTheme="majorHAnsi" w:hAnsiTheme="majorHAnsi" w:cstheme="majorHAnsi"/>
          <w:sz w:val="28"/>
          <w:szCs w:val="28"/>
        </w:rPr>
        <w:footnoteReference w:id="10"/>
      </w:r>
      <w:r w:rsidRPr="002F0BEA">
        <w:rPr>
          <w:rFonts w:asciiTheme="majorHAnsi" w:hAnsiTheme="majorHAnsi" w:cstheme="majorHAnsi"/>
          <w:sz w:val="28"/>
          <w:szCs w:val="28"/>
        </w:rPr>
        <w:t xml:space="preserve"> We consider that the Bill should not permit a Minister, by way of regulations relating to goods</w:t>
      </w:r>
      <w:r w:rsidR="00B82D6F" w:rsidRPr="002F0BEA">
        <w:rPr>
          <w:rFonts w:asciiTheme="majorHAnsi" w:hAnsiTheme="majorHAnsi" w:cstheme="majorHAnsi"/>
          <w:sz w:val="28"/>
          <w:szCs w:val="28"/>
        </w:rPr>
        <w:t>, to reduce rights for disabled people in Northern Ireland that are underpinned by EU law in force on or before the end of the Brexit transition period, and which fall within the scope of Protocol Article 2.</w:t>
      </w:r>
    </w:p>
    <w:p w14:paraId="5FF54748" w14:textId="77777777" w:rsidR="00FD02A1" w:rsidRPr="002F0BEA" w:rsidRDefault="00567526" w:rsidP="00FD02A1">
      <w:pPr>
        <w:pStyle w:val="ListParagraph"/>
        <w:numPr>
          <w:ilvl w:val="1"/>
          <w:numId w:val="22"/>
        </w:numPr>
        <w:spacing w:after="240" w:line="276" w:lineRule="auto"/>
        <w:ind w:left="709" w:hanging="709"/>
        <w:contextualSpacing w:val="0"/>
        <w:rPr>
          <w:rFonts w:asciiTheme="majorHAnsi" w:hAnsiTheme="majorHAnsi" w:cstheme="majorHAnsi"/>
          <w:sz w:val="28"/>
          <w:szCs w:val="28"/>
        </w:rPr>
      </w:pPr>
      <w:r w:rsidRPr="002F0BEA">
        <w:rPr>
          <w:rFonts w:asciiTheme="majorHAnsi" w:hAnsiTheme="majorHAnsi" w:cstheme="majorHAnsi"/>
          <w:sz w:val="28"/>
          <w:szCs w:val="28"/>
        </w:rPr>
        <w:t xml:space="preserve">Clause 22 (Regulations) is also very broadly scoped. While it does not grant additional powers, it provides detail as to the potential extent of Regulations which may be made under other provisions of the Bill. It states, for example, that Regulations may include provisions incompatible with the Protocol or Withdrawal Agreement and that they may repeal domestic law giving effect to </w:t>
      </w:r>
      <w:r w:rsidRPr="002F0BEA">
        <w:rPr>
          <w:rFonts w:asciiTheme="majorHAnsi" w:hAnsiTheme="majorHAnsi" w:cstheme="majorHAnsi"/>
          <w:sz w:val="28"/>
          <w:szCs w:val="28"/>
        </w:rPr>
        <w:lastRenderedPageBreak/>
        <w:t xml:space="preserve">the Protocol or Withdrawal Agreement. Again, neither Protocol Article 2, nor other provisions essential to its operation, are excepted. </w:t>
      </w:r>
    </w:p>
    <w:p w14:paraId="5F544C55" w14:textId="5845A3AF" w:rsidR="0080165B" w:rsidRDefault="000B5AB3" w:rsidP="00FD02A1">
      <w:pPr>
        <w:pStyle w:val="ListParagraph"/>
        <w:numPr>
          <w:ilvl w:val="1"/>
          <w:numId w:val="22"/>
        </w:numPr>
        <w:spacing w:after="240" w:line="276" w:lineRule="auto"/>
        <w:ind w:left="709" w:hanging="709"/>
        <w:contextualSpacing w:val="0"/>
        <w:rPr>
          <w:rFonts w:asciiTheme="majorHAnsi" w:hAnsiTheme="majorHAnsi" w:cstheme="majorHAnsi"/>
          <w:b/>
          <w:bCs/>
          <w:sz w:val="28"/>
          <w:szCs w:val="28"/>
        </w:rPr>
      </w:pPr>
      <w:r w:rsidRPr="002F0BEA">
        <w:rPr>
          <w:rFonts w:asciiTheme="majorHAnsi" w:hAnsiTheme="majorHAnsi" w:cstheme="majorHAnsi"/>
          <w:b/>
          <w:bCs/>
          <w:sz w:val="28"/>
          <w:szCs w:val="28"/>
        </w:rPr>
        <w:t xml:space="preserve">The Commissions recommend that </w:t>
      </w:r>
      <w:r w:rsidR="00C92EE6" w:rsidRPr="002F0BEA">
        <w:rPr>
          <w:rFonts w:asciiTheme="majorHAnsi" w:hAnsiTheme="majorHAnsi" w:cstheme="majorHAnsi"/>
          <w:b/>
          <w:bCs/>
          <w:sz w:val="28"/>
          <w:szCs w:val="28"/>
        </w:rPr>
        <w:t>the Bill</w:t>
      </w:r>
      <w:r w:rsidRPr="002F0BEA">
        <w:rPr>
          <w:rFonts w:asciiTheme="majorHAnsi" w:hAnsiTheme="majorHAnsi" w:cstheme="majorHAnsi"/>
          <w:b/>
          <w:bCs/>
          <w:sz w:val="28"/>
          <w:szCs w:val="28"/>
        </w:rPr>
        <w:t xml:space="preserve"> be amended to </w:t>
      </w:r>
      <w:r w:rsidR="00406C99" w:rsidRPr="002F0BEA">
        <w:rPr>
          <w:rFonts w:asciiTheme="majorHAnsi" w:hAnsiTheme="majorHAnsi" w:cstheme="majorHAnsi"/>
          <w:b/>
          <w:bCs/>
          <w:sz w:val="28"/>
          <w:szCs w:val="28"/>
        </w:rPr>
        <w:t xml:space="preserve">make clear </w:t>
      </w:r>
      <w:r w:rsidRPr="002F0BEA">
        <w:rPr>
          <w:rFonts w:asciiTheme="majorHAnsi" w:hAnsiTheme="majorHAnsi" w:cstheme="majorHAnsi"/>
          <w:b/>
          <w:bCs/>
          <w:sz w:val="28"/>
          <w:szCs w:val="28"/>
        </w:rPr>
        <w:t xml:space="preserve">that </w:t>
      </w:r>
      <w:r w:rsidR="005C2B14" w:rsidRPr="002F0BEA">
        <w:rPr>
          <w:rFonts w:asciiTheme="majorHAnsi" w:hAnsiTheme="majorHAnsi" w:cstheme="majorHAnsi"/>
          <w:b/>
          <w:bCs/>
          <w:sz w:val="28"/>
          <w:szCs w:val="28"/>
        </w:rPr>
        <w:t>a</w:t>
      </w:r>
      <w:r w:rsidRPr="002F0BEA">
        <w:rPr>
          <w:rFonts w:asciiTheme="majorHAnsi" w:hAnsiTheme="majorHAnsi" w:cstheme="majorHAnsi"/>
          <w:b/>
          <w:bCs/>
          <w:sz w:val="28"/>
          <w:szCs w:val="28"/>
        </w:rPr>
        <w:t xml:space="preserve"> Minister’s power</w:t>
      </w:r>
      <w:r w:rsidR="0064756F" w:rsidRPr="002F0BEA">
        <w:rPr>
          <w:rFonts w:asciiTheme="majorHAnsi" w:hAnsiTheme="majorHAnsi" w:cstheme="majorHAnsi"/>
          <w:b/>
          <w:bCs/>
          <w:sz w:val="28"/>
          <w:szCs w:val="28"/>
        </w:rPr>
        <w:t>s</w:t>
      </w:r>
      <w:r w:rsidRPr="002F0BEA">
        <w:rPr>
          <w:rFonts w:asciiTheme="majorHAnsi" w:hAnsiTheme="majorHAnsi" w:cstheme="majorHAnsi"/>
          <w:b/>
          <w:bCs/>
          <w:sz w:val="28"/>
          <w:szCs w:val="28"/>
        </w:rPr>
        <w:t xml:space="preserve"> </w:t>
      </w:r>
      <w:r w:rsidR="0064676C" w:rsidRPr="002F0BEA">
        <w:rPr>
          <w:rFonts w:asciiTheme="majorHAnsi" w:hAnsiTheme="majorHAnsi" w:cstheme="majorHAnsi"/>
          <w:b/>
          <w:bCs/>
          <w:sz w:val="28"/>
          <w:szCs w:val="28"/>
        </w:rPr>
        <w:t xml:space="preserve">under </w:t>
      </w:r>
      <w:r w:rsidR="00C92EE6" w:rsidRPr="002F0BEA">
        <w:rPr>
          <w:rFonts w:asciiTheme="majorHAnsi" w:hAnsiTheme="majorHAnsi" w:cstheme="majorHAnsi"/>
          <w:b/>
          <w:bCs/>
          <w:sz w:val="28"/>
          <w:szCs w:val="28"/>
        </w:rPr>
        <w:t>Clause 14</w:t>
      </w:r>
      <w:r w:rsidR="0023329C" w:rsidRPr="002F0BEA">
        <w:rPr>
          <w:rFonts w:asciiTheme="majorHAnsi" w:hAnsiTheme="majorHAnsi" w:cstheme="majorHAnsi"/>
          <w:b/>
          <w:bCs/>
          <w:sz w:val="28"/>
          <w:szCs w:val="28"/>
        </w:rPr>
        <w:t>(4)</w:t>
      </w:r>
      <w:r w:rsidR="0064756F" w:rsidRPr="002F0BEA">
        <w:rPr>
          <w:rFonts w:asciiTheme="majorHAnsi" w:hAnsiTheme="majorHAnsi" w:cstheme="majorHAnsi"/>
          <w:b/>
          <w:bCs/>
          <w:sz w:val="28"/>
          <w:szCs w:val="28"/>
        </w:rPr>
        <w:t>,</w:t>
      </w:r>
      <w:r w:rsidR="00C92EE6" w:rsidRPr="002F0BEA">
        <w:rPr>
          <w:rFonts w:asciiTheme="majorHAnsi" w:hAnsiTheme="majorHAnsi" w:cstheme="majorHAnsi"/>
          <w:b/>
          <w:bCs/>
          <w:sz w:val="28"/>
          <w:szCs w:val="28"/>
        </w:rPr>
        <w:t xml:space="preserve"> or any other Clause</w:t>
      </w:r>
      <w:r w:rsidR="0064756F" w:rsidRPr="002F0BEA">
        <w:rPr>
          <w:rFonts w:asciiTheme="majorHAnsi" w:hAnsiTheme="majorHAnsi" w:cstheme="majorHAnsi"/>
          <w:b/>
          <w:bCs/>
          <w:sz w:val="28"/>
          <w:szCs w:val="28"/>
        </w:rPr>
        <w:t xml:space="preserve"> of the Bill</w:t>
      </w:r>
      <w:r w:rsidRPr="002F0BEA">
        <w:rPr>
          <w:rFonts w:asciiTheme="majorHAnsi" w:hAnsiTheme="majorHAnsi" w:cstheme="majorHAnsi"/>
          <w:b/>
          <w:bCs/>
          <w:sz w:val="28"/>
          <w:szCs w:val="28"/>
        </w:rPr>
        <w:t xml:space="preserve">, do not extend to </w:t>
      </w:r>
      <w:r w:rsidR="008D6482" w:rsidRPr="002F0BEA">
        <w:rPr>
          <w:rFonts w:asciiTheme="majorHAnsi" w:hAnsiTheme="majorHAnsi" w:cstheme="majorHAnsi"/>
          <w:b/>
          <w:bCs/>
          <w:sz w:val="28"/>
          <w:szCs w:val="28"/>
        </w:rPr>
        <w:t>ta</w:t>
      </w:r>
      <w:r w:rsidR="00FD060D" w:rsidRPr="002F0BEA">
        <w:rPr>
          <w:rFonts w:asciiTheme="majorHAnsi" w:hAnsiTheme="majorHAnsi" w:cstheme="majorHAnsi"/>
          <w:b/>
          <w:bCs/>
          <w:sz w:val="28"/>
          <w:szCs w:val="28"/>
        </w:rPr>
        <w:t>k</w:t>
      </w:r>
      <w:r w:rsidR="00170875" w:rsidRPr="002F0BEA">
        <w:rPr>
          <w:rFonts w:asciiTheme="majorHAnsi" w:hAnsiTheme="majorHAnsi" w:cstheme="majorHAnsi"/>
          <w:b/>
          <w:bCs/>
          <w:sz w:val="28"/>
          <w:szCs w:val="28"/>
        </w:rPr>
        <w:t>ing</w:t>
      </w:r>
      <w:r w:rsidR="00FD060D" w:rsidRPr="002F0BEA">
        <w:rPr>
          <w:rFonts w:asciiTheme="majorHAnsi" w:hAnsiTheme="majorHAnsi" w:cstheme="majorHAnsi"/>
          <w:b/>
          <w:bCs/>
          <w:sz w:val="28"/>
          <w:szCs w:val="28"/>
        </w:rPr>
        <w:t xml:space="preserve"> any action </w:t>
      </w:r>
      <w:r w:rsidR="0088310A" w:rsidRPr="002F0BEA">
        <w:rPr>
          <w:rFonts w:asciiTheme="majorHAnsi" w:hAnsiTheme="majorHAnsi" w:cstheme="majorHAnsi"/>
          <w:b/>
          <w:bCs/>
          <w:sz w:val="28"/>
          <w:szCs w:val="28"/>
        </w:rPr>
        <w:t>that</w:t>
      </w:r>
      <w:r w:rsidR="00FD060D" w:rsidRPr="002F0BEA">
        <w:rPr>
          <w:rFonts w:asciiTheme="majorHAnsi" w:hAnsiTheme="majorHAnsi" w:cstheme="majorHAnsi"/>
          <w:b/>
          <w:bCs/>
          <w:sz w:val="28"/>
          <w:szCs w:val="28"/>
        </w:rPr>
        <w:t xml:space="preserve"> weakens the interpretation</w:t>
      </w:r>
      <w:r w:rsidR="00FD02A1" w:rsidRPr="002F0BEA">
        <w:rPr>
          <w:rFonts w:asciiTheme="majorHAnsi" w:hAnsiTheme="majorHAnsi" w:cstheme="majorHAnsi"/>
          <w:b/>
          <w:bCs/>
          <w:sz w:val="28"/>
          <w:szCs w:val="28"/>
        </w:rPr>
        <w:t xml:space="preserve">, </w:t>
      </w:r>
      <w:proofErr w:type="gramStart"/>
      <w:r w:rsidR="00FD02A1" w:rsidRPr="002F0BEA">
        <w:rPr>
          <w:rFonts w:asciiTheme="majorHAnsi" w:hAnsiTheme="majorHAnsi" w:cstheme="majorHAnsi"/>
          <w:b/>
          <w:bCs/>
          <w:sz w:val="28"/>
          <w:szCs w:val="28"/>
        </w:rPr>
        <w:t>implementation</w:t>
      </w:r>
      <w:proofErr w:type="gramEnd"/>
      <w:r w:rsidR="00FD060D" w:rsidRPr="002F0BEA">
        <w:rPr>
          <w:rFonts w:asciiTheme="majorHAnsi" w:hAnsiTheme="majorHAnsi" w:cstheme="majorHAnsi"/>
          <w:b/>
          <w:bCs/>
          <w:sz w:val="28"/>
          <w:szCs w:val="28"/>
        </w:rPr>
        <w:t xml:space="preserve"> or enforcement of Protocol Article 2</w:t>
      </w:r>
      <w:r w:rsidR="00170875" w:rsidRPr="002F0BEA">
        <w:rPr>
          <w:rFonts w:asciiTheme="majorHAnsi" w:hAnsiTheme="majorHAnsi" w:cstheme="majorHAnsi"/>
          <w:b/>
          <w:bCs/>
          <w:sz w:val="28"/>
          <w:szCs w:val="28"/>
        </w:rPr>
        <w:t>, either by excluding provisions of the Protocol or Withdrawal Agreement</w:t>
      </w:r>
      <w:r w:rsidR="004E0FC1" w:rsidRPr="002F0BEA">
        <w:rPr>
          <w:rFonts w:asciiTheme="majorHAnsi" w:hAnsiTheme="majorHAnsi" w:cstheme="majorHAnsi"/>
          <w:b/>
          <w:bCs/>
          <w:sz w:val="28"/>
          <w:szCs w:val="28"/>
        </w:rPr>
        <w:t xml:space="preserve"> insofar as they relate to Protocol Article 2</w:t>
      </w:r>
      <w:r w:rsidR="00170875" w:rsidRPr="002F0BEA">
        <w:rPr>
          <w:rFonts w:asciiTheme="majorHAnsi" w:hAnsiTheme="majorHAnsi" w:cstheme="majorHAnsi"/>
          <w:b/>
          <w:bCs/>
          <w:sz w:val="28"/>
          <w:szCs w:val="28"/>
        </w:rPr>
        <w:t>, or by any other</w:t>
      </w:r>
      <w:r w:rsidR="000960C1" w:rsidRPr="002F0BEA">
        <w:rPr>
          <w:rFonts w:asciiTheme="majorHAnsi" w:hAnsiTheme="majorHAnsi" w:cstheme="majorHAnsi"/>
          <w:b/>
          <w:bCs/>
          <w:sz w:val="28"/>
          <w:szCs w:val="28"/>
        </w:rPr>
        <w:t xml:space="preserve"> exercise of</w:t>
      </w:r>
      <w:r w:rsidR="008E4B34" w:rsidRPr="002F0BEA">
        <w:rPr>
          <w:rFonts w:asciiTheme="majorHAnsi" w:hAnsiTheme="majorHAnsi" w:cstheme="majorHAnsi"/>
          <w:b/>
          <w:bCs/>
          <w:sz w:val="28"/>
          <w:szCs w:val="28"/>
        </w:rPr>
        <w:t xml:space="preserve"> delegated</w:t>
      </w:r>
      <w:r w:rsidR="000960C1" w:rsidRPr="002F0BEA">
        <w:rPr>
          <w:rFonts w:asciiTheme="majorHAnsi" w:hAnsiTheme="majorHAnsi" w:cstheme="majorHAnsi"/>
          <w:b/>
          <w:bCs/>
          <w:sz w:val="28"/>
          <w:szCs w:val="28"/>
        </w:rPr>
        <w:t xml:space="preserve"> powers</w:t>
      </w:r>
      <w:r w:rsidR="008E4B34" w:rsidRPr="002F0BEA">
        <w:rPr>
          <w:rFonts w:asciiTheme="majorHAnsi" w:hAnsiTheme="majorHAnsi" w:cstheme="majorHAnsi"/>
          <w:b/>
          <w:bCs/>
          <w:sz w:val="28"/>
          <w:szCs w:val="28"/>
        </w:rPr>
        <w:t xml:space="preserve"> under the Bill</w:t>
      </w:r>
      <w:r w:rsidRPr="002F0BEA">
        <w:rPr>
          <w:rFonts w:asciiTheme="majorHAnsi" w:hAnsiTheme="majorHAnsi" w:cstheme="majorHAnsi"/>
          <w:b/>
          <w:bCs/>
          <w:sz w:val="28"/>
          <w:szCs w:val="28"/>
        </w:rPr>
        <w:t>.</w:t>
      </w:r>
      <w:r w:rsidR="008467F0" w:rsidRPr="002F0BEA">
        <w:rPr>
          <w:rStyle w:val="FootnoteReference"/>
          <w:rFonts w:asciiTheme="majorHAnsi" w:hAnsiTheme="majorHAnsi" w:cstheme="majorHAnsi"/>
          <w:b/>
          <w:bCs/>
          <w:sz w:val="28"/>
          <w:szCs w:val="28"/>
        </w:rPr>
        <w:footnoteReference w:id="11"/>
      </w:r>
    </w:p>
    <w:p w14:paraId="02A55F3F" w14:textId="77777777" w:rsidR="00E234D7" w:rsidRPr="002F0BEA" w:rsidRDefault="00E234D7" w:rsidP="00E234D7">
      <w:pPr>
        <w:pStyle w:val="ListParagraph"/>
        <w:spacing w:after="240" w:line="276" w:lineRule="auto"/>
        <w:ind w:left="709"/>
        <w:contextualSpacing w:val="0"/>
        <w:rPr>
          <w:rFonts w:asciiTheme="majorHAnsi" w:hAnsiTheme="majorHAnsi" w:cstheme="majorHAnsi"/>
          <w:b/>
          <w:bCs/>
          <w:sz w:val="28"/>
          <w:szCs w:val="28"/>
        </w:rPr>
      </w:pPr>
    </w:p>
    <w:p w14:paraId="14C9A78D" w14:textId="6EB89169" w:rsidR="00646E92" w:rsidRPr="002F0BEA" w:rsidRDefault="00555BCB" w:rsidP="0054278B">
      <w:pPr>
        <w:pStyle w:val="Heading1"/>
        <w:numPr>
          <w:ilvl w:val="0"/>
          <w:numId w:val="22"/>
        </w:numPr>
        <w:spacing w:after="240"/>
        <w:rPr>
          <w:rFonts w:asciiTheme="majorHAnsi" w:hAnsiTheme="majorHAnsi" w:cstheme="majorHAnsi"/>
          <w:szCs w:val="40"/>
        </w:rPr>
      </w:pPr>
      <w:bookmarkStart w:id="4" w:name="_Toc116045312"/>
      <w:r w:rsidRPr="002F0BEA">
        <w:rPr>
          <w:rFonts w:asciiTheme="majorHAnsi" w:hAnsiTheme="majorHAnsi" w:cstheme="majorHAnsi"/>
          <w:szCs w:val="40"/>
        </w:rPr>
        <w:t>Consideration of compliance with Protocol Article 2</w:t>
      </w:r>
      <w:bookmarkEnd w:id="4"/>
    </w:p>
    <w:p w14:paraId="4F503896" w14:textId="597AA327" w:rsidR="0080165B" w:rsidRPr="002F0BEA" w:rsidRDefault="00BB7216" w:rsidP="0054278B">
      <w:pPr>
        <w:pStyle w:val="ListParagraph"/>
        <w:numPr>
          <w:ilvl w:val="1"/>
          <w:numId w:val="22"/>
        </w:numPr>
        <w:spacing w:after="240" w:line="276" w:lineRule="auto"/>
        <w:ind w:left="709"/>
        <w:contextualSpacing w:val="0"/>
        <w:rPr>
          <w:rFonts w:asciiTheme="majorHAnsi" w:hAnsiTheme="majorHAnsi" w:cstheme="majorHAnsi"/>
          <w:sz w:val="28"/>
          <w:szCs w:val="28"/>
        </w:rPr>
      </w:pPr>
      <w:r w:rsidRPr="002F0BEA">
        <w:rPr>
          <w:rFonts w:asciiTheme="majorHAnsi" w:hAnsiTheme="majorHAnsi" w:cstheme="majorHAnsi"/>
          <w:sz w:val="28"/>
          <w:szCs w:val="28"/>
        </w:rPr>
        <w:t xml:space="preserve">The </w:t>
      </w:r>
      <w:r w:rsidR="00555BCB" w:rsidRPr="002F0BEA">
        <w:rPr>
          <w:rFonts w:asciiTheme="majorHAnsi" w:hAnsiTheme="majorHAnsi" w:cstheme="majorHAnsi"/>
          <w:sz w:val="28"/>
          <w:szCs w:val="28"/>
        </w:rPr>
        <w:t xml:space="preserve">Explanatory </w:t>
      </w:r>
      <w:r w:rsidR="00115966" w:rsidRPr="002F0BEA">
        <w:rPr>
          <w:rFonts w:asciiTheme="majorHAnsi" w:hAnsiTheme="majorHAnsi" w:cstheme="majorHAnsi"/>
          <w:sz w:val="28"/>
          <w:szCs w:val="28"/>
        </w:rPr>
        <w:t>N</w:t>
      </w:r>
      <w:r w:rsidR="00555BCB" w:rsidRPr="002F0BEA">
        <w:rPr>
          <w:rFonts w:asciiTheme="majorHAnsi" w:hAnsiTheme="majorHAnsi" w:cstheme="majorHAnsi"/>
          <w:sz w:val="28"/>
          <w:szCs w:val="28"/>
        </w:rPr>
        <w:t xml:space="preserve">otes to the </w:t>
      </w:r>
      <w:r w:rsidR="0080165B" w:rsidRPr="002F0BEA">
        <w:rPr>
          <w:rFonts w:asciiTheme="majorHAnsi" w:hAnsiTheme="majorHAnsi" w:cstheme="majorHAnsi"/>
          <w:sz w:val="28"/>
          <w:szCs w:val="28"/>
        </w:rPr>
        <w:t xml:space="preserve">Protocol Bill </w:t>
      </w:r>
      <w:r w:rsidR="00555BCB" w:rsidRPr="002F0BEA">
        <w:rPr>
          <w:rFonts w:asciiTheme="majorHAnsi" w:hAnsiTheme="majorHAnsi" w:cstheme="majorHAnsi"/>
          <w:sz w:val="28"/>
          <w:szCs w:val="28"/>
        </w:rPr>
        <w:t>make no reference to any consideration given to compliance with Protocol Article 2.</w:t>
      </w:r>
      <w:r w:rsidR="004B4D8E" w:rsidRPr="002F0BEA">
        <w:rPr>
          <w:rFonts w:asciiTheme="majorHAnsi" w:hAnsiTheme="majorHAnsi" w:cstheme="majorHAnsi"/>
          <w:sz w:val="28"/>
          <w:szCs w:val="28"/>
        </w:rPr>
        <w:t xml:space="preserve"> The Commissions have previously recommended that this should be the case </w:t>
      </w:r>
      <w:r w:rsidR="002F308B" w:rsidRPr="002F0BEA">
        <w:rPr>
          <w:rFonts w:asciiTheme="majorHAnsi" w:hAnsiTheme="majorHAnsi" w:cstheme="majorHAnsi"/>
          <w:sz w:val="28"/>
          <w:szCs w:val="28"/>
        </w:rPr>
        <w:t>regarding</w:t>
      </w:r>
      <w:r w:rsidR="004B4D8E" w:rsidRPr="002F0BEA">
        <w:rPr>
          <w:rFonts w:asciiTheme="majorHAnsi" w:hAnsiTheme="majorHAnsi" w:cstheme="majorHAnsi"/>
          <w:sz w:val="28"/>
          <w:szCs w:val="28"/>
        </w:rPr>
        <w:t xml:space="preserve"> all relevant legislation.</w:t>
      </w:r>
      <w:r w:rsidR="00874D7A" w:rsidRPr="002F0BEA">
        <w:rPr>
          <w:rStyle w:val="FootnoteReference"/>
          <w:rFonts w:asciiTheme="majorHAnsi" w:hAnsiTheme="majorHAnsi" w:cstheme="majorHAnsi"/>
          <w:sz w:val="28"/>
          <w:szCs w:val="28"/>
        </w:rPr>
        <w:footnoteReference w:id="12"/>
      </w:r>
    </w:p>
    <w:p w14:paraId="065A6A83" w14:textId="0970B263" w:rsidR="00646E92" w:rsidRPr="002F0BEA" w:rsidRDefault="00646E92" w:rsidP="0054278B">
      <w:pPr>
        <w:pStyle w:val="ListParagraph"/>
        <w:numPr>
          <w:ilvl w:val="1"/>
          <w:numId w:val="22"/>
        </w:numPr>
        <w:spacing w:after="240" w:line="276" w:lineRule="auto"/>
        <w:ind w:left="709"/>
        <w:contextualSpacing w:val="0"/>
        <w:rPr>
          <w:rFonts w:asciiTheme="majorHAnsi" w:hAnsiTheme="majorHAnsi" w:cstheme="majorHAnsi"/>
          <w:b/>
          <w:sz w:val="28"/>
          <w:szCs w:val="28"/>
        </w:rPr>
      </w:pPr>
      <w:r w:rsidRPr="002F0BEA">
        <w:rPr>
          <w:rFonts w:asciiTheme="majorHAnsi" w:hAnsiTheme="majorHAnsi" w:cstheme="majorHAnsi"/>
          <w:b/>
          <w:sz w:val="28"/>
          <w:szCs w:val="28"/>
        </w:rPr>
        <w:t xml:space="preserve">The </w:t>
      </w:r>
      <w:r w:rsidR="0080165B" w:rsidRPr="002F0BEA">
        <w:rPr>
          <w:rFonts w:asciiTheme="majorHAnsi" w:hAnsiTheme="majorHAnsi" w:cstheme="majorHAnsi"/>
          <w:b/>
          <w:sz w:val="28"/>
          <w:szCs w:val="28"/>
        </w:rPr>
        <w:t xml:space="preserve">Commissions </w:t>
      </w:r>
      <w:r w:rsidRPr="002F0BEA">
        <w:rPr>
          <w:rFonts w:asciiTheme="majorHAnsi" w:hAnsiTheme="majorHAnsi" w:cstheme="majorHAnsi"/>
          <w:b/>
          <w:sz w:val="28"/>
          <w:szCs w:val="28"/>
        </w:rPr>
        <w:t xml:space="preserve">recommend that </w:t>
      </w:r>
      <w:r w:rsidR="00A919D9" w:rsidRPr="002F0BEA">
        <w:rPr>
          <w:rFonts w:asciiTheme="majorHAnsi" w:hAnsiTheme="majorHAnsi" w:cstheme="majorHAnsi"/>
          <w:b/>
          <w:sz w:val="28"/>
          <w:szCs w:val="28"/>
        </w:rPr>
        <w:t>compliance with Protocol Article 2 be considered</w:t>
      </w:r>
      <w:r w:rsidR="00FB61D2" w:rsidRPr="002F0BEA">
        <w:rPr>
          <w:rFonts w:asciiTheme="majorHAnsi" w:hAnsiTheme="majorHAnsi" w:cstheme="majorHAnsi"/>
          <w:b/>
          <w:sz w:val="28"/>
          <w:szCs w:val="28"/>
        </w:rPr>
        <w:t xml:space="preserve"> </w:t>
      </w:r>
      <w:r w:rsidR="00A919D9" w:rsidRPr="002F0BEA">
        <w:rPr>
          <w:rFonts w:asciiTheme="majorHAnsi" w:hAnsiTheme="majorHAnsi" w:cstheme="majorHAnsi"/>
          <w:b/>
          <w:sz w:val="28"/>
          <w:szCs w:val="28"/>
        </w:rPr>
        <w:t xml:space="preserve">from the earliest stages </w:t>
      </w:r>
      <w:r w:rsidR="00BE256F" w:rsidRPr="002F0BEA">
        <w:rPr>
          <w:rFonts w:asciiTheme="majorHAnsi" w:hAnsiTheme="majorHAnsi" w:cstheme="majorHAnsi"/>
          <w:b/>
          <w:sz w:val="28"/>
          <w:szCs w:val="28"/>
        </w:rPr>
        <w:t xml:space="preserve">in the development </w:t>
      </w:r>
      <w:r w:rsidR="00A919D9" w:rsidRPr="002F0BEA">
        <w:rPr>
          <w:rFonts w:asciiTheme="majorHAnsi" w:hAnsiTheme="majorHAnsi" w:cstheme="majorHAnsi"/>
          <w:b/>
          <w:sz w:val="28"/>
          <w:szCs w:val="28"/>
        </w:rPr>
        <w:t>of policy and legislation</w:t>
      </w:r>
      <w:r w:rsidR="00BE256F" w:rsidRPr="002F0BEA">
        <w:rPr>
          <w:rFonts w:asciiTheme="majorHAnsi" w:hAnsiTheme="majorHAnsi" w:cstheme="majorHAnsi"/>
          <w:b/>
          <w:sz w:val="28"/>
          <w:szCs w:val="28"/>
        </w:rPr>
        <w:t xml:space="preserve">. </w:t>
      </w:r>
    </w:p>
    <w:p w14:paraId="77779E95" w14:textId="77777777" w:rsidR="00593DBB" w:rsidRPr="002F0BEA" w:rsidRDefault="00593DBB" w:rsidP="00D26845">
      <w:pPr>
        <w:pStyle w:val="ListParagraph"/>
        <w:numPr>
          <w:ilvl w:val="1"/>
          <w:numId w:val="22"/>
        </w:numPr>
        <w:spacing w:after="240" w:line="276" w:lineRule="auto"/>
        <w:ind w:left="709" w:hanging="709"/>
        <w:contextualSpacing w:val="0"/>
        <w:rPr>
          <w:rFonts w:asciiTheme="majorHAnsi" w:hAnsiTheme="majorHAnsi" w:cstheme="majorHAnsi"/>
          <w:b/>
          <w:bCs/>
          <w:sz w:val="28"/>
          <w:szCs w:val="28"/>
        </w:rPr>
      </w:pPr>
      <w:r w:rsidRPr="002F0BEA">
        <w:rPr>
          <w:rFonts w:asciiTheme="majorHAnsi" w:hAnsiTheme="majorHAnsi" w:cstheme="majorHAnsi"/>
          <w:b/>
          <w:bCs/>
          <w:sz w:val="28"/>
          <w:szCs w:val="28"/>
        </w:rPr>
        <w:t>The Commissions recommend that the UK Government and NI Executive ensure that Explanatory Memoranda on draft UK and NI legislative proposals that are likely to engage Protocol Article 2 set out what consideration has been given to ensuring conformity with Protocol Article 2.</w:t>
      </w:r>
    </w:p>
    <w:p w14:paraId="4D3C27E7" w14:textId="50D79BD2" w:rsidR="00D26845" w:rsidRPr="002F0BEA" w:rsidRDefault="00D26845" w:rsidP="00D26845">
      <w:pPr>
        <w:pStyle w:val="ListParagraph"/>
        <w:numPr>
          <w:ilvl w:val="1"/>
          <w:numId w:val="22"/>
        </w:numPr>
        <w:spacing w:after="240" w:line="276" w:lineRule="auto"/>
        <w:ind w:left="709"/>
        <w:contextualSpacing w:val="0"/>
        <w:rPr>
          <w:rFonts w:asciiTheme="majorHAnsi" w:hAnsiTheme="majorHAnsi" w:cstheme="majorHAnsi"/>
          <w:b/>
          <w:bCs/>
          <w:sz w:val="28"/>
          <w:szCs w:val="28"/>
        </w:rPr>
      </w:pPr>
      <w:r w:rsidRPr="002F0BEA">
        <w:rPr>
          <w:rFonts w:asciiTheme="majorHAnsi" w:hAnsiTheme="majorHAnsi" w:cstheme="majorHAnsi"/>
          <w:b/>
          <w:bCs/>
          <w:sz w:val="28"/>
          <w:szCs w:val="28"/>
        </w:rPr>
        <w:t xml:space="preserve">The Commissions recommend that </w:t>
      </w:r>
      <w:r w:rsidR="00891978" w:rsidRPr="002F0BEA">
        <w:rPr>
          <w:rFonts w:asciiTheme="majorHAnsi" w:hAnsiTheme="majorHAnsi" w:cstheme="majorHAnsi"/>
          <w:b/>
          <w:bCs/>
          <w:sz w:val="28"/>
          <w:szCs w:val="28"/>
        </w:rPr>
        <w:t xml:space="preserve">peers </w:t>
      </w:r>
      <w:r w:rsidR="00465A8C" w:rsidRPr="002F0BEA">
        <w:rPr>
          <w:rFonts w:asciiTheme="majorHAnsi" w:hAnsiTheme="majorHAnsi" w:cstheme="majorHAnsi"/>
          <w:b/>
          <w:bCs/>
          <w:sz w:val="28"/>
          <w:szCs w:val="28"/>
        </w:rPr>
        <w:t xml:space="preserve">ask the UK Government to set out, in detail, </w:t>
      </w:r>
      <w:r w:rsidRPr="002F0BEA">
        <w:rPr>
          <w:rFonts w:asciiTheme="majorHAnsi" w:hAnsiTheme="majorHAnsi" w:cstheme="majorHAnsi"/>
          <w:b/>
          <w:bCs/>
          <w:sz w:val="28"/>
          <w:szCs w:val="28"/>
        </w:rPr>
        <w:t xml:space="preserve">what consideration was given to </w:t>
      </w:r>
      <w:r w:rsidR="00465A8C" w:rsidRPr="002F0BEA">
        <w:rPr>
          <w:rFonts w:asciiTheme="majorHAnsi" w:hAnsiTheme="majorHAnsi" w:cstheme="majorHAnsi"/>
          <w:b/>
          <w:bCs/>
          <w:sz w:val="28"/>
          <w:szCs w:val="28"/>
        </w:rPr>
        <w:t xml:space="preserve">compliance with </w:t>
      </w:r>
      <w:r w:rsidRPr="002F0BEA">
        <w:rPr>
          <w:rFonts w:asciiTheme="majorHAnsi" w:hAnsiTheme="majorHAnsi" w:cstheme="majorHAnsi"/>
          <w:b/>
          <w:bCs/>
          <w:sz w:val="28"/>
          <w:szCs w:val="28"/>
        </w:rPr>
        <w:t xml:space="preserve">Protocol Article 2 in the </w:t>
      </w:r>
      <w:r w:rsidR="00465A8C" w:rsidRPr="002F0BEA">
        <w:rPr>
          <w:rFonts w:asciiTheme="majorHAnsi" w:hAnsiTheme="majorHAnsi" w:cstheme="majorHAnsi"/>
          <w:b/>
          <w:bCs/>
          <w:sz w:val="28"/>
          <w:szCs w:val="28"/>
        </w:rPr>
        <w:t xml:space="preserve">context </w:t>
      </w:r>
      <w:r w:rsidRPr="002F0BEA">
        <w:rPr>
          <w:rFonts w:asciiTheme="majorHAnsi" w:hAnsiTheme="majorHAnsi" w:cstheme="majorHAnsi"/>
          <w:b/>
          <w:bCs/>
          <w:sz w:val="28"/>
          <w:szCs w:val="28"/>
        </w:rPr>
        <w:t xml:space="preserve">of </w:t>
      </w:r>
      <w:r w:rsidR="000945E0" w:rsidRPr="002F0BEA">
        <w:rPr>
          <w:rFonts w:asciiTheme="majorHAnsi" w:hAnsiTheme="majorHAnsi" w:cstheme="majorHAnsi"/>
          <w:b/>
          <w:bCs/>
          <w:sz w:val="28"/>
          <w:szCs w:val="28"/>
        </w:rPr>
        <w:t>the Protocol Bill</w:t>
      </w:r>
      <w:r w:rsidR="00046575" w:rsidRPr="002F0BEA">
        <w:rPr>
          <w:rFonts w:asciiTheme="majorHAnsi" w:hAnsiTheme="majorHAnsi" w:cstheme="majorHAnsi"/>
          <w:b/>
          <w:bCs/>
          <w:sz w:val="28"/>
          <w:szCs w:val="28"/>
        </w:rPr>
        <w:t>;</w:t>
      </w:r>
      <w:r w:rsidRPr="002F0BEA">
        <w:rPr>
          <w:rFonts w:asciiTheme="majorHAnsi" w:hAnsiTheme="majorHAnsi" w:cstheme="majorHAnsi"/>
          <w:b/>
          <w:bCs/>
          <w:sz w:val="28"/>
          <w:szCs w:val="28"/>
        </w:rPr>
        <w:t xml:space="preserve"> and recommend that Article 2 should be considered and complied with throughout its implementation and the development of regulations and guidance. </w:t>
      </w:r>
    </w:p>
    <w:p w14:paraId="3AC83E76" w14:textId="4CBE64D5" w:rsidR="00F8103B" w:rsidRPr="002F0BEA" w:rsidRDefault="00F8103B">
      <w:pPr>
        <w:rPr>
          <w:rFonts w:asciiTheme="majorHAnsi" w:hAnsiTheme="majorHAnsi" w:cstheme="majorHAnsi"/>
          <w:b/>
          <w:bCs/>
          <w:sz w:val="44"/>
          <w:szCs w:val="44"/>
        </w:rPr>
      </w:pPr>
      <w:r w:rsidRPr="002F0BEA">
        <w:rPr>
          <w:rFonts w:asciiTheme="majorHAnsi" w:hAnsiTheme="majorHAnsi" w:cstheme="majorHAnsi"/>
          <w:b/>
          <w:bCs/>
          <w:sz w:val="44"/>
          <w:szCs w:val="44"/>
        </w:rPr>
        <w:br w:type="page"/>
      </w:r>
    </w:p>
    <w:p w14:paraId="3F2F19BE" w14:textId="0CFB6A1D" w:rsidR="0049413D" w:rsidRPr="002F0BEA" w:rsidRDefault="0049413D" w:rsidP="0054278B">
      <w:pPr>
        <w:pStyle w:val="BasicParagraph"/>
        <w:suppressAutoHyphens/>
        <w:spacing w:after="240" w:line="276" w:lineRule="auto"/>
        <w:jc w:val="center"/>
        <w:rPr>
          <w:rFonts w:asciiTheme="majorHAnsi" w:hAnsiTheme="majorHAnsi" w:cstheme="majorHAnsi"/>
          <w:b/>
          <w:bCs/>
          <w:color w:val="auto"/>
          <w:sz w:val="44"/>
          <w:szCs w:val="44"/>
        </w:rPr>
      </w:pPr>
    </w:p>
    <w:p w14:paraId="24229714" w14:textId="77777777" w:rsidR="00F8103B" w:rsidRPr="002F0BEA" w:rsidRDefault="00F8103B" w:rsidP="0054278B">
      <w:pPr>
        <w:pStyle w:val="BasicParagraph"/>
        <w:suppressAutoHyphens/>
        <w:spacing w:after="240" w:line="276" w:lineRule="auto"/>
        <w:jc w:val="center"/>
        <w:rPr>
          <w:rFonts w:asciiTheme="majorHAnsi" w:hAnsiTheme="majorHAnsi" w:cstheme="majorHAnsi"/>
          <w:b/>
          <w:bCs/>
          <w:color w:val="auto"/>
          <w:sz w:val="44"/>
          <w:szCs w:val="44"/>
        </w:rPr>
      </w:pPr>
    </w:p>
    <w:p w14:paraId="295EFE30" w14:textId="77777777" w:rsidR="0049413D" w:rsidRPr="002F0BEA" w:rsidRDefault="0049413D" w:rsidP="0054278B">
      <w:pPr>
        <w:pStyle w:val="BasicParagraph"/>
        <w:suppressAutoHyphens/>
        <w:spacing w:after="240" w:line="276" w:lineRule="auto"/>
        <w:jc w:val="center"/>
        <w:rPr>
          <w:rFonts w:asciiTheme="majorHAnsi" w:hAnsiTheme="majorHAnsi" w:cstheme="majorHAnsi"/>
          <w:b/>
          <w:bCs/>
          <w:color w:val="auto"/>
          <w:sz w:val="44"/>
          <w:szCs w:val="44"/>
        </w:rPr>
      </w:pPr>
    </w:p>
    <w:p w14:paraId="086AD5FF" w14:textId="643375E3" w:rsidR="0049413D" w:rsidRPr="002F0BEA" w:rsidRDefault="0049413D" w:rsidP="0054278B">
      <w:pPr>
        <w:pStyle w:val="BasicParagraph"/>
        <w:suppressAutoHyphens/>
        <w:spacing w:after="240" w:line="276" w:lineRule="auto"/>
        <w:jc w:val="center"/>
        <w:rPr>
          <w:rFonts w:asciiTheme="majorHAnsi" w:hAnsiTheme="majorHAnsi" w:cstheme="majorHAnsi"/>
          <w:b/>
          <w:bCs/>
          <w:color w:val="auto"/>
          <w:sz w:val="44"/>
          <w:szCs w:val="44"/>
        </w:rPr>
      </w:pPr>
    </w:p>
    <w:p w14:paraId="253E70FD" w14:textId="6781667C" w:rsidR="002E1821" w:rsidRPr="002F0BEA" w:rsidRDefault="002E1821" w:rsidP="0054278B">
      <w:pPr>
        <w:pStyle w:val="BasicParagraph"/>
        <w:suppressAutoHyphens/>
        <w:spacing w:after="240" w:line="276" w:lineRule="auto"/>
        <w:jc w:val="center"/>
        <w:rPr>
          <w:rFonts w:asciiTheme="majorHAnsi" w:hAnsiTheme="majorHAnsi" w:cstheme="majorHAnsi"/>
          <w:b/>
          <w:bCs/>
          <w:color w:val="auto"/>
          <w:sz w:val="44"/>
          <w:szCs w:val="44"/>
        </w:rPr>
      </w:pPr>
    </w:p>
    <w:p w14:paraId="6A45954F" w14:textId="77777777" w:rsidR="002E1821" w:rsidRPr="002F0BEA" w:rsidRDefault="002E1821" w:rsidP="0054278B">
      <w:pPr>
        <w:pStyle w:val="BasicParagraph"/>
        <w:suppressAutoHyphens/>
        <w:spacing w:after="240" w:line="276" w:lineRule="auto"/>
        <w:jc w:val="center"/>
        <w:rPr>
          <w:rFonts w:asciiTheme="majorHAnsi" w:hAnsiTheme="majorHAnsi" w:cstheme="majorHAnsi"/>
          <w:b/>
          <w:bCs/>
          <w:color w:val="auto"/>
          <w:sz w:val="44"/>
          <w:szCs w:val="44"/>
        </w:rPr>
      </w:pPr>
    </w:p>
    <w:p w14:paraId="4EB8E461" w14:textId="3C4A45F7" w:rsidR="004672AC" w:rsidRPr="002F0BEA" w:rsidRDefault="00705833" w:rsidP="0054278B">
      <w:pPr>
        <w:pStyle w:val="BasicParagraph"/>
        <w:suppressAutoHyphens/>
        <w:spacing w:after="240" w:line="276" w:lineRule="auto"/>
        <w:jc w:val="center"/>
        <w:rPr>
          <w:rFonts w:asciiTheme="majorHAnsi" w:hAnsiTheme="majorHAnsi" w:cstheme="majorHAnsi"/>
          <w:b/>
          <w:color w:val="auto"/>
          <w:sz w:val="44"/>
          <w:szCs w:val="44"/>
        </w:rPr>
      </w:pPr>
      <w:r w:rsidRPr="002F0BEA">
        <w:rPr>
          <w:rFonts w:asciiTheme="majorHAnsi" w:hAnsiTheme="majorHAnsi" w:cstheme="majorHAnsi"/>
          <w:b/>
          <w:bCs/>
          <w:color w:val="auto"/>
          <w:sz w:val="44"/>
          <w:szCs w:val="44"/>
        </w:rPr>
        <w:t>Co</w:t>
      </w:r>
      <w:r w:rsidR="0096459E" w:rsidRPr="002F0BEA">
        <w:rPr>
          <w:rFonts w:asciiTheme="majorHAnsi" w:hAnsiTheme="majorHAnsi" w:cstheme="majorHAnsi"/>
          <w:b/>
          <w:bCs/>
          <w:color w:val="auto"/>
          <w:sz w:val="44"/>
          <w:szCs w:val="44"/>
        </w:rPr>
        <w:t xml:space="preserve">ntact us </w:t>
      </w:r>
    </w:p>
    <w:p w14:paraId="261E38E1" w14:textId="77777777" w:rsidR="00331C61" w:rsidRPr="002F0BEA" w:rsidRDefault="00331C61" w:rsidP="0054278B">
      <w:pPr>
        <w:spacing w:after="240" w:line="276" w:lineRule="auto"/>
        <w:jc w:val="center"/>
        <w:rPr>
          <w:rFonts w:asciiTheme="majorHAnsi" w:hAnsiTheme="majorHAnsi" w:cstheme="majorHAnsi"/>
          <w:b/>
          <w:color w:val="232120"/>
        </w:rPr>
      </w:pPr>
    </w:p>
    <w:p w14:paraId="083ABC98" w14:textId="6C17229E" w:rsidR="00AD2EED" w:rsidRPr="002F0BEA" w:rsidRDefault="00AD2EED" w:rsidP="0054278B">
      <w:pPr>
        <w:pStyle w:val="BasicParagraph"/>
        <w:suppressAutoHyphens/>
        <w:spacing w:after="240" w:line="276" w:lineRule="auto"/>
        <w:jc w:val="center"/>
        <w:rPr>
          <w:rFonts w:asciiTheme="majorHAnsi" w:hAnsiTheme="majorHAnsi" w:cstheme="majorHAnsi"/>
          <w:b/>
          <w:bCs/>
          <w:color w:val="auto"/>
          <w:sz w:val="32"/>
          <w:szCs w:val="32"/>
        </w:rPr>
      </w:pPr>
      <w:r w:rsidRPr="002F0BEA">
        <w:rPr>
          <w:rFonts w:asciiTheme="majorHAnsi" w:hAnsiTheme="majorHAnsi" w:cstheme="majorHAnsi"/>
          <w:b/>
          <w:bCs/>
          <w:color w:val="auto"/>
          <w:sz w:val="32"/>
          <w:szCs w:val="32"/>
        </w:rPr>
        <w:t xml:space="preserve">For </w:t>
      </w:r>
      <w:r w:rsidR="0021140C" w:rsidRPr="002F0BEA">
        <w:rPr>
          <w:rFonts w:asciiTheme="majorHAnsi" w:hAnsiTheme="majorHAnsi" w:cstheme="majorHAnsi"/>
          <w:b/>
          <w:bCs/>
          <w:color w:val="auto"/>
          <w:sz w:val="32"/>
          <w:szCs w:val="32"/>
        </w:rPr>
        <w:t>further information</w:t>
      </w:r>
      <w:r w:rsidRPr="002F0BEA">
        <w:rPr>
          <w:rFonts w:asciiTheme="majorHAnsi" w:hAnsiTheme="majorHAnsi" w:cstheme="majorHAnsi"/>
          <w:b/>
          <w:bCs/>
          <w:color w:val="auto"/>
          <w:sz w:val="32"/>
          <w:szCs w:val="32"/>
        </w:rPr>
        <w:t>, please contact:</w:t>
      </w:r>
    </w:p>
    <w:p w14:paraId="5061C87E" w14:textId="77777777" w:rsidR="00AD2EED" w:rsidRPr="002F0BEA" w:rsidRDefault="00000000" w:rsidP="0054278B">
      <w:pPr>
        <w:pStyle w:val="BasicParagraph"/>
        <w:suppressAutoHyphens/>
        <w:spacing w:after="240" w:line="276" w:lineRule="auto"/>
        <w:jc w:val="center"/>
        <w:rPr>
          <w:rStyle w:val="Hyperlink"/>
          <w:rFonts w:asciiTheme="majorHAnsi" w:hAnsiTheme="majorHAnsi" w:cstheme="majorHAnsi"/>
          <w:bCs/>
          <w:sz w:val="32"/>
          <w:szCs w:val="32"/>
        </w:rPr>
      </w:pPr>
      <w:hyperlink r:id="rId10" w:history="1">
        <w:r w:rsidR="00AD2EED" w:rsidRPr="002F0BEA">
          <w:rPr>
            <w:rStyle w:val="Hyperlink"/>
            <w:rFonts w:asciiTheme="majorHAnsi" w:hAnsiTheme="majorHAnsi" w:cstheme="majorHAnsi"/>
            <w:bCs/>
            <w:sz w:val="32"/>
            <w:szCs w:val="32"/>
          </w:rPr>
          <w:t>Eilis.Haughey@nihrc.org</w:t>
        </w:r>
      </w:hyperlink>
    </w:p>
    <w:p w14:paraId="784B7EB9" w14:textId="0140FFBB" w:rsidR="002401EC" w:rsidRPr="002401EC" w:rsidRDefault="00000000" w:rsidP="0054278B">
      <w:pPr>
        <w:spacing w:after="240" w:line="276" w:lineRule="auto"/>
        <w:jc w:val="center"/>
        <w:rPr>
          <w:rFonts w:asciiTheme="majorHAnsi" w:hAnsiTheme="majorHAnsi"/>
          <w:sz w:val="32"/>
          <w:szCs w:val="32"/>
        </w:rPr>
      </w:pPr>
      <w:hyperlink r:id="rId11" w:history="1">
        <w:r w:rsidR="002401EC" w:rsidRPr="002F0BEA">
          <w:rPr>
            <w:rStyle w:val="Hyperlink"/>
            <w:rFonts w:asciiTheme="majorHAnsi" w:hAnsiTheme="majorHAnsi" w:cs="Calibri"/>
            <w:sz w:val="32"/>
            <w:szCs w:val="32"/>
            <w:lang w:val="en-US" w:eastAsia="en-GB"/>
          </w:rPr>
          <w:t>RMallon@equalityni.org</w:t>
        </w:r>
      </w:hyperlink>
    </w:p>
    <w:p w14:paraId="614AE2D8" w14:textId="77777777" w:rsidR="00DE6566" w:rsidRPr="00DE6566" w:rsidRDefault="00DE6566" w:rsidP="0054278B">
      <w:pPr>
        <w:spacing w:after="240" w:line="276" w:lineRule="auto"/>
        <w:jc w:val="center"/>
        <w:rPr>
          <w:rFonts w:ascii="Verdana" w:hAnsi="Verdana" w:cs="Arial"/>
          <w:bCs/>
          <w:color w:val="232120"/>
        </w:rPr>
      </w:pPr>
    </w:p>
    <w:sectPr w:rsidR="00DE6566" w:rsidRPr="00DE6566" w:rsidSect="004B1D81">
      <w:headerReference w:type="even" r:id="rId12"/>
      <w:headerReference w:type="default" r:id="rId13"/>
      <w:footerReference w:type="even" r:id="rId14"/>
      <w:footerReference w:type="default" r:id="rId15"/>
      <w:headerReference w:type="first" r:id="rId16"/>
      <w:footerReference w:type="first" r:id="rId17"/>
      <w:pgSz w:w="11900" w:h="16820"/>
      <w:pgMar w:top="1021" w:right="1021" w:bottom="1021" w:left="1021" w:header="1021" w:footer="102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FF0008" w14:textId="77777777" w:rsidR="00951BD5" w:rsidRDefault="00951BD5" w:rsidP="00962B2B">
      <w:r>
        <w:separator/>
      </w:r>
    </w:p>
  </w:endnote>
  <w:endnote w:type="continuationSeparator" w:id="0">
    <w:p w14:paraId="1856EC28" w14:textId="77777777" w:rsidR="00951BD5" w:rsidRDefault="00951BD5" w:rsidP="00962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auto"/>
    <w:pitch w:val="variable"/>
    <w:sig w:usb0="E1000AEF"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37949" w14:textId="77777777" w:rsidR="005869E2" w:rsidRDefault="005869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618038"/>
      <w:docPartObj>
        <w:docPartGallery w:val="Page Numbers (Bottom of Page)"/>
        <w:docPartUnique/>
      </w:docPartObj>
    </w:sdtPr>
    <w:sdtEndPr>
      <w:rPr>
        <w:noProof/>
      </w:rPr>
    </w:sdtEndPr>
    <w:sdtContent>
      <w:p w14:paraId="1BF40024" w14:textId="31AFEB72" w:rsidR="00474E4B" w:rsidRDefault="00474E4B">
        <w:pPr>
          <w:pStyle w:val="Footer"/>
          <w:jc w:val="right"/>
        </w:pPr>
        <w:r>
          <w:fldChar w:fldCharType="begin"/>
        </w:r>
        <w:r>
          <w:instrText xml:space="preserve"> PAGE   \* MERGEFORMAT </w:instrText>
        </w:r>
        <w:r>
          <w:fldChar w:fldCharType="separate"/>
        </w:r>
        <w:r w:rsidR="00643D71">
          <w:rPr>
            <w:noProof/>
          </w:rPr>
          <w:t>12</w:t>
        </w:r>
        <w:r>
          <w:rPr>
            <w:noProof/>
          </w:rPr>
          <w:fldChar w:fldCharType="end"/>
        </w:r>
      </w:p>
    </w:sdtContent>
  </w:sdt>
  <w:p w14:paraId="1AC91690" w14:textId="7074DDB1" w:rsidR="00D2770F" w:rsidRPr="007569C1" w:rsidRDefault="00D2770F" w:rsidP="00656ECD">
    <w:pPr>
      <w:pStyle w:val="Footer"/>
      <w:jc w:val="right"/>
      <w:rPr>
        <w:rFonts w:ascii="Arial" w:hAnsi="Arial" w:cs="Arial"/>
        <w:b/>
        <w:color w:val="77328A"/>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F0D27" w14:textId="77777777" w:rsidR="00D2770F" w:rsidRDefault="00D2770F" w:rsidP="00046705">
    <w:pPr>
      <w:pStyle w:val="Footer"/>
      <w:jc w:val="right"/>
      <w:rPr>
        <w:rStyle w:val="PageNumber"/>
        <w:rFonts w:ascii="Arial" w:hAnsi="Arial" w:cs="Arial"/>
        <w:b/>
        <w:sz w:val="16"/>
        <w:szCs w:val="16"/>
      </w:rPr>
    </w:pPr>
  </w:p>
  <w:p w14:paraId="4EC883BC" w14:textId="77777777" w:rsidR="00D2770F" w:rsidRPr="00D12EF8" w:rsidRDefault="00D2770F" w:rsidP="00046705">
    <w:pPr>
      <w:pStyle w:val="Footer"/>
      <w:jc w:val="right"/>
      <w:rPr>
        <w:rFonts w:ascii="Arial" w:hAnsi="Arial" w:cs="Arial"/>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28526C" w14:textId="77777777" w:rsidR="00951BD5" w:rsidRDefault="00951BD5" w:rsidP="00B96D34">
      <w:r>
        <w:continuationSeparator/>
      </w:r>
    </w:p>
    <w:p w14:paraId="6CEEFB9B" w14:textId="77777777" w:rsidR="00951BD5" w:rsidRPr="00B96D34" w:rsidRDefault="00951BD5" w:rsidP="00B96D34">
      <w:pPr>
        <w:pStyle w:val="Footer"/>
      </w:pPr>
    </w:p>
  </w:footnote>
  <w:footnote w:type="continuationSeparator" w:id="0">
    <w:p w14:paraId="142814B8" w14:textId="77777777" w:rsidR="00951BD5" w:rsidRDefault="00951BD5" w:rsidP="00962B2B">
      <w:r>
        <w:continuationSeparator/>
      </w:r>
    </w:p>
  </w:footnote>
  <w:footnote w:type="continuationNotice" w:id="1">
    <w:p w14:paraId="4A48D2BA" w14:textId="77777777" w:rsidR="00951BD5" w:rsidRDefault="00951BD5"/>
  </w:footnote>
  <w:footnote w:id="2">
    <w:p w14:paraId="1E7789DA" w14:textId="77777777" w:rsidR="00EE2DAA" w:rsidRPr="000D0CE2" w:rsidRDefault="00EE2DAA" w:rsidP="00EE2DAA">
      <w:pPr>
        <w:pStyle w:val="FootnoteText"/>
        <w:rPr>
          <w:rFonts w:asciiTheme="majorHAnsi" w:hAnsiTheme="majorHAnsi" w:cstheme="majorHAnsi"/>
          <w:sz w:val="18"/>
          <w:szCs w:val="18"/>
        </w:rPr>
      </w:pPr>
      <w:r w:rsidRPr="000D0CE2">
        <w:rPr>
          <w:rStyle w:val="FootnoteReference"/>
          <w:rFonts w:asciiTheme="majorHAnsi" w:hAnsiTheme="majorHAnsi" w:cstheme="majorHAnsi"/>
          <w:sz w:val="18"/>
          <w:szCs w:val="18"/>
        </w:rPr>
        <w:footnoteRef/>
      </w:r>
      <w:r w:rsidRPr="000D0CE2">
        <w:rPr>
          <w:rFonts w:asciiTheme="majorHAnsi" w:hAnsiTheme="majorHAnsi" w:cstheme="majorHAnsi"/>
          <w:sz w:val="18"/>
          <w:szCs w:val="18"/>
        </w:rPr>
        <w:t xml:space="preserve"> </w:t>
      </w:r>
      <w:r w:rsidRPr="000D0CE2">
        <w:rPr>
          <w:rFonts w:asciiTheme="majorHAnsi" w:hAnsiTheme="majorHAnsi" w:cstheme="majorHAnsi"/>
          <w:color w:val="000000" w:themeColor="text1"/>
          <w:sz w:val="18"/>
          <w:szCs w:val="18"/>
        </w:rPr>
        <w:t>UK Government, ‘NI Protocol: the way forward’, (UK Gov, 2021), at para 37</w:t>
      </w:r>
      <w:r>
        <w:rPr>
          <w:rFonts w:asciiTheme="majorHAnsi" w:hAnsiTheme="majorHAnsi" w:cstheme="majorHAnsi"/>
          <w:color w:val="000000" w:themeColor="text1"/>
          <w:sz w:val="18"/>
          <w:szCs w:val="18"/>
        </w:rPr>
        <w:t xml:space="preserve">. See also </w:t>
      </w:r>
      <w:r w:rsidRPr="008E44C6">
        <w:rPr>
          <w:rFonts w:asciiTheme="majorHAnsi" w:hAnsiTheme="majorHAnsi" w:cstheme="majorHAnsi"/>
          <w:color w:val="000000" w:themeColor="text1"/>
          <w:sz w:val="18"/>
          <w:szCs w:val="18"/>
        </w:rPr>
        <w:t>Letter from Conor Burns MP, Minister of State in the NI Office to Lord Jay of Ewelme, Chair of the House of Lords EU Affairs Committee Sub Committee on the Ireland/ Northern Ireland Protocol, 24 November 2021</w:t>
      </w:r>
      <w:r>
        <w:rPr>
          <w:rFonts w:asciiTheme="majorHAnsi" w:hAnsiTheme="majorHAnsi" w:cstheme="majorHAnsi"/>
          <w:color w:val="000000" w:themeColor="text1"/>
          <w:sz w:val="18"/>
          <w:szCs w:val="18"/>
        </w:rPr>
        <w:t>.</w:t>
      </w:r>
    </w:p>
  </w:footnote>
  <w:footnote w:id="3">
    <w:p w14:paraId="558CD10F" w14:textId="77777777" w:rsidR="007464D0" w:rsidRPr="00F664AF" w:rsidRDefault="007464D0" w:rsidP="007464D0">
      <w:pPr>
        <w:pStyle w:val="FootnoteText"/>
        <w:rPr>
          <w:rFonts w:asciiTheme="majorHAnsi" w:hAnsiTheme="majorHAnsi" w:cstheme="majorHAnsi"/>
          <w:sz w:val="18"/>
          <w:szCs w:val="18"/>
        </w:rPr>
      </w:pPr>
      <w:r w:rsidRPr="00F664AF">
        <w:rPr>
          <w:rStyle w:val="FootnoteReference"/>
          <w:rFonts w:asciiTheme="majorHAnsi" w:hAnsiTheme="majorHAnsi" w:cstheme="majorHAnsi"/>
          <w:sz w:val="18"/>
          <w:szCs w:val="18"/>
        </w:rPr>
        <w:footnoteRef/>
      </w:r>
      <w:r w:rsidRPr="00F664AF">
        <w:rPr>
          <w:rFonts w:ascii="Verdana" w:hAnsi="Verdana"/>
          <w:sz w:val="18"/>
          <w:szCs w:val="18"/>
        </w:rPr>
        <w:t xml:space="preserve"> </w:t>
      </w:r>
      <w:r w:rsidRPr="00F664AF">
        <w:rPr>
          <w:rFonts w:asciiTheme="majorHAnsi" w:hAnsiTheme="majorHAnsi" w:cstheme="majorHAnsi"/>
          <w:sz w:val="18"/>
          <w:szCs w:val="18"/>
        </w:rPr>
        <w:t>Belfast (Good Friday) Agreement 1998.</w:t>
      </w:r>
    </w:p>
  </w:footnote>
  <w:footnote w:id="4">
    <w:p w14:paraId="3F7A474B" w14:textId="7F9C6DCA" w:rsidR="00202A5B" w:rsidRPr="00F005A4" w:rsidRDefault="00202A5B" w:rsidP="00F005A4">
      <w:pPr>
        <w:rPr>
          <w:sz w:val="16"/>
          <w:szCs w:val="16"/>
        </w:rPr>
      </w:pPr>
      <w:r w:rsidRPr="00F664AF">
        <w:rPr>
          <w:rStyle w:val="FootnoteReference"/>
          <w:rFonts w:asciiTheme="majorHAnsi" w:hAnsiTheme="majorHAnsi" w:cstheme="majorHAnsi"/>
          <w:sz w:val="18"/>
          <w:szCs w:val="18"/>
        </w:rPr>
        <w:footnoteRef/>
      </w:r>
      <w:r w:rsidRPr="00F664AF">
        <w:rPr>
          <w:rFonts w:asciiTheme="majorHAnsi" w:hAnsiTheme="majorHAnsi" w:cstheme="majorHAnsi"/>
          <w:sz w:val="18"/>
          <w:szCs w:val="18"/>
        </w:rPr>
        <w:t xml:space="preserve"> </w:t>
      </w:r>
      <w:r w:rsidR="00A17C4F" w:rsidRPr="00F005A4">
        <w:rPr>
          <w:rFonts w:asciiTheme="majorHAnsi" w:hAnsiTheme="majorHAnsi" w:cstheme="majorHAnsi"/>
          <w:sz w:val="18"/>
          <w:szCs w:val="18"/>
        </w:rPr>
        <w:t>Council Directive 2004/113/EC, ‘EU Council Directive implementing the principle of equal treatment between men and women in the access to and supply of goods and services’, 13 December 2004; Directive 2006/54/EC, ‘EU Directive on the implementation of the principle of equal opportunities and equal treatment of men and women in matters of employment and occupation’, 5 July 2006; Council Directive 2000/43/EC, ‘EU Council Directive implementing the principle of equal treatment between persons irrespective of racial or ethnic origin’, 29 June 2000; Council Directive 2000/78/EC, ‘EU Council Directive establishing a general framework for equal treatment in employment and occupation’, 27 November 2000; Directive 2010/41/EU, ‘EU Directive on the application of the principle of equal treatment between men and women engaged in an activity in a self-employed capacity and repealing Council Directive 86/613/EEC’, 7 July 2010; Council Directive 79/7/EEC, ‘EU Council Directive on the progressive implementation of the principle of equal treatment for men and women in matters of social security’, 19 December 1978.</w:t>
      </w:r>
    </w:p>
  </w:footnote>
  <w:footnote w:id="5">
    <w:p w14:paraId="510DEE13" w14:textId="13D592C8" w:rsidR="00202A5B" w:rsidRPr="00F664AF" w:rsidRDefault="00202A5B" w:rsidP="00202A5B">
      <w:pPr>
        <w:pStyle w:val="FootnoteText"/>
        <w:rPr>
          <w:rFonts w:asciiTheme="majorHAnsi" w:hAnsiTheme="majorHAnsi" w:cstheme="majorHAnsi"/>
          <w:sz w:val="18"/>
          <w:szCs w:val="18"/>
        </w:rPr>
      </w:pPr>
      <w:r w:rsidRPr="00F664AF">
        <w:rPr>
          <w:rStyle w:val="FootnoteReference"/>
          <w:rFonts w:asciiTheme="majorHAnsi" w:hAnsiTheme="majorHAnsi" w:cstheme="majorHAnsi"/>
          <w:sz w:val="18"/>
          <w:szCs w:val="18"/>
        </w:rPr>
        <w:footnoteRef/>
      </w:r>
      <w:r w:rsidRPr="00F664AF">
        <w:rPr>
          <w:rStyle w:val="Hyperlink"/>
          <w:rFonts w:asciiTheme="majorHAnsi" w:hAnsiTheme="majorHAnsi" w:cstheme="majorHAnsi"/>
          <w:color w:val="auto"/>
          <w:sz w:val="18"/>
          <w:szCs w:val="18"/>
          <w:u w:val="none"/>
        </w:rPr>
        <w:t xml:space="preserve"> </w:t>
      </w:r>
      <w:r w:rsidR="00F664AF">
        <w:rPr>
          <w:rStyle w:val="Hyperlink"/>
          <w:rFonts w:asciiTheme="majorHAnsi" w:hAnsiTheme="majorHAnsi" w:cstheme="majorHAnsi"/>
          <w:color w:val="auto"/>
          <w:sz w:val="18"/>
          <w:szCs w:val="18"/>
          <w:u w:val="none"/>
        </w:rPr>
        <w:t xml:space="preserve"> </w:t>
      </w:r>
      <w:r w:rsidRPr="00F664AF">
        <w:rPr>
          <w:rStyle w:val="Hyperlink"/>
          <w:rFonts w:asciiTheme="majorHAnsi" w:hAnsiTheme="majorHAnsi" w:cstheme="majorHAnsi"/>
          <w:color w:val="auto"/>
          <w:sz w:val="18"/>
          <w:szCs w:val="18"/>
          <w:u w:val="none"/>
        </w:rPr>
        <w:t>Northern Ireland Office, ‘UK Government Commitment to “no diminution of rights, safeguards and equality of opportunity” in Northern Ireland: What does it mean and how will it be implemented?’, (NIO, 2020), at para 13.</w:t>
      </w:r>
    </w:p>
  </w:footnote>
  <w:footnote w:id="6">
    <w:p w14:paraId="1E7322F9" w14:textId="77777777" w:rsidR="007464D0" w:rsidRPr="003C799A" w:rsidRDefault="007464D0" w:rsidP="007464D0">
      <w:pPr>
        <w:pStyle w:val="FootnoteText"/>
        <w:rPr>
          <w:rFonts w:asciiTheme="majorHAnsi" w:hAnsiTheme="majorHAnsi" w:cstheme="majorHAnsi"/>
          <w:sz w:val="18"/>
          <w:szCs w:val="18"/>
        </w:rPr>
      </w:pPr>
      <w:r w:rsidRPr="003C799A">
        <w:rPr>
          <w:rStyle w:val="FootnoteReference"/>
          <w:rFonts w:asciiTheme="majorHAnsi" w:hAnsiTheme="majorHAnsi" w:cstheme="majorHAnsi"/>
          <w:sz w:val="18"/>
          <w:szCs w:val="18"/>
        </w:rPr>
        <w:footnoteRef/>
      </w:r>
      <w:r w:rsidRPr="003C799A">
        <w:rPr>
          <w:rFonts w:asciiTheme="majorHAnsi" w:hAnsiTheme="majorHAnsi" w:cstheme="majorHAnsi"/>
          <w:sz w:val="18"/>
          <w:szCs w:val="18"/>
        </w:rPr>
        <w:t xml:space="preserve"> Ibid.</w:t>
      </w:r>
    </w:p>
  </w:footnote>
  <w:footnote w:id="7">
    <w:p w14:paraId="4623C251" w14:textId="110342F4" w:rsidR="00A569EE" w:rsidRDefault="00A569EE">
      <w:pPr>
        <w:pStyle w:val="FootnoteText"/>
      </w:pPr>
      <w:r w:rsidRPr="00DC7AC8">
        <w:rPr>
          <w:rStyle w:val="FootnoteReference"/>
          <w:sz w:val="18"/>
          <w:szCs w:val="18"/>
        </w:rPr>
        <w:footnoteRef/>
      </w:r>
      <w:r>
        <w:t xml:space="preserve"> </w:t>
      </w:r>
      <w:r>
        <w:rPr>
          <w:rFonts w:asciiTheme="majorHAnsi" w:hAnsiTheme="majorHAnsi" w:cstheme="majorHAnsi"/>
          <w:sz w:val="18"/>
          <w:szCs w:val="18"/>
        </w:rPr>
        <w:t>Sections 78A-E, Northern Ireland Act 1998</w:t>
      </w:r>
    </w:p>
  </w:footnote>
  <w:footnote w:id="8">
    <w:p w14:paraId="0C860B2C" w14:textId="7614959C" w:rsidR="007103B4" w:rsidRPr="00F005A4" w:rsidRDefault="003865AB" w:rsidP="007103B4">
      <w:pPr>
        <w:rPr>
          <w:rFonts w:asciiTheme="majorHAnsi" w:hAnsiTheme="majorHAnsi" w:cstheme="majorHAnsi"/>
          <w:sz w:val="18"/>
          <w:szCs w:val="18"/>
        </w:rPr>
      </w:pPr>
      <w:r w:rsidRPr="003C799A">
        <w:rPr>
          <w:rStyle w:val="FootnoteReference"/>
          <w:rFonts w:asciiTheme="majorHAnsi" w:hAnsiTheme="majorHAnsi" w:cstheme="majorHAnsi"/>
          <w:sz w:val="18"/>
          <w:szCs w:val="18"/>
        </w:rPr>
        <w:footnoteRef/>
      </w:r>
      <w:r w:rsidRPr="003C799A">
        <w:rPr>
          <w:rFonts w:asciiTheme="majorHAnsi" w:hAnsiTheme="majorHAnsi" w:cstheme="majorHAnsi"/>
          <w:sz w:val="18"/>
          <w:szCs w:val="18"/>
        </w:rPr>
        <w:t xml:space="preserve"> </w:t>
      </w:r>
      <w:r w:rsidR="007103B4" w:rsidRPr="00281D76">
        <w:rPr>
          <w:rFonts w:asciiTheme="majorHAnsi" w:hAnsiTheme="majorHAnsi" w:cstheme="majorHAnsi"/>
          <w:sz w:val="18"/>
          <w:szCs w:val="18"/>
        </w:rPr>
        <w:t>Council Directive 2004/113/EC, ‘EU Council Directive implementing the principle of equal treatment between men and women in the access to and supply of goods and services’, 13 December 2004; Directive 2006/54/EC, ‘EU Directive on the implementation of the principle of equal opportunities and equal treatment of men and women in matters of employment and occupation’, 5 July 2006; Council Directive 2000/43/EC, ‘EU Council Directive implementing the principle of equal treatment between persons irrespective of racial or ethnic origin’, 29 June 2000; Council Directive 2000/78/EC, ‘EU Council Directive establishing a general framework for equal treatment in employment and occupation’, 27 November 2000; Directive 2010/41/EU, ‘EU Directive on the application of the principle of equal treatment between men and women engaged in an activity in a self-employed capacity and repealing Council Directive 86/613/EEC’, 7 July 2010; Council Directive 79/7/EEC, ‘EU Council Directive on the progressive implementation of the principle of equal treatment for men and women in matters of social security’, 19 December 1978.</w:t>
      </w:r>
    </w:p>
    <w:p w14:paraId="1B2C3D78" w14:textId="03C6E06D" w:rsidR="003865AB" w:rsidRPr="003C799A" w:rsidRDefault="003865AB">
      <w:pPr>
        <w:pStyle w:val="FootnoteText"/>
        <w:rPr>
          <w:rFonts w:asciiTheme="majorHAnsi" w:hAnsiTheme="majorHAnsi" w:cstheme="majorHAnsi"/>
          <w:sz w:val="18"/>
          <w:szCs w:val="18"/>
        </w:rPr>
      </w:pPr>
    </w:p>
  </w:footnote>
  <w:footnote w:id="9">
    <w:p w14:paraId="15335D0B" w14:textId="446B87A2" w:rsidR="003F3DF3" w:rsidRPr="00821402" w:rsidRDefault="003F3DF3">
      <w:pPr>
        <w:pStyle w:val="FootnoteText"/>
        <w:rPr>
          <w:rFonts w:asciiTheme="majorHAnsi" w:hAnsiTheme="majorHAnsi" w:cstheme="majorHAnsi"/>
          <w:sz w:val="18"/>
          <w:szCs w:val="18"/>
        </w:rPr>
      </w:pPr>
      <w:r w:rsidRPr="00821402">
        <w:rPr>
          <w:rStyle w:val="FootnoteReference"/>
          <w:rFonts w:asciiTheme="majorHAnsi" w:hAnsiTheme="majorHAnsi" w:cstheme="majorHAnsi"/>
          <w:sz w:val="18"/>
          <w:szCs w:val="18"/>
        </w:rPr>
        <w:footnoteRef/>
      </w:r>
      <w:r w:rsidRPr="00821402">
        <w:rPr>
          <w:rFonts w:asciiTheme="majorHAnsi" w:hAnsiTheme="majorHAnsi" w:cstheme="majorHAnsi"/>
          <w:sz w:val="18"/>
          <w:szCs w:val="18"/>
        </w:rPr>
        <w:t xml:space="preserve"> </w:t>
      </w:r>
      <w:r w:rsidR="00846922" w:rsidRPr="00821402">
        <w:rPr>
          <w:rFonts w:asciiTheme="majorHAnsi" w:hAnsiTheme="majorHAnsi" w:cstheme="majorHAnsi"/>
          <w:sz w:val="18"/>
          <w:szCs w:val="18"/>
        </w:rPr>
        <w:t>7th Report of Session 2022-23, HL Paper 40</w:t>
      </w:r>
    </w:p>
  </w:footnote>
  <w:footnote w:id="10">
    <w:p w14:paraId="266716AB" w14:textId="7CB20DF5" w:rsidR="0092668F" w:rsidRPr="00855C19" w:rsidRDefault="0092668F">
      <w:pPr>
        <w:pStyle w:val="FootnoteText"/>
        <w:rPr>
          <w:rFonts w:asciiTheme="majorHAnsi" w:hAnsiTheme="majorHAnsi" w:cstheme="majorHAnsi"/>
          <w:sz w:val="18"/>
          <w:szCs w:val="18"/>
        </w:rPr>
      </w:pPr>
      <w:r w:rsidRPr="00855C19">
        <w:rPr>
          <w:rStyle w:val="FootnoteReference"/>
          <w:rFonts w:asciiTheme="majorHAnsi" w:hAnsiTheme="majorHAnsi" w:cstheme="majorHAnsi"/>
          <w:sz w:val="18"/>
          <w:szCs w:val="18"/>
        </w:rPr>
        <w:footnoteRef/>
      </w:r>
      <w:r w:rsidRPr="00855C19">
        <w:rPr>
          <w:rFonts w:asciiTheme="majorHAnsi" w:hAnsiTheme="majorHAnsi" w:cstheme="majorHAnsi"/>
          <w:sz w:val="18"/>
          <w:szCs w:val="18"/>
        </w:rPr>
        <w:t xml:space="preserve"> For example, </w:t>
      </w:r>
      <w:r w:rsidRPr="00855C19">
        <w:rPr>
          <w:rFonts w:asciiTheme="majorHAnsi" w:hAnsiTheme="majorHAnsi" w:cstheme="majorHAnsi"/>
          <w:color w:val="0462C1"/>
          <w:sz w:val="18"/>
          <w:szCs w:val="18"/>
        </w:rPr>
        <w:t xml:space="preserve">Directive (EU) 2016/797 </w:t>
      </w:r>
      <w:r w:rsidRPr="00855C19">
        <w:rPr>
          <w:rFonts w:asciiTheme="majorHAnsi" w:hAnsiTheme="majorHAnsi" w:cstheme="majorHAnsi"/>
          <w:sz w:val="18"/>
          <w:szCs w:val="18"/>
        </w:rPr>
        <w:t>of the European Parliament and of the Council of 11 May 2016 on the interoperability of the rail system within the European Union</w:t>
      </w:r>
    </w:p>
  </w:footnote>
  <w:footnote w:id="11">
    <w:p w14:paraId="5577326F" w14:textId="6B1BE456" w:rsidR="008467F0" w:rsidRPr="008E4B34" w:rsidRDefault="008467F0">
      <w:pPr>
        <w:pStyle w:val="FootnoteText"/>
        <w:rPr>
          <w:rFonts w:asciiTheme="majorHAnsi" w:hAnsiTheme="majorHAnsi" w:cstheme="majorHAnsi"/>
          <w:sz w:val="18"/>
          <w:szCs w:val="18"/>
        </w:rPr>
      </w:pPr>
      <w:r w:rsidRPr="008E4B34">
        <w:rPr>
          <w:rStyle w:val="FootnoteReference"/>
          <w:rFonts w:asciiTheme="majorHAnsi" w:hAnsiTheme="majorHAnsi" w:cstheme="majorHAnsi"/>
          <w:sz w:val="18"/>
          <w:szCs w:val="18"/>
        </w:rPr>
        <w:footnoteRef/>
      </w:r>
      <w:r w:rsidRPr="008E4B34">
        <w:rPr>
          <w:rFonts w:asciiTheme="majorHAnsi" w:hAnsiTheme="majorHAnsi" w:cstheme="majorHAnsi"/>
          <w:sz w:val="18"/>
          <w:szCs w:val="18"/>
        </w:rPr>
        <w:t xml:space="preserve"> </w:t>
      </w:r>
      <w:r w:rsidR="00330F6D" w:rsidRPr="008E4B34">
        <w:rPr>
          <w:rFonts w:asciiTheme="majorHAnsi" w:hAnsiTheme="majorHAnsi" w:cstheme="majorHAnsi"/>
          <w:sz w:val="18"/>
          <w:szCs w:val="18"/>
        </w:rPr>
        <w:t>See</w:t>
      </w:r>
      <w:r w:rsidR="00F3509F" w:rsidRPr="008E4B34">
        <w:rPr>
          <w:rFonts w:asciiTheme="majorHAnsi" w:hAnsiTheme="majorHAnsi" w:cstheme="majorHAnsi"/>
          <w:sz w:val="18"/>
          <w:szCs w:val="18"/>
        </w:rPr>
        <w:t>, for example</w:t>
      </w:r>
      <w:r w:rsidR="00CA45CA" w:rsidRPr="008E4B34">
        <w:rPr>
          <w:rFonts w:asciiTheme="majorHAnsi" w:hAnsiTheme="majorHAnsi" w:cstheme="majorHAnsi"/>
          <w:sz w:val="18"/>
          <w:szCs w:val="18"/>
        </w:rPr>
        <w:t xml:space="preserve">, Clause 22 on the </w:t>
      </w:r>
      <w:r w:rsidR="00D00B07" w:rsidRPr="008E4B34">
        <w:rPr>
          <w:rFonts w:asciiTheme="majorHAnsi" w:hAnsiTheme="majorHAnsi" w:cstheme="majorHAnsi"/>
          <w:sz w:val="18"/>
          <w:szCs w:val="18"/>
        </w:rPr>
        <w:t xml:space="preserve">scope </w:t>
      </w:r>
      <w:r w:rsidR="00CA45CA" w:rsidRPr="008E4B34">
        <w:rPr>
          <w:rFonts w:asciiTheme="majorHAnsi" w:hAnsiTheme="majorHAnsi" w:cstheme="majorHAnsi"/>
          <w:sz w:val="18"/>
          <w:szCs w:val="18"/>
        </w:rPr>
        <w:t>of delegated powers under the Bill.</w:t>
      </w:r>
    </w:p>
  </w:footnote>
  <w:footnote w:id="12">
    <w:p w14:paraId="50D1F55F" w14:textId="70601DB5" w:rsidR="00874D7A" w:rsidRPr="008E4B34" w:rsidRDefault="00874D7A" w:rsidP="004F7F3F">
      <w:pPr>
        <w:pStyle w:val="FootnoteText"/>
        <w:rPr>
          <w:rFonts w:asciiTheme="majorHAnsi" w:hAnsiTheme="majorHAnsi" w:cstheme="majorHAnsi"/>
          <w:sz w:val="18"/>
          <w:szCs w:val="18"/>
        </w:rPr>
      </w:pPr>
      <w:r w:rsidRPr="008E4B34">
        <w:rPr>
          <w:rStyle w:val="FootnoteReference"/>
          <w:rFonts w:asciiTheme="majorHAnsi" w:hAnsiTheme="majorHAnsi" w:cstheme="majorHAnsi"/>
          <w:sz w:val="18"/>
          <w:szCs w:val="18"/>
        </w:rPr>
        <w:footnoteRef/>
      </w:r>
      <w:r w:rsidRPr="008E4B34">
        <w:rPr>
          <w:rFonts w:asciiTheme="majorHAnsi" w:hAnsiTheme="majorHAnsi" w:cstheme="majorHAnsi"/>
          <w:sz w:val="18"/>
          <w:szCs w:val="18"/>
        </w:rPr>
        <w:t xml:space="preserve"> </w:t>
      </w:r>
      <w:r w:rsidR="004F7F3F" w:rsidRPr="008E4B34">
        <w:rPr>
          <w:rFonts w:asciiTheme="majorHAnsi" w:hAnsiTheme="majorHAnsi" w:cstheme="majorHAnsi"/>
          <w:sz w:val="18"/>
          <w:szCs w:val="18"/>
        </w:rPr>
        <w:t>See also recommendation</w:t>
      </w:r>
      <w:r w:rsidR="00AF58EC" w:rsidRPr="008E4B34">
        <w:rPr>
          <w:rFonts w:asciiTheme="majorHAnsi" w:hAnsiTheme="majorHAnsi" w:cstheme="majorHAnsi"/>
          <w:sz w:val="18"/>
          <w:szCs w:val="18"/>
        </w:rPr>
        <w:t>s</w:t>
      </w:r>
      <w:r w:rsidR="004F7F3F" w:rsidRPr="008E4B34">
        <w:rPr>
          <w:rFonts w:asciiTheme="majorHAnsi" w:hAnsiTheme="majorHAnsi" w:cstheme="majorHAnsi"/>
          <w:sz w:val="18"/>
          <w:szCs w:val="18"/>
        </w:rPr>
        <w:t xml:space="preserve"> in ‘Legislative Scrutiny and the Dedicated Mechanism for Monitoring Article 2 of the Ireland/Northern Ireland Protocol’, Paul Evans, Alexander Horne and Tasneem Ghazi (ECNI, 2021)</w:t>
      </w:r>
      <w:r w:rsidR="00AF58EC" w:rsidRPr="008E4B34">
        <w:rPr>
          <w:rFonts w:asciiTheme="majorHAnsi" w:hAnsiTheme="majorHAnsi" w:cstheme="majorHAns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60036" w14:textId="77777777" w:rsidR="005869E2" w:rsidRDefault="005869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BBC9B" w14:textId="0B7233FD" w:rsidR="00D11AD8" w:rsidRDefault="00D11A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27E81" w14:textId="28A42F2A" w:rsidR="005869E2" w:rsidRDefault="005869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07972"/>
    <w:multiLevelType w:val="multilevel"/>
    <w:tmpl w:val="A672EB30"/>
    <w:lvl w:ilvl="0">
      <w:start w:val="2"/>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 w15:restartNumberingAfterBreak="0">
    <w:nsid w:val="0AE0627E"/>
    <w:multiLevelType w:val="multilevel"/>
    <w:tmpl w:val="2AF8B848"/>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ascii="Verdana" w:hAnsi="Verdana" w:hint="default"/>
        <w:b w:val="0"/>
        <w:color w:val="auto"/>
        <w:sz w:val="24"/>
        <w:szCs w:val="24"/>
      </w:rPr>
    </w:lvl>
    <w:lvl w:ilvl="2">
      <w:start w:val="1"/>
      <w:numFmt w:val="decimal"/>
      <w:lvlText w:val="%1.%2.%3"/>
      <w:lvlJc w:val="left"/>
      <w:pPr>
        <w:ind w:left="2520" w:hanging="1080"/>
      </w:pPr>
      <w:rPr>
        <w:rFonts w:hint="default"/>
        <w:b/>
      </w:rPr>
    </w:lvl>
    <w:lvl w:ilvl="3">
      <w:start w:val="1"/>
      <w:numFmt w:val="decimal"/>
      <w:lvlText w:val="%1.%2.%3.%4"/>
      <w:lvlJc w:val="left"/>
      <w:pPr>
        <w:ind w:left="3600" w:hanging="1440"/>
      </w:pPr>
      <w:rPr>
        <w:rFonts w:hint="default"/>
        <w:b/>
      </w:rPr>
    </w:lvl>
    <w:lvl w:ilvl="4">
      <w:start w:val="1"/>
      <w:numFmt w:val="decimal"/>
      <w:lvlText w:val="%1.%2.%3.%4.%5"/>
      <w:lvlJc w:val="left"/>
      <w:pPr>
        <w:ind w:left="4680" w:hanging="1800"/>
      </w:pPr>
      <w:rPr>
        <w:rFonts w:hint="default"/>
        <w:b/>
      </w:rPr>
    </w:lvl>
    <w:lvl w:ilvl="5">
      <w:start w:val="1"/>
      <w:numFmt w:val="decimal"/>
      <w:lvlText w:val="%1.%2.%3.%4.%5.%6"/>
      <w:lvlJc w:val="left"/>
      <w:pPr>
        <w:ind w:left="5760" w:hanging="2160"/>
      </w:pPr>
      <w:rPr>
        <w:rFonts w:hint="default"/>
        <w:b/>
      </w:rPr>
    </w:lvl>
    <w:lvl w:ilvl="6">
      <w:start w:val="1"/>
      <w:numFmt w:val="decimal"/>
      <w:lvlText w:val="%1.%2.%3.%4.%5.%6.%7"/>
      <w:lvlJc w:val="left"/>
      <w:pPr>
        <w:ind w:left="6840" w:hanging="2520"/>
      </w:pPr>
      <w:rPr>
        <w:rFonts w:hint="default"/>
        <w:b/>
      </w:rPr>
    </w:lvl>
    <w:lvl w:ilvl="7">
      <w:start w:val="1"/>
      <w:numFmt w:val="decimal"/>
      <w:lvlText w:val="%1.%2.%3.%4.%5.%6.%7.%8"/>
      <w:lvlJc w:val="left"/>
      <w:pPr>
        <w:ind w:left="7920" w:hanging="2880"/>
      </w:pPr>
      <w:rPr>
        <w:rFonts w:hint="default"/>
        <w:b/>
      </w:rPr>
    </w:lvl>
    <w:lvl w:ilvl="8">
      <w:start w:val="1"/>
      <w:numFmt w:val="decimal"/>
      <w:lvlText w:val="%1.%2.%3.%4.%5.%6.%7.%8.%9"/>
      <w:lvlJc w:val="left"/>
      <w:pPr>
        <w:ind w:left="9000" w:hanging="3240"/>
      </w:pPr>
      <w:rPr>
        <w:rFonts w:hint="default"/>
        <w:b/>
      </w:rPr>
    </w:lvl>
  </w:abstractNum>
  <w:abstractNum w:abstractNumId="2" w15:restartNumberingAfterBreak="0">
    <w:nsid w:val="103274B9"/>
    <w:multiLevelType w:val="multilevel"/>
    <w:tmpl w:val="401A71D0"/>
    <w:lvl w:ilvl="0">
      <w:start w:val="3"/>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3" w15:restartNumberingAfterBreak="0">
    <w:nsid w:val="17FD7D5C"/>
    <w:multiLevelType w:val="multilevel"/>
    <w:tmpl w:val="20B40A0A"/>
    <w:lvl w:ilvl="0">
      <w:start w:val="5"/>
      <w:numFmt w:val="decimal"/>
      <w:lvlText w:val="%1"/>
      <w:lvlJc w:val="left"/>
      <w:pPr>
        <w:ind w:left="435" w:hanging="435"/>
      </w:pPr>
      <w:rPr>
        <w:rFonts w:ascii="Verdana" w:hAnsi="Verdana" w:hint="default"/>
        <w:b/>
      </w:rPr>
    </w:lvl>
    <w:lvl w:ilvl="1">
      <w:start w:val="6"/>
      <w:numFmt w:val="decimal"/>
      <w:lvlText w:val="%1.%2"/>
      <w:lvlJc w:val="left"/>
      <w:pPr>
        <w:ind w:left="435" w:hanging="435"/>
      </w:pPr>
      <w:rPr>
        <w:rFonts w:ascii="Verdana" w:hAnsi="Verdana" w:hint="default"/>
        <w:b/>
      </w:rPr>
    </w:lvl>
    <w:lvl w:ilvl="2">
      <w:start w:val="1"/>
      <w:numFmt w:val="decimal"/>
      <w:lvlText w:val="%1.%2.%3"/>
      <w:lvlJc w:val="left"/>
      <w:pPr>
        <w:ind w:left="720" w:hanging="720"/>
      </w:pPr>
      <w:rPr>
        <w:rFonts w:ascii="Verdana" w:hAnsi="Verdana" w:hint="default"/>
        <w:b/>
      </w:rPr>
    </w:lvl>
    <w:lvl w:ilvl="3">
      <w:start w:val="1"/>
      <w:numFmt w:val="decimal"/>
      <w:lvlText w:val="%1.%2.%3.%4"/>
      <w:lvlJc w:val="left"/>
      <w:pPr>
        <w:ind w:left="1080" w:hanging="1080"/>
      </w:pPr>
      <w:rPr>
        <w:rFonts w:ascii="Verdana" w:hAnsi="Verdana" w:hint="default"/>
        <w:b/>
      </w:rPr>
    </w:lvl>
    <w:lvl w:ilvl="4">
      <w:start w:val="1"/>
      <w:numFmt w:val="decimal"/>
      <w:lvlText w:val="%1.%2.%3.%4.%5"/>
      <w:lvlJc w:val="left"/>
      <w:pPr>
        <w:ind w:left="1080" w:hanging="1080"/>
      </w:pPr>
      <w:rPr>
        <w:rFonts w:ascii="Verdana" w:hAnsi="Verdana" w:hint="default"/>
        <w:b/>
      </w:rPr>
    </w:lvl>
    <w:lvl w:ilvl="5">
      <w:start w:val="1"/>
      <w:numFmt w:val="decimal"/>
      <w:lvlText w:val="%1.%2.%3.%4.%5.%6"/>
      <w:lvlJc w:val="left"/>
      <w:pPr>
        <w:ind w:left="1440" w:hanging="1440"/>
      </w:pPr>
      <w:rPr>
        <w:rFonts w:ascii="Verdana" w:hAnsi="Verdana" w:hint="default"/>
        <w:b/>
      </w:rPr>
    </w:lvl>
    <w:lvl w:ilvl="6">
      <w:start w:val="1"/>
      <w:numFmt w:val="decimal"/>
      <w:lvlText w:val="%1.%2.%3.%4.%5.%6.%7"/>
      <w:lvlJc w:val="left"/>
      <w:pPr>
        <w:ind w:left="1440" w:hanging="1440"/>
      </w:pPr>
      <w:rPr>
        <w:rFonts w:ascii="Verdana" w:hAnsi="Verdana" w:hint="default"/>
        <w:b/>
      </w:rPr>
    </w:lvl>
    <w:lvl w:ilvl="7">
      <w:start w:val="1"/>
      <w:numFmt w:val="decimal"/>
      <w:lvlText w:val="%1.%2.%3.%4.%5.%6.%7.%8"/>
      <w:lvlJc w:val="left"/>
      <w:pPr>
        <w:ind w:left="1800" w:hanging="1800"/>
      </w:pPr>
      <w:rPr>
        <w:rFonts w:ascii="Verdana" w:hAnsi="Verdana" w:hint="default"/>
        <w:b/>
      </w:rPr>
    </w:lvl>
    <w:lvl w:ilvl="8">
      <w:start w:val="1"/>
      <w:numFmt w:val="decimal"/>
      <w:lvlText w:val="%1.%2.%3.%4.%5.%6.%7.%8.%9"/>
      <w:lvlJc w:val="left"/>
      <w:pPr>
        <w:ind w:left="1800" w:hanging="1800"/>
      </w:pPr>
      <w:rPr>
        <w:rFonts w:ascii="Verdana" w:hAnsi="Verdana" w:hint="default"/>
        <w:b/>
      </w:rPr>
    </w:lvl>
  </w:abstractNum>
  <w:abstractNum w:abstractNumId="4" w15:restartNumberingAfterBreak="0">
    <w:nsid w:val="1857018A"/>
    <w:multiLevelType w:val="hybridMultilevel"/>
    <w:tmpl w:val="8A30D634"/>
    <w:lvl w:ilvl="0" w:tplc="5D3429A0">
      <w:start w:val="1"/>
      <w:numFmt w:val="bullet"/>
      <w:lvlText w:val=""/>
      <w:lvlJc w:val="left"/>
      <w:pPr>
        <w:ind w:left="360" w:hanging="360"/>
      </w:pPr>
      <w:rPr>
        <w:rFonts w:ascii="Symbol" w:hAnsi="Symbol" w:hint="default"/>
        <w:color w:val="734791"/>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08C6165"/>
    <w:multiLevelType w:val="hybridMultilevel"/>
    <w:tmpl w:val="786421BE"/>
    <w:lvl w:ilvl="0" w:tplc="5FEC40F8">
      <w:start w:val="1"/>
      <w:numFmt w:val="decimal"/>
      <w:lvlText w:val="%1.0"/>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139525F"/>
    <w:multiLevelType w:val="hybridMultilevel"/>
    <w:tmpl w:val="8CF40FB0"/>
    <w:lvl w:ilvl="0" w:tplc="5D3429A0">
      <w:start w:val="1"/>
      <w:numFmt w:val="bullet"/>
      <w:lvlText w:val=""/>
      <w:lvlJc w:val="left"/>
      <w:pPr>
        <w:ind w:left="360" w:hanging="360"/>
      </w:pPr>
      <w:rPr>
        <w:rFonts w:ascii="Symbol" w:hAnsi="Symbol" w:hint="default"/>
        <w:color w:val="734791"/>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16F4D0F"/>
    <w:multiLevelType w:val="multilevel"/>
    <w:tmpl w:val="EBCEC0FC"/>
    <w:lvl w:ilvl="0">
      <w:start w:val="4"/>
      <w:numFmt w:val="decimal"/>
      <w:lvlText w:val="%1"/>
      <w:lvlJc w:val="left"/>
      <w:pPr>
        <w:ind w:left="608" w:hanging="608"/>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8" w15:restartNumberingAfterBreak="0">
    <w:nsid w:val="2C55728C"/>
    <w:multiLevelType w:val="multilevel"/>
    <w:tmpl w:val="905E1014"/>
    <w:lvl w:ilvl="0">
      <w:start w:val="5"/>
      <w:numFmt w:val="decimal"/>
      <w:lvlText w:val="%1"/>
      <w:lvlJc w:val="left"/>
      <w:pPr>
        <w:ind w:left="420" w:hanging="42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9" w15:restartNumberingAfterBreak="0">
    <w:nsid w:val="30CA695D"/>
    <w:multiLevelType w:val="multilevel"/>
    <w:tmpl w:val="0809001F"/>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4F3028D"/>
    <w:multiLevelType w:val="multilevel"/>
    <w:tmpl w:val="DF14AD36"/>
    <w:lvl w:ilvl="0">
      <w:start w:val="6"/>
      <w:numFmt w:val="decimal"/>
      <w:lvlText w:val="%1"/>
      <w:lvlJc w:val="left"/>
      <w:pPr>
        <w:ind w:left="390" w:hanging="390"/>
      </w:pPr>
      <w:rPr>
        <w:rFonts w:hint="default"/>
      </w:rPr>
    </w:lvl>
    <w:lvl w:ilvl="1">
      <w:start w:val="3"/>
      <w:numFmt w:val="decimal"/>
      <w:lvlText w:val="%1.%2"/>
      <w:lvlJc w:val="left"/>
      <w:pPr>
        <w:ind w:left="720" w:hanging="720"/>
      </w:pPr>
      <w:rPr>
        <w:rFonts w:hint="default"/>
        <w:b w:val="0"/>
        <w:bCs w:val="0"/>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1" w15:restartNumberingAfterBreak="0">
    <w:nsid w:val="36447DFB"/>
    <w:multiLevelType w:val="hybridMultilevel"/>
    <w:tmpl w:val="A3B84D18"/>
    <w:lvl w:ilvl="0" w:tplc="50960044">
      <w:start w:val="1"/>
      <w:numFmt w:val="decimal"/>
      <w:lvlText w:val="%1."/>
      <w:lvlJc w:val="left"/>
      <w:pPr>
        <w:ind w:left="360" w:hanging="360"/>
      </w:pPr>
      <w:rPr>
        <w:rFonts w:hint="default"/>
        <w:color w:val="73479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BCF3F34"/>
    <w:multiLevelType w:val="hybridMultilevel"/>
    <w:tmpl w:val="C4546C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E422170"/>
    <w:multiLevelType w:val="hybridMultilevel"/>
    <w:tmpl w:val="E522FDC6"/>
    <w:lvl w:ilvl="0" w:tplc="9174B4FC">
      <w:start w:val="1"/>
      <w:numFmt w:val="bullet"/>
      <w:lvlText w:val=""/>
      <w:lvlJc w:val="left"/>
      <w:pPr>
        <w:ind w:left="360" w:hanging="360"/>
      </w:pPr>
      <w:rPr>
        <w:rFonts w:ascii="Symbol" w:hAnsi="Symbol" w:hint="default"/>
        <w:color w:val="77328A"/>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09D025E"/>
    <w:multiLevelType w:val="multilevel"/>
    <w:tmpl w:val="B022A838"/>
    <w:lvl w:ilvl="0">
      <w:start w:val="5"/>
      <w:numFmt w:val="decimal"/>
      <w:lvlText w:val="%1"/>
      <w:lvlJc w:val="left"/>
      <w:pPr>
        <w:ind w:left="420" w:hanging="42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1080" w:hanging="108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520" w:hanging="2520"/>
      </w:pPr>
      <w:rPr>
        <w:rFonts w:hint="default"/>
        <w:b/>
      </w:rPr>
    </w:lvl>
  </w:abstractNum>
  <w:abstractNum w:abstractNumId="15" w15:restartNumberingAfterBreak="0">
    <w:nsid w:val="44360A21"/>
    <w:multiLevelType w:val="multilevel"/>
    <w:tmpl w:val="2AF8B848"/>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ascii="Verdana" w:hAnsi="Verdana" w:hint="default"/>
        <w:b w:val="0"/>
        <w:color w:val="auto"/>
        <w:sz w:val="24"/>
        <w:szCs w:val="24"/>
      </w:rPr>
    </w:lvl>
    <w:lvl w:ilvl="2">
      <w:start w:val="1"/>
      <w:numFmt w:val="decimal"/>
      <w:lvlText w:val="%1.%2.%3"/>
      <w:lvlJc w:val="left"/>
      <w:pPr>
        <w:ind w:left="2520" w:hanging="1080"/>
      </w:pPr>
      <w:rPr>
        <w:rFonts w:hint="default"/>
        <w:b/>
      </w:rPr>
    </w:lvl>
    <w:lvl w:ilvl="3">
      <w:start w:val="1"/>
      <w:numFmt w:val="decimal"/>
      <w:lvlText w:val="%1.%2.%3.%4"/>
      <w:lvlJc w:val="left"/>
      <w:pPr>
        <w:ind w:left="3600" w:hanging="1440"/>
      </w:pPr>
      <w:rPr>
        <w:rFonts w:hint="default"/>
        <w:b/>
      </w:rPr>
    </w:lvl>
    <w:lvl w:ilvl="4">
      <w:start w:val="1"/>
      <w:numFmt w:val="decimal"/>
      <w:lvlText w:val="%1.%2.%3.%4.%5"/>
      <w:lvlJc w:val="left"/>
      <w:pPr>
        <w:ind w:left="4680" w:hanging="1800"/>
      </w:pPr>
      <w:rPr>
        <w:rFonts w:hint="default"/>
        <w:b/>
      </w:rPr>
    </w:lvl>
    <w:lvl w:ilvl="5">
      <w:start w:val="1"/>
      <w:numFmt w:val="decimal"/>
      <w:lvlText w:val="%1.%2.%3.%4.%5.%6"/>
      <w:lvlJc w:val="left"/>
      <w:pPr>
        <w:ind w:left="5760" w:hanging="2160"/>
      </w:pPr>
      <w:rPr>
        <w:rFonts w:hint="default"/>
        <w:b/>
      </w:rPr>
    </w:lvl>
    <w:lvl w:ilvl="6">
      <w:start w:val="1"/>
      <w:numFmt w:val="decimal"/>
      <w:lvlText w:val="%1.%2.%3.%4.%5.%6.%7"/>
      <w:lvlJc w:val="left"/>
      <w:pPr>
        <w:ind w:left="6840" w:hanging="2520"/>
      </w:pPr>
      <w:rPr>
        <w:rFonts w:hint="default"/>
        <w:b/>
      </w:rPr>
    </w:lvl>
    <w:lvl w:ilvl="7">
      <w:start w:val="1"/>
      <w:numFmt w:val="decimal"/>
      <w:lvlText w:val="%1.%2.%3.%4.%5.%6.%7.%8"/>
      <w:lvlJc w:val="left"/>
      <w:pPr>
        <w:ind w:left="7920" w:hanging="2880"/>
      </w:pPr>
      <w:rPr>
        <w:rFonts w:hint="default"/>
        <w:b/>
      </w:rPr>
    </w:lvl>
    <w:lvl w:ilvl="8">
      <w:start w:val="1"/>
      <w:numFmt w:val="decimal"/>
      <w:lvlText w:val="%1.%2.%3.%4.%5.%6.%7.%8.%9"/>
      <w:lvlJc w:val="left"/>
      <w:pPr>
        <w:ind w:left="9000" w:hanging="3240"/>
      </w:pPr>
      <w:rPr>
        <w:rFonts w:hint="default"/>
        <w:b/>
      </w:rPr>
    </w:lvl>
  </w:abstractNum>
  <w:abstractNum w:abstractNumId="16" w15:restartNumberingAfterBreak="0">
    <w:nsid w:val="46E7434B"/>
    <w:multiLevelType w:val="multilevel"/>
    <w:tmpl w:val="0816AE10"/>
    <w:lvl w:ilvl="0">
      <w:start w:val="7"/>
      <w:numFmt w:val="decimal"/>
      <w:lvlText w:val="%1"/>
      <w:lvlJc w:val="left"/>
      <w:pPr>
        <w:ind w:left="390" w:hanging="390"/>
      </w:pPr>
      <w:rPr>
        <w:rFonts w:hint="default"/>
      </w:rPr>
    </w:lvl>
    <w:lvl w:ilv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7" w15:restartNumberingAfterBreak="0">
    <w:nsid w:val="4ECD46DA"/>
    <w:multiLevelType w:val="hybridMultilevel"/>
    <w:tmpl w:val="A198F1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0A32653"/>
    <w:multiLevelType w:val="multilevel"/>
    <w:tmpl w:val="11C64EB2"/>
    <w:lvl w:ilvl="0">
      <w:start w:val="5"/>
      <w:numFmt w:val="decimal"/>
      <w:lvlText w:val="%1"/>
      <w:lvlJc w:val="left"/>
      <w:pPr>
        <w:ind w:left="420" w:hanging="420"/>
      </w:pPr>
      <w:rPr>
        <w:rFonts w:hint="default"/>
        <w:b/>
      </w:rPr>
    </w:lvl>
    <w:lvl w:ilvl="1">
      <w:start w:val="6"/>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520" w:hanging="2520"/>
      </w:pPr>
      <w:rPr>
        <w:rFonts w:hint="default"/>
        <w:b/>
      </w:rPr>
    </w:lvl>
  </w:abstractNum>
  <w:abstractNum w:abstractNumId="19" w15:restartNumberingAfterBreak="0">
    <w:nsid w:val="66D4103C"/>
    <w:multiLevelType w:val="hybridMultilevel"/>
    <w:tmpl w:val="A5202F28"/>
    <w:lvl w:ilvl="0" w:tplc="5FEC40F8">
      <w:start w:val="1"/>
      <w:numFmt w:val="decimal"/>
      <w:lvlText w:val="%1.0"/>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96A5201"/>
    <w:multiLevelType w:val="multilevel"/>
    <w:tmpl w:val="2AF8B848"/>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ascii="Verdana" w:hAnsi="Verdana" w:hint="default"/>
        <w:b w:val="0"/>
        <w:color w:val="auto"/>
        <w:sz w:val="24"/>
        <w:szCs w:val="24"/>
      </w:rPr>
    </w:lvl>
    <w:lvl w:ilvl="2">
      <w:start w:val="1"/>
      <w:numFmt w:val="decimal"/>
      <w:lvlText w:val="%1.%2.%3"/>
      <w:lvlJc w:val="left"/>
      <w:pPr>
        <w:ind w:left="2520" w:hanging="1080"/>
      </w:pPr>
      <w:rPr>
        <w:rFonts w:hint="default"/>
        <w:b/>
      </w:rPr>
    </w:lvl>
    <w:lvl w:ilvl="3">
      <w:start w:val="1"/>
      <w:numFmt w:val="decimal"/>
      <w:lvlText w:val="%1.%2.%3.%4"/>
      <w:lvlJc w:val="left"/>
      <w:pPr>
        <w:ind w:left="3600" w:hanging="1440"/>
      </w:pPr>
      <w:rPr>
        <w:rFonts w:hint="default"/>
        <w:b/>
      </w:rPr>
    </w:lvl>
    <w:lvl w:ilvl="4">
      <w:start w:val="1"/>
      <w:numFmt w:val="decimal"/>
      <w:lvlText w:val="%1.%2.%3.%4.%5"/>
      <w:lvlJc w:val="left"/>
      <w:pPr>
        <w:ind w:left="4680" w:hanging="1800"/>
      </w:pPr>
      <w:rPr>
        <w:rFonts w:hint="default"/>
        <w:b/>
      </w:rPr>
    </w:lvl>
    <w:lvl w:ilvl="5">
      <w:start w:val="1"/>
      <w:numFmt w:val="decimal"/>
      <w:lvlText w:val="%1.%2.%3.%4.%5.%6"/>
      <w:lvlJc w:val="left"/>
      <w:pPr>
        <w:ind w:left="5760" w:hanging="2160"/>
      </w:pPr>
      <w:rPr>
        <w:rFonts w:hint="default"/>
        <w:b/>
      </w:rPr>
    </w:lvl>
    <w:lvl w:ilvl="6">
      <w:start w:val="1"/>
      <w:numFmt w:val="decimal"/>
      <w:lvlText w:val="%1.%2.%3.%4.%5.%6.%7"/>
      <w:lvlJc w:val="left"/>
      <w:pPr>
        <w:ind w:left="6840" w:hanging="2520"/>
      </w:pPr>
      <w:rPr>
        <w:rFonts w:hint="default"/>
        <w:b/>
      </w:rPr>
    </w:lvl>
    <w:lvl w:ilvl="7">
      <w:start w:val="1"/>
      <w:numFmt w:val="decimal"/>
      <w:lvlText w:val="%1.%2.%3.%4.%5.%6.%7.%8"/>
      <w:lvlJc w:val="left"/>
      <w:pPr>
        <w:ind w:left="7920" w:hanging="2880"/>
      </w:pPr>
      <w:rPr>
        <w:rFonts w:hint="default"/>
        <w:b/>
      </w:rPr>
    </w:lvl>
    <w:lvl w:ilvl="8">
      <w:start w:val="1"/>
      <w:numFmt w:val="decimal"/>
      <w:lvlText w:val="%1.%2.%3.%4.%5.%6.%7.%8.%9"/>
      <w:lvlJc w:val="left"/>
      <w:pPr>
        <w:ind w:left="9000" w:hanging="3240"/>
      </w:pPr>
      <w:rPr>
        <w:rFonts w:hint="default"/>
        <w:b/>
      </w:rPr>
    </w:lvl>
  </w:abstractNum>
  <w:abstractNum w:abstractNumId="21" w15:restartNumberingAfterBreak="0">
    <w:nsid w:val="6AB150C2"/>
    <w:multiLevelType w:val="multilevel"/>
    <w:tmpl w:val="B986F1EC"/>
    <w:lvl w:ilvl="0">
      <w:start w:val="3"/>
      <w:numFmt w:val="decimal"/>
      <w:lvlText w:val="%1"/>
      <w:lvlJc w:val="left"/>
      <w:pPr>
        <w:ind w:left="525" w:hanging="525"/>
      </w:pPr>
      <w:rPr>
        <w:rFonts w:hint="default"/>
        <w:b/>
      </w:rPr>
    </w:lvl>
    <w:lvl w:ilvl="1">
      <w:start w:val="11"/>
      <w:numFmt w:val="decimal"/>
      <w:lvlText w:val="%1.%2"/>
      <w:lvlJc w:val="left"/>
      <w:pPr>
        <w:ind w:left="525" w:hanging="52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2" w15:restartNumberingAfterBreak="0">
    <w:nsid w:val="6B503191"/>
    <w:multiLevelType w:val="multilevel"/>
    <w:tmpl w:val="9E3852B6"/>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732D4628"/>
    <w:multiLevelType w:val="hybridMultilevel"/>
    <w:tmpl w:val="7BB07136"/>
    <w:lvl w:ilvl="0" w:tplc="5D3429A0">
      <w:start w:val="1"/>
      <w:numFmt w:val="bullet"/>
      <w:lvlText w:val=""/>
      <w:lvlJc w:val="left"/>
      <w:pPr>
        <w:ind w:left="360" w:hanging="360"/>
      </w:pPr>
      <w:rPr>
        <w:rFonts w:ascii="Symbol" w:hAnsi="Symbol" w:hint="default"/>
        <w:color w:val="734791"/>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5895271"/>
    <w:multiLevelType w:val="multilevel"/>
    <w:tmpl w:val="FF5054B2"/>
    <w:lvl w:ilvl="0">
      <w:start w:val="4"/>
      <w:numFmt w:val="decimal"/>
      <w:lvlText w:val="%1"/>
      <w:lvlJc w:val="left"/>
      <w:pPr>
        <w:ind w:left="435" w:hanging="435"/>
      </w:pPr>
      <w:rPr>
        <w:rFonts w:hint="default"/>
        <w:b/>
      </w:rPr>
    </w:lvl>
    <w:lvl w:ilvl="1">
      <w:start w:val="8"/>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520" w:hanging="2520"/>
      </w:pPr>
      <w:rPr>
        <w:rFonts w:hint="default"/>
        <w:b/>
      </w:rPr>
    </w:lvl>
  </w:abstractNum>
  <w:abstractNum w:abstractNumId="25" w15:restartNumberingAfterBreak="0">
    <w:nsid w:val="76305852"/>
    <w:multiLevelType w:val="multilevel"/>
    <w:tmpl w:val="F110B040"/>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77CC18A8"/>
    <w:multiLevelType w:val="multilevel"/>
    <w:tmpl w:val="69FE9996"/>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ascii="Verdana" w:hAnsi="Verdana" w:hint="default"/>
        <w:b w:val="0"/>
        <w:color w:val="auto"/>
        <w:sz w:val="24"/>
        <w:szCs w:val="24"/>
      </w:rPr>
    </w:lvl>
    <w:lvl w:ilvl="2">
      <w:start w:val="1"/>
      <w:numFmt w:val="decimal"/>
      <w:lvlText w:val="%1.%2.%3"/>
      <w:lvlJc w:val="left"/>
      <w:pPr>
        <w:ind w:left="2520" w:hanging="1080"/>
      </w:pPr>
      <w:rPr>
        <w:rFonts w:hint="default"/>
        <w:b/>
      </w:rPr>
    </w:lvl>
    <w:lvl w:ilvl="3">
      <w:start w:val="1"/>
      <w:numFmt w:val="decimal"/>
      <w:lvlText w:val="%1.%2.%3.%4"/>
      <w:lvlJc w:val="left"/>
      <w:pPr>
        <w:ind w:left="3600" w:hanging="1440"/>
      </w:pPr>
      <w:rPr>
        <w:rFonts w:hint="default"/>
        <w:b/>
      </w:rPr>
    </w:lvl>
    <w:lvl w:ilvl="4">
      <w:start w:val="1"/>
      <w:numFmt w:val="decimal"/>
      <w:lvlText w:val="%1.%2.%3.%4.%5"/>
      <w:lvlJc w:val="left"/>
      <w:pPr>
        <w:ind w:left="4680" w:hanging="1800"/>
      </w:pPr>
      <w:rPr>
        <w:rFonts w:hint="default"/>
        <w:b/>
      </w:rPr>
    </w:lvl>
    <w:lvl w:ilvl="5">
      <w:start w:val="1"/>
      <w:numFmt w:val="decimal"/>
      <w:lvlText w:val="%1.%2.%3.%4.%5.%6"/>
      <w:lvlJc w:val="left"/>
      <w:pPr>
        <w:ind w:left="5760" w:hanging="2160"/>
      </w:pPr>
      <w:rPr>
        <w:rFonts w:hint="default"/>
        <w:b/>
      </w:rPr>
    </w:lvl>
    <w:lvl w:ilvl="6">
      <w:start w:val="1"/>
      <w:numFmt w:val="decimal"/>
      <w:lvlText w:val="%1.%2.%3.%4.%5.%6.%7"/>
      <w:lvlJc w:val="left"/>
      <w:pPr>
        <w:ind w:left="6840" w:hanging="2520"/>
      </w:pPr>
      <w:rPr>
        <w:rFonts w:hint="default"/>
        <w:b/>
      </w:rPr>
    </w:lvl>
    <w:lvl w:ilvl="7">
      <w:start w:val="1"/>
      <w:numFmt w:val="decimal"/>
      <w:lvlText w:val="%1.%2.%3.%4.%5.%6.%7.%8"/>
      <w:lvlJc w:val="left"/>
      <w:pPr>
        <w:ind w:left="7920" w:hanging="2880"/>
      </w:pPr>
      <w:rPr>
        <w:rFonts w:hint="default"/>
        <w:b/>
      </w:rPr>
    </w:lvl>
    <w:lvl w:ilvl="8">
      <w:start w:val="1"/>
      <w:numFmt w:val="decimal"/>
      <w:lvlText w:val="%1.%2.%3.%4.%5.%6.%7.%8.%9"/>
      <w:lvlJc w:val="left"/>
      <w:pPr>
        <w:ind w:left="9000" w:hanging="3240"/>
      </w:pPr>
      <w:rPr>
        <w:rFonts w:hint="default"/>
        <w:b/>
      </w:rPr>
    </w:lvl>
  </w:abstractNum>
  <w:abstractNum w:abstractNumId="27" w15:restartNumberingAfterBreak="0">
    <w:nsid w:val="7E2E08FB"/>
    <w:multiLevelType w:val="hybridMultilevel"/>
    <w:tmpl w:val="7F569DE2"/>
    <w:lvl w:ilvl="0" w:tplc="B6DEEB0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938365529">
    <w:abstractNumId w:val="17"/>
  </w:num>
  <w:num w:numId="2" w16cid:durableId="1115976244">
    <w:abstractNumId w:val="27"/>
  </w:num>
  <w:num w:numId="3" w16cid:durableId="227687724">
    <w:abstractNumId w:val="4"/>
  </w:num>
  <w:num w:numId="4" w16cid:durableId="921178290">
    <w:abstractNumId w:val="11"/>
  </w:num>
  <w:num w:numId="5" w16cid:durableId="1975405379">
    <w:abstractNumId w:val="23"/>
  </w:num>
  <w:num w:numId="6" w16cid:durableId="1672371689">
    <w:abstractNumId w:val="6"/>
  </w:num>
  <w:num w:numId="7" w16cid:durableId="773481486">
    <w:abstractNumId w:val="13"/>
  </w:num>
  <w:num w:numId="8" w16cid:durableId="1162086802">
    <w:abstractNumId w:val="9"/>
  </w:num>
  <w:num w:numId="9" w16cid:durableId="2020307172">
    <w:abstractNumId w:val="15"/>
  </w:num>
  <w:num w:numId="10" w16cid:durableId="1044675305">
    <w:abstractNumId w:val="19"/>
  </w:num>
  <w:num w:numId="11" w16cid:durableId="583953316">
    <w:abstractNumId w:val="12"/>
  </w:num>
  <w:num w:numId="12" w16cid:durableId="163324993">
    <w:abstractNumId w:val="5"/>
  </w:num>
  <w:num w:numId="13" w16cid:durableId="1085298675">
    <w:abstractNumId w:val="26"/>
  </w:num>
  <w:num w:numId="14" w16cid:durableId="703949198">
    <w:abstractNumId w:val="1"/>
  </w:num>
  <w:num w:numId="15" w16cid:durableId="1247570529">
    <w:abstractNumId w:val="3"/>
  </w:num>
  <w:num w:numId="16" w16cid:durableId="1449198695">
    <w:abstractNumId w:val="10"/>
  </w:num>
  <w:num w:numId="17" w16cid:durableId="1357462972">
    <w:abstractNumId w:val="16"/>
  </w:num>
  <w:num w:numId="18" w16cid:durableId="829322367">
    <w:abstractNumId w:val="19"/>
    <w:lvlOverride w:ilvl="0">
      <w:startOverride w:val="7"/>
    </w:lvlOverride>
  </w:num>
  <w:num w:numId="19" w16cid:durableId="1025256782">
    <w:abstractNumId w:val="18"/>
  </w:num>
  <w:num w:numId="20" w16cid:durableId="1823620113">
    <w:abstractNumId w:val="8"/>
  </w:num>
  <w:num w:numId="21" w16cid:durableId="844129647">
    <w:abstractNumId w:val="0"/>
  </w:num>
  <w:num w:numId="22" w16cid:durableId="112598390">
    <w:abstractNumId w:val="2"/>
  </w:num>
  <w:num w:numId="23" w16cid:durableId="1276912081">
    <w:abstractNumId w:val="14"/>
  </w:num>
  <w:num w:numId="24" w16cid:durableId="1505123293">
    <w:abstractNumId w:val="24"/>
  </w:num>
  <w:num w:numId="25" w16cid:durableId="1891837951">
    <w:abstractNumId w:val="7"/>
  </w:num>
  <w:num w:numId="26" w16cid:durableId="55007776">
    <w:abstractNumId w:val="21"/>
  </w:num>
  <w:num w:numId="27" w16cid:durableId="1139421071">
    <w:abstractNumId w:val="20"/>
  </w:num>
  <w:num w:numId="28" w16cid:durableId="1073892475">
    <w:abstractNumId w:val="22"/>
  </w:num>
  <w:num w:numId="29" w16cid:durableId="7648089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532"/>
    <w:rsid w:val="0000033D"/>
    <w:rsid w:val="00000FC3"/>
    <w:rsid w:val="000019D8"/>
    <w:rsid w:val="00014757"/>
    <w:rsid w:val="00021C55"/>
    <w:rsid w:val="00025A92"/>
    <w:rsid w:val="00027E8D"/>
    <w:rsid w:val="0003550A"/>
    <w:rsid w:val="00040247"/>
    <w:rsid w:val="000425D3"/>
    <w:rsid w:val="000427B4"/>
    <w:rsid w:val="000446DE"/>
    <w:rsid w:val="0004558C"/>
    <w:rsid w:val="00046575"/>
    <w:rsid w:val="00046705"/>
    <w:rsid w:val="00051339"/>
    <w:rsid w:val="000532F7"/>
    <w:rsid w:val="0005379E"/>
    <w:rsid w:val="00053ABB"/>
    <w:rsid w:val="000559B1"/>
    <w:rsid w:val="00056B3A"/>
    <w:rsid w:val="0006726B"/>
    <w:rsid w:val="00067A85"/>
    <w:rsid w:val="00074746"/>
    <w:rsid w:val="00074BB2"/>
    <w:rsid w:val="00087885"/>
    <w:rsid w:val="0009024D"/>
    <w:rsid w:val="00091C3B"/>
    <w:rsid w:val="000945E0"/>
    <w:rsid w:val="000960C1"/>
    <w:rsid w:val="000A378E"/>
    <w:rsid w:val="000A5C8C"/>
    <w:rsid w:val="000B531F"/>
    <w:rsid w:val="000B5AB3"/>
    <w:rsid w:val="000B718B"/>
    <w:rsid w:val="000C2599"/>
    <w:rsid w:val="000D1D4C"/>
    <w:rsid w:val="000D4806"/>
    <w:rsid w:val="000D4AC3"/>
    <w:rsid w:val="000D6EC4"/>
    <w:rsid w:val="000E1F61"/>
    <w:rsid w:val="000E7F0C"/>
    <w:rsid w:val="000F3EB4"/>
    <w:rsid w:val="00101002"/>
    <w:rsid w:val="00115966"/>
    <w:rsid w:val="00127DD0"/>
    <w:rsid w:val="00130E38"/>
    <w:rsid w:val="0013241B"/>
    <w:rsid w:val="001353AD"/>
    <w:rsid w:val="00135EE4"/>
    <w:rsid w:val="00141D5B"/>
    <w:rsid w:val="00152B52"/>
    <w:rsid w:val="00170875"/>
    <w:rsid w:val="00171E32"/>
    <w:rsid w:val="00173E08"/>
    <w:rsid w:val="00175278"/>
    <w:rsid w:val="00183796"/>
    <w:rsid w:val="00184110"/>
    <w:rsid w:val="00193CC6"/>
    <w:rsid w:val="001A220A"/>
    <w:rsid w:val="001A6F17"/>
    <w:rsid w:val="001A72FF"/>
    <w:rsid w:val="001B4636"/>
    <w:rsid w:val="001B4D6D"/>
    <w:rsid w:val="001C45D3"/>
    <w:rsid w:val="001C46DC"/>
    <w:rsid w:val="001D258A"/>
    <w:rsid w:val="001E79A9"/>
    <w:rsid w:val="001F2F1E"/>
    <w:rsid w:val="001F67AA"/>
    <w:rsid w:val="00201D23"/>
    <w:rsid w:val="002023A9"/>
    <w:rsid w:val="00202505"/>
    <w:rsid w:val="00202A5B"/>
    <w:rsid w:val="00203281"/>
    <w:rsid w:val="00210D01"/>
    <w:rsid w:val="0021140C"/>
    <w:rsid w:val="00213B8A"/>
    <w:rsid w:val="00215C23"/>
    <w:rsid w:val="00220B4C"/>
    <w:rsid w:val="00223A99"/>
    <w:rsid w:val="00224140"/>
    <w:rsid w:val="002259FE"/>
    <w:rsid w:val="0023329C"/>
    <w:rsid w:val="002332F2"/>
    <w:rsid w:val="002351CB"/>
    <w:rsid w:val="002401EC"/>
    <w:rsid w:val="002428EC"/>
    <w:rsid w:val="00245151"/>
    <w:rsid w:val="00250397"/>
    <w:rsid w:val="00251499"/>
    <w:rsid w:val="0025341F"/>
    <w:rsid w:val="002672FE"/>
    <w:rsid w:val="00272ADE"/>
    <w:rsid w:val="00273C94"/>
    <w:rsid w:val="00275C15"/>
    <w:rsid w:val="00277407"/>
    <w:rsid w:val="00284A6B"/>
    <w:rsid w:val="00291142"/>
    <w:rsid w:val="00292922"/>
    <w:rsid w:val="002A0743"/>
    <w:rsid w:val="002A4C70"/>
    <w:rsid w:val="002A735F"/>
    <w:rsid w:val="002B0F40"/>
    <w:rsid w:val="002B1272"/>
    <w:rsid w:val="002B54F3"/>
    <w:rsid w:val="002D70D6"/>
    <w:rsid w:val="002E1659"/>
    <w:rsid w:val="002E1821"/>
    <w:rsid w:val="002E43EB"/>
    <w:rsid w:val="002F0BEA"/>
    <w:rsid w:val="002F2315"/>
    <w:rsid w:val="002F308B"/>
    <w:rsid w:val="002F35B9"/>
    <w:rsid w:val="002F7AB9"/>
    <w:rsid w:val="0030089B"/>
    <w:rsid w:val="00300EA0"/>
    <w:rsid w:val="00302A34"/>
    <w:rsid w:val="00305CAF"/>
    <w:rsid w:val="00306317"/>
    <w:rsid w:val="00306B89"/>
    <w:rsid w:val="0031217F"/>
    <w:rsid w:val="00314818"/>
    <w:rsid w:val="00322077"/>
    <w:rsid w:val="003268C0"/>
    <w:rsid w:val="00330F6D"/>
    <w:rsid w:val="003319F4"/>
    <w:rsid w:val="00331C61"/>
    <w:rsid w:val="00334441"/>
    <w:rsid w:val="003357A2"/>
    <w:rsid w:val="00336AA6"/>
    <w:rsid w:val="00341BFE"/>
    <w:rsid w:val="00352CC8"/>
    <w:rsid w:val="00364998"/>
    <w:rsid w:val="003652AD"/>
    <w:rsid w:val="00367CCA"/>
    <w:rsid w:val="00373684"/>
    <w:rsid w:val="00373C73"/>
    <w:rsid w:val="0037445E"/>
    <w:rsid w:val="003865AB"/>
    <w:rsid w:val="00395297"/>
    <w:rsid w:val="003955DA"/>
    <w:rsid w:val="00397DBF"/>
    <w:rsid w:val="003A0E9B"/>
    <w:rsid w:val="003A22B3"/>
    <w:rsid w:val="003A5F2F"/>
    <w:rsid w:val="003A6552"/>
    <w:rsid w:val="003B7D0E"/>
    <w:rsid w:val="003C799A"/>
    <w:rsid w:val="003D0810"/>
    <w:rsid w:val="003D09D2"/>
    <w:rsid w:val="003D2913"/>
    <w:rsid w:val="003E13AA"/>
    <w:rsid w:val="003E4F6A"/>
    <w:rsid w:val="003F3DF3"/>
    <w:rsid w:val="00400123"/>
    <w:rsid w:val="00400E0E"/>
    <w:rsid w:val="00402467"/>
    <w:rsid w:val="00402A10"/>
    <w:rsid w:val="00406C99"/>
    <w:rsid w:val="00411B3D"/>
    <w:rsid w:val="004225E5"/>
    <w:rsid w:val="0044682C"/>
    <w:rsid w:val="00446B65"/>
    <w:rsid w:val="004508BC"/>
    <w:rsid w:val="00463D6B"/>
    <w:rsid w:val="00465A8C"/>
    <w:rsid w:val="00466259"/>
    <w:rsid w:val="00466A2E"/>
    <w:rsid w:val="004672AC"/>
    <w:rsid w:val="00471A40"/>
    <w:rsid w:val="00473BC7"/>
    <w:rsid w:val="00474E4B"/>
    <w:rsid w:val="004826B9"/>
    <w:rsid w:val="004936B1"/>
    <w:rsid w:val="00493C92"/>
    <w:rsid w:val="0049413D"/>
    <w:rsid w:val="00494D7F"/>
    <w:rsid w:val="00495873"/>
    <w:rsid w:val="004A4125"/>
    <w:rsid w:val="004B12FA"/>
    <w:rsid w:val="004B1D81"/>
    <w:rsid w:val="004B4D8E"/>
    <w:rsid w:val="004B52E9"/>
    <w:rsid w:val="004B667C"/>
    <w:rsid w:val="004C4A8C"/>
    <w:rsid w:val="004C5594"/>
    <w:rsid w:val="004D0630"/>
    <w:rsid w:val="004D1975"/>
    <w:rsid w:val="004E0FC1"/>
    <w:rsid w:val="004E1F30"/>
    <w:rsid w:val="004F239B"/>
    <w:rsid w:val="004F6AAA"/>
    <w:rsid w:val="004F7F3F"/>
    <w:rsid w:val="00503101"/>
    <w:rsid w:val="0051570D"/>
    <w:rsid w:val="0052050D"/>
    <w:rsid w:val="00524DB7"/>
    <w:rsid w:val="00532AC8"/>
    <w:rsid w:val="00541AC0"/>
    <w:rsid w:val="0054278B"/>
    <w:rsid w:val="00545DC3"/>
    <w:rsid w:val="005460D7"/>
    <w:rsid w:val="00552293"/>
    <w:rsid w:val="00555BCB"/>
    <w:rsid w:val="005651FC"/>
    <w:rsid w:val="00566574"/>
    <w:rsid w:val="00567526"/>
    <w:rsid w:val="00573C78"/>
    <w:rsid w:val="00582777"/>
    <w:rsid w:val="005869E2"/>
    <w:rsid w:val="00591F3C"/>
    <w:rsid w:val="0059223A"/>
    <w:rsid w:val="00593DBB"/>
    <w:rsid w:val="005A158C"/>
    <w:rsid w:val="005A2300"/>
    <w:rsid w:val="005B723E"/>
    <w:rsid w:val="005C19FA"/>
    <w:rsid w:val="005C2B14"/>
    <w:rsid w:val="005D224A"/>
    <w:rsid w:val="005D7237"/>
    <w:rsid w:val="005E1121"/>
    <w:rsid w:val="005E7585"/>
    <w:rsid w:val="005F121B"/>
    <w:rsid w:val="00603BDA"/>
    <w:rsid w:val="00605CB8"/>
    <w:rsid w:val="006206E7"/>
    <w:rsid w:val="00621731"/>
    <w:rsid w:val="00624846"/>
    <w:rsid w:val="00624B79"/>
    <w:rsid w:val="006307AB"/>
    <w:rsid w:val="00632907"/>
    <w:rsid w:val="00633C30"/>
    <w:rsid w:val="006367A9"/>
    <w:rsid w:val="00643D71"/>
    <w:rsid w:val="0064676C"/>
    <w:rsid w:val="00646E92"/>
    <w:rsid w:val="0064756F"/>
    <w:rsid w:val="0065028B"/>
    <w:rsid w:val="00656ECD"/>
    <w:rsid w:val="006601E9"/>
    <w:rsid w:val="0066471A"/>
    <w:rsid w:val="006701D8"/>
    <w:rsid w:val="006846F8"/>
    <w:rsid w:val="006B6C4D"/>
    <w:rsid w:val="006D734E"/>
    <w:rsid w:val="006E19D9"/>
    <w:rsid w:val="006E6BC1"/>
    <w:rsid w:val="006E6E5D"/>
    <w:rsid w:val="006F7A76"/>
    <w:rsid w:val="0070230F"/>
    <w:rsid w:val="007040D4"/>
    <w:rsid w:val="00705833"/>
    <w:rsid w:val="007103B4"/>
    <w:rsid w:val="007119A6"/>
    <w:rsid w:val="007227E8"/>
    <w:rsid w:val="00723FC8"/>
    <w:rsid w:val="00726304"/>
    <w:rsid w:val="00730C66"/>
    <w:rsid w:val="00731D9C"/>
    <w:rsid w:val="0074279E"/>
    <w:rsid w:val="00744F9E"/>
    <w:rsid w:val="007464D0"/>
    <w:rsid w:val="00753897"/>
    <w:rsid w:val="0075541E"/>
    <w:rsid w:val="007569C1"/>
    <w:rsid w:val="00760D49"/>
    <w:rsid w:val="00761580"/>
    <w:rsid w:val="00767869"/>
    <w:rsid w:val="00770E20"/>
    <w:rsid w:val="0077172D"/>
    <w:rsid w:val="00774070"/>
    <w:rsid w:val="007754AE"/>
    <w:rsid w:val="00775D52"/>
    <w:rsid w:val="007830E2"/>
    <w:rsid w:val="00783412"/>
    <w:rsid w:val="007923F1"/>
    <w:rsid w:val="007A1C29"/>
    <w:rsid w:val="007A23B5"/>
    <w:rsid w:val="007A5EF4"/>
    <w:rsid w:val="007B452B"/>
    <w:rsid w:val="007C0A98"/>
    <w:rsid w:val="007C3CE1"/>
    <w:rsid w:val="007D2446"/>
    <w:rsid w:val="007D66F2"/>
    <w:rsid w:val="007D77E8"/>
    <w:rsid w:val="007E015A"/>
    <w:rsid w:val="007E64EA"/>
    <w:rsid w:val="007F0150"/>
    <w:rsid w:val="007F080F"/>
    <w:rsid w:val="007F0A5A"/>
    <w:rsid w:val="007F1152"/>
    <w:rsid w:val="007F1416"/>
    <w:rsid w:val="007F1A12"/>
    <w:rsid w:val="007F266D"/>
    <w:rsid w:val="007F45B4"/>
    <w:rsid w:val="007F73B3"/>
    <w:rsid w:val="00801600"/>
    <w:rsid w:val="0080165B"/>
    <w:rsid w:val="008035D6"/>
    <w:rsid w:val="00804978"/>
    <w:rsid w:val="00806DE4"/>
    <w:rsid w:val="00811469"/>
    <w:rsid w:val="00812097"/>
    <w:rsid w:val="00812D47"/>
    <w:rsid w:val="008159E8"/>
    <w:rsid w:val="00815B69"/>
    <w:rsid w:val="00821402"/>
    <w:rsid w:val="00823095"/>
    <w:rsid w:val="00827509"/>
    <w:rsid w:val="00845257"/>
    <w:rsid w:val="008466B4"/>
    <w:rsid w:val="008467F0"/>
    <w:rsid w:val="00846922"/>
    <w:rsid w:val="00852F61"/>
    <w:rsid w:val="00853248"/>
    <w:rsid w:val="00855C19"/>
    <w:rsid w:val="008568C2"/>
    <w:rsid w:val="00856AF3"/>
    <w:rsid w:val="00857077"/>
    <w:rsid w:val="00865580"/>
    <w:rsid w:val="0087161B"/>
    <w:rsid w:val="00872187"/>
    <w:rsid w:val="00874D7A"/>
    <w:rsid w:val="00875E68"/>
    <w:rsid w:val="00875E8A"/>
    <w:rsid w:val="00882201"/>
    <w:rsid w:val="008829F1"/>
    <w:rsid w:val="0088310A"/>
    <w:rsid w:val="00891978"/>
    <w:rsid w:val="008922E2"/>
    <w:rsid w:val="00892743"/>
    <w:rsid w:val="0089409B"/>
    <w:rsid w:val="008A18B5"/>
    <w:rsid w:val="008A32CB"/>
    <w:rsid w:val="008A3CD7"/>
    <w:rsid w:val="008A4C43"/>
    <w:rsid w:val="008A4D4C"/>
    <w:rsid w:val="008B2CE1"/>
    <w:rsid w:val="008B405A"/>
    <w:rsid w:val="008D643A"/>
    <w:rsid w:val="008D6482"/>
    <w:rsid w:val="008D7C32"/>
    <w:rsid w:val="008E44C6"/>
    <w:rsid w:val="008E4B34"/>
    <w:rsid w:val="008E7F6A"/>
    <w:rsid w:val="008F1972"/>
    <w:rsid w:val="008F38CE"/>
    <w:rsid w:val="009001A4"/>
    <w:rsid w:val="0090052A"/>
    <w:rsid w:val="0092668F"/>
    <w:rsid w:val="00927F0D"/>
    <w:rsid w:val="00932857"/>
    <w:rsid w:val="00932D74"/>
    <w:rsid w:val="00951BD5"/>
    <w:rsid w:val="00952FA3"/>
    <w:rsid w:val="00962B2B"/>
    <w:rsid w:val="0096459E"/>
    <w:rsid w:val="00970FED"/>
    <w:rsid w:val="0097136D"/>
    <w:rsid w:val="00972502"/>
    <w:rsid w:val="00973364"/>
    <w:rsid w:val="00974A54"/>
    <w:rsid w:val="009877A5"/>
    <w:rsid w:val="00991F97"/>
    <w:rsid w:val="009963C6"/>
    <w:rsid w:val="009A5290"/>
    <w:rsid w:val="009A7718"/>
    <w:rsid w:val="009D04B8"/>
    <w:rsid w:val="009D0A7A"/>
    <w:rsid w:val="009D4F85"/>
    <w:rsid w:val="009D7526"/>
    <w:rsid w:val="009D7C04"/>
    <w:rsid w:val="009E024F"/>
    <w:rsid w:val="009E6878"/>
    <w:rsid w:val="009F2D36"/>
    <w:rsid w:val="00A02794"/>
    <w:rsid w:val="00A0574B"/>
    <w:rsid w:val="00A10B5C"/>
    <w:rsid w:val="00A165DB"/>
    <w:rsid w:val="00A16F26"/>
    <w:rsid w:val="00A17C4F"/>
    <w:rsid w:val="00A21608"/>
    <w:rsid w:val="00A24AAE"/>
    <w:rsid w:val="00A3301F"/>
    <w:rsid w:val="00A33337"/>
    <w:rsid w:val="00A33AAB"/>
    <w:rsid w:val="00A349F7"/>
    <w:rsid w:val="00A35C17"/>
    <w:rsid w:val="00A35EDD"/>
    <w:rsid w:val="00A412DD"/>
    <w:rsid w:val="00A451F7"/>
    <w:rsid w:val="00A4550B"/>
    <w:rsid w:val="00A52C97"/>
    <w:rsid w:val="00A569EE"/>
    <w:rsid w:val="00A62002"/>
    <w:rsid w:val="00A6623E"/>
    <w:rsid w:val="00A76257"/>
    <w:rsid w:val="00A77481"/>
    <w:rsid w:val="00A77807"/>
    <w:rsid w:val="00A779BD"/>
    <w:rsid w:val="00A87EFB"/>
    <w:rsid w:val="00A91060"/>
    <w:rsid w:val="00A919D9"/>
    <w:rsid w:val="00AA2A4C"/>
    <w:rsid w:val="00AA4455"/>
    <w:rsid w:val="00AB1A1B"/>
    <w:rsid w:val="00AB38CB"/>
    <w:rsid w:val="00AC626B"/>
    <w:rsid w:val="00AD2EED"/>
    <w:rsid w:val="00AD7781"/>
    <w:rsid w:val="00AE3EAB"/>
    <w:rsid w:val="00AF58EC"/>
    <w:rsid w:val="00AF5D3D"/>
    <w:rsid w:val="00B0182F"/>
    <w:rsid w:val="00B06E63"/>
    <w:rsid w:val="00B15195"/>
    <w:rsid w:val="00B169B0"/>
    <w:rsid w:val="00B21B23"/>
    <w:rsid w:val="00B42288"/>
    <w:rsid w:val="00B522DD"/>
    <w:rsid w:val="00B53CEB"/>
    <w:rsid w:val="00B62896"/>
    <w:rsid w:val="00B63325"/>
    <w:rsid w:val="00B70B6F"/>
    <w:rsid w:val="00B75AF1"/>
    <w:rsid w:val="00B77030"/>
    <w:rsid w:val="00B82D6F"/>
    <w:rsid w:val="00B85251"/>
    <w:rsid w:val="00B94E95"/>
    <w:rsid w:val="00B96D34"/>
    <w:rsid w:val="00BA2D92"/>
    <w:rsid w:val="00BA52E7"/>
    <w:rsid w:val="00BA5309"/>
    <w:rsid w:val="00BA684A"/>
    <w:rsid w:val="00BA77D7"/>
    <w:rsid w:val="00BB0B9A"/>
    <w:rsid w:val="00BB3ED8"/>
    <w:rsid w:val="00BB7216"/>
    <w:rsid w:val="00BC5344"/>
    <w:rsid w:val="00BD09B5"/>
    <w:rsid w:val="00BD77BC"/>
    <w:rsid w:val="00BE256F"/>
    <w:rsid w:val="00BE5849"/>
    <w:rsid w:val="00BF0023"/>
    <w:rsid w:val="00BF7087"/>
    <w:rsid w:val="00C00E42"/>
    <w:rsid w:val="00C010AE"/>
    <w:rsid w:val="00C01136"/>
    <w:rsid w:val="00C01737"/>
    <w:rsid w:val="00C0396E"/>
    <w:rsid w:val="00C0484F"/>
    <w:rsid w:val="00C07605"/>
    <w:rsid w:val="00C1216B"/>
    <w:rsid w:val="00C1258F"/>
    <w:rsid w:val="00C16FEB"/>
    <w:rsid w:val="00C2292D"/>
    <w:rsid w:val="00C23E08"/>
    <w:rsid w:val="00C23E5E"/>
    <w:rsid w:val="00C2725D"/>
    <w:rsid w:val="00C37FDE"/>
    <w:rsid w:val="00C40272"/>
    <w:rsid w:val="00C44857"/>
    <w:rsid w:val="00C44DC2"/>
    <w:rsid w:val="00C55182"/>
    <w:rsid w:val="00C55D96"/>
    <w:rsid w:val="00C566E6"/>
    <w:rsid w:val="00C57B37"/>
    <w:rsid w:val="00C57DF7"/>
    <w:rsid w:val="00C64416"/>
    <w:rsid w:val="00C66D8F"/>
    <w:rsid w:val="00C72274"/>
    <w:rsid w:val="00C76E49"/>
    <w:rsid w:val="00C805B3"/>
    <w:rsid w:val="00C85A9E"/>
    <w:rsid w:val="00C92EE6"/>
    <w:rsid w:val="00CA45CA"/>
    <w:rsid w:val="00CB4F10"/>
    <w:rsid w:val="00CC2F34"/>
    <w:rsid w:val="00CD0015"/>
    <w:rsid w:val="00CE3039"/>
    <w:rsid w:val="00CF0261"/>
    <w:rsid w:val="00CF491C"/>
    <w:rsid w:val="00D00B07"/>
    <w:rsid w:val="00D012AA"/>
    <w:rsid w:val="00D05961"/>
    <w:rsid w:val="00D11AD8"/>
    <w:rsid w:val="00D12EF8"/>
    <w:rsid w:val="00D13947"/>
    <w:rsid w:val="00D16532"/>
    <w:rsid w:val="00D26845"/>
    <w:rsid w:val="00D27013"/>
    <w:rsid w:val="00D270F2"/>
    <w:rsid w:val="00D2770F"/>
    <w:rsid w:val="00D37857"/>
    <w:rsid w:val="00D51BBB"/>
    <w:rsid w:val="00D5269D"/>
    <w:rsid w:val="00D54DB1"/>
    <w:rsid w:val="00D71B70"/>
    <w:rsid w:val="00D722CA"/>
    <w:rsid w:val="00D9053C"/>
    <w:rsid w:val="00D92BBA"/>
    <w:rsid w:val="00DA0AC2"/>
    <w:rsid w:val="00DA3B17"/>
    <w:rsid w:val="00DA5897"/>
    <w:rsid w:val="00DA7D7D"/>
    <w:rsid w:val="00DB1373"/>
    <w:rsid w:val="00DB7064"/>
    <w:rsid w:val="00DB712F"/>
    <w:rsid w:val="00DC7AC8"/>
    <w:rsid w:val="00DD04B6"/>
    <w:rsid w:val="00DE0F24"/>
    <w:rsid w:val="00DE3117"/>
    <w:rsid w:val="00DE6566"/>
    <w:rsid w:val="00DE70E8"/>
    <w:rsid w:val="00DF1377"/>
    <w:rsid w:val="00DF3651"/>
    <w:rsid w:val="00DF6213"/>
    <w:rsid w:val="00E01765"/>
    <w:rsid w:val="00E06E71"/>
    <w:rsid w:val="00E202CD"/>
    <w:rsid w:val="00E234D7"/>
    <w:rsid w:val="00E27440"/>
    <w:rsid w:val="00E27C8F"/>
    <w:rsid w:val="00E27FC2"/>
    <w:rsid w:val="00E45C84"/>
    <w:rsid w:val="00E52196"/>
    <w:rsid w:val="00E53CF4"/>
    <w:rsid w:val="00E626D1"/>
    <w:rsid w:val="00E62C80"/>
    <w:rsid w:val="00E6703A"/>
    <w:rsid w:val="00E73064"/>
    <w:rsid w:val="00E84D82"/>
    <w:rsid w:val="00E9720E"/>
    <w:rsid w:val="00EA12CE"/>
    <w:rsid w:val="00EA2EB7"/>
    <w:rsid w:val="00EA6BB8"/>
    <w:rsid w:val="00EB05AA"/>
    <w:rsid w:val="00EB5D12"/>
    <w:rsid w:val="00EC4AFB"/>
    <w:rsid w:val="00EC5D29"/>
    <w:rsid w:val="00ED40E9"/>
    <w:rsid w:val="00EE2DAA"/>
    <w:rsid w:val="00EE3BDB"/>
    <w:rsid w:val="00EE62FC"/>
    <w:rsid w:val="00F005A4"/>
    <w:rsid w:val="00F1017C"/>
    <w:rsid w:val="00F14271"/>
    <w:rsid w:val="00F213C1"/>
    <w:rsid w:val="00F25958"/>
    <w:rsid w:val="00F26687"/>
    <w:rsid w:val="00F31387"/>
    <w:rsid w:val="00F3509F"/>
    <w:rsid w:val="00F36F05"/>
    <w:rsid w:val="00F41A2B"/>
    <w:rsid w:val="00F43CE4"/>
    <w:rsid w:val="00F501B2"/>
    <w:rsid w:val="00F52857"/>
    <w:rsid w:val="00F56C78"/>
    <w:rsid w:val="00F66221"/>
    <w:rsid w:val="00F664AF"/>
    <w:rsid w:val="00F76088"/>
    <w:rsid w:val="00F803BC"/>
    <w:rsid w:val="00F8103B"/>
    <w:rsid w:val="00F91CAC"/>
    <w:rsid w:val="00F967CD"/>
    <w:rsid w:val="00FA459D"/>
    <w:rsid w:val="00FB2C9E"/>
    <w:rsid w:val="00FB61D2"/>
    <w:rsid w:val="00FB6E8A"/>
    <w:rsid w:val="00FD02A1"/>
    <w:rsid w:val="00FD060D"/>
    <w:rsid w:val="00FD4565"/>
    <w:rsid w:val="00FD7E0B"/>
    <w:rsid w:val="00FE0CC8"/>
    <w:rsid w:val="00FE49EF"/>
    <w:rsid w:val="00FE56DB"/>
    <w:rsid w:val="00FE56F6"/>
    <w:rsid w:val="00FE6427"/>
    <w:rsid w:val="00FE6F6C"/>
    <w:rsid w:val="00FE7FD4"/>
    <w:rsid w:val="00FF3CBA"/>
    <w:rsid w:val="00FF5685"/>
    <w:rsid w:val="00FF710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DC53911"/>
  <w14:defaultImageDpi w14:val="300"/>
  <w15:docId w15:val="{CC4997BB-8FE9-49D1-BB35-C9A8DC933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2EED"/>
    <w:pPr>
      <w:keepNext/>
      <w:keepLines/>
      <w:spacing w:before="240"/>
      <w:outlineLvl w:val="0"/>
    </w:pPr>
    <w:rPr>
      <w:rFonts w:eastAsiaTheme="majorEastAsia" w:cstheme="majorBidi"/>
      <w:b/>
      <w:sz w:val="40"/>
      <w:szCs w:val="32"/>
    </w:rPr>
  </w:style>
  <w:style w:type="paragraph" w:styleId="Heading6">
    <w:name w:val="heading 6"/>
    <w:basedOn w:val="Normal"/>
    <w:next w:val="Normal"/>
    <w:link w:val="Heading6Char"/>
    <w:uiPriority w:val="9"/>
    <w:semiHidden/>
    <w:unhideWhenUsed/>
    <w:qFormat/>
    <w:rsid w:val="00224140"/>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2B2B"/>
    <w:pPr>
      <w:tabs>
        <w:tab w:val="center" w:pos="4320"/>
        <w:tab w:val="right" w:pos="8640"/>
      </w:tabs>
    </w:pPr>
  </w:style>
  <w:style w:type="character" w:customStyle="1" w:styleId="HeaderChar">
    <w:name w:val="Header Char"/>
    <w:basedOn w:val="DefaultParagraphFont"/>
    <w:link w:val="Header"/>
    <w:uiPriority w:val="99"/>
    <w:rsid w:val="00962B2B"/>
  </w:style>
  <w:style w:type="paragraph" w:styleId="Footer">
    <w:name w:val="footer"/>
    <w:basedOn w:val="Normal"/>
    <w:link w:val="FooterChar"/>
    <w:uiPriority w:val="99"/>
    <w:unhideWhenUsed/>
    <w:rsid w:val="00962B2B"/>
    <w:pPr>
      <w:tabs>
        <w:tab w:val="center" w:pos="4320"/>
        <w:tab w:val="right" w:pos="8640"/>
      </w:tabs>
    </w:pPr>
  </w:style>
  <w:style w:type="character" w:customStyle="1" w:styleId="FooterChar">
    <w:name w:val="Footer Char"/>
    <w:basedOn w:val="DefaultParagraphFont"/>
    <w:link w:val="Footer"/>
    <w:uiPriority w:val="99"/>
    <w:rsid w:val="00962B2B"/>
  </w:style>
  <w:style w:type="paragraph" w:styleId="BalloonText">
    <w:name w:val="Balloon Text"/>
    <w:basedOn w:val="Normal"/>
    <w:link w:val="BalloonTextChar"/>
    <w:uiPriority w:val="99"/>
    <w:semiHidden/>
    <w:unhideWhenUsed/>
    <w:rsid w:val="00962B2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62B2B"/>
    <w:rPr>
      <w:rFonts w:ascii="Lucida Grande" w:hAnsi="Lucida Grande" w:cs="Lucida Grande"/>
      <w:sz w:val="18"/>
      <w:szCs w:val="18"/>
    </w:rPr>
  </w:style>
  <w:style w:type="paragraph" w:customStyle="1" w:styleId="BasicParagraph">
    <w:name w:val="[Basic Paragraph]"/>
    <w:basedOn w:val="Normal"/>
    <w:uiPriority w:val="99"/>
    <w:rsid w:val="00962B2B"/>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Body">
    <w:name w:val="Body"/>
    <w:basedOn w:val="Normal"/>
    <w:rsid w:val="007F266D"/>
    <w:rPr>
      <w:rFonts w:ascii="Helvetica" w:eastAsiaTheme="minorHAnsi" w:hAnsi="Helvetica" w:cs="Helvetica"/>
      <w:color w:val="000000"/>
      <w:sz w:val="22"/>
      <w:szCs w:val="22"/>
      <w:lang w:eastAsia="en-GB"/>
    </w:rPr>
  </w:style>
  <w:style w:type="paragraph" w:styleId="FootnoteText">
    <w:name w:val="footnote text"/>
    <w:aliases w:val="5_G,Footnote Text Char1,Footnote Text Char Char,Footnote Text1,Footnote Text Char1 Char Char,Footnote Text Char Char Char Char,Footnote Text Char1 Char Char1 Char Char,Footnote Text Char Char Char Char1 Char Char, Char,Char,Footnote Quot"/>
    <w:basedOn w:val="Normal"/>
    <w:link w:val="FootnoteTextChar"/>
    <w:uiPriority w:val="99"/>
    <w:unhideWhenUsed/>
    <w:qFormat/>
    <w:rsid w:val="00224140"/>
  </w:style>
  <w:style w:type="character" w:customStyle="1" w:styleId="FootnoteTextChar">
    <w:name w:val="Footnote Text Char"/>
    <w:aliases w:val="5_G Char,Footnote Text Char1 Char,Footnote Text Char Char Char,Footnote Text1 Char,Footnote Text Char1 Char Char Char,Footnote Text Char Char Char Char Char,Footnote Text Char1 Char Char1 Char Char Char, Char Char,Char Char"/>
    <w:basedOn w:val="DefaultParagraphFont"/>
    <w:link w:val="FootnoteText"/>
    <w:uiPriority w:val="99"/>
    <w:rsid w:val="00224140"/>
  </w:style>
  <w:style w:type="character" w:styleId="FootnoteReference">
    <w:name w:val="footnote reference"/>
    <w:aliases w:val="Footnotes refss,Odwołanie przypisu,Footnote symbol,Footnote Reference Number,Appel note de bas de p,Appel note de bas de p + (Asian) Batang,Black,(NECG) Footnote Reference,Nota,Footnote Refernece,Footnote Refernece + (Latein) Arial"/>
    <w:basedOn w:val="DefaultParagraphFont"/>
    <w:link w:val="4GChar"/>
    <w:uiPriority w:val="99"/>
    <w:unhideWhenUsed/>
    <w:qFormat/>
    <w:rsid w:val="00224140"/>
    <w:rPr>
      <w:vertAlign w:val="superscript"/>
    </w:rPr>
  </w:style>
  <w:style w:type="character" w:styleId="PageNumber">
    <w:name w:val="page number"/>
    <w:basedOn w:val="DefaultParagraphFont"/>
    <w:uiPriority w:val="99"/>
    <w:semiHidden/>
    <w:unhideWhenUsed/>
    <w:rsid w:val="00D12EF8"/>
  </w:style>
  <w:style w:type="character" w:customStyle="1" w:styleId="Heading6Char">
    <w:name w:val="Heading 6 Char"/>
    <w:basedOn w:val="DefaultParagraphFont"/>
    <w:link w:val="Heading6"/>
    <w:uiPriority w:val="9"/>
    <w:semiHidden/>
    <w:rsid w:val="00224140"/>
    <w:rPr>
      <w:rFonts w:asciiTheme="majorHAnsi" w:eastAsiaTheme="majorEastAsia" w:hAnsiTheme="majorHAnsi" w:cstheme="majorBidi"/>
      <w:i/>
      <w:iCs/>
      <w:color w:val="243F60" w:themeColor="accent1" w:themeShade="7F"/>
    </w:rPr>
  </w:style>
  <w:style w:type="paragraph" w:customStyle="1" w:styleId="Default">
    <w:name w:val="Default"/>
    <w:rsid w:val="00552293"/>
    <w:pPr>
      <w:widowControl w:val="0"/>
      <w:autoSpaceDE w:val="0"/>
      <w:autoSpaceDN w:val="0"/>
      <w:adjustRightInd w:val="0"/>
    </w:pPr>
    <w:rPr>
      <w:rFonts w:ascii="Verdana" w:hAnsi="Verdana" w:cs="Verdana"/>
      <w:color w:val="000000"/>
      <w:lang w:val="en-US"/>
    </w:rPr>
  </w:style>
  <w:style w:type="paragraph" w:styleId="NormalWeb">
    <w:name w:val="Normal (Web)"/>
    <w:basedOn w:val="Normal"/>
    <w:uiPriority w:val="99"/>
    <w:unhideWhenUsed/>
    <w:rsid w:val="005B723E"/>
    <w:pPr>
      <w:spacing w:before="100" w:beforeAutospacing="1" w:after="100" w:afterAutospacing="1"/>
    </w:pPr>
    <w:rPr>
      <w:rFonts w:ascii="Times" w:hAnsi="Times" w:cs="Times New Roman"/>
      <w:sz w:val="20"/>
      <w:szCs w:val="20"/>
    </w:rPr>
  </w:style>
  <w:style w:type="paragraph" w:customStyle="1" w:styleId="NIHRCFootnotes">
    <w:name w:val="NIHRC Footnotes"/>
    <w:basedOn w:val="Normal"/>
    <w:qFormat/>
    <w:rsid w:val="004672AC"/>
    <w:pPr>
      <w:tabs>
        <w:tab w:val="left" w:pos="284"/>
      </w:tabs>
    </w:pPr>
    <w:rPr>
      <w:rFonts w:ascii="Verdana" w:hAnsi="Verdana" w:cs="Arial"/>
      <w:color w:val="77328A"/>
      <w:sz w:val="16"/>
      <w:szCs w:val="16"/>
    </w:rPr>
  </w:style>
  <w:style w:type="character" w:styleId="Hyperlink">
    <w:name w:val="Hyperlink"/>
    <w:basedOn w:val="DefaultParagraphFont"/>
    <w:uiPriority w:val="99"/>
    <w:unhideWhenUsed/>
    <w:rsid w:val="00331C61"/>
    <w:rPr>
      <w:color w:val="0000FF" w:themeColor="hyperlink"/>
      <w:u w:val="single"/>
    </w:rPr>
  </w:style>
  <w:style w:type="paragraph" w:styleId="ListParagraph">
    <w:name w:val="List Paragraph"/>
    <w:basedOn w:val="Normal"/>
    <w:uiPriority w:val="34"/>
    <w:qFormat/>
    <w:rsid w:val="008A4C43"/>
    <w:pPr>
      <w:ind w:left="720"/>
      <w:contextualSpacing/>
    </w:pPr>
  </w:style>
  <w:style w:type="character" w:customStyle="1" w:styleId="Heading1Char">
    <w:name w:val="Heading 1 Char"/>
    <w:basedOn w:val="DefaultParagraphFont"/>
    <w:link w:val="Heading1"/>
    <w:uiPriority w:val="9"/>
    <w:rsid w:val="00AD2EED"/>
    <w:rPr>
      <w:rFonts w:eastAsiaTheme="majorEastAsia" w:cstheme="majorBidi"/>
      <w:b/>
      <w:sz w:val="40"/>
      <w:szCs w:val="32"/>
    </w:rPr>
  </w:style>
  <w:style w:type="paragraph" w:styleId="TOCHeading">
    <w:name w:val="TOC Heading"/>
    <w:basedOn w:val="Heading1"/>
    <w:next w:val="Normal"/>
    <w:uiPriority w:val="39"/>
    <w:unhideWhenUsed/>
    <w:qFormat/>
    <w:rsid w:val="00202A5B"/>
    <w:pPr>
      <w:spacing w:line="259" w:lineRule="auto"/>
      <w:outlineLvl w:val="9"/>
    </w:pPr>
    <w:rPr>
      <w:rFonts w:asciiTheme="majorHAnsi" w:hAnsiTheme="majorHAnsi"/>
      <w:b w:val="0"/>
      <w:color w:val="365F91" w:themeColor="accent1" w:themeShade="BF"/>
      <w:sz w:val="32"/>
      <w:lang w:val="en-US"/>
    </w:rPr>
  </w:style>
  <w:style w:type="character" w:styleId="CommentReference">
    <w:name w:val="annotation reference"/>
    <w:basedOn w:val="DefaultParagraphFont"/>
    <w:uiPriority w:val="99"/>
    <w:semiHidden/>
    <w:unhideWhenUsed/>
    <w:rsid w:val="00202A5B"/>
    <w:rPr>
      <w:sz w:val="16"/>
      <w:szCs w:val="16"/>
    </w:rPr>
  </w:style>
  <w:style w:type="paragraph" w:styleId="CommentText">
    <w:name w:val="annotation text"/>
    <w:basedOn w:val="Normal"/>
    <w:link w:val="CommentTextChar"/>
    <w:uiPriority w:val="99"/>
    <w:unhideWhenUsed/>
    <w:rsid w:val="00202A5B"/>
    <w:rPr>
      <w:sz w:val="20"/>
      <w:szCs w:val="20"/>
    </w:rPr>
  </w:style>
  <w:style w:type="character" w:customStyle="1" w:styleId="CommentTextChar">
    <w:name w:val="Comment Text Char"/>
    <w:basedOn w:val="DefaultParagraphFont"/>
    <w:link w:val="CommentText"/>
    <w:uiPriority w:val="99"/>
    <w:rsid w:val="00202A5B"/>
    <w:rPr>
      <w:sz w:val="20"/>
      <w:szCs w:val="20"/>
    </w:rPr>
  </w:style>
  <w:style w:type="paragraph" w:customStyle="1" w:styleId="4GChar">
    <w:name w:val="4_G Char"/>
    <w:aliases w:val="Footnote Reference1 Char,Footnotes refss Char,ftref Char,BVI fnr Char,BVI fnr Car Car Char,BVI fnr Car Char,BVI fnr Car Car Car Car Char,BVI fnr Char Car Car Car Char"/>
    <w:basedOn w:val="Normal"/>
    <w:link w:val="FootnoteReference"/>
    <w:uiPriority w:val="99"/>
    <w:rsid w:val="00202A5B"/>
    <w:pPr>
      <w:spacing w:after="160" w:line="240" w:lineRule="exact"/>
      <w:jc w:val="both"/>
    </w:pPr>
    <w:rPr>
      <w:vertAlign w:val="superscript"/>
    </w:rPr>
  </w:style>
  <w:style w:type="paragraph" w:styleId="EndnoteText">
    <w:name w:val="endnote text"/>
    <w:basedOn w:val="Normal"/>
    <w:link w:val="EndnoteTextChar"/>
    <w:uiPriority w:val="99"/>
    <w:unhideWhenUsed/>
    <w:rsid w:val="00AA4455"/>
    <w:rPr>
      <w:rFonts w:ascii="Verdana" w:eastAsiaTheme="minorHAnsi" w:hAnsi="Verdana"/>
      <w:sz w:val="20"/>
      <w:szCs w:val="20"/>
    </w:rPr>
  </w:style>
  <w:style w:type="character" w:customStyle="1" w:styleId="EndnoteTextChar">
    <w:name w:val="Endnote Text Char"/>
    <w:basedOn w:val="DefaultParagraphFont"/>
    <w:link w:val="EndnoteText"/>
    <w:uiPriority w:val="99"/>
    <w:rsid w:val="00AA4455"/>
    <w:rPr>
      <w:rFonts w:ascii="Verdana" w:eastAsiaTheme="minorHAnsi" w:hAnsi="Verdana"/>
      <w:sz w:val="20"/>
      <w:szCs w:val="20"/>
    </w:rPr>
  </w:style>
  <w:style w:type="paragraph" w:styleId="TOC1">
    <w:name w:val="toc 1"/>
    <w:basedOn w:val="Normal"/>
    <w:next w:val="Normal"/>
    <w:autoRedefine/>
    <w:uiPriority w:val="39"/>
    <w:unhideWhenUsed/>
    <w:rsid w:val="00770E20"/>
    <w:pPr>
      <w:spacing w:after="100"/>
    </w:pPr>
  </w:style>
  <w:style w:type="paragraph" w:styleId="CommentSubject">
    <w:name w:val="annotation subject"/>
    <w:basedOn w:val="CommentText"/>
    <w:next w:val="CommentText"/>
    <w:link w:val="CommentSubjectChar"/>
    <w:uiPriority w:val="99"/>
    <w:semiHidden/>
    <w:unhideWhenUsed/>
    <w:rsid w:val="007D66F2"/>
    <w:rPr>
      <w:b/>
      <w:bCs/>
    </w:rPr>
  </w:style>
  <w:style w:type="character" w:customStyle="1" w:styleId="CommentSubjectChar">
    <w:name w:val="Comment Subject Char"/>
    <w:basedOn w:val="CommentTextChar"/>
    <w:link w:val="CommentSubject"/>
    <w:uiPriority w:val="99"/>
    <w:semiHidden/>
    <w:rsid w:val="007D66F2"/>
    <w:rPr>
      <w:b/>
      <w:bCs/>
      <w:sz w:val="20"/>
      <w:szCs w:val="20"/>
    </w:rPr>
  </w:style>
  <w:style w:type="paragraph" w:styleId="Revision">
    <w:name w:val="Revision"/>
    <w:hidden/>
    <w:uiPriority w:val="99"/>
    <w:semiHidden/>
    <w:rsid w:val="00FE56F6"/>
  </w:style>
  <w:style w:type="character" w:customStyle="1" w:styleId="UnresolvedMention1">
    <w:name w:val="Unresolved Mention1"/>
    <w:basedOn w:val="DefaultParagraphFont"/>
    <w:uiPriority w:val="99"/>
    <w:semiHidden/>
    <w:unhideWhenUsed/>
    <w:rsid w:val="00DE6566"/>
    <w:rPr>
      <w:color w:val="605E5C"/>
      <w:shd w:val="clear" w:color="auto" w:fill="E1DFDD"/>
    </w:r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sid w:val="00465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3988160">
      <w:bodyDiv w:val="1"/>
      <w:marLeft w:val="0"/>
      <w:marRight w:val="0"/>
      <w:marTop w:val="0"/>
      <w:marBottom w:val="0"/>
      <w:divBdr>
        <w:top w:val="none" w:sz="0" w:space="0" w:color="auto"/>
        <w:left w:val="none" w:sz="0" w:space="0" w:color="auto"/>
        <w:bottom w:val="none" w:sz="0" w:space="0" w:color="auto"/>
        <w:right w:val="none" w:sz="0" w:space="0" w:color="auto"/>
      </w:divBdr>
      <w:divsChild>
        <w:div w:id="1028986289">
          <w:marLeft w:val="0"/>
          <w:marRight w:val="0"/>
          <w:marTop w:val="0"/>
          <w:marBottom w:val="0"/>
          <w:divBdr>
            <w:top w:val="none" w:sz="0" w:space="0" w:color="auto"/>
            <w:left w:val="none" w:sz="0" w:space="0" w:color="auto"/>
            <w:bottom w:val="none" w:sz="0" w:space="0" w:color="auto"/>
            <w:right w:val="none" w:sz="0" w:space="0" w:color="auto"/>
          </w:divBdr>
          <w:divsChild>
            <w:div w:id="1795251692">
              <w:marLeft w:val="0"/>
              <w:marRight w:val="0"/>
              <w:marTop w:val="0"/>
              <w:marBottom w:val="0"/>
              <w:divBdr>
                <w:top w:val="none" w:sz="0" w:space="0" w:color="auto"/>
                <w:left w:val="none" w:sz="0" w:space="0" w:color="auto"/>
                <w:bottom w:val="none" w:sz="0" w:space="0" w:color="auto"/>
                <w:right w:val="none" w:sz="0" w:space="0" w:color="auto"/>
              </w:divBdr>
              <w:divsChild>
                <w:div w:id="146692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266239">
      <w:bodyDiv w:val="1"/>
      <w:marLeft w:val="0"/>
      <w:marRight w:val="0"/>
      <w:marTop w:val="0"/>
      <w:marBottom w:val="0"/>
      <w:divBdr>
        <w:top w:val="none" w:sz="0" w:space="0" w:color="auto"/>
        <w:left w:val="none" w:sz="0" w:space="0" w:color="auto"/>
        <w:bottom w:val="none" w:sz="0" w:space="0" w:color="auto"/>
        <w:right w:val="none" w:sz="0" w:space="0" w:color="auto"/>
      </w:divBdr>
    </w:div>
    <w:div w:id="1465585121">
      <w:bodyDiv w:val="1"/>
      <w:marLeft w:val="0"/>
      <w:marRight w:val="0"/>
      <w:marTop w:val="0"/>
      <w:marBottom w:val="0"/>
      <w:divBdr>
        <w:top w:val="none" w:sz="0" w:space="0" w:color="auto"/>
        <w:left w:val="none" w:sz="0" w:space="0" w:color="auto"/>
        <w:bottom w:val="none" w:sz="0" w:space="0" w:color="auto"/>
        <w:right w:val="none" w:sz="0" w:space="0" w:color="auto"/>
      </w:divBdr>
    </w:div>
    <w:div w:id="2006592875">
      <w:bodyDiv w:val="1"/>
      <w:marLeft w:val="0"/>
      <w:marRight w:val="0"/>
      <w:marTop w:val="0"/>
      <w:marBottom w:val="0"/>
      <w:divBdr>
        <w:top w:val="none" w:sz="0" w:space="0" w:color="auto"/>
        <w:left w:val="none" w:sz="0" w:space="0" w:color="auto"/>
        <w:bottom w:val="none" w:sz="0" w:space="0" w:color="auto"/>
        <w:right w:val="none" w:sz="0" w:space="0" w:color="auto"/>
      </w:divBdr>
    </w:div>
    <w:div w:id="2129470764">
      <w:bodyDiv w:val="1"/>
      <w:marLeft w:val="0"/>
      <w:marRight w:val="0"/>
      <w:marTop w:val="0"/>
      <w:marBottom w:val="0"/>
      <w:divBdr>
        <w:top w:val="none" w:sz="0" w:space="0" w:color="auto"/>
        <w:left w:val="none" w:sz="0" w:space="0" w:color="auto"/>
        <w:bottom w:val="none" w:sz="0" w:space="0" w:color="auto"/>
        <w:right w:val="none" w:sz="0" w:space="0" w:color="auto"/>
      </w:divBdr>
      <w:divsChild>
        <w:div w:id="608201235">
          <w:marLeft w:val="0"/>
          <w:marRight w:val="0"/>
          <w:marTop w:val="0"/>
          <w:marBottom w:val="0"/>
          <w:divBdr>
            <w:top w:val="none" w:sz="0" w:space="0" w:color="auto"/>
            <w:left w:val="none" w:sz="0" w:space="0" w:color="auto"/>
            <w:bottom w:val="none" w:sz="0" w:space="0" w:color="auto"/>
            <w:right w:val="none" w:sz="0" w:space="0" w:color="auto"/>
          </w:divBdr>
          <w:divsChild>
            <w:div w:id="248193691">
              <w:marLeft w:val="0"/>
              <w:marRight w:val="0"/>
              <w:marTop w:val="0"/>
              <w:marBottom w:val="0"/>
              <w:divBdr>
                <w:top w:val="none" w:sz="0" w:space="0" w:color="auto"/>
                <w:left w:val="none" w:sz="0" w:space="0" w:color="auto"/>
                <w:bottom w:val="none" w:sz="0" w:space="0" w:color="auto"/>
                <w:right w:val="none" w:sz="0" w:space="0" w:color="auto"/>
              </w:divBdr>
              <w:divsChild>
                <w:div w:id="91771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Mallon@equalityni.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201;ilis.Haughey@nihrc.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fi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E45FFD-DE5A-4C8F-97F1-9242EB0BA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13</Pages>
  <Words>2590</Words>
  <Characters>14924</Characters>
  <Application>Microsoft Office Word</Application>
  <DocSecurity>0</DocSecurity>
  <Lines>248</Lines>
  <Paragraphs>143</Paragraphs>
  <ScaleCrop>false</ScaleCrop>
  <HeadingPairs>
    <vt:vector size="2" baseType="variant">
      <vt:variant>
        <vt:lpstr>Title</vt:lpstr>
      </vt:variant>
      <vt:variant>
        <vt:i4>1</vt:i4>
      </vt:variant>
    </vt:vector>
  </HeadingPairs>
  <TitlesOfParts>
    <vt:vector size="1" baseType="lpstr">
      <vt:lpstr/>
    </vt:vector>
  </TitlesOfParts>
  <Company>Whitenoise</Company>
  <LinksUpToDate>false</LinksUpToDate>
  <CharactersWithSpaces>17371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McKeown</dc:creator>
  <cp:keywords/>
  <dc:description/>
  <cp:lastModifiedBy>Eilis Haughey</cp:lastModifiedBy>
  <cp:revision>17</cp:revision>
  <cp:lastPrinted>2022-10-07T13:28:00Z</cp:lastPrinted>
  <dcterms:created xsi:type="dcterms:W3CDTF">2022-10-07T13:19:00Z</dcterms:created>
  <dcterms:modified xsi:type="dcterms:W3CDTF">2022-10-07T13:28:00Z</dcterms:modified>
</cp:coreProperties>
</file>