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C92FE" w14:textId="77777777" w:rsidR="00070509" w:rsidRPr="001353CE" w:rsidRDefault="00070509" w:rsidP="00070509">
      <w:pPr>
        <w:pStyle w:val="BasicParagraph"/>
        <w:suppressAutoHyphens/>
        <w:jc w:val="center"/>
        <w:rPr>
          <w:rFonts w:asciiTheme="minorHAnsi" w:hAnsiTheme="minorHAnsi" w:cs="Arial"/>
          <w:b/>
          <w:bCs/>
          <w:color w:val="734791"/>
          <w:sz w:val="28"/>
          <w:szCs w:val="28"/>
        </w:rPr>
      </w:pPr>
      <w:r w:rsidRPr="00B239EB">
        <w:rPr>
          <w:rFonts w:asciiTheme="minorHAnsi" w:hAnsiTheme="minorHAnsi" w:cs="Arial"/>
          <w:b/>
          <w:bCs/>
          <w:noProof/>
          <w:color w:val="734791"/>
          <w:sz w:val="28"/>
          <w:szCs w:val="28"/>
        </w:rPr>
        <w:t xml:space="preserve">     </w:t>
      </w:r>
      <w:r w:rsidRPr="001353CE">
        <w:rPr>
          <w:rFonts w:asciiTheme="minorHAnsi" w:hAnsiTheme="minorHAnsi"/>
          <w:noProof/>
          <w:sz w:val="28"/>
          <w:szCs w:val="28"/>
          <w:lang w:eastAsia="en-GB"/>
        </w:rPr>
        <w:drawing>
          <wp:inline distT="0" distB="0" distL="0" distR="0" wp14:anchorId="7140068B" wp14:editId="4047EE65">
            <wp:extent cx="2481943" cy="1140032"/>
            <wp:effectExtent l="0" t="0" r="0" b="317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08497" cy="1152229"/>
                    </a:xfrm>
                    <a:prstGeom prst="rect">
                      <a:avLst/>
                    </a:prstGeom>
                    <a:noFill/>
                  </pic:spPr>
                </pic:pic>
              </a:graphicData>
            </a:graphic>
          </wp:inline>
        </w:drawing>
      </w:r>
      <w:r w:rsidRPr="001353CE">
        <w:rPr>
          <w:rFonts w:asciiTheme="minorHAnsi" w:hAnsiTheme="minorHAnsi" w:cs="Arial"/>
          <w:b/>
          <w:bCs/>
          <w:noProof/>
          <w:color w:val="734791"/>
          <w:sz w:val="28"/>
          <w:szCs w:val="28"/>
          <w:lang w:eastAsia="en-GB"/>
        </w:rPr>
        <w:drawing>
          <wp:inline distT="0" distB="0" distL="0" distR="0" wp14:anchorId="229161C0" wp14:editId="3E5FBA0C">
            <wp:extent cx="2088372" cy="2790701"/>
            <wp:effectExtent l="0" t="0" r="0" b="0"/>
            <wp:docPr id="1" name="Picture 1"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6410" cy="2868257"/>
                    </a:xfrm>
                    <a:prstGeom prst="rect">
                      <a:avLst/>
                    </a:prstGeom>
                    <a:noFill/>
                    <a:ln>
                      <a:noFill/>
                    </a:ln>
                  </pic:spPr>
                </pic:pic>
              </a:graphicData>
            </a:graphic>
          </wp:inline>
        </w:drawing>
      </w:r>
    </w:p>
    <w:p w14:paraId="7E1C1295" w14:textId="13EF9BE1" w:rsidR="002D3AC2" w:rsidRPr="001353CE" w:rsidRDefault="002D3AC2" w:rsidP="002D3AC2">
      <w:pPr>
        <w:pStyle w:val="BasicParagraph"/>
        <w:suppressAutoHyphens/>
        <w:jc w:val="center"/>
        <w:rPr>
          <w:rFonts w:asciiTheme="minorHAnsi" w:hAnsiTheme="minorHAnsi" w:cs="Arial"/>
          <w:b/>
          <w:bCs/>
          <w:color w:val="auto"/>
          <w:sz w:val="28"/>
          <w:szCs w:val="28"/>
        </w:rPr>
      </w:pPr>
    </w:p>
    <w:p w14:paraId="1601CC93" w14:textId="77777777" w:rsidR="002D3AC2" w:rsidRPr="001353CE" w:rsidRDefault="002D3AC2" w:rsidP="002D3AC2">
      <w:pPr>
        <w:pStyle w:val="BasicParagraph"/>
        <w:suppressAutoHyphens/>
        <w:jc w:val="center"/>
        <w:rPr>
          <w:rFonts w:asciiTheme="minorHAnsi" w:hAnsiTheme="minorHAnsi" w:cs="Arial"/>
          <w:b/>
          <w:bCs/>
          <w:color w:val="auto"/>
          <w:sz w:val="28"/>
          <w:szCs w:val="28"/>
        </w:rPr>
      </w:pPr>
    </w:p>
    <w:p w14:paraId="5E11F359" w14:textId="347B0A03" w:rsidR="002D3AC2" w:rsidRPr="001353CE" w:rsidRDefault="002D3AC2" w:rsidP="002513BD">
      <w:pPr>
        <w:pStyle w:val="Title"/>
        <w:spacing w:line="276" w:lineRule="auto"/>
        <w:rPr>
          <w:rFonts w:asciiTheme="minorHAnsi" w:hAnsiTheme="minorHAnsi"/>
          <w:color w:val="auto"/>
          <w:sz w:val="48"/>
          <w:szCs w:val="48"/>
        </w:rPr>
      </w:pPr>
      <w:r w:rsidRPr="001353CE">
        <w:rPr>
          <w:rFonts w:asciiTheme="minorHAnsi" w:hAnsiTheme="minorHAnsi"/>
          <w:color w:val="auto"/>
          <w:sz w:val="48"/>
          <w:szCs w:val="48"/>
        </w:rPr>
        <w:t>Response to Call for Evidence by the</w:t>
      </w:r>
      <w:r w:rsidR="00616260" w:rsidRPr="001353CE">
        <w:rPr>
          <w:rFonts w:asciiTheme="minorHAnsi" w:hAnsiTheme="minorHAnsi"/>
          <w:color w:val="auto"/>
          <w:sz w:val="48"/>
          <w:szCs w:val="48"/>
        </w:rPr>
        <w:t xml:space="preserve"> European Scrutiny Committee on </w:t>
      </w:r>
      <w:r w:rsidR="001A2196" w:rsidRPr="001353CE">
        <w:rPr>
          <w:rFonts w:asciiTheme="minorHAnsi" w:hAnsiTheme="minorHAnsi"/>
          <w:color w:val="auto"/>
          <w:sz w:val="48"/>
          <w:szCs w:val="48"/>
        </w:rPr>
        <w:t>the institutional framework of the UK-EU Trade and Co-operation Agreement</w:t>
      </w:r>
    </w:p>
    <w:p w14:paraId="71B19643" w14:textId="77777777" w:rsidR="002D3AC2" w:rsidRPr="001353CE" w:rsidRDefault="002D3AC2" w:rsidP="002D3AC2">
      <w:pPr>
        <w:pStyle w:val="Default"/>
        <w:numPr>
          <w:ilvl w:val="0"/>
          <w:numId w:val="0"/>
        </w:numPr>
        <w:ind w:left="720"/>
        <w:rPr>
          <w:rFonts w:asciiTheme="minorHAnsi" w:hAnsiTheme="minorHAnsi"/>
          <w:sz w:val="28"/>
          <w:szCs w:val="28"/>
          <w:lang w:val="en-GB"/>
        </w:rPr>
      </w:pPr>
    </w:p>
    <w:p w14:paraId="44DE8EFC" w14:textId="07258143" w:rsidR="002D3AC2" w:rsidRPr="001353CE" w:rsidRDefault="00301556" w:rsidP="002D3AC2">
      <w:pPr>
        <w:spacing w:line="288" w:lineRule="auto"/>
        <w:jc w:val="center"/>
        <w:rPr>
          <w:rFonts w:asciiTheme="minorHAnsi" w:hAnsiTheme="minorHAnsi" w:cs="Arial"/>
          <w:b/>
          <w:sz w:val="36"/>
          <w:szCs w:val="36"/>
        </w:rPr>
      </w:pPr>
      <w:r>
        <w:rPr>
          <w:rFonts w:asciiTheme="minorHAnsi" w:hAnsiTheme="minorHAnsi" w:cs="Arial"/>
          <w:b/>
          <w:sz w:val="36"/>
          <w:szCs w:val="36"/>
        </w:rPr>
        <w:t xml:space="preserve">1 </w:t>
      </w:r>
      <w:r w:rsidR="002305C4">
        <w:rPr>
          <w:rFonts w:asciiTheme="minorHAnsi" w:hAnsiTheme="minorHAnsi" w:cs="Arial"/>
          <w:b/>
          <w:sz w:val="36"/>
          <w:szCs w:val="36"/>
        </w:rPr>
        <w:t>October</w:t>
      </w:r>
      <w:r w:rsidR="002D3AC2" w:rsidRPr="001353CE">
        <w:rPr>
          <w:rFonts w:asciiTheme="minorHAnsi" w:hAnsiTheme="minorHAnsi" w:cs="Arial"/>
          <w:b/>
          <w:sz w:val="36"/>
          <w:szCs w:val="36"/>
        </w:rPr>
        <w:t xml:space="preserve"> 2021</w:t>
      </w:r>
    </w:p>
    <w:p w14:paraId="2920431F" w14:textId="77777777" w:rsidR="002D3AC2" w:rsidRPr="001353CE" w:rsidRDefault="002D3AC2" w:rsidP="002D3AC2">
      <w:pPr>
        <w:spacing w:line="288" w:lineRule="auto"/>
        <w:jc w:val="center"/>
        <w:rPr>
          <w:rFonts w:asciiTheme="minorHAnsi" w:hAnsiTheme="minorHAnsi" w:cs="Arial"/>
          <w:b/>
          <w:sz w:val="28"/>
          <w:szCs w:val="28"/>
        </w:rPr>
      </w:pPr>
    </w:p>
    <w:p w14:paraId="55BBD37A" w14:textId="77777777" w:rsidR="002D3AC2" w:rsidRPr="001353CE" w:rsidRDefault="002D3AC2" w:rsidP="002D3AC2">
      <w:pPr>
        <w:spacing w:line="288" w:lineRule="auto"/>
        <w:jc w:val="center"/>
        <w:rPr>
          <w:rFonts w:asciiTheme="minorHAnsi" w:hAnsiTheme="minorHAnsi" w:cs="Arial"/>
          <w:b/>
          <w:sz w:val="28"/>
          <w:szCs w:val="28"/>
        </w:rPr>
      </w:pPr>
    </w:p>
    <w:p w14:paraId="21ACD9A5" w14:textId="77777777" w:rsidR="002D3AC2" w:rsidRPr="001353CE" w:rsidRDefault="002D3AC2" w:rsidP="002D3AC2">
      <w:pPr>
        <w:pStyle w:val="Default"/>
        <w:numPr>
          <w:ilvl w:val="0"/>
          <w:numId w:val="0"/>
        </w:numPr>
        <w:ind w:left="720" w:hanging="720"/>
        <w:rPr>
          <w:rFonts w:asciiTheme="minorHAnsi" w:hAnsiTheme="minorHAnsi"/>
          <w:sz w:val="28"/>
          <w:szCs w:val="28"/>
          <w:lang w:val="en-GB"/>
        </w:rPr>
      </w:pPr>
    </w:p>
    <w:p w14:paraId="7F265F1C" w14:textId="77777777" w:rsidR="002D3AC2" w:rsidRPr="001353CE" w:rsidRDefault="002D3AC2" w:rsidP="002D3AC2">
      <w:pPr>
        <w:pStyle w:val="Default"/>
        <w:numPr>
          <w:ilvl w:val="0"/>
          <w:numId w:val="0"/>
        </w:numPr>
        <w:ind w:left="720" w:hanging="720"/>
        <w:rPr>
          <w:rFonts w:asciiTheme="minorHAnsi" w:hAnsiTheme="minorHAnsi"/>
          <w:sz w:val="28"/>
          <w:szCs w:val="28"/>
          <w:lang w:val="en-GB"/>
        </w:rPr>
      </w:pPr>
    </w:p>
    <w:p w14:paraId="7E1BC302" w14:textId="77777777" w:rsidR="002D3AC2" w:rsidRPr="001353CE" w:rsidRDefault="002D3AC2" w:rsidP="002D3AC2">
      <w:pPr>
        <w:pStyle w:val="Default"/>
        <w:numPr>
          <w:ilvl w:val="0"/>
          <w:numId w:val="0"/>
        </w:numPr>
        <w:ind w:left="720" w:hanging="720"/>
        <w:rPr>
          <w:rFonts w:asciiTheme="minorHAnsi" w:hAnsiTheme="minorHAnsi"/>
          <w:sz w:val="28"/>
          <w:szCs w:val="28"/>
          <w:lang w:val="en-GB"/>
        </w:rPr>
      </w:pPr>
    </w:p>
    <w:p w14:paraId="3ED8D953" w14:textId="77777777" w:rsidR="002D3AC2" w:rsidRPr="001353CE" w:rsidRDefault="002D3AC2" w:rsidP="002D3AC2">
      <w:pPr>
        <w:pStyle w:val="NormalWeb"/>
        <w:spacing w:line="240" w:lineRule="auto"/>
        <w:jc w:val="both"/>
        <w:rPr>
          <w:rFonts w:asciiTheme="minorHAnsi" w:hAnsiTheme="minorHAnsi"/>
          <w:b/>
          <w:bCs/>
          <w:sz w:val="28"/>
          <w:szCs w:val="28"/>
        </w:rPr>
      </w:pPr>
    </w:p>
    <w:p w14:paraId="2016176D" w14:textId="77777777" w:rsidR="002D3AC2" w:rsidRPr="001353CE" w:rsidRDefault="002D3AC2" w:rsidP="002D3AC2">
      <w:pPr>
        <w:pStyle w:val="NormalWeb"/>
        <w:spacing w:line="240" w:lineRule="auto"/>
        <w:jc w:val="both"/>
        <w:rPr>
          <w:rFonts w:asciiTheme="minorHAnsi" w:hAnsiTheme="minorHAnsi"/>
          <w:b/>
          <w:bCs/>
          <w:sz w:val="28"/>
          <w:szCs w:val="28"/>
        </w:rPr>
      </w:pPr>
    </w:p>
    <w:p w14:paraId="4CC09EDC" w14:textId="708EBEE2" w:rsidR="005A456A" w:rsidRPr="001353CE" w:rsidRDefault="00616260" w:rsidP="00650AB8">
      <w:pPr>
        <w:pStyle w:val="Heading1"/>
      </w:pPr>
      <w:r w:rsidRPr="001353CE">
        <w:rPr>
          <w:bCs/>
          <w:sz w:val="28"/>
          <w:szCs w:val="28"/>
        </w:rPr>
        <w:br w:type="page"/>
      </w:r>
      <w:bookmarkStart w:id="0" w:name="_Toc82762267"/>
      <w:bookmarkStart w:id="1" w:name="_Toc82766638"/>
      <w:r w:rsidR="00E224D5" w:rsidRPr="001353CE">
        <w:lastRenderedPageBreak/>
        <w:t>Introduction</w:t>
      </w:r>
      <w:bookmarkEnd w:id="0"/>
      <w:bookmarkEnd w:id="1"/>
      <w:r w:rsidR="00E224D5" w:rsidRPr="001353CE">
        <w:t xml:space="preserve"> </w:t>
      </w:r>
    </w:p>
    <w:p w14:paraId="3A357C24" w14:textId="20386778" w:rsidR="00C93683" w:rsidRPr="001353CE" w:rsidRDefault="00963488" w:rsidP="00CC594E">
      <w:pPr>
        <w:pStyle w:val="Default"/>
        <w:numPr>
          <w:ilvl w:val="1"/>
          <w:numId w:val="2"/>
        </w:numPr>
        <w:spacing w:after="240" w:line="276" w:lineRule="auto"/>
        <w:ind w:hanging="792"/>
        <w:rPr>
          <w:rFonts w:asciiTheme="minorHAnsi" w:hAnsiTheme="minorHAnsi"/>
          <w:sz w:val="28"/>
          <w:szCs w:val="28"/>
          <w:lang w:val="en-GB"/>
        </w:rPr>
      </w:pPr>
      <w:r w:rsidRPr="001353CE">
        <w:rPr>
          <w:rFonts w:asciiTheme="minorHAnsi" w:hAnsiTheme="minorHAnsi"/>
          <w:sz w:val="28"/>
          <w:szCs w:val="28"/>
          <w:lang w:val="en-GB"/>
        </w:rPr>
        <w:t xml:space="preserve">The Northern Ireland Human Rights Commission </w:t>
      </w:r>
      <w:r w:rsidR="008D3495" w:rsidRPr="001353CE">
        <w:rPr>
          <w:rFonts w:asciiTheme="minorHAnsi" w:hAnsiTheme="minorHAnsi"/>
          <w:sz w:val="28"/>
          <w:szCs w:val="28"/>
          <w:lang w:val="en-GB"/>
        </w:rPr>
        <w:t xml:space="preserve">(NIHRC) </w:t>
      </w:r>
      <w:r w:rsidR="00B6288F" w:rsidRPr="001353CE">
        <w:rPr>
          <w:rFonts w:asciiTheme="minorHAnsi" w:hAnsiTheme="minorHAnsi"/>
          <w:sz w:val="28"/>
          <w:szCs w:val="28"/>
        </w:rPr>
        <w:t>and the Equality Commission for Northern Ireland</w:t>
      </w:r>
      <w:r w:rsidR="00261543" w:rsidRPr="001353CE">
        <w:rPr>
          <w:rFonts w:asciiTheme="minorHAnsi" w:hAnsiTheme="minorHAnsi"/>
          <w:sz w:val="28"/>
          <w:szCs w:val="28"/>
        </w:rPr>
        <w:t xml:space="preserve"> (ECNI)</w:t>
      </w:r>
      <w:r w:rsidR="00B6288F" w:rsidRPr="001353CE">
        <w:rPr>
          <w:rFonts w:asciiTheme="minorHAnsi" w:hAnsiTheme="minorHAnsi"/>
          <w:sz w:val="28"/>
          <w:szCs w:val="28"/>
        </w:rPr>
        <w:t xml:space="preserve"> </w:t>
      </w:r>
      <w:r w:rsidRPr="001353CE">
        <w:rPr>
          <w:rFonts w:asciiTheme="minorHAnsi" w:hAnsiTheme="minorHAnsi"/>
          <w:sz w:val="28"/>
          <w:szCs w:val="28"/>
          <w:lang w:val="en-GB"/>
        </w:rPr>
        <w:t xml:space="preserve">welcome the </w:t>
      </w:r>
      <w:r w:rsidR="00C06774" w:rsidRPr="001353CE">
        <w:rPr>
          <w:rFonts w:asciiTheme="minorHAnsi" w:hAnsiTheme="minorHAnsi"/>
          <w:sz w:val="28"/>
          <w:szCs w:val="28"/>
          <w:lang w:val="en-GB"/>
        </w:rPr>
        <w:t>Committee’s call for evidence on the institutional framework of the UK-EU Trade and Co-operation Agreement</w:t>
      </w:r>
      <w:r w:rsidR="0059082E" w:rsidRPr="001353CE">
        <w:rPr>
          <w:rFonts w:asciiTheme="minorHAnsi" w:hAnsiTheme="minorHAnsi"/>
          <w:sz w:val="28"/>
          <w:szCs w:val="28"/>
          <w:lang w:val="en-GB"/>
        </w:rPr>
        <w:t xml:space="preserve"> (TCA)</w:t>
      </w:r>
      <w:r w:rsidR="00C06774" w:rsidRPr="001353CE">
        <w:rPr>
          <w:rFonts w:asciiTheme="minorHAnsi" w:hAnsiTheme="minorHAnsi"/>
          <w:sz w:val="28"/>
          <w:szCs w:val="28"/>
          <w:lang w:val="en-GB"/>
        </w:rPr>
        <w:t>.</w:t>
      </w:r>
    </w:p>
    <w:p w14:paraId="3171C9E3" w14:textId="43DEF840" w:rsidR="007711E5" w:rsidRPr="001353CE" w:rsidRDefault="00C06774" w:rsidP="00CC594E">
      <w:pPr>
        <w:pStyle w:val="Default"/>
        <w:numPr>
          <w:ilvl w:val="1"/>
          <w:numId w:val="2"/>
        </w:numPr>
        <w:spacing w:after="240" w:line="276" w:lineRule="auto"/>
        <w:ind w:hanging="792"/>
        <w:rPr>
          <w:rFonts w:asciiTheme="minorHAnsi" w:hAnsiTheme="minorHAnsi"/>
          <w:sz w:val="28"/>
          <w:szCs w:val="28"/>
          <w:lang w:val="en-GB"/>
        </w:rPr>
      </w:pPr>
      <w:r w:rsidRPr="001353CE">
        <w:rPr>
          <w:rFonts w:asciiTheme="minorHAnsi" w:hAnsiTheme="minorHAnsi"/>
          <w:sz w:val="28"/>
          <w:szCs w:val="28"/>
          <w:lang w:val="en-GB"/>
        </w:rPr>
        <w:t>Established in 1999, the NIHRC reviews the adequacy and effectiveness of law and practice relating to the protection of human rights</w:t>
      </w:r>
      <w:r w:rsidR="00504B3F" w:rsidRPr="001353CE">
        <w:rPr>
          <w:rFonts w:asciiTheme="minorHAnsi" w:hAnsiTheme="minorHAnsi"/>
          <w:sz w:val="28"/>
          <w:szCs w:val="28"/>
          <w:lang w:val="en-GB"/>
        </w:rPr>
        <w:t>, pursuant to Section 69(1) the Northern Ireland Act 1998</w:t>
      </w:r>
      <w:r w:rsidRPr="001353CE">
        <w:rPr>
          <w:rFonts w:asciiTheme="minorHAnsi" w:hAnsiTheme="minorHAnsi"/>
          <w:sz w:val="28"/>
          <w:szCs w:val="28"/>
          <w:lang w:val="en-GB"/>
        </w:rPr>
        <w:t xml:space="preserve">. The NIHRC’s mandate extends to all matters relating to the protection and promotion of human rights in Northern Ireland (NI), within the competence of the NI Assembly and the Westminster Parliament. </w:t>
      </w:r>
    </w:p>
    <w:p w14:paraId="5BE6947A" w14:textId="33F585A3" w:rsidR="00A77138" w:rsidRPr="001353CE" w:rsidRDefault="008C4BD5" w:rsidP="00CC594E">
      <w:pPr>
        <w:pStyle w:val="Default"/>
        <w:numPr>
          <w:ilvl w:val="1"/>
          <w:numId w:val="2"/>
        </w:numPr>
        <w:spacing w:after="240" w:line="276" w:lineRule="auto"/>
        <w:ind w:hanging="792"/>
        <w:rPr>
          <w:rFonts w:asciiTheme="minorHAnsi" w:hAnsiTheme="minorHAnsi"/>
          <w:sz w:val="28"/>
          <w:szCs w:val="28"/>
        </w:rPr>
      </w:pPr>
      <w:r w:rsidRPr="001353CE">
        <w:rPr>
          <w:rFonts w:asciiTheme="minorHAnsi" w:eastAsia="Times New Roman" w:hAnsiTheme="minorHAnsi" w:cs="Segoe UI"/>
          <w:sz w:val="28"/>
          <w:szCs w:val="28"/>
          <w:lang w:eastAsia="en-GB"/>
        </w:rPr>
        <w:t>ECNI is an independent public body established under the Northern Ireland Act 1998. Its powers and duties derive from a number of equality statutes providing protection against discrimination on the grounds of age, disability, race, religion and political opinion, sex and sexual orientation. Its remit also includes overseeing the statutory duties on public authorities to promote equality of opportunity and good relations under Section 75 of the Northern Ireland Act 1998.</w:t>
      </w:r>
    </w:p>
    <w:p w14:paraId="17FF486F" w14:textId="2884FFE1" w:rsidR="00C06774" w:rsidRPr="001353CE" w:rsidRDefault="00086740" w:rsidP="00CC594E">
      <w:pPr>
        <w:pStyle w:val="Default"/>
        <w:numPr>
          <w:ilvl w:val="1"/>
          <w:numId w:val="2"/>
        </w:numPr>
        <w:spacing w:after="240" w:line="276" w:lineRule="auto"/>
        <w:ind w:hanging="792"/>
        <w:rPr>
          <w:rFonts w:asciiTheme="minorHAnsi" w:hAnsiTheme="minorHAnsi"/>
          <w:sz w:val="28"/>
          <w:szCs w:val="28"/>
          <w:lang w:val="en-GB"/>
        </w:rPr>
      </w:pPr>
      <w:r w:rsidRPr="001353CE">
        <w:rPr>
          <w:rFonts w:asciiTheme="minorHAnsi" w:hAnsiTheme="minorHAnsi"/>
          <w:sz w:val="28"/>
          <w:szCs w:val="28"/>
          <w:lang w:val="en-GB"/>
        </w:rPr>
        <w:t xml:space="preserve">The EU (Withdrawal Agreement) Act 2020 empowers the Commissions to monitor, </w:t>
      </w:r>
      <w:r w:rsidR="00C813DA" w:rsidRPr="001353CE">
        <w:rPr>
          <w:rFonts w:asciiTheme="minorHAnsi" w:hAnsiTheme="minorHAnsi"/>
          <w:sz w:val="28"/>
          <w:szCs w:val="28"/>
          <w:lang w:val="en-GB"/>
        </w:rPr>
        <w:t>advise on</w:t>
      </w:r>
      <w:r w:rsidR="002B0D8D" w:rsidRPr="001353CE">
        <w:rPr>
          <w:rFonts w:asciiTheme="minorHAnsi" w:hAnsiTheme="minorHAnsi"/>
          <w:sz w:val="28"/>
          <w:szCs w:val="28"/>
          <w:lang w:val="en-GB"/>
        </w:rPr>
        <w:t>,</w:t>
      </w:r>
      <w:r w:rsidRPr="001353CE">
        <w:rPr>
          <w:rFonts w:asciiTheme="minorHAnsi" w:hAnsiTheme="minorHAnsi"/>
          <w:sz w:val="28"/>
          <w:szCs w:val="28"/>
          <w:lang w:val="en-GB"/>
        </w:rPr>
        <w:t xml:space="preserve"> promote</w:t>
      </w:r>
      <w:r w:rsidR="002B44A5" w:rsidRPr="001353CE">
        <w:rPr>
          <w:rFonts w:asciiTheme="minorHAnsi" w:hAnsiTheme="minorHAnsi"/>
          <w:sz w:val="28"/>
          <w:szCs w:val="28"/>
          <w:lang w:val="en-GB"/>
        </w:rPr>
        <w:t>,</w:t>
      </w:r>
      <w:r w:rsidRPr="001353CE">
        <w:rPr>
          <w:rFonts w:asciiTheme="minorHAnsi" w:hAnsiTheme="minorHAnsi"/>
          <w:sz w:val="28"/>
          <w:szCs w:val="28"/>
          <w:lang w:val="en-GB"/>
        </w:rPr>
        <w:t xml:space="preserve"> enforce </w:t>
      </w:r>
      <w:r w:rsidR="002B44A5" w:rsidRPr="001353CE">
        <w:rPr>
          <w:rFonts w:asciiTheme="minorHAnsi" w:hAnsiTheme="minorHAnsi"/>
          <w:sz w:val="28"/>
          <w:szCs w:val="28"/>
          <w:lang w:val="en-GB"/>
        </w:rPr>
        <w:t xml:space="preserve">and report on </w:t>
      </w:r>
      <w:r w:rsidRPr="001353CE">
        <w:rPr>
          <w:rFonts w:asciiTheme="minorHAnsi" w:hAnsiTheme="minorHAnsi"/>
          <w:sz w:val="28"/>
          <w:szCs w:val="28"/>
          <w:lang w:val="en-GB"/>
        </w:rPr>
        <w:t>the implementation of Article 2(1) of the Ireland/Northern Ireland Protocol (‘the Protocol’) to the UK-EU Withdrawal Agreement</w:t>
      </w:r>
      <w:r w:rsidR="00C06774" w:rsidRPr="001353CE">
        <w:rPr>
          <w:rFonts w:asciiTheme="minorHAnsi" w:hAnsiTheme="minorHAnsi"/>
          <w:sz w:val="28"/>
          <w:szCs w:val="28"/>
          <w:lang w:val="en-GB"/>
        </w:rPr>
        <w:t>.</w:t>
      </w:r>
      <w:r w:rsidR="00DE6AB7" w:rsidRPr="001353CE">
        <w:rPr>
          <w:rFonts w:asciiTheme="minorHAnsi" w:hAnsiTheme="minorHAnsi"/>
          <w:sz w:val="28"/>
          <w:szCs w:val="28"/>
          <w:lang w:val="en-GB"/>
        </w:rPr>
        <w:t xml:space="preserve"> </w:t>
      </w:r>
      <w:r w:rsidR="00245F55" w:rsidRPr="001353CE">
        <w:rPr>
          <w:rFonts w:asciiTheme="minorHAnsi" w:hAnsiTheme="minorHAnsi"/>
          <w:sz w:val="28"/>
          <w:szCs w:val="28"/>
          <w:lang w:val="en-GB"/>
        </w:rPr>
        <w:t>The</w:t>
      </w:r>
      <w:r w:rsidR="00982935" w:rsidRPr="001353CE">
        <w:rPr>
          <w:rFonts w:asciiTheme="minorHAnsi" w:hAnsiTheme="minorHAnsi"/>
          <w:sz w:val="28"/>
          <w:szCs w:val="28"/>
          <w:lang w:val="en-GB"/>
        </w:rPr>
        <w:t xml:space="preserve"> Commissions exercise these</w:t>
      </w:r>
      <w:r w:rsidR="00245F55" w:rsidRPr="001353CE">
        <w:rPr>
          <w:rFonts w:asciiTheme="minorHAnsi" w:hAnsiTheme="minorHAnsi"/>
          <w:sz w:val="28"/>
          <w:szCs w:val="28"/>
          <w:lang w:val="en-GB"/>
        </w:rPr>
        <w:t xml:space="preserve"> functions independently or jointly</w:t>
      </w:r>
      <w:r w:rsidR="00503895" w:rsidRPr="001353CE">
        <w:rPr>
          <w:rFonts w:asciiTheme="minorHAnsi" w:hAnsiTheme="minorHAnsi"/>
          <w:sz w:val="28"/>
          <w:szCs w:val="28"/>
          <w:lang w:val="en-GB"/>
        </w:rPr>
        <w:t xml:space="preserve"> </w:t>
      </w:r>
      <w:r w:rsidR="009410F2" w:rsidRPr="001353CE">
        <w:rPr>
          <w:rFonts w:asciiTheme="minorHAnsi" w:hAnsiTheme="minorHAnsi"/>
          <w:sz w:val="28"/>
          <w:szCs w:val="28"/>
          <w:lang w:val="en-GB"/>
        </w:rPr>
        <w:t xml:space="preserve">and </w:t>
      </w:r>
      <w:r w:rsidR="00483CA4" w:rsidRPr="001353CE">
        <w:rPr>
          <w:rFonts w:asciiTheme="minorHAnsi" w:hAnsiTheme="minorHAnsi"/>
          <w:sz w:val="28"/>
          <w:szCs w:val="28"/>
          <w:lang w:val="en-GB"/>
        </w:rPr>
        <w:t xml:space="preserve">Protocol Article 2(2) provides for </w:t>
      </w:r>
      <w:r w:rsidR="00CB32C6" w:rsidRPr="001353CE">
        <w:rPr>
          <w:rFonts w:asciiTheme="minorHAnsi" w:hAnsiTheme="minorHAnsi"/>
          <w:sz w:val="28"/>
          <w:szCs w:val="28"/>
          <w:lang w:val="en-GB"/>
        </w:rPr>
        <w:t>joint working of NIHRC, ECNI and the Irish Human Rights and Equality Commission in relation to</w:t>
      </w:r>
      <w:r w:rsidR="007711E5" w:rsidRPr="001353CE">
        <w:rPr>
          <w:rFonts w:asciiTheme="minorHAnsi" w:hAnsiTheme="minorHAnsi"/>
          <w:sz w:val="28"/>
          <w:szCs w:val="28"/>
          <w:lang w:val="en-GB"/>
        </w:rPr>
        <w:t xml:space="preserve"> rights on the island of Ireland.</w:t>
      </w:r>
    </w:p>
    <w:p w14:paraId="5C0A59F8" w14:textId="23A52193" w:rsidR="00C93683" w:rsidRPr="001353CE" w:rsidRDefault="005D2D96" w:rsidP="00CC594E">
      <w:pPr>
        <w:pStyle w:val="Default"/>
        <w:numPr>
          <w:ilvl w:val="1"/>
          <w:numId w:val="2"/>
        </w:numPr>
        <w:spacing w:after="240" w:line="276" w:lineRule="auto"/>
        <w:ind w:hanging="792"/>
        <w:rPr>
          <w:rFonts w:asciiTheme="minorHAnsi" w:hAnsiTheme="minorHAnsi"/>
          <w:sz w:val="28"/>
          <w:szCs w:val="28"/>
          <w:lang w:val="en-GB"/>
        </w:rPr>
      </w:pPr>
      <w:r w:rsidRPr="001353CE">
        <w:rPr>
          <w:rFonts w:asciiTheme="minorHAnsi" w:hAnsiTheme="minorHAnsi"/>
          <w:sz w:val="28"/>
          <w:szCs w:val="28"/>
          <w:lang w:val="en-GB"/>
        </w:rPr>
        <w:t xml:space="preserve">The Committee’s inquiry extends to matters outside the remit of the </w:t>
      </w:r>
      <w:r w:rsidR="00587C3E" w:rsidRPr="001353CE">
        <w:rPr>
          <w:rFonts w:asciiTheme="minorHAnsi" w:hAnsiTheme="minorHAnsi"/>
          <w:sz w:val="28"/>
          <w:szCs w:val="28"/>
          <w:lang w:val="en-GB"/>
        </w:rPr>
        <w:t xml:space="preserve">Commissions </w:t>
      </w:r>
      <w:r w:rsidRPr="001353CE">
        <w:rPr>
          <w:rFonts w:asciiTheme="minorHAnsi" w:hAnsiTheme="minorHAnsi"/>
          <w:sz w:val="28"/>
          <w:szCs w:val="28"/>
          <w:lang w:val="en-GB"/>
        </w:rPr>
        <w:t xml:space="preserve">therefore the following brief submission focuses on </w:t>
      </w:r>
      <w:r w:rsidR="00E00320" w:rsidRPr="001353CE">
        <w:rPr>
          <w:rFonts w:asciiTheme="minorHAnsi" w:hAnsiTheme="minorHAnsi"/>
          <w:sz w:val="28"/>
          <w:szCs w:val="28"/>
          <w:lang w:val="en-GB"/>
        </w:rPr>
        <w:t xml:space="preserve">two </w:t>
      </w:r>
      <w:r w:rsidRPr="001353CE">
        <w:rPr>
          <w:rFonts w:asciiTheme="minorHAnsi" w:hAnsiTheme="minorHAnsi"/>
          <w:sz w:val="28"/>
          <w:szCs w:val="28"/>
          <w:lang w:val="en-GB"/>
        </w:rPr>
        <w:t>of the questions under consideration</w:t>
      </w:r>
      <w:r w:rsidR="00E00320" w:rsidRPr="001353CE">
        <w:rPr>
          <w:rFonts w:asciiTheme="minorHAnsi" w:hAnsiTheme="minorHAnsi"/>
          <w:sz w:val="28"/>
          <w:szCs w:val="28"/>
          <w:lang w:val="en-GB"/>
        </w:rPr>
        <w:t xml:space="preserve">, in relation to the interaction of the TCA with the Protocol and </w:t>
      </w:r>
      <w:r w:rsidR="00B322D7" w:rsidRPr="001353CE">
        <w:rPr>
          <w:rFonts w:asciiTheme="minorHAnsi" w:hAnsiTheme="minorHAnsi"/>
          <w:sz w:val="28"/>
          <w:szCs w:val="28"/>
          <w:lang w:val="en-GB"/>
        </w:rPr>
        <w:t>representation from Northern Ireland on bodies established under the TCA.</w:t>
      </w:r>
    </w:p>
    <w:p w14:paraId="1F89DD19" w14:textId="29D9D73C" w:rsidR="005879ED" w:rsidRPr="001353CE" w:rsidRDefault="005879ED" w:rsidP="005012CB">
      <w:pPr>
        <w:pStyle w:val="Default"/>
        <w:numPr>
          <w:ilvl w:val="0"/>
          <w:numId w:val="2"/>
        </w:numPr>
        <w:spacing w:after="240" w:line="240" w:lineRule="auto"/>
        <w:ind w:left="709" w:hanging="709"/>
        <w:rPr>
          <w:rFonts w:asciiTheme="minorHAnsi" w:eastAsiaTheme="minorEastAsia" w:hAnsiTheme="minorHAnsi" w:cstheme="minorBidi"/>
          <w:b/>
          <w:sz w:val="36"/>
          <w:szCs w:val="36"/>
          <w:lang w:val="en-GB"/>
        </w:rPr>
      </w:pPr>
      <w:r w:rsidRPr="001353CE">
        <w:rPr>
          <w:rFonts w:asciiTheme="minorHAnsi" w:eastAsiaTheme="minorEastAsia" w:hAnsiTheme="minorHAnsi" w:cstheme="minorBidi"/>
          <w:b/>
          <w:sz w:val="36"/>
          <w:szCs w:val="36"/>
          <w:lang w:val="en-GB"/>
        </w:rPr>
        <w:t xml:space="preserve">How could the implementation of the TCA and the </w:t>
      </w:r>
      <w:r w:rsidRPr="001353CE">
        <w:rPr>
          <w:rFonts w:asciiTheme="minorHAnsi" w:eastAsiaTheme="minorEastAsia" w:hAnsiTheme="minorHAnsi" w:cstheme="minorBidi"/>
          <w:b/>
          <w:sz w:val="36"/>
          <w:szCs w:val="36"/>
          <w:lang w:val="en-GB"/>
        </w:rPr>
        <w:lastRenderedPageBreak/>
        <w:t>actions of the UK/EU joint bodies impact the operation of the Northern Ireland Protocol to the UK/EU Withdrawal Agreement?</w:t>
      </w:r>
    </w:p>
    <w:p w14:paraId="5651EB4B" w14:textId="127FCEFD" w:rsidR="00D04AD8" w:rsidRPr="001353CE" w:rsidRDefault="001409E6" w:rsidP="00CC594E">
      <w:pPr>
        <w:pStyle w:val="Default"/>
        <w:numPr>
          <w:ilvl w:val="1"/>
          <w:numId w:val="2"/>
        </w:numPr>
        <w:spacing w:after="240" w:line="276" w:lineRule="auto"/>
        <w:ind w:hanging="792"/>
        <w:rPr>
          <w:rFonts w:asciiTheme="minorHAnsi" w:hAnsiTheme="minorHAnsi"/>
          <w:sz w:val="28"/>
          <w:szCs w:val="28"/>
          <w:lang w:val="en-GB"/>
        </w:rPr>
      </w:pPr>
      <w:r w:rsidRPr="001353CE">
        <w:rPr>
          <w:rFonts w:asciiTheme="minorHAnsi" w:hAnsiTheme="minorHAnsi"/>
          <w:sz w:val="28"/>
          <w:szCs w:val="28"/>
          <w:lang w:val="en-GB"/>
        </w:rPr>
        <w:t>T</w:t>
      </w:r>
      <w:r w:rsidR="00C53F02" w:rsidRPr="001353CE">
        <w:rPr>
          <w:rFonts w:asciiTheme="minorHAnsi" w:hAnsiTheme="minorHAnsi"/>
          <w:sz w:val="28"/>
          <w:szCs w:val="28"/>
          <w:lang w:val="en-GB"/>
        </w:rPr>
        <w:t xml:space="preserve">he </w:t>
      </w:r>
      <w:r w:rsidR="00211BF9" w:rsidRPr="001353CE">
        <w:rPr>
          <w:rFonts w:asciiTheme="minorHAnsi" w:hAnsiTheme="minorHAnsi"/>
          <w:sz w:val="28"/>
          <w:szCs w:val="28"/>
          <w:lang w:val="en-GB"/>
        </w:rPr>
        <w:t>TCA</w:t>
      </w:r>
      <w:r w:rsidR="005C78C5" w:rsidRPr="001353CE">
        <w:rPr>
          <w:rFonts w:asciiTheme="minorHAnsi" w:hAnsiTheme="minorHAnsi"/>
          <w:sz w:val="28"/>
          <w:szCs w:val="28"/>
          <w:lang w:val="en-GB"/>
        </w:rPr>
        <w:t xml:space="preserve"> and</w:t>
      </w:r>
      <w:r w:rsidR="00F43B7D" w:rsidRPr="001353CE">
        <w:rPr>
          <w:rFonts w:asciiTheme="minorHAnsi" w:hAnsiTheme="minorHAnsi"/>
          <w:sz w:val="28"/>
          <w:szCs w:val="28"/>
          <w:lang w:val="en-GB"/>
        </w:rPr>
        <w:t xml:space="preserve"> the Protocol on Ireland/Northern Ireland (‘the Protocol’) include long-term com</w:t>
      </w:r>
      <w:r w:rsidR="005C2BDE" w:rsidRPr="001353CE">
        <w:rPr>
          <w:rFonts w:asciiTheme="minorHAnsi" w:hAnsiTheme="minorHAnsi"/>
          <w:sz w:val="28"/>
          <w:szCs w:val="28"/>
          <w:lang w:val="en-GB"/>
        </w:rPr>
        <w:t>mitments</w:t>
      </w:r>
      <w:r w:rsidR="00F43B7D" w:rsidRPr="001353CE">
        <w:rPr>
          <w:rFonts w:asciiTheme="minorHAnsi" w:hAnsiTheme="minorHAnsi"/>
          <w:sz w:val="28"/>
          <w:szCs w:val="28"/>
          <w:lang w:val="en-GB"/>
        </w:rPr>
        <w:t xml:space="preserve"> </w:t>
      </w:r>
      <w:r w:rsidR="005C78C5" w:rsidRPr="001353CE">
        <w:rPr>
          <w:rFonts w:asciiTheme="minorHAnsi" w:hAnsiTheme="minorHAnsi"/>
          <w:sz w:val="28"/>
          <w:szCs w:val="28"/>
          <w:lang w:val="en-GB"/>
        </w:rPr>
        <w:t xml:space="preserve">across a range of inter-connected areas. The </w:t>
      </w:r>
      <w:r w:rsidR="00144987" w:rsidRPr="001353CE">
        <w:rPr>
          <w:rFonts w:asciiTheme="minorHAnsi" w:hAnsiTheme="minorHAnsi"/>
          <w:sz w:val="28"/>
          <w:szCs w:val="28"/>
          <w:lang w:val="en-GB"/>
        </w:rPr>
        <w:t xml:space="preserve">commitments to </w:t>
      </w:r>
      <w:r w:rsidR="0075139D" w:rsidRPr="001353CE">
        <w:rPr>
          <w:rFonts w:asciiTheme="minorHAnsi" w:hAnsiTheme="minorHAnsi"/>
          <w:sz w:val="28"/>
          <w:szCs w:val="28"/>
          <w:lang w:val="en-GB"/>
        </w:rPr>
        <w:t>human rights</w:t>
      </w:r>
      <w:r w:rsidR="00DB4587" w:rsidRPr="001353CE">
        <w:rPr>
          <w:rFonts w:asciiTheme="minorHAnsi" w:hAnsiTheme="minorHAnsi"/>
          <w:sz w:val="28"/>
          <w:szCs w:val="28"/>
          <w:lang w:val="en-GB"/>
        </w:rPr>
        <w:t xml:space="preserve"> in the TCA</w:t>
      </w:r>
      <w:r w:rsidRPr="001353CE">
        <w:rPr>
          <w:rFonts w:asciiTheme="minorHAnsi" w:hAnsiTheme="minorHAnsi"/>
          <w:sz w:val="28"/>
          <w:szCs w:val="28"/>
          <w:lang w:val="en-GB"/>
        </w:rPr>
        <w:t>,</w:t>
      </w:r>
      <w:r w:rsidR="00933A30" w:rsidRPr="001353CE">
        <w:rPr>
          <w:rFonts w:asciiTheme="minorHAnsi" w:hAnsiTheme="minorHAnsi"/>
          <w:sz w:val="28"/>
          <w:szCs w:val="28"/>
          <w:lang w:val="en-GB"/>
        </w:rPr>
        <w:t xml:space="preserve"> for example, </w:t>
      </w:r>
      <w:r w:rsidR="00144987" w:rsidRPr="001353CE">
        <w:rPr>
          <w:rFonts w:asciiTheme="minorHAnsi" w:hAnsiTheme="minorHAnsi"/>
          <w:sz w:val="28"/>
          <w:szCs w:val="28"/>
          <w:lang w:val="en-GB"/>
        </w:rPr>
        <w:t>are</w:t>
      </w:r>
      <w:r w:rsidR="00756035" w:rsidRPr="001353CE">
        <w:rPr>
          <w:rFonts w:asciiTheme="minorHAnsi" w:hAnsiTheme="minorHAnsi"/>
          <w:sz w:val="28"/>
          <w:szCs w:val="28"/>
          <w:lang w:val="en-GB"/>
        </w:rPr>
        <w:t xml:space="preserve"> relevant to </w:t>
      </w:r>
      <w:r w:rsidR="00A86D73" w:rsidRPr="001353CE">
        <w:rPr>
          <w:rFonts w:asciiTheme="minorHAnsi" w:hAnsiTheme="minorHAnsi"/>
          <w:sz w:val="28"/>
          <w:szCs w:val="28"/>
          <w:lang w:val="en-GB"/>
        </w:rPr>
        <w:t>Article 2 of the Protocol</w:t>
      </w:r>
      <w:r w:rsidR="004A127C" w:rsidRPr="001353CE">
        <w:rPr>
          <w:rFonts w:asciiTheme="minorHAnsi" w:hAnsiTheme="minorHAnsi"/>
          <w:sz w:val="28"/>
          <w:szCs w:val="28"/>
          <w:lang w:val="en-GB"/>
        </w:rPr>
        <w:t xml:space="preserve"> </w:t>
      </w:r>
      <w:r w:rsidR="00327EA7" w:rsidRPr="001353CE">
        <w:rPr>
          <w:rFonts w:asciiTheme="minorHAnsi" w:hAnsiTheme="minorHAnsi"/>
          <w:sz w:val="28"/>
          <w:szCs w:val="28"/>
          <w:lang w:val="en-GB"/>
        </w:rPr>
        <w:t xml:space="preserve">(individual rights) </w:t>
      </w:r>
      <w:r w:rsidR="004A127C" w:rsidRPr="001353CE">
        <w:rPr>
          <w:rFonts w:asciiTheme="minorHAnsi" w:hAnsiTheme="minorHAnsi"/>
          <w:sz w:val="28"/>
          <w:szCs w:val="28"/>
          <w:lang w:val="en-GB"/>
        </w:rPr>
        <w:t xml:space="preserve">and to Article </w:t>
      </w:r>
      <w:r w:rsidR="00327EA7" w:rsidRPr="001353CE">
        <w:rPr>
          <w:rFonts w:asciiTheme="minorHAnsi" w:hAnsiTheme="minorHAnsi"/>
          <w:sz w:val="28"/>
          <w:szCs w:val="28"/>
          <w:lang w:val="en-GB"/>
        </w:rPr>
        <w:t>11 (</w:t>
      </w:r>
      <w:r w:rsidR="00700FC6" w:rsidRPr="001353CE">
        <w:rPr>
          <w:rFonts w:asciiTheme="minorHAnsi" w:hAnsiTheme="minorHAnsi"/>
          <w:sz w:val="28"/>
          <w:szCs w:val="28"/>
          <w:lang w:val="en-GB"/>
        </w:rPr>
        <w:t>o</w:t>
      </w:r>
      <w:r w:rsidR="00327EA7" w:rsidRPr="001353CE">
        <w:rPr>
          <w:rFonts w:asciiTheme="minorHAnsi" w:hAnsiTheme="minorHAnsi"/>
          <w:sz w:val="28"/>
          <w:szCs w:val="28"/>
          <w:lang w:val="en-GB"/>
        </w:rPr>
        <w:t>ther areas of North-South cooperation)</w:t>
      </w:r>
      <w:r w:rsidR="00B73B56" w:rsidRPr="001353CE">
        <w:rPr>
          <w:rFonts w:asciiTheme="minorHAnsi" w:hAnsiTheme="minorHAnsi"/>
          <w:sz w:val="28"/>
          <w:szCs w:val="28"/>
          <w:lang w:val="en-GB"/>
        </w:rPr>
        <w:t xml:space="preserve">. </w:t>
      </w:r>
    </w:p>
    <w:p w14:paraId="7C1B2F92" w14:textId="1105B88E" w:rsidR="00C041B8" w:rsidRPr="001353CE" w:rsidRDefault="008739B8" w:rsidP="00CC594E">
      <w:pPr>
        <w:pStyle w:val="Default"/>
        <w:numPr>
          <w:ilvl w:val="1"/>
          <w:numId w:val="2"/>
        </w:numPr>
        <w:spacing w:after="240" w:line="276" w:lineRule="auto"/>
        <w:ind w:hanging="792"/>
        <w:rPr>
          <w:rFonts w:asciiTheme="minorHAnsi" w:hAnsiTheme="minorHAnsi"/>
          <w:sz w:val="28"/>
          <w:szCs w:val="28"/>
          <w:lang w:val="en-GB"/>
        </w:rPr>
      </w:pPr>
      <w:r w:rsidRPr="001353CE">
        <w:rPr>
          <w:rFonts w:asciiTheme="minorHAnsi" w:hAnsiTheme="minorHAnsi"/>
          <w:sz w:val="28"/>
          <w:szCs w:val="28"/>
          <w:lang w:val="en-GB"/>
        </w:rPr>
        <w:t>UK-EU c</w:t>
      </w:r>
      <w:r w:rsidR="00C041B8" w:rsidRPr="001353CE">
        <w:rPr>
          <w:rFonts w:asciiTheme="minorHAnsi" w:hAnsiTheme="minorHAnsi"/>
          <w:sz w:val="28"/>
          <w:szCs w:val="28"/>
          <w:lang w:val="en-GB"/>
        </w:rPr>
        <w:t>o</w:t>
      </w:r>
      <w:r w:rsidR="00E72309" w:rsidRPr="001353CE">
        <w:rPr>
          <w:rFonts w:asciiTheme="minorHAnsi" w:hAnsiTheme="minorHAnsi"/>
          <w:sz w:val="28"/>
          <w:szCs w:val="28"/>
          <w:lang w:val="en-GB"/>
        </w:rPr>
        <w:t>-</w:t>
      </w:r>
      <w:r w:rsidR="00C041B8" w:rsidRPr="001353CE">
        <w:rPr>
          <w:rFonts w:asciiTheme="minorHAnsi" w:hAnsiTheme="minorHAnsi"/>
          <w:sz w:val="28"/>
          <w:szCs w:val="28"/>
          <w:lang w:val="en-GB"/>
        </w:rPr>
        <w:t>operation agreed on justice matters</w:t>
      </w:r>
      <w:r w:rsidRPr="001353CE">
        <w:rPr>
          <w:rFonts w:asciiTheme="minorHAnsi" w:hAnsiTheme="minorHAnsi"/>
          <w:sz w:val="28"/>
          <w:szCs w:val="28"/>
          <w:lang w:val="en-GB"/>
        </w:rPr>
        <w:t xml:space="preserve"> under the TCA</w:t>
      </w:r>
      <w:r w:rsidR="00C041B8" w:rsidRPr="001353CE">
        <w:rPr>
          <w:rFonts w:asciiTheme="minorHAnsi" w:hAnsiTheme="minorHAnsi"/>
          <w:sz w:val="28"/>
          <w:szCs w:val="28"/>
          <w:lang w:val="en-GB"/>
        </w:rPr>
        <w:t>, is</w:t>
      </w:r>
      <w:r w:rsidR="00E72309" w:rsidRPr="001353CE">
        <w:rPr>
          <w:rFonts w:asciiTheme="minorHAnsi" w:hAnsiTheme="minorHAnsi"/>
          <w:sz w:val="28"/>
          <w:szCs w:val="28"/>
          <w:lang w:val="en-GB"/>
        </w:rPr>
        <w:t xml:space="preserve"> made</w:t>
      </w:r>
      <w:r w:rsidR="00C041B8" w:rsidRPr="001353CE">
        <w:rPr>
          <w:rFonts w:asciiTheme="minorHAnsi" w:hAnsiTheme="minorHAnsi"/>
          <w:sz w:val="28"/>
          <w:szCs w:val="28"/>
          <w:lang w:val="en-GB"/>
        </w:rPr>
        <w:t xml:space="preserve"> contingent on democracy, the rule of law and the protection of fundamental rights</w:t>
      </w:r>
      <w:r w:rsidR="00B67020" w:rsidRPr="001353CE">
        <w:rPr>
          <w:rFonts w:asciiTheme="minorHAnsi" w:hAnsiTheme="minorHAnsi"/>
          <w:sz w:val="28"/>
          <w:szCs w:val="28"/>
          <w:lang w:val="en-GB"/>
        </w:rPr>
        <w:t>;</w:t>
      </w:r>
      <w:r w:rsidR="00C041B8" w:rsidRPr="001353CE">
        <w:rPr>
          <w:rFonts w:asciiTheme="minorHAnsi" w:hAnsiTheme="minorHAnsi"/>
          <w:sz w:val="28"/>
          <w:szCs w:val="28"/>
          <w:lang w:val="en-GB"/>
        </w:rPr>
        <w:t xml:space="preserve"> and the text makes reference to the importance of giving domestic effect to the ECHR.</w:t>
      </w:r>
      <w:r w:rsidR="00C041B8" w:rsidRPr="001353CE">
        <w:rPr>
          <w:rFonts w:asciiTheme="minorHAnsi" w:hAnsiTheme="minorHAnsi"/>
          <w:sz w:val="28"/>
          <w:szCs w:val="28"/>
          <w:vertAlign w:val="superscript"/>
          <w:lang w:val="en-GB"/>
        </w:rPr>
        <w:footnoteReference w:id="1"/>
      </w:r>
      <w:r w:rsidR="00C041B8" w:rsidRPr="001353CE">
        <w:rPr>
          <w:rFonts w:asciiTheme="minorHAnsi" w:hAnsiTheme="minorHAnsi"/>
          <w:sz w:val="28"/>
          <w:szCs w:val="28"/>
          <w:lang w:val="en-GB"/>
        </w:rPr>
        <w:t xml:space="preserve"> </w:t>
      </w:r>
      <w:r w:rsidR="004753FC" w:rsidRPr="001353CE">
        <w:rPr>
          <w:rFonts w:asciiTheme="minorHAnsi" w:hAnsiTheme="minorHAnsi"/>
          <w:sz w:val="28"/>
          <w:szCs w:val="28"/>
          <w:lang w:val="en-GB"/>
        </w:rPr>
        <w:t xml:space="preserve">Such co-operation </w:t>
      </w:r>
      <w:r w:rsidR="00C041B8" w:rsidRPr="001353CE">
        <w:rPr>
          <w:rFonts w:asciiTheme="minorHAnsi" w:hAnsiTheme="minorHAnsi"/>
          <w:sz w:val="28"/>
          <w:szCs w:val="28"/>
          <w:lang w:val="en-GB"/>
        </w:rPr>
        <w:t xml:space="preserve">is also </w:t>
      </w:r>
      <w:r w:rsidR="00B67020" w:rsidRPr="001353CE">
        <w:rPr>
          <w:rFonts w:asciiTheme="minorHAnsi" w:hAnsiTheme="minorHAnsi"/>
          <w:sz w:val="28"/>
          <w:szCs w:val="28"/>
          <w:lang w:val="en-GB"/>
        </w:rPr>
        <w:t xml:space="preserve">dependent </w:t>
      </w:r>
      <w:r w:rsidR="00C041B8" w:rsidRPr="001353CE">
        <w:rPr>
          <w:rFonts w:asciiTheme="minorHAnsi" w:hAnsiTheme="minorHAnsi"/>
          <w:sz w:val="28"/>
          <w:szCs w:val="28"/>
          <w:lang w:val="en-GB"/>
        </w:rPr>
        <w:t xml:space="preserve">on maintaining high standards in data protection, including respect for human rights in </w:t>
      </w:r>
      <w:r w:rsidR="00700FC6" w:rsidRPr="001353CE">
        <w:rPr>
          <w:rFonts w:asciiTheme="minorHAnsi" w:hAnsiTheme="minorHAnsi"/>
          <w:sz w:val="28"/>
          <w:szCs w:val="28"/>
          <w:lang w:val="en-GB"/>
        </w:rPr>
        <w:t xml:space="preserve">the </w:t>
      </w:r>
      <w:r w:rsidR="00C041B8" w:rsidRPr="001353CE">
        <w:rPr>
          <w:rFonts w:asciiTheme="minorHAnsi" w:hAnsiTheme="minorHAnsi"/>
          <w:sz w:val="28"/>
          <w:szCs w:val="28"/>
          <w:lang w:val="en-GB"/>
        </w:rPr>
        <w:t>collection of data.</w:t>
      </w:r>
      <w:r w:rsidR="00C041B8" w:rsidRPr="001353CE">
        <w:rPr>
          <w:rFonts w:asciiTheme="minorHAnsi" w:hAnsiTheme="minorHAnsi"/>
          <w:sz w:val="28"/>
          <w:szCs w:val="28"/>
          <w:vertAlign w:val="superscript"/>
          <w:lang w:val="en-GB"/>
        </w:rPr>
        <w:footnoteReference w:id="2"/>
      </w:r>
      <w:r w:rsidR="00C041B8" w:rsidRPr="001353CE">
        <w:rPr>
          <w:rFonts w:asciiTheme="minorHAnsi" w:hAnsiTheme="minorHAnsi"/>
          <w:sz w:val="28"/>
          <w:szCs w:val="28"/>
          <w:lang w:val="en-GB"/>
        </w:rPr>
        <w:t xml:space="preserve"> Cooperation in these areas c</w:t>
      </w:r>
      <w:r w:rsidR="00D32402" w:rsidRPr="001353CE">
        <w:rPr>
          <w:rFonts w:asciiTheme="minorHAnsi" w:hAnsiTheme="minorHAnsi"/>
          <w:sz w:val="28"/>
          <w:szCs w:val="28"/>
          <w:lang w:val="en-GB"/>
        </w:rPr>
        <w:t>ould</w:t>
      </w:r>
      <w:r w:rsidR="00C041B8" w:rsidRPr="001353CE">
        <w:rPr>
          <w:rFonts w:asciiTheme="minorHAnsi" w:hAnsiTheme="minorHAnsi"/>
          <w:sz w:val="28"/>
          <w:szCs w:val="28"/>
          <w:lang w:val="en-GB"/>
        </w:rPr>
        <w:t xml:space="preserve"> be terminated almost immediately if either party renounces the ECHR.</w:t>
      </w:r>
      <w:r w:rsidR="00C041B8" w:rsidRPr="001353CE">
        <w:rPr>
          <w:rFonts w:asciiTheme="minorHAnsi" w:hAnsiTheme="minorHAnsi"/>
          <w:sz w:val="28"/>
          <w:szCs w:val="28"/>
          <w:vertAlign w:val="superscript"/>
          <w:lang w:val="en-GB"/>
        </w:rPr>
        <w:footnoteReference w:id="3"/>
      </w:r>
    </w:p>
    <w:p w14:paraId="17CD9C1A" w14:textId="64F83030" w:rsidR="00755DD9" w:rsidRPr="001353CE" w:rsidRDefault="00755DD9" w:rsidP="00CC594E">
      <w:pPr>
        <w:pStyle w:val="Default"/>
        <w:numPr>
          <w:ilvl w:val="1"/>
          <w:numId w:val="2"/>
        </w:numPr>
        <w:spacing w:after="0" w:line="276" w:lineRule="auto"/>
        <w:ind w:hanging="792"/>
        <w:rPr>
          <w:rFonts w:asciiTheme="minorHAnsi" w:hAnsiTheme="minorHAnsi"/>
          <w:sz w:val="28"/>
          <w:szCs w:val="28"/>
          <w:lang w:val="en-GB"/>
        </w:rPr>
      </w:pPr>
      <w:r w:rsidRPr="001353CE">
        <w:rPr>
          <w:rFonts w:asciiTheme="minorHAnsi" w:hAnsiTheme="minorHAnsi"/>
          <w:sz w:val="28"/>
          <w:szCs w:val="28"/>
          <w:lang w:val="en-GB"/>
        </w:rPr>
        <w:t>Article 2(1)</w:t>
      </w:r>
      <w:r w:rsidR="00AF3CC3" w:rsidRPr="001353CE">
        <w:rPr>
          <w:rFonts w:asciiTheme="minorHAnsi" w:hAnsiTheme="minorHAnsi"/>
          <w:sz w:val="28"/>
          <w:szCs w:val="28"/>
          <w:lang w:val="en-GB"/>
        </w:rPr>
        <w:t xml:space="preserve"> of the Protocol states</w:t>
      </w:r>
      <w:r w:rsidRPr="001353CE">
        <w:rPr>
          <w:rFonts w:asciiTheme="minorHAnsi" w:hAnsiTheme="minorHAnsi"/>
          <w:sz w:val="28"/>
          <w:szCs w:val="28"/>
          <w:lang w:val="en-GB"/>
        </w:rPr>
        <w:t xml:space="preserve"> that:</w:t>
      </w:r>
    </w:p>
    <w:p w14:paraId="45EA42AC" w14:textId="5781DF08" w:rsidR="00755DD9" w:rsidRPr="001353CE" w:rsidRDefault="00755DD9" w:rsidP="00CC594E">
      <w:pPr>
        <w:pStyle w:val="Default"/>
        <w:numPr>
          <w:ilvl w:val="0"/>
          <w:numId w:val="0"/>
        </w:numPr>
        <w:spacing w:after="240" w:line="276" w:lineRule="auto"/>
        <w:ind w:left="792"/>
        <w:rPr>
          <w:rFonts w:asciiTheme="minorHAnsi" w:hAnsiTheme="minorHAnsi"/>
          <w:sz w:val="28"/>
          <w:szCs w:val="28"/>
          <w:lang w:val="en-GB"/>
        </w:rPr>
      </w:pPr>
      <w:r w:rsidRPr="001353CE">
        <w:rPr>
          <w:rFonts w:asciiTheme="minorHAnsi" w:hAnsiTheme="minorHAnsi"/>
          <w:sz w:val="28"/>
          <w:szCs w:val="28"/>
          <w:lang w:val="en-GB"/>
        </w:rPr>
        <w:t xml:space="preserve">‘The UK shall ensure that no diminution of rights, safeguards or equality of opportunity, as set out in that part of the 1998 </w:t>
      </w:r>
      <w:r w:rsidR="00700FC6" w:rsidRPr="001353CE">
        <w:rPr>
          <w:rFonts w:asciiTheme="minorHAnsi" w:hAnsiTheme="minorHAnsi"/>
          <w:sz w:val="28"/>
          <w:szCs w:val="28"/>
          <w:lang w:val="en-GB"/>
        </w:rPr>
        <w:t>[Belfast (Good Friday</w:t>
      </w:r>
      <w:r w:rsidR="000C1D93" w:rsidRPr="001353CE">
        <w:rPr>
          <w:rFonts w:asciiTheme="minorHAnsi" w:hAnsiTheme="minorHAnsi"/>
          <w:sz w:val="28"/>
          <w:szCs w:val="28"/>
          <w:lang w:val="en-GB"/>
        </w:rPr>
        <w:t>)</w:t>
      </w:r>
      <w:r w:rsidR="00700FC6" w:rsidRPr="001353CE">
        <w:rPr>
          <w:rFonts w:asciiTheme="minorHAnsi" w:hAnsiTheme="minorHAnsi"/>
          <w:sz w:val="28"/>
          <w:szCs w:val="28"/>
          <w:lang w:val="en-GB"/>
        </w:rPr>
        <w:t xml:space="preserve">] </w:t>
      </w:r>
      <w:r w:rsidRPr="001353CE">
        <w:rPr>
          <w:rFonts w:asciiTheme="minorHAnsi" w:hAnsiTheme="minorHAnsi"/>
          <w:sz w:val="28"/>
          <w:szCs w:val="28"/>
          <w:lang w:val="en-GB"/>
        </w:rPr>
        <w:t>Agreement entitled Rights, Safeguards and Equality of Opportunity results from its withdrawal from the Union, including in the area of protection against discrimination, as enshrined in the provisions of Union law listed in Annex 1 to this Protocol, and shall implement this paragraph through dedicated mechanisms’.</w:t>
      </w:r>
    </w:p>
    <w:p w14:paraId="59FD0F73" w14:textId="777DB9F2" w:rsidR="002A4F4C" w:rsidRPr="001353CE" w:rsidRDefault="00AC4136" w:rsidP="00CC594E">
      <w:pPr>
        <w:pStyle w:val="Default"/>
        <w:numPr>
          <w:ilvl w:val="1"/>
          <w:numId w:val="2"/>
        </w:numPr>
        <w:spacing w:after="240" w:line="276" w:lineRule="auto"/>
        <w:ind w:hanging="792"/>
        <w:rPr>
          <w:rFonts w:asciiTheme="minorHAnsi" w:hAnsiTheme="minorHAnsi"/>
          <w:sz w:val="28"/>
          <w:szCs w:val="28"/>
          <w:lang w:val="en-GB"/>
        </w:rPr>
      </w:pPr>
      <w:r w:rsidRPr="001353CE">
        <w:rPr>
          <w:rFonts w:asciiTheme="minorHAnsi" w:hAnsiTheme="minorHAnsi"/>
          <w:sz w:val="28"/>
          <w:szCs w:val="28"/>
          <w:lang w:val="en-GB"/>
        </w:rPr>
        <w:t>Th</w:t>
      </w:r>
      <w:r w:rsidR="00EC2FCB" w:rsidRPr="001353CE">
        <w:rPr>
          <w:rFonts w:asciiTheme="minorHAnsi" w:hAnsiTheme="minorHAnsi"/>
          <w:sz w:val="28"/>
          <w:szCs w:val="28"/>
          <w:lang w:val="en-GB"/>
        </w:rPr>
        <w:t xml:space="preserve">is provision derived from recognition that </w:t>
      </w:r>
      <w:r w:rsidR="00A70AEC" w:rsidRPr="001353CE">
        <w:rPr>
          <w:rFonts w:asciiTheme="minorHAnsi" w:hAnsiTheme="minorHAnsi"/>
          <w:sz w:val="28"/>
          <w:szCs w:val="28"/>
          <w:lang w:val="en-GB"/>
        </w:rPr>
        <w:t xml:space="preserve">many of </w:t>
      </w:r>
      <w:r w:rsidR="00EC2FCB" w:rsidRPr="001353CE">
        <w:rPr>
          <w:rFonts w:asciiTheme="minorHAnsi" w:hAnsiTheme="minorHAnsi"/>
          <w:sz w:val="28"/>
          <w:szCs w:val="28"/>
          <w:lang w:val="en-GB"/>
        </w:rPr>
        <w:t>the</w:t>
      </w:r>
      <w:r w:rsidRPr="001353CE">
        <w:rPr>
          <w:rFonts w:asciiTheme="minorHAnsi" w:hAnsiTheme="minorHAnsi"/>
          <w:sz w:val="28"/>
          <w:szCs w:val="28"/>
          <w:lang w:val="en-GB"/>
        </w:rPr>
        <w:t xml:space="preserve"> rights</w:t>
      </w:r>
      <w:r w:rsidR="00237412" w:rsidRPr="001353CE">
        <w:rPr>
          <w:rFonts w:asciiTheme="minorHAnsi" w:hAnsiTheme="minorHAnsi"/>
          <w:sz w:val="28"/>
          <w:szCs w:val="28"/>
          <w:lang w:val="en-GB"/>
        </w:rPr>
        <w:t xml:space="preserve"> and</w:t>
      </w:r>
      <w:r w:rsidRPr="001353CE">
        <w:rPr>
          <w:rFonts w:asciiTheme="minorHAnsi" w:hAnsiTheme="minorHAnsi"/>
          <w:sz w:val="28"/>
          <w:szCs w:val="28"/>
          <w:lang w:val="en-GB"/>
        </w:rPr>
        <w:t xml:space="preserve"> safeguards </w:t>
      </w:r>
      <w:r w:rsidR="00237412" w:rsidRPr="001353CE">
        <w:rPr>
          <w:rFonts w:asciiTheme="minorHAnsi" w:hAnsiTheme="minorHAnsi"/>
          <w:sz w:val="28"/>
          <w:szCs w:val="28"/>
          <w:lang w:val="en-GB"/>
        </w:rPr>
        <w:t xml:space="preserve">set out in that </w:t>
      </w:r>
      <w:r w:rsidRPr="001353CE">
        <w:rPr>
          <w:rFonts w:asciiTheme="minorHAnsi" w:hAnsiTheme="minorHAnsi"/>
          <w:sz w:val="28"/>
          <w:szCs w:val="28"/>
          <w:lang w:val="en-GB"/>
        </w:rPr>
        <w:t xml:space="preserve">chapter of the Belfast (Good Friday) Agreement </w:t>
      </w:r>
      <w:r w:rsidR="00700FC6" w:rsidRPr="001353CE">
        <w:rPr>
          <w:rFonts w:asciiTheme="minorHAnsi" w:hAnsiTheme="minorHAnsi"/>
          <w:sz w:val="28"/>
          <w:szCs w:val="28"/>
          <w:lang w:val="en-GB"/>
        </w:rPr>
        <w:t xml:space="preserve">1998 </w:t>
      </w:r>
      <w:r w:rsidR="002E6266" w:rsidRPr="001353CE">
        <w:rPr>
          <w:rFonts w:asciiTheme="minorHAnsi" w:hAnsiTheme="minorHAnsi"/>
          <w:sz w:val="28"/>
          <w:szCs w:val="28"/>
          <w:lang w:val="en-GB"/>
        </w:rPr>
        <w:t>ha</w:t>
      </w:r>
      <w:r w:rsidR="00237412" w:rsidRPr="001353CE">
        <w:rPr>
          <w:rFonts w:asciiTheme="minorHAnsi" w:hAnsiTheme="minorHAnsi"/>
          <w:sz w:val="28"/>
          <w:szCs w:val="28"/>
          <w:lang w:val="en-GB"/>
        </w:rPr>
        <w:t>ve</w:t>
      </w:r>
      <w:r w:rsidR="002E6266" w:rsidRPr="001353CE">
        <w:rPr>
          <w:rFonts w:asciiTheme="minorHAnsi" w:hAnsiTheme="minorHAnsi"/>
          <w:sz w:val="28"/>
          <w:szCs w:val="28"/>
          <w:lang w:val="en-GB"/>
        </w:rPr>
        <w:t xml:space="preserve"> since been </w:t>
      </w:r>
      <w:r w:rsidR="002D0072" w:rsidRPr="001353CE">
        <w:rPr>
          <w:rFonts w:asciiTheme="minorHAnsi" w:hAnsiTheme="minorHAnsi"/>
          <w:sz w:val="28"/>
          <w:szCs w:val="28"/>
          <w:lang w:val="en-GB"/>
        </w:rPr>
        <w:t xml:space="preserve">strengthened due to </w:t>
      </w:r>
      <w:r w:rsidR="008F3D68" w:rsidRPr="001353CE">
        <w:rPr>
          <w:rFonts w:asciiTheme="minorHAnsi" w:hAnsiTheme="minorHAnsi"/>
          <w:sz w:val="28"/>
          <w:szCs w:val="28"/>
          <w:lang w:val="en-GB"/>
        </w:rPr>
        <w:t>EU obligations</w:t>
      </w:r>
      <w:r w:rsidR="00237412" w:rsidRPr="001353CE">
        <w:rPr>
          <w:rFonts w:asciiTheme="minorHAnsi" w:hAnsiTheme="minorHAnsi"/>
          <w:sz w:val="28"/>
          <w:szCs w:val="28"/>
          <w:lang w:val="en-GB"/>
        </w:rPr>
        <w:t xml:space="preserve"> and resulting domestic legislation</w:t>
      </w:r>
      <w:r w:rsidR="008F3D68" w:rsidRPr="001353CE">
        <w:rPr>
          <w:rFonts w:asciiTheme="minorHAnsi" w:hAnsiTheme="minorHAnsi"/>
          <w:sz w:val="28"/>
          <w:szCs w:val="28"/>
          <w:lang w:val="en-GB"/>
        </w:rPr>
        <w:t>.</w:t>
      </w:r>
      <w:r w:rsidR="00FD5DBA" w:rsidRPr="001353CE">
        <w:rPr>
          <w:rFonts w:asciiTheme="minorHAnsi" w:hAnsiTheme="minorHAnsi"/>
          <w:sz w:val="28"/>
          <w:szCs w:val="28"/>
          <w:lang w:val="en-GB"/>
        </w:rPr>
        <w:t xml:space="preserve"> </w:t>
      </w:r>
    </w:p>
    <w:p w14:paraId="77B21B84" w14:textId="5B136CD1" w:rsidR="00DB64CD" w:rsidRPr="001353CE" w:rsidRDefault="006540E8" w:rsidP="00CC594E">
      <w:pPr>
        <w:pStyle w:val="Default"/>
        <w:numPr>
          <w:ilvl w:val="1"/>
          <w:numId w:val="2"/>
        </w:numPr>
        <w:spacing w:after="240" w:line="276" w:lineRule="auto"/>
        <w:ind w:hanging="792"/>
        <w:rPr>
          <w:rFonts w:asciiTheme="minorHAnsi" w:hAnsiTheme="minorHAnsi"/>
          <w:sz w:val="28"/>
          <w:szCs w:val="28"/>
          <w:lang w:val="en-GB"/>
        </w:rPr>
      </w:pPr>
      <w:r w:rsidRPr="001353CE">
        <w:rPr>
          <w:rFonts w:asciiTheme="minorHAnsi" w:hAnsiTheme="minorHAnsi"/>
          <w:sz w:val="28"/>
          <w:szCs w:val="28"/>
          <w:lang w:val="en-GB"/>
        </w:rPr>
        <w:t>The Commission</w:t>
      </w:r>
      <w:r w:rsidR="00F10EFC" w:rsidRPr="001353CE">
        <w:rPr>
          <w:rFonts w:asciiTheme="minorHAnsi" w:hAnsiTheme="minorHAnsi"/>
          <w:sz w:val="28"/>
          <w:szCs w:val="28"/>
          <w:lang w:val="en-GB"/>
        </w:rPr>
        <w:t>s</w:t>
      </w:r>
      <w:r w:rsidRPr="001353CE">
        <w:rPr>
          <w:rFonts w:asciiTheme="minorHAnsi" w:hAnsiTheme="minorHAnsi"/>
          <w:sz w:val="28"/>
          <w:szCs w:val="28"/>
          <w:lang w:val="en-GB"/>
        </w:rPr>
        <w:t xml:space="preserve"> welcome the commitment </w:t>
      </w:r>
      <w:r w:rsidR="001A56F6" w:rsidRPr="001353CE">
        <w:rPr>
          <w:rFonts w:asciiTheme="minorHAnsi" w:hAnsiTheme="minorHAnsi"/>
          <w:sz w:val="28"/>
          <w:szCs w:val="28"/>
          <w:lang w:val="en-GB"/>
        </w:rPr>
        <w:t xml:space="preserve">in the TCA </w:t>
      </w:r>
      <w:r w:rsidRPr="001353CE">
        <w:rPr>
          <w:rFonts w:asciiTheme="minorHAnsi" w:hAnsiTheme="minorHAnsi"/>
          <w:sz w:val="28"/>
          <w:szCs w:val="28"/>
          <w:lang w:val="en-GB"/>
        </w:rPr>
        <w:t xml:space="preserve">to the ECHR and </w:t>
      </w:r>
      <w:r w:rsidR="00177E96" w:rsidRPr="001353CE">
        <w:rPr>
          <w:rFonts w:asciiTheme="minorHAnsi" w:hAnsiTheme="minorHAnsi"/>
          <w:sz w:val="28"/>
          <w:szCs w:val="28"/>
          <w:lang w:val="en-GB"/>
        </w:rPr>
        <w:t xml:space="preserve">to its </w:t>
      </w:r>
      <w:r w:rsidRPr="001353CE">
        <w:rPr>
          <w:rFonts w:asciiTheme="minorHAnsi" w:hAnsiTheme="minorHAnsi"/>
          <w:sz w:val="28"/>
          <w:szCs w:val="28"/>
          <w:lang w:val="en-GB"/>
        </w:rPr>
        <w:t xml:space="preserve">enduring domestic effect, particularly given that a commitment </w:t>
      </w:r>
      <w:r w:rsidR="007C5326" w:rsidRPr="001353CE">
        <w:rPr>
          <w:rFonts w:asciiTheme="minorHAnsi" w:hAnsiTheme="minorHAnsi"/>
          <w:sz w:val="28"/>
          <w:szCs w:val="28"/>
          <w:lang w:val="en-GB"/>
        </w:rPr>
        <w:t xml:space="preserve">to incorporation of the </w:t>
      </w:r>
      <w:r w:rsidR="007871BB" w:rsidRPr="001353CE">
        <w:rPr>
          <w:rFonts w:asciiTheme="minorHAnsi" w:hAnsiTheme="minorHAnsi"/>
          <w:sz w:val="28"/>
          <w:szCs w:val="28"/>
          <w:lang w:val="en-GB"/>
        </w:rPr>
        <w:t xml:space="preserve">ECHR </w:t>
      </w:r>
      <w:r w:rsidRPr="001353CE">
        <w:rPr>
          <w:rFonts w:asciiTheme="minorHAnsi" w:hAnsiTheme="minorHAnsi"/>
          <w:sz w:val="28"/>
          <w:szCs w:val="28"/>
          <w:lang w:val="en-GB"/>
        </w:rPr>
        <w:t xml:space="preserve">is also contained in the section of the Belfast (Good Friday) Agreement </w:t>
      </w:r>
      <w:r w:rsidR="007871BB" w:rsidRPr="001353CE">
        <w:rPr>
          <w:rFonts w:asciiTheme="minorHAnsi" w:hAnsiTheme="minorHAnsi"/>
          <w:sz w:val="28"/>
          <w:szCs w:val="28"/>
          <w:lang w:val="en-GB"/>
        </w:rPr>
        <w:t xml:space="preserve">specified in </w:t>
      </w:r>
      <w:r w:rsidRPr="001353CE">
        <w:rPr>
          <w:rFonts w:asciiTheme="minorHAnsi" w:hAnsiTheme="minorHAnsi"/>
          <w:sz w:val="28"/>
          <w:szCs w:val="28"/>
          <w:lang w:val="en-GB"/>
        </w:rPr>
        <w:t xml:space="preserve">Article 2. </w:t>
      </w:r>
      <w:r w:rsidR="00711F2F" w:rsidRPr="001353CE">
        <w:rPr>
          <w:rFonts w:asciiTheme="minorHAnsi" w:hAnsiTheme="minorHAnsi"/>
          <w:sz w:val="28"/>
          <w:szCs w:val="28"/>
          <w:lang w:val="en-GB"/>
        </w:rPr>
        <w:t xml:space="preserve">The extent to which Article 2 </w:t>
      </w:r>
      <w:r w:rsidR="00853F50" w:rsidRPr="001353CE">
        <w:rPr>
          <w:rFonts w:asciiTheme="minorHAnsi" w:hAnsiTheme="minorHAnsi"/>
          <w:sz w:val="28"/>
          <w:szCs w:val="28"/>
          <w:lang w:val="en-GB"/>
        </w:rPr>
        <w:t>requires continued adherence to the ECHR is a complex question</w:t>
      </w:r>
      <w:r w:rsidR="00346FE9" w:rsidRPr="001353CE">
        <w:rPr>
          <w:rFonts w:asciiTheme="minorHAnsi" w:hAnsiTheme="minorHAnsi"/>
          <w:sz w:val="28"/>
          <w:szCs w:val="28"/>
        </w:rPr>
        <w:t xml:space="preserve"> on which there has been no judicial decision to date</w:t>
      </w:r>
      <w:r w:rsidR="00700FC6" w:rsidRPr="001353CE">
        <w:rPr>
          <w:rFonts w:asciiTheme="minorHAnsi" w:hAnsiTheme="minorHAnsi"/>
          <w:sz w:val="28"/>
          <w:szCs w:val="28"/>
          <w:lang w:val="en-GB"/>
        </w:rPr>
        <w:t xml:space="preserve">. Its express inclusion in the TCA is therefore helpful. </w:t>
      </w:r>
    </w:p>
    <w:p w14:paraId="771C3AE1" w14:textId="7AC5CC16" w:rsidR="006A3FD4" w:rsidRPr="001353CE" w:rsidRDefault="00017B62" w:rsidP="00CC594E">
      <w:pPr>
        <w:pStyle w:val="Default"/>
        <w:numPr>
          <w:ilvl w:val="1"/>
          <w:numId w:val="2"/>
        </w:numPr>
        <w:spacing w:after="240" w:line="276" w:lineRule="auto"/>
        <w:ind w:hanging="792"/>
        <w:rPr>
          <w:rFonts w:asciiTheme="minorHAnsi" w:hAnsiTheme="minorHAnsi"/>
          <w:sz w:val="28"/>
          <w:szCs w:val="28"/>
          <w:lang w:val="en-GB"/>
        </w:rPr>
      </w:pPr>
      <w:r w:rsidRPr="001353CE">
        <w:rPr>
          <w:rFonts w:asciiTheme="minorHAnsi" w:hAnsiTheme="minorHAnsi"/>
          <w:sz w:val="28"/>
          <w:szCs w:val="28"/>
          <w:lang w:val="en-GB"/>
        </w:rPr>
        <w:t xml:space="preserve">The </w:t>
      </w:r>
      <w:r w:rsidR="00C041B8" w:rsidRPr="001353CE">
        <w:rPr>
          <w:rFonts w:asciiTheme="minorHAnsi" w:hAnsiTheme="minorHAnsi"/>
          <w:sz w:val="28"/>
          <w:szCs w:val="28"/>
          <w:lang w:val="en-GB"/>
        </w:rPr>
        <w:t xml:space="preserve">TCA non-regression provisions on the level playing field, including labour and social </w:t>
      </w:r>
      <w:r w:rsidR="00803215" w:rsidRPr="001353CE">
        <w:rPr>
          <w:rFonts w:asciiTheme="minorHAnsi" w:hAnsiTheme="minorHAnsi"/>
          <w:sz w:val="28"/>
          <w:szCs w:val="28"/>
          <w:lang w:val="en-GB"/>
        </w:rPr>
        <w:t>standards</w:t>
      </w:r>
      <w:r w:rsidR="004753FC" w:rsidRPr="001353CE">
        <w:rPr>
          <w:rFonts w:asciiTheme="minorHAnsi" w:hAnsiTheme="minorHAnsi"/>
          <w:sz w:val="28"/>
          <w:szCs w:val="28"/>
          <w:lang w:val="en-GB"/>
        </w:rPr>
        <w:t>,</w:t>
      </w:r>
      <w:r w:rsidR="00C041B8" w:rsidRPr="001353CE">
        <w:rPr>
          <w:rFonts w:asciiTheme="minorHAnsi" w:hAnsiTheme="minorHAnsi"/>
          <w:sz w:val="28"/>
          <w:szCs w:val="28"/>
          <w:lang w:val="en-GB"/>
        </w:rPr>
        <w:t xml:space="preserve"> </w:t>
      </w:r>
      <w:r w:rsidR="006A3FD4" w:rsidRPr="001353CE">
        <w:rPr>
          <w:rFonts w:asciiTheme="minorHAnsi" w:hAnsiTheme="minorHAnsi"/>
          <w:sz w:val="28"/>
          <w:szCs w:val="28"/>
          <w:lang w:val="en-GB"/>
        </w:rPr>
        <w:t xml:space="preserve">are relevant to </w:t>
      </w:r>
      <w:r w:rsidR="00700FC6" w:rsidRPr="001353CE">
        <w:rPr>
          <w:rFonts w:asciiTheme="minorHAnsi" w:hAnsiTheme="minorHAnsi"/>
          <w:sz w:val="28"/>
          <w:szCs w:val="28"/>
          <w:lang w:val="en-GB"/>
        </w:rPr>
        <w:t xml:space="preserve">Article 2 of the </w:t>
      </w:r>
      <w:r w:rsidR="006A3FD4" w:rsidRPr="001353CE">
        <w:rPr>
          <w:rFonts w:asciiTheme="minorHAnsi" w:hAnsiTheme="minorHAnsi"/>
          <w:sz w:val="28"/>
          <w:szCs w:val="28"/>
          <w:lang w:val="en-GB"/>
        </w:rPr>
        <w:t>Protocol</w:t>
      </w:r>
      <w:r w:rsidR="00700FC6" w:rsidRPr="001353CE">
        <w:rPr>
          <w:rFonts w:asciiTheme="minorHAnsi" w:hAnsiTheme="minorHAnsi"/>
          <w:sz w:val="28"/>
          <w:szCs w:val="28"/>
          <w:lang w:val="en-GB"/>
        </w:rPr>
        <w:t>.</w:t>
      </w:r>
      <w:r w:rsidR="006A3FD4" w:rsidRPr="001353CE">
        <w:rPr>
          <w:rFonts w:asciiTheme="minorHAnsi" w:hAnsiTheme="minorHAnsi"/>
          <w:sz w:val="28"/>
          <w:szCs w:val="28"/>
          <w:lang w:val="en-GB"/>
        </w:rPr>
        <w:t xml:space="preserve"> </w:t>
      </w:r>
      <w:r w:rsidR="000B1A2F" w:rsidRPr="001353CE">
        <w:rPr>
          <w:rFonts w:asciiTheme="minorHAnsi" w:hAnsiTheme="minorHAnsi"/>
          <w:sz w:val="28"/>
          <w:szCs w:val="28"/>
          <w:lang w:val="en-GB"/>
        </w:rPr>
        <w:t>“</w:t>
      </w:r>
      <w:r w:rsidR="007C0351" w:rsidRPr="001353CE">
        <w:rPr>
          <w:rFonts w:asciiTheme="minorHAnsi" w:hAnsiTheme="minorHAnsi"/>
          <w:sz w:val="28"/>
          <w:szCs w:val="28"/>
          <w:lang w:val="en-GB"/>
        </w:rPr>
        <w:t xml:space="preserve">Labour and social </w:t>
      </w:r>
      <w:r w:rsidR="000B1A2F" w:rsidRPr="001353CE">
        <w:rPr>
          <w:rFonts w:asciiTheme="minorHAnsi" w:hAnsiTheme="minorHAnsi"/>
          <w:sz w:val="28"/>
          <w:szCs w:val="28"/>
          <w:lang w:val="en-GB"/>
        </w:rPr>
        <w:t xml:space="preserve">levels of </w:t>
      </w:r>
      <w:r w:rsidR="007C0351" w:rsidRPr="001353CE">
        <w:rPr>
          <w:rFonts w:asciiTheme="minorHAnsi" w:hAnsiTheme="minorHAnsi"/>
          <w:sz w:val="28"/>
          <w:szCs w:val="28"/>
          <w:lang w:val="en-GB"/>
        </w:rPr>
        <w:t>protection</w:t>
      </w:r>
      <w:r w:rsidR="000B1A2F" w:rsidRPr="001353CE">
        <w:rPr>
          <w:rFonts w:asciiTheme="minorHAnsi" w:hAnsiTheme="minorHAnsi"/>
          <w:sz w:val="28"/>
          <w:szCs w:val="28"/>
          <w:lang w:val="en-GB"/>
        </w:rPr>
        <w:t>”</w:t>
      </w:r>
      <w:r w:rsidR="007C0351" w:rsidRPr="001353CE">
        <w:rPr>
          <w:rFonts w:asciiTheme="minorHAnsi" w:hAnsiTheme="minorHAnsi"/>
          <w:sz w:val="28"/>
          <w:szCs w:val="28"/>
          <w:lang w:val="en-GB"/>
        </w:rPr>
        <w:t xml:space="preserve"> are defined in </w:t>
      </w:r>
      <w:r w:rsidR="00046E5A" w:rsidRPr="001353CE">
        <w:rPr>
          <w:rFonts w:asciiTheme="minorHAnsi" w:hAnsiTheme="minorHAnsi"/>
          <w:sz w:val="28"/>
          <w:szCs w:val="28"/>
          <w:lang w:val="en-GB"/>
        </w:rPr>
        <w:t xml:space="preserve">TCA </w:t>
      </w:r>
      <w:r w:rsidR="007C0351" w:rsidRPr="001353CE">
        <w:rPr>
          <w:rFonts w:asciiTheme="minorHAnsi" w:hAnsiTheme="minorHAnsi"/>
          <w:sz w:val="28"/>
          <w:szCs w:val="28"/>
          <w:lang w:val="en-GB"/>
        </w:rPr>
        <w:t>Article 38</w:t>
      </w:r>
      <w:r w:rsidR="000B1A2F" w:rsidRPr="001353CE">
        <w:rPr>
          <w:rFonts w:asciiTheme="minorHAnsi" w:hAnsiTheme="minorHAnsi"/>
          <w:sz w:val="28"/>
          <w:szCs w:val="28"/>
          <w:lang w:val="en-GB"/>
        </w:rPr>
        <w:t xml:space="preserve">6 </w:t>
      </w:r>
      <w:r w:rsidR="00CB4D4E" w:rsidRPr="001353CE">
        <w:rPr>
          <w:rFonts w:asciiTheme="minorHAnsi" w:hAnsiTheme="minorHAnsi"/>
          <w:sz w:val="28"/>
          <w:szCs w:val="28"/>
          <w:lang w:val="en-GB"/>
        </w:rPr>
        <w:t>and include “</w:t>
      </w:r>
      <w:r w:rsidR="000B1A2F" w:rsidRPr="001353CE">
        <w:rPr>
          <w:rFonts w:asciiTheme="minorHAnsi" w:hAnsiTheme="minorHAnsi"/>
          <w:sz w:val="28"/>
          <w:szCs w:val="28"/>
          <w:lang w:val="en-GB"/>
        </w:rPr>
        <w:t>fundamental rights at work</w:t>
      </w:r>
      <w:r w:rsidR="00CB4D4E" w:rsidRPr="001353CE">
        <w:rPr>
          <w:rFonts w:asciiTheme="minorHAnsi" w:hAnsiTheme="minorHAnsi"/>
          <w:sz w:val="28"/>
          <w:szCs w:val="28"/>
          <w:lang w:val="en-GB"/>
        </w:rPr>
        <w:t>”</w:t>
      </w:r>
      <w:r w:rsidR="000B1A2F" w:rsidRPr="001353CE">
        <w:rPr>
          <w:rFonts w:asciiTheme="minorHAnsi" w:hAnsiTheme="minorHAnsi"/>
          <w:sz w:val="28"/>
          <w:szCs w:val="28"/>
          <w:lang w:val="en-GB"/>
        </w:rPr>
        <w:t>.</w:t>
      </w:r>
    </w:p>
    <w:p w14:paraId="656B9231" w14:textId="504C6754" w:rsidR="009311D0" w:rsidRPr="001353CE" w:rsidRDefault="00046E5A" w:rsidP="00CC594E">
      <w:pPr>
        <w:pStyle w:val="Default"/>
        <w:numPr>
          <w:ilvl w:val="1"/>
          <w:numId w:val="2"/>
        </w:numPr>
        <w:spacing w:after="240" w:line="276" w:lineRule="auto"/>
        <w:ind w:hanging="792"/>
        <w:rPr>
          <w:rFonts w:asciiTheme="minorHAnsi" w:hAnsiTheme="minorHAnsi"/>
          <w:sz w:val="28"/>
          <w:szCs w:val="28"/>
          <w:lang w:val="en-GB"/>
        </w:rPr>
      </w:pPr>
      <w:r w:rsidRPr="001353CE">
        <w:rPr>
          <w:rFonts w:asciiTheme="minorHAnsi" w:hAnsiTheme="minorHAnsi"/>
          <w:sz w:val="28"/>
          <w:szCs w:val="28"/>
          <w:lang w:val="en-GB"/>
        </w:rPr>
        <w:t xml:space="preserve">Protocol </w:t>
      </w:r>
      <w:r w:rsidR="00DE3B99" w:rsidRPr="001353CE">
        <w:rPr>
          <w:rFonts w:asciiTheme="minorHAnsi" w:hAnsiTheme="minorHAnsi"/>
          <w:sz w:val="28"/>
          <w:szCs w:val="28"/>
          <w:lang w:val="en-GB"/>
        </w:rPr>
        <w:t>Article 2(1) provides</w:t>
      </w:r>
      <w:r w:rsidR="009F3666" w:rsidRPr="001353CE">
        <w:rPr>
          <w:rFonts w:asciiTheme="minorHAnsi" w:hAnsiTheme="minorHAnsi"/>
          <w:sz w:val="28"/>
          <w:szCs w:val="28"/>
          <w:lang w:val="en-GB"/>
        </w:rPr>
        <w:t>,</w:t>
      </w:r>
      <w:r w:rsidR="00DE3B99" w:rsidRPr="001353CE">
        <w:rPr>
          <w:rFonts w:asciiTheme="minorHAnsi" w:hAnsiTheme="minorHAnsi"/>
          <w:sz w:val="28"/>
          <w:szCs w:val="28"/>
          <w:lang w:val="en-GB"/>
        </w:rPr>
        <w:t xml:space="preserve"> </w:t>
      </w:r>
      <w:r w:rsidR="009F3666" w:rsidRPr="001353CE">
        <w:rPr>
          <w:rFonts w:asciiTheme="minorHAnsi" w:hAnsiTheme="minorHAnsi"/>
          <w:sz w:val="28"/>
          <w:szCs w:val="28"/>
          <w:lang w:val="en-GB"/>
        </w:rPr>
        <w:t xml:space="preserve">firstly, </w:t>
      </w:r>
      <w:r w:rsidR="00DE3B99" w:rsidRPr="001353CE">
        <w:rPr>
          <w:rFonts w:asciiTheme="minorHAnsi" w:hAnsiTheme="minorHAnsi"/>
          <w:sz w:val="28"/>
          <w:szCs w:val="28"/>
          <w:lang w:val="en-GB"/>
        </w:rPr>
        <w:t xml:space="preserve">a non-regression commitment in respect of the range of rights set out in the relevant chapter </w:t>
      </w:r>
      <w:r w:rsidR="00606EB7" w:rsidRPr="001353CE">
        <w:rPr>
          <w:rFonts w:asciiTheme="minorHAnsi" w:hAnsiTheme="minorHAnsi"/>
          <w:sz w:val="28"/>
          <w:szCs w:val="28"/>
          <w:lang w:val="en-GB"/>
        </w:rPr>
        <w:t xml:space="preserve">of the Belfast (Good Friday) Agreement </w:t>
      </w:r>
      <w:r w:rsidR="00DE3B99" w:rsidRPr="001353CE">
        <w:rPr>
          <w:rFonts w:asciiTheme="minorHAnsi" w:hAnsiTheme="minorHAnsi"/>
          <w:sz w:val="28"/>
          <w:szCs w:val="28"/>
          <w:lang w:val="en-GB"/>
        </w:rPr>
        <w:t>underpinned by EU obligations – EU treaties, Regulations, Directives etc. – in place at the end of the transition period</w:t>
      </w:r>
      <w:r w:rsidR="00271F71" w:rsidRPr="001353CE">
        <w:rPr>
          <w:rFonts w:asciiTheme="minorHAnsi" w:hAnsiTheme="minorHAnsi"/>
          <w:sz w:val="28"/>
          <w:szCs w:val="28"/>
          <w:lang w:val="en-GB"/>
        </w:rPr>
        <w:t>, on 31 December 2020</w:t>
      </w:r>
      <w:r w:rsidR="00DE3B99" w:rsidRPr="001353CE">
        <w:rPr>
          <w:rFonts w:asciiTheme="minorHAnsi" w:hAnsiTheme="minorHAnsi"/>
          <w:sz w:val="28"/>
          <w:szCs w:val="28"/>
          <w:lang w:val="en-GB"/>
        </w:rPr>
        <w:t xml:space="preserve">. </w:t>
      </w:r>
    </w:p>
    <w:p w14:paraId="2F32EB6F" w14:textId="3AC0EE4C" w:rsidR="00D83D72" w:rsidRPr="001353CE" w:rsidRDefault="003923B0" w:rsidP="00CC594E">
      <w:pPr>
        <w:pStyle w:val="Default"/>
        <w:numPr>
          <w:ilvl w:val="1"/>
          <w:numId w:val="2"/>
        </w:numPr>
        <w:spacing w:after="240" w:line="276" w:lineRule="auto"/>
        <w:ind w:hanging="792"/>
        <w:rPr>
          <w:rFonts w:asciiTheme="minorHAnsi" w:hAnsiTheme="minorHAnsi"/>
          <w:sz w:val="28"/>
          <w:szCs w:val="28"/>
          <w:lang w:val="en-GB"/>
        </w:rPr>
      </w:pPr>
      <w:r w:rsidRPr="001353CE">
        <w:rPr>
          <w:rFonts w:asciiTheme="minorHAnsi" w:hAnsiTheme="minorHAnsi"/>
          <w:sz w:val="28"/>
          <w:szCs w:val="28"/>
          <w:lang w:val="en-GB"/>
        </w:rPr>
        <w:t xml:space="preserve">Annex 1 of the Protocol sets out six EU equality Directives. Under the Protocol, the UK Government has committed not only to ensure that there is no diminution of the rights contained in these Directives but also that Northern Ireland equality law will keep pace with any changes made by the EU to these rights to improve the minimum levels of protection available, </w:t>
      </w:r>
      <w:r w:rsidR="00C073A6" w:rsidRPr="001353CE">
        <w:rPr>
          <w:rFonts w:asciiTheme="minorHAnsi" w:hAnsiTheme="minorHAnsi"/>
          <w:sz w:val="28"/>
          <w:szCs w:val="28"/>
          <w:lang w:val="en-GB"/>
        </w:rPr>
        <w:t xml:space="preserve">from </w:t>
      </w:r>
      <w:r w:rsidRPr="001353CE">
        <w:rPr>
          <w:rFonts w:asciiTheme="minorHAnsi" w:hAnsiTheme="minorHAnsi"/>
          <w:sz w:val="28"/>
          <w:szCs w:val="28"/>
          <w:lang w:val="en-GB"/>
        </w:rPr>
        <w:t>1 January 2021</w:t>
      </w:r>
      <w:r w:rsidR="00C52DA5" w:rsidRPr="001353CE">
        <w:rPr>
          <w:rFonts w:asciiTheme="minorHAnsi" w:hAnsiTheme="minorHAnsi"/>
          <w:sz w:val="28"/>
          <w:szCs w:val="28"/>
          <w:lang w:val="en-GB"/>
        </w:rPr>
        <w:t>.</w:t>
      </w:r>
    </w:p>
    <w:p w14:paraId="5C2283A9" w14:textId="228AAC2E" w:rsidR="005E2D7E" w:rsidRPr="001353CE" w:rsidRDefault="005E2D7E" w:rsidP="006C63A9">
      <w:pPr>
        <w:pStyle w:val="Default"/>
        <w:numPr>
          <w:ilvl w:val="1"/>
          <w:numId w:val="2"/>
        </w:numPr>
        <w:spacing w:before="0" w:after="0" w:line="276" w:lineRule="auto"/>
        <w:ind w:hanging="792"/>
        <w:rPr>
          <w:rFonts w:asciiTheme="minorHAnsi" w:hAnsiTheme="minorHAnsi"/>
          <w:sz w:val="28"/>
          <w:szCs w:val="28"/>
          <w:lang w:val="en-GB"/>
        </w:rPr>
      </w:pPr>
      <w:r w:rsidRPr="001353CE">
        <w:rPr>
          <w:rFonts w:asciiTheme="minorHAnsi" w:hAnsiTheme="minorHAnsi"/>
          <w:sz w:val="28"/>
          <w:szCs w:val="28"/>
        </w:rPr>
        <w:t>The Directives are:</w:t>
      </w:r>
    </w:p>
    <w:p w14:paraId="3321D28C" w14:textId="77777777" w:rsidR="005E2D7E" w:rsidRPr="001353CE" w:rsidRDefault="005E2D7E" w:rsidP="00CC594E">
      <w:pPr>
        <w:pStyle w:val="ListParagraph"/>
        <w:numPr>
          <w:ilvl w:val="0"/>
          <w:numId w:val="8"/>
        </w:numPr>
        <w:spacing w:after="0" w:line="276" w:lineRule="auto"/>
        <w:rPr>
          <w:rFonts w:asciiTheme="minorHAnsi" w:hAnsiTheme="minorHAnsi"/>
          <w:sz w:val="28"/>
          <w:szCs w:val="28"/>
        </w:rPr>
      </w:pPr>
      <w:r w:rsidRPr="001353CE">
        <w:rPr>
          <w:rFonts w:asciiTheme="minorHAnsi" w:hAnsiTheme="minorHAnsi"/>
          <w:sz w:val="28"/>
          <w:szCs w:val="28"/>
        </w:rPr>
        <w:t>Gender Goods and Services Directive;</w:t>
      </w:r>
      <w:r w:rsidRPr="001353CE">
        <w:rPr>
          <w:rStyle w:val="FootnoteReference"/>
          <w:rFonts w:asciiTheme="minorHAnsi" w:hAnsiTheme="minorHAnsi"/>
          <w:sz w:val="28"/>
          <w:szCs w:val="28"/>
        </w:rPr>
        <w:footnoteReference w:id="4"/>
      </w:r>
      <w:r w:rsidRPr="001353CE">
        <w:rPr>
          <w:rFonts w:asciiTheme="minorHAnsi" w:hAnsiTheme="minorHAnsi"/>
          <w:sz w:val="28"/>
          <w:szCs w:val="28"/>
        </w:rPr>
        <w:t xml:space="preserve"> </w:t>
      </w:r>
    </w:p>
    <w:p w14:paraId="33970AC5" w14:textId="7D2F3D9B" w:rsidR="005E2D7E" w:rsidRPr="001353CE" w:rsidRDefault="00460FFF" w:rsidP="00CC594E">
      <w:pPr>
        <w:pStyle w:val="ListParagraph"/>
        <w:numPr>
          <w:ilvl w:val="0"/>
          <w:numId w:val="8"/>
        </w:numPr>
        <w:spacing w:after="0" w:line="276" w:lineRule="auto"/>
        <w:rPr>
          <w:rFonts w:asciiTheme="minorHAnsi" w:hAnsiTheme="minorHAnsi"/>
          <w:sz w:val="28"/>
          <w:szCs w:val="28"/>
        </w:rPr>
      </w:pPr>
      <w:r w:rsidRPr="001353CE">
        <w:rPr>
          <w:rFonts w:asciiTheme="minorHAnsi" w:hAnsiTheme="minorHAnsi"/>
          <w:sz w:val="28"/>
          <w:szCs w:val="28"/>
        </w:rPr>
        <w:t xml:space="preserve">Recast </w:t>
      </w:r>
      <w:r w:rsidR="005E2D7E" w:rsidRPr="001353CE">
        <w:rPr>
          <w:rFonts w:asciiTheme="minorHAnsi" w:hAnsiTheme="minorHAnsi"/>
          <w:sz w:val="28"/>
          <w:szCs w:val="28"/>
        </w:rPr>
        <w:t>Equal Treatment Directive;</w:t>
      </w:r>
      <w:r w:rsidR="005E2D7E" w:rsidRPr="001353CE">
        <w:rPr>
          <w:rStyle w:val="FootnoteReference"/>
          <w:rFonts w:asciiTheme="minorHAnsi" w:hAnsiTheme="minorHAnsi"/>
          <w:sz w:val="28"/>
          <w:szCs w:val="28"/>
        </w:rPr>
        <w:footnoteReference w:id="5"/>
      </w:r>
    </w:p>
    <w:p w14:paraId="4484ED1A" w14:textId="77777777" w:rsidR="005E2D7E" w:rsidRPr="001353CE" w:rsidRDefault="005E2D7E" w:rsidP="00CC594E">
      <w:pPr>
        <w:pStyle w:val="ListParagraph"/>
        <w:numPr>
          <w:ilvl w:val="0"/>
          <w:numId w:val="8"/>
        </w:numPr>
        <w:spacing w:after="0" w:line="276" w:lineRule="auto"/>
        <w:rPr>
          <w:rFonts w:asciiTheme="minorHAnsi" w:hAnsiTheme="minorHAnsi"/>
          <w:sz w:val="28"/>
          <w:szCs w:val="28"/>
        </w:rPr>
      </w:pPr>
      <w:r w:rsidRPr="001353CE">
        <w:rPr>
          <w:rFonts w:asciiTheme="minorHAnsi" w:hAnsiTheme="minorHAnsi"/>
          <w:sz w:val="28"/>
          <w:szCs w:val="28"/>
        </w:rPr>
        <w:t>Racial Equality Directive;</w:t>
      </w:r>
      <w:r w:rsidRPr="001353CE">
        <w:rPr>
          <w:rStyle w:val="FootnoteReference"/>
          <w:rFonts w:asciiTheme="minorHAnsi" w:hAnsiTheme="minorHAnsi"/>
          <w:sz w:val="28"/>
          <w:szCs w:val="28"/>
        </w:rPr>
        <w:footnoteReference w:id="6"/>
      </w:r>
      <w:r w:rsidRPr="001353CE">
        <w:rPr>
          <w:rFonts w:asciiTheme="minorHAnsi" w:hAnsiTheme="minorHAnsi"/>
          <w:sz w:val="28"/>
          <w:szCs w:val="28"/>
        </w:rPr>
        <w:t xml:space="preserve"> </w:t>
      </w:r>
    </w:p>
    <w:p w14:paraId="3A88C780" w14:textId="77777777" w:rsidR="005E2D7E" w:rsidRPr="001353CE" w:rsidRDefault="005E2D7E" w:rsidP="00CC594E">
      <w:pPr>
        <w:pStyle w:val="ListParagraph"/>
        <w:numPr>
          <w:ilvl w:val="0"/>
          <w:numId w:val="8"/>
        </w:numPr>
        <w:spacing w:after="0" w:line="276" w:lineRule="auto"/>
        <w:rPr>
          <w:rFonts w:asciiTheme="minorHAnsi" w:hAnsiTheme="minorHAnsi"/>
          <w:sz w:val="28"/>
          <w:szCs w:val="28"/>
        </w:rPr>
      </w:pPr>
      <w:r w:rsidRPr="001353CE">
        <w:rPr>
          <w:rFonts w:asciiTheme="minorHAnsi" w:hAnsiTheme="minorHAnsi"/>
          <w:sz w:val="28"/>
          <w:szCs w:val="28"/>
        </w:rPr>
        <w:t>Equality Framework Directive;</w:t>
      </w:r>
      <w:r w:rsidRPr="001353CE">
        <w:rPr>
          <w:rStyle w:val="FootnoteReference"/>
          <w:rFonts w:asciiTheme="minorHAnsi" w:hAnsiTheme="minorHAnsi"/>
          <w:sz w:val="28"/>
          <w:szCs w:val="28"/>
        </w:rPr>
        <w:footnoteReference w:id="7"/>
      </w:r>
      <w:r w:rsidRPr="001353CE">
        <w:rPr>
          <w:rFonts w:asciiTheme="minorHAnsi" w:hAnsiTheme="minorHAnsi"/>
          <w:sz w:val="28"/>
          <w:szCs w:val="28"/>
        </w:rPr>
        <w:t xml:space="preserve"> </w:t>
      </w:r>
    </w:p>
    <w:p w14:paraId="2C5A5729" w14:textId="77777777" w:rsidR="005E2D7E" w:rsidRPr="001353CE" w:rsidRDefault="005E2D7E" w:rsidP="00CC594E">
      <w:pPr>
        <w:pStyle w:val="ListParagraph"/>
        <w:numPr>
          <w:ilvl w:val="0"/>
          <w:numId w:val="8"/>
        </w:numPr>
        <w:spacing w:after="0" w:line="276" w:lineRule="auto"/>
        <w:rPr>
          <w:rFonts w:asciiTheme="minorHAnsi" w:hAnsiTheme="minorHAnsi"/>
          <w:sz w:val="28"/>
          <w:szCs w:val="28"/>
        </w:rPr>
      </w:pPr>
      <w:r w:rsidRPr="001353CE">
        <w:rPr>
          <w:rFonts w:asciiTheme="minorHAnsi" w:hAnsiTheme="minorHAnsi"/>
          <w:sz w:val="28"/>
          <w:szCs w:val="28"/>
        </w:rPr>
        <w:t>Self-Employment Equal Treatment Directive;</w:t>
      </w:r>
      <w:r w:rsidRPr="001353CE">
        <w:rPr>
          <w:rStyle w:val="FootnoteReference"/>
          <w:rFonts w:asciiTheme="minorHAnsi" w:hAnsiTheme="minorHAnsi"/>
          <w:sz w:val="28"/>
          <w:szCs w:val="28"/>
        </w:rPr>
        <w:footnoteReference w:id="8"/>
      </w:r>
      <w:r w:rsidRPr="001353CE">
        <w:rPr>
          <w:rFonts w:asciiTheme="minorHAnsi" w:hAnsiTheme="minorHAnsi"/>
          <w:sz w:val="28"/>
          <w:szCs w:val="28"/>
        </w:rPr>
        <w:t xml:space="preserve"> and </w:t>
      </w:r>
    </w:p>
    <w:p w14:paraId="7D2831DF" w14:textId="69B079F0" w:rsidR="005E2D7E" w:rsidRPr="001353CE" w:rsidRDefault="005E2D7E" w:rsidP="00CC594E">
      <w:pPr>
        <w:pStyle w:val="ListParagraph"/>
        <w:numPr>
          <w:ilvl w:val="0"/>
          <w:numId w:val="8"/>
        </w:numPr>
        <w:spacing w:line="276" w:lineRule="auto"/>
        <w:rPr>
          <w:rFonts w:asciiTheme="minorHAnsi" w:hAnsiTheme="minorHAnsi"/>
          <w:sz w:val="28"/>
          <w:szCs w:val="28"/>
        </w:rPr>
      </w:pPr>
      <w:r w:rsidRPr="001353CE">
        <w:rPr>
          <w:rFonts w:asciiTheme="minorHAnsi" w:hAnsiTheme="minorHAnsi"/>
          <w:sz w:val="28"/>
          <w:szCs w:val="28"/>
        </w:rPr>
        <w:t>Equal Treatment in Social Security Directive.</w:t>
      </w:r>
      <w:r w:rsidRPr="001353CE">
        <w:rPr>
          <w:rStyle w:val="FootnoteReference"/>
          <w:rFonts w:asciiTheme="minorHAnsi" w:hAnsiTheme="minorHAnsi"/>
          <w:sz w:val="28"/>
          <w:szCs w:val="28"/>
        </w:rPr>
        <w:footnoteReference w:id="9"/>
      </w:r>
      <w:r w:rsidRPr="001353CE">
        <w:rPr>
          <w:rFonts w:asciiTheme="minorHAnsi" w:hAnsiTheme="minorHAnsi"/>
          <w:sz w:val="28"/>
          <w:szCs w:val="28"/>
        </w:rPr>
        <w:t xml:space="preserve"> </w:t>
      </w:r>
    </w:p>
    <w:p w14:paraId="798F9952" w14:textId="7CBB7947" w:rsidR="00CA2D81" w:rsidRPr="001353CE" w:rsidRDefault="006871B7" w:rsidP="00CC594E">
      <w:pPr>
        <w:pStyle w:val="Default"/>
        <w:numPr>
          <w:ilvl w:val="1"/>
          <w:numId w:val="2"/>
        </w:numPr>
        <w:spacing w:after="240" w:line="276" w:lineRule="auto"/>
        <w:ind w:hanging="792"/>
        <w:rPr>
          <w:rFonts w:asciiTheme="minorHAnsi" w:hAnsiTheme="minorHAnsi"/>
          <w:sz w:val="28"/>
          <w:szCs w:val="28"/>
          <w:lang w:val="en-GB"/>
        </w:rPr>
      </w:pPr>
      <w:r w:rsidRPr="001353CE">
        <w:rPr>
          <w:rFonts w:asciiTheme="minorHAnsi" w:hAnsiTheme="minorHAnsi"/>
          <w:sz w:val="28"/>
          <w:szCs w:val="28"/>
        </w:rPr>
        <w:t>T</w:t>
      </w:r>
      <w:r w:rsidR="00460FFF" w:rsidRPr="001353CE">
        <w:rPr>
          <w:rFonts w:asciiTheme="minorHAnsi" w:hAnsiTheme="minorHAnsi"/>
          <w:sz w:val="28"/>
          <w:szCs w:val="28"/>
        </w:rPr>
        <w:t>he Employment Framework Directive</w:t>
      </w:r>
      <w:r w:rsidR="00CA2D81" w:rsidRPr="001353CE">
        <w:rPr>
          <w:rFonts w:asciiTheme="minorHAnsi" w:hAnsiTheme="minorHAnsi"/>
          <w:sz w:val="28"/>
          <w:szCs w:val="28"/>
          <w:lang w:val="en-GB"/>
        </w:rPr>
        <w:t xml:space="preserve"> </w:t>
      </w:r>
      <w:r w:rsidR="00A710F7" w:rsidRPr="001353CE">
        <w:rPr>
          <w:rFonts w:asciiTheme="minorHAnsi" w:hAnsiTheme="minorHAnsi"/>
          <w:sz w:val="28"/>
          <w:szCs w:val="28"/>
        </w:rPr>
        <w:t>prohibits discrimination in the area of employment and vocational training on the grounds of age, disability, sexual orientation, and religion and belief; the Recast Equal Treatment Directive cover</w:t>
      </w:r>
      <w:r w:rsidR="00124D58" w:rsidRPr="001353CE">
        <w:rPr>
          <w:rFonts w:asciiTheme="minorHAnsi" w:hAnsiTheme="minorHAnsi"/>
          <w:sz w:val="28"/>
          <w:szCs w:val="28"/>
        </w:rPr>
        <w:t>s</w:t>
      </w:r>
      <w:r w:rsidR="00A710F7" w:rsidRPr="001353CE">
        <w:rPr>
          <w:rFonts w:asciiTheme="minorHAnsi" w:hAnsiTheme="minorHAnsi"/>
          <w:sz w:val="28"/>
          <w:szCs w:val="28"/>
        </w:rPr>
        <w:t xml:space="preserve"> equal pay and the Race Directive covers discrimination on grounds of race, ethnic and national origin including in employment and vocational training</w:t>
      </w:r>
    </w:p>
    <w:p w14:paraId="5418562A" w14:textId="1F4054C6" w:rsidR="00BB499D" w:rsidRPr="001353CE" w:rsidRDefault="00CD1E24" w:rsidP="00CC594E">
      <w:pPr>
        <w:pStyle w:val="Default"/>
        <w:numPr>
          <w:ilvl w:val="1"/>
          <w:numId w:val="2"/>
        </w:numPr>
        <w:spacing w:after="240" w:line="276" w:lineRule="auto"/>
        <w:ind w:hanging="792"/>
        <w:rPr>
          <w:rFonts w:asciiTheme="minorHAnsi" w:hAnsiTheme="minorHAnsi"/>
          <w:sz w:val="28"/>
          <w:szCs w:val="28"/>
          <w:lang w:val="en-GB"/>
        </w:rPr>
      </w:pPr>
      <w:r w:rsidRPr="001353CE">
        <w:rPr>
          <w:rFonts w:asciiTheme="minorHAnsi" w:hAnsiTheme="minorHAnsi"/>
          <w:sz w:val="28"/>
          <w:szCs w:val="28"/>
          <w:lang w:val="en-GB"/>
        </w:rPr>
        <w:t>The</w:t>
      </w:r>
      <w:r w:rsidR="002A63E2" w:rsidRPr="001353CE">
        <w:rPr>
          <w:rFonts w:asciiTheme="minorHAnsi" w:hAnsiTheme="minorHAnsi"/>
          <w:sz w:val="28"/>
          <w:szCs w:val="28"/>
          <w:lang w:val="en-GB"/>
        </w:rPr>
        <w:t xml:space="preserve"> UK Government has also acknowledged </w:t>
      </w:r>
      <w:r w:rsidR="002436D8" w:rsidRPr="001353CE">
        <w:rPr>
          <w:rFonts w:asciiTheme="minorHAnsi" w:hAnsiTheme="minorHAnsi"/>
          <w:sz w:val="28"/>
          <w:szCs w:val="28"/>
          <w:lang w:val="en-GB"/>
        </w:rPr>
        <w:t xml:space="preserve">on a non-exhaustive basis, </w:t>
      </w:r>
      <w:r w:rsidR="002A63E2" w:rsidRPr="001353CE">
        <w:rPr>
          <w:rFonts w:asciiTheme="minorHAnsi" w:hAnsiTheme="minorHAnsi"/>
          <w:sz w:val="28"/>
          <w:szCs w:val="28"/>
          <w:lang w:val="en-GB"/>
        </w:rPr>
        <w:t xml:space="preserve">that the Parental Leave </w:t>
      </w:r>
      <w:r w:rsidR="00CB4D4E" w:rsidRPr="001353CE">
        <w:rPr>
          <w:rFonts w:asciiTheme="minorHAnsi" w:hAnsiTheme="minorHAnsi"/>
          <w:sz w:val="28"/>
          <w:szCs w:val="28"/>
          <w:lang w:val="en-GB"/>
        </w:rPr>
        <w:t>D</w:t>
      </w:r>
      <w:r w:rsidR="002A63E2" w:rsidRPr="001353CE">
        <w:rPr>
          <w:rFonts w:asciiTheme="minorHAnsi" w:hAnsiTheme="minorHAnsi"/>
          <w:sz w:val="28"/>
          <w:szCs w:val="28"/>
          <w:lang w:val="en-GB"/>
        </w:rPr>
        <w:t xml:space="preserve">irective and Pregnant Workers </w:t>
      </w:r>
      <w:r w:rsidR="00CB4D4E" w:rsidRPr="001353CE">
        <w:rPr>
          <w:rFonts w:asciiTheme="minorHAnsi" w:hAnsiTheme="minorHAnsi"/>
          <w:sz w:val="28"/>
          <w:szCs w:val="28"/>
          <w:lang w:val="en-GB"/>
        </w:rPr>
        <w:t>D</w:t>
      </w:r>
      <w:r w:rsidR="002A63E2" w:rsidRPr="001353CE">
        <w:rPr>
          <w:rFonts w:asciiTheme="minorHAnsi" w:hAnsiTheme="minorHAnsi"/>
          <w:sz w:val="28"/>
          <w:szCs w:val="28"/>
          <w:lang w:val="en-GB"/>
        </w:rPr>
        <w:t xml:space="preserve">irective are relevant to the wider </w:t>
      </w:r>
      <w:r w:rsidR="007375BC" w:rsidRPr="001353CE">
        <w:rPr>
          <w:rFonts w:asciiTheme="minorHAnsi" w:hAnsiTheme="minorHAnsi"/>
          <w:sz w:val="28"/>
          <w:szCs w:val="28"/>
          <w:lang w:val="en-GB"/>
        </w:rPr>
        <w:t>no</w:t>
      </w:r>
      <w:r w:rsidR="00C47FBA" w:rsidRPr="001353CE">
        <w:rPr>
          <w:rFonts w:asciiTheme="minorHAnsi" w:hAnsiTheme="minorHAnsi"/>
          <w:sz w:val="28"/>
          <w:szCs w:val="28"/>
          <w:lang w:val="en-GB"/>
        </w:rPr>
        <w:t>n-</w:t>
      </w:r>
      <w:r w:rsidR="007375BC" w:rsidRPr="001353CE">
        <w:rPr>
          <w:rFonts w:asciiTheme="minorHAnsi" w:hAnsiTheme="minorHAnsi"/>
          <w:sz w:val="28"/>
          <w:szCs w:val="28"/>
          <w:lang w:val="en-GB"/>
        </w:rPr>
        <w:t xml:space="preserve">regression </w:t>
      </w:r>
      <w:r w:rsidR="002A63E2" w:rsidRPr="001353CE">
        <w:rPr>
          <w:rFonts w:asciiTheme="minorHAnsi" w:hAnsiTheme="minorHAnsi"/>
          <w:sz w:val="28"/>
          <w:szCs w:val="28"/>
          <w:lang w:val="en-GB"/>
        </w:rPr>
        <w:t>commitment</w:t>
      </w:r>
      <w:r w:rsidR="002436D8" w:rsidRPr="001353CE">
        <w:rPr>
          <w:rFonts w:asciiTheme="minorHAnsi" w:hAnsiTheme="minorHAnsi"/>
          <w:sz w:val="28"/>
          <w:szCs w:val="28"/>
          <w:lang w:val="en-GB"/>
        </w:rPr>
        <w:t xml:space="preserve">. </w:t>
      </w:r>
    </w:p>
    <w:p w14:paraId="365B6C69" w14:textId="020101AE" w:rsidR="00C041B8" w:rsidRPr="001353CE" w:rsidRDefault="00581868" w:rsidP="00CC594E">
      <w:pPr>
        <w:pStyle w:val="Default"/>
        <w:numPr>
          <w:ilvl w:val="1"/>
          <w:numId w:val="2"/>
        </w:numPr>
        <w:spacing w:after="240" w:line="276" w:lineRule="auto"/>
        <w:ind w:hanging="792"/>
        <w:rPr>
          <w:rFonts w:asciiTheme="minorHAnsi" w:hAnsiTheme="minorHAnsi"/>
          <w:sz w:val="28"/>
          <w:szCs w:val="28"/>
          <w:lang w:val="en-GB"/>
        </w:rPr>
      </w:pPr>
      <w:r w:rsidRPr="001353CE">
        <w:rPr>
          <w:rFonts w:asciiTheme="minorHAnsi" w:hAnsiTheme="minorHAnsi"/>
          <w:sz w:val="28"/>
          <w:szCs w:val="28"/>
          <w:lang w:val="en-GB"/>
        </w:rPr>
        <w:t>The</w:t>
      </w:r>
      <w:r w:rsidR="00956D3E" w:rsidRPr="001353CE">
        <w:rPr>
          <w:rFonts w:asciiTheme="minorHAnsi" w:hAnsiTheme="minorHAnsi"/>
          <w:sz w:val="28"/>
          <w:szCs w:val="28"/>
          <w:lang w:val="en-GB"/>
        </w:rPr>
        <w:t xml:space="preserve"> level playing field commitment in relation to</w:t>
      </w:r>
      <w:r w:rsidRPr="001353CE">
        <w:rPr>
          <w:rFonts w:asciiTheme="minorHAnsi" w:hAnsiTheme="minorHAnsi"/>
          <w:sz w:val="28"/>
          <w:szCs w:val="28"/>
          <w:lang w:val="en-GB"/>
        </w:rPr>
        <w:t xml:space="preserve"> labour and social protection in the TCA </w:t>
      </w:r>
      <w:r w:rsidR="00C041B8" w:rsidRPr="001353CE">
        <w:rPr>
          <w:rFonts w:asciiTheme="minorHAnsi" w:hAnsiTheme="minorHAnsi"/>
          <w:sz w:val="28"/>
          <w:szCs w:val="28"/>
          <w:lang w:val="en-GB"/>
        </w:rPr>
        <w:t>is</w:t>
      </w:r>
      <w:r w:rsidR="004F26F2" w:rsidRPr="001353CE">
        <w:rPr>
          <w:rFonts w:asciiTheme="minorHAnsi" w:hAnsiTheme="minorHAnsi"/>
          <w:sz w:val="28"/>
          <w:szCs w:val="28"/>
          <w:lang w:val="en-GB"/>
        </w:rPr>
        <w:t xml:space="preserve"> therefore welcome, </w:t>
      </w:r>
      <w:r w:rsidR="00CB4D4E" w:rsidRPr="001353CE">
        <w:rPr>
          <w:rFonts w:asciiTheme="minorHAnsi" w:hAnsiTheme="minorHAnsi"/>
          <w:sz w:val="28"/>
          <w:szCs w:val="28"/>
          <w:lang w:val="en-GB"/>
        </w:rPr>
        <w:t xml:space="preserve">however </w:t>
      </w:r>
      <w:r w:rsidR="004F26F2" w:rsidRPr="001353CE">
        <w:rPr>
          <w:rFonts w:asciiTheme="minorHAnsi" w:hAnsiTheme="minorHAnsi"/>
          <w:sz w:val="28"/>
          <w:szCs w:val="28"/>
          <w:lang w:val="en-GB"/>
        </w:rPr>
        <w:t>it is</w:t>
      </w:r>
      <w:r w:rsidR="00C041B8" w:rsidRPr="001353CE">
        <w:rPr>
          <w:rFonts w:asciiTheme="minorHAnsi" w:hAnsiTheme="minorHAnsi"/>
          <w:sz w:val="28"/>
          <w:szCs w:val="28"/>
          <w:lang w:val="en-GB"/>
        </w:rPr>
        <w:t xml:space="preserve"> weakened by </w:t>
      </w:r>
      <w:r w:rsidR="00CB4D4E" w:rsidRPr="001353CE">
        <w:rPr>
          <w:rFonts w:asciiTheme="minorHAnsi" w:hAnsiTheme="minorHAnsi"/>
          <w:sz w:val="28"/>
          <w:szCs w:val="28"/>
          <w:lang w:val="en-GB"/>
        </w:rPr>
        <w:t xml:space="preserve">a </w:t>
      </w:r>
      <w:r w:rsidR="00C041B8" w:rsidRPr="001353CE">
        <w:rPr>
          <w:rFonts w:asciiTheme="minorHAnsi" w:hAnsiTheme="minorHAnsi"/>
          <w:sz w:val="28"/>
          <w:szCs w:val="28"/>
          <w:lang w:val="en-GB"/>
        </w:rPr>
        <w:t xml:space="preserve">caveat to the effect that the diminution must not impact </w:t>
      </w:r>
      <w:r w:rsidR="00CB4D4E" w:rsidRPr="001353CE">
        <w:rPr>
          <w:rFonts w:asciiTheme="minorHAnsi" w:hAnsiTheme="minorHAnsi"/>
          <w:sz w:val="28"/>
          <w:szCs w:val="28"/>
          <w:lang w:val="en-GB"/>
        </w:rPr>
        <w:t xml:space="preserve">upon </w:t>
      </w:r>
      <w:r w:rsidR="00C041B8" w:rsidRPr="001353CE">
        <w:rPr>
          <w:rFonts w:asciiTheme="minorHAnsi" w:hAnsiTheme="minorHAnsi"/>
          <w:sz w:val="28"/>
          <w:szCs w:val="28"/>
          <w:lang w:val="en-GB"/>
        </w:rPr>
        <w:t>trade or investment, which may be difficult to demonstrate</w:t>
      </w:r>
      <w:r w:rsidR="003856D7" w:rsidRPr="001353CE">
        <w:rPr>
          <w:rFonts w:asciiTheme="minorHAnsi" w:hAnsiTheme="minorHAnsi"/>
          <w:sz w:val="28"/>
          <w:szCs w:val="28"/>
          <w:lang w:val="en-GB"/>
        </w:rPr>
        <w:t>:</w:t>
      </w:r>
      <w:r w:rsidR="00C041B8" w:rsidRPr="001353CE">
        <w:rPr>
          <w:rFonts w:asciiTheme="minorHAnsi" w:hAnsiTheme="minorHAnsi"/>
          <w:sz w:val="28"/>
          <w:szCs w:val="28"/>
          <w:lang w:val="en-GB"/>
        </w:rPr>
        <w:t xml:space="preserve"> </w:t>
      </w:r>
    </w:p>
    <w:p w14:paraId="6C5AB9C8" w14:textId="77777777" w:rsidR="00C041B8" w:rsidRPr="001353CE" w:rsidRDefault="00C041B8" w:rsidP="00CC594E">
      <w:pPr>
        <w:pStyle w:val="Default"/>
        <w:numPr>
          <w:ilvl w:val="0"/>
          <w:numId w:val="0"/>
        </w:numPr>
        <w:spacing w:after="240" w:line="276" w:lineRule="auto"/>
        <w:ind w:left="1440"/>
        <w:rPr>
          <w:rFonts w:asciiTheme="minorHAnsi" w:hAnsiTheme="minorHAnsi"/>
          <w:sz w:val="28"/>
          <w:szCs w:val="28"/>
          <w:lang w:val="en-GB"/>
        </w:rPr>
      </w:pPr>
      <w:r w:rsidRPr="001353CE">
        <w:rPr>
          <w:rFonts w:asciiTheme="minorHAnsi" w:hAnsiTheme="minorHAnsi"/>
          <w:sz w:val="28"/>
          <w:szCs w:val="28"/>
          <w:lang w:val="en-GB"/>
        </w:rPr>
        <w:t>“A Party shall not weaken or reduce, in a manner affecting trade or investment between the Parties, its labour and social levels of protection below the levels in place at the end of the transition period, including by failing to effectively enforce its law and standards.”</w:t>
      </w:r>
      <w:r w:rsidRPr="001353CE">
        <w:rPr>
          <w:rFonts w:asciiTheme="minorHAnsi" w:hAnsiTheme="minorHAnsi"/>
          <w:sz w:val="28"/>
          <w:szCs w:val="28"/>
          <w:vertAlign w:val="superscript"/>
          <w:lang w:val="en-GB"/>
        </w:rPr>
        <w:footnoteReference w:id="10"/>
      </w:r>
    </w:p>
    <w:p w14:paraId="4EB88E09" w14:textId="07FD6DBB" w:rsidR="00D072F1" w:rsidRPr="001353CE" w:rsidRDefault="00D072F1" w:rsidP="00CC594E">
      <w:pPr>
        <w:pStyle w:val="Default"/>
        <w:numPr>
          <w:ilvl w:val="1"/>
          <w:numId w:val="2"/>
        </w:numPr>
        <w:spacing w:after="240" w:line="276" w:lineRule="auto"/>
        <w:ind w:hanging="792"/>
        <w:rPr>
          <w:rFonts w:asciiTheme="minorHAnsi" w:hAnsiTheme="minorHAnsi"/>
          <w:sz w:val="28"/>
          <w:szCs w:val="28"/>
          <w:lang w:val="en-GB"/>
        </w:rPr>
      </w:pPr>
      <w:r w:rsidRPr="001353CE">
        <w:rPr>
          <w:rFonts w:asciiTheme="minorHAnsi" w:hAnsiTheme="minorHAnsi"/>
          <w:sz w:val="28"/>
          <w:szCs w:val="28"/>
          <w:lang w:val="en-GB"/>
        </w:rPr>
        <w:t xml:space="preserve">The development of domestic policy in this field </w:t>
      </w:r>
      <w:r w:rsidR="00CB4D4E" w:rsidRPr="001353CE">
        <w:rPr>
          <w:rFonts w:asciiTheme="minorHAnsi" w:hAnsiTheme="minorHAnsi"/>
          <w:sz w:val="28"/>
          <w:szCs w:val="28"/>
          <w:lang w:val="en-GB"/>
        </w:rPr>
        <w:t>must</w:t>
      </w:r>
      <w:r w:rsidRPr="001353CE">
        <w:rPr>
          <w:rFonts w:asciiTheme="minorHAnsi" w:hAnsiTheme="minorHAnsi"/>
          <w:sz w:val="28"/>
          <w:szCs w:val="28"/>
          <w:lang w:val="en-GB"/>
        </w:rPr>
        <w:t xml:space="preserve"> take account of Protocol Article 2</w:t>
      </w:r>
      <w:r w:rsidR="00CB4D4E" w:rsidRPr="001353CE">
        <w:rPr>
          <w:rFonts w:asciiTheme="minorHAnsi" w:hAnsiTheme="minorHAnsi"/>
          <w:sz w:val="28"/>
          <w:szCs w:val="28"/>
          <w:lang w:val="en-GB"/>
        </w:rPr>
        <w:t>,</w:t>
      </w:r>
      <w:r w:rsidRPr="001353CE">
        <w:rPr>
          <w:rFonts w:asciiTheme="minorHAnsi" w:hAnsiTheme="minorHAnsi"/>
          <w:sz w:val="28"/>
          <w:szCs w:val="28"/>
          <w:lang w:val="en-GB"/>
        </w:rPr>
        <w:t xml:space="preserve"> as well as the TCA.</w:t>
      </w:r>
    </w:p>
    <w:p w14:paraId="7DCD69DB" w14:textId="5A3F7000" w:rsidR="00C54C22" w:rsidRPr="001353CE" w:rsidRDefault="00C54C22" w:rsidP="00CC594E">
      <w:pPr>
        <w:pStyle w:val="Default"/>
        <w:numPr>
          <w:ilvl w:val="1"/>
          <w:numId w:val="2"/>
        </w:numPr>
        <w:spacing w:after="240" w:line="276" w:lineRule="auto"/>
        <w:ind w:hanging="792"/>
        <w:rPr>
          <w:rFonts w:asciiTheme="minorHAnsi" w:hAnsiTheme="minorHAnsi"/>
          <w:sz w:val="28"/>
          <w:szCs w:val="28"/>
          <w:lang w:val="en-GB"/>
        </w:rPr>
      </w:pPr>
      <w:r w:rsidRPr="001353CE">
        <w:rPr>
          <w:rFonts w:asciiTheme="minorHAnsi" w:hAnsiTheme="minorHAnsi"/>
          <w:sz w:val="28"/>
          <w:szCs w:val="28"/>
          <w:lang w:val="en-GB"/>
        </w:rPr>
        <w:t>Future arrangements on justice co-operation arising from or developing on the TCA, will have a particular significance on the island of Ireland given the land border and previous co-operation. Protocol Article 11 provides that the Protocol shall be implemented and applied so as to maintain the necessary conditions for continued North-South cooperation across a range of areas including justice and security.</w:t>
      </w:r>
    </w:p>
    <w:p w14:paraId="209A8EC3" w14:textId="40C682C2" w:rsidR="005E7C74" w:rsidRPr="001353CE" w:rsidRDefault="00EB5CC4" w:rsidP="00CC594E">
      <w:pPr>
        <w:pStyle w:val="Default"/>
        <w:numPr>
          <w:ilvl w:val="1"/>
          <w:numId w:val="2"/>
        </w:numPr>
        <w:spacing w:after="240" w:line="276" w:lineRule="auto"/>
        <w:ind w:hanging="792"/>
        <w:rPr>
          <w:rFonts w:asciiTheme="minorHAnsi" w:hAnsiTheme="minorHAnsi"/>
          <w:sz w:val="28"/>
          <w:szCs w:val="28"/>
          <w:lang w:val="en-GB"/>
        </w:rPr>
      </w:pPr>
      <w:r w:rsidRPr="001353CE">
        <w:rPr>
          <w:rFonts w:asciiTheme="minorHAnsi" w:hAnsiTheme="minorHAnsi"/>
          <w:sz w:val="28"/>
          <w:szCs w:val="28"/>
          <w:lang w:val="en-GB"/>
        </w:rPr>
        <w:t>The timeliness and quality of communication</w:t>
      </w:r>
      <w:r w:rsidR="005E7C74" w:rsidRPr="001353CE">
        <w:rPr>
          <w:rFonts w:asciiTheme="minorHAnsi" w:hAnsiTheme="minorHAnsi"/>
          <w:sz w:val="28"/>
          <w:szCs w:val="28"/>
          <w:lang w:val="en-GB"/>
        </w:rPr>
        <w:t xml:space="preserve"> between the </w:t>
      </w:r>
      <w:r w:rsidR="00F53F00" w:rsidRPr="001353CE">
        <w:rPr>
          <w:rFonts w:asciiTheme="minorHAnsi" w:hAnsiTheme="minorHAnsi"/>
          <w:sz w:val="28"/>
          <w:szCs w:val="28"/>
          <w:lang w:val="en-GB"/>
        </w:rPr>
        <w:t xml:space="preserve">structures established under the TCA and those under the Withdrawal Agreement, </w:t>
      </w:r>
      <w:r w:rsidR="007F73D5" w:rsidRPr="001353CE">
        <w:rPr>
          <w:rFonts w:asciiTheme="minorHAnsi" w:hAnsiTheme="minorHAnsi"/>
          <w:sz w:val="28"/>
          <w:szCs w:val="28"/>
          <w:lang w:val="en-GB"/>
        </w:rPr>
        <w:t>as well as with stakeholders</w:t>
      </w:r>
      <w:r w:rsidR="00CB4D4E" w:rsidRPr="001353CE">
        <w:rPr>
          <w:rFonts w:asciiTheme="minorHAnsi" w:hAnsiTheme="minorHAnsi"/>
          <w:sz w:val="28"/>
          <w:szCs w:val="28"/>
          <w:lang w:val="en-GB"/>
        </w:rPr>
        <w:t>,</w:t>
      </w:r>
      <w:r w:rsidR="007F73D5" w:rsidRPr="001353CE">
        <w:rPr>
          <w:rFonts w:asciiTheme="minorHAnsi" w:hAnsiTheme="minorHAnsi"/>
          <w:sz w:val="28"/>
          <w:szCs w:val="28"/>
          <w:lang w:val="en-GB"/>
        </w:rPr>
        <w:t xml:space="preserve"> </w:t>
      </w:r>
      <w:r w:rsidR="00F53F00" w:rsidRPr="001353CE">
        <w:rPr>
          <w:rFonts w:asciiTheme="minorHAnsi" w:hAnsiTheme="minorHAnsi"/>
          <w:sz w:val="28"/>
          <w:szCs w:val="28"/>
          <w:lang w:val="en-GB"/>
        </w:rPr>
        <w:t xml:space="preserve">will impact </w:t>
      </w:r>
      <w:r w:rsidR="00CB4D4E" w:rsidRPr="001353CE">
        <w:rPr>
          <w:rFonts w:asciiTheme="minorHAnsi" w:hAnsiTheme="minorHAnsi"/>
          <w:sz w:val="28"/>
          <w:szCs w:val="28"/>
          <w:lang w:val="en-GB"/>
        </w:rPr>
        <w:t xml:space="preserve">upon </w:t>
      </w:r>
      <w:r w:rsidR="00F53F00" w:rsidRPr="001353CE">
        <w:rPr>
          <w:rFonts w:asciiTheme="minorHAnsi" w:hAnsiTheme="minorHAnsi"/>
          <w:sz w:val="28"/>
          <w:szCs w:val="28"/>
          <w:lang w:val="en-GB"/>
        </w:rPr>
        <w:t>the operation of the Protocol.</w:t>
      </w:r>
    </w:p>
    <w:p w14:paraId="21AB0452" w14:textId="4CF92A20" w:rsidR="00C40027" w:rsidRPr="001353CE" w:rsidRDefault="0026448F" w:rsidP="00CC594E">
      <w:pPr>
        <w:pStyle w:val="Default"/>
        <w:numPr>
          <w:ilvl w:val="1"/>
          <w:numId w:val="2"/>
        </w:numPr>
        <w:spacing w:after="240" w:line="276" w:lineRule="auto"/>
        <w:ind w:hanging="792"/>
        <w:rPr>
          <w:rFonts w:asciiTheme="minorHAnsi" w:hAnsiTheme="minorHAnsi"/>
          <w:sz w:val="28"/>
          <w:szCs w:val="28"/>
          <w:lang w:val="en-GB"/>
        </w:rPr>
      </w:pPr>
      <w:r w:rsidRPr="001353CE">
        <w:rPr>
          <w:rFonts w:asciiTheme="minorHAnsi" w:hAnsiTheme="minorHAnsi"/>
          <w:sz w:val="28"/>
          <w:szCs w:val="28"/>
          <w:lang w:val="en-GB"/>
        </w:rPr>
        <w:t xml:space="preserve">It will be </w:t>
      </w:r>
      <w:r w:rsidR="00DF530C" w:rsidRPr="001353CE">
        <w:rPr>
          <w:rFonts w:asciiTheme="minorHAnsi" w:hAnsiTheme="minorHAnsi"/>
          <w:sz w:val="28"/>
          <w:szCs w:val="28"/>
          <w:lang w:val="en-GB"/>
        </w:rPr>
        <w:t xml:space="preserve">critical </w:t>
      </w:r>
      <w:r w:rsidRPr="001353CE">
        <w:rPr>
          <w:rFonts w:asciiTheme="minorHAnsi" w:hAnsiTheme="minorHAnsi"/>
          <w:sz w:val="28"/>
          <w:szCs w:val="28"/>
          <w:lang w:val="en-GB"/>
        </w:rPr>
        <w:t>to ensure</w:t>
      </w:r>
      <w:r w:rsidR="00CB4D4E" w:rsidRPr="001353CE">
        <w:rPr>
          <w:rFonts w:asciiTheme="minorHAnsi" w:hAnsiTheme="minorHAnsi"/>
          <w:sz w:val="28"/>
          <w:szCs w:val="28"/>
          <w:lang w:val="en-GB"/>
        </w:rPr>
        <w:t xml:space="preserve"> that</w:t>
      </w:r>
      <w:r w:rsidR="00143F4A" w:rsidRPr="001353CE">
        <w:rPr>
          <w:rFonts w:asciiTheme="minorHAnsi" w:hAnsiTheme="minorHAnsi"/>
          <w:sz w:val="28"/>
          <w:szCs w:val="28"/>
          <w:lang w:val="en-GB"/>
        </w:rPr>
        <w:t xml:space="preserve"> measures are taken, including</w:t>
      </w:r>
      <w:r w:rsidRPr="001353CE">
        <w:rPr>
          <w:rFonts w:asciiTheme="minorHAnsi" w:hAnsiTheme="minorHAnsi"/>
          <w:sz w:val="28"/>
          <w:szCs w:val="28"/>
          <w:lang w:val="en-GB"/>
        </w:rPr>
        <w:t xml:space="preserve"> information</w:t>
      </w:r>
      <w:r w:rsidR="00143F4A" w:rsidRPr="001353CE">
        <w:rPr>
          <w:rFonts w:asciiTheme="minorHAnsi" w:hAnsiTheme="minorHAnsi"/>
          <w:sz w:val="28"/>
          <w:szCs w:val="28"/>
          <w:lang w:val="en-GB"/>
        </w:rPr>
        <w:t>-</w:t>
      </w:r>
      <w:r w:rsidRPr="001353CE">
        <w:rPr>
          <w:rFonts w:asciiTheme="minorHAnsi" w:hAnsiTheme="minorHAnsi"/>
          <w:sz w:val="28"/>
          <w:szCs w:val="28"/>
          <w:lang w:val="en-GB"/>
        </w:rPr>
        <w:t>shar</w:t>
      </w:r>
      <w:r w:rsidR="00143F4A" w:rsidRPr="001353CE">
        <w:rPr>
          <w:rFonts w:asciiTheme="minorHAnsi" w:hAnsiTheme="minorHAnsi"/>
          <w:sz w:val="28"/>
          <w:szCs w:val="28"/>
          <w:lang w:val="en-GB"/>
        </w:rPr>
        <w:t>ing</w:t>
      </w:r>
      <w:r w:rsidRPr="001353CE">
        <w:rPr>
          <w:rFonts w:asciiTheme="minorHAnsi" w:hAnsiTheme="minorHAnsi"/>
          <w:sz w:val="28"/>
          <w:szCs w:val="28"/>
          <w:lang w:val="en-GB"/>
        </w:rPr>
        <w:t xml:space="preserve"> </w:t>
      </w:r>
      <w:r w:rsidR="00CB4D4E" w:rsidRPr="001353CE">
        <w:rPr>
          <w:rFonts w:asciiTheme="minorHAnsi" w:hAnsiTheme="minorHAnsi"/>
          <w:sz w:val="28"/>
          <w:szCs w:val="28"/>
          <w:lang w:val="en-GB"/>
        </w:rPr>
        <w:t xml:space="preserve">by </w:t>
      </w:r>
      <w:r w:rsidRPr="001353CE">
        <w:rPr>
          <w:rFonts w:asciiTheme="minorHAnsi" w:hAnsiTheme="minorHAnsi"/>
          <w:sz w:val="28"/>
          <w:szCs w:val="28"/>
          <w:lang w:val="en-GB"/>
        </w:rPr>
        <w:t xml:space="preserve">the relevant joint bodies </w:t>
      </w:r>
      <w:r w:rsidR="00FF3B06" w:rsidRPr="001353CE">
        <w:rPr>
          <w:rFonts w:asciiTheme="minorHAnsi" w:hAnsiTheme="minorHAnsi"/>
          <w:sz w:val="28"/>
          <w:szCs w:val="28"/>
          <w:lang w:val="en-GB"/>
        </w:rPr>
        <w:t xml:space="preserve">to </w:t>
      </w:r>
      <w:r w:rsidRPr="001353CE">
        <w:rPr>
          <w:rFonts w:asciiTheme="minorHAnsi" w:hAnsiTheme="minorHAnsi"/>
          <w:sz w:val="28"/>
          <w:szCs w:val="28"/>
          <w:lang w:val="en-GB"/>
        </w:rPr>
        <w:t xml:space="preserve">avoid, for example, </w:t>
      </w:r>
      <w:r w:rsidR="009D1A0F" w:rsidRPr="001353CE">
        <w:rPr>
          <w:rFonts w:asciiTheme="minorHAnsi" w:hAnsiTheme="minorHAnsi"/>
          <w:sz w:val="28"/>
          <w:szCs w:val="28"/>
          <w:lang w:val="en-GB"/>
        </w:rPr>
        <w:t xml:space="preserve">changes to employment law </w:t>
      </w:r>
      <w:r w:rsidR="00496901" w:rsidRPr="001353CE">
        <w:rPr>
          <w:rFonts w:asciiTheme="minorHAnsi" w:hAnsiTheme="minorHAnsi"/>
          <w:sz w:val="28"/>
          <w:szCs w:val="28"/>
          <w:lang w:val="en-GB"/>
        </w:rPr>
        <w:t xml:space="preserve">which </w:t>
      </w:r>
      <w:r w:rsidR="00CE6A40" w:rsidRPr="001353CE">
        <w:rPr>
          <w:rFonts w:asciiTheme="minorHAnsi" w:hAnsiTheme="minorHAnsi"/>
          <w:sz w:val="28"/>
          <w:szCs w:val="28"/>
          <w:lang w:val="en-GB"/>
        </w:rPr>
        <w:t xml:space="preserve">are compatible with </w:t>
      </w:r>
      <w:r w:rsidR="00B44687" w:rsidRPr="001353CE">
        <w:rPr>
          <w:rFonts w:asciiTheme="minorHAnsi" w:hAnsiTheme="minorHAnsi"/>
          <w:sz w:val="28"/>
          <w:szCs w:val="28"/>
          <w:lang w:val="en-GB"/>
        </w:rPr>
        <w:t xml:space="preserve">the TCA </w:t>
      </w:r>
      <w:r w:rsidR="00CE6A40" w:rsidRPr="001353CE">
        <w:rPr>
          <w:rFonts w:asciiTheme="minorHAnsi" w:hAnsiTheme="minorHAnsi"/>
          <w:sz w:val="28"/>
          <w:szCs w:val="28"/>
          <w:lang w:val="en-GB"/>
        </w:rPr>
        <w:t xml:space="preserve">but could breach </w:t>
      </w:r>
      <w:r w:rsidR="00A97766" w:rsidRPr="001353CE">
        <w:rPr>
          <w:rFonts w:asciiTheme="minorHAnsi" w:hAnsiTheme="minorHAnsi"/>
          <w:sz w:val="28"/>
          <w:szCs w:val="28"/>
          <w:lang w:val="en-GB"/>
        </w:rPr>
        <w:t xml:space="preserve">Article 2 of the </w:t>
      </w:r>
      <w:r w:rsidR="00CE6A40" w:rsidRPr="001353CE">
        <w:rPr>
          <w:rFonts w:asciiTheme="minorHAnsi" w:hAnsiTheme="minorHAnsi"/>
          <w:sz w:val="28"/>
          <w:szCs w:val="28"/>
          <w:lang w:val="en-GB"/>
        </w:rPr>
        <w:t>Protocol.</w:t>
      </w:r>
      <w:r w:rsidR="00C76F9E" w:rsidRPr="001353CE">
        <w:rPr>
          <w:rFonts w:asciiTheme="minorHAnsi" w:hAnsiTheme="minorHAnsi"/>
          <w:sz w:val="28"/>
          <w:szCs w:val="28"/>
          <w:lang w:val="en-GB"/>
        </w:rPr>
        <w:t xml:space="preserve"> </w:t>
      </w:r>
      <w:r w:rsidR="00885873" w:rsidRPr="001353CE">
        <w:rPr>
          <w:rFonts w:asciiTheme="minorHAnsi" w:hAnsiTheme="minorHAnsi"/>
          <w:sz w:val="28"/>
          <w:szCs w:val="28"/>
          <w:lang w:val="en-GB"/>
        </w:rPr>
        <w:t xml:space="preserve">Such rights are </w:t>
      </w:r>
      <w:r w:rsidR="00103E4D" w:rsidRPr="001353CE">
        <w:rPr>
          <w:rFonts w:asciiTheme="minorHAnsi" w:hAnsiTheme="minorHAnsi"/>
          <w:sz w:val="28"/>
          <w:szCs w:val="28"/>
          <w:lang w:val="en-GB"/>
        </w:rPr>
        <w:t xml:space="preserve">central to the work of the </w:t>
      </w:r>
      <w:r w:rsidR="0078707E" w:rsidRPr="001353CE">
        <w:rPr>
          <w:rFonts w:asciiTheme="minorHAnsi" w:hAnsiTheme="minorHAnsi"/>
          <w:sz w:val="28"/>
          <w:szCs w:val="28"/>
          <w:lang w:val="en-GB"/>
        </w:rPr>
        <w:t xml:space="preserve">TCA </w:t>
      </w:r>
      <w:r w:rsidR="007B3EA0" w:rsidRPr="001353CE">
        <w:rPr>
          <w:rFonts w:asciiTheme="minorHAnsi" w:hAnsiTheme="minorHAnsi"/>
          <w:sz w:val="28"/>
          <w:szCs w:val="28"/>
          <w:lang w:val="en-GB"/>
        </w:rPr>
        <w:t xml:space="preserve">Trade </w:t>
      </w:r>
      <w:r w:rsidR="00103E4D" w:rsidRPr="001353CE">
        <w:rPr>
          <w:rFonts w:asciiTheme="minorHAnsi" w:hAnsiTheme="minorHAnsi"/>
          <w:sz w:val="28"/>
          <w:szCs w:val="28"/>
          <w:lang w:val="en-GB"/>
        </w:rPr>
        <w:t xml:space="preserve">Specialised Committee on </w:t>
      </w:r>
      <w:r w:rsidR="00CA3EF9" w:rsidRPr="001353CE">
        <w:rPr>
          <w:rFonts w:asciiTheme="minorHAnsi" w:hAnsiTheme="minorHAnsi"/>
          <w:sz w:val="28"/>
          <w:szCs w:val="28"/>
          <w:lang w:val="en-GB"/>
        </w:rPr>
        <w:t>Level Playing Field for Open and Fair Competition and Sustainable Development</w:t>
      </w:r>
      <w:r w:rsidR="0078707E" w:rsidRPr="001353CE">
        <w:rPr>
          <w:rFonts w:asciiTheme="minorHAnsi" w:hAnsiTheme="minorHAnsi"/>
          <w:sz w:val="28"/>
          <w:szCs w:val="28"/>
          <w:lang w:val="en-GB"/>
        </w:rPr>
        <w:t xml:space="preserve"> but </w:t>
      </w:r>
      <w:r w:rsidR="00885873" w:rsidRPr="001353CE">
        <w:rPr>
          <w:rFonts w:asciiTheme="minorHAnsi" w:hAnsiTheme="minorHAnsi"/>
          <w:sz w:val="28"/>
          <w:szCs w:val="28"/>
          <w:lang w:val="en-GB"/>
        </w:rPr>
        <w:t xml:space="preserve">are </w:t>
      </w:r>
      <w:r w:rsidR="0078707E" w:rsidRPr="001353CE">
        <w:rPr>
          <w:rFonts w:asciiTheme="minorHAnsi" w:hAnsiTheme="minorHAnsi"/>
          <w:sz w:val="28"/>
          <w:szCs w:val="28"/>
          <w:lang w:val="en-GB"/>
        </w:rPr>
        <w:t>also relevant to the Specialised Committee on the Protocol</w:t>
      </w:r>
      <w:r w:rsidR="00C76F9E" w:rsidRPr="001353CE">
        <w:rPr>
          <w:rFonts w:asciiTheme="minorHAnsi" w:hAnsiTheme="minorHAnsi"/>
          <w:sz w:val="28"/>
          <w:szCs w:val="28"/>
          <w:lang w:val="en-GB"/>
        </w:rPr>
        <w:t>.</w:t>
      </w:r>
      <w:r w:rsidR="003C2D50" w:rsidRPr="001353CE">
        <w:rPr>
          <w:rFonts w:asciiTheme="minorHAnsi" w:hAnsiTheme="minorHAnsi"/>
          <w:sz w:val="28"/>
          <w:szCs w:val="28"/>
          <w:lang w:val="en-GB"/>
        </w:rPr>
        <w:t xml:space="preserve"> </w:t>
      </w:r>
      <w:r w:rsidR="00885873" w:rsidRPr="001353CE">
        <w:rPr>
          <w:rFonts w:asciiTheme="minorHAnsi" w:hAnsiTheme="minorHAnsi"/>
          <w:sz w:val="28"/>
          <w:szCs w:val="28"/>
          <w:lang w:val="en-GB"/>
        </w:rPr>
        <w:t>Importantly, p</w:t>
      </w:r>
      <w:r w:rsidR="0039052A" w:rsidRPr="001353CE">
        <w:rPr>
          <w:rFonts w:asciiTheme="minorHAnsi" w:hAnsiTheme="minorHAnsi"/>
          <w:sz w:val="28"/>
          <w:szCs w:val="28"/>
          <w:lang w:val="en-GB"/>
        </w:rPr>
        <w:t>olicy and legislative developments</w:t>
      </w:r>
      <w:r w:rsidR="004630F6" w:rsidRPr="001353CE">
        <w:rPr>
          <w:rFonts w:asciiTheme="minorHAnsi" w:hAnsiTheme="minorHAnsi"/>
          <w:sz w:val="28"/>
          <w:szCs w:val="28"/>
          <w:lang w:val="en-GB"/>
        </w:rPr>
        <w:t xml:space="preserve"> in the UK or the EU</w:t>
      </w:r>
      <w:r w:rsidR="00885873" w:rsidRPr="001353CE">
        <w:rPr>
          <w:rFonts w:asciiTheme="minorHAnsi" w:hAnsiTheme="minorHAnsi"/>
          <w:sz w:val="28"/>
          <w:szCs w:val="28"/>
          <w:lang w:val="en-GB"/>
        </w:rPr>
        <w:t>,</w:t>
      </w:r>
      <w:r w:rsidR="00964E69" w:rsidRPr="001353CE">
        <w:rPr>
          <w:rFonts w:asciiTheme="minorHAnsi" w:hAnsiTheme="minorHAnsi"/>
          <w:sz w:val="28"/>
          <w:szCs w:val="28"/>
          <w:lang w:val="en-GB"/>
        </w:rPr>
        <w:t xml:space="preserve"> which</w:t>
      </w:r>
      <w:r w:rsidR="0039052A" w:rsidRPr="001353CE">
        <w:rPr>
          <w:rFonts w:asciiTheme="minorHAnsi" w:hAnsiTheme="minorHAnsi"/>
          <w:sz w:val="28"/>
          <w:szCs w:val="28"/>
          <w:lang w:val="en-GB"/>
        </w:rPr>
        <w:t xml:space="preserve"> engag</w:t>
      </w:r>
      <w:r w:rsidR="00964E69" w:rsidRPr="001353CE">
        <w:rPr>
          <w:rFonts w:asciiTheme="minorHAnsi" w:hAnsiTheme="minorHAnsi"/>
          <w:sz w:val="28"/>
          <w:szCs w:val="28"/>
          <w:lang w:val="en-GB"/>
        </w:rPr>
        <w:t>e</w:t>
      </w:r>
      <w:r w:rsidR="0039052A" w:rsidRPr="001353CE">
        <w:rPr>
          <w:rFonts w:asciiTheme="minorHAnsi" w:hAnsiTheme="minorHAnsi"/>
          <w:sz w:val="28"/>
          <w:szCs w:val="28"/>
          <w:lang w:val="en-GB"/>
        </w:rPr>
        <w:t xml:space="preserve"> human rights </w:t>
      </w:r>
      <w:r w:rsidR="006E755B" w:rsidRPr="001353CE">
        <w:rPr>
          <w:rFonts w:asciiTheme="minorHAnsi" w:hAnsiTheme="minorHAnsi"/>
          <w:sz w:val="28"/>
          <w:szCs w:val="28"/>
          <w:lang w:val="en-GB"/>
        </w:rPr>
        <w:t>and</w:t>
      </w:r>
      <w:r w:rsidR="00BF5258" w:rsidRPr="001353CE">
        <w:rPr>
          <w:rFonts w:asciiTheme="minorHAnsi" w:hAnsiTheme="minorHAnsi"/>
          <w:sz w:val="28"/>
          <w:szCs w:val="28"/>
          <w:lang w:val="en-GB"/>
        </w:rPr>
        <w:t xml:space="preserve"> equality </w:t>
      </w:r>
      <w:r w:rsidR="0039052A" w:rsidRPr="001353CE">
        <w:rPr>
          <w:rFonts w:asciiTheme="minorHAnsi" w:hAnsiTheme="minorHAnsi"/>
          <w:sz w:val="28"/>
          <w:szCs w:val="28"/>
          <w:lang w:val="en-GB"/>
        </w:rPr>
        <w:t xml:space="preserve">commitments under either treaty, </w:t>
      </w:r>
      <w:r w:rsidR="00167DBB" w:rsidRPr="001353CE">
        <w:rPr>
          <w:rFonts w:asciiTheme="minorHAnsi" w:hAnsiTheme="minorHAnsi"/>
          <w:sz w:val="28"/>
          <w:szCs w:val="28"/>
          <w:lang w:val="en-GB"/>
        </w:rPr>
        <w:t>will need to be shared at an early stage</w:t>
      </w:r>
      <w:r w:rsidR="009E4558" w:rsidRPr="001353CE">
        <w:rPr>
          <w:rFonts w:asciiTheme="minorHAnsi" w:hAnsiTheme="minorHAnsi"/>
          <w:sz w:val="28"/>
          <w:szCs w:val="28"/>
          <w:lang w:val="en-GB"/>
        </w:rPr>
        <w:t xml:space="preserve"> with the Commissions and all relevant stakeholders and bodies</w:t>
      </w:r>
      <w:r w:rsidR="00885873" w:rsidRPr="001353CE">
        <w:rPr>
          <w:rFonts w:asciiTheme="minorHAnsi" w:hAnsiTheme="minorHAnsi"/>
          <w:sz w:val="28"/>
          <w:szCs w:val="28"/>
          <w:lang w:val="en-GB"/>
        </w:rPr>
        <w:t>. This is critical to enable</w:t>
      </w:r>
      <w:r w:rsidR="00B90161" w:rsidRPr="001353CE">
        <w:rPr>
          <w:rFonts w:asciiTheme="minorHAnsi" w:hAnsiTheme="minorHAnsi"/>
          <w:sz w:val="28"/>
          <w:szCs w:val="28"/>
          <w:lang w:val="en-GB"/>
        </w:rPr>
        <w:t xml:space="preserve"> </w:t>
      </w:r>
      <w:r w:rsidR="00885873" w:rsidRPr="001353CE">
        <w:rPr>
          <w:rFonts w:asciiTheme="minorHAnsi" w:hAnsiTheme="minorHAnsi"/>
          <w:sz w:val="28"/>
          <w:szCs w:val="28"/>
          <w:lang w:val="en-GB"/>
        </w:rPr>
        <w:t xml:space="preserve">Protocol Article 2 </w:t>
      </w:r>
      <w:r w:rsidR="00BA6532" w:rsidRPr="001353CE">
        <w:rPr>
          <w:rFonts w:asciiTheme="minorHAnsi" w:hAnsiTheme="minorHAnsi"/>
          <w:sz w:val="28"/>
          <w:szCs w:val="28"/>
          <w:lang w:val="en-GB"/>
        </w:rPr>
        <w:t xml:space="preserve">and the </w:t>
      </w:r>
      <w:r w:rsidR="00885873" w:rsidRPr="001353CE">
        <w:rPr>
          <w:rFonts w:asciiTheme="minorHAnsi" w:hAnsiTheme="minorHAnsi"/>
          <w:sz w:val="28"/>
          <w:szCs w:val="28"/>
          <w:lang w:val="en-GB"/>
        </w:rPr>
        <w:t>D</w:t>
      </w:r>
      <w:r w:rsidR="00B90161" w:rsidRPr="001353CE">
        <w:rPr>
          <w:rFonts w:asciiTheme="minorHAnsi" w:hAnsiTheme="minorHAnsi"/>
          <w:sz w:val="28"/>
          <w:szCs w:val="28"/>
          <w:lang w:val="en-GB"/>
        </w:rPr>
        <w:t xml:space="preserve">edicated </w:t>
      </w:r>
      <w:r w:rsidR="00885873" w:rsidRPr="001353CE">
        <w:rPr>
          <w:rFonts w:asciiTheme="minorHAnsi" w:hAnsiTheme="minorHAnsi"/>
          <w:sz w:val="28"/>
          <w:szCs w:val="28"/>
          <w:lang w:val="en-GB"/>
        </w:rPr>
        <w:t>M</w:t>
      </w:r>
      <w:r w:rsidR="00B90161" w:rsidRPr="001353CE">
        <w:rPr>
          <w:rFonts w:asciiTheme="minorHAnsi" w:hAnsiTheme="minorHAnsi"/>
          <w:sz w:val="28"/>
          <w:szCs w:val="28"/>
          <w:lang w:val="en-GB"/>
        </w:rPr>
        <w:t>echanism to function effectively</w:t>
      </w:r>
      <w:r w:rsidR="00167DBB" w:rsidRPr="001353CE">
        <w:rPr>
          <w:rFonts w:asciiTheme="minorHAnsi" w:hAnsiTheme="minorHAnsi"/>
          <w:sz w:val="28"/>
          <w:szCs w:val="28"/>
          <w:lang w:val="en-GB"/>
        </w:rPr>
        <w:t>.</w:t>
      </w:r>
      <w:r w:rsidR="00C40027" w:rsidRPr="001353CE">
        <w:rPr>
          <w:rFonts w:asciiTheme="minorHAnsi" w:hAnsiTheme="minorHAnsi"/>
          <w:sz w:val="28"/>
          <w:szCs w:val="28"/>
          <w:lang w:val="en-GB"/>
        </w:rPr>
        <w:t xml:space="preserve"> </w:t>
      </w:r>
    </w:p>
    <w:p w14:paraId="72377B30" w14:textId="2BF21F47" w:rsidR="00C40027" w:rsidRPr="001353CE" w:rsidRDefault="000E6E2A" w:rsidP="00CC594E">
      <w:pPr>
        <w:pStyle w:val="Default"/>
        <w:numPr>
          <w:ilvl w:val="1"/>
          <w:numId w:val="2"/>
        </w:numPr>
        <w:spacing w:after="240" w:line="276" w:lineRule="auto"/>
        <w:ind w:hanging="792"/>
        <w:rPr>
          <w:rFonts w:asciiTheme="minorHAnsi" w:hAnsiTheme="minorHAnsi"/>
          <w:sz w:val="28"/>
          <w:szCs w:val="28"/>
          <w:lang w:val="en-GB"/>
        </w:rPr>
      </w:pPr>
      <w:r w:rsidRPr="001353CE">
        <w:rPr>
          <w:rFonts w:asciiTheme="minorHAnsi" w:hAnsiTheme="minorHAnsi"/>
          <w:sz w:val="28"/>
          <w:szCs w:val="28"/>
          <w:lang w:val="en-GB"/>
        </w:rPr>
        <w:t xml:space="preserve">Early and meaningful engagement </w:t>
      </w:r>
      <w:r w:rsidR="00885873" w:rsidRPr="001353CE">
        <w:rPr>
          <w:rFonts w:asciiTheme="minorHAnsi" w:hAnsiTheme="minorHAnsi"/>
          <w:sz w:val="28"/>
          <w:szCs w:val="28"/>
          <w:lang w:val="en-GB"/>
        </w:rPr>
        <w:t xml:space="preserve">will </w:t>
      </w:r>
      <w:r w:rsidR="00030F10" w:rsidRPr="001353CE">
        <w:rPr>
          <w:rFonts w:asciiTheme="minorHAnsi" w:hAnsiTheme="minorHAnsi"/>
          <w:sz w:val="28"/>
          <w:szCs w:val="28"/>
          <w:lang w:val="en-GB"/>
        </w:rPr>
        <w:t xml:space="preserve">ensure </w:t>
      </w:r>
      <w:r w:rsidR="00885873" w:rsidRPr="001353CE">
        <w:rPr>
          <w:rFonts w:asciiTheme="minorHAnsi" w:hAnsiTheme="minorHAnsi"/>
          <w:sz w:val="28"/>
          <w:szCs w:val="28"/>
          <w:lang w:val="en-GB"/>
        </w:rPr>
        <w:t xml:space="preserve">that </w:t>
      </w:r>
      <w:r w:rsidR="00E75FF9" w:rsidRPr="001353CE">
        <w:rPr>
          <w:rFonts w:asciiTheme="minorHAnsi" w:hAnsiTheme="minorHAnsi"/>
          <w:sz w:val="28"/>
          <w:szCs w:val="28"/>
          <w:lang w:val="en-GB"/>
        </w:rPr>
        <w:t xml:space="preserve">policy </w:t>
      </w:r>
      <w:r w:rsidR="005A3174" w:rsidRPr="001353CE">
        <w:rPr>
          <w:rFonts w:asciiTheme="minorHAnsi" w:hAnsiTheme="minorHAnsi"/>
          <w:sz w:val="28"/>
          <w:szCs w:val="28"/>
          <w:lang w:val="en-GB"/>
        </w:rPr>
        <w:t>is informed by stakeholder</w:t>
      </w:r>
      <w:r w:rsidR="00885873" w:rsidRPr="001353CE">
        <w:rPr>
          <w:rFonts w:asciiTheme="minorHAnsi" w:hAnsiTheme="minorHAnsi"/>
          <w:sz w:val="28"/>
          <w:szCs w:val="28"/>
          <w:lang w:val="en-GB"/>
        </w:rPr>
        <w:t>s</w:t>
      </w:r>
      <w:r w:rsidR="00C40027" w:rsidRPr="001353CE">
        <w:rPr>
          <w:rFonts w:asciiTheme="minorHAnsi" w:hAnsiTheme="minorHAnsi"/>
          <w:sz w:val="28"/>
          <w:szCs w:val="28"/>
          <w:lang w:val="en-GB"/>
        </w:rPr>
        <w:t xml:space="preserve"> and takes into account </w:t>
      </w:r>
      <w:r w:rsidR="005A3174" w:rsidRPr="001353CE">
        <w:rPr>
          <w:rFonts w:asciiTheme="minorHAnsi" w:hAnsiTheme="minorHAnsi"/>
          <w:sz w:val="28"/>
          <w:szCs w:val="28"/>
          <w:lang w:val="en-GB"/>
        </w:rPr>
        <w:t xml:space="preserve">evidence of practical issues </w:t>
      </w:r>
      <w:r w:rsidR="00C40027" w:rsidRPr="001353CE">
        <w:rPr>
          <w:rFonts w:asciiTheme="minorHAnsi" w:hAnsiTheme="minorHAnsi"/>
          <w:sz w:val="28"/>
          <w:szCs w:val="28"/>
          <w:lang w:val="en-GB"/>
        </w:rPr>
        <w:t xml:space="preserve">arising </w:t>
      </w:r>
      <w:r w:rsidR="005A3174" w:rsidRPr="001353CE">
        <w:rPr>
          <w:rFonts w:asciiTheme="minorHAnsi" w:hAnsiTheme="minorHAnsi"/>
          <w:sz w:val="28"/>
          <w:szCs w:val="28"/>
          <w:lang w:val="en-GB"/>
        </w:rPr>
        <w:t xml:space="preserve">and </w:t>
      </w:r>
      <w:r w:rsidR="00C40027" w:rsidRPr="001353CE">
        <w:rPr>
          <w:rFonts w:asciiTheme="minorHAnsi" w:hAnsiTheme="minorHAnsi"/>
          <w:sz w:val="28"/>
          <w:szCs w:val="28"/>
          <w:lang w:val="en-GB"/>
        </w:rPr>
        <w:t xml:space="preserve">their </w:t>
      </w:r>
      <w:r w:rsidR="005A3174" w:rsidRPr="001353CE">
        <w:rPr>
          <w:rFonts w:asciiTheme="minorHAnsi" w:hAnsiTheme="minorHAnsi"/>
          <w:sz w:val="28"/>
          <w:szCs w:val="28"/>
          <w:lang w:val="en-GB"/>
        </w:rPr>
        <w:t>potential solutions</w:t>
      </w:r>
      <w:r w:rsidR="008C778D" w:rsidRPr="001353CE">
        <w:rPr>
          <w:rFonts w:asciiTheme="minorHAnsi" w:hAnsiTheme="minorHAnsi"/>
          <w:sz w:val="28"/>
          <w:szCs w:val="28"/>
          <w:lang w:val="en-GB"/>
        </w:rPr>
        <w:t xml:space="preserve">, </w:t>
      </w:r>
      <w:r w:rsidR="00C40027" w:rsidRPr="001353CE">
        <w:rPr>
          <w:rFonts w:asciiTheme="minorHAnsi" w:hAnsiTheme="minorHAnsi"/>
          <w:sz w:val="28"/>
          <w:szCs w:val="28"/>
          <w:lang w:val="en-GB"/>
        </w:rPr>
        <w:t>reduc</w:t>
      </w:r>
      <w:r w:rsidR="008C778D" w:rsidRPr="001353CE">
        <w:rPr>
          <w:rFonts w:asciiTheme="minorHAnsi" w:hAnsiTheme="minorHAnsi"/>
          <w:sz w:val="28"/>
          <w:szCs w:val="28"/>
          <w:lang w:val="en-GB"/>
        </w:rPr>
        <w:t>ing</w:t>
      </w:r>
      <w:r w:rsidR="00C40027" w:rsidRPr="001353CE">
        <w:rPr>
          <w:rFonts w:asciiTheme="minorHAnsi" w:hAnsiTheme="minorHAnsi"/>
          <w:sz w:val="28"/>
          <w:szCs w:val="28"/>
          <w:lang w:val="en-GB"/>
        </w:rPr>
        <w:t xml:space="preserve"> the likelihood of dispute</w:t>
      </w:r>
      <w:r w:rsidR="008C778D" w:rsidRPr="001353CE">
        <w:rPr>
          <w:rFonts w:asciiTheme="minorHAnsi" w:hAnsiTheme="minorHAnsi"/>
          <w:sz w:val="28"/>
          <w:szCs w:val="28"/>
          <w:lang w:val="en-GB"/>
        </w:rPr>
        <w:t>.</w:t>
      </w:r>
      <w:r w:rsidR="00C40027" w:rsidRPr="001353CE">
        <w:rPr>
          <w:rFonts w:asciiTheme="minorHAnsi" w:hAnsiTheme="minorHAnsi"/>
          <w:sz w:val="28"/>
          <w:szCs w:val="28"/>
          <w:lang w:val="en-GB"/>
        </w:rPr>
        <w:t xml:space="preserve"> Engagement and early information-sharing also enables those tasked with providing advice the time and space to provide advice that is reliable and comprehensive. </w:t>
      </w:r>
    </w:p>
    <w:p w14:paraId="2781CB7E" w14:textId="4B24D552" w:rsidR="00DC16E1" w:rsidRPr="001353CE" w:rsidRDefault="008C778D" w:rsidP="00CC594E">
      <w:pPr>
        <w:pStyle w:val="Default"/>
        <w:numPr>
          <w:ilvl w:val="1"/>
          <w:numId w:val="2"/>
        </w:numPr>
        <w:spacing w:after="240" w:line="276" w:lineRule="auto"/>
        <w:ind w:hanging="792"/>
        <w:rPr>
          <w:rFonts w:asciiTheme="minorHAnsi" w:hAnsiTheme="minorHAnsi"/>
          <w:sz w:val="28"/>
          <w:szCs w:val="28"/>
          <w:lang w:val="en-GB"/>
        </w:rPr>
      </w:pPr>
      <w:r w:rsidRPr="001353CE">
        <w:rPr>
          <w:rFonts w:asciiTheme="minorHAnsi" w:hAnsiTheme="minorHAnsi"/>
          <w:sz w:val="28"/>
          <w:szCs w:val="28"/>
          <w:lang w:val="en-GB"/>
        </w:rPr>
        <w:t>The</w:t>
      </w:r>
      <w:r w:rsidR="00565F30" w:rsidRPr="001353CE">
        <w:rPr>
          <w:rFonts w:asciiTheme="minorHAnsi" w:hAnsiTheme="minorHAnsi"/>
          <w:sz w:val="28"/>
          <w:szCs w:val="28"/>
          <w:lang w:val="en-GB"/>
        </w:rPr>
        <w:t xml:space="preserve"> Commission</w:t>
      </w:r>
      <w:r w:rsidR="00C01765" w:rsidRPr="001353CE">
        <w:rPr>
          <w:rFonts w:asciiTheme="minorHAnsi" w:hAnsiTheme="minorHAnsi"/>
          <w:sz w:val="28"/>
          <w:szCs w:val="28"/>
          <w:lang w:val="en-GB"/>
        </w:rPr>
        <w:t>s</w:t>
      </w:r>
      <w:r w:rsidRPr="001353CE">
        <w:rPr>
          <w:rFonts w:asciiTheme="minorHAnsi" w:hAnsiTheme="minorHAnsi"/>
          <w:sz w:val="28"/>
          <w:szCs w:val="28"/>
          <w:lang w:val="en-GB"/>
        </w:rPr>
        <w:t xml:space="preserve"> believe </w:t>
      </w:r>
      <w:r w:rsidR="00565F30" w:rsidRPr="001353CE">
        <w:rPr>
          <w:rFonts w:asciiTheme="minorHAnsi" w:hAnsiTheme="minorHAnsi"/>
          <w:sz w:val="28"/>
          <w:szCs w:val="28"/>
          <w:lang w:val="en-GB"/>
        </w:rPr>
        <w:t xml:space="preserve">that </w:t>
      </w:r>
      <w:r w:rsidR="006C6CE4" w:rsidRPr="001353CE">
        <w:rPr>
          <w:rFonts w:asciiTheme="minorHAnsi" w:hAnsiTheme="minorHAnsi"/>
          <w:sz w:val="28"/>
          <w:szCs w:val="28"/>
          <w:lang w:val="en-GB"/>
        </w:rPr>
        <w:t xml:space="preserve">strong human rights </w:t>
      </w:r>
      <w:r w:rsidR="00C01765" w:rsidRPr="001353CE">
        <w:rPr>
          <w:rFonts w:asciiTheme="minorHAnsi" w:hAnsiTheme="minorHAnsi"/>
          <w:sz w:val="28"/>
          <w:szCs w:val="28"/>
          <w:lang w:val="en-GB"/>
        </w:rPr>
        <w:t xml:space="preserve">and equality </w:t>
      </w:r>
      <w:r w:rsidR="006C6CE4" w:rsidRPr="001353CE">
        <w:rPr>
          <w:rFonts w:asciiTheme="minorHAnsi" w:hAnsiTheme="minorHAnsi"/>
          <w:sz w:val="28"/>
          <w:szCs w:val="28"/>
          <w:lang w:val="en-GB"/>
        </w:rPr>
        <w:t>protection</w:t>
      </w:r>
      <w:r w:rsidR="00DE63F0" w:rsidRPr="001353CE">
        <w:rPr>
          <w:rFonts w:asciiTheme="minorHAnsi" w:hAnsiTheme="minorHAnsi"/>
          <w:sz w:val="28"/>
          <w:szCs w:val="28"/>
          <w:lang w:val="en-GB"/>
        </w:rPr>
        <w:t>s</w:t>
      </w:r>
      <w:r w:rsidR="006C6CE4" w:rsidRPr="001353CE">
        <w:rPr>
          <w:rFonts w:asciiTheme="minorHAnsi" w:hAnsiTheme="minorHAnsi"/>
          <w:sz w:val="28"/>
          <w:szCs w:val="28"/>
          <w:lang w:val="en-GB"/>
        </w:rPr>
        <w:t xml:space="preserve"> </w:t>
      </w:r>
      <w:r w:rsidRPr="001353CE">
        <w:rPr>
          <w:rFonts w:asciiTheme="minorHAnsi" w:hAnsiTheme="minorHAnsi"/>
          <w:sz w:val="28"/>
          <w:szCs w:val="28"/>
          <w:lang w:val="en-GB"/>
        </w:rPr>
        <w:t xml:space="preserve">informed by practical experience </w:t>
      </w:r>
      <w:r w:rsidR="00DE63F0" w:rsidRPr="001353CE">
        <w:rPr>
          <w:rFonts w:asciiTheme="minorHAnsi" w:hAnsiTheme="minorHAnsi"/>
          <w:sz w:val="28"/>
          <w:szCs w:val="28"/>
          <w:lang w:val="en-GB"/>
        </w:rPr>
        <w:t>are</w:t>
      </w:r>
      <w:r w:rsidR="006C6CE4" w:rsidRPr="001353CE">
        <w:rPr>
          <w:rFonts w:asciiTheme="minorHAnsi" w:hAnsiTheme="minorHAnsi"/>
          <w:sz w:val="28"/>
          <w:szCs w:val="28"/>
          <w:lang w:val="en-GB"/>
        </w:rPr>
        <w:t xml:space="preserve"> essential to building a strong, cohesive economy, mutual trust and effective co-operation. </w:t>
      </w:r>
    </w:p>
    <w:p w14:paraId="5ED19453" w14:textId="677B5E1C" w:rsidR="00ED0612" w:rsidRPr="001353CE" w:rsidRDefault="00362E8D" w:rsidP="00CC594E">
      <w:pPr>
        <w:pStyle w:val="Default"/>
        <w:numPr>
          <w:ilvl w:val="1"/>
          <w:numId w:val="2"/>
        </w:numPr>
        <w:spacing w:after="240" w:line="276" w:lineRule="auto"/>
        <w:ind w:hanging="792"/>
        <w:rPr>
          <w:rFonts w:asciiTheme="minorHAnsi" w:hAnsiTheme="minorHAnsi"/>
          <w:sz w:val="28"/>
          <w:szCs w:val="28"/>
          <w:lang w:val="en-GB"/>
        </w:rPr>
      </w:pPr>
      <w:r w:rsidRPr="001353CE">
        <w:rPr>
          <w:rFonts w:asciiTheme="minorHAnsi" w:hAnsiTheme="minorHAnsi"/>
          <w:b/>
          <w:bCs/>
          <w:sz w:val="28"/>
          <w:szCs w:val="28"/>
          <w:lang w:val="en-GB"/>
        </w:rPr>
        <w:t xml:space="preserve">Recommendation: </w:t>
      </w:r>
      <w:r w:rsidR="002F786F" w:rsidRPr="001353CE">
        <w:rPr>
          <w:rFonts w:asciiTheme="minorHAnsi" w:hAnsiTheme="minorHAnsi"/>
          <w:b/>
          <w:bCs/>
          <w:sz w:val="28"/>
          <w:szCs w:val="28"/>
          <w:lang w:val="en-GB"/>
        </w:rPr>
        <w:t xml:space="preserve">Given the </w:t>
      </w:r>
      <w:r w:rsidR="00DF6F12" w:rsidRPr="001353CE">
        <w:rPr>
          <w:rFonts w:asciiTheme="minorHAnsi" w:hAnsiTheme="minorHAnsi"/>
          <w:b/>
          <w:bCs/>
          <w:sz w:val="28"/>
          <w:szCs w:val="28"/>
          <w:lang w:val="en-GB"/>
        </w:rPr>
        <w:t xml:space="preserve">interface between the TCA and the Protocol, </w:t>
      </w:r>
      <w:r w:rsidR="007B74A2" w:rsidRPr="001353CE">
        <w:rPr>
          <w:rFonts w:asciiTheme="minorHAnsi" w:hAnsiTheme="minorHAnsi"/>
          <w:b/>
          <w:bCs/>
          <w:sz w:val="28"/>
          <w:szCs w:val="28"/>
          <w:lang w:val="en-GB"/>
        </w:rPr>
        <w:t xml:space="preserve">we recommend that the Committee </w:t>
      </w:r>
      <w:r w:rsidRPr="001353CE">
        <w:rPr>
          <w:rFonts w:asciiTheme="minorHAnsi" w:hAnsiTheme="minorHAnsi"/>
          <w:b/>
          <w:bCs/>
          <w:sz w:val="28"/>
          <w:szCs w:val="28"/>
          <w:lang w:val="en-GB"/>
        </w:rPr>
        <w:t xml:space="preserve">enquire about the </w:t>
      </w:r>
      <w:r w:rsidR="005E1849" w:rsidRPr="001353CE">
        <w:rPr>
          <w:rFonts w:asciiTheme="minorHAnsi" w:hAnsiTheme="minorHAnsi"/>
          <w:b/>
          <w:bCs/>
          <w:sz w:val="28"/>
          <w:szCs w:val="28"/>
          <w:lang w:val="en-GB"/>
        </w:rPr>
        <w:t xml:space="preserve">development of the </w:t>
      </w:r>
      <w:r w:rsidR="00F03B99" w:rsidRPr="001353CE">
        <w:rPr>
          <w:rFonts w:asciiTheme="minorHAnsi" w:hAnsiTheme="minorHAnsi"/>
          <w:b/>
          <w:bCs/>
          <w:sz w:val="28"/>
          <w:szCs w:val="28"/>
          <w:lang w:val="en-GB"/>
        </w:rPr>
        <w:t xml:space="preserve">UK Government’s and EU’s </w:t>
      </w:r>
      <w:r w:rsidR="005E1849" w:rsidRPr="001353CE">
        <w:rPr>
          <w:rFonts w:asciiTheme="minorHAnsi" w:hAnsiTheme="minorHAnsi"/>
          <w:b/>
          <w:bCs/>
          <w:sz w:val="28"/>
          <w:szCs w:val="28"/>
          <w:lang w:val="en-GB"/>
        </w:rPr>
        <w:t xml:space="preserve">processes </w:t>
      </w:r>
      <w:r w:rsidR="00F03B99" w:rsidRPr="001353CE">
        <w:rPr>
          <w:rFonts w:asciiTheme="minorHAnsi" w:hAnsiTheme="minorHAnsi"/>
          <w:b/>
          <w:bCs/>
          <w:sz w:val="28"/>
          <w:szCs w:val="28"/>
          <w:lang w:val="en-GB"/>
        </w:rPr>
        <w:t>to ensure effective and timely comm</w:t>
      </w:r>
      <w:r w:rsidR="002F786F" w:rsidRPr="001353CE">
        <w:rPr>
          <w:rFonts w:asciiTheme="minorHAnsi" w:hAnsiTheme="minorHAnsi"/>
          <w:b/>
          <w:bCs/>
          <w:sz w:val="28"/>
          <w:szCs w:val="28"/>
          <w:lang w:val="en-GB"/>
        </w:rPr>
        <w:t>un</w:t>
      </w:r>
      <w:r w:rsidR="00F03B99" w:rsidRPr="001353CE">
        <w:rPr>
          <w:rFonts w:asciiTheme="minorHAnsi" w:hAnsiTheme="minorHAnsi"/>
          <w:b/>
          <w:bCs/>
          <w:sz w:val="28"/>
          <w:szCs w:val="28"/>
          <w:lang w:val="en-GB"/>
        </w:rPr>
        <w:t xml:space="preserve">ication </w:t>
      </w:r>
      <w:r w:rsidR="00B8365D" w:rsidRPr="001353CE">
        <w:rPr>
          <w:rFonts w:asciiTheme="minorHAnsi" w:hAnsiTheme="minorHAnsi"/>
          <w:b/>
          <w:bCs/>
          <w:sz w:val="28"/>
          <w:szCs w:val="28"/>
          <w:lang w:val="en-GB"/>
        </w:rPr>
        <w:t xml:space="preserve">of </w:t>
      </w:r>
      <w:r w:rsidR="006A4C37" w:rsidRPr="001353CE">
        <w:rPr>
          <w:rFonts w:asciiTheme="minorHAnsi" w:hAnsiTheme="minorHAnsi"/>
          <w:b/>
          <w:bCs/>
          <w:sz w:val="28"/>
          <w:szCs w:val="28"/>
          <w:lang w:val="en-GB"/>
        </w:rPr>
        <w:t xml:space="preserve">proposed </w:t>
      </w:r>
      <w:r w:rsidR="00B8365D" w:rsidRPr="001353CE">
        <w:rPr>
          <w:rFonts w:asciiTheme="minorHAnsi" w:hAnsiTheme="minorHAnsi"/>
          <w:b/>
          <w:bCs/>
          <w:sz w:val="28"/>
          <w:szCs w:val="28"/>
          <w:lang w:val="en-GB"/>
        </w:rPr>
        <w:t>policy and legislative developments</w:t>
      </w:r>
      <w:r w:rsidR="006A4C37" w:rsidRPr="001353CE">
        <w:rPr>
          <w:rFonts w:asciiTheme="minorHAnsi" w:hAnsiTheme="minorHAnsi"/>
          <w:b/>
          <w:bCs/>
          <w:sz w:val="28"/>
          <w:szCs w:val="28"/>
          <w:lang w:val="en-GB"/>
        </w:rPr>
        <w:t>,</w:t>
      </w:r>
      <w:r w:rsidR="00B8365D" w:rsidRPr="001353CE">
        <w:rPr>
          <w:rFonts w:asciiTheme="minorHAnsi" w:hAnsiTheme="minorHAnsi"/>
          <w:b/>
          <w:bCs/>
          <w:sz w:val="28"/>
          <w:szCs w:val="28"/>
          <w:lang w:val="en-GB"/>
        </w:rPr>
        <w:t xml:space="preserve"> </w:t>
      </w:r>
      <w:r w:rsidR="00F03B99" w:rsidRPr="001353CE">
        <w:rPr>
          <w:rFonts w:asciiTheme="minorHAnsi" w:hAnsiTheme="minorHAnsi"/>
          <w:b/>
          <w:bCs/>
          <w:sz w:val="28"/>
          <w:szCs w:val="28"/>
          <w:lang w:val="en-GB"/>
        </w:rPr>
        <w:t xml:space="preserve">between the bodies established under the TCA </w:t>
      </w:r>
      <w:r w:rsidR="002F786F" w:rsidRPr="001353CE">
        <w:rPr>
          <w:rFonts w:asciiTheme="minorHAnsi" w:hAnsiTheme="minorHAnsi"/>
          <w:b/>
          <w:bCs/>
          <w:sz w:val="28"/>
          <w:szCs w:val="28"/>
          <w:lang w:val="en-GB"/>
        </w:rPr>
        <w:t>with</w:t>
      </w:r>
      <w:r w:rsidR="00F03B99" w:rsidRPr="001353CE">
        <w:rPr>
          <w:rFonts w:asciiTheme="minorHAnsi" w:hAnsiTheme="minorHAnsi"/>
          <w:b/>
          <w:bCs/>
          <w:sz w:val="28"/>
          <w:szCs w:val="28"/>
          <w:lang w:val="en-GB"/>
        </w:rPr>
        <w:t xml:space="preserve"> those established under the Withdrawal Agreement and Protocol, as well as with </w:t>
      </w:r>
      <w:r w:rsidR="002F786F" w:rsidRPr="001353CE">
        <w:rPr>
          <w:rFonts w:asciiTheme="minorHAnsi" w:hAnsiTheme="minorHAnsi"/>
          <w:b/>
          <w:bCs/>
          <w:sz w:val="28"/>
          <w:szCs w:val="28"/>
          <w:lang w:val="en-GB"/>
        </w:rPr>
        <w:t xml:space="preserve">relevant </w:t>
      </w:r>
      <w:r w:rsidR="00B8365D" w:rsidRPr="001353CE">
        <w:rPr>
          <w:rFonts w:asciiTheme="minorHAnsi" w:hAnsiTheme="minorHAnsi"/>
          <w:b/>
          <w:bCs/>
          <w:sz w:val="28"/>
          <w:szCs w:val="28"/>
          <w:lang w:val="en-GB"/>
        </w:rPr>
        <w:t xml:space="preserve">civil society </w:t>
      </w:r>
      <w:r w:rsidR="002F786F" w:rsidRPr="001353CE">
        <w:rPr>
          <w:rFonts w:asciiTheme="minorHAnsi" w:hAnsiTheme="minorHAnsi"/>
          <w:b/>
          <w:bCs/>
          <w:sz w:val="28"/>
          <w:szCs w:val="28"/>
          <w:lang w:val="en-GB"/>
        </w:rPr>
        <w:t>stakeholders</w:t>
      </w:r>
      <w:r w:rsidR="00E475B5" w:rsidRPr="001353CE">
        <w:rPr>
          <w:rFonts w:asciiTheme="minorHAnsi" w:hAnsiTheme="minorHAnsi"/>
          <w:b/>
          <w:bCs/>
          <w:sz w:val="28"/>
          <w:szCs w:val="28"/>
          <w:lang w:val="en-GB"/>
        </w:rPr>
        <w:t>, including equality and human rights</w:t>
      </w:r>
      <w:r w:rsidR="00BE4927" w:rsidRPr="001353CE">
        <w:rPr>
          <w:rFonts w:asciiTheme="minorHAnsi" w:hAnsiTheme="minorHAnsi"/>
          <w:b/>
          <w:bCs/>
          <w:sz w:val="28"/>
          <w:szCs w:val="28"/>
          <w:lang w:val="en-GB"/>
        </w:rPr>
        <w:t xml:space="preserve"> organisations</w:t>
      </w:r>
      <w:r w:rsidR="00A61ED4" w:rsidRPr="001353CE">
        <w:rPr>
          <w:rFonts w:asciiTheme="minorHAnsi" w:hAnsiTheme="minorHAnsi"/>
          <w:b/>
          <w:bCs/>
          <w:sz w:val="28"/>
          <w:szCs w:val="28"/>
          <w:lang w:val="en-GB"/>
        </w:rPr>
        <w:t xml:space="preserve"> and the Commissions</w:t>
      </w:r>
      <w:r w:rsidR="002F786F" w:rsidRPr="001353CE">
        <w:rPr>
          <w:rFonts w:asciiTheme="minorHAnsi" w:hAnsiTheme="minorHAnsi"/>
          <w:sz w:val="28"/>
          <w:szCs w:val="28"/>
          <w:lang w:val="en-GB"/>
        </w:rPr>
        <w:t>.</w:t>
      </w:r>
    </w:p>
    <w:p w14:paraId="786E3F52" w14:textId="5CE7EB1E" w:rsidR="005879ED" w:rsidRPr="001353CE" w:rsidRDefault="005879ED" w:rsidP="00CC594E">
      <w:pPr>
        <w:pStyle w:val="Default"/>
        <w:numPr>
          <w:ilvl w:val="0"/>
          <w:numId w:val="2"/>
        </w:numPr>
        <w:spacing w:after="240" w:line="240" w:lineRule="auto"/>
        <w:ind w:left="851" w:hanging="851"/>
        <w:rPr>
          <w:rFonts w:asciiTheme="minorHAnsi" w:eastAsiaTheme="minorEastAsia" w:hAnsiTheme="minorHAnsi" w:cstheme="minorBidi"/>
          <w:b/>
          <w:sz w:val="36"/>
          <w:szCs w:val="36"/>
          <w:lang w:val="en-GB"/>
        </w:rPr>
      </w:pPr>
      <w:r w:rsidRPr="001353CE">
        <w:rPr>
          <w:rFonts w:asciiTheme="minorHAnsi" w:eastAsiaTheme="minorEastAsia" w:hAnsiTheme="minorHAnsi" w:cstheme="minorBidi"/>
          <w:b/>
          <w:sz w:val="36"/>
          <w:szCs w:val="36"/>
          <w:lang w:val="en-GB"/>
        </w:rPr>
        <w:t>What should the Government’s approach to representing the UK in meetings of the TCA’s joint bodies be? Should the Devolved Administrations be involved in discussions that relate to devolved competences? How should the Government ensure cross-departmental and cross-sectoral coordination of its positions in the various bodies established by the TCA?</w:t>
      </w:r>
    </w:p>
    <w:p w14:paraId="5BBAAC59" w14:textId="7770F8E9" w:rsidR="005879ED" w:rsidRPr="001353CE" w:rsidRDefault="00ED0612" w:rsidP="00CC594E">
      <w:pPr>
        <w:pStyle w:val="Default"/>
        <w:numPr>
          <w:ilvl w:val="1"/>
          <w:numId w:val="2"/>
        </w:numPr>
        <w:spacing w:after="240" w:line="276" w:lineRule="auto"/>
        <w:ind w:hanging="792"/>
        <w:rPr>
          <w:rFonts w:asciiTheme="minorHAnsi" w:hAnsiTheme="minorHAnsi"/>
          <w:sz w:val="28"/>
          <w:szCs w:val="28"/>
          <w:lang w:val="en-GB"/>
        </w:rPr>
      </w:pPr>
      <w:r w:rsidRPr="001353CE">
        <w:rPr>
          <w:rFonts w:asciiTheme="minorHAnsi" w:hAnsiTheme="minorHAnsi"/>
          <w:sz w:val="28"/>
          <w:szCs w:val="28"/>
          <w:lang w:val="en-GB"/>
        </w:rPr>
        <w:t>Given the particular arrangements in place in Northern Ireland under the Protocol</w:t>
      </w:r>
      <w:r w:rsidR="00260303" w:rsidRPr="001353CE">
        <w:rPr>
          <w:rFonts w:asciiTheme="minorHAnsi" w:hAnsiTheme="minorHAnsi"/>
          <w:sz w:val="28"/>
          <w:szCs w:val="28"/>
          <w:lang w:val="en-GB"/>
        </w:rPr>
        <w:t xml:space="preserve"> and the interface on many issues from </w:t>
      </w:r>
      <w:r w:rsidR="009958E0" w:rsidRPr="001353CE">
        <w:rPr>
          <w:rFonts w:asciiTheme="minorHAnsi" w:hAnsiTheme="minorHAnsi"/>
          <w:sz w:val="28"/>
          <w:szCs w:val="28"/>
          <w:lang w:val="en-GB"/>
        </w:rPr>
        <w:t xml:space="preserve">equality </w:t>
      </w:r>
      <w:r w:rsidR="00564A16" w:rsidRPr="001353CE">
        <w:rPr>
          <w:rFonts w:asciiTheme="minorHAnsi" w:hAnsiTheme="minorHAnsi"/>
          <w:sz w:val="28"/>
          <w:szCs w:val="28"/>
          <w:lang w:val="en-GB"/>
        </w:rPr>
        <w:t xml:space="preserve">and </w:t>
      </w:r>
      <w:r w:rsidR="00260303" w:rsidRPr="001353CE">
        <w:rPr>
          <w:rFonts w:asciiTheme="minorHAnsi" w:hAnsiTheme="minorHAnsi"/>
          <w:sz w:val="28"/>
          <w:szCs w:val="28"/>
          <w:lang w:val="en-GB"/>
        </w:rPr>
        <w:t>human rights to economic matters</w:t>
      </w:r>
      <w:r w:rsidRPr="001353CE">
        <w:rPr>
          <w:rFonts w:asciiTheme="minorHAnsi" w:hAnsiTheme="minorHAnsi"/>
          <w:sz w:val="28"/>
          <w:szCs w:val="28"/>
          <w:lang w:val="en-GB"/>
        </w:rPr>
        <w:t xml:space="preserve">, </w:t>
      </w:r>
      <w:r w:rsidR="000C083F" w:rsidRPr="001353CE">
        <w:rPr>
          <w:rFonts w:asciiTheme="minorHAnsi" w:hAnsiTheme="minorHAnsi"/>
          <w:sz w:val="28"/>
          <w:szCs w:val="28"/>
          <w:lang w:val="en-GB"/>
        </w:rPr>
        <w:t>between the TCA and the Protocol</w:t>
      </w:r>
      <w:r w:rsidR="00100BA2" w:rsidRPr="001353CE">
        <w:rPr>
          <w:rFonts w:asciiTheme="minorHAnsi" w:hAnsiTheme="minorHAnsi"/>
          <w:sz w:val="28"/>
          <w:szCs w:val="28"/>
          <w:lang w:val="en-GB"/>
        </w:rPr>
        <w:t xml:space="preserve">, </w:t>
      </w:r>
      <w:r w:rsidRPr="001353CE">
        <w:rPr>
          <w:rFonts w:asciiTheme="minorHAnsi" w:hAnsiTheme="minorHAnsi"/>
          <w:sz w:val="28"/>
          <w:szCs w:val="28"/>
          <w:lang w:val="en-GB"/>
        </w:rPr>
        <w:t xml:space="preserve">there is a strong case for representation from NI on </w:t>
      </w:r>
      <w:r w:rsidR="001A1CF4" w:rsidRPr="001353CE">
        <w:rPr>
          <w:rFonts w:asciiTheme="minorHAnsi" w:hAnsiTheme="minorHAnsi"/>
          <w:sz w:val="28"/>
          <w:szCs w:val="28"/>
          <w:lang w:val="en-GB"/>
        </w:rPr>
        <w:t>bodies established under TCA</w:t>
      </w:r>
      <w:r w:rsidR="008C778D" w:rsidRPr="001353CE">
        <w:rPr>
          <w:rFonts w:asciiTheme="minorHAnsi" w:hAnsiTheme="minorHAnsi"/>
          <w:sz w:val="28"/>
          <w:szCs w:val="28"/>
          <w:lang w:val="en-GB"/>
        </w:rPr>
        <w:t xml:space="preserve">. This should include, </w:t>
      </w:r>
      <w:r w:rsidR="00851496" w:rsidRPr="001353CE">
        <w:rPr>
          <w:rFonts w:asciiTheme="minorHAnsi" w:hAnsiTheme="minorHAnsi"/>
          <w:sz w:val="28"/>
          <w:szCs w:val="28"/>
          <w:lang w:val="en-GB"/>
        </w:rPr>
        <w:t>the Domestic Advisory Group(s)</w:t>
      </w:r>
      <w:r w:rsidR="00012159" w:rsidRPr="001353CE">
        <w:rPr>
          <w:rFonts w:asciiTheme="minorHAnsi" w:hAnsiTheme="minorHAnsi"/>
          <w:sz w:val="28"/>
          <w:szCs w:val="28"/>
          <w:lang w:val="en-GB"/>
        </w:rPr>
        <w:t xml:space="preserve"> and </w:t>
      </w:r>
      <w:r w:rsidR="008C778D" w:rsidRPr="001353CE">
        <w:rPr>
          <w:rFonts w:asciiTheme="minorHAnsi" w:hAnsiTheme="minorHAnsi"/>
          <w:sz w:val="28"/>
          <w:szCs w:val="28"/>
          <w:lang w:val="en-GB"/>
        </w:rPr>
        <w:t xml:space="preserve">the </w:t>
      </w:r>
      <w:r w:rsidR="00012159" w:rsidRPr="001353CE">
        <w:rPr>
          <w:rFonts w:asciiTheme="minorHAnsi" w:hAnsiTheme="minorHAnsi"/>
          <w:sz w:val="28"/>
          <w:szCs w:val="28"/>
          <w:lang w:val="en-GB"/>
        </w:rPr>
        <w:t>Civil Society Forum</w:t>
      </w:r>
      <w:r w:rsidR="00B74938" w:rsidRPr="001353CE">
        <w:rPr>
          <w:rFonts w:asciiTheme="minorHAnsi" w:hAnsiTheme="minorHAnsi"/>
          <w:sz w:val="28"/>
          <w:szCs w:val="28"/>
          <w:lang w:val="en-GB"/>
        </w:rPr>
        <w:t>.</w:t>
      </w:r>
      <w:r w:rsidR="005C6D68" w:rsidRPr="001353CE">
        <w:rPr>
          <w:rFonts w:asciiTheme="minorHAnsi" w:hAnsiTheme="minorHAnsi"/>
          <w:sz w:val="28"/>
          <w:szCs w:val="28"/>
          <w:lang w:val="en-GB"/>
        </w:rPr>
        <w:t xml:space="preserve"> Representation across these structures</w:t>
      </w:r>
      <w:r w:rsidRPr="001353CE">
        <w:rPr>
          <w:rFonts w:asciiTheme="minorHAnsi" w:hAnsiTheme="minorHAnsi"/>
          <w:sz w:val="28"/>
          <w:szCs w:val="28"/>
          <w:lang w:val="en-GB"/>
        </w:rPr>
        <w:t xml:space="preserve"> </w:t>
      </w:r>
      <w:r w:rsidR="008C778D" w:rsidRPr="001353CE">
        <w:rPr>
          <w:rFonts w:asciiTheme="minorHAnsi" w:hAnsiTheme="minorHAnsi"/>
          <w:sz w:val="28"/>
          <w:szCs w:val="28"/>
          <w:lang w:val="en-GB"/>
        </w:rPr>
        <w:t xml:space="preserve">will ensure that direct evidence from Northern Ireland is available. That evidence will </w:t>
      </w:r>
      <w:r w:rsidR="00696E67" w:rsidRPr="001353CE">
        <w:rPr>
          <w:rFonts w:asciiTheme="minorHAnsi" w:hAnsiTheme="minorHAnsi"/>
          <w:sz w:val="28"/>
          <w:szCs w:val="28"/>
          <w:lang w:val="en-GB"/>
        </w:rPr>
        <w:t xml:space="preserve">demonstrate more effectively the </w:t>
      </w:r>
      <w:r w:rsidRPr="001353CE">
        <w:rPr>
          <w:rFonts w:asciiTheme="minorHAnsi" w:hAnsiTheme="minorHAnsi"/>
          <w:sz w:val="28"/>
          <w:szCs w:val="28"/>
          <w:lang w:val="en-GB"/>
        </w:rPr>
        <w:t>impact</w:t>
      </w:r>
      <w:r w:rsidR="00696E67" w:rsidRPr="001353CE">
        <w:rPr>
          <w:rFonts w:asciiTheme="minorHAnsi" w:hAnsiTheme="minorHAnsi"/>
          <w:sz w:val="28"/>
          <w:szCs w:val="28"/>
          <w:lang w:val="en-GB"/>
        </w:rPr>
        <w:t>(s)</w:t>
      </w:r>
      <w:r w:rsidRPr="001353CE">
        <w:rPr>
          <w:rFonts w:asciiTheme="minorHAnsi" w:hAnsiTheme="minorHAnsi"/>
          <w:sz w:val="28"/>
          <w:szCs w:val="28"/>
          <w:lang w:val="en-GB"/>
        </w:rPr>
        <w:t xml:space="preserve"> </w:t>
      </w:r>
      <w:r w:rsidR="00696E67" w:rsidRPr="001353CE">
        <w:rPr>
          <w:rFonts w:asciiTheme="minorHAnsi" w:hAnsiTheme="minorHAnsi"/>
          <w:sz w:val="28"/>
          <w:szCs w:val="28"/>
          <w:lang w:val="en-GB"/>
        </w:rPr>
        <w:t xml:space="preserve">on the community. A further benefit will be </w:t>
      </w:r>
      <w:r w:rsidR="005620A4" w:rsidRPr="001353CE">
        <w:rPr>
          <w:rFonts w:asciiTheme="minorHAnsi" w:hAnsiTheme="minorHAnsi"/>
          <w:sz w:val="28"/>
          <w:szCs w:val="28"/>
          <w:lang w:val="en-GB"/>
        </w:rPr>
        <w:t>expertise from a range of relevant sectors</w:t>
      </w:r>
      <w:r w:rsidR="00EC03FA" w:rsidRPr="001353CE">
        <w:rPr>
          <w:rFonts w:asciiTheme="minorHAnsi" w:hAnsiTheme="minorHAnsi"/>
          <w:sz w:val="28"/>
          <w:szCs w:val="28"/>
          <w:lang w:val="en-GB"/>
        </w:rPr>
        <w:t>, including the human rights</w:t>
      </w:r>
      <w:r w:rsidR="008121F2" w:rsidRPr="001353CE">
        <w:rPr>
          <w:rFonts w:asciiTheme="minorHAnsi" w:hAnsiTheme="minorHAnsi"/>
          <w:sz w:val="28"/>
          <w:szCs w:val="28"/>
          <w:lang w:val="en-GB"/>
        </w:rPr>
        <w:t xml:space="preserve"> and equality</w:t>
      </w:r>
      <w:r w:rsidR="00EC03FA" w:rsidRPr="001353CE">
        <w:rPr>
          <w:rFonts w:asciiTheme="minorHAnsi" w:hAnsiTheme="minorHAnsi"/>
          <w:sz w:val="28"/>
          <w:szCs w:val="28"/>
          <w:lang w:val="en-GB"/>
        </w:rPr>
        <w:t xml:space="preserve"> sector</w:t>
      </w:r>
      <w:r w:rsidRPr="001353CE">
        <w:rPr>
          <w:rFonts w:asciiTheme="minorHAnsi" w:hAnsiTheme="minorHAnsi"/>
          <w:sz w:val="28"/>
          <w:szCs w:val="28"/>
          <w:lang w:val="en-GB"/>
        </w:rPr>
        <w:t>.</w:t>
      </w:r>
      <w:r w:rsidR="00265388" w:rsidRPr="001353CE">
        <w:rPr>
          <w:rFonts w:asciiTheme="minorHAnsi" w:hAnsiTheme="minorHAnsi"/>
          <w:sz w:val="28"/>
          <w:szCs w:val="28"/>
          <w:lang w:val="en-GB"/>
        </w:rPr>
        <w:t xml:space="preserve"> </w:t>
      </w:r>
    </w:p>
    <w:p w14:paraId="555B85C8" w14:textId="241F61CC" w:rsidR="003800DE" w:rsidRPr="001353CE" w:rsidRDefault="00351F0F" w:rsidP="00CC594E">
      <w:pPr>
        <w:pStyle w:val="Default"/>
        <w:numPr>
          <w:ilvl w:val="1"/>
          <w:numId w:val="2"/>
        </w:numPr>
        <w:spacing w:after="240" w:line="276" w:lineRule="auto"/>
        <w:ind w:hanging="792"/>
        <w:rPr>
          <w:rFonts w:asciiTheme="minorHAnsi" w:hAnsiTheme="minorHAnsi"/>
          <w:sz w:val="28"/>
          <w:szCs w:val="28"/>
        </w:rPr>
      </w:pPr>
      <w:r w:rsidRPr="001353CE">
        <w:rPr>
          <w:rFonts w:asciiTheme="minorHAnsi" w:hAnsiTheme="minorHAnsi"/>
          <w:b/>
          <w:bCs/>
          <w:sz w:val="28"/>
          <w:szCs w:val="28"/>
          <w:lang w:val="en-GB"/>
        </w:rPr>
        <w:t xml:space="preserve">Recommendation: </w:t>
      </w:r>
      <w:r w:rsidR="00BA4E6F" w:rsidRPr="001353CE">
        <w:rPr>
          <w:rFonts w:asciiTheme="minorHAnsi" w:hAnsiTheme="minorHAnsi"/>
          <w:b/>
          <w:bCs/>
          <w:sz w:val="28"/>
          <w:szCs w:val="28"/>
          <w:lang w:val="en-GB"/>
        </w:rPr>
        <w:t xml:space="preserve">Northern Ireland </w:t>
      </w:r>
      <w:r w:rsidR="003561C3" w:rsidRPr="001353CE">
        <w:rPr>
          <w:rFonts w:asciiTheme="minorHAnsi" w:hAnsiTheme="minorHAnsi"/>
          <w:b/>
          <w:bCs/>
          <w:sz w:val="28"/>
          <w:szCs w:val="28"/>
          <w:lang w:val="en-GB"/>
        </w:rPr>
        <w:t>voices should be heard</w:t>
      </w:r>
      <w:r w:rsidR="001C144E" w:rsidRPr="001353CE">
        <w:rPr>
          <w:rFonts w:asciiTheme="minorHAnsi" w:hAnsiTheme="minorHAnsi"/>
          <w:b/>
          <w:bCs/>
          <w:sz w:val="28"/>
          <w:szCs w:val="28"/>
          <w:lang w:val="en-GB"/>
        </w:rPr>
        <w:t xml:space="preserve">, including </w:t>
      </w:r>
      <w:r w:rsidR="00D526B0" w:rsidRPr="001353CE">
        <w:rPr>
          <w:rFonts w:asciiTheme="minorHAnsi" w:hAnsiTheme="minorHAnsi"/>
          <w:b/>
          <w:bCs/>
          <w:sz w:val="28"/>
          <w:szCs w:val="28"/>
          <w:lang w:val="en-GB"/>
        </w:rPr>
        <w:t>those of equality and human rights organisations</w:t>
      </w:r>
      <w:r w:rsidR="00832078" w:rsidRPr="001353CE">
        <w:rPr>
          <w:rFonts w:asciiTheme="minorHAnsi" w:hAnsiTheme="minorHAnsi"/>
          <w:b/>
          <w:bCs/>
          <w:sz w:val="28"/>
          <w:szCs w:val="28"/>
          <w:lang w:val="en-GB"/>
        </w:rPr>
        <w:t>,</w:t>
      </w:r>
      <w:r w:rsidR="00D526B0" w:rsidRPr="001353CE">
        <w:rPr>
          <w:rFonts w:asciiTheme="minorHAnsi" w:hAnsiTheme="minorHAnsi"/>
          <w:b/>
          <w:bCs/>
          <w:sz w:val="28"/>
          <w:szCs w:val="28"/>
          <w:lang w:val="en-GB"/>
        </w:rPr>
        <w:t xml:space="preserve"> on</w:t>
      </w:r>
      <w:r w:rsidR="003561C3" w:rsidRPr="001353CE">
        <w:rPr>
          <w:rFonts w:asciiTheme="minorHAnsi" w:hAnsiTheme="minorHAnsi"/>
          <w:b/>
          <w:bCs/>
          <w:sz w:val="28"/>
          <w:szCs w:val="28"/>
          <w:lang w:val="en-GB"/>
        </w:rPr>
        <w:t xml:space="preserve"> relevant</w:t>
      </w:r>
      <w:r w:rsidR="00BA4E6F" w:rsidRPr="001353CE">
        <w:rPr>
          <w:rFonts w:asciiTheme="minorHAnsi" w:hAnsiTheme="minorHAnsi"/>
          <w:b/>
          <w:bCs/>
          <w:sz w:val="28"/>
          <w:szCs w:val="28"/>
          <w:lang w:val="en-GB"/>
        </w:rPr>
        <w:t xml:space="preserve"> bodies established under </w:t>
      </w:r>
      <w:r w:rsidR="007D0635" w:rsidRPr="001353CE">
        <w:rPr>
          <w:rFonts w:asciiTheme="minorHAnsi" w:hAnsiTheme="minorHAnsi"/>
          <w:b/>
          <w:bCs/>
          <w:sz w:val="28"/>
          <w:szCs w:val="28"/>
          <w:lang w:val="en-GB"/>
        </w:rPr>
        <w:t xml:space="preserve">the </w:t>
      </w:r>
      <w:r w:rsidR="00BA4E6F" w:rsidRPr="001353CE">
        <w:rPr>
          <w:rFonts w:asciiTheme="minorHAnsi" w:hAnsiTheme="minorHAnsi"/>
          <w:b/>
          <w:bCs/>
          <w:sz w:val="28"/>
          <w:szCs w:val="28"/>
          <w:lang w:val="en-GB"/>
        </w:rPr>
        <w:t>TCA including the Domestic Advisory Group(s) and Civil Society Forum</w:t>
      </w:r>
      <w:r w:rsidR="004C4065" w:rsidRPr="001353CE">
        <w:rPr>
          <w:rFonts w:asciiTheme="minorHAnsi" w:hAnsiTheme="minorHAnsi"/>
          <w:sz w:val="28"/>
          <w:szCs w:val="28"/>
          <w:lang w:val="en-GB"/>
        </w:rPr>
        <w:t>.</w:t>
      </w:r>
    </w:p>
    <w:p w14:paraId="3FD68FA9" w14:textId="77777777" w:rsidR="001A2D7B" w:rsidRPr="001353CE" w:rsidRDefault="001A2D7B" w:rsidP="001A2D7B">
      <w:pPr>
        <w:pStyle w:val="Default"/>
        <w:numPr>
          <w:ilvl w:val="0"/>
          <w:numId w:val="2"/>
        </w:numPr>
        <w:spacing w:after="240" w:line="276" w:lineRule="auto"/>
        <w:ind w:left="709" w:hanging="709"/>
        <w:rPr>
          <w:rFonts w:asciiTheme="minorHAnsi" w:hAnsiTheme="minorHAnsi"/>
          <w:b/>
          <w:bCs/>
          <w:sz w:val="36"/>
          <w:szCs w:val="36"/>
        </w:rPr>
      </w:pPr>
      <w:r w:rsidRPr="001353CE">
        <w:rPr>
          <w:rFonts w:asciiTheme="minorHAnsi" w:hAnsiTheme="minorHAnsi"/>
          <w:b/>
          <w:bCs/>
          <w:sz w:val="36"/>
          <w:szCs w:val="36"/>
        </w:rPr>
        <w:t>Conclusion</w:t>
      </w:r>
    </w:p>
    <w:p w14:paraId="2552210F" w14:textId="77777777" w:rsidR="001A2D7B" w:rsidRPr="001353CE" w:rsidRDefault="001A2D7B" w:rsidP="001A2D7B">
      <w:pPr>
        <w:pStyle w:val="Default"/>
        <w:numPr>
          <w:ilvl w:val="1"/>
          <w:numId w:val="2"/>
        </w:numPr>
        <w:spacing w:after="240" w:line="276" w:lineRule="auto"/>
        <w:ind w:hanging="792"/>
        <w:rPr>
          <w:rFonts w:asciiTheme="minorHAnsi" w:hAnsiTheme="minorHAnsi"/>
          <w:sz w:val="28"/>
          <w:szCs w:val="28"/>
        </w:rPr>
      </w:pPr>
      <w:r w:rsidRPr="001353CE">
        <w:rPr>
          <w:rFonts w:asciiTheme="minorHAnsi" w:hAnsiTheme="minorHAnsi"/>
          <w:sz w:val="28"/>
          <w:szCs w:val="28"/>
        </w:rPr>
        <w:t>The Commissions are grateful for the opportunity to contribute to the Committee’s work and would welcome two-way information sharing and further engagement on our role and remit as the dedicated mechanism.</w:t>
      </w:r>
    </w:p>
    <w:p w14:paraId="72E569F2" w14:textId="77777777" w:rsidR="003262F0" w:rsidRPr="001353CE" w:rsidRDefault="003262F0">
      <w:pPr>
        <w:rPr>
          <w:rFonts w:asciiTheme="minorHAnsi" w:hAnsiTheme="minorHAnsi"/>
          <w:sz w:val="28"/>
          <w:szCs w:val="28"/>
        </w:rPr>
      </w:pPr>
      <w:r w:rsidRPr="001353CE">
        <w:rPr>
          <w:rFonts w:asciiTheme="minorHAnsi" w:hAnsiTheme="minorHAnsi"/>
          <w:sz w:val="28"/>
          <w:szCs w:val="28"/>
        </w:rPr>
        <w:br w:type="page"/>
      </w:r>
    </w:p>
    <w:p w14:paraId="661E7016" w14:textId="77777777" w:rsidR="003262F0" w:rsidRPr="001353CE" w:rsidRDefault="003262F0" w:rsidP="003262F0">
      <w:pPr>
        <w:spacing w:line="276" w:lineRule="auto"/>
      </w:pPr>
    </w:p>
    <w:p w14:paraId="38BEE09F" w14:textId="77777777" w:rsidR="003262F0" w:rsidRPr="001353CE" w:rsidRDefault="003262F0" w:rsidP="003262F0">
      <w:pPr>
        <w:spacing w:line="276" w:lineRule="auto"/>
      </w:pPr>
    </w:p>
    <w:p w14:paraId="0DBC0B6E" w14:textId="77777777" w:rsidR="003262F0" w:rsidRPr="001353CE" w:rsidRDefault="003262F0" w:rsidP="003262F0">
      <w:pPr>
        <w:spacing w:line="276" w:lineRule="auto"/>
      </w:pPr>
    </w:p>
    <w:p w14:paraId="020F425F" w14:textId="77777777" w:rsidR="003262F0" w:rsidRPr="001353CE" w:rsidRDefault="003262F0" w:rsidP="003262F0">
      <w:pPr>
        <w:spacing w:line="276" w:lineRule="auto"/>
      </w:pPr>
    </w:p>
    <w:p w14:paraId="1E71EDF6" w14:textId="77777777" w:rsidR="003262F0" w:rsidRPr="001353CE" w:rsidRDefault="003262F0" w:rsidP="003262F0">
      <w:pPr>
        <w:spacing w:line="276" w:lineRule="auto"/>
      </w:pPr>
    </w:p>
    <w:p w14:paraId="13C2B9BC" w14:textId="77777777" w:rsidR="003262F0" w:rsidRPr="001353CE" w:rsidRDefault="003262F0" w:rsidP="003262F0">
      <w:pPr>
        <w:spacing w:line="276" w:lineRule="auto"/>
      </w:pPr>
    </w:p>
    <w:p w14:paraId="305C10BA" w14:textId="77777777" w:rsidR="003262F0" w:rsidRPr="001353CE" w:rsidRDefault="003262F0" w:rsidP="003262F0">
      <w:pPr>
        <w:spacing w:line="276" w:lineRule="auto"/>
      </w:pPr>
    </w:p>
    <w:p w14:paraId="56FA8896" w14:textId="77777777" w:rsidR="003262F0" w:rsidRPr="001353CE" w:rsidRDefault="003262F0" w:rsidP="003262F0">
      <w:pPr>
        <w:spacing w:line="276" w:lineRule="auto"/>
      </w:pPr>
    </w:p>
    <w:p w14:paraId="6456B43D" w14:textId="77777777" w:rsidR="003262F0" w:rsidRPr="001353CE" w:rsidRDefault="003262F0" w:rsidP="003262F0">
      <w:pPr>
        <w:spacing w:line="276" w:lineRule="auto"/>
      </w:pPr>
    </w:p>
    <w:p w14:paraId="6D4D6884" w14:textId="77777777" w:rsidR="003262F0" w:rsidRPr="001353CE" w:rsidRDefault="003262F0" w:rsidP="003262F0">
      <w:pPr>
        <w:spacing w:line="276" w:lineRule="auto"/>
      </w:pPr>
    </w:p>
    <w:p w14:paraId="4DAF806C" w14:textId="77777777" w:rsidR="003262F0" w:rsidRPr="001353CE" w:rsidRDefault="003262F0" w:rsidP="003262F0">
      <w:pPr>
        <w:spacing w:line="276" w:lineRule="auto"/>
      </w:pPr>
    </w:p>
    <w:p w14:paraId="60DE7B6F" w14:textId="77777777" w:rsidR="003262F0" w:rsidRPr="001353CE" w:rsidRDefault="003262F0" w:rsidP="003262F0">
      <w:pPr>
        <w:spacing w:line="276" w:lineRule="auto"/>
      </w:pPr>
    </w:p>
    <w:p w14:paraId="5232471C" w14:textId="77777777" w:rsidR="003262F0" w:rsidRPr="001353CE" w:rsidRDefault="003262F0" w:rsidP="003262F0">
      <w:pPr>
        <w:spacing w:line="276" w:lineRule="auto"/>
      </w:pPr>
    </w:p>
    <w:p w14:paraId="6DDEEBB0" w14:textId="77777777" w:rsidR="003262F0" w:rsidRPr="001353CE" w:rsidRDefault="003262F0" w:rsidP="003262F0">
      <w:pPr>
        <w:pStyle w:val="BasicParagraph"/>
        <w:suppressAutoHyphens/>
        <w:spacing w:line="276" w:lineRule="auto"/>
        <w:jc w:val="center"/>
        <w:rPr>
          <w:rFonts w:asciiTheme="minorHAnsi" w:hAnsiTheme="minorHAnsi" w:cs="Arial"/>
          <w:b/>
          <w:bCs/>
          <w:color w:val="auto"/>
          <w:sz w:val="48"/>
          <w:szCs w:val="48"/>
        </w:rPr>
      </w:pPr>
      <w:r w:rsidRPr="001353CE">
        <w:rPr>
          <w:rFonts w:asciiTheme="minorHAnsi" w:hAnsiTheme="minorHAnsi" w:cs="Arial"/>
          <w:b/>
          <w:bCs/>
          <w:color w:val="auto"/>
          <w:sz w:val="48"/>
          <w:szCs w:val="48"/>
        </w:rPr>
        <w:t xml:space="preserve">Contact Us </w:t>
      </w:r>
    </w:p>
    <w:p w14:paraId="1C04BC12" w14:textId="77777777" w:rsidR="003262F0" w:rsidRPr="001353CE" w:rsidRDefault="003262F0" w:rsidP="003262F0">
      <w:pPr>
        <w:pStyle w:val="BasicParagraph"/>
        <w:suppressAutoHyphens/>
        <w:spacing w:line="276" w:lineRule="auto"/>
        <w:jc w:val="center"/>
        <w:rPr>
          <w:rFonts w:asciiTheme="minorHAnsi" w:hAnsiTheme="minorHAnsi" w:cs="Arial"/>
          <w:b/>
          <w:bCs/>
          <w:color w:val="77328A"/>
          <w:sz w:val="28"/>
          <w:szCs w:val="28"/>
        </w:rPr>
      </w:pPr>
    </w:p>
    <w:p w14:paraId="7CAFBF33" w14:textId="64198D67" w:rsidR="003262F0" w:rsidRPr="001353CE" w:rsidRDefault="003262F0" w:rsidP="003262F0">
      <w:pPr>
        <w:pStyle w:val="BasicParagraph"/>
        <w:suppressAutoHyphens/>
        <w:spacing w:line="276" w:lineRule="auto"/>
        <w:jc w:val="center"/>
        <w:rPr>
          <w:rFonts w:asciiTheme="minorHAnsi" w:hAnsiTheme="minorHAnsi" w:cs="Arial"/>
          <w:b/>
          <w:bCs/>
          <w:color w:val="auto"/>
          <w:sz w:val="28"/>
          <w:szCs w:val="28"/>
        </w:rPr>
      </w:pPr>
      <w:r w:rsidRPr="001353CE">
        <w:rPr>
          <w:rFonts w:asciiTheme="minorHAnsi" w:hAnsiTheme="minorHAnsi" w:cs="Arial"/>
          <w:b/>
          <w:bCs/>
          <w:color w:val="auto"/>
          <w:sz w:val="28"/>
          <w:szCs w:val="28"/>
        </w:rPr>
        <w:t xml:space="preserve">For </w:t>
      </w:r>
      <w:r w:rsidR="00EA402C" w:rsidRPr="001353CE">
        <w:rPr>
          <w:rFonts w:asciiTheme="minorHAnsi" w:hAnsiTheme="minorHAnsi" w:cs="Arial"/>
          <w:b/>
          <w:bCs/>
          <w:color w:val="auto"/>
          <w:sz w:val="28"/>
          <w:szCs w:val="28"/>
        </w:rPr>
        <w:t>further information</w:t>
      </w:r>
      <w:r w:rsidRPr="001353CE">
        <w:rPr>
          <w:rFonts w:asciiTheme="minorHAnsi" w:hAnsiTheme="minorHAnsi" w:cs="Arial"/>
          <w:b/>
          <w:bCs/>
          <w:color w:val="auto"/>
          <w:sz w:val="28"/>
          <w:szCs w:val="28"/>
        </w:rPr>
        <w:t xml:space="preserve">, please contact: </w:t>
      </w:r>
    </w:p>
    <w:p w14:paraId="7D46FE5C" w14:textId="77777777" w:rsidR="003262F0" w:rsidRPr="001353CE" w:rsidRDefault="00E10FEC" w:rsidP="003262F0">
      <w:pPr>
        <w:pStyle w:val="BasicParagraph"/>
        <w:suppressAutoHyphens/>
        <w:spacing w:line="276" w:lineRule="auto"/>
        <w:jc w:val="center"/>
        <w:rPr>
          <w:rStyle w:val="Hyperlink"/>
          <w:rFonts w:asciiTheme="minorHAnsi" w:hAnsiTheme="minorHAnsi" w:cs="Arial"/>
          <w:bCs/>
          <w:sz w:val="28"/>
          <w:szCs w:val="28"/>
        </w:rPr>
      </w:pPr>
      <w:hyperlink r:id="rId9" w:history="1">
        <w:r w:rsidR="003262F0" w:rsidRPr="001353CE">
          <w:rPr>
            <w:rStyle w:val="Hyperlink"/>
            <w:rFonts w:asciiTheme="minorHAnsi" w:hAnsiTheme="minorHAnsi" w:cs="Arial"/>
            <w:bCs/>
            <w:sz w:val="28"/>
            <w:szCs w:val="28"/>
          </w:rPr>
          <w:t>Éilis.Haughey@nihrc.org</w:t>
        </w:r>
      </w:hyperlink>
    </w:p>
    <w:p w14:paraId="279912EC" w14:textId="77777777" w:rsidR="003262F0" w:rsidRPr="003262F0" w:rsidRDefault="003262F0" w:rsidP="003262F0">
      <w:pPr>
        <w:pStyle w:val="BasicParagraph"/>
        <w:suppressAutoHyphens/>
        <w:spacing w:line="276" w:lineRule="auto"/>
        <w:jc w:val="center"/>
        <w:rPr>
          <w:rStyle w:val="Hyperlink"/>
          <w:rFonts w:asciiTheme="minorHAnsi" w:hAnsiTheme="minorHAnsi" w:cs="Arial"/>
          <w:bCs/>
          <w:sz w:val="28"/>
          <w:szCs w:val="28"/>
        </w:rPr>
      </w:pPr>
      <w:r w:rsidRPr="001353CE">
        <w:rPr>
          <w:rStyle w:val="Hyperlink"/>
          <w:rFonts w:asciiTheme="minorHAnsi" w:hAnsiTheme="minorHAnsi" w:cs="Arial"/>
          <w:bCs/>
          <w:sz w:val="28"/>
          <w:szCs w:val="28"/>
        </w:rPr>
        <w:t>RMallon@equalityni.org</w:t>
      </w:r>
    </w:p>
    <w:p w14:paraId="3677B92F" w14:textId="77777777" w:rsidR="003262F0" w:rsidRPr="003262F0" w:rsidRDefault="003262F0" w:rsidP="003262F0">
      <w:pPr>
        <w:pStyle w:val="BasicParagraph"/>
        <w:suppressAutoHyphens/>
        <w:spacing w:line="276" w:lineRule="auto"/>
        <w:jc w:val="center"/>
        <w:rPr>
          <w:rStyle w:val="Hyperlink"/>
          <w:rFonts w:asciiTheme="minorHAnsi" w:hAnsiTheme="minorHAnsi" w:cs="Arial"/>
          <w:bCs/>
          <w:sz w:val="28"/>
          <w:szCs w:val="28"/>
        </w:rPr>
      </w:pPr>
    </w:p>
    <w:p w14:paraId="2A08048F" w14:textId="77777777" w:rsidR="003262F0" w:rsidRPr="001479C7" w:rsidRDefault="003262F0" w:rsidP="003262F0">
      <w:pPr>
        <w:pStyle w:val="BasicParagraph"/>
        <w:suppressAutoHyphens/>
        <w:spacing w:line="276" w:lineRule="auto"/>
        <w:jc w:val="center"/>
        <w:rPr>
          <w:rFonts w:ascii="Verdana" w:hAnsi="Verdana" w:cs="Arial"/>
          <w:b/>
          <w:bCs/>
          <w:color w:val="auto"/>
        </w:rPr>
      </w:pPr>
    </w:p>
    <w:p w14:paraId="0048521F" w14:textId="3E44D1E7" w:rsidR="00052036" w:rsidRDefault="00052036">
      <w:pPr>
        <w:rPr>
          <w:rFonts w:asciiTheme="minorHAnsi" w:eastAsia="MS Mincho" w:hAnsiTheme="minorHAnsi" w:cs="Arial"/>
          <w:sz w:val="28"/>
          <w:szCs w:val="28"/>
          <w:lang w:val="en-US"/>
        </w:rPr>
      </w:pPr>
    </w:p>
    <w:p w14:paraId="4C2C5D1D" w14:textId="77777777" w:rsidR="00052036" w:rsidRPr="00B239EB" w:rsidRDefault="00052036" w:rsidP="00052036">
      <w:pPr>
        <w:pStyle w:val="Default"/>
        <w:numPr>
          <w:ilvl w:val="0"/>
          <w:numId w:val="0"/>
        </w:numPr>
        <w:spacing w:after="240" w:line="276" w:lineRule="auto"/>
        <w:ind w:left="792"/>
        <w:rPr>
          <w:rFonts w:asciiTheme="minorHAnsi" w:hAnsiTheme="minorHAnsi"/>
          <w:sz w:val="28"/>
          <w:szCs w:val="28"/>
        </w:rPr>
      </w:pPr>
    </w:p>
    <w:sectPr w:rsidR="00052036" w:rsidRPr="00B239EB" w:rsidSect="00C975AF">
      <w:headerReference w:type="default" r:id="rId10"/>
      <w:footerReference w:type="default" r:id="rId11"/>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7A7EE" w14:textId="77777777" w:rsidR="00E10FEC" w:rsidRDefault="00E10FEC" w:rsidP="002C25F8">
      <w:pPr>
        <w:spacing w:after="0" w:line="240" w:lineRule="auto"/>
      </w:pPr>
      <w:r>
        <w:separator/>
      </w:r>
    </w:p>
  </w:endnote>
  <w:endnote w:type="continuationSeparator" w:id="0">
    <w:p w14:paraId="0987CE44" w14:textId="77777777" w:rsidR="00E10FEC" w:rsidRDefault="00E10FEC" w:rsidP="002C2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6396122"/>
      <w:docPartObj>
        <w:docPartGallery w:val="Page Numbers (Bottom of Page)"/>
        <w:docPartUnique/>
      </w:docPartObj>
    </w:sdtPr>
    <w:sdtEndPr>
      <w:rPr>
        <w:noProof/>
      </w:rPr>
    </w:sdtEndPr>
    <w:sdtContent>
      <w:p w14:paraId="12984CF2" w14:textId="7EF5BCC9" w:rsidR="00C02D70" w:rsidRDefault="00C02D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AE5145" w14:textId="77777777" w:rsidR="00D15968" w:rsidRDefault="00D159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EEBFD" w14:textId="77777777" w:rsidR="00E10FEC" w:rsidRDefault="00E10FEC" w:rsidP="002C25F8">
      <w:pPr>
        <w:spacing w:after="0" w:line="240" w:lineRule="auto"/>
      </w:pPr>
      <w:r>
        <w:separator/>
      </w:r>
    </w:p>
  </w:footnote>
  <w:footnote w:type="continuationSeparator" w:id="0">
    <w:p w14:paraId="76D433CE" w14:textId="77777777" w:rsidR="00E10FEC" w:rsidRDefault="00E10FEC" w:rsidP="002C25F8">
      <w:pPr>
        <w:spacing w:after="0" w:line="240" w:lineRule="auto"/>
      </w:pPr>
      <w:r>
        <w:continuationSeparator/>
      </w:r>
    </w:p>
  </w:footnote>
  <w:footnote w:id="1">
    <w:p w14:paraId="6F960BFD" w14:textId="12C80B81" w:rsidR="00C041B8" w:rsidRPr="005012CB" w:rsidRDefault="00C041B8" w:rsidP="00C041B8">
      <w:pPr>
        <w:pStyle w:val="FootnoteText"/>
        <w:rPr>
          <w:sz w:val="16"/>
        </w:rPr>
      </w:pPr>
      <w:r w:rsidRPr="005012CB">
        <w:rPr>
          <w:sz w:val="16"/>
          <w:vertAlign w:val="superscript"/>
        </w:rPr>
        <w:footnoteRef/>
      </w:r>
      <w:r w:rsidRPr="001353CE">
        <w:rPr>
          <w:sz w:val="16"/>
        </w:rPr>
        <w:t xml:space="preserve"> </w:t>
      </w:r>
      <w:r w:rsidRPr="005012CB">
        <w:rPr>
          <w:sz w:val="16"/>
        </w:rPr>
        <w:t xml:space="preserve">Article </w:t>
      </w:r>
      <w:r w:rsidR="000B39DC" w:rsidRPr="005012CB">
        <w:rPr>
          <w:sz w:val="16"/>
        </w:rPr>
        <w:t>524</w:t>
      </w:r>
    </w:p>
  </w:footnote>
  <w:footnote w:id="2">
    <w:p w14:paraId="216DE3FA" w14:textId="0B2EE912" w:rsidR="00C041B8" w:rsidRPr="005012CB" w:rsidRDefault="00C041B8" w:rsidP="00C041B8">
      <w:pPr>
        <w:pStyle w:val="FootnoteText"/>
        <w:rPr>
          <w:sz w:val="16"/>
        </w:rPr>
      </w:pPr>
      <w:r w:rsidRPr="005012CB">
        <w:rPr>
          <w:sz w:val="16"/>
          <w:vertAlign w:val="superscript"/>
        </w:rPr>
        <w:footnoteRef/>
      </w:r>
      <w:r w:rsidRPr="005012CB">
        <w:rPr>
          <w:sz w:val="16"/>
        </w:rPr>
        <w:t xml:space="preserve"> Article </w:t>
      </w:r>
      <w:r w:rsidR="00B929F9" w:rsidRPr="005012CB">
        <w:rPr>
          <w:sz w:val="16"/>
        </w:rPr>
        <w:t>525</w:t>
      </w:r>
    </w:p>
  </w:footnote>
  <w:footnote w:id="3">
    <w:p w14:paraId="0FCFAF03" w14:textId="1FD1A6DC" w:rsidR="00C041B8" w:rsidRPr="005012CB" w:rsidRDefault="00C041B8" w:rsidP="00C041B8">
      <w:pPr>
        <w:pStyle w:val="FootnoteText"/>
        <w:rPr>
          <w:sz w:val="16"/>
        </w:rPr>
      </w:pPr>
      <w:r w:rsidRPr="005012CB">
        <w:rPr>
          <w:sz w:val="16"/>
          <w:vertAlign w:val="superscript"/>
        </w:rPr>
        <w:footnoteRef/>
      </w:r>
      <w:r w:rsidRPr="005012CB">
        <w:rPr>
          <w:sz w:val="16"/>
          <w:vertAlign w:val="superscript"/>
        </w:rPr>
        <w:t xml:space="preserve"> </w:t>
      </w:r>
      <w:r w:rsidRPr="005012CB">
        <w:rPr>
          <w:sz w:val="16"/>
        </w:rPr>
        <w:t xml:space="preserve">Article </w:t>
      </w:r>
      <w:r w:rsidR="00AA67A6" w:rsidRPr="005012CB">
        <w:rPr>
          <w:sz w:val="16"/>
        </w:rPr>
        <w:t>692</w:t>
      </w:r>
    </w:p>
  </w:footnote>
  <w:footnote w:id="4">
    <w:p w14:paraId="31374F9C" w14:textId="77777777" w:rsidR="005E2D7E" w:rsidRPr="005012CB" w:rsidRDefault="005E2D7E" w:rsidP="005E2D7E">
      <w:pPr>
        <w:pStyle w:val="FootnoteText"/>
        <w:rPr>
          <w:sz w:val="16"/>
        </w:rPr>
      </w:pPr>
      <w:r w:rsidRPr="005012CB">
        <w:rPr>
          <w:vertAlign w:val="superscript"/>
        </w:rPr>
        <w:footnoteRef/>
      </w:r>
      <w:r w:rsidRPr="005012CB">
        <w:rPr>
          <w:sz w:val="16"/>
        </w:rPr>
        <w:t xml:space="preserve"> Directive 2004/113/EC, ‘EU Council Directive on Implementing the Principle of Equal Treatment between Men and Women in the access to and supply of goods and Services’, 13 December 2004.</w:t>
      </w:r>
    </w:p>
  </w:footnote>
  <w:footnote w:id="5">
    <w:p w14:paraId="31F5CEA4" w14:textId="77777777" w:rsidR="005E2D7E" w:rsidRPr="005012CB" w:rsidRDefault="005E2D7E" w:rsidP="005E2D7E">
      <w:pPr>
        <w:pStyle w:val="FootnoteText"/>
        <w:rPr>
          <w:sz w:val="16"/>
        </w:rPr>
      </w:pPr>
      <w:r w:rsidRPr="005012CB">
        <w:rPr>
          <w:vertAlign w:val="superscript"/>
        </w:rPr>
        <w:footnoteRef/>
      </w:r>
      <w:r w:rsidRPr="005012CB">
        <w:rPr>
          <w:sz w:val="16"/>
        </w:rPr>
        <w:t xml:space="preserve"> Directive 2006/54/EC, ‘EU Council Directive on the Implementation of the Principle of Equal Opportunities and Equal Treatment of Men and Women in Matters of Employment and Occupation’, 5 July 2006.</w:t>
      </w:r>
    </w:p>
  </w:footnote>
  <w:footnote w:id="6">
    <w:p w14:paraId="3E05418B" w14:textId="77777777" w:rsidR="005E2D7E" w:rsidRPr="005012CB" w:rsidRDefault="005E2D7E" w:rsidP="005E2D7E">
      <w:pPr>
        <w:pStyle w:val="FootnoteText"/>
        <w:rPr>
          <w:sz w:val="16"/>
        </w:rPr>
      </w:pPr>
      <w:r w:rsidRPr="005012CB">
        <w:rPr>
          <w:vertAlign w:val="superscript"/>
        </w:rPr>
        <w:footnoteRef/>
      </w:r>
      <w:r w:rsidRPr="005012CB">
        <w:rPr>
          <w:sz w:val="16"/>
        </w:rPr>
        <w:t xml:space="preserve"> Directive 2000/43/EC, ‘EU Council Directive on Implementing the Principle of Equal Treatment between Persons Irrespective of Racial or Ethnic Origin’, 29 June 2000.</w:t>
      </w:r>
    </w:p>
  </w:footnote>
  <w:footnote w:id="7">
    <w:p w14:paraId="6AB054C6" w14:textId="77777777" w:rsidR="005E2D7E" w:rsidRPr="005012CB" w:rsidRDefault="005E2D7E" w:rsidP="005E2D7E">
      <w:pPr>
        <w:pStyle w:val="FootnoteText"/>
        <w:rPr>
          <w:sz w:val="16"/>
        </w:rPr>
      </w:pPr>
      <w:r w:rsidRPr="005012CB">
        <w:rPr>
          <w:vertAlign w:val="superscript"/>
        </w:rPr>
        <w:footnoteRef/>
      </w:r>
      <w:r w:rsidRPr="005012CB">
        <w:rPr>
          <w:sz w:val="16"/>
        </w:rPr>
        <w:t xml:space="preserve"> Directive 2000/78/EC, ‘EU Council Directive on Establishing a General Framework for Equal Treatment in Employment and Occupation’, 27 November 2000.</w:t>
      </w:r>
    </w:p>
  </w:footnote>
  <w:footnote w:id="8">
    <w:p w14:paraId="09B1239F" w14:textId="77777777" w:rsidR="005E2D7E" w:rsidRPr="005012CB" w:rsidRDefault="005E2D7E" w:rsidP="005E2D7E">
      <w:pPr>
        <w:pStyle w:val="FootnoteText"/>
        <w:rPr>
          <w:sz w:val="16"/>
        </w:rPr>
      </w:pPr>
      <w:r w:rsidRPr="005012CB">
        <w:rPr>
          <w:vertAlign w:val="superscript"/>
        </w:rPr>
        <w:footnoteRef/>
      </w:r>
      <w:r w:rsidRPr="005012CB">
        <w:rPr>
          <w:sz w:val="16"/>
        </w:rPr>
        <w:t xml:space="preserve"> Directive 2010/41/EU, ‘EU Parliament and EU Council Directive on the Application of the Principle of Equal Treatment between Men and Women Engaged in an Activity in a Self-employed Capacity’, 7 July 2010.</w:t>
      </w:r>
    </w:p>
  </w:footnote>
  <w:footnote w:id="9">
    <w:p w14:paraId="6BB04F9E" w14:textId="77777777" w:rsidR="005E2D7E" w:rsidRPr="005012CB" w:rsidRDefault="005E2D7E" w:rsidP="005E2D7E">
      <w:pPr>
        <w:pStyle w:val="FootnoteText"/>
        <w:rPr>
          <w:sz w:val="16"/>
        </w:rPr>
      </w:pPr>
      <w:r w:rsidRPr="005012CB">
        <w:rPr>
          <w:vertAlign w:val="superscript"/>
        </w:rPr>
        <w:footnoteRef/>
      </w:r>
      <w:r w:rsidRPr="005012CB">
        <w:rPr>
          <w:sz w:val="16"/>
        </w:rPr>
        <w:t xml:space="preserve"> Directive 79/7/EEC, ‘EU Council Directive on the Progressive Implementation of the Principle of Equal Treatment for Men and Women in Matters of Social Security’, 19 December 1978.</w:t>
      </w:r>
    </w:p>
  </w:footnote>
  <w:footnote w:id="10">
    <w:p w14:paraId="2D79BA9E" w14:textId="31522861" w:rsidR="00C041B8" w:rsidRPr="005012CB" w:rsidRDefault="00C041B8" w:rsidP="00C041B8">
      <w:pPr>
        <w:pStyle w:val="FootnoteText"/>
        <w:rPr>
          <w:sz w:val="16"/>
        </w:rPr>
      </w:pPr>
      <w:r w:rsidRPr="005012CB">
        <w:rPr>
          <w:sz w:val="16"/>
          <w:vertAlign w:val="superscript"/>
        </w:rPr>
        <w:footnoteRef/>
      </w:r>
      <w:r w:rsidRPr="005012CB">
        <w:rPr>
          <w:sz w:val="16"/>
        </w:rPr>
        <w:t xml:space="preserve"> Article </w:t>
      </w:r>
      <w:r w:rsidR="000D0265" w:rsidRPr="005012CB">
        <w:rPr>
          <w:sz w:val="16"/>
        </w:rPr>
        <w:t>387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74581" w14:textId="77F5CF72" w:rsidR="00D15968" w:rsidRDefault="00D159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C3862"/>
    <w:multiLevelType w:val="multilevel"/>
    <w:tmpl w:val="1736E7D2"/>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 w15:restartNumberingAfterBreak="0">
    <w:nsid w:val="163E7E9C"/>
    <w:multiLevelType w:val="multilevel"/>
    <w:tmpl w:val="D212B3A4"/>
    <w:lvl w:ilvl="0">
      <w:start w:val="1"/>
      <w:numFmt w:val="decimal"/>
      <w:pStyle w:val="Heading1"/>
      <w:lvlText w:val="%1.0"/>
      <w:lvlJc w:val="left"/>
      <w:pPr>
        <w:ind w:left="851" w:hanging="1079"/>
      </w:pPr>
      <w:rPr>
        <w:rFonts w:hint="default"/>
      </w:rPr>
    </w:lvl>
    <w:lvl w:ilvl="1">
      <w:start w:val="1"/>
      <w:numFmt w:val="decimal"/>
      <w:lvlText w:val="%1.%2"/>
      <w:lvlJc w:val="left"/>
      <w:pPr>
        <w:ind w:left="1212" w:hanging="720"/>
      </w:pPr>
      <w:rPr>
        <w:rFonts w:hint="default"/>
      </w:rPr>
    </w:lvl>
    <w:lvl w:ilvl="2">
      <w:start w:val="1"/>
      <w:numFmt w:val="decimal"/>
      <w:lvlText w:val="%1.%2.%3"/>
      <w:lvlJc w:val="left"/>
      <w:pPr>
        <w:ind w:left="2292" w:hanging="1080"/>
      </w:pPr>
      <w:rPr>
        <w:rFonts w:hint="default"/>
      </w:rPr>
    </w:lvl>
    <w:lvl w:ilvl="3">
      <w:start w:val="1"/>
      <w:numFmt w:val="decimal"/>
      <w:lvlText w:val="%1.%2.%3.%4"/>
      <w:lvlJc w:val="left"/>
      <w:pPr>
        <w:ind w:left="3372" w:hanging="1440"/>
      </w:pPr>
      <w:rPr>
        <w:rFonts w:hint="default"/>
      </w:rPr>
    </w:lvl>
    <w:lvl w:ilvl="4">
      <w:start w:val="1"/>
      <w:numFmt w:val="decimal"/>
      <w:lvlText w:val="%1.%2.%3.%4.%5"/>
      <w:lvlJc w:val="left"/>
      <w:pPr>
        <w:ind w:left="4452" w:hanging="1800"/>
      </w:pPr>
      <w:rPr>
        <w:rFonts w:hint="default"/>
      </w:rPr>
    </w:lvl>
    <w:lvl w:ilvl="5">
      <w:start w:val="1"/>
      <w:numFmt w:val="decimal"/>
      <w:lvlText w:val="%1.%2.%3.%4.%5.%6"/>
      <w:lvlJc w:val="left"/>
      <w:pPr>
        <w:ind w:left="5532" w:hanging="2160"/>
      </w:pPr>
      <w:rPr>
        <w:rFonts w:hint="default"/>
      </w:rPr>
    </w:lvl>
    <w:lvl w:ilvl="6">
      <w:start w:val="1"/>
      <w:numFmt w:val="decimal"/>
      <w:lvlText w:val="%1.%2.%3.%4.%5.%6.%7"/>
      <w:lvlJc w:val="left"/>
      <w:pPr>
        <w:ind w:left="6612" w:hanging="2520"/>
      </w:pPr>
      <w:rPr>
        <w:rFonts w:hint="default"/>
      </w:rPr>
    </w:lvl>
    <w:lvl w:ilvl="7">
      <w:start w:val="1"/>
      <w:numFmt w:val="decimal"/>
      <w:lvlText w:val="%1.%2.%3.%4.%5.%6.%7.%8"/>
      <w:lvlJc w:val="left"/>
      <w:pPr>
        <w:ind w:left="7692" w:hanging="2880"/>
      </w:pPr>
      <w:rPr>
        <w:rFonts w:hint="default"/>
      </w:rPr>
    </w:lvl>
    <w:lvl w:ilvl="8">
      <w:start w:val="1"/>
      <w:numFmt w:val="decimal"/>
      <w:lvlText w:val="%1.%2.%3.%4.%5.%6.%7.%8.%9"/>
      <w:lvlJc w:val="left"/>
      <w:pPr>
        <w:ind w:left="8772" w:hanging="3240"/>
      </w:pPr>
      <w:rPr>
        <w:rFonts w:hint="default"/>
      </w:rPr>
    </w:lvl>
  </w:abstractNum>
  <w:abstractNum w:abstractNumId="2" w15:restartNumberingAfterBreak="0">
    <w:nsid w:val="3DF47034"/>
    <w:multiLevelType w:val="hybridMultilevel"/>
    <w:tmpl w:val="7124FE1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4EC93EDB"/>
    <w:multiLevelType w:val="multilevel"/>
    <w:tmpl w:val="E73C736E"/>
    <w:lvl w:ilvl="0">
      <w:start w:val="1"/>
      <w:numFmt w:val="decimal"/>
      <w:lvlText w:val="%1.0"/>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95E45DF"/>
    <w:multiLevelType w:val="multilevel"/>
    <w:tmpl w:val="6BE0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464472"/>
    <w:multiLevelType w:val="multilevel"/>
    <w:tmpl w:val="8574514C"/>
    <w:lvl w:ilvl="0">
      <w:start w:val="1"/>
      <w:numFmt w:val="decimal"/>
      <w:lvlText w:val="%1.0"/>
      <w:lvlJc w:val="left"/>
      <w:pPr>
        <w:ind w:left="720" w:hanging="720"/>
      </w:pPr>
      <w:rPr>
        <w:rFonts w:hint="default"/>
        <w:color w:val="77328A"/>
      </w:rPr>
    </w:lvl>
    <w:lvl w:ilvl="1">
      <w:start w:val="1"/>
      <w:numFmt w:val="decimal"/>
      <w:pStyle w:val="Default"/>
      <w:lvlText w:val="%1.%2"/>
      <w:lvlJc w:val="left"/>
      <w:pPr>
        <w:ind w:left="720" w:hanging="720"/>
      </w:pPr>
      <w:rPr>
        <w:rFonts w:hint="default"/>
        <w:b w:val="0"/>
        <w:color w:val="auto"/>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num w:numId="1">
    <w:abstractNumId w:val="4"/>
  </w:num>
  <w:num w:numId="2">
    <w:abstractNumId w:val="3"/>
  </w:num>
  <w:num w:numId="3">
    <w:abstractNumId w:val="5"/>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9ED"/>
    <w:rsid w:val="000043A0"/>
    <w:rsid w:val="0001096E"/>
    <w:rsid w:val="00012159"/>
    <w:rsid w:val="000122FE"/>
    <w:rsid w:val="00013027"/>
    <w:rsid w:val="00017B62"/>
    <w:rsid w:val="000233A2"/>
    <w:rsid w:val="00030F10"/>
    <w:rsid w:val="00046E5A"/>
    <w:rsid w:val="00052036"/>
    <w:rsid w:val="00053FFC"/>
    <w:rsid w:val="00070509"/>
    <w:rsid w:val="000722C2"/>
    <w:rsid w:val="00081ADC"/>
    <w:rsid w:val="00086740"/>
    <w:rsid w:val="00090C37"/>
    <w:rsid w:val="000A004C"/>
    <w:rsid w:val="000B1A2F"/>
    <w:rsid w:val="000B39DC"/>
    <w:rsid w:val="000C083F"/>
    <w:rsid w:val="000C1D93"/>
    <w:rsid w:val="000C5622"/>
    <w:rsid w:val="000D0265"/>
    <w:rsid w:val="000E03EF"/>
    <w:rsid w:val="000E38B0"/>
    <w:rsid w:val="000E6E2A"/>
    <w:rsid w:val="00100BA2"/>
    <w:rsid w:val="00100D46"/>
    <w:rsid w:val="00102572"/>
    <w:rsid w:val="00103E4D"/>
    <w:rsid w:val="00106393"/>
    <w:rsid w:val="00120A1C"/>
    <w:rsid w:val="00124D58"/>
    <w:rsid w:val="00126AF9"/>
    <w:rsid w:val="00131565"/>
    <w:rsid w:val="001353CE"/>
    <w:rsid w:val="0013609B"/>
    <w:rsid w:val="001409E6"/>
    <w:rsid w:val="00143F4A"/>
    <w:rsid w:val="00144987"/>
    <w:rsid w:val="0014594D"/>
    <w:rsid w:val="001500DC"/>
    <w:rsid w:val="00150F28"/>
    <w:rsid w:val="00163756"/>
    <w:rsid w:val="00163C34"/>
    <w:rsid w:val="00164EC3"/>
    <w:rsid w:val="00167DBB"/>
    <w:rsid w:val="00170E9B"/>
    <w:rsid w:val="00175515"/>
    <w:rsid w:val="00175B10"/>
    <w:rsid w:val="00177E96"/>
    <w:rsid w:val="00181CE7"/>
    <w:rsid w:val="00183854"/>
    <w:rsid w:val="00187752"/>
    <w:rsid w:val="001A1CF4"/>
    <w:rsid w:val="001A2196"/>
    <w:rsid w:val="001A2D7B"/>
    <w:rsid w:val="001A5161"/>
    <w:rsid w:val="001A56F6"/>
    <w:rsid w:val="001B6E11"/>
    <w:rsid w:val="001C085E"/>
    <w:rsid w:val="001C144E"/>
    <w:rsid w:val="001C24AE"/>
    <w:rsid w:val="001C32C1"/>
    <w:rsid w:val="001D4D64"/>
    <w:rsid w:val="001E0337"/>
    <w:rsid w:val="001E0DD5"/>
    <w:rsid w:val="001F6BA0"/>
    <w:rsid w:val="00211B98"/>
    <w:rsid w:val="00211BF9"/>
    <w:rsid w:val="002148B0"/>
    <w:rsid w:val="00217D58"/>
    <w:rsid w:val="00223263"/>
    <w:rsid w:val="002305C4"/>
    <w:rsid w:val="00235219"/>
    <w:rsid w:val="00237412"/>
    <w:rsid w:val="0024076A"/>
    <w:rsid w:val="00240E22"/>
    <w:rsid w:val="002436D8"/>
    <w:rsid w:val="00243D8A"/>
    <w:rsid w:val="00245F55"/>
    <w:rsid w:val="002513BD"/>
    <w:rsid w:val="00260303"/>
    <w:rsid w:val="00260E45"/>
    <w:rsid w:val="00261543"/>
    <w:rsid w:val="00261C76"/>
    <w:rsid w:val="002626AA"/>
    <w:rsid w:val="0026448F"/>
    <w:rsid w:val="002651AF"/>
    <w:rsid w:val="00265388"/>
    <w:rsid w:val="00271F71"/>
    <w:rsid w:val="00273302"/>
    <w:rsid w:val="00273CDA"/>
    <w:rsid w:val="00286C14"/>
    <w:rsid w:val="00290D8E"/>
    <w:rsid w:val="002A4F4C"/>
    <w:rsid w:val="002A63E2"/>
    <w:rsid w:val="002B0D8D"/>
    <w:rsid w:val="002B44A5"/>
    <w:rsid w:val="002B683E"/>
    <w:rsid w:val="002C25F8"/>
    <w:rsid w:val="002C4503"/>
    <w:rsid w:val="002D0072"/>
    <w:rsid w:val="002D3597"/>
    <w:rsid w:val="002D3AC2"/>
    <w:rsid w:val="002D6E7A"/>
    <w:rsid w:val="002E6266"/>
    <w:rsid w:val="002E78D7"/>
    <w:rsid w:val="002F786F"/>
    <w:rsid w:val="00301338"/>
    <w:rsid w:val="00301556"/>
    <w:rsid w:val="003262F0"/>
    <w:rsid w:val="00326A48"/>
    <w:rsid w:val="00327EA7"/>
    <w:rsid w:val="003301D4"/>
    <w:rsid w:val="00335E11"/>
    <w:rsid w:val="00346FE9"/>
    <w:rsid w:val="00347605"/>
    <w:rsid w:val="00351F0F"/>
    <w:rsid w:val="003561C3"/>
    <w:rsid w:val="003628C6"/>
    <w:rsid w:val="00362E8D"/>
    <w:rsid w:val="0036772E"/>
    <w:rsid w:val="00377368"/>
    <w:rsid w:val="003800DE"/>
    <w:rsid w:val="003800EF"/>
    <w:rsid w:val="00383BBB"/>
    <w:rsid w:val="003856D7"/>
    <w:rsid w:val="0039052A"/>
    <w:rsid w:val="003923B0"/>
    <w:rsid w:val="003941FF"/>
    <w:rsid w:val="00397C5E"/>
    <w:rsid w:val="003B6AFD"/>
    <w:rsid w:val="003C1CEB"/>
    <w:rsid w:val="003C2D50"/>
    <w:rsid w:val="003D0DEA"/>
    <w:rsid w:val="003D1596"/>
    <w:rsid w:val="003D2DE7"/>
    <w:rsid w:val="003E59E8"/>
    <w:rsid w:val="003E75AE"/>
    <w:rsid w:val="003E7AC5"/>
    <w:rsid w:val="003F0BBE"/>
    <w:rsid w:val="00414E07"/>
    <w:rsid w:val="004365BC"/>
    <w:rsid w:val="00460FFF"/>
    <w:rsid w:val="004630F6"/>
    <w:rsid w:val="004753FC"/>
    <w:rsid w:val="00480151"/>
    <w:rsid w:val="00483CA4"/>
    <w:rsid w:val="00496901"/>
    <w:rsid w:val="004A127C"/>
    <w:rsid w:val="004B0DE0"/>
    <w:rsid w:val="004C2386"/>
    <w:rsid w:val="004C4065"/>
    <w:rsid w:val="004D227C"/>
    <w:rsid w:val="004D34EA"/>
    <w:rsid w:val="004E7C14"/>
    <w:rsid w:val="004F26F2"/>
    <w:rsid w:val="005012CB"/>
    <w:rsid w:val="00503895"/>
    <w:rsid w:val="00504B3F"/>
    <w:rsid w:val="005114F2"/>
    <w:rsid w:val="0054048E"/>
    <w:rsid w:val="005428B2"/>
    <w:rsid w:val="00553B93"/>
    <w:rsid w:val="00560EBB"/>
    <w:rsid w:val="005620A4"/>
    <w:rsid w:val="00564A16"/>
    <w:rsid w:val="00565F30"/>
    <w:rsid w:val="00581868"/>
    <w:rsid w:val="00582A8B"/>
    <w:rsid w:val="005879ED"/>
    <w:rsid w:val="00587C3E"/>
    <w:rsid w:val="0059082E"/>
    <w:rsid w:val="005A1B46"/>
    <w:rsid w:val="005A1CE0"/>
    <w:rsid w:val="005A3174"/>
    <w:rsid w:val="005A456A"/>
    <w:rsid w:val="005A5516"/>
    <w:rsid w:val="005C2BDE"/>
    <w:rsid w:val="005C6D68"/>
    <w:rsid w:val="005C78C5"/>
    <w:rsid w:val="005D2D96"/>
    <w:rsid w:val="005E1849"/>
    <w:rsid w:val="005E2D7E"/>
    <w:rsid w:val="005E7C74"/>
    <w:rsid w:val="005F6890"/>
    <w:rsid w:val="006047C7"/>
    <w:rsid w:val="00606EB7"/>
    <w:rsid w:val="00616260"/>
    <w:rsid w:val="00621174"/>
    <w:rsid w:val="006242C8"/>
    <w:rsid w:val="00627926"/>
    <w:rsid w:val="00627DF8"/>
    <w:rsid w:val="00631CB8"/>
    <w:rsid w:val="00650AB8"/>
    <w:rsid w:val="006540E8"/>
    <w:rsid w:val="00656EBF"/>
    <w:rsid w:val="006575FC"/>
    <w:rsid w:val="00665A6E"/>
    <w:rsid w:val="006736A8"/>
    <w:rsid w:val="0067540D"/>
    <w:rsid w:val="0068008B"/>
    <w:rsid w:val="006839B7"/>
    <w:rsid w:val="006871B7"/>
    <w:rsid w:val="00696E67"/>
    <w:rsid w:val="006A3FD4"/>
    <w:rsid w:val="006A4C37"/>
    <w:rsid w:val="006B4265"/>
    <w:rsid w:val="006C63A9"/>
    <w:rsid w:val="006C6CE4"/>
    <w:rsid w:val="006D6027"/>
    <w:rsid w:val="006D64F9"/>
    <w:rsid w:val="006E755B"/>
    <w:rsid w:val="006F3E50"/>
    <w:rsid w:val="00700FC6"/>
    <w:rsid w:val="00707EFA"/>
    <w:rsid w:val="00711F2F"/>
    <w:rsid w:val="00713390"/>
    <w:rsid w:val="007215D2"/>
    <w:rsid w:val="00730F4F"/>
    <w:rsid w:val="00732223"/>
    <w:rsid w:val="007375BC"/>
    <w:rsid w:val="0075139D"/>
    <w:rsid w:val="00755DD9"/>
    <w:rsid w:val="00756035"/>
    <w:rsid w:val="007711E5"/>
    <w:rsid w:val="0078707E"/>
    <w:rsid w:val="007871BB"/>
    <w:rsid w:val="007A773C"/>
    <w:rsid w:val="007B0F9C"/>
    <w:rsid w:val="007B3EA0"/>
    <w:rsid w:val="007B74A2"/>
    <w:rsid w:val="007C0351"/>
    <w:rsid w:val="007C3698"/>
    <w:rsid w:val="007C4832"/>
    <w:rsid w:val="007C5326"/>
    <w:rsid w:val="007C60B4"/>
    <w:rsid w:val="007C7F9D"/>
    <w:rsid w:val="007D0635"/>
    <w:rsid w:val="007D16F7"/>
    <w:rsid w:val="007D44AD"/>
    <w:rsid w:val="007F73D5"/>
    <w:rsid w:val="00803215"/>
    <w:rsid w:val="00803807"/>
    <w:rsid w:val="008047F0"/>
    <w:rsid w:val="008121F2"/>
    <w:rsid w:val="00821738"/>
    <w:rsid w:val="008244A5"/>
    <w:rsid w:val="00827747"/>
    <w:rsid w:val="00832078"/>
    <w:rsid w:val="00844320"/>
    <w:rsid w:val="0084441F"/>
    <w:rsid w:val="0084547A"/>
    <w:rsid w:val="00851496"/>
    <w:rsid w:val="00853F50"/>
    <w:rsid w:val="00867879"/>
    <w:rsid w:val="008739B8"/>
    <w:rsid w:val="00885873"/>
    <w:rsid w:val="00892479"/>
    <w:rsid w:val="00895276"/>
    <w:rsid w:val="008A21BF"/>
    <w:rsid w:val="008B114E"/>
    <w:rsid w:val="008B743D"/>
    <w:rsid w:val="008C4BD5"/>
    <w:rsid w:val="008C4D8B"/>
    <w:rsid w:val="008C6AAF"/>
    <w:rsid w:val="008C778D"/>
    <w:rsid w:val="008D1447"/>
    <w:rsid w:val="008D3495"/>
    <w:rsid w:val="008E0005"/>
    <w:rsid w:val="008E4672"/>
    <w:rsid w:val="008E5296"/>
    <w:rsid w:val="008E6291"/>
    <w:rsid w:val="008F3D68"/>
    <w:rsid w:val="00910C56"/>
    <w:rsid w:val="0092090F"/>
    <w:rsid w:val="00920F7F"/>
    <w:rsid w:val="009311D0"/>
    <w:rsid w:val="009315A2"/>
    <w:rsid w:val="00933A30"/>
    <w:rsid w:val="0093750F"/>
    <w:rsid w:val="009410F2"/>
    <w:rsid w:val="0095063E"/>
    <w:rsid w:val="00954876"/>
    <w:rsid w:val="00954FDA"/>
    <w:rsid w:val="00956D3E"/>
    <w:rsid w:val="00956FC7"/>
    <w:rsid w:val="0096242A"/>
    <w:rsid w:val="00963488"/>
    <w:rsid w:val="00964E69"/>
    <w:rsid w:val="0098250B"/>
    <w:rsid w:val="00982935"/>
    <w:rsid w:val="009950DD"/>
    <w:rsid w:val="009958E0"/>
    <w:rsid w:val="009A59B3"/>
    <w:rsid w:val="009A6B25"/>
    <w:rsid w:val="009A713B"/>
    <w:rsid w:val="009B1513"/>
    <w:rsid w:val="009B7935"/>
    <w:rsid w:val="009D1A0F"/>
    <w:rsid w:val="009D6199"/>
    <w:rsid w:val="009E4558"/>
    <w:rsid w:val="009F081A"/>
    <w:rsid w:val="009F3666"/>
    <w:rsid w:val="00A064F2"/>
    <w:rsid w:val="00A34652"/>
    <w:rsid w:val="00A55248"/>
    <w:rsid w:val="00A61ED4"/>
    <w:rsid w:val="00A67AD1"/>
    <w:rsid w:val="00A70AEC"/>
    <w:rsid w:val="00A710F7"/>
    <w:rsid w:val="00A77138"/>
    <w:rsid w:val="00A86D73"/>
    <w:rsid w:val="00A87F02"/>
    <w:rsid w:val="00A97766"/>
    <w:rsid w:val="00AA0FEB"/>
    <w:rsid w:val="00AA1E47"/>
    <w:rsid w:val="00AA67A6"/>
    <w:rsid w:val="00AA71F3"/>
    <w:rsid w:val="00AB18D1"/>
    <w:rsid w:val="00AC4136"/>
    <w:rsid w:val="00AC5B7A"/>
    <w:rsid w:val="00AE3B2E"/>
    <w:rsid w:val="00AF2C21"/>
    <w:rsid w:val="00AF3CC3"/>
    <w:rsid w:val="00AF6CA5"/>
    <w:rsid w:val="00B20D5B"/>
    <w:rsid w:val="00B239EB"/>
    <w:rsid w:val="00B24A0C"/>
    <w:rsid w:val="00B322D7"/>
    <w:rsid w:val="00B366CA"/>
    <w:rsid w:val="00B374D6"/>
    <w:rsid w:val="00B44687"/>
    <w:rsid w:val="00B467FB"/>
    <w:rsid w:val="00B61BCF"/>
    <w:rsid w:val="00B6288F"/>
    <w:rsid w:val="00B67020"/>
    <w:rsid w:val="00B73B56"/>
    <w:rsid w:val="00B74938"/>
    <w:rsid w:val="00B77660"/>
    <w:rsid w:val="00B8365D"/>
    <w:rsid w:val="00B90161"/>
    <w:rsid w:val="00B912EE"/>
    <w:rsid w:val="00B929F9"/>
    <w:rsid w:val="00BA4E6F"/>
    <w:rsid w:val="00BA5896"/>
    <w:rsid w:val="00BA6532"/>
    <w:rsid w:val="00BB499D"/>
    <w:rsid w:val="00BB6B74"/>
    <w:rsid w:val="00BC1547"/>
    <w:rsid w:val="00BD78A7"/>
    <w:rsid w:val="00BE13E4"/>
    <w:rsid w:val="00BE4927"/>
    <w:rsid w:val="00BE5366"/>
    <w:rsid w:val="00BF0581"/>
    <w:rsid w:val="00BF518B"/>
    <w:rsid w:val="00BF5258"/>
    <w:rsid w:val="00C01765"/>
    <w:rsid w:val="00C02D70"/>
    <w:rsid w:val="00C03059"/>
    <w:rsid w:val="00C041B8"/>
    <w:rsid w:val="00C04F30"/>
    <w:rsid w:val="00C06774"/>
    <w:rsid w:val="00C073A6"/>
    <w:rsid w:val="00C1406B"/>
    <w:rsid w:val="00C17838"/>
    <w:rsid w:val="00C21EB8"/>
    <w:rsid w:val="00C31820"/>
    <w:rsid w:val="00C40027"/>
    <w:rsid w:val="00C419CF"/>
    <w:rsid w:val="00C42E2C"/>
    <w:rsid w:val="00C44650"/>
    <w:rsid w:val="00C47FBA"/>
    <w:rsid w:val="00C52DA5"/>
    <w:rsid w:val="00C53F02"/>
    <w:rsid w:val="00C54C22"/>
    <w:rsid w:val="00C71FC9"/>
    <w:rsid w:val="00C76F9E"/>
    <w:rsid w:val="00C77843"/>
    <w:rsid w:val="00C801CC"/>
    <w:rsid w:val="00C813DA"/>
    <w:rsid w:val="00C93683"/>
    <w:rsid w:val="00C975AF"/>
    <w:rsid w:val="00CA2D81"/>
    <w:rsid w:val="00CA3EF9"/>
    <w:rsid w:val="00CB32C6"/>
    <w:rsid w:val="00CB4D4E"/>
    <w:rsid w:val="00CB71B1"/>
    <w:rsid w:val="00CC2871"/>
    <w:rsid w:val="00CC594E"/>
    <w:rsid w:val="00CD1E24"/>
    <w:rsid w:val="00CE1722"/>
    <w:rsid w:val="00CE6A40"/>
    <w:rsid w:val="00CF63C8"/>
    <w:rsid w:val="00D04AD8"/>
    <w:rsid w:val="00D06378"/>
    <w:rsid w:val="00D072F1"/>
    <w:rsid w:val="00D15968"/>
    <w:rsid w:val="00D26591"/>
    <w:rsid w:val="00D32402"/>
    <w:rsid w:val="00D526B0"/>
    <w:rsid w:val="00D63425"/>
    <w:rsid w:val="00D71039"/>
    <w:rsid w:val="00D83D72"/>
    <w:rsid w:val="00D925F3"/>
    <w:rsid w:val="00DB4587"/>
    <w:rsid w:val="00DB4D71"/>
    <w:rsid w:val="00DB64CD"/>
    <w:rsid w:val="00DC047D"/>
    <w:rsid w:val="00DC16E1"/>
    <w:rsid w:val="00DE3B99"/>
    <w:rsid w:val="00DE49D1"/>
    <w:rsid w:val="00DE63F0"/>
    <w:rsid w:val="00DE6AB7"/>
    <w:rsid w:val="00DF530C"/>
    <w:rsid w:val="00DF6F12"/>
    <w:rsid w:val="00E00320"/>
    <w:rsid w:val="00E045DC"/>
    <w:rsid w:val="00E075EA"/>
    <w:rsid w:val="00E10FEC"/>
    <w:rsid w:val="00E124C3"/>
    <w:rsid w:val="00E224D5"/>
    <w:rsid w:val="00E475B5"/>
    <w:rsid w:val="00E50A62"/>
    <w:rsid w:val="00E556F7"/>
    <w:rsid w:val="00E56F60"/>
    <w:rsid w:val="00E57F2C"/>
    <w:rsid w:val="00E63F61"/>
    <w:rsid w:val="00E64B20"/>
    <w:rsid w:val="00E72309"/>
    <w:rsid w:val="00E75FF9"/>
    <w:rsid w:val="00EA402C"/>
    <w:rsid w:val="00EB5CC4"/>
    <w:rsid w:val="00EC03FA"/>
    <w:rsid w:val="00EC2FCB"/>
    <w:rsid w:val="00ED0612"/>
    <w:rsid w:val="00F03B99"/>
    <w:rsid w:val="00F10EFC"/>
    <w:rsid w:val="00F41DAB"/>
    <w:rsid w:val="00F424A7"/>
    <w:rsid w:val="00F43B7D"/>
    <w:rsid w:val="00F44C43"/>
    <w:rsid w:val="00F45F4C"/>
    <w:rsid w:val="00F46694"/>
    <w:rsid w:val="00F53F00"/>
    <w:rsid w:val="00F600ED"/>
    <w:rsid w:val="00F61F96"/>
    <w:rsid w:val="00F6309A"/>
    <w:rsid w:val="00F7151B"/>
    <w:rsid w:val="00F75405"/>
    <w:rsid w:val="00F76D26"/>
    <w:rsid w:val="00F82EF1"/>
    <w:rsid w:val="00FD09DA"/>
    <w:rsid w:val="00FD56DB"/>
    <w:rsid w:val="00FD5DBA"/>
    <w:rsid w:val="00FE6CEA"/>
    <w:rsid w:val="00FF3B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12EF72"/>
  <w15:chartTrackingRefBased/>
  <w15:docId w15:val="{E75962FD-F5A4-4DA8-90C0-76535054F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6"/>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E224D5"/>
    <w:pPr>
      <w:numPr>
        <w:numId w:val="4"/>
      </w:numPr>
      <w:spacing w:before="24" w:after="24" w:line="288" w:lineRule="auto"/>
      <w:outlineLvl w:val="0"/>
    </w:pPr>
    <w:rPr>
      <w:rFonts w:eastAsiaTheme="minorEastAsia"/>
      <w:b/>
      <w:color w:val="77328A"/>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20A4"/>
    <w:rPr>
      <w:color w:val="0563C1" w:themeColor="hyperlink"/>
      <w:u w:val="single"/>
    </w:rPr>
  </w:style>
  <w:style w:type="character" w:styleId="UnresolvedMention">
    <w:name w:val="Unresolved Mention"/>
    <w:basedOn w:val="DefaultParagraphFont"/>
    <w:uiPriority w:val="99"/>
    <w:semiHidden/>
    <w:unhideWhenUsed/>
    <w:rsid w:val="005620A4"/>
    <w:rPr>
      <w:color w:val="605E5C"/>
      <w:shd w:val="clear" w:color="auto" w:fill="E1DFDD"/>
    </w:r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 Char,Char,Footnote Quot"/>
    <w:basedOn w:val="Normal"/>
    <w:link w:val="FootnoteTextChar"/>
    <w:uiPriority w:val="99"/>
    <w:unhideWhenUsed/>
    <w:qFormat/>
    <w:rsid w:val="00C041B8"/>
    <w:pPr>
      <w:spacing w:after="0" w:line="240" w:lineRule="auto"/>
    </w:pPr>
    <w:rPr>
      <w:sz w:val="20"/>
    </w:rPr>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 Char Char,Char Char"/>
    <w:basedOn w:val="DefaultParagraphFont"/>
    <w:link w:val="FootnoteText"/>
    <w:uiPriority w:val="99"/>
    <w:rsid w:val="00C041B8"/>
    <w:rPr>
      <w:sz w:val="20"/>
      <w:szCs w:val="20"/>
    </w:rPr>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
    <w:basedOn w:val="DefaultParagraphFont"/>
    <w:link w:val="4GChar"/>
    <w:uiPriority w:val="99"/>
    <w:unhideWhenUsed/>
    <w:qFormat/>
    <w:rsid w:val="00C041B8"/>
    <w:rPr>
      <w:vertAlign w:val="superscript"/>
    </w:rPr>
  </w:style>
  <w:style w:type="paragraph" w:styleId="ListParagraph">
    <w:name w:val="List Paragraph"/>
    <w:basedOn w:val="Normal"/>
    <w:uiPriority w:val="34"/>
    <w:qFormat/>
    <w:rsid w:val="00E63F61"/>
    <w:pPr>
      <w:ind w:left="720"/>
      <w:contextualSpacing/>
    </w:pPr>
  </w:style>
  <w:style w:type="paragraph" w:styleId="NormalWeb">
    <w:name w:val="Normal (Web)"/>
    <w:basedOn w:val="Normal"/>
    <w:uiPriority w:val="99"/>
    <w:unhideWhenUsed/>
    <w:rsid w:val="002D3AC2"/>
    <w:rPr>
      <w:rFonts w:ascii="Times New Roman" w:hAnsi="Times New Roman" w:cs="Times New Roman"/>
      <w:sz w:val="24"/>
      <w:szCs w:val="24"/>
    </w:rPr>
  </w:style>
  <w:style w:type="paragraph" w:customStyle="1" w:styleId="BasicParagraph">
    <w:name w:val="[Basic Paragraph]"/>
    <w:basedOn w:val="Normal"/>
    <w:uiPriority w:val="99"/>
    <w:rsid w:val="002D3AC2"/>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rPr>
  </w:style>
  <w:style w:type="paragraph" w:customStyle="1" w:styleId="Default">
    <w:name w:val="Default"/>
    <w:qFormat/>
    <w:rsid w:val="002D3AC2"/>
    <w:pPr>
      <w:widowControl w:val="0"/>
      <w:numPr>
        <w:ilvl w:val="1"/>
        <w:numId w:val="3"/>
      </w:numPr>
      <w:autoSpaceDE w:val="0"/>
      <w:autoSpaceDN w:val="0"/>
      <w:adjustRightInd w:val="0"/>
      <w:spacing w:before="24" w:after="24" w:line="288" w:lineRule="auto"/>
    </w:pPr>
    <w:rPr>
      <w:rFonts w:eastAsia="MS Mincho" w:cs="Arial"/>
      <w:sz w:val="24"/>
      <w:szCs w:val="24"/>
      <w:lang w:val="en-US"/>
    </w:rPr>
  </w:style>
  <w:style w:type="paragraph" w:styleId="Title">
    <w:name w:val="Title"/>
    <w:basedOn w:val="BasicParagraph"/>
    <w:next w:val="Normal"/>
    <w:link w:val="TitleChar"/>
    <w:uiPriority w:val="10"/>
    <w:qFormat/>
    <w:rsid w:val="002D3AC2"/>
    <w:pPr>
      <w:suppressAutoHyphens/>
      <w:jc w:val="center"/>
    </w:pPr>
    <w:rPr>
      <w:rFonts w:ascii="Verdana" w:hAnsi="Verdana" w:cs="Arial"/>
      <w:b/>
      <w:bCs/>
      <w:color w:val="77328A"/>
      <w:sz w:val="36"/>
      <w:szCs w:val="36"/>
    </w:rPr>
  </w:style>
  <w:style w:type="character" w:customStyle="1" w:styleId="TitleChar">
    <w:name w:val="Title Char"/>
    <w:basedOn w:val="DefaultParagraphFont"/>
    <w:link w:val="Title"/>
    <w:uiPriority w:val="10"/>
    <w:rsid w:val="002D3AC2"/>
    <w:rPr>
      <w:rFonts w:ascii="Verdana" w:eastAsiaTheme="minorEastAsia" w:hAnsi="Verdana" w:cs="Arial"/>
      <w:b/>
      <w:bCs/>
      <w:color w:val="77328A"/>
      <w:sz w:val="36"/>
      <w:szCs w:val="36"/>
    </w:rPr>
  </w:style>
  <w:style w:type="paragraph" w:styleId="Header">
    <w:name w:val="header"/>
    <w:basedOn w:val="Normal"/>
    <w:link w:val="HeaderChar"/>
    <w:uiPriority w:val="99"/>
    <w:unhideWhenUsed/>
    <w:rsid w:val="00D159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5968"/>
  </w:style>
  <w:style w:type="paragraph" w:styleId="Footer">
    <w:name w:val="footer"/>
    <w:basedOn w:val="Normal"/>
    <w:link w:val="FooterChar"/>
    <w:uiPriority w:val="99"/>
    <w:unhideWhenUsed/>
    <w:rsid w:val="00D159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5968"/>
  </w:style>
  <w:style w:type="character" w:customStyle="1" w:styleId="Heading1Char">
    <w:name w:val="Heading 1 Char"/>
    <w:basedOn w:val="DefaultParagraphFont"/>
    <w:link w:val="Heading1"/>
    <w:uiPriority w:val="9"/>
    <w:rsid w:val="00E224D5"/>
    <w:rPr>
      <w:rFonts w:ascii="Verdana" w:eastAsiaTheme="minorEastAsia" w:hAnsi="Verdana"/>
      <w:b/>
      <w:color w:val="77328A"/>
      <w:sz w:val="30"/>
      <w:szCs w:val="30"/>
    </w:rPr>
  </w:style>
  <w:style w:type="paragraph" w:customStyle="1" w:styleId="4GChar">
    <w:name w:val="4_G Char"/>
    <w:aliases w:val="Footnote Reference1 Char,Footnotes refss Char,ftref Char,BVI fnr Char,BVI fnr Car Car Char,BVI fnr Car Char,BVI fnr Car Car Car Car Char,BVI fnr Char Car Car Car Char"/>
    <w:basedOn w:val="Normal"/>
    <w:link w:val="FootnoteReference"/>
    <w:uiPriority w:val="99"/>
    <w:rsid w:val="005E2D7E"/>
    <w:pPr>
      <w:spacing w:line="240" w:lineRule="exact"/>
      <w:jc w:val="both"/>
    </w:pPr>
    <w:rPr>
      <w:vertAlign w:val="superscript"/>
    </w:rPr>
  </w:style>
  <w:style w:type="character" w:styleId="CommentReference">
    <w:name w:val="annotation reference"/>
    <w:basedOn w:val="DefaultParagraphFont"/>
    <w:uiPriority w:val="99"/>
    <w:semiHidden/>
    <w:unhideWhenUsed/>
    <w:rsid w:val="00CB4D4E"/>
    <w:rPr>
      <w:sz w:val="16"/>
      <w:szCs w:val="16"/>
    </w:rPr>
  </w:style>
  <w:style w:type="paragraph" w:styleId="CommentText">
    <w:name w:val="annotation text"/>
    <w:basedOn w:val="Normal"/>
    <w:link w:val="CommentTextChar"/>
    <w:uiPriority w:val="99"/>
    <w:semiHidden/>
    <w:unhideWhenUsed/>
    <w:rsid w:val="00CB4D4E"/>
    <w:pPr>
      <w:spacing w:line="240" w:lineRule="auto"/>
    </w:pPr>
    <w:rPr>
      <w:sz w:val="20"/>
    </w:rPr>
  </w:style>
  <w:style w:type="character" w:customStyle="1" w:styleId="CommentTextChar">
    <w:name w:val="Comment Text Char"/>
    <w:basedOn w:val="DefaultParagraphFont"/>
    <w:link w:val="CommentText"/>
    <w:uiPriority w:val="99"/>
    <w:semiHidden/>
    <w:rsid w:val="00CB4D4E"/>
    <w:rPr>
      <w:sz w:val="20"/>
    </w:rPr>
  </w:style>
  <w:style w:type="paragraph" w:styleId="CommentSubject">
    <w:name w:val="annotation subject"/>
    <w:basedOn w:val="CommentText"/>
    <w:next w:val="CommentText"/>
    <w:link w:val="CommentSubjectChar"/>
    <w:uiPriority w:val="99"/>
    <w:semiHidden/>
    <w:unhideWhenUsed/>
    <w:rsid w:val="00CB4D4E"/>
    <w:rPr>
      <w:b/>
      <w:bCs/>
    </w:rPr>
  </w:style>
  <w:style w:type="character" w:customStyle="1" w:styleId="CommentSubjectChar">
    <w:name w:val="Comment Subject Char"/>
    <w:basedOn w:val="CommentTextChar"/>
    <w:link w:val="CommentSubject"/>
    <w:uiPriority w:val="99"/>
    <w:semiHidden/>
    <w:rsid w:val="00CB4D4E"/>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43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201;ilis.Haughey@nih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3</Pages>
  <Words>1620</Words>
  <Characters>9236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Eilis Haughey</dc:creator>
  <cp:keywords/>
  <dc:description/>
  <cp:lastModifiedBy>Eilis Haughey</cp:lastModifiedBy>
  <cp:revision>8</cp:revision>
  <dcterms:created xsi:type="dcterms:W3CDTF">2021-10-01T17:37:00Z</dcterms:created>
  <dcterms:modified xsi:type="dcterms:W3CDTF">2021-10-04T09:22:00Z</dcterms:modified>
</cp:coreProperties>
</file>