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12CA" w14:textId="77777777" w:rsidR="00492700" w:rsidRDefault="00492700" w:rsidP="00045F7F">
      <w:pPr>
        <w:pStyle w:val="BasicParagraph"/>
        <w:suppressAutoHyphens/>
        <w:rPr>
          <w:noProof/>
        </w:rPr>
      </w:pPr>
    </w:p>
    <w:p w14:paraId="27589D76" w14:textId="77777777" w:rsidR="00492700" w:rsidRDefault="00492700" w:rsidP="00045F7F">
      <w:pPr>
        <w:pStyle w:val="BasicParagraph"/>
        <w:suppressAutoHyphens/>
        <w:rPr>
          <w:noProof/>
        </w:rPr>
      </w:pPr>
    </w:p>
    <w:p w14:paraId="0D9D75B0" w14:textId="77777777" w:rsidR="00045F7F" w:rsidRPr="006F6E42" w:rsidRDefault="00492700" w:rsidP="00045F7F">
      <w:pPr>
        <w:pStyle w:val="BasicParagraph"/>
        <w:suppressAutoHyphens/>
        <w:rPr>
          <w:rFonts w:asciiTheme="minorHAnsi" w:hAnsiTheme="minorHAnsi" w:cs="Arial"/>
          <w:b/>
          <w:bCs/>
          <w:color w:val="734791"/>
          <w:sz w:val="36"/>
          <w:szCs w:val="36"/>
        </w:rPr>
      </w:pPr>
      <w:r>
        <w:rPr>
          <w:noProof/>
          <w:lang w:eastAsia="en-GB"/>
        </w:rPr>
        <w:drawing>
          <wp:inline distT="0" distB="0" distL="0" distR="0" wp14:anchorId="6C269008" wp14:editId="1E708655">
            <wp:extent cx="3022600" cy="723569"/>
            <wp:effectExtent l="0" t="0" r="6350" b="635"/>
            <wp:docPr id="5" name="Picture 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23983" cy="723900"/>
                    </a:xfrm>
                    <a:prstGeom prst="rect">
                      <a:avLst/>
                    </a:prstGeom>
                  </pic:spPr>
                </pic:pic>
              </a:graphicData>
            </a:graphic>
          </wp:inline>
        </w:drawing>
      </w:r>
      <w:r>
        <w:rPr>
          <w:noProof/>
        </w:rPr>
        <w:t xml:space="preserve">     </w:t>
      </w:r>
      <w:r>
        <w:rPr>
          <w:noProof/>
          <w:lang w:eastAsia="en-GB"/>
        </w:rPr>
        <w:drawing>
          <wp:inline distT="0" distB="0" distL="0" distR="0" wp14:anchorId="5DDE356E" wp14:editId="30B4B2E6">
            <wp:extent cx="2144395" cy="793750"/>
            <wp:effectExtent l="0" t="0" r="8255" b="6350"/>
            <wp:docPr id="1" name="Picture 1"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inline>
        </w:drawing>
      </w:r>
    </w:p>
    <w:p w14:paraId="6CB88ECB" w14:textId="77777777" w:rsidR="00045F7F" w:rsidRPr="006F6E42" w:rsidRDefault="00045F7F" w:rsidP="00045F7F">
      <w:pPr>
        <w:pStyle w:val="BasicParagraph"/>
        <w:suppressAutoHyphens/>
        <w:jc w:val="center"/>
        <w:rPr>
          <w:rFonts w:asciiTheme="minorHAnsi" w:hAnsiTheme="minorHAnsi" w:cs="Arial"/>
          <w:b/>
          <w:bCs/>
          <w:color w:val="734791"/>
        </w:rPr>
      </w:pPr>
    </w:p>
    <w:p w14:paraId="7F4AE1E0" w14:textId="77777777" w:rsidR="00045F7F" w:rsidRDefault="00045F7F" w:rsidP="00045F7F">
      <w:pPr>
        <w:pStyle w:val="Default"/>
        <w:spacing w:line="288" w:lineRule="auto"/>
        <w:jc w:val="center"/>
        <w:rPr>
          <w:rFonts w:asciiTheme="minorHAnsi" w:hAnsiTheme="minorHAnsi" w:cs="Arial"/>
          <w:b/>
          <w:bCs/>
          <w:color w:val="77328A"/>
          <w:sz w:val="44"/>
          <w:szCs w:val="44"/>
          <w:lang w:val="en-GB"/>
        </w:rPr>
      </w:pPr>
    </w:p>
    <w:p w14:paraId="76C8505F" w14:textId="77777777" w:rsidR="00492700" w:rsidRDefault="00492700" w:rsidP="00045F7F">
      <w:pPr>
        <w:pStyle w:val="Default"/>
        <w:spacing w:line="288" w:lineRule="auto"/>
        <w:jc w:val="center"/>
        <w:rPr>
          <w:rFonts w:asciiTheme="minorHAnsi" w:hAnsiTheme="minorHAnsi" w:cs="Arial"/>
          <w:b/>
          <w:bCs/>
          <w:color w:val="77328A"/>
          <w:sz w:val="44"/>
          <w:szCs w:val="44"/>
          <w:lang w:val="en-GB"/>
        </w:rPr>
      </w:pPr>
    </w:p>
    <w:p w14:paraId="7DC05268" w14:textId="28AE26E1" w:rsidR="00492700" w:rsidRDefault="00492700" w:rsidP="00045F7F">
      <w:pPr>
        <w:pStyle w:val="Default"/>
        <w:spacing w:line="288" w:lineRule="auto"/>
        <w:jc w:val="center"/>
        <w:rPr>
          <w:rFonts w:asciiTheme="minorHAnsi" w:hAnsiTheme="minorHAnsi" w:cs="Arial"/>
          <w:b/>
          <w:bCs/>
          <w:color w:val="77328A"/>
          <w:sz w:val="44"/>
          <w:szCs w:val="44"/>
          <w:lang w:val="en-GB"/>
        </w:rPr>
      </w:pPr>
    </w:p>
    <w:p w14:paraId="3C1649A0" w14:textId="3E134855" w:rsidR="006A66EF" w:rsidRDefault="006A66EF" w:rsidP="00045F7F">
      <w:pPr>
        <w:pStyle w:val="Default"/>
        <w:spacing w:line="288" w:lineRule="auto"/>
        <w:jc w:val="center"/>
        <w:rPr>
          <w:rFonts w:asciiTheme="minorHAnsi" w:hAnsiTheme="minorHAnsi" w:cs="Arial"/>
          <w:b/>
          <w:bCs/>
          <w:color w:val="77328A"/>
          <w:sz w:val="44"/>
          <w:szCs w:val="44"/>
          <w:lang w:val="en-GB"/>
        </w:rPr>
      </w:pPr>
    </w:p>
    <w:p w14:paraId="04CAAA1E" w14:textId="77777777" w:rsidR="006A66EF" w:rsidRPr="006F6E42" w:rsidRDefault="006A66EF" w:rsidP="00045F7F">
      <w:pPr>
        <w:pStyle w:val="Default"/>
        <w:spacing w:line="288" w:lineRule="auto"/>
        <w:jc w:val="center"/>
        <w:rPr>
          <w:rFonts w:asciiTheme="minorHAnsi" w:hAnsiTheme="minorHAnsi" w:cs="Arial"/>
          <w:b/>
          <w:bCs/>
          <w:color w:val="77328A"/>
          <w:sz w:val="44"/>
          <w:szCs w:val="44"/>
          <w:lang w:val="en-GB"/>
        </w:rPr>
      </w:pPr>
    </w:p>
    <w:p w14:paraId="56265066" w14:textId="01C74319" w:rsidR="00045F7F" w:rsidRPr="006F6E42" w:rsidRDefault="005A0F76" w:rsidP="00045F7F">
      <w:pPr>
        <w:pStyle w:val="Default"/>
        <w:jc w:val="center"/>
        <w:rPr>
          <w:rFonts w:asciiTheme="minorHAnsi" w:hAnsiTheme="minorHAnsi" w:cstheme="minorHAnsi"/>
          <w:b/>
          <w:bCs/>
          <w:color w:val="auto"/>
          <w:sz w:val="56"/>
          <w:szCs w:val="56"/>
          <w:lang w:val="en-GB"/>
        </w:rPr>
      </w:pPr>
      <w:r w:rsidRPr="006F6E42">
        <w:rPr>
          <w:rFonts w:asciiTheme="minorHAnsi" w:hAnsiTheme="minorHAnsi" w:cstheme="minorHAnsi"/>
          <w:b/>
          <w:bCs/>
          <w:color w:val="auto"/>
          <w:sz w:val="56"/>
          <w:szCs w:val="56"/>
          <w:lang w:val="en-GB"/>
        </w:rPr>
        <w:t xml:space="preserve">Working </w:t>
      </w:r>
      <w:r w:rsidR="00045F7F" w:rsidRPr="006F6E42">
        <w:rPr>
          <w:rFonts w:asciiTheme="minorHAnsi" w:hAnsiTheme="minorHAnsi" w:cstheme="minorHAnsi"/>
          <w:b/>
          <w:bCs/>
          <w:color w:val="auto"/>
          <w:sz w:val="56"/>
          <w:szCs w:val="56"/>
          <w:lang w:val="en-GB"/>
        </w:rPr>
        <w:t xml:space="preserve">Paper: </w:t>
      </w:r>
    </w:p>
    <w:p w14:paraId="16E73332" w14:textId="17F67697" w:rsidR="00045F7F" w:rsidRPr="006F6E42" w:rsidRDefault="00EE59CB" w:rsidP="00045F7F">
      <w:pPr>
        <w:pStyle w:val="Default"/>
        <w:jc w:val="center"/>
        <w:rPr>
          <w:rFonts w:asciiTheme="minorHAnsi" w:hAnsiTheme="minorHAnsi" w:cstheme="minorHAnsi"/>
          <w:b/>
          <w:bCs/>
          <w:color w:val="auto"/>
          <w:sz w:val="56"/>
          <w:szCs w:val="56"/>
        </w:rPr>
      </w:pPr>
      <w:r>
        <w:rPr>
          <w:rFonts w:asciiTheme="minorHAnsi" w:hAnsiTheme="minorHAnsi" w:cstheme="minorHAnsi"/>
          <w:b/>
          <w:bCs/>
          <w:color w:val="auto"/>
          <w:sz w:val="56"/>
          <w:szCs w:val="56"/>
          <w:lang w:val="en-GB"/>
        </w:rPr>
        <w:t xml:space="preserve">The </w:t>
      </w:r>
      <w:r w:rsidR="00045F7F" w:rsidRPr="006F6E42">
        <w:rPr>
          <w:rFonts w:asciiTheme="minorHAnsi" w:hAnsiTheme="minorHAnsi" w:cstheme="minorHAnsi"/>
          <w:b/>
          <w:bCs/>
          <w:color w:val="auto"/>
          <w:sz w:val="56"/>
          <w:szCs w:val="56"/>
          <w:lang w:val="en-GB"/>
        </w:rPr>
        <w:t>Scope of Article 2(1) of the</w:t>
      </w:r>
      <w:r w:rsidR="00045F7F" w:rsidRPr="006F6E42">
        <w:rPr>
          <w:rFonts w:asciiTheme="minorHAnsi" w:hAnsiTheme="minorHAnsi" w:cstheme="minorHAnsi"/>
          <w:b/>
          <w:bCs/>
          <w:color w:val="auto"/>
          <w:sz w:val="56"/>
          <w:szCs w:val="56"/>
        </w:rPr>
        <w:t xml:space="preserve"> Ireland/Northern Ireland Protocol </w:t>
      </w:r>
    </w:p>
    <w:p w14:paraId="3EA3CC59" w14:textId="77777777" w:rsidR="00045F7F" w:rsidRPr="006F6E42" w:rsidRDefault="00045F7F" w:rsidP="00045F7F">
      <w:pPr>
        <w:pStyle w:val="Default"/>
        <w:jc w:val="center"/>
        <w:rPr>
          <w:rFonts w:asciiTheme="minorHAnsi" w:hAnsiTheme="minorHAnsi" w:cstheme="minorHAnsi"/>
          <w:b/>
          <w:bCs/>
          <w:color w:val="auto"/>
          <w:sz w:val="56"/>
          <w:szCs w:val="56"/>
        </w:rPr>
      </w:pPr>
    </w:p>
    <w:p w14:paraId="2CE33B3D" w14:textId="6DECEE14" w:rsidR="00045F7F" w:rsidRDefault="00045F7F" w:rsidP="00045F7F">
      <w:pPr>
        <w:pStyle w:val="Default"/>
        <w:jc w:val="center"/>
        <w:rPr>
          <w:rFonts w:asciiTheme="minorHAnsi" w:hAnsiTheme="minorHAnsi" w:cstheme="minorHAnsi"/>
          <w:b/>
          <w:bCs/>
          <w:color w:val="auto"/>
          <w:sz w:val="56"/>
          <w:szCs w:val="56"/>
        </w:rPr>
      </w:pPr>
    </w:p>
    <w:p w14:paraId="35766369" w14:textId="77777777" w:rsidR="006A66EF" w:rsidRPr="006F6E42" w:rsidRDefault="006A66EF" w:rsidP="00045F7F">
      <w:pPr>
        <w:pStyle w:val="Default"/>
        <w:jc w:val="center"/>
        <w:rPr>
          <w:rFonts w:asciiTheme="minorHAnsi" w:hAnsiTheme="minorHAnsi" w:cstheme="minorHAnsi"/>
          <w:b/>
          <w:bCs/>
          <w:color w:val="auto"/>
          <w:sz w:val="56"/>
          <w:szCs w:val="56"/>
        </w:rPr>
      </w:pPr>
    </w:p>
    <w:p w14:paraId="246462E3" w14:textId="66543E97" w:rsidR="00045F7F" w:rsidRPr="006F6E42" w:rsidRDefault="00D671E2" w:rsidP="00045F7F">
      <w:pPr>
        <w:jc w:val="center"/>
        <w:rPr>
          <w:rFonts w:asciiTheme="minorHAnsi" w:hAnsiTheme="minorHAnsi" w:cstheme="minorHAnsi"/>
          <w:b/>
          <w:color w:val="232120"/>
          <w:sz w:val="36"/>
          <w:szCs w:val="36"/>
        </w:rPr>
      </w:pPr>
      <w:r>
        <w:rPr>
          <w:rFonts w:asciiTheme="minorHAnsi" w:hAnsiTheme="minorHAnsi" w:cstheme="minorHAnsi"/>
          <w:b/>
          <w:color w:val="232120"/>
          <w:sz w:val="36"/>
          <w:szCs w:val="36"/>
        </w:rPr>
        <w:t xml:space="preserve">December </w:t>
      </w:r>
      <w:r w:rsidR="00045F7F" w:rsidRPr="006F6E42">
        <w:rPr>
          <w:rFonts w:asciiTheme="minorHAnsi" w:hAnsiTheme="minorHAnsi" w:cstheme="minorHAnsi"/>
          <w:b/>
          <w:color w:val="232120"/>
          <w:sz w:val="36"/>
          <w:szCs w:val="36"/>
        </w:rPr>
        <w:t>2022</w:t>
      </w:r>
    </w:p>
    <w:p w14:paraId="3A325C22" w14:textId="77777777" w:rsidR="00F02CD0" w:rsidRPr="006F6E42" w:rsidRDefault="00F02CD0"/>
    <w:p w14:paraId="39054AA3" w14:textId="77777777" w:rsidR="00785A72" w:rsidRPr="006F6E42" w:rsidRDefault="00785A72" w:rsidP="00097391"/>
    <w:p w14:paraId="1B0D113B" w14:textId="77777777" w:rsidR="00045F7F" w:rsidRPr="006F6E42" w:rsidRDefault="00045F7F">
      <w:r w:rsidRPr="006F6E42">
        <w:br w:type="page"/>
      </w:r>
    </w:p>
    <w:p w14:paraId="5F5AB8E2" w14:textId="77777777" w:rsidR="00785A72" w:rsidRPr="006F6E42" w:rsidRDefault="00785A72" w:rsidP="00097391"/>
    <w:bookmarkStart w:id="0" w:name="_Toc87020432" w:displacedByCustomXml="next"/>
    <w:sdt>
      <w:sdtPr>
        <w:rPr>
          <w:rFonts w:ascii="Calibri" w:eastAsiaTheme="minorHAnsi" w:hAnsi="Calibri" w:cstheme="minorBidi"/>
          <w:color w:val="auto"/>
          <w:sz w:val="28"/>
          <w:szCs w:val="24"/>
          <w:lang w:val="en-GB"/>
        </w:rPr>
        <w:id w:val="-590388929"/>
        <w:docPartObj>
          <w:docPartGallery w:val="Table of Contents"/>
          <w:docPartUnique/>
        </w:docPartObj>
      </w:sdtPr>
      <w:sdtEndPr>
        <w:rPr>
          <w:b/>
          <w:bCs/>
          <w:noProof/>
        </w:rPr>
      </w:sdtEndPr>
      <w:sdtContent>
        <w:p w14:paraId="367395A3" w14:textId="77777777" w:rsidR="00F02CD0" w:rsidRPr="006F6E42" w:rsidRDefault="00F02CD0">
          <w:pPr>
            <w:pStyle w:val="TOCHeading"/>
            <w:rPr>
              <w:rStyle w:val="Heading2Char"/>
              <w:color w:val="000000" w:themeColor="text1"/>
            </w:rPr>
          </w:pPr>
          <w:r w:rsidRPr="006F6E42">
            <w:rPr>
              <w:rStyle w:val="Heading2Char"/>
              <w:color w:val="000000" w:themeColor="text1"/>
            </w:rPr>
            <w:t>Table of Contents</w:t>
          </w:r>
        </w:p>
        <w:p w14:paraId="49A616FB" w14:textId="6907A4E7" w:rsidR="00D84F99" w:rsidRDefault="00F02CD0">
          <w:pPr>
            <w:pStyle w:val="TOC1"/>
            <w:rPr>
              <w:rFonts w:asciiTheme="minorHAnsi" w:eastAsiaTheme="minorEastAsia" w:hAnsiTheme="minorHAnsi"/>
              <w:noProof/>
              <w:sz w:val="22"/>
              <w:szCs w:val="22"/>
              <w:lang w:eastAsia="en-GB"/>
            </w:rPr>
          </w:pPr>
          <w:r w:rsidRPr="006F6E42">
            <w:fldChar w:fldCharType="begin"/>
          </w:r>
          <w:r w:rsidRPr="006F6E42">
            <w:instrText xml:space="preserve"> TOC \o "1-3" \h \z \u </w:instrText>
          </w:r>
          <w:r w:rsidRPr="006F6E42">
            <w:fldChar w:fldCharType="separate"/>
          </w:r>
          <w:hyperlink w:anchor="_Toc122447013" w:history="1">
            <w:r w:rsidR="00D84F99" w:rsidRPr="00AA3DC4">
              <w:rPr>
                <w:rStyle w:val="Hyperlink"/>
                <w:noProof/>
              </w:rPr>
              <w:t>1.0</w:t>
            </w:r>
            <w:r w:rsidR="00D84F99">
              <w:rPr>
                <w:rFonts w:asciiTheme="minorHAnsi" w:eastAsiaTheme="minorEastAsia" w:hAnsiTheme="minorHAnsi"/>
                <w:noProof/>
                <w:sz w:val="22"/>
                <w:szCs w:val="22"/>
                <w:lang w:eastAsia="en-GB"/>
              </w:rPr>
              <w:tab/>
            </w:r>
            <w:r w:rsidR="00D84F99" w:rsidRPr="00AA3DC4">
              <w:rPr>
                <w:rStyle w:val="Hyperlink"/>
                <w:noProof/>
              </w:rPr>
              <w:t>Introduction</w:t>
            </w:r>
            <w:r w:rsidR="00D84F99">
              <w:rPr>
                <w:noProof/>
                <w:webHidden/>
              </w:rPr>
              <w:tab/>
            </w:r>
            <w:r w:rsidR="00D84F99">
              <w:rPr>
                <w:noProof/>
                <w:webHidden/>
              </w:rPr>
              <w:fldChar w:fldCharType="begin"/>
            </w:r>
            <w:r w:rsidR="00D84F99">
              <w:rPr>
                <w:noProof/>
                <w:webHidden/>
              </w:rPr>
              <w:instrText xml:space="preserve"> PAGEREF _Toc122447013 \h </w:instrText>
            </w:r>
            <w:r w:rsidR="00D84F99">
              <w:rPr>
                <w:noProof/>
                <w:webHidden/>
              </w:rPr>
            </w:r>
            <w:r w:rsidR="00D84F99">
              <w:rPr>
                <w:noProof/>
                <w:webHidden/>
              </w:rPr>
              <w:fldChar w:fldCharType="separate"/>
            </w:r>
            <w:r w:rsidR="00D84F99">
              <w:rPr>
                <w:noProof/>
                <w:webHidden/>
              </w:rPr>
              <w:t>4</w:t>
            </w:r>
            <w:r w:rsidR="00D84F99">
              <w:rPr>
                <w:noProof/>
                <w:webHidden/>
              </w:rPr>
              <w:fldChar w:fldCharType="end"/>
            </w:r>
          </w:hyperlink>
        </w:p>
        <w:p w14:paraId="03CC7062" w14:textId="43576D34" w:rsidR="00D84F99" w:rsidRDefault="00D84F99">
          <w:pPr>
            <w:pStyle w:val="TOC1"/>
            <w:rPr>
              <w:rFonts w:asciiTheme="minorHAnsi" w:eastAsiaTheme="minorEastAsia" w:hAnsiTheme="minorHAnsi"/>
              <w:noProof/>
              <w:sz w:val="22"/>
              <w:szCs w:val="22"/>
              <w:lang w:eastAsia="en-GB"/>
            </w:rPr>
          </w:pPr>
          <w:hyperlink w:anchor="_Toc122447014" w:history="1">
            <w:r w:rsidRPr="00AA3DC4">
              <w:rPr>
                <w:rStyle w:val="Hyperlink"/>
                <w:noProof/>
              </w:rPr>
              <w:t>2.0</w:t>
            </w:r>
            <w:r>
              <w:rPr>
                <w:rFonts w:asciiTheme="minorHAnsi" w:eastAsiaTheme="minorEastAsia" w:hAnsiTheme="minorHAnsi"/>
                <w:noProof/>
                <w:sz w:val="22"/>
                <w:szCs w:val="22"/>
                <w:lang w:eastAsia="en-GB"/>
              </w:rPr>
              <w:tab/>
            </w:r>
            <w:r w:rsidRPr="00AA3DC4">
              <w:rPr>
                <w:rStyle w:val="Hyperlink"/>
                <w:noProof/>
              </w:rPr>
              <w:t>Overview of Article 2</w:t>
            </w:r>
            <w:r>
              <w:rPr>
                <w:noProof/>
                <w:webHidden/>
              </w:rPr>
              <w:tab/>
            </w:r>
            <w:r>
              <w:rPr>
                <w:noProof/>
                <w:webHidden/>
              </w:rPr>
              <w:fldChar w:fldCharType="begin"/>
            </w:r>
            <w:r>
              <w:rPr>
                <w:noProof/>
                <w:webHidden/>
              </w:rPr>
              <w:instrText xml:space="preserve"> PAGEREF _Toc122447014 \h </w:instrText>
            </w:r>
            <w:r>
              <w:rPr>
                <w:noProof/>
                <w:webHidden/>
              </w:rPr>
            </w:r>
            <w:r>
              <w:rPr>
                <w:noProof/>
                <w:webHidden/>
              </w:rPr>
              <w:fldChar w:fldCharType="separate"/>
            </w:r>
            <w:r>
              <w:rPr>
                <w:noProof/>
                <w:webHidden/>
              </w:rPr>
              <w:t>5</w:t>
            </w:r>
            <w:r>
              <w:rPr>
                <w:noProof/>
                <w:webHidden/>
              </w:rPr>
              <w:fldChar w:fldCharType="end"/>
            </w:r>
          </w:hyperlink>
        </w:p>
        <w:p w14:paraId="550000DE" w14:textId="05F564D1" w:rsidR="00D84F99" w:rsidRDefault="00D84F99">
          <w:pPr>
            <w:pStyle w:val="TOC2"/>
            <w:rPr>
              <w:rFonts w:asciiTheme="minorHAnsi" w:eastAsiaTheme="minorEastAsia" w:hAnsiTheme="minorHAnsi"/>
              <w:noProof/>
              <w:sz w:val="22"/>
              <w:szCs w:val="22"/>
              <w:lang w:eastAsia="en-GB"/>
            </w:rPr>
          </w:pPr>
          <w:hyperlink w:anchor="_Toc122447015" w:history="1">
            <w:r w:rsidRPr="00AA3DC4">
              <w:rPr>
                <w:rStyle w:val="Hyperlink"/>
                <w:noProof/>
              </w:rPr>
              <w:t>Background</w:t>
            </w:r>
            <w:r>
              <w:rPr>
                <w:noProof/>
                <w:webHidden/>
              </w:rPr>
              <w:tab/>
            </w:r>
            <w:r>
              <w:rPr>
                <w:noProof/>
                <w:webHidden/>
              </w:rPr>
              <w:fldChar w:fldCharType="begin"/>
            </w:r>
            <w:r>
              <w:rPr>
                <w:noProof/>
                <w:webHidden/>
              </w:rPr>
              <w:instrText xml:space="preserve"> PAGEREF _Toc122447015 \h </w:instrText>
            </w:r>
            <w:r>
              <w:rPr>
                <w:noProof/>
                <w:webHidden/>
              </w:rPr>
            </w:r>
            <w:r>
              <w:rPr>
                <w:noProof/>
                <w:webHidden/>
              </w:rPr>
              <w:fldChar w:fldCharType="separate"/>
            </w:r>
            <w:r>
              <w:rPr>
                <w:noProof/>
                <w:webHidden/>
              </w:rPr>
              <w:t>5</w:t>
            </w:r>
            <w:r>
              <w:rPr>
                <w:noProof/>
                <w:webHidden/>
              </w:rPr>
              <w:fldChar w:fldCharType="end"/>
            </w:r>
          </w:hyperlink>
        </w:p>
        <w:p w14:paraId="7C2E375C" w14:textId="50CBB976" w:rsidR="00D84F99" w:rsidRDefault="00D84F99">
          <w:pPr>
            <w:pStyle w:val="TOC2"/>
            <w:rPr>
              <w:rFonts w:asciiTheme="minorHAnsi" w:eastAsiaTheme="minorEastAsia" w:hAnsiTheme="minorHAnsi"/>
              <w:noProof/>
              <w:sz w:val="22"/>
              <w:szCs w:val="22"/>
              <w:lang w:eastAsia="en-GB"/>
            </w:rPr>
          </w:pPr>
          <w:hyperlink w:anchor="_Toc122447016" w:history="1">
            <w:r w:rsidRPr="00AA3DC4">
              <w:rPr>
                <w:rStyle w:val="Hyperlink"/>
                <w:noProof/>
              </w:rPr>
              <w:t>Protocol Article 2</w:t>
            </w:r>
            <w:r>
              <w:rPr>
                <w:noProof/>
                <w:webHidden/>
              </w:rPr>
              <w:tab/>
            </w:r>
            <w:r>
              <w:rPr>
                <w:noProof/>
                <w:webHidden/>
              </w:rPr>
              <w:fldChar w:fldCharType="begin"/>
            </w:r>
            <w:r>
              <w:rPr>
                <w:noProof/>
                <w:webHidden/>
              </w:rPr>
              <w:instrText xml:space="preserve"> PAGEREF _Toc122447016 \h </w:instrText>
            </w:r>
            <w:r>
              <w:rPr>
                <w:noProof/>
                <w:webHidden/>
              </w:rPr>
            </w:r>
            <w:r>
              <w:rPr>
                <w:noProof/>
                <w:webHidden/>
              </w:rPr>
              <w:fldChar w:fldCharType="separate"/>
            </w:r>
            <w:r>
              <w:rPr>
                <w:noProof/>
                <w:webHidden/>
              </w:rPr>
              <w:t>6</w:t>
            </w:r>
            <w:r>
              <w:rPr>
                <w:noProof/>
                <w:webHidden/>
              </w:rPr>
              <w:fldChar w:fldCharType="end"/>
            </w:r>
          </w:hyperlink>
        </w:p>
        <w:p w14:paraId="140EC826" w14:textId="66FEE46E" w:rsidR="00D84F99" w:rsidRDefault="00D84F99">
          <w:pPr>
            <w:pStyle w:val="TOC2"/>
            <w:rPr>
              <w:rFonts w:asciiTheme="minorHAnsi" w:eastAsiaTheme="minorEastAsia" w:hAnsiTheme="minorHAnsi"/>
              <w:noProof/>
              <w:sz w:val="22"/>
              <w:szCs w:val="22"/>
              <w:lang w:eastAsia="en-GB"/>
            </w:rPr>
          </w:pPr>
          <w:hyperlink w:anchor="_Toc122447017" w:history="1">
            <w:r w:rsidRPr="00AA3DC4">
              <w:rPr>
                <w:rStyle w:val="Hyperlink"/>
                <w:noProof/>
              </w:rPr>
              <w:t>Rights, safeguards and equality of opportunity in the Belfast (Good Friday) Agreement</w:t>
            </w:r>
            <w:r>
              <w:rPr>
                <w:noProof/>
                <w:webHidden/>
              </w:rPr>
              <w:tab/>
            </w:r>
            <w:r>
              <w:rPr>
                <w:noProof/>
                <w:webHidden/>
              </w:rPr>
              <w:fldChar w:fldCharType="begin"/>
            </w:r>
            <w:r>
              <w:rPr>
                <w:noProof/>
                <w:webHidden/>
              </w:rPr>
              <w:instrText xml:space="preserve"> PAGEREF _Toc122447017 \h </w:instrText>
            </w:r>
            <w:r>
              <w:rPr>
                <w:noProof/>
                <w:webHidden/>
              </w:rPr>
            </w:r>
            <w:r>
              <w:rPr>
                <w:noProof/>
                <w:webHidden/>
              </w:rPr>
              <w:fldChar w:fldCharType="separate"/>
            </w:r>
            <w:r>
              <w:rPr>
                <w:noProof/>
                <w:webHidden/>
              </w:rPr>
              <w:t>8</w:t>
            </w:r>
            <w:r>
              <w:rPr>
                <w:noProof/>
                <w:webHidden/>
              </w:rPr>
              <w:fldChar w:fldCharType="end"/>
            </w:r>
          </w:hyperlink>
        </w:p>
        <w:p w14:paraId="162119DF" w14:textId="7759A3FB" w:rsidR="00D84F99" w:rsidRDefault="00D84F99">
          <w:pPr>
            <w:pStyle w:val="TOC2"/>
            <w:rPr>
              <w:rFonts w:asciiTheme="minorHAnsi" w:eastAsiaTheme="minorEastAsia" w:hAnsiTheme="minorHAnsi"/>
              <w:noProof/>
              <w:sz w:val="22"/>
              <w:szCs w:val="22"/>
              <w:lang w:eastAsia="en-GB"/>
            </w:rPr>
          </w:pPr>
          <w:hyperlink w:anchor="_Toc122447018" w:history="1">
            <w:r w:rsidRPr="00AA3DC4">
              <w:rPr>
                <w:rStyle w:val="Hyperlink"/>
                <w:noProof/>
              </w:rPr>
              <w:t>Annex 1 Equality Directives</w:t>
            </w:r>
            <w:r>
              <w:rPr>
                <w:noProof/>
                <w:webHidden/>
              </w:rPr>
              <w:tab/>
            </w:r>
            <w:r>
              <w:rPr>
                <w:noProof/>
                <w:webHidden/>
              </w:rPr>
              <w:fldChar w:fldCharType="begin"/>
            </w:r>
            <w:r>
              <w:rPr>
                <w:noProof/>
                <w:webHidden/>
              </w:rPr>
              <w:instrText xml:space="preserve"> PAGEREF _Toc122447018 \h </w:instrText>
            </w:r>
            <w:r>
              <w:rPr>
                <w:noProof/>
                <w:webHidden/>
              </w:rPr>
            </w:r>
            <w:r>
              <w:rPr>
                <w:noProof/>
                <w:webHidden/>
              </w:rPr>
              <w:fldChar w:fldCharType="separate"/>
            </w:r>
            <w:r>
              <w:rPr>
                <w:noProof/>
                <w:webHidden/>
              </w:rPr>
              <w:t>9</w:t>
            </w:r>
            <w:r>
              <w:rPr>
                <w:noProof/>
                <w:webHidden/>
              </w:rPr>
              <w:fldChar w:fldCharType="end"/>
            </w:r>
          </w:hyperlink>
        </w:p>
        <w:p w14:paraId="0EEA3F1B" w14:textId="0E9E40E7" w:rsidR="00D84F99" w:rsidRDefault="00D84F99">
          <w:pPr>
            <w:pStyle w:val="TOC2"/>
            <w:rPr>
              <w:rFonts w:asciiTheme="minorHAnsi" w:eastAsiaTheme="minorEastAsia" w:hAnsiTheme="minorHAnsi"/>
              <w:noProof/>
              <w:sz w:val="22"/>
              <w:szCs w:val="22"/>
              <w:lang w:eastAsia="en-GB"/>
            </w:rPr>
          </w:pPr>
          <w:hyperlink w:anchor="_Toc122447019" w:history="1">
            <w:r w:rsidRPr="00AA3DC4">
              <w:rPr>
                <w:rStyle w:val="Hyperlink"/>
                <w:noProof/>
              </w:rPr>
              <w:t>Underpinning EU Measures</w:t>
            </w:r>
            <w:r>
              <w:rPr>
                <w:noProof/>
                <w:webHidden/>
              </w:rPr>
              <w:tab/>
            </w:r>
            <w:r>
              <w:rPr>
                <w:noProof/>
                <w:webHidden/>
              </w:rPr>
              <w:fldChar w:fldCharType="begin"/>
            </w:r>
            <w:r>
              <w:rPr>
                <w:noProof/>
                <w:webHidden/>
              </w:rPr>
              <w:instrText xml:space="preserve"> PAGEREF _Toc122447019 \h </w:instrText>
            </w:r>
            <w:r>
              <w:rPr>
                <w:noProof/>
                <w:webHidden/>
              </w:rPr>
            </w:r>
            <w:r>
              <w:rPr>
                <w:noProof/>
                <w:webHidden/>
              </w:rPr>
              <w:fldChar w:fldCharType="separate"/>
            </w:r>
            <w:r>
              <w:rPr>
                <w:noProof/>
                <w:webHidden/>
              </w:rPr>
              <w:t>10</w:t>
            </w:r>
            <w:r>
              <w:rPr>
                <w:noProof/>
                <w:webHidden/>
              </w:rPr>
              <w:fldChar w:fldCharType="end"/>
            </w:r>
          </w:hyperlink>
        </w:p>
        <w:p w14:paraId="4B83A009" w14:textId="4008461F" w:rsidR="00D84F99" w:rsidRDefault="00D84F99">
          <w:pPr>
            <w:pStyle w:val="TOC1"/>
            <w:rPr>
              <w:rFonts w:asciiTheme="minorHAnsi" w:eastAsiaTheme="minorEastAsia" w:hAnsiTheme="minorHAnsi"/>
              <w:noProof/>
              <w:sz w:val="22"/>
              <w:szCs w:val="22"/>
              <w:lang w:eastAsia="en-GB"/>
            </w:rPr>
          </w:pPr>
          <w:hyperlink w:anchor="_Toc122447020" w:history="1">
            <w:r w:rsidRPr="00AA3DC4">
              <w:rPr>
                <w:rStyle w:val="Hyperlink"/>
                <w:noProof/>
              </w:rPr>
              <w:t>3.0</w:t>
            </w:r>
            <w:r>
              <w:rPr>
                <w:rFonts w:asciiTheme="minorHAnsi" w:eastAsiaTheme="minorEastAsia" w:hAnsiTheme="minorHAnsi"/>
                <w:noProof/>
                <w:sz w:val="22"/>
                <w:szCs w:val="22"/>
                <w:lang w:eastAsia="en-GB"/>
              </w:rPr>
              <w:tab/>
            </w:r>
            <w:r w:rsidRPr="00AA3DC4">
              <w:rPr>
                <w:rStyle w:val="Hyperlink"/>
                <w:noProof/>
              </w:rPr>
              <w:t>Belfast (Good Friday) Agreement</w:t>
            </w:r>
            <w:r>
              <w:rPr>
                <w:noProof/>
                <w:webHidden/>
              </w:rPr>
              <w:tab/>
            </w:r>
            <w:r>
              <w:rPr>
                <w:noProof/>
                <w:webHidden/>
              </w:rPr>
              <w:fldChar w:fldCharType="begin"/>
            </w:r>
            <w:r>
              <w:rPr>
                <w:noProof/>
                <w:webHidden/>
              </w:rPr>
              <w:instrText xml:space="preserve"> PAGEREF _Toc122447020 \h </w:instrText>
            </w:r>
            <w:r>
              <w:rPr>
                <w:noProof/>
                <w:webHidden/>
              </w:rPr>
            </w:r>
            <w:r>
              <w:rPr>
                <w:noProof/>
                <w:webHidden/>
              </w:rPr>
              <w:fldChar w:fldCharType="separate"/>
            </w:r>
            <w:r>
              <w:rPr>
                <w:noProof/>
                <w:webHidden/>
              </w:rPr>
              <w:t>11</w:t>
            </w:r>
            <w:r>
              <w:rPr>
                <w:noProof/>
                <w:webHidden/>
              </w:rPr>
              <w:fldChar w:fldCharType="end"/>
            </w:r>
          </w:hyperlink>
        </w:p>
        <w:p w14:paraId="139F6013" w14:textId="38EC3AED" w:rsidR="00D84F99" w:rsidRDefault="00D84F99">
          <w:pPr>
            <w:pStyle w:val="TOC2"/>
            <w:rPr>
              <w:rFonts w:asciiTheme="minorHAnsi" w:eastAsiaTheme="minorEastAsia" w:hAnsiTheme="minorHAnsi"/>
              <w:noProof/>
              <w:sz w:val="22"/>
              <w:szCs w:val="22"/>
              <w:lang w:eastAsia="en-GB"/>
            </w:rPr>
          </w:pPr>
          <w:hyperlink w:anchor="_Toc122447021" w:history="1">
            <w:r w:rsidRPr="00AA3DC4">
              <w:rPr>
                <w:rStyle w:val="Hyperlink"/>
                <w:noProof/>
              </w:rPr>
              <w:t>‘Civil Rights … of everyone in the community’</w:t>
            </w:r>
            <w:r>
              <w:rPr>
                <w:noProof/>
                <w:webHidden/>
              </w:rPr>
              <w:tab/>
            </w:r>
            <w:r>
              <w:rPr>
                <w:noProof/>
                <w:webHidden/>
              </w:rPr>
              <w:fldChar w:fldCharType="begin"/>
            </w:r>
            <w:r>
              <w:rPr>
                <w:noProof/>
                <w:webHidden/>
              </w:rPr>
              <w:instrText xml:space="preserve"> PAGEREF _Toc122447021 \h </w:instrText>
            </w:r>
            <w:r>
              <w:rPr>
                <w:noProof/>
                <w:webHidden/>
              </w:rPr>
            </w:r>
            <w:r>
              <w:rPr>
                <w:noProof/>
                <w:webHidden/>
              </w:rPr>
              <w:fldChar w:fldCharType="separate"/>
            </w:r>
            <w:r>
              <w:rPr>
                <w:noProof/>
                <w:webHidden/>
              </w:rPr>
              <w:t>11</w:t>
            </w:r>
            <w:r>
              <w:rPr>
                <w:noProof/>
                <w:webHidden/>
              </w:rPr>
              <w:fldChar w:fldCharType="end"/>
            </w:r>
          </w:hyperlink>
        </w:p>
        <w:p w14:paraId="64357478" w14:textId="43B1E877" w:rsidR="00D84F99" w:rsidRDefault="00D84F99">
          <w:pPr>
            <w:pStyle w:val="TOC2"/>
            <w:rPr>
              <w:rFonts w:asciiTheme="minorHAnsi" w:eastAsiaTheme="minorEastAsia" w:hAnsiTheme="minorHAnsi"/>
              <w:noProof/>
              <w:sz w:val="22"/>
              <w:szCs w:val="22"/>
              <w:lang w:eastAsia="en-GB"/>
            </w:rPr>
          </w:pPr>
          <w:hyperlink w:anchor="_Toc122447022" w:history="1">
            <w:r w:rsidRPr="00AA3DC4">
              <w:rPr>
                <w:rStyle w:val="Hyperlink"/>
                <w:noProof/>
              </w:rPr>
              <w:t>‘Ensure at least an Equivalent Level of Protection’</w:t>
            </w:r>
            <w:r>
              <w:rPr>
                <w:noProof/>
                <w:webHidden/>
              </w:rPr>
              <w:tab/>
            </w:r>
            <w:r>
              <w:rPr>
                <w:noProof/>
                <w:webHidden/>
              </w:rPr>
              <w:fldChar w:fldCharType="begin"/>
            </w:r>
            <w:r>
              <w:rPr>
                <w:noProof/>
                <w:webHidden/>
              </w:rPr>
              <w:instrText xml:space="preserve"> PAGEREF _Toc122447022 \h </w:instrText>
            </w:r>
            <w:r>
              <w:rPr>
                <w:noProof/>
                <w:webHidden/>
              </w:rPr>
            </w:r>
            <w:r>
              <w:rPr>
                <w:noProof/>
                <w:webHidden/>
              </w:rPr>
              <w:fldChar w:fldCharType="separate"/>
            </w:r>
            <w:r>
              <w:rPr>
                <w:noProof/>
                <w:webHidden/>
              </w:rPr>
              <w:t>15</w:t>
            </w:r>
            <w:r>
              <w:rPr>
                <w:noProof/>
                <w:webHidden/>
              </w:rPr>
              <w:fldChar w:fldCharType="end"/>
            </w:r>
          </w:hyperlink>
        </w:p>
        <w:p w14:paraId="71C208F1" w14:textId="3842E7C0" w:rsidR="00D84F99" w:rsidRDefault="00D84F99">
          <w:pPr>
            <w:pStyle w:val="TOC2"/>
            <w:rPr>
              <w:rFonts w:asciiTheme="minorHAnsi" w:eastAsiaTheme="minorEastAsia" w:hAnsiTheme="minorHAnsi"/>
              <w:noProof/>
              <w:sz w:val="22"/>
              <w:szCs w:val="22"/>
              <w:lang w:eastAsia="en-GB"/>
            </w:rPr>
          </w:pPr>
          <w:hyperlink w:anchor="_Toc122447023" w:history="1">
            <w:r w:rsidRPr="00AA3DC4">
              <w:rPr>
                <w:rStyle w:val="Hyperlink"/>
                <w:noProof/>
              </w:rPr>
              <w:t>Economic, social and cultural issues</w:t>
            </w:r>
            <w:r>
              <w:rPr>
                <w:noProof/>
                <w:webHidden/>
              </w:rPr>
              <w:tab/>
            </w:r>
            <w:r>
              <w:rPr>
                <w:noProof/>
                <w:webHidden/>
              </w:rPr>
              <w:fldChar w:fldCharType="begin"/>
            </w:r>
            <w:r>
              <w:rPr>
                <w:noProof/>
                <w:webHidden/>
              </w:rPr>
              <w:instrText xml:space="preserve"> PAGEREF _Toc122447023 \h </w:instrText>
            </w:r>
            <w:r>
              <w:rPr>
                <w:noProof/>
                <w:webHidden/>
              </w:rPr>
            </w:r>
            <w:r>
              <w:rPr>
                <w:noProof/>
                <w:webHidden/>
              </w:rPr>
              <w:fldChar w:fldCharType="separate"/>
            </w:r>
            <w:r>
              <w:rPr>
                <w:noProof/>
                <w:webHidden/>
              </w:rPr>
              <w:t>16</w:t>
            </w:r>
            <w:r>
              <w:rPr>
                <w:noProof/>
                <w:webHidden/>
              </w:rPr>
              <w:fldChar w:fldCharType="end"/>
            </w:r>
          </w:hyperlink>
        </w:p>
        <w:p w14:paraId="3BDDEE3A" w14:textId="7D268E31" w:rsidR="00D84F99" w:rsidRDefault="00D84F99">
          <w:pPr>
            <w:pStyle w:val="TOC1"/>
            <w:rPr>
              <w:rFonts w:asciiTheme="minorHAnsi" w:eastAsiaTheme="minorEastAsia" w:hAnsiTheme="minorHAnsi"/>
              <w:noProof/>
              <w:sz w:val="22"/>
              <w:szCs w:val="22"/>
              <w:lang w:eastAsia="en-GB"/>
            </w:rPr>
          </w:pPr>
          <w:hyperlink w:anchor="_Toc122447024" w:history="1">
            <w:r w:rsidRPr="00AA3DC4">
              <w:rPr>
                <w:rStyle w:val="Hyperlink"/>
                <w:noProof/>
              </w:rPr>
              <w:t>4.0</w:t>
            </w:r>
            <w:r>
              <w:rPr>
                <w:rFonts w:asciiTheme="minorHAnsi" w:eastAsiaTheme="minorEastAsia" w:hAnsiTheme="minorHAnsi"/>
                <w:noProof/>
                <w:sz w:val="22"/>
                <w:szCs w:val="22"/>
                <w:lang w:eastAsia="en-GB"/>
              </w:rPr>
              <w:tab/>
            </w:r>
            <w:r w:rsidRPr="00AA3DC4">
              <w:rPr>
                <w:rStyle w:val="Hyperlink"/>
                <w:noProof/>
              </w:rPr>
              <w:t>No diminution</w:t>
            </w:r>
            <w:r>
              <w:rPr>
                <w:noProof/>
                <w:webHidden/>
              </w:rPr>
              <w:tab/>
            </w:r>
            <w:r>
              <w:rPr>
                <w:noProof/>
                <w:webHidden/>
              </w:rPr>
              <w:fldChar w:fldCharType="begin"/>
            </w:r>
            <w:r>
              <w:rPr>
                <w:noProof/>
                <w:webHidden/>
              </w:rPr>
              <w:instrText xml:space="preserve"> PAGEREF _Toc122447024 \h </w:instrText>
            </w:r>
            <w:r>
              <w:rPr>
                <w:noProof/>
                <w:webHidden/>
              </w:rPr>
            </w:r>
            <w:r>
              <w:rPr>
                <w:noProof/>
                <w:webHidden/>
              </w:rPr>
              <w:fldChar w:fldCharType="separate"/>
            </w:r>
            <w:r>
              <w:rPr>
                <w:noProof/>
                <w:webHidden/>
              </w:rPr>
              <w:t>17</w:t>
            </w:r>
            <w:r>
              <w:rPr>
                <w:noProof/>
                <w:webHidden/>
              </w:rPr>
              <w:fldChar w:fldCharType="end"/>
            </w:r>
          </w:hyperlink>
        </w:p>
        <w:p w14:paraId="4C08F778" w14:textId="7E269F20" w:rsidR="00D84F99" w:rsidRDefault="00D84F99">
          <w:pPr>
            <w:pStyle w:val="TOC2"/>
            <w:rPr>
              <w:rFonts w:asciiTheme="minorHAnsi" w:eastAsiaTheme="minorEastAsia" w:hAnsiTheme="minorHAnsi"/>
              <w:noProof/>
              <w:sz w:val="22"/>
              <w:szCs w:val="22"/>
              <w:lang w:eastAsia="en-GB"/>
            </w:rPr>
          </w:pPr>
          <w:hyperlink w:anchor="_Toc122447025" w:history="1">
            <w:r w:rsidRPr="00AA3DC4">
              <w:rPr>
                <w:rStyle w:val="Hyperlink"/>
                <w:noProof/>
              </w:rPr>
              <w:t>Non-Diminution</w:t>
            </w:r>
            <w:r>
              <w:rPr>
                <w:noProof/>
                <w:webHidden/>
              </w:rPr>
              <w:tab/>
            </w:r>
            <w:r>
              <w:rPr>
                <w:noProof/>
                <w:webHidden/>
              </w:rPr>
              <w:fldChar w:fldCharType="begin"/>
            </w:r>
            <w:r>
              <w:rPr>
                <w:noProof/>
                <w:webHidden/>
              </w:rPr>
              <w:instrText xml:space="preserve"> PAGEREF _Toc122447025 \h </w:instrText>
            </w:r>
            <w:r>
              <w:rPr>
                <w:noProof/>
                <w:webHidden/>
              </w:rPr>
            </w:r>
            <w:r>
              <w:rPr>
                <w:noProof/>
                <w:webHidden/>
              </w:rPr>
              <w:fldChar w:fldCharType="separate"/>
            </w:r>
            <w:r>
              <w:rPr>
                <w:noProof/>
                <w:webHidden/>
              </w:rPr>
              <w:t>17</w:t>
            </w:r>
            <w:r>
              <w:rPr>
                <w:noProof/>
                <w:webHidden/>
              </w:rPr>
              <w:fldChar w:fldCharType="end"/>
            </w:r>
          </w:hyperlink>
        </w:p>
        <w:p w14:paraId="0F0A8C9D" w14:textId="0BCA99DB" w:rsidR="00D84F99" w:rsidRDefault="00D84F99">
          <w:pPr>
            <w:pStyle w:val="TOC2"/>
            <w:rPr>
              <w:rFonts w:asciiTheme="minorHAnsi" w:eastAsiaTheme="minorEastAsia" w:hAnsiTheme="minorHAnsi"/>
              <w:noProof/>
              <w:sz w:val="22"/>
              <w:szCs w:val="22"/>
              <w:lang w:eastAsia="en-GB"/>
            </w:rPr>
          </w:pPr>
          <w:hyperlink w:anchor="_Toc122447026" w:history="1">
            <w:r w:rsidRPr="00AA3DC4">
              <w:rPr>
                <w:rStyle w:val="Hyperlink"/>
                <w:noProof/>
              </w:rPr>
              <w:t>‘Keeping Pace’</w:t>
            </w:r>
            <w:r>
              <w:rPr>
                <w:noProof/>
                <w:webHidden/>
              </w:rPr>
              <w:tab/>
            </w:r>
            <w:r>
              <w:rPr>
                <w:noProof/>
                <w:webHidden/>
              </w:rPr>
              <w:fldChar w:fldCharType="begin"/>
            </w:r>
            <w:r>
              <w:rPr>
                <w:noProof/>
                <w:webHidden/>
              </w:rPr>
              <w:instrText xml:space="preserve"> PAGEREF _Toc122447026 \h </w:instrText>
            </w:r>
            <w:r>
              <w:rPr>
                <w:noProof/>
                <w:webHidden/>
              </w:rPr>
            </w:r>
            <w:r>
              <w:rPr>
                <w:noProof/>
                <w:webHidden/>
              </w:rPr>
              <w:fldChar w:fldCharType="separate"/>
            </w:r>
            <w:r>
              <w:rPr>
                <w:noProof/>
                <w:webHidden/>
              </w:rPr>
              <w:t>17</w:t>
            </w:r>
            <w:r>
              <w:rPr>
                <w:noProof/>
                <w:webHidden/>
              </w:rPr>
              <w:fldChar w:fldCharType="end"/>
            </w:r>
          </w:hyperlink>
        </w:p>
        <w:p w14:paraId="22C12A98" w14:textId="7ECE2559" w:rsidR="00D84F99" w:rsidRDefault="00D84F99">
          <w:pPr>
            <w:pStyle w:val="TOC2"/>
            <w:rPr>
              <w:rFonts w:asciiTheme="minorHAnsi" w:eastAsiaTheme="minorEastAsia" w:hAnsiTheme="minorHAnsi"/>
              <w:noProof/>
              <w:sz w:val="22"/>
              <w:szCs w:val="22"/>
              <w:lang w:eastAsia="en-GB"/>
            </w:rPr>
          </w:pPr>
          <w:hyperlink w:anchor="_Toc122447027" w:history="1">
            <w:r w:rsidRPr="00AA3DC4">
              <w:rPr>
                <w:rStyle w:val="Hyperlink"/>
                <w:noProof/>
              </w:rPr>
              <w:t>‘As amended or replaced’</w:t>
            </w:r>
            <w:r>
              <w:rPr>
                <w:noProof/>
                <w:webHidden/>
              </w:rPr>
              <w:tab/>
            </w:r>
            <w:r>
              <w:rPr>
                <w:noProof/>
                <w:webHidden/>
              </w:rPr>
              <w:fldChar w:fldCharType="begin"/>
            </w:r>
            <w:r>
              <w:rPr>
                <w:noProof/>
                <w:webHidden/>
              </w:rPr>
              <w:instrText xml:space="preserve"> PAGEREF _Toc122447027 \h </w:instrText>
            </w:r>
            <w:r>
              <w:rPr>
                <w:noProof/>
                <w:webHidden/>
              </w:rPr>
            </w:r>
            <w:r>
              <w:rPr>
                <w:noProof/>
                <w:webHidden/>
              </w:rPr>
              <w:fldChar w:fldCharType="separate"/>
            </w:r>
            <w:r>
              <w:rPr>
                <w:noProof/>
                <w:webHidden/>
              </w:rPr>
              <w:t>18</w:t>
            </w:r>
            <w:r>
              <w:rPr>
                <w:noProof/>
                <w:webHidden/>
              </w:rPr>
              <w:fldChar w:fldCharType="end"/>
            </w:r>
          </w:hyperlink>
        </w:p>
        <w:p w14:paraId="678BCE9A" w14:textId="5CAF2209" w:rsidR="00D84F99" w:rsidRDefault="00D84F99">
          <w:pPr>
            <w:pStyle w:val="TOC3"/>
            <w:tabs>
              <w:tab w:val="right" w:leader="dot" w:pos="9016"/>
            </w:tabs>
            <w:rPr>
              <w:rFonts w:asciiTheme="minorHAnsi" w:eastAsiaTheme="minorEastAsia" w:hAnsiTheme="minorHAnsi"/>
              <w:noProof/>
              <w:sz w:val="22"/>
              <w:szCs w:val="22"/>
              <w:lang w:eastAsia="en-GB"/>
            </w:rPr>
          </w:pPr>
          <w:hyperlink w:anchor="_Toc122447028" w:history="1">
            <w:r w:rsidRPr="00AA3DC4">
              <w:rPr>
                <w:rStyle w:val="Hyperlink"/>
                <w:noProof/>
              </w:rPr>
              <w:t>What’s the difference between an Annex 1 Equality Directive and other EU measures falling within scope of Protocol Article 2?</w:t>
            </w:r>
            <w:r>
              <w:rPr>
                <w:noProof/>
                <w:webHidden/>
              </w:rPr>
              <w:tab/>
            </w:r>
            <w:r>
              <w:rPr>
                <w:noProof/>
                <w:webHidden/>
              </w:rPr>
              <w:fldChar w:fldCharType="begin"/>
            </w:r>
            <w:r>
              <w:rPr>
                <w:noProof/>
                <w:webHidden/>
              </w:rPr>
              <w:instrText xml:space="preserve"> PAGEREF _Toc122447028 \h </w:instrText>
            </w:r>
            <w:r>
              <w:rPr>
                <w:noProof/>
                <w:webHidden/>
              </w:rPr>
            </w:r>
            <w:r>
              <w:rPr>
                <w:noProof/>
                <w:webHidden/>
              </w:rPr>
              <w:fldChar w:fldCharType="separate"/>
            </w:r>
            <w:r>
              <w:rPr>
                <w:noProof/>
                <w:webHidden/>
              </w:rPr>
              <w:t>19</w:t>
            </w:r>
            <w:r>
              <w:rPr>
                <w:noProof/>
                <w:webHidden/>
              </w:rPr>
              <w:fldChar w:fldCharType="end"/>
            </w:r>
          </w:hyperlink>
        </w:p>
        <w:p w14:paraId="7981CB6D" w14:textId="0AF01425" w:rsidR="00D84F99" w:rsidRDefault="00D84F99">
          <w:pPr>
            <w:pStyle w:val="TOC2"/>
            <w:rPr>
              <w:rFonts w:asciiTheme="minorHAnsi" w:eastAsiaTheme="minorEastAsia" w:hAnsiTheme="minorHAnsi"/>
              <w:noProof/>
              <w:sz w:val="22"/>
              <w:szCs w:val="22"/>
              <w:lang w:eastAsia="en-GB"/>
            </w:rPr>
          </w:pPr>
          <w:hyperlink w:anchor="_Toc122447029" w:history="1">
            <w:r w:rsidRPr="00AA3DC4">
              <w:rPr>
                <w:rStyle w:val="Hyperlink"/>
                <w:noProof/>
              </w:rPr>
              <w:t>Obligation of result</w:t>
            </w:r>
            <w:r>
              <w:rPr>
                <w:noProof/>
                <w:webHidden/>
              </w:rPr>
              <w:tab/>
            </w:r>
            <w:r>
              <w:rPr>
                <w:noProof/>
                <w:webHidden/>
              </w:rPr>
              <w:fldChar w:fldCharType="begin"/>
            </w:r>
            <w:r>
              <w:rPr>
                <w:noProof/>
                <w:webHidden/>
              </w:rPr>
              <w:instrText xml:space="preserve"> PAGEREF _Toc122447029 \h </w:instrText>
            </w:r>
            <w:r>
              <w:rPr>
                <w:noProof/>
                <w:webHidden/>
              </w:rPr>
            </w:r>
            <w:r>
              <w:rPr>
                <w:noProof/>
                <w:webHidden/>
              </w:rPr>
              <w:fldChar w:fldCharType="separate"/>
            </w:r>
            <w:r>
              <w:rPr>
                <w:noProof/>
                <w:webHidden/>
              </w:rPr>
              <w:t>19</w:t>
            </w:r>
            <w:r>
              <w:rPr>
                <w:noProof/>
                <w:webHidden/>
              </w:rPr>
              <w:fldChar w:fldCharType="end"/>
            </w:r>
          </w:hyperlink>
        </w:p>
        <w:p w14:paraId="0365FA81" w14:textId="3EA774A3" w:rsidR="00D84F99" w:rsidRDefault="00D84F99">
          <w:pPr>
            <w:pStyle w:val="TOC2"/>
            <w:rPr>
              <w:rFonts w:asciiTheme="minorHAnsi" w:eastAsiaTheme="minorEastAsia" w:hAnsiTheme="minorHAnsi"/>
              <w:noProof/>
              <w:sz w:val="22"/>
              <w:szCs w:val="22"/>
              <w:lang w:eastAsia="en-GB"/>
            </w:rPr>
          </w:pPr>
          <w:hyperlink w:anchor="_Toc122447030" w:history="1">
            <w:r w:rsidRPr="00AA3DC4">
              <w:rPr>
                <w:rStyle w:val="Hyperlink"/>
                <w:noProof/>
              </w:rPr>
              <w:t>Case law of CJEU</w:t>
            </w:r>
            <w:r>
              <w:rPr>
                <w:noProof/>
                <w:webHidden/>
              </w:rPr>
              <w:tab/>
            </w:r>
            <w:r>
              <w:rPr>
                <w:noProof/>
                <w:webHidden/>
              </w:rPr>
              <w:fldChar w:fldCharType="begin"/>
            </w:r>
            <w:r>
              <w:rPr>
                <w:noProof/>
                <w:webHidden/>
              </w:rPr>
              <w:instrText xml:space="preserve"> PAGEREF _Toc122447030 \h </w:instrText>
            </w:r>
            <w:r>
              <w:rPr>
                <w:noProof/>
                <w:webHidden/>
              </w:rPr>
            </w:r>
            <w:r>
              <w:rPr>
                <w:noProof/>
                <w:webHidden/>
              </w:rPr>
              <w:fldChar w:fldCharType="separate"/>
            </w:r>
            <w:r>
              <w:rPr>
                <w:noProof/>
                <w:webHidden/>
              </w:rPr>
              <w:t>20</w:t>
            </w:r>
            <w:r>
              <w:rPr>
                <w:noProof/>
                <w:webHidden/>
              </w:rPr>
              <w:fldChar w:fldCharType="end"/>
            </w:r>
          </w:hyperlink>
        </w:p>
        <w:p w14:paraId="7A47DB89" w14:textId="4E44EB11" w:rsidR="00D84F99" w:rsidRDefault="00D84F99">
          <w:pPr>
            <w:pStyle w:val="TOC1"/>
            <w:rPr>
              <w:rFonts w:asciiTheme="minorHAnsi" w:eastAsiaTheme="minorEastAsia" w:hAnsiTheme="minorHAnsi"/>
              <w:noProof/>
              <w:sz w:val="22"/>
              <w:szCs w:val="22"/>
              <w:lang w:eastAsia="en-GB"/>
            </w:rPr>
          </w:pPr>
          <w:hyperlink w:anchor="_Toc122447031" w:history="1">
            <w:r w:rsidRPr="00AA3DC4">
              <w:rPr>
                <w:rStyle w:val="Hyperlink"/>
                <w:noProof/>
              </w:rPr>
              <w:t>5.0</w:t>
            </w:r>
            <w:r>
              <w:rPr>
                <w:rFonts w:asciiTheme="minorHAnsi" w:eastAsiaTheme="minorEastAsia" w:hAnsiTheme="minorHAnsi"/>
                <w:noProof/>
                <w:sz w:val="22"/>
                <w:szCs w:val="22"/>
                <w:lang w:eastAsia="en-GB"/>
              </w:rPr>
              <w:tab/>
            </w:r>
            <w:r w:rsidRPr="00AA3DC4">
              <w:rPr>
                <w:rStyle w:val="Hyperlink"/>
                <w:noProof/>
              </w:rPr>
              <w:t>‘Results from’ UK Withdrawal from the EU</w:t>
            </w:r>
            <w:r>
              <w:rPr>
                <w:noProof/>
                <w:webHidden/>
              </w:rPr>
              <w:tab/>
            </w:r>
            <w:r>
              <w:rPr>
                <w:noProof/>
                <w:webHidden/>
              </w:rPr>
              <w:fldChar w:fldCharType="begin"/>
            </w:r>
            <w:r>
              <w:rPr>
                <w:noProof/>
                <w:webHidden/>
              </w:rPr>
              <w:instrText xml:space="preserve"> PAGEREF _Toc122447031 \h </w:instrText>
            </w:r>
            <w:r>
              <w:rPr>
                <w:noProof/>
                <w:webHidden/>
              </w:rPr>
            </w:r>
            <w:r>
              <w:rPr>
                <w:noProof/>
                <w:webHidden/>
              </w:rPr>
              <w:fldChar w:fldCharType="separate"/>
            </w:r>
            <w:r>
              <w:rPr>
                <w:noProof/>
                <w:webHidden/>
              </w:rPr>
              <w:t>21</w:t>
            </w:r>
            <w:r>
              <w:rPr>
                <w:noProof/>
                <w:webHidden/>
              </w:rPr>
              <w:fldChar w:fldCharType="end"/>
            </w:r>
          </w:hyperlink>
        </w:p>
        <w:p w14:paraId="31BE0B36" w14:textId="7335BEFB" w:rsidR="00D84F99" w:rsidRDefault="00D84F99">
          <w:pPr>
            <w:pStyle w:val="TOC2"/>
            <w:rPr>
              <w:rFonts w:asciiTheme="minorHAnsi" w:eastAsiaTheme="minorEastAsia" w:hAnsiTheme="minorHAnsi"/>
              <w:noProof/>
              <w:sz w:val="22"/>
              <w:szCs w:val="22"/>
              <w:lang w:eastAsia="en-GB"/>
            </w:rPr>
          </w:pPr>
          <w:hyperlink w:anchor="_Toc122447032" w:history="1">
            <w:r w:rsidRPr="00AA3DC4">
              <w:rPr>
                <w:rStyle w:val="Hyperlink"/>
                <w:noProof/>
              </w:rPr>
              <w:t>Transposing EU measures into NI law</w:t>
            </w:r>
            <w:r>
              <w:rPr>
                <w:noProof/>
                <w:webHidden/>
              </w:rPr>
              <w:tab/>
            </w:r>
            <w:r>
              <w:rPr>
                <w:noProof/>
                <w:webHidden/>
              </w:rPr>
              <w:fldChar w:fldCharType="begin"/>
            </w:r>
            <w:r>
              <w:rPr>
                <w:noProof/>
                <w:webHidden/>
              </w:rPr>
              <w:instrText xml:space="preserve"> PAGEREF _Toc122447032 \h </w:instrText>
            </w:r>
            <w:r>
              <w:rPr>
                <w:noProof/>
                <w:webHidden/>
              </w:rPr>
            </w:r>
            <w:r>
              <w:rPr>
                <w:noProof/>
                <w:webHidden/>
              </w:rPr>
              <w:fldChar w:fldCharType="separate"/>
            </w:r>
            <w:r>
              <w:rPr>
                <w:noProof/>
                <w:webHidden/>
              </w:rPr>
              <w:t>23</w:t>
            </w:r>
            <w:r>
              <w:rPr>
                <w:noProof/>
                <w:webHidden/>
              </w:rPr>
              <w:fldChar w:fldCharType="end"/>
            </w:r>
          </w:hyperlink>
        </w:p>
        <w:p w14:paraId="62C0D495" w14:textId="37C05535" w:rsidR="00D84F99" w:rsidRDefault="00D84F99">
          <w:pPr>
            <w:pStyle w:val="TOC2"/>
            <w:rPr>
              <w:rFonts w:asciiTheme="minorHAnsi" w:eastAsiaTheme="minorEastAsia" w:hAnsiTheme="minorHAnsi"/>
              <w:noProof/>
              <w:sz w:val="22"/>
              <w:szCs w:val="22"/>
              <w:lang w:eastAsia="en-GB"/>
            </w:rPr>
          </w:pPr>
          <w:hyperlink w:anchor="_Toc122447033" w:history="1">
            <w:r w:rsidRPr="00AA3DC4">
              <w:rPr>
                <w:rStyle w:val="Hyperlink"/>
                <w:noProof/>
              </w:rPr>
              <w:t>Retained EU law</w:t>
            </w:r>
            <w:r>
              <w:rPr>
                <w:noProof/>
                <w:webHidden/>
              </w:rPr>
              <w:tab/>
            </w:r>
            <w:r>
              <w:rPr>
                <w:noProof/>
                <w:webHidden/>
              </w:rPr>
              <w:fldChar w:fldCharType="begin"/>
            </w:r>
            <w:r>
              <w:rPr>
                <w:noProof/>
                <w:webHidden/>
              </w:rPr>
              <w:instrText xml:space="preserve"> PAGEREF _Toc122447033 \h </w:instrText>
            </w:r>
            <w:r>
              <w:rPr>
                <w:noProof/>
                <w:webHidden/>
              </w:rPr>
            </w:r>
            <w:r>
              <w:rPr>
                <w:noProof/>
                <w:webHidden/>
              </w:rPr>
              <w:fldChar w:fldCharType="separate"/>
            </w:r>
            <w:r>
              <w:rPr>
                <w:noProof/>
                <w:webHidden/>
              </w:rPr>
              <w:t>25</w:t>
            </w:r>
            <w:r>
              <w:rPr>
                <w:noProof/>
                <w:webHidden/>
              </w:rPr>
              <w:fldChar w:fldCharType="end"/>
            </w:r>
          </w:hyperlink>
        </w:p>
        <w:p w14:paraId="1AA83A4A" w14:textId="3A65E285" w:rsidR="00D84F99" w:rsidRDefault="00D84F99">
          <w:pPr>
            <w:pStyle w:val="TOC1"/>
            <w:rPr>
              <w:rFonts w:asciiTheme="minorHAnsi" w:eastAsiaTheme="minorEastAsia" w:hAnsiTheme="minorHAnsi"/>
              <w:noProof/>
              <w:sz w:val="22"/>
              <w:szCs w:val="22"/>
              <w:lang w:eastAsia="en-GB"/>
            </w:rPr>
          </w:pPr>
          <w:hyperlink w:anchor="_Toc122447034" w:history="1">
            <w:r w:rsidRPr="00AA3DC4">
              <w:rPr>
                <w:rStyle w:val="Hyperlink"/>
                <w:noProof/>
              </w:rPr>
              <w:t>6.0</w:t>
            </w:r>
            <w:r>
              <w:rPr>
                <w:rFonts w:asciiTheme="minorHAnsi" w:eastAsiaTheme="minorEastAsia" w:hAnsiTheme="minorHAnsi"/>
                <w:noProof/>
                <w:sz w:val="22"/>
                <w:szCs w:val="22"/>
                <w:lang w:eastAsia="en-GB"/>
              </w:rPr>
              <w:tab/>
            </w:r>
            <w:r w:rsidRPr="00AA3DC4">
              <w:rPr>
                <w:rStyle w:val="Hyperlink"/>
                <w:noProof/>
              </w:rPr>
              <w:t>Oversight and Enforcement</w:t>
            </w:r>
            <w:r>
              <w:rPr>
                <w:noProof/>
                <w:webHidden/>
              </w:rPr>
              <w:tab/>
            </w:r>
            <w:r>
              <w:rPr>
                <w:noProof/>
                <w:webHidden/>
              </w:rPr>
              <w:fldChar w:fldCharType="begin"/>
            </w:r>
            <w:r>
              <w:rPr>
                <w:noProof/>
                <w:webHidden/>
              </w:rPr>
              <w:instrText xml:space="preserve"> PAGEREF _Toc122447034 \h </w:instrText>
            </w:r>
            <w:r>
              <w:rPr>
                <w:noProof/>
                <w:webHidden/>
              </w:rPr>
            </w:r>
            <w:r>
              <w:rPr>
                <w:noProof/>
                <w:webHidden/>
              </w:rPr>
              <w:fldChar w:fldCharType="separate"/>
            </w:r>
            <w:r>
              <w:rPr>
                <w:noProof/>
                <w:webHidden/>
              </w:rPr>
              <w:t>26</w:t>
            </w:r>
            <w:r>
              <w:rPr>
                <w:noProof/>
                <w:webHidden/>
              </w:rPr>
              <w:fldChar w:fldCharType="end"/>
            </w:r>
          </w:hyperlink>
        </w:p>
        <w:p w14:paraId="42D0DA69" w14:textId="06703B5F" w:rsidR="00D84F99" w:rsidRDefault="00D84F99">
          <w:pPr>
            <w:pStyle w:val="TOC2"/>
            <w:rPr>
              <w:rFonts w:asciiTheme="minorHAnsi" w:eastAsiaTheme="minorEastAsia" w:hAnsiTheme="minorHAnsi"/>
              <w:noProof/>
              <w:sz w:val="22"/>
              <w:szCs w:val="22"/>
              <w:lang w:eastAsia="en-GB"/>
            </w:rPr>
          </w:pPr>
          <w:hyperlink w:anchor="_Toc122447035" w:history="1">
            <w:r w:rsidRPr="00AA3DC4">
              <w:rPr>
                <w:rStyle w:val="Hyperlink"/>
                <w:noProof/>
              </w:rPr>
              <w:t>Protocol Article 2 in NI law</w:t>
            </w:r>
            <w:r>
              <w:rPr>
                <w:noProof/>
                <w:webHidden/>
              </w:rPr>
              <w:tab/>
            </w:r>
            <w:r>
              <w:rPr>
                <w:noProof/>
                <w:webHidden/>
              </w:rPr>
              <w:fldChar w:fldCharType="begin"/>
            </w:r>
            <w:r>
              <w:rPr>
                <w:noProof/>
                <w:webHidden/>
              </w:rPr>
              <w:instrText xml:space="preserve"> PAGEREF _Toc122447035 \h </w:instrText>
            </w:r>
            <w:r>
              <w:rPr>
                <w:noProof/>
                <w:webHidden/>
              </w:rPr>
            </w:r>
            <w:r>
              <w:rPr>
                <w:noProof/>
                <w:webHidden/>
              </w:rPr>
              <w:fldChar w:fldCharType="separate"/>
            </w:r>
            <w:r>
              <w:rPr>
                <w:noProof/>
                <w:webHidden/>
              </w:rPr>
              <w:t>26</w:t>
            </w:r>
            <w:r>
              <w:rPr>
                <w:noProof/>
                <w:webHidden/>
              </w:rPr>
              <w:fldChar w:fldCharType="end"/>
            </w:r>
          </w:hyperlink>
        </w:p>
        <w:p w14:paraId="6157CA74" w14:textId="183DA5D3" w:rsidR="00D84F99" w:rsidRDefault="00D84F99">
          <w:pPr>
            <w:pStyle w:val="TOC2"/>
            <w:rPr>
              <w:rFonts w:asciiTheme="minorHAnsi" w:eastAsiaTheme="minorEastAsia" w:hAnsiTheme="minorHAnsi"/>
              <w:noProof/>
              <w:sz w:val="22"/>
              <w:szCs w:val="22"/>
              <w:lang w:eastAsia="en-GB"/>
            </w:rPr>
          </w:pPr>
          <w:hyperlink w:anchor="_Toc122447036" w:history="1">
            <w:r w:rsidRPr="00AA3DC4">
              <w:rPr>
                <w:rStyle w:val="Hyperlink"/>
                <w:noProof/>
              </w:rPr>
              <w:t>Oversight of Protocol Article 2</w:t>
            </w:r>
            <w:r>
              <w:rPr>
                <w:noProof/>
                <w:webHidden/>
              </w:rPr>
              <w:tab/>
            </w:r>
            <w:r>
              <w:rPr>
                <w:noProof/>
                <w:webHidden/>
              </w:rPr>
              <w:fldChar w:fldCharType="begin"/>
            </w:r>
            <w:r>
              <w:rPr>
                <w:noProof/>
                <w:webHidden/>
              </w:rPr>
              <w:instrText xml:space="preserve"> PAGEREF _Toc122447036 \h </w:instrText>
            </w:r>
            <w:r>
              <w:rPr>
                <w:noProof/>
                <w:webHidden/>
              </w:rPr>
            </w:r>
            <w:r>
              <w:rPr>
                <w:noProof/>
                <w:webHidden/>
              </w:rPr>
              <w:fldChar w:fldCharType="separate"/>
            </w:r>
            <w:r>
              <w:rPr>
                <w:noProof/>
                <w:webHidden/>
              </w:rPr>
              <w:t>27</w:t>
            </w:r>
            <w:r>
              <w:rPr>
                <w:noProof/>
                <w:webHidden/>
              </w:rPr>
              <w:fldChar w:fldCharType="end"/>
            </w:r>
          </w:hyperlink>
        </w:p>
        <w:p w14:paraId="7FFEBBF3" w14:textId="6CB4623A" w:rsidR="00D84F99" w:rsidRDefault="00D84F99">
          <w:pPr>
            <w:pStyle w:val="TOC2"/>
            <w:rPr>
              <w:rFonts w:asciiTheme="minorHAnsi" w:eastAsiaTheme="minorEastAsia" w:hAnsiTheme="minorHAnsi"/>
              <w:noProof/>
              <w:sz w:val="22"/>
              <w:szCs w:val="22"/>
              <w:lang w:eastAsia="en-GB"/>
            </w:rPr>
          </w:pPr>
          <w:hyperlink w:anchor="_Toc122447037" w:history="1">
            <w:r w:rsidRPr="00AA3DC4">
              <w:rPr>
                <w:rStyle w:val="Hyperlink"/>
                <w:noProof/>
              </w:rPr>
              <w:t>Individual Redress and Direct Effect</w:t>
            </w:r>
            <w:r>
              <w:rPr>
                <w:noProof/>
                <w:webHidden/>
              </w:rPr>
              <w:tab/>
            </w:r>
            <w:r>
              <w:rPr>
                <w:noProof/>
                <w:webHidden/>
              </w:rPr>
              <w:fldChar w:fldCharType="begin"/>
            </w:r>
            <w:r>
              <w:rPr>
                <w:noProof/>
                <w:webHidden/>
              </w:rPr>
              <w:instrText xml:space="preserve"> PAGEREF _Toc122447037 \h </w:instrText>
            </w:r>
            <w:r>
              <w:rPr>
                <w:noProof/>
                <w:webHidden/>
              </w:rPr>
            </w:r>
            <w:r>
              <w:rPr>
                <w:noProof/>
                <w:webHidden/>
              </w:rPr>
              <w:fldChar w:fldCharType="separate"/>
            </w:r>
            <w:r>
              <w:rPr>
                <w:noProof/>
                <w:webHidden/>
              </w:rPr>
              <w:t>28</w:t>
            </w:r>
            <w:r>
              <w:rPr>
                <w:noProof/>
                <w:webHidden/>
              </w:rPr>
              <w:fldChar w:fldCharType="end"/>
            </w:r>
          </w:hyperlink>
        </w:p>
        <w:p w14:paraId="6A7D441F" w14:textId="1D5078F8" w:rsidR="00D84F99" w:rsidRDefault="00D84F99">
          <w:pPr>
            <w:pStyle w:val="TOC2"/>
            <w:rPr>
              <w:rFonts w:asciiTheme="minorHAnsi" w:eastAsiaTheme="minorEastAsia" w:hAnsiTheme="minorHAnsi"/>
              <w:noProof/>
              <w:sz w:val="22"/>
              <w:szCs w:val="22"/>
              <w:lang w:eastAsia="en-GB"/>
            </w:rPr>
          </w:pPr>
          <w:hyperlink w:anchor="_Toc122447038" w:history="1">
            <w:r w:rsidRPr="00AA3DC4">
              <w:rPr>
                <w:rStyle w:val="Hyperlink"/>
                <w:noProof/>
              </w:rPr>
              <w:t>Commissions’ Oversight and Enforcement Powers</w:t>
            </w:r>
            <w:r>
              <w:rPr>
                <w:noProof/>
                <w:webHidden/>
              </w:rPr>
              <w:tab/>
            </w:r>
            <w:r>
              <w:rPr>
                <w:noProof/>
                <w:webHidden/>
              </w:rPr>
              <w:fldChar w:fldCharType="begin"/>
            </w:r>
            <w:r>
              <w:rPr>
                <w:noProof/>
                <w:webHidden/>
              </w:rPr>
              <w:instrText xml:space="preserve"> PAGEREF _Toc122447038 \h </w:instrText>
            </w:r>
            <w:r>
              <w:rPr>
                <w:noProof/>
                <w:webHidden/>
              </w:rPr>
            </w:r>
            <w:r>
              <w:rPr>
                <w:noProof/>
                <w:webHidden/>
              </w:rPr>
              <w:fldChar w:fldCharType="separate"/>
            </w:r>
            <w:r>
              <w:rPr>
                <w:noProof/>
                <w:webHidden/>
              </w:rPr>
              <w:t>30</w:t>
            </w:r>
            <w:r>
              <w:rPr>
                <w:noProof/>
                <w:webHidden/>
              </w:rPr>
              <w:fldChar w:fldCharType="end"/>
            </w:r>
          </w:hyperlink>
        </w:p>
        <w:p w14:paraId="62AB5A5D" w14:textId="21F9962C" w:rsidR="00D84F99" w:rsidRDefault="00D84F99">
          <w:pPr>
            <w:pStyle w:val="TOC2"/>
            <w:rPr>
              <w:rFonts w:asciiTheme="minorHAnsi" w:eastAsiaTheme="minorEastAsia" w:hAnsiTheme="minorHAnsi"/>
              <w:noProof/>
              <w:sz w:val="22"/>
              <w:szCs w:val="22"/>
              <w:lang w:eastAsia="en-GB"/>
            </w:rPr>
          </w:pPr>
          <w:hyperlink w:anchor="_Toc122447039" w:history="1">
            <w:r w:rsidRPr="00AA3DC4">
              <w:rPr>
                <w:rStyle w:val="Hyperlink"/>
                <w:noProof/>
              </w:rPr>
              <w:t>When is Protocol Article 2 engaged?</w:t>
            </w:r>
            <w:r>
              <w:rPr>
                <w:noProof/>
                <w:webHidden/>
              </w:rPr>
              <w:tab/>
            </w:r>
            <w:r>
              <w:rPr>
                <w:noProof/>
                <w:webHidden/>
              </w:rPr>
              <w:fldChar w:fldCharType="begin"/>
            </w:r>
            <w:r>
              <w:rPr>
                <w:noProof/>
                <w:webHidden/>
              </w:rPr>
              <w:instrText xml:space="preserve"> PAGEREF _Toc122447039 \h </w:instrText>
            </w:r>
            <w:r>
              <w:rPr>
                <w:noProof/>
                <w:webHidden/>
              </w:rPr>
            </w:r>
            <w:r>
              <w:rPr>
                <w:noProof/>
                <w:webHidden/>
              </w:rPr>
              <w:fldChar w:fldCharType="separate"/>
            </w:r>
            <w:r>
              <w:rPr>
                <w:noProof/>
                <w:webHidden/>
              </w:rPr>
              <w:t>31</w:t>
            </w:r>
            <w:r>
              <w:rPr>
                <w:noProof/>
                <w:webHidden/>
              </w:rPr>
              <w:fldChar w:fldCharType="end"/>
            </w:r>
          </w:hyperlink>
        </w:p>
        <w:p w14:paraId="62B67A59" w14:textId="0521A1D8" w:rsidR="00D84F99" w:rsidRDefault="00D84F99">
          <w:pPr>
            <w:pStyle w:val="TOC1"/>
            <w:rPr>
              <w:rFonts w:asciiTheme="minorHAnsi" w:eastAsiaTheme="minorEastAsia" w:hAnsiTheme="minorHAnsi"/>
              <w:noProof/>
              <w:sz w:val="22"/>
              <w:szCs w:val="22"/>
              <w:lang w:eastAsia="en-GB"/>
            </w:rPr>
          </w:pPr>
          <w:hyperlink w:anchor="_Toc122447041" w:history="1">
            <w:r w:rsidRPr="00AA3DC4">
              <w:rPr>
                <w:rStyle w:val="Hyperlink"/>
                <w:noProof/>
              </w:rPr>
              <w:t>7.0</w:t>
            </w:r>
            <w:r>
              <w:rPr>
                <w:rFonts w:asciiTheme="minorHAnsi" w:eastAsiaTheme="minorEastAsia" w:hAnsiTheme="minorHAnsi"/>
                <w:noProof/>
                <w:sz w:val="22"/>
                <w:szCs w:val="22"/>
                <w:lang w:eastAsia="en-GB"/>
              </w:rPr>
              <w:tab/>
            </w:r>
            <w:r w:rsidRPr="00AA3DC4">
              <w:rPr>
                <w:rStyle w:val="Hyperlink"/>
                <w:noProof/>
              </w:rPr>
              <w:t>Context: EU Charter and UN CRPD</w:t>
            </w:r>
            <w:r>
              <w:rPr>
                <w:noProof/>
                <w:webHidden/>
              </w:rPr>
              <w:tab/>
            </w:r>
            <w:r>
              <w:rPr>
                <w:noProof/>
                <w:webHidden/>
              </w:rPr>
              <w:fldChar w:fldCharType="begin"/>
            </w:r>
            <w:r>
              <w:rPr>
                <w:noProof/>
                <w:webHidden/>
              </w:rPr>
              <w:instrText xml:space="preserve"> PAGEREF _Toc122447041 \h </w:instrText>
            </w:r>
            <w:r>
              <w:rPr>
                <w:noProof/>
                <w:webHidden/>
              </w:rPr>
            </w:r>
            <w:r>
              <w:rPr>
                <w:noProof/>
                <w:webHidden/>
              </w:rPr>
              <w:fldChar w:fldCharType="separate"/>
            </w:r>
            <w:r>
              <w:rPr>
                <w:noProof/>
                <w:webHidden/>
              </w:rPr>
              <w:t>34</w:t>
            </w:r>
            <w:r>
              <w:rPr>
                <w:noProof/>
                <w:webHidden/>
              </w:rPr>
              <w:fldChar w:fldCharType="end"/>
            </w:r>
          </w:hyperlink>
        </w:p>
        <w:p w14:paraId="0D809D00" w14:textId="47722BEB" w:rsidR="00D84F99" w:rsidRDefault="00D84F99">
          <w:pPr>
            <w:pStyle w:val="TOC2"/>
            <w:rPr>
              <w:rFonts w:asciiTheme="minorHAnsi" w:eastAsiaTheme="minorEastAsia" w:hAnsiTheme="minorHAnsi"/>
              <w:noProof/>
              <w:sz w:val="22"/>
              <w:szCs w:val="22"/>
              <w:lang w:eastAsia="en-GB"/>
            </w:rPr>
          </w:pPr>
          <w:hyperlink w:anchor="_Toc122447042" w:history="1">
            <w:r w:rsidRPr="00AA3DC4">
              <w:rPr>
                <w:rStyle w:val="Hyperlink"/>
                <w:noProof/>
              </w:rPr>
              <w:t>EU Charter of Fundamental Rights</w:t>
            </w:r>
            <w:r>
              <w:rPr>
                <w:noProof/>
                <w:webHidden/>
              </w:rPr>
              <w:tab/>
            </w:r>
            <w:r>
              <w:rPr>
                <w:noProof/>
                <w:webHidden/>
              </w:rPr>
              <w:fldChar w:fldCharType="begin"/>
            </w:r>
            <w:r>
              <w:rPr>
                <w:noProof/>
                <w:webHidden/>
              </w:rPr>
              <w:instrText xml:space="preserve"> PAGEREF _Toc122447042 \h </w:instrText>
            </w:r>
            <w:r>
              <w:rPr>
                <w:noProof/>
                <w:webHidden/>
              </w:rPr>
            </w:r>
            <w:r>
              <w:rPr>
                <w:noProof/>
                <w:webHidden/>
              </w:rPr>
              <w:fldChar w:fldCharType="separate"/>
            </w:r>
            <w:r>
              <w:rPr>
                <w:noProof/>
                <w:webHidden/>
              </w:rPr>
              <w:t>34</w:t>
            </w:r>
            <w:r>
              <w:rPr>
                <w:noProof/>
                <w:webHidden/>
              </w:rPr>
              <w:fldChar w:fldCharType="end"/>
            </w:r>
          </w:hyperlink>
        </w:p>
        <w:p w14:paraId="1A13B55C" w14:textId="029E2CD4" w:rsidR="00D84F99" w:rsidRDefault="00D84F99">
          <w:pPr>
            <w:pStyle w:val="TOC2"/>
            <w:rPr>
              <w:rFonts w:asciiTheme="minorHAnsi" w:eastAsiaTheme="minorEastAsia" w:hAnsiTheme="minorHAnsi"/>
              <w:noProof/>
              <w:sz w:val="22"/>
              <w:szCs w:val="22"/>
              <w:lang w:eastAsia="en-GB"/>
            </w:rPr>
          </w:pPr>
          <w:hyperlink w:anchor="_Toc122447043" w:history="1">
            <w:r w:rsidRPr="00AA3DC4">
              <w:rPr>
                <w:rStyle w:val="Hyperlink"/>
                <w:noProof/>
              </w:rPr>
              <w:t>Disability and UN CRPD</w:t>
            </w:r>
            <w:r>
              <w:rPr>
                <w:noProof/>
                <w:webHidden/>
              </w:rPr>
              <w:tab/>
            </w:r>
            <w:r>
              <w:rPr>
                <w:noProof/>
                <w:webHidden/>
              </w:rPr>
              <w:fldChar w:fldCharType="begin"/>
            </w:r>
            <w:r>
              <w:rPr>
                <w:noProof/>
                <w:webHidden/>
              </w:rPr>
              <w:instrText xml:space="preserve"> PAGEREF _Toc122447043 \h </w:instrText>
            </w:r>
            <w:r>
              <w:rPr>
                <w:noProof/>
                <w:webHidden/>
              </w:rPr>
            </w:r>
            <w:r>
              <w:rPr>
                <w:noProof/>
                <w:webHidden/>
              </w:rPr>
              <w:fldChar w:fldCharType="separate"/>
            </w:r>
            <w:r>
              <w:rPr>
                <w:noProof/>
                <w:webHidden/>
              </w:rPr>
              <w:t>35</w:t>
            </w:r>
            <w:r>
              <w:rPr>
                <w:noProof/>
                <w:webHidden/>
              </w:rPr>
              <w:fldChar w:fldCharType="end"/>
            </w:r>
          </w:hyperlink>
        </w:p>
        <w:p w14:paraId="01215248" w14:textId="404C3DE8" w:rsidR="00D84F99" w:rsidRDefault="00D84F99">
          <w:pPr>
            <w:pStyle w:val="TOC1"/>
            <w:rPr>
              <w:rFonts w:asciiTheme="minorHAnsi" w:eastAsiaTheme="minorEastAsia" w:hAnsiTheme="minorHAnsi"/>
              <w:noProof/>
              <w:sz w:val="22"/>
              <w:szCs w:val="22"/>
              <w:lang w:eastAsia="en-GB"/>
            </w:rPr>
          </w:pPr>
          <w:hyperlink w:anchor="_Toc122447044" w:history="1">
            <w:r w:rsidRPr="00AA3DC4">
              <w:rPr>
                <w:rStyle w:val="Hyperlink"/>
                <w:noProof/>
              </w:rPr>
              <w:t>8.0</w:t>
            </w:r>
            <w:r>
              <w:rPr>
                <w:rFonts w:asciiTheme="minorHAnsi" w:eastAsiaTheme="minorEastAsia" w:hAnsiTheme="minorHAnsi"/>
                <w:noProof/>
                <w:sz w:val="22"/>
                <w:szCs w:val="22"/>
                <w:lang w:eastAsia="en-GB"/>
              </w:rPr>
              <w:tab/>
            </w:r>
            <w:r w:rsidRPr="00AA3DC4">
              <w:rPr>
                <w:rStyle w:val="Hyperlink"/>
                <w:noProof/>
              </w:rPr>
              <w:t>Annex 1 Equality Directives</w:t>
            </w:r>
            <w:r>
              <w:rPr>
                <w:noProof/>
                <w:webHidden/>
              </w:rPr>
              <w:tab/>
            </w:r>
            <w:r>
              <w:rPr>
                <w:noProof/>
                <w:webHidden/>
              </w:rPr>
              <w:fldChar w:fldCharType="begin"/>
            </w:r>
            <w:r>
              <w:rPr>
                <w:noProof/>
                <w:webHidden/>
              </w:rPr>
              <w:instrText xml:space="preserve"> PAGEREF _Toc122447044 \h </w:instrText>
            </w:r>
            <w:r>
              <w:rPr>
                <w:noProof/>
                <w:webHidden/>
              </w:rPr>
            </w:r>
            <w:r>
              <w:rPr>
                <w:noProof/>
                <w:webHidden/>
              </w:rPr>
              <w:fldChar w:fldCharType="separate"/>
            </w:r>
            <w:r>
              <w:rPr>
                <w:noProof/>
                <w:webHidden/>
              </w:rPr>
              <w:t>37</w:t>
            </w:r>
            <w:r>
              <w:rPr>
                <w:noProof/>
                <w:webHidden/>
              </w:rPr>
              <w:fldChar w:fldCharType="end"/>
            </w:r>
          </w:hyperlink>
        </w:p>
        <w:p w14:paraId="765E4F0C" w14:textId="4BA39540" w:rsidR="00D84F99" w:rsidRDefault="00D84F99">
          <w:pPr>
            <w:pStyle w:val="TOC2"/>
            <w:rPr>
              <w:rFonts w:asciiTheme="minorHAnsi" w:eastAsiaTheme="minorEastAsia" w:hAnsiTheme="minorHAnsi"/>
              <w:noProof/>
              <w:sz w:val="22"/>
              <w:szCs w:val="22"/>
              <w:lang w:eastAsia="en-GB"/>
            </w:rPr>
          </w:pPr>
          <w:hyperlink w:anchor="_Toc122447045" w:history="1">
            <w:r w:rsidRPr="00AA3DC4">
              <w:rPr>
                <w:rStyle w:val="Hyperlink"/>
                <w:noProof/>
              </w:rPr>
              <w:t>Race Equality Directive</w:t>
            </w:r>
            <w:r>
              <w:rPr>
                <w:noProof/>
                <w:webHidden/>
              </w:rPr>
              <w:tab/>
            </w:r>
            <w:r>
              <w:rPr>
                <w:noProof/>
                <w:webHidden/>
              </w:rPr>
              <w:fldChar w:fldCharType="begin"/>
            </w:r>
            <w:r>
              <w:rPr>
                <w:noProof/>
                <w:webHidden/>
              </w:rPr>
              <w:instrText xml:space="preserve"> PAGEREF _Toc122447045 \h </w:instrText>
            </w:r>
            <w:r>
              <w:rPr>
                <w:noProof/>
                <w:webHidden/>
              </w:rPr>
            </w:r>
            <w:r>
              <w:rPr>
                <w:noProof/>
                <w:webHidden/>
              </w:rPr>
              <w:fldChar w:fldCharType="separate"/>
            </w:r>
            <w:r>
              <w:rPr>
                <w:noProof/>
                <w:webHidden/>
              </w:rPr>
              <w:t>38</w:t>
            </w:r>
            <w:r>
              <w:rPr>
                <w:noProof/>
                <w:webHidden/>
              </w:rPr>
              <w:fldChar w:fldCharType="end"/>
            </w:r>
          </w:hyperlink>
        </w:p>
        <w:p w14:paraId="1B0B76B9" w14:textId="65997D1D" w:rsidR="00D84F99" w:rsidRDefault="00D84F99">
          <w:pPr>
            <w:pStyle w:val="TOC2"/>
            <w:rPr>
              <w:rFonts w:asciiTheme="minorHAnsi" w:eastAsiaTheme="minorEastAsia" w:hAnsiTheme="minorHAnsi"/>
              <w:noProof/>
              <w:sz w:val="22"/>
              <w:szCs w:val="22"/>
              <w:lang w:eastAsia="en-GB"/>
            </w:rPr>
          </w:pPr>
          <w:hyperlink w:anchor="_Toc122447046" w:history="1">
            <w:r w:rsidRPr="00AA3DC4">
              <w:rPr>
                <w:rStyle w:val="Hyperlink"/>
                <w:noProof/>
              </w:rPr>
              <w:t>Employment Equality (Framework) Directive</w:t>
            </w:r>
            <w:r>
              <w:rPr>
                <w:noProof/>
                <w:webHidden/>
              </w:rPr>
              <w:tab/>
            </w:r>
            <w:r>
              <w:rPr>
                <w:noProof/>
                <w:webHidden/>
              </w:rPr>
              <w:fldChar w:fldCharType="begin"/>
            </w:r>
            <w:r>
              <w:rPr>
                <w:noProof/>
                <w:webHidden/>
              </w:rPr>
              <w:instrText xml:space="preserve"> PAGEREF _Toc122447046 \h </w:instrText>
            </w:r>
            <w:r>
              <w:rPr>
                <w:noProof/>
                <w:webHidden/>
              </w:rPr>
            </w:r>
            <w:r>
              <w:rPr>
                <w:noProof/>
                <w:webHidden/>
              </w:rPr>
              <w:fldChar w:fldCharType="separate"/>
            </w:r>
            <w:r>
              <w:rPr>
                <w:noProof/>
                <w:webHidden/>
              </w:rPr>
              <w:t>39</w:t>
            </w:r>
            <w:r>
              <w:rPr>
                <w:noProof/>
                <w:webHidden/>
              </w:rPr>
              <w:fldChar w:fldCharType="end"/>
            </w:r>
          </w:hyperlink>
        </w:p>
        <w:p w14:paraId="21D663DC" w14:textId="144D2429" w:rsidR="00D84F99" w:rsidRDefault="00D84F99">
          <w:pPr>
            <w:pStyle w:val="TOC2"/>
            <w:rPr>
              <w:rFonts w:asciiTheme="minorHAnsi" w:eastAsiaTheme="minorEastAsia" w:hAnsiTheme="minorHAnsi"/>
              <w:noProof/>
              <w:sz w:val="22"/>
              <w:szCs w:val="22"/>
              <w:lang w:eastAsia="en-GB"/>
            </w:rPr>
          </w:pPr>
          <w:hyperlink w:anchor="_Toc122447047" w:history="1">
            <w:r w:rsidRPr="00AA3DC4">
              <w:rPr>
                <w:rStyle w:val="Hyperlink"/>
                <w:noProof/>
              </w:rPr>
              <w:t>Gender Directives</w:t>
            </w:r>
            <w:r>
              <w:rPr>
                <w:noProof/>
                <w:webHidden/>
              </w:rPr>
              <w:tab/>
            </w:r>
            <w:r>
              <w:rPr>
                <w:noProof/>
                <w:webHidden/>
              </w:rPr>
              <w:fldChar w:fldCharType="begin"/>
            </w:r>
            <w:r>
              <w:rPr>
                <w:noProof/>
                <w:webHidden/>
              </w:rPr>
              <w:instrText xml:space="preserve"> PAGEREF _Toc122447047 \h </w:instrText>
            </w:r>
            <w:r>
              <w:rPr>
                <w:noProof/>
                <w:webHidden/>
              </w:rPr>
            </w:r>
            <w:r>
              <w:rPr>
                <w:noProof/>
                <w:webHidden/>
              </w:rPr>
              <w:fldChar w:fldCharType="separate"/>
            </w:r>
            <w:r>
              <w:rPr>
                <w:noProof/>
                <w:webHidden/>
              </w:rPr>
              <w:t>40</w:t>
            </w:r>
            <w:r>
              <w:rPr>
                <w:noProof/>
                <w:webHidden/>
              </w:rPr>
              <w:fldChar w:fldCharType="end"/>
            </w:r>
          </w:hyperlink>
        </w:p>
        <w:p w14:paraId="38C1C1CB" w14:textId="386EA5DF" w:rsidR="00D84F99" w:rsidRDefault="00D84F99">
          <w:pPr>
            <w:pStyle w:val="TOC1"/>
            <w:rPr>
              <w:rFonts w:asciiTheme="minorHAnsi" w:eastAsiaTheme="minorEastAsia" w:hAnsiTheme="minorHAnsi"/>
              <w:noProof/>
              <w:sz w:val="22"/>
              <w:szCs w:val="22"/>
              <w:lang w:eastAsia="en-GB"/>
            </w:rPr>
          </w:pPr>
          <w:hyperlink w:anchor="_Toc122447048" w:history="1">
            <w:r w:rsidRPr="00AA3DC4">
              <w:rPr>
                <w:rStyle w:val="Hyperlink"/>
                <w:noProof/>
              </w:rPr>
              <w:t>9.0</w:t>
            </w:r>
            <w:r>
              <w:rPr>
                <w:rFonts w:asciiTheme="minorHAnsi" w:eastAsiaTheme="minorEastAsia" w:hAnsiTheme="minorHAnsi"/>
                <w:noProof/>
                <w:sz w:val="22"/>
                <w:szCs w:val="22"/>
                <w:lang w:eastAsia="en-GB"/>
              </w:rPr>
              <w:tab/>
            </w:r>
            <w:r w:rsidRPr="00AA3DC4">
              <w:rPr>
                <w:rStyle w:val="Hyperlink"/>
                <w:noProof/>
              </w:rPr>
              <w:t>Concluding comments and next steps</w:t>
            </w:r>
            <w:r>
              <w:rPr>
                <w:noProof/>
                <w:webHidden/>
              </w:rPr>
              <w:tab/>
            </w:r>
            <w:r>
              <w:rPr>
                <w:noProof/>
                <w:webHidden/>
              </w:rPr>
              <w:fldChar w:fldCharType="begin"/>
            </w:r>
            <w:r>
              <w:rPr>
                <w:noProof/>
                <w:webHidden/>
              </w:rPr>
              <w:instrText xml:space="preserve"> PAGEREF _Toc122447048 \h </w:instrText>
            </w:r>
            <w:r>
              <w:rPr>
                <w:noProof/>
                <w:webHidden/>
              </w:rPr>
            </w:r>
            <w:r>
              <w:rPr>
                <w:noProof/>
                <w:webHidden/>
              </w:rPr>
              <w:fldChar w:fldCharType="separate"/>
            </w:r>
            <w:r>
              <w:rPr>
                <w:noProof/>
                <w:webHidden/>
              </w:rPr>
              <w:t>41</w:t>
            </w:r>
            <w:r>
              <w:rPr>
                <w:noProof/>
                <w:webHidden/>
              </w:rPr>
              <w:fldChar w:fldCharType="end"/>
            </w:r>
          </w:hyperlink>
        </w:p>
        <w:p w14:paraId="7C345E89" w14:textId="201BF0EB" w:rsidR="00D84F99" w:rsidRDefault="00D84F99">
          <w:pPr>
            <w:pStyle w:val="TOC1"/>
            <w:rPr>
              <w:rFonts w:asciiTheme="minorHAnsi" w:eastAsiaTheme="minorEastAsia" w:hAnsiTheme="minorHAnsi"/>
              <w:noProof/>
              <w:sz w:val="22"/>
              <w:szCs w:val="22"/>
              <w:lang w:eastAsia="en-GB"/>
            </w:rPr>
          </w:pPr>
          <w:hyperlink w:anchor="_Toc122447049" w:history="1">
            <w:r w:rsidRPr="00AA3DC4">
              <w:rPr>
                <w:rStyle w:val="Hyperlink"/>
                <w:noProof/>
                <w:lang w:eastAsia="en-GB"/>
              </w:rPr>
              <w:t>Appendix 1</w:t>
            </w:r>
            <w:r>
              <w:rPr>
                <w:noProof/>
                <w:webHidden/>
              </w:rPr>
              <w:tab/>
            </w:r>
            <w:r>
              <w:rPr>
                <w:noProof/>
                <w:webHidden/>
              </w:rPr>
              <w:fldChar w:fldCharType="begin"/>
            </w:r>
            <w:r>
              <w:rPr>
                <w:noProof/>
                <w:webHidden/>
              </w:rPr>
              <w:instrText xml:space="preserve"> PAGEREF _Toc122447049 \h </w:instrText>
            </w:r>
            <w:r>
              <w:rPr>
                <w:noProof/>
                <w:webHidden/>
              </w:rPr>
            </w:r>
            <w:r>
              <w:rPr>
                <w:noProof/>
                <w:webHidden/>
              </w:rPr>
              <w:fldChar w:fldCharType="separate"/>
            </w:r>
            <w:r>
              <w:rPr>
                <w:noProof/>
                <w:webHidden/>
              </w:rPr>
              <w:t>44</w:t>
            </w:r>
            <w:r>
              <w:rPr>
                <w:noProof/>
                <w:webHidden/>
              </w:rPr>
              <w:fldChar w:fldCharType="end"/>
            </w:r>
          </w:hyperlink>
        </w:p>
        <w:p w14:paraId="1E502A07" w14:textId="001BAD27" w:rsidR="00F02CD0" w:rsidRPr="006F6E42" w:rsidRDefault="00F02CD0">
          <w:r w:rsidRPr="006F6E42">
            <w:rPr>
              <w:b/>
              <w:bCs/>
              <w:noProof/>
            </w:rPr>
            <w:fldChar w:fldCharType="end"/>
          </w:r>
        </w:p>
      </w:sdtContent>
    </w:sdt>
    <w:p w14:paraId="046918E0" w14:textId="77777777" w:rsidR="00F02CD0" w:rsidRPr="006F6E42" w:rsidRDefault="00F02CD0">
      <w:pPr>
        <w:rPr>
          <w:rFonts w:asciiTheme="minorHAnsi" w:hAnsiTheme="minorHAnsi" w:cstheme="minorHAnsi"/>
          <w:b/>
          <w:bCs/>
          <w:sz w:val="40"/>
          <w:szCs w:val="40"/>
        </w:rPr>
      </w:pPr>
      <w:r w:rsidRPr="006F6E42">
        <w:br w:type="page"/>
      </w:r>
    </w:p>
    <w:p w14:paraId="4EEC040B" w14:textId="77777777" w:rsidR="00785A72" w:rsidRPr="006F6E42" w:rsidRDefault="00785A72" w:rsidP="00785A72">
      <w:pPr>
        <w:pStyle w:val="Heading1"/>
      </w:pPr>
      <w:bookmarkStart w:id="1" w:name="_Toc122447013"/>
      <w:r w:rsidRPr="006F6E42">
        <w:t>Introduction</w:t>
      </w:r>
      <w:bookmarkEnd w:id="0"/>
      <w:bookmarkEnd w:id="1"/>
      <w:r w:rsidRPr="006F6E42">
        <w:t xml:space="preserve"> </w:t>
      </w:r>
    </w:p>
    <w:p w14:paraId="4F63FC74" w14:textId="509AEA68" w:rsidR="00785A72" w:rsidRPr="006F6E42" w:rsidRDefault="00785A72" w:rsidP="00785A72">
      <w:pPr>
        <w:pStyle w:val="ListParagraph"/>
      </w:pPr>
      <w:r w:rsidRPr="006F6E42">
        <w:t xml:space="preserve">The </w:t>
      </w:r>
      <w:r w:rsidR="0057770F">
        <w:t xml:space="preserve">Northern Ireland Human Rights Commission and the Equality Commission for Northern Ireland (the </w:t>
      </w:r>
      <w:r w:rsidRPr="006F6E42">
        <w:t>Commissions</w:t>
      </w:r>
      <w:r w:rsidR="0057770F">
        <w:t>)</w:t>
      </w:r>
      <w:r w:rsidRPr="006F6E42">
        <w:t xml:space="preserve"> </w:t>
      </w:r>
      <w:r w:rsidRPr="009F14CF">
        <w:t xml:space="preserve">are mandated in </w:t>
      </w:r>
      <w:r w:rsidR="00A82B5C" w:rsidRPr="009F14CF">
        <w:t xml:space="preserve">relation to </w:t>
      </w:r>
      <w:r w:rsidRPr="009F14CF">
        <w:t>Article 2(1)</w:t>
      </w:r>
      <w:r w:rsidRPr="006F6E42">
        <w:t xml:space="preserve"> </w:t>
      </w:r>
      <w:r w:rsidR="00CC21F5">
        <w:t>(Protocol Article 2)</w:t>
      </w:r>
      <w:r w:rsidR="00CC21F5" w:rsidRPr="006F6E42">
        <w:t xml:space="preserve"> </w:t>
      </w:r>
      <w:r w:rsidRPr="006F6E42">
        <w:t>of the Protocol on Ireland/</w:t>
      </w:r>
      <w:r w:rsidR="0057770F">
        <w:t>Northern Ireland</w:t>
      </w:r>
      <w:r w:rsidRPr="006F6E42">
        <w:t xml:space="preserve"> </w:t>
      </w:r>
      <w:r w:rsidR="00D671E2">
        <w:t xml:space="preserve">to </w:t>
      </w:r>
      <w:r w:rsidRPr="006F6E42">
        <w:t>the UK-EU Withdrawal Agreement</w:t>
      </w:r>
      <w:r w:rsidR="0057770F">
        <w:rPr>
          <w:rStyle w:val="FootnoteReference"/>
        </w:rPr>
        <w:footnoteReference w:id="2"/>
      </w:r>
      <w:r w:rsidR="00CC21F5">
        <w:t xml:space="preserve"> (the Protocol) </w:t>
      </w:r>
      <w:r w:rsidRPr="006F6E42">
        <w:t xml:space="preserve">to oversee </w:t>
      </w:r>
      <w:r w:rsidR="002D18AF" w:rsidRPr="006F6E42">
        <w:t>the UK Government’s commitment on rights and equality in</w:t>
      </w:r>
      <w:r w:rsidR="00B462A7">
        <w:t xml:space="preserve"> Northern Ireland (</w:t>
      </w:r>
      <w:r w:rsidR="002D18AF" w:rsidRPr="006F6E42">
        <w:t>NI</w:t>
      </w:r>
      <w:r w:rsidR="00B462A7">
        <w:t>)</w:t>
      </w:r>
      <w:r w:rsidR="002D18AF" w:rsidRPr="006F6E42">
        <w:t xml:space="preserve"> after EU </w:t>
      </w:r>
      <w:r w:rsidR="002E6C28">
        <w:t>w</w:t>
      </w:r>
      <w:r w:rsidR="002D18AF" w:rsidRPr="006F6E42">
        <w:t>ithdrawal</w:t>
      </w:r>
      <w:r w:rsidRPr="006F6E42">
        <w:t xml:space="preserve">. </w:t>
      </w:r>
    </w:p>
    <w:p w14:paraId="49D8BB8B" w14:textId="77777777" w:rsidR="00785A72" w:rsidRPr="006F6E42" w:rsidRDefault="00785A72" w:rsidP="00785A72">
      <w:pPr>
        <w:pStyle w:val="ListParagraph"/>
        <w:rPr>
          <w:rFonts w:cstheme="minorHAnsi"/>
        </w:rPr>
      </w:pPr>
      <w:r w:rsidRPr="006F6E42">
        <w:rPr>
          <w:rFonts w:cstheme="minorHAnsi"/>
        </w:rPr>
        <w:t>The Commissions’ functions for this purpose</w:t>
      </w:r>
      <w:r w:rsidR="3CDD533C" w:rsidRPr="006F6E42">
        <w:t>,</w:t>
      </w:r>
      <w:r w:rsidRPr="006F6E42">
        <w:rPr>
          <w:rFonts w:cstheme="minorHAnsi"/>
        </w:rPr>
        <w:t xml:space="preserve"> set out in</w:t>
      </w:r>
      <w:r w:rsidR="004B5A48">
        <w:rPr>
          <w:rFonts w:cstheme="minorHAnsi"/>
        </w:rPr>
        <w:t xml:space="preserve"> </w:t>
      </w:r>
      <w:r w:rsidR="004B5A48" w:rsidRPr="004B5A48">
        <w:rPr>
          <w:rFonts w:cstheme="minorHAnsi"/>
        </w:rPr>
        <w:t>Sections 78A-78E</w:t>
      </w:r>
      <w:r w:rsidR="004B5A48">
        <w:rPr>
          <w:rFonts w:cstheme="minorHAnsi"/>
        </w:rPr>
        <w:t xml:space="preserve"> of</w:t>
      </w:r>
      <w:r w:rsidRPr="006F6E42">
        <w:rPr>
          <w:rFonts w:cstheme="minorHAnsi"/>
        </w:rPr>
        <w:t xml:space="preserve"> the Northern Ireland Act 1998</w:t>
      </w:r>
      <w:r w:rsidR="00FE54E7" w:rsidRPr="006F6E42">
        <w:rPr>
          <w:rFonts w:cstheme="minorHAnsi"/>
        </w:rPr>
        <w:t>,</w:t>
      </w:r>
      <w:r w:rsidRPr="006F6E42">
        <w:rPr>
          <w:rFonts w:cstheme="minorHAnsi"/>
        </w:rPr>
        <w:t xml:space="preserve"> are:</w:t>
      </w:r>
    </w:p>
    <w:p w14:paraId="1A9F8F5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monitoring the implementation of Protocol Article 2 (rights of individuals); </w:t>
      </w:r>
    </w:p>
    <w:p w14:paraId="764A3618"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reporting to the Secretary of State for NI and the NI Executive Office on the implementation of Protocol Article 2; </w:t>
      </w:r>
    </w:p>
    <w:p w14:paraId="180A39D9"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advising the Secretary of State for NI and the NI Executive of legislative and other measures which ought to be taken to implement Protocol Article 2; </w:t>
      </w:r>
    </w:p>
    <w:p w14:paraId="5B59E88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advising the NI Assembly (or a committee of the Assembly) whether a Bill is compatible with Protocol Article 2;</w:t>
      </w:r>
    </w:p>
    <w:p w14:paraId="2339C9A6"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promoting understanding and awareness of the importance of Protocol Article 2, including undertaking, commissioning or providing financial or other assistance for research and educational activities;</w:t>
      </w:r>
    </w:p>
    <w:p w14:paraId="7AF9B9E5"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bringing any appropriate matters of relevance to Protocol Article 2 to the attention of the Specialised Committee on the Protocol; </w:t>
      </w:r>
    </w:p>
    <w:p w14:paraId="595D892A"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 xml:space="preserve">taking judicial review proceedings in respect of an alleged breach (or potential future breach) of Protocol Article 2; </w:t>
      </w:r>
      <w:r w:rsidR="00C64339">
        <w:rPr>
          <w:rFonts w:cstheme="minorHAnsi"/>
        </w:rPr>
        <w:t>and</w:t>
      </w:r>
    </w:p>
    <w:p w14:paraId="7463FD93" w14:textId="77777777" w:rsidR="00785A72" w:rsidRPr="006F6E42" w:rsidRDefault="00785A72" w:rsidP="00785A72">
      <w:pPr>
        <w:pStyle w:val="ListParagraph"/>
        <w:numPr>
          <w:ilvl w:val="0"/>
          <w:numId w:val="6"/>
        </w:numPr>
        <w:spacing w:after="0"/>
        <w:contextualSpacing/>
        <w:rPr>
          <w:rFonts w:cstheme="minorHAnsi"/>
        </w:rPr>
      </w:pPr>
      <w:r w:rsidRPr="006F6E42">
        <w:rPr>
          <w:rFonts w:cstheme="minorHAnsi"/>
        </w:rPr>
        <w:t>intervening in legal proceedings in so far as they relate to an alleged breach (or potential future breach) of Protocol Article 2.</w:t>
      </w:r>
      <w:r w:rsidRPr="006F6E42">
        <w:rPr>
          <w:rStyle w:val="FootnoteReference"/>
          <w:rFonts w:cstheme="minorHAnsi"/>
        </w:rPr>
        <w:footnoteReference w:id="3"/>
      </w:r>
    </w:p>
    <w:p w14:paraId="3B03F121" w14:textId="77777777" w:rsidR="00785A72" w:rsidRPr="006F6E42" w:rsidRDefault="00785A72" w:rsidP="00785A72">
      <w:pPr>
        <w:spacing w:line="240" w:lineRule="auto"/>
        <w:rPr>
          <w:rFonts w:asciiTheme="minorHAnsi" w:hAnsiTheme="minorHAnsi" w:cstheme="minorHAnsi"/>
          <w:szCs w:val="28"/>
        </w:rPr>
      </w:pPr>
      <w:r w:rsidRPr="006F6E42">
        <w:rPr>
          <w:rFonts w:asciiTheme="minorHAnsi" w:hAnsiTheme="minorHAnsi" w:cstheme="minorHAnsi"/>
          <w:szCs w:val="28"/>
        </w:rPr>
        <w:t xml:space="preserve"> </w:t>
      </w:r>
    </w:p>
    <w:p w14:paraId="21465B3A" w14:textId="2185EB05" w:rsidR="00B81627" w:rsidRDefault="00B81627" w:rsidP="00B81627">
      <w:pPr>
        <w:pStyle w:val="ListParagraph"/>
      </w:pPr>
      <w:r>
        <w:t xml:space="preserve">The UK Government’s commitment in Protocol Article 2 is given effect in UK law by section 7A of the EU (Withdrawal) Act 2018. In addition, </w:t>
      </w:r>
      <w:r w:rsidR="00D671E2">
        <w:t>S</w:t>
      </w:r>
      <w:r>
        <w:t xml:space="preserve">ection 6 of the NI Act 1998 prohibits the NI Assembly from making any law which is incompatible with Protocol Article 2. Section 24 of the 1998 Act also </w:t>
      </w:r>
      <w:r w:rsidR="00B4645D">
        <w:t xml:space="preserve">provides that </w:t>
      </w:r>
      <w:r>
        <w:t xml:space="preserve">NI Ministers and NI Departments </w:t>
      </w:r>
      <w:r w:rsidR="00B4645D">
        <w:t xml:space="preserve">have no power </w:t>
      </w:r>
      <w:r>
        <w:t xml:space="preserve">to </w:t>
      </w:r>
      <w:r w:rsidR="00B4645D">
        <w:t xml:space="preserve">make, confirm or approve subordinate legislation or to </w:t>
      </w:r>
      <w:r w:rsidR="00BD716D">
        <w:t xml:space="preserve">do </w:t>
      </w:r>
      <w:r w:rsidR="00B4645D">
        <w:t>any act in</w:t>
      </w:r>
      <w:r w:rsidR="00D671E2">
        <w:t>sofar</w:t>
      </w:r>
      <w:r w:rsidR="00B4645D">
        <w:t xml:space="preserve"> as that legislation or act is in</w:t>
      </w:r>
      <w:r>
        <w:t xml:space="preserve">compatible with Protocol Article 2.  </w:t>
      </w:r>
      <w:r w:rsidR="77552C2A">
        <w:t>This means that the NI Assembly</w:t>
      </w:r>
      <w:r w:rsidR="0A035CC5">
        <w:t>, NI Ministers</w:t>
      </w:r>
      <w:r w:rsidR="77552C2A">
        <w:t xml:space="preserve"> and NI Departments </w:t>
      </w:r>
      <w:r w:rsidR="00841CE4">
        <w:t>cannot</w:t>
      </w:r>
      <w:r w:rsidR="77552C2A">
        <w:t xml:space="preserve"> legislate </w:t>
      </w:r>
      <w:r w:rsidR="00D314C3">
        <w:t xml:space="preserve">or act </w:t>
      </w:r>
      <w:r w:rsidR="77552C2A">
        <w:t>in a way</w:t>
      </w:r>
      <w:r w:rsidR="00BD716D">
        <w:t xml:space="preserve"> </w:t>
      </w:r>
      <w:r w:rsidR="77552C2A">
        <w:t xml:space="preserve">that </w:t>
      </w:r>
      <w:r w:rsidR="41D8A1C2">
        <w:t>is incompatible with Protocol Article 2</w:t>
      </w:r>
      <w:r w:rsidR="00D314C3">
        <w:t>.</w:t>
      </w:r>
      <w:r w:rsidR="009E768B">
        <w:t xml:space="preserve"> </w:t>
      </w:r>
      <w:r w:rsidR="00BD716D">
        <w:t xml:space="preserve">A </w:t>
      </w:r>
      <w:r w:rsidR="00D314C3">
        <w:t>s</w:t>
      </w:r>
      <w:r w:rsidR="00BD716D">
        <w:t>imilar restriction app</w:t>
      </w:r>
      <w:r w:rsidR="00D314C3">
        <w:t>lies</w:t>
      </w:r>
      <w:r w:rsidR="00BD716D">
        <w:t xml:space="preserve"> to UK Government actions </w:t>
      </w:r>
      <w:r w:rsidR="00B63B47">
        <w:t>in accordance with</w:t>
      </w:r>
      <w:r w:rsidR="00BD716D">
        <w:t xml:space="preserve"> the EU (Withdrawal) Act 2018.</w:t>
      </w:r>
    </w:p>
    <w:p w14:paraId="23268A8D" w14:textId="0CA1E19F" w:rsidR="00785A72" w:rsidRPr="006F6E42" w:rsidRDefault="00785A72" w:rsidP="00097391">
      <w:pPr>
        <w:pStyle w:val="ListParagraph"/>
      </w:pPr>
      <w:r w:rsidRPr="006F6E42">
        <w:t>This working paper provides an initial assessment</w:t>
      </w:r>
      <w:r w:rsidR="004B5A48">
        <w:t xml:space="preserve"> by the Commissions</w:t>
      </w:r>
      <w:r w:rsidRPr="006F6E42">
        <w:t xml:space="preserve"> of </w:t>
      </w:r>
      <w:r w:rsidRPr="0FD66799">
        <w:t xml:space="preserve">Protocol </w:t>
      </w:r>
      <w:r w:rsidRPr="006F6E42">
        <w:t>Article 2, how it is engaged and what rights, safeguards and equality of opportunity</w:t>
      </w:r>
      <w:r w:rsidR="00FE54E7" w:rsidRPr="006F6E42">
        <w:t xml:space="preserve"> protections</w:t>
      </w:r>
      <w:r w:rsidRPr="006F6E42">
        <w:t xml:space="preserve"> fall within its scope.</w:t>
      </w:r>
      <w:r w:rsidR="00CC613E" w:rsidRPr="00CC613E">
        <w:t xml:space="preserve"> </w:t>
      </w:r>
      <w:r w:rsidR="009A2AF6">
        <w:t>While t</w:t>
      </w:r>
      <w:r w:rsidR="00CC613E">
        <w:t>he focus o</w:t>
      </w:r>
      <w:r w:rsidR="00D764D7">
        <w:t>f</w:t>
      </w:r>
      <w:r w:rsidR="00CC613E">
        <w:t xml:space="preserve"> this paper is on </w:t>
      </w:r>
      <w:r w:rsidR="113FEFA4">
        <w:t xml:space="preserve">the </w:t>
      </w:r>
      <w:r w:rsidR="301BD7B5">
        <w:t>scop</w:t>
      </w:r>
      <w:r w:rsidR="15A1F021">
        <w:t>e of</w:t>
      </w:r>
      <w:r w:rsidR="00CC613E">
        <w:t xml:space="preserve"> Protocol Article 2</w:t>
      </w:r>
      <w:r w:rsidR="009A2AF6">
        <w:t xml:space="preserve">, this is one strand of </w:t>
      </w:r>
      <w:r w:rsidR="2C789AAA">
        <w:t xml:space="preserve">the </w:t>
      </w:r>
      <w:r w:rsidR="00D764D7">
        <w:t>wider</w:t>
      </w:r>
      <w:r w:rsidR="009A2AF6">
        <w:t xml:space="preserve"> </w:t>
      </w:r>
      <w:r w:rsidR="44709E45">
        <w:t>work</w:t>
      </w:r>
      <w:r w:rsidR="7D408555">
        <w:t xml:space="preserve"> of </w:t>
      </w:r>
      <w:r w:rsidR="7A5AE826">
        <w:t>the NIHRC and the ECNI</w:t>
      </w:r>
      <w:r w:rsidR="0047702A">
        <w:t xml:space="preserve"> </w:t>
      </w:r>
      <w:r w:rsidR="16F8BC46">
        <w:t xml:space="preserve">under </w:t>
      </w:r>
      <w:r w:rsidR="1E259749">
        <w:t xml:space="preserve">their </w:t>
      </w:r>
      <w:r w:rsidR="00841CE4">
        <w:t>respective</w:t>
      </w:r>
      <w:r w:rsidR="72AC174B">
        <w:t xml:space="preserve"> </w:t>
      </w:r>
      <w:r w:rsidR="1E259749">
        <w:t xml:space="preserve">mandates relating to </w:t>
      </w:r>
      <w:r w:rsidR="6AB5E78F">
        <w:t xml:space="preserve">the protection of </w:t>
      </w:r>
      <w:r w:rsidR="301BD7B5">
        <w:t xml:space="preserve">human rights and equality </w:t>
      </w:r>
      <w:r w:rsidR="00CC613E">
        <w:t>in NI</w:t>
      </w:r>
      <w:r w:rsidR="009A2AF6">
        <w:t xml:space="preserve"> following the UK’s withdrawal from the EU</w:t>
      </w:r>
      <w:r w:rsidR="00CC613E">
        <w:t>.</w:t>
      </w:r>
      <w:r w:rsidRPr="006F6E42">
        <w:t xml:space="preserve"> The purpose of this paper is to supplement the publications which have already been produced by the Commissions</w:t>
      </w:r>
      <w:r w:rsidR="00EF183A">
        <w:t xml:space="preserve"> and </w:t>
      </w:r>
      <w:r w:rsidR="009A2AF6">
        <w:t xml:space="preserve">to </w:t>
      </w:r>
      <w:r w:rsidR="00EF183A">
        <w:t xml:space="preserve">provide </w:t>
      </w:r>
      <w:r w:rsidR="009A2AF6">
        <w:t xml:space="preserve">additional </w:t>
      </w:r>
      <w:r w:rsidR="000B397C">
        <w:t xml:space="preserve">guidance </w:t>
      </w:r>
      <w:r w:rsidR="009A2AF6">
        <w:t xml:space="preserve">on how the non-diminution commitment </w:t>
      </w:r>
      <w:r w:rsidR="2DBF9F42">
        <w:t>is applied and interpreted</w:t>
      </w:r>
      <w:r w:rsidRPr="006F6E42">
        <w:t>.</w:t>
      </w:r>
      <w:r w:rsidRPr="006F6E42">
        <w:rPr>
          <w:rStyle w:val="FootnoteReference"/>
        </w:rPr>
        <w:footnoteReference w:id="4"/>
      </w:r>
      <w:r w:rsidRPr="006F6E42">
        <w:t xml:space="preserve">  A definitive interpretation of </w:t>
      </w:r>
      <w:r w:rsidRPr="0FD66799">
        <w:t xml:space="preserve">Protocol </w:t>
      </w:r>
      <w:r w:rsidRPr="006F6E42">
        <w:t xml:space="preserve">Article 2 is not possible at this stage, as it will ultimately be subject to the determination of the courts and the oversight bodies established by the UK-EU Withdrawal Agreement.  </w:t>
      </w:r>
      <w:r w:rsidR="00CD174A" w:rsidRPr="006F6E42">
        <w:t xml:space="preserve">This paper is </w:t>
      </w:r>
      <w:r w:rsidR="004B5A48">
        <w:t xml:space="preserve">part of </w:t>
      </w:r>
      <w:r w:rsidRPr="006F6E42">
        <w:t xml:space="preserve">the process of scoping what </w:t>
      </w:r>
      <w:r w:rsidRPr="0FD66799">
        <w:t xml:space="preserve">Protocol </w:t>
      </w:r>
      <w:r w:rsidRPr="006F6E42">
        <w:t xml:space="preserve">Article 2 will mean in practice for the protection of human rights and equality in NI. </w:t>
      </w:r>
      <w:r w:rsidR="00604E4F">
        <w:t xml:space="preserve"> </w:t>
      </w:r>
      <w:r w:rsidR="003413E0">
        <w:t>T</w:t>
      </w:r>
      <w:r w:rsidR="00D764D7">
        <w:t xml:space="preserve">his paper will be useful for </w:t>
      </w:r>
      <w:r w:rsidR="00EB72D9">
        <w:t xml:space="preserve">anyone </w:t>
      </w:r>
      <w:r w:rsidR="00584F6B">
        <w:t>considering</w:t>
      </w:r>
      <w:r w:rsidR="00EB72D9">
        <w:t xml:space="preserve"> what </w:t>
      </w:r>
      <w:r w:rsidR="00604E4F">
        <w:t xml:space="preserve">Protocol </w:t>
      </w:r>
      <w:r w:rsidR="00EB72D9">
        <w:t xml:space="preserve">Article 2 means in practice, including NI and UK Government </w:t>
      </w:r>
      <w:r w:rsidR="00D764D7">
        <w:t>officials</w:t>
      </w:r>
      <w:r w:rsidR="00EB72D9">
        <w:t xml:space="preserve">, lawyers, public bodies, civil society organisations and anyone working on law and policy in NI. </w:t>
      </w:r>
    </w:p>
    <w:p w14:paraId="189E0BD5" w14:textId="77777777" w:rsidR="00090736" w:rsidRPr="006F6E42" w:rsidRDefault="00391303" w:rsidP="00785A72">
      <w:pPr>
        <w:pStyle w:val="Heading1"/>
      </w:pPr>
      <w:bookmarkStart w:id="2" w:name="_Toc122447014"/>
      <w:r w:rsidRPr="006F6E42">
        <w:t>Overview of Article 2</w:t>
      </w:r>
      <w:bookmarkEnd w:id="2"/>
      <w:r w:rsidRPr="006F6E42">
        <w:t xml:space="preserve"> </w:t>
      </w:r>
    </w:p>
    <w:p w14:paraId="02389E3C" w14:textId="77777777" w:rsidR="00391303" w:rsidRPr="006F6E42" w:rsidRDefault="00391303" w:rsidP="00097391">
      <w:pPr>
        <w:pStyle w:val="Heading2"/>
      </w:pPr>
      <w:bookmarkStart w:id="3" w:name="_Toc87020434"/>
      <w:bookmarkStart w:id="4" w:name="_Toc122447015"/>
      <w:r w:rsidRPr="006F6E42">
        <w:t>Background</w:t>
      </w:r>
      <w:bookmarkEnd w:id="3"/>
      <w:bookmarkEnd w:id="4"/>
      <w:r w:rsidRPr="006F6E42">
        <w:t xml:space="preserve"> </w:t>
      </w:r>
    </w:p>
    <w:p w14:paraId="511B0B95" w14:textId="77777777" w:rsidR="00E07DED" w:rsidRPr="006F6E42" w:rsidRDefault="00E07DED" w:rsidP="00E07DED">
      <w:pPr>
        <w:pStyle w:val="ListParagraph"/>
        <w:numPr>
          <w:ilvl w:val="0"/>
          <w:numId w:val="1"/>
        </w:numPr>
        <w:rPr>
          <w:vanish/>
        </w:rPr>
      </w:pPr>
    </w:p>
    <w:p w14:paraId="15983E48" w14:textId="77777777" w:rsidR="00391303" w:rsidRPr="006F6E42" w:rsidRDefault="00391303" w:rsidP="00E07DED">
      <w:pPr>
        <w:pStyle w:val="ListParagraph"/>
      </w:pPr>
      <w:bookmarkStart w:id="5" w:name="_Hlk96855428"/>
      <w:r w:rsidRPr="006F6E42">
        <w:t xml:space="preserve">During the negotiations leading to the UK’s withdrawal from the EU, the UK and the EU recognised that the Belfast (Good Friday) Agreement 1998 required consideration and protection. The 1998 Agreement did not anticipate any change in membership of the EU by the UK or Ireland. </w:t>
      </w:r>
    </w:p>
    <w:p w14:paraId="0C9A10E6" w14:textId="77777777" w:rsidR="00391303" w:rsidRPr="006F6E42" w:rsidRDefault="00391303" w:rsidP="00391303">
      <w:pPr>
        <w:pStyle w:val="ListParagraph"/>
      </w:pPr>
      <w:r w:rsidRPr="006F6E42">
        <w:t xml:space="preserve">During this period of negotiations, the Commissions were concerned about the risk to human rights and equality protections underpinned by EU obligations.  The Commissions urged both parties to ensure there was </w:t>
      </w:r>
      <w:r w:rsidR="00C346D7" w:rsidRPr="006F6E42">
        <w:t>no diminution</w:t>
      </w:r>
      <w:r w:rsidRPr="006F6E42">
        <w:t xml:space="preserve"> of human rights and equality standards as the UK left the EU.</w:t>
      </w:r>
      <w:r w:rsidRPr="006F6E42">
        <w:rPr>
          <w:rStyle w:val="FootnoteReference"/>
        </w:rPr>
        <w:footnoteReference w:id="5"/>
      </w:r>
      <w:r w:rsidRPr="006F6E42">
        <w:t xml:space="preserve"> </w:t>
      </w:r>
    </w:p>
    <w:p w14:paraId="0D86F8A3" w14:textId="77777777" w:rsidR="00391303" w:rsidRPr="006F6E42" w:rsidRDefault="00391303" w:rsidP="00391303">
      <w:pPr>
        <w:pStyle w:val="ListParagraph"/>
      </w:pPr>
      <w:r w:rsidRPr="006F6E42">
        <w:t>Human rights and equality protections are at the heart of the Belfast (Good Friday) Agreement and are central to the peace process in NI. EU law ha</w:t>
      </w:r>
      <w:r w:rsidR="006C7BB9" w:rsidRPr="006F6E42">
        <w:t xml:space="preserve">s </w:t>
      </w:r>
      <w:r w:rsidRPr="006F6E42">
        <w:t xml:space="preserve">underpinned and contributed to many of those safeguards. In addition, EU free movement law had facilitated the open border between NI and Ireland. The importance of protecting the 1998 Agreement and its human rights and equality commitments was accepted in negotiations leading to the UK’s withdrawal from the EU. </w:t>
      </w:r>
    </w:p>
    <w:p w14:paraId="0DFD37B8" w14:textId="77777777" w:rsidR="00391303" w:rsidRPr="006F6E42" w:rsidRDefault="00391303" w:rsidP="00391303">
      <w:pPr>
        <w:pStyle w:val="ListParagraph"/>
      </w:pPr>
      <w:r w:rsidRPr="006F6E42">
        <w:t>In December 2017, the UK and EU affirmed “that the achievements, benefits and commitments of the peace process will remain of paramount importance to peace, stability and reconciliation” and that the Belfast (Good Friday) Agreement must be protected in all its parts, including in its practical application and the totality of the relationships set out in the Agreement.</w:t>
      </w:r>
      <w:r w:rsidRPr="006F6E42">
        <w:rPr>
          <w:rStyle w:val="FootnoteReference"/>
        </w:rPr>
        <w:footnoteReference w:id="6"/>
      </w:r>
      <w:r w:rsidRPr="006F6E42">
        <w:t xml:space="preserve">  In this joint statement, the UK Government also made a commitment to ensuring “no diminution of rights” would be “caused by its departure from the EU, including in the area of protection against forms of discrimination enshrined in EU law”.</w:t>
      </w:r>
      <w:r w:rsidRPr="006F6E42">
        <w:rPr>
          <w:rStyle w:val="FootnoteReference"/>
        </w:rPr>
        <w:footnoteReference w:id="7"/>
      </w:r>
      <w:r w:rsidRPr="006F6E42">
        <w:t xml:space="preserve">  </w:t>
      </w:r>
    </w:p>
    <w:p w14:paraId="464F51A7" w14:textId="77777777" w:rsidR="00391303" w:rsidRPr="006F6E42" w:rsidRDefault="00391303" w:rsidP="00097391">
      <w:pPr>
        <w:pStyle w:val="Heading2"/>
      </w:pPr>
      <w:bookmarkStart w:id="6" w:name="_Toc122447016"/>
      <w:bookmarkEnd w:id="5"/>
      <w:r w:rsidRPr="006F6E42">
        <w:t>Protocol Article 2</w:t>
      </w:r>
      <w:bookmarkEnd w:id="6"/>
    </w:p>
    <w:p w14:paraId="6BFC5C44" w14:textId="77777777" w:rsidR="00391303" w:rsidRPr="006F6E42" w:rsidRDefault="00391303" w:rsidP="00391303">
      <w:pPr>
        <w:pStyle w:val="ListParagraph"/>
      </w:pPr>
      <w:r w:rsidRPr="006F6E42">
        <w:t>The</w:t>
      </w:r>
      <w:r w:rsidR="006C7BB9" w:rsidRPr="006F6E42">
        <w:t xml:space="preserve"> </w:t>
      </w:r>
      <w:r w:rsidRPr="006F6E42">
        <w:t xml:space="preserve">commitment </w:t>
      </w:r>
      <w:r w:rsidR="005A0F76" w:rsidRPr="006F6E42">
        <w:t xml:space="preserve">to </w:t>
      </w:r>
      <w:r w:rsidRPr="006F6E42">
        <w:t xml:space="preserve">safeguarding human rights and equality protections is reflected in </w:t>
      </w:r>
      <w:r w:rsidR="00CC21F5">
        <w:t xml:space="preserve">Protocol </w:t>
      </w:r>
      <w:r w:rsidRPr="006F6E42">
        <w:t>Article 2.  It states:</w:t>
      </w:r>
    </w:p>
    <w:p w14:paraId="4B6C8C6C" w14:textId="77777777" w:rsidR="00391303" w:rsidRPr="006F6E42" w:rsidRDefault="00391303" w:rsidP="00391303">
      <w:pPr>
        <w:pStyle w:val="Quote"/>
        <w:numPr>
          <w:ilvl w:val="0"/>
          <w:numId w:val="3"/>
        </w:numPr>
      </w:pPr>
      <w:r w:rsidRPr="006F6E42">
        <w:t>The U</w:t>
      </w:r>
      <w:r w:rsidR="0060176A">
        <w:t xml:space="preserve">nited </w:t>
      </w:r>
      <w:r w:rsidRPr="006F6E42">
        <w:t>K</w:t>
      </w:r>
      <w:r w:rsidR="00BA16BD">
        <w:t>ingdom</w:t>
      </w:r>
      <w:r w:rsidRPr="006F6E42">
        <w:t xml:space="preserve">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1E53DE7B" w14:textId="77777777" w:rsidR="00391303" w:rsidRPr="006F6E42" w:rsidRDefault="00391303" w:rsidP="00391303">
      <w:pPr>
        <w:pStyle w:val="Quote"/>
        <w:numPr>
          <w:ilvl w:val="0"/>
          <w:numId w:val="3"/>
        </w:numPr>
      </w:pPr>
      <w:r w:rsidRPr="006F6E42">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p>
    <w:p w14:paraId="128AE6F5" w14:textId="4499AE68" w:rsidR="00391303" w:rsidRPr="006F6E42" w:rsidRDefault="00391303" w:rsidP="00391303">
      <w:pPr>
        <w:pStyle w:val="ListParagraph"/>
        <w:ind w:left="709"/>
      </w:pPr>
      <w:r w:rsidRPr="006F6E42">
        <w:t xml:space="preserve">The Protocol recognises that EU law has provided a ‘supporting framework’ for the </w:t>
      </w:r>
      <w:r w:rsidR="006C7BB9" w:rsidRPr="006F6E42">
        <w:t xml:space="preserve">rights, safeguards and equality of opportunity </w:t>
      </w:r>
      <w:r w:rsidRPr="006F6E42">
        <w:t>protections in the Belfast (Good Friday) Agreement.</w:t>
      </w:r>
      <w:r w:rsidRPr="006F6E42">
        <w:rPr>
          <w:rStyle w:val="FootnoteReference"/>
        </w:rPr>
        <w:footnoteReference w:id="8"/>
      </w:r>
      <w:r w:rsidRPr="006F6E42">
        <w:t xml:space="preserve">  In Protocol Article 2 the UK Government commits to ensuring that </w:t>
      </w:r>
      <w:r w:rsidR="004B5A48">
        <w:t>certain</w:t>
      </w:r>
      <w:r w:rsidR="004B5A48" w:rsidRPr="006F6E42">
        <w:t xml:space="preserve"> </w:t>
      </w:r>
      <w:r w:rsidRPr="006F6E42">
        <w:t xml:space="preserve">rights, safeguards and equality of opportunity protections are not </w:t>
      </w:r>
      <w:r w:rsidR="00691965" w:rsidRPr="006F6E42">
        <w:t>diminishe</w:t>
      </w:r>
      <w:r w:rsidRPr="006F6E42">
        <w:t xml:space="preserve">d as a result of the UK leaving the EU. Therefore, to fall within scope of Protocol Article 2, the human right or equality protection being relied on must be covered by the relevant chapter </w:t>
      </w:r>
      <w:r w:rsidR="1AF2ECD7" w:rsidRPr="006F6E42">
        <w:t xml:space="preserve">of the </w:t>
      </w:r>
      <w:r w:rsidR="002D18AF" w:rsidRPr="006F6E42">
        <w:t xml:space="preserve">Belfast (Good Friday) Agreement </w:t>
      </w:r>
      <w:r w:rsidRPr="006F6E42">
        <w:t xml:space="preserve">and have been underpinned by EU </w:t>
      </w:r>
      <w:r w:rsidR="0052426C" w:rsidRPr="006F6E42">
        <w:t xml:space="preserve">law </w:t>
      </w:r>
      <w:r w:rsidR="0041258B">
        <w:t xml:space="preserve">on </w:t>
      </w:r>
      <w:r w:rsidR="007B7F3C">
        <w:t xml:space="preserve">or before </w:t>
      </w:r>
      <w:r w:rsidR="0041258B">
        <w:t>31 December 2020</w:t>
      </w:r>
      <w:r w:rsidRPr="006F6E42">
        <w:t>.</w:t>
      </w:r>
      <w:r w:rsidR="00B37D5A">
        <w:t xml:space="preserve">  </w:t>
      </w:r>
      <w:r w:rsidR="00B37D5A" w:rsidRPr="00B37D5A">
        <w:t>In most cases, the relevant EU law will be that which was binding on the UK on 31 December 2020, by virtue of the UK</w:t>
      </w:r>
      <w:r w:rsidR="00D671E2">
        <w:t>-</w:t>
      </w:r>
      <w:r w:rsidR="00B37D5A" w:rsidRPr="00B37D5A">
        <w:t xml:space="preserve">EU Withdrawal Agreement, as opposed to EU law which was not binding on that date but had been at a prior date. </w:t>
      </w:r>
      <w:r w:rsidRPr="006F6E42">
        <w:t xml:space="preserve"> </w:t>
      </w:r>
      <w:r w:rsidR="00F84770" w:rsidRPr="00F84770">
        <w:t>However, under Article 127(1) of the Withdrawal Agreement some provisions of EU law were not applicable to and in the UK during the transition period</w:t>
      </w:r>
      <w:r w:rsidR="00F84770">
        <w:t>.</w:t>
      </w:r>
      <w:r w:rsidRPr="006F6E42">
        <w:t xml:space="preserve"> </w:t>
      </w:r>
    </w:p>
    <w:p w14:paraId="75CB0969" w14:textId="77777777" w:rsidR="00F65B78" w:rsidRPr="006F6E42" w:rsidRDefault="00F65B78" w:rsidP="00391303">
      <w:pPr>
        <w:pStyle w:val="ListParagraph"/>
        <w:ind w:left="709"/>
      </w:pPr>
      <w:r>
        <w:t xml:space="preserve">The </w:t>
      </w:r>
      <w:r w:rsidR="00BA7EA7">
        <w:t xml:space="preserve">Commissions’ </w:t>
      </w:r>
      <w:r>
        <w:t xml:space="preserve">approach to </w:t>
      </w:r>
      <w:r w:rsidR="00BA7EA7">
        <w:t xml:space="preserve">the </w:t>
      </w:r>
      <w:r>
        <w:t>interpretation of Protocol Article 2 and the Belfast (Good Friday) Agreement is informed by the Vienna Convention on the Law of Treaties, which provides that an international treaty should be interpreted in “good faith” and “</w:t>
      </w:r>
      <w:r w:rsidRPr="00104979">
        <w:rPr>
          <w:rFonts w:ascii="Calibri" w:eastAsia="Calibri" w:hAnsi="Calibri" w:cs="Calibri"/>
          <w:color w:val="000000" w:themeColor="text1"/>
        </w:rPr>
        <w:t>in accordance with the ordinary meaning to be given to the terms of the treaty in their context and in the light of its object and purpose</w:t>
      </w:r>
      <w:r>
        <w:rPr>
          <w:rFonts w:ascii="Calibri" w:eastAsia="Calibri" w:hAnsi="Calibri" w:cs="Calibri"/>
          <w:color w:val="000000" w:themeColor="text1"/>
        </w:rPr>
        <w:t>”.</w:t>
      </w:r>
      <w:r>
        <w:rPr>
          <w:rStyle w:val="FootnoteReference"/>
          <w:rFonts w:eastAsia="Calibri" w:cs="Calibri"/>
          <w:color w:val="000000" w:themeColor="text1"/>
        </w:rPr>
        <w:footnoteReference w:id="9"/>
      </w:r>
      <w:r>
        <w:rPr>
          <w:rFonts w:ascii="Calibri" w:eastAsia="Calibri" w:hAnsi="Calibri" w:cs="Calibri"/>
          <w:color w:val="000000" w:themeColor="text1"/>
        </w:rPr>
        <w:t xml:space="preserve">  It goes on to state that</w:t>
      </w:r>
      <w:r w:rsidRPr="00104979">
        <w:rPr>
          <w:rFonts w:ascii="Calibri" w:eastAsia="Calibri" w:hAnsi="Calibri" w:cs="Calibri"/>
          <w:color w:val="000000" w:themeColor="text1"/>
        </w:rPr>
        <w:t xml:space="preserve"> for the purpose of the interpretation of a treaty</w:t>
      </w:r>
      <w:r>
        <w:rPr>
          <w:rFonts w:ascii="Calibri" w:eastAsia="Calibri" w:hAnsi="Calibri" w:cs="Calibri"/>
          <w:color w:val="000000" w:themeColor="text1"/>
        </w:rPr>
        <w:t>,</w:t>
      </w:r>
      <w:r w:rsidRPr="00104979">
        <w:rPr>
          <w:rFonts w:ascii="Calibri" w:eastAsia="Calibri" w:hAnsi="Calibri" w:cs="Calibri"/>
          <w:color w:val="000000" w:themeColor="text1"/>
        </w:rPr>
        <w:t xml:space="preserve"> in addition to the text, preamble and annexes</w:t>
      </w:r>
      <w:r>
        <w:rPr>
          <w:rFonts w:ascii="Calibri" w:eastAsia="Calibri" w:hAnsi="Calibri" w:cs="Calibri"/>
          <w:color w:val="000000" w:themeColor="text1"/>
        </w:rPr>
        <w:t xml:space="preserve">, the context shall comprise </w:t>
      </w:r>
      <w:r w:rsidRPr="007D4EFB">
        <w:rPr>
          <w:rFonts w:eastAsia="Calibri" w:cs="Calibri"/>
          <w:color w:val="000000" w:themeColor="text1"/>
        </w:rPr>
        <w:t xml:space="preserve">any agreement relating to the treaty which was made between the parties and any instrument made by one or more </w:t>
      </w:r>
      <w:r>
        <w:rPr>
          <w:rFonts w:eastAsia="Calibri" w:cs="Calibri"/>
          <w:color w:val="000000" w:themeColor="text1"/>
        </w:rPr>
        <w:t xml:space="preserve">of the </w:t>
      </w:r>
      <w:r w:rsidRPr="007D4EFB">
        <w:rPr>
          <w:rFonts w:eastAsia="Calibri" w:cs="Calibri"/>
          <w:color w:val="000000" w:themeColor="text1"/>
        </w:rPr>
        <w:t>parties in connection with the conclusion of the treaty and accepted by the other parties as related to the treaty.</w:t>
      </w:r>
      <w:r>
        <w:rPr>
          <w:rStyle w:val="FootnoteReference"/>
          <w:rFonts w:eastAsia="Calibri" w:cs="Calibri"/>
          <w:color w:val="000000" w:themeColor="text1"/>
        </w:rPr>
        <w:footnoteReference w:id="10"/>
      </w:r>
      <w:r>
        <w:rPr>
          <w:rFonts w:eastAsia="Calibri" w:cs="Calibri"/>
          <w:color w:val="000000" w:themeColor="text1"/>
        </w:rPr>
        <w:t xml:space="preserve"> </w:t>
      </w:r>
      <w:r w:rsidRPr="00DB58FB">
        <w:rPr>
          <w:rFonts w:ascii="Calibri" w:eastAsia="Calibri" w:hAnsi="Calibri" w:cs="Calibri"/>
          <w:color w:val="000000" w:themeColor="text1"/>
        </w:rPr>
        <w:t xml:space="preserve">The Vienna Convention </w:t>
      </w:r>
      <w:r>
        <w:rPr>
          <w:rFonts w:ascii="Calibri" w:eastAsia="Calibri" w:hAnsi="Calibri" w:cs="Calibri"/>
          <w:color w:val="000000" w:themeColor="text1"/>
        </w:rPr>
        <w:t xml:space="preserve">also </w:t>
      </w:r>
      <w:r w:rsidRPr="00DB58FB">
        <w:rPr>
          <w:rFonts w:ascii="Calibri" w:eastAsia="Calibri" w:hAnsi="Calibri" w:cs="Calibri"/>
          <w:color w:val="000000" w:themeColor="text1"/>
        </w:rPr>
        <w:t>provides that any subsequent agreement between the parties</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or subsequent practice in </w:t>
      </w:r>
      <w:r w:rsidR="00356943">
        <w:rPr>
          <w:rFonts w:ascii="Calibri" w:eastAsia="Calibri" w:hAnsi="Calibri" w:cs="Calibri"/>
          <w:color w:val="000000" w:themeColor="text1"/>
        </w:rPr>
        <w:t xml:space="preserve">the </w:t>
      </w:r>
      <w:r w:rsidRPr="00DB58FB">
        <w:rPr>
          <w:rFonts w:ascii="Calibri" w:eastAsia="Calibri" w:hAnsi="Calibri" w:cs="Calibri"/>
          <w:color w:val="000000" w:themeColor="text1"/>
        </w:rPr>
        <w:t>application of the treaty</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or its provisions</w:t>
      </w:r>
      <w:r w:rsidR="00D35348">
        <w:rPr>
          <w:rFonts w:ascii="Calibri" w:eastAsia="Calibri" w:hAnsi="Calibri" w:cs="Calibri"/>
          <w:color w:val="000000" w:themeColor="text1"/>
        </w:rPr>
        <w:t>,</w:t>
      </w:r>
      <w:r w:rsidRPr="00DB58FB">
        <w:rPr>
          <w:rFonts w:ascii="Calibri" w:eastAsia="Calibri" w:hAnsi="Calibri" w:cs="Calibri"/>
          <w:color w:val="000000" w:themeColor="text1"/>
        </w:rPr>
        <w:t xml:space="preserve"> shall be taken into account in relation </w:t>
      </w:r>
      <w:r w:rsidR="00D35348">
        <w:rPr>
          <w:rFonts w:ascii="Calibri" w:eastAsia="Calibri" w:hAnsi="Calibri" w:cs="Calibri"/>
          <w:color w:val="000000" w:themeColor="text1"/>
        </w:rPr>
        <w:t xml:space="preserve">to the </w:t>
      </w:r>
      <w:r w:rsidRPr="00DB58FB">
        <w:rPr>
          <w:rFonts w:ascii="Calibri" w:eastAsia="Calibri" w:hAnsi="Calibri" w:cs="Calibri"/>
          <w:color w:val="000000" w:themeColor="text1"/>
        </w:rPr>
        <w:t>interpretation of the treaty</w:t>
      </w:r>
      <w:r>
        <w:rPr>
          <w:rFonts w:ascii="Calibri" w:eastAsia="Calibri" w:hAnsi="Calibri" w:cs="Calibri"/>
          <w:color w:val="000000" w:themeColor="text1"/>
        </w:rPr>
        <w:t>,</w:t>
      </w:r>
      <w:r w:rsidRPr="00DB58FB">
        <w:rPr>
          <w:rFonts w:ascii="Calibri" w:eastAsia="Calibri" w:hAnsi="Calibri" w:cs="Calibri"/>
          <w:color w:val="000000" w:themeColor="text1"/>
        </w:rPr>
        <w:t xml:space="preserve"> along with “any relevant rules of international law applicable in the relations between the parties”.</w:t>
      </w:r>
      <w:r>
        <w:rPr>
          <w:rStyle w:val="FootnoteReference"/>
          <w:rFonts w:ascii="Calibri" w:eastAsia="Calibri" w:hAnsi="Calibri" w:cs="Calibri"/>
          <w:color w:val="000000" w:themeColor="text1"/>
        </w:rPr>
        <w:footnoteReference w:id="11"/>
      </w:r>
      <w:r w:rsidRPr="00DB58FB">
        <w:rPr>
          <w:rFonts w:ascii="Calibri" w:eastAsia="Calibri" w:hAnsi="Calibri" w:cs="Calibri"/>
          <w:color w:val="000000" w:themeColor="text1"/>
        </w:rPr>
        <w:t xml:space="preserve">  Article 32 further provides supplementary means of interpretation</w:t>
      </w:r>
      <w:r>
        <w:rPr>
          <w:rFonts w:ascii="Calibri" w:eastAsia="Calibri" w:hAnsi="Calibri" w:cs="Calibri"/>
          <w:color w:val="000000" w:themeColor="text1"/>
        </w:rPr>
        <w:t xml:space="preserve"> </w:t>
      </w:r>
      <w:r w:rsidRPr="00DB58FB">
        <w:rPr>
          <w:rFonts w:ascii="Calibri" w:eastAsia="Calibri" w:hAnsi="Calibri" w:cs="Calibri"/>
          <w:color w:val="000000" w:themeColor="text1"/>
        </w:rPr>
        <w:t xml:space="preserve">including the </w:t>
      </w:r>
      <w:r>
        <w:rPr>
          <w:rFonts w:ascii="Calibri" w:eastAsia="Calibri" w:hAnsi="Calibri" w:cs="Calibri"/>
          <w:color w:val="000000" w:themeColor="text1"/>
        </w:rPr>
        <w:t>“</w:t>
      </w:r>
      <w:r w:rsidRPr="00DB58FB">
        <w:rPr>
          <w:rFonts w:ascii="Calibri" w:eastAsia="Calibri" w:hAnsi="Calibri" w:cs="Calibri"/>
          <w:color w:val="000000" w:themeColor="text1"/>
        </w:rPr>
        <w:t>preparatory work of the treaty and the circumstances of its conclusion</w:t>
      </w:r>
      <w:r>
        <w:rPr>
          <w:rFonts w:ascii="Calibri" w:eastAsia="Calibri" w:hAnsi="Calibri" w:cs="Calibri"/>
          <w:color w:val="000000" w:themeColor="text1"/>
        </w:rPr>
        <w:t>”.</w:t>
      </w:r>
    </w:p>
    <w:p w14:paraId="0934FB22" w14:textId="506C5218" w:rsidR="00391303" w:rsidRPr="006F6E42" w:rsidRDefault="00391303" w:rsidP="00097391">
      <w:pPr>
        <w:pStyle w:val="Heading2"/>
      </w:pPr>
      <w:bookmarkStart w:id="7" w:name="_Toc87020435"/>
      <w:bookmarkStart w:id="8" w:name="_Toc122447017"/>
      <w:r w:rsidRPr="006F6E42">
        <w:t>Rights, safeguards and equality of opportunity</w:t>
      </w:r>
      <w:bookmarkEnd w:id="7"/>
      <w:r w:rsidR="00854B98">
        <w:t xml:space="preserve"> in </w:t>
      </w:r>
      <w:r w:rsidR="00D671E2">
        <w:t xml:space="preserve">the </w:t>
      </w:r>
      <w:r w:rsidR="00854B98">
        <w:t>Belfast (Good Friday) Agreement</w:t>
      </w:r>
      <w:bookmarkEnd w:id="8"/>
      <w:r w:rsidR="00854B98">
        <w:t xml:space="preserve"> </w:t>
      </w:r>
      <w:r w:rsidRPr="006F6E42">
        <w:t xml:space="preserve"> </w:t>
      </w:r>
    </w:p>
    <w:p w14:paraId="5092EFBD" w14:textId="77777777" w:rsidR="00391303" w:rsidRPr="006F6E42" w:rsidRDefault="002A0912" w:rsidP="00391303">
      <w:pPr>
        <w:pStyle w:val="ListParagraph"/>
      </w:pPr>
      <w:bookmarkStart w:id="9" w:name="_Hlk94602424"/>
      <w:r>
        <w:t xml:space="preserve">In the rights, safeguards and equality of opportunity chapter of the Belfast (Good Friday) Agreement, </w:t>
      </w:r>
      <w:r w:rsidRPr="006F6E42">
        <w:t xml:space="preserve">the </w:t>
      </w:r>
      <w:r w:rsidR="00391303" w:rsidRPr="006F6E42">
        <w:t xml:space="preserve">parties affirmed their commitment to “the mutual respect, the civil rights and religious liberties of everyone in the community”, before affirming </w:t>
      </w:r>
      <w:r w:rsidR="00691965" w:rsidRPr="006F6E42">
        <w:t>“</w:t>
      </w:r>
      <w:r w:rsidR="00391303" w:rsidRPr="006F6E42">
        <w:t>in particular</w:t>
      </w:r>
      <w:r w:rsidR="00691965" w:rsidRPr="006F6E42">
        <w:t>”</w:t>
      </w:r>
      <w:r w:rsidR="00391303" w:rsidRPr="006F6E42">
        <w:t>:</w:t>
      </w:r>
      <w:bookmarkEnd w:id="9"/>
    </w:p>
    <w:p w14:paraId="3003FBD4" w14:textId="77777777" w:rsidR="5DB9E5C2" w:rsidRPr="006F6E42" w:rsidRDefault="5DB9E5C2" w:rsidP="3566DE47">
      <w:pPr>
        <w:pStyle w:val="Bulletlist"/>
      </w:pPr>
      <w:r w:rsidRPr="006F6E42">
        <w:t>the right of free political thought;</w:t>
      </w:r>
    </w:p>
    <w:p w14:paraId="23E0C983" w14:textId="77777777" w:rsidR="00391303" w:rsidRPr="006F6E42" w:rsidRDefault="00391303" w:rsidP="00391303">
      <w:pPr>
        <w:pStyle w:val="Bulletlist"/>
      </w:pPr>
      <w:r w:rsidRPr="006F6E42">
        <w:t>the right to freedom and expression of religion;</w:t>
      </w:r>
    </w:p>
    <w:p w14:paraId="019F63BC" w14:textId="77777777" w:rsidR="00391303" w:rsidRPr="006F6E42" w:rsidRDefault="00391303" w:rsidP="00391303">
      <w:pPr>
        <w:pStyle w:val="Bulletlist"/>
      </w:pPr>
      <w:r w:rsidRPr="006F6E42">
        <w:t>the right to pursue democratically national and political aspirations;</w:t>
      </w:r>
    </w:p>
    <w:p w14:paraId="5AC1DF2A" w14:textId="77777777" w:rsidR="00391303" w:rsidRPr="006F6E42" w:rsidRDefault="00391303" w:rsidP="00391303">
      <w:pPr>
        <w:pStyle w:val="Bulletlist"/>
      </w:pPr>
      <w:r w:rsidRPr="006F6E42">
        <w:t>the right to seek constitutional change by peaceful and legitimate means;</w:t>
      </w:r>
    </w:p>
    <w:p w14:paraId="5A9B2D1E" w14:textId="77777777" w:rsidR="00391303" w:rsidRPr="006F6E42" w:rsidRDefault="00391303" w:rsidP="00391303">
      <w:pPr>
        <w:pStyle w:val="Bulletlist"/>
      </w:pPr>
      <w:r w:rsidRPr="006F6E42">
        <w:t>the right to freely choose one’s place of residence;</w:t>
      </w:r>
    </w:p>
    <w:p w14:paraId="0E1EBB8E" w14:textId="77777777" w:rsidR="00391303" w:rsidRPr="006F6E42" w:rsidRDefault="00391303" w:rsidP="00391303">
      <w:pPr>
        <w:pStyle w:val="Bulletlist"/>
      </w:pPr>
      <w:r w:rsidRPr="006F6E42">
        <w:t>the right to equal opportunity in all social and economic activity</w:t>
      </w:r>
      <w:r w:rsidR="00C13272" w:rsidRPr="006F6E42">
        <w:t>,</w:t>
      </w:r>
      <w:r w:rsidRPr="006F6E42">
        <w:t xml:space="preserve"> regardless of class, creed, disability, gender or ethnicity;</w:t>
      </w:r>
    </w:p>
    <w:p w14:paraId="4C0E0064" w14:textId="77777777" w:rsidR="00391303" w:rsidRPr="006F6E42" w:rsidRDefault="00391303" w:rsidP="00391303">
      <w:pPr>
        <w:pStyle w:val="Bulletlist"/>
      </w:pPr>
      <w:r w:rsidRPr="006F6E42">
        <w:t xml:space="preserve">the right to freedom from sectarian harassment; and </w:t>
      </w:r>
    </w:p>
    <w:p w14:paraId="5031D2F2" w14:textId="560F60EA" w:rsidR="00391303" w:rsidRPr="006F6E42" w:rsidRDefault="00391303" w:rsidP="00391303">
      <w:pPr>
        <w:pStyle w:val="Bulletlist"/>
      </w:pPr>
      <w:r w:rsidRPr="006F6E42">
        <w:t>the right of women to full and equal political participation.</w:t>
      </w:r>
      <w:r w:rsidRPr="006F6E42">
        <w:rPr>
          <w:rStyle w:val="FootnoteReference"/>
        </w:rPr>
        <w:footnoteReference w:id="12"/>
      </w:r>
    </w:p>
    <w:p w14:paraId="227666DB" w14:textId="77777777" w:rsidR="00391303" w:rsidRPr="006F6E42" w:rsidRDefault="00391303" w:rsidP="00391303"/>
    <w:p w14:paraId="3354AA57" w14:textId="77777777" w:rsidR="00391303" w:rsidRPr="006F6E42" w:rsidRDefault="00391303" w:rsidP="00391303">
      <w:pPr>
        <w:pStyle w:val="ListParagraph"/>
      </w:pPr>
      <w:r w:rsidRPr="006F6E42">
        <w:t xml:space="preserve">Alongside these are other specific rights, safeguards and equality of opportunity protections in the relevant Chapter which the UK Government has recognised </w:t>
      </w:r>
      <w:r w:rsidR="00755F7B">
        <w:t xml:space="preserve">as </w:t>
      </w:r>
      <w:r w:rsidR="006E01D3">
        <w:t>forming</w:t>
      </w:r>
      <w:r w:rsidR="00755F7B" w:rsidRPr="006F6E42">
        <w:t xml:space="preserve"> </w:t>
      </w:r>
      <w:r w:rsidRPr="006F6E42">
        <w:t>a non-exhaustive list of rights</w:t>
      </w:r>
      <w:r w:rsidR="00C13272" w:rsidRPr="006F6E42">
        <w:t>:</w:t>
      </w:r>
      <w:r w:rsidR="0095459D">
        <w:rPr>
          <w:rStyle w:val="FootnoteReference"/>
        </w:rPr>
        <w:footnoteReference w:id="13"/>
      </w:r>
      <w:r w:rsidRPr="006F6E42">
        <w:t xml:space="preserve"> </w:t>
      </w:r>
    </w:p>
    <w:p w14:paraId="521789B8" w14:textId="77777777" w:rsidR="00391303" w:rsidRPr="006F6E42" w:rsidRDefault="00391303" w:rsidP="00391303">
      <w:pPr>
        <w:pStyle w:val="Bulletlist"/>
      </w:pPr>
      <w:r w:rsidRPr="006F6E42">
        <w:rPr>
          <w:rFonts w:eastAsia="ArialMT"/>
        </w:rPr>
        <w:t>the right of victims to remember as well as to contribute to a changed society;</w:t>
      </w:r>
    </w:p>
    <w:p w14:paraId="6C0B47EF" w14:textId="77777777" w:rsidR="00391303" w:rsidRPr="006F6E42" w:rsidRDefault="00391303" w:rsidP="00391303">
      <w:pPr>
        <w:pStyle w:val="Bulletlist"/>
      </w:pPr>
      <w:r w:rsidRPr="006F6E42">
        <w:rPr>
          <w:rFonts w:eastAsia="ArialMT"/>
        </w:rPr>
        <w:t>respect, understanding and tolerance in relation to linguistic diversity; and</w:t>
      </w:r>
    </w:p>
    <w:p w14:paraId="07D391D7" w14:textId="77777777" w:rsidR="00391303" w:rsidRPr="006F6E42" w:rsidRDefault="00391303" w:rsidP="00391303">
      <w:pPr>
        <w:pStyle w:val="Bulletlist"/>
      </w:pPr>
      <w:r w:rsidRPr="006F6E42">
        <w:rPr>
          <w:rFonts w:eastAsia="ArialMT"/>
        </w:rPr>
        <w:t>the need to ensure that symbols and emblems are used in a manner which promotes mutual respect rather than division</w:t>
      </w:r>
      <w:r w:rsidRPr="006F6E42">
        <w:t>.</w:t>
      </w:r>
      <w:r w:rsidRPr="006F6E42">
        <w:rPr>
          <w:rStyle w:val="FootnoteReference"/>
        </w:rPr>
        <w:footnoteReference w:id="14"/>
      </w:r>
      <w:r w:rsidRPr="006F6E42">
        <w:t xml:space="preserve"> </w:t>
      </w:r>
    </w:p>
    <w:p w14:paraId="2BFED81D" w14:textId="77777777" w:rsidR="00391303" w:rsidRPr="006F6E42" w:rsidRDefault="00391303" w:rsidP="00097391">
      <w:pPr>
        <w:pStyle w:val="Heading2"/>
      </w:pPr>
      <w:bookmarkStart w:id="10" w:name="_Toc87020439"/>
      <w:bookmarkStart w:id="11" w:name="_Toc122447018"/>
      <w:r w:rsidRPr="006F6E42">
        <w:t>Annex 1 Equality Directives</w:t>
      </w:r>
      <w:bookmarkEnd w:id="11"/>
      <w:r w:rsidRPr="006F6E42">
        <w:t xml:space="preserve"> </w:t>
      </w:r>
      <w:bookmarkEnd w:id="10"/>
    </w:p>
    <w:p w14:paraId="6AB58E0D" w14:textId="77777777" w:rsidR="00391303" w:rsidRPr="006F6E42" w:rsidRDefault="003845B0" w:rsidP="00391303">
      <w:pPr>
        <w:pStyle w:val="ListParagraph"/>
        <w:rPr>
          <w:rFonts w:eastAsiaTheme="minorEastAsia"/>
        </w:rPr>
      </w:pPr>
      <w:r w:rsidRPr="003845B0">
        <w:t xml:space="preserve">The commitment to no diminution in </w:t>
      </w:r>
      <w:r w:rsidR="002D18AF" w:rsidRPr="006F6E42">
        <w:t xml:space="preserve">Protocol </w:t>
      </w:r>
      <w:r w:rsidR="00391303" w:rsidRPr="006F6E42">
        <w:t xml:space="preserve">Article 2 </w:t>
      </w:r>
      <w:r w:rsidR="1214781F" w:rsidRPr="006F6E42">
        <w:t xml:space="preserve">includes </w:t>
      </w:r>
      <w:r w:rsidRPr="003845B0">
        <w:t xml:space="preserve">the area of </w:t>
      </w:r>
      <w:r w:rsidR="1214781F" w:rsidRPr="006F6E42">
        <w:t xml:space="preserve">protection against discrimination, </w:t>
      </w:r>
      <w:r w:rsidR="00391303" w:rsidRPr="006F6E42">
        <w:t>referenc</w:t>
      </w:r>
      <w:r w:rsidR="65C3DD60" w:rsidRPr="006F6E42">
        <w:t>ing</w:t>
      </w:r>
      <w:r w:rsidR="00391303" w:rsidRPr="006F6E42">
        <w:t xml:space="preserve"> </w:t>
      </w:r>
      <w:r w:rsidR="32FD4AE4" w:rsidRPr="006F6E42">
        <w:t xml:space="preserve">Annex 1 </w:t>
      </w:r>
      <w:r w:rsidR="595B9C7E" w:rsidRPr="006F6E42">
        <w:t xml:space="preserve">which </w:t>
      </w:r>
      <w:r w:rsidR="32FD4AE4" w:rsidRPr="006F6E42">
        <w:t xml:space="preserve">sets out </w:t>
      </w:r>
      <w:r w:rsidR="00391303" w:rsidRPr="006F6E42">
        <w:t>six EU equality directives</w:t>
      </w:r>
      <w:r w:rsidR="4B439EAF" w:rsidRPr="006F6E42">
        <w:t>:</w:t>
      </w:r>
      <w:r w:rsidR="00691965" w:rsidRPr="006F6E42">
        <w:t xml:space="preserve"> </w:t>
      </w:r>
    </w:p>
    <w:p w14:paraId="5217676E" w14:textId="77777777" w:rsidR="00391303" w:rsidRPr="006F6E42" w:rsidRDefault="00391303" w:rsidP="00391303">
      <w:pPr>
        <w:pStyle w:val="Bulletlist"/>
      </w:pPr>
      <w:r w:rsidRPr="006F6E42">
        <w:t>Racial Equality Directive;</w:t>
      </w:r>
      <w:r w:rsidRPr="006F6E42">
        <w:rPr>
          <w:rStyle w:val="FootnoteReference"/>
        </w:rPr>
        <w:footnoteReference w:id="15"/>
      </w:r>
      <w:r w:rsidRPr="006F6E42">
        <w:t xml:space="preserve"> </w:t>
      </w:r>
    </w:p>
    <w:p w14:paraId="66E7D793" w14:textId="77777777" w:rsidR="00391303" w:rsidRPr="006F6E42" w:rsidRDefault="00391303" w:rsidP="00391303">
      <w:pPr>
        <w:pStyle w:val="Bulletlist"/>
      </w:pPr>
      <w:r w:rsidRPr="006F6E42">
        <w:t>Employment Equality (Framework) Directive;</w:t>
      </w:r>
      <w:r w:rsidRPr="006F6E42">
        <w:rPr>
          <w:rStyle w:val="FootnoteReference"/>
        </w:rPr>
        <w:footnoteReference w:id="16"/>
      </w:r>
      <w:r w:rsidRPr="006F6E42">
        <w:t xml:space="preserve"> </w:t>
      </w:r>
    </w:p>
    <w:p w14:paraId="674622D4" w14:textId="77777777" w:rsidR="00391303" w:rsidRPr="006F6E42" w:rsidRDefault="00391303" w:rsidP="00391303">
      <w:pPr>
        <w:pStyle w:val="Bulletlist"/>
      </w:pPr>
      <w:r w:rsidRPr="006F6E42">
        <w:t>Gender Goods and Services Directive;</w:t>
      </w:r>
      <w:r w:rsidRPr="006F6E42">
        <w:rPr>
          <w:rStyle w:val="FootnoteReference"/>
        </w:rPr>
        <w:footnoteReference w:id="17"/>
      </w:r>
      <w:r w:rsidRPr="006F6E42">
        <w:rPr>
          <w:vertAlign w:val="superscript"/>
        </w:rPr>
        <w:t xml:space="preserve"> </w:t>
      </w:r>
    </w:p>
    <w:p w14:paraId="08B30599" w14:textId="77777777" w:rsidR="00391303" w:rsidRPr="006F6E42" w:rsidRDefault="00391303" w:rsidP="00391303">
      <w:pPr>
        <w:pStyle w:val="Bulletlist"/>
      </w:pPr>
      <w:r w:rsidRPr="006F6E42">
        <w:t xml:space="preserve">Equal Treatment </w:t>
      </w:r>
      <w:r w:rsidR="00C13272" w:rsidRPr="006F6E42">
        <w:t xml:space="preserve">(Employment) </w:t>
      </w:r>
      <w:r w:rsidRPr="006F6E42">
        <w:t>Directive;</w:t>
      </w:r>
      <w:r w:rsidRPr="006F6E42">
        <w:rPr>
          <w:rStyle w:val="FootnoteReference"/>
        </w:rPr>
        <w:footnoteReference w:id="18"/>
      </w:r>
    </w:p>
    <w:p w14:paraId="56EA653E" w14:textId="77777777" w:rsidR="00391303" w:rsidRPr="006F6E42" w:rsidRDefault="00391303" w:rsidP="00391303">
      <w:pPr>
        <w:pStyle w:val="Bulletlist"/>
      </w:pPr>
      <w:r w:rsidRPr="006F6E42">
        <w:t>Self-Employment Equal Treatment Directive;</w:t>
      </w:r>
      <w:r w:rsidRPr="006F6E42">
        <w:rPr>
          <w:rStyle w:val="FootnoteReference"/>
        </w:rPr>
        <w:footnoteReference w:id="19"/>
      </w:r>
      <w:r w:rsidRPr="006F6E42">
        <w:t xml:space="preserve"> and </w:t>
      </w:r>
    </w:p>
    <w:p w14:paraId="793AF13C" w14:textId="77777777" w:rsidR="00391303" w:rsidRPr="006F6E42" w:rsidRDefault="00391303" w:rsidP="00391303">
      <w:pPr>
        <w:pStyle w:val="Bulletlist"/>
      </w:pPr>
      <w:r w:rsidRPr="006F6E42">
        <w:t>Equal Treatment in Social Security Directive.</w:t>
      </w:r>
      <w:r w:rsidRPr="006F6E42">
        <w:rPr>
          <w:rStyle w:val="FootnoteReference"/>
        </w:rPr>
        <w:footnoteReference w:id="20"/>
      </w:r>
      <w:r w:rsidRPr="006F6E42">
        <w:rPr>
          <w:vertAlign w:val="superscript"/>
        </w:rPr>
        <w:t xml:space="preserve"> </w:t>
      </w:r>
    </w:p>
    <w:p w14:paraId="65457259" w14:textId="77777777" w:rsidR="00391303" w:rsidRPr="006F6E42" w:rsidRDefault="00391303" w:rsidP="00391303">
      <w:pPr>
        <w:pStyle w:val="Bulletlist"/>
        <w:numPr>
          <w:ilvl w:val="0"/>
          <w:numId w:val="0"/>
        </w:numPr>
      </w:pPr>
    </w:p>
    <w:p w14:paraId="34409B5F" w14:textId="77777777" w:rsidR="00391303" w:rsidRPr="006F6E42" w:rsidRDefault="00052862" w:rsidP="00391303">
      <w:pPr>
        <w:pStyle w:val="ListParagraph"/>
      </w:pPr>
      <w:r w:rsidRPr="006F6E42">
        <w:t xml:space="preserve">The UK Government has committed not only to ensuring there is no diminution of the rights contained in the Annex 1 </w:t>
      </w:r>
      <w:r w:rsidR="00E6499D" w:rsidRPr="006F6E42">
        <w:t>equality d</w:t>
      </w:r>
      <w:r w:rsidRPr="006F6E42">
        <w:t>irectives but also that NI equality law must dynamically align, or ‘keep pace’, with any enhancements made by the EU to these rights, on or after 1 January 2021</w:t>
      </w:r>
      <w:r w:rsidR="00391303" w:rsidRPr="006F6E42">
        <w:t>.</w:t>
      </w:r>
      <w:r w:rsidRPr="006F6E42">
        <w:rPr>
          <w:rStyle w:val="FootnoteReference"/>
        </w:rPr>
        <w:footnoteReference w:id="21"/>
      </w:r>
      <w:r w:rsidR="00391303" w:rsidRPr="006F6E42">
        <w:t xml:space="preserve">  </w:t>
      </w:r>
      <w:r w:rsidR="00250BCB" w:rsidRPr="006F6E42">
        <w:t xml:space="preserve">A brief outline of the Annex 1 </w:t>
      </w:r>
      <w:r w:rsidR="00755139">
        <w:t>e</w:t>
      </w:r>
      <w:r w:rsidR="00E6499D" w:rsidRPr="006F6E42">
        <w:t xml:space="preserve">quality </w:t>
      </w:r>
      <w:r w:rsidR="00755139">
        <w:t>d</w:t>
      </w:r>
      <w:r w:rsidR="00250BCB" w:rsidRPr="006F6E42">
        <w:t xml:space="preserve">irectives can be found in </w:t>
      </w:r>
      <w:r w:rsidR="00250BCB" w:rsidRPr="00046F17">
        <w:t xml:space="preserve">Section </w:t>
      </w:r>
      <w:r w:rsidR="009177CD" w:rsidRPr="00046F17">
        <w:t>8</w:t>
      </w:r>
      <w:r w:rsidR="009177CD" w:rsidRPr="006F6E42">
        <w:t xml:space="preserve"> </w:t>
      </w:r>
      <w:r w:rsidR="00250BCB" w:rsidRPr="006F6E42">
        <w:t xml:space="preserve">of this Working Paper. </w:t>
      </w:r>
    </w:p>
    <w:p w14:paraId="3DABDF26" w14:textId="77777777" w:rsidR="00827D9A" w:rsidRDefault="00827D9A">
      <w:pPr>
        <w:rPr>
          <w:rFonts w:asciiTheme="minorHAnsi" w:hAnsiTheme="minorHAnsi"/>
          <w:b/>
          <w:bCs/>
          <w:sz w:val="32"/>
          <w:szCs w:val="32"/>
        </w:rPr>
      </w:pPr>
      <w:r>
        <w:br w:type="page"/>
      </w:r>
    </w:p>
    <w:p w14:paraId="2D955997" w14:textId="1F092A63" w:rsidR="00CD174A" w:rsidRPr="006F6E42" w:rsidRDefault="00CD174A" w:rsidP="00CD174A">
      <w:pPr>
        <w:pStyle w:val="Heading2"/>
      </w:pPr>
      <w:bookmarkStart w:id="12" w:name="_Toc122447019"/>
      <w:r w:rsidRPr="006F6E42">
        <w:t>Underpinning EU Measures</w:t>
      </w:r>
      <w:bookmarkEnd w:id="12"/>
      <w:r w:rsidRPr="006F6E42">
        <w:t xml:space="preserve"> </w:t>
      </w:r>
    </w:p>
    <w:p w14:paraId="559AB3AC" w14:textId="77777777" w:rsidR="00391303" w:rsidRPr="006F6E42" w:rsidRDefault="00052862" w:rsidP="00052862">
      <w:pPr>
        <w:pStyle w:val="ListParagraph"/>
      </w:pPr>
      <w:r w:rsidRPr="006F6E42">
        <w:t>In addition to the Annex 1</w:t>
      </w:r>
      <w:r w:rsidR="00250BCB" w:rsidRPr="006F6E42">
        <w:t xml:space="preserve"> equality</w:t>
      </w:r>
      <w:r w:rsidRPr="006F6E42">
        <w:t xml:space="preserve"> directives, there are a number of other EU </w:t>
      </w:r>
      <w:r w:rsidR="00776EAC">
        <w:t>legal</w:t>
      </w:r>
      <w:r w:rsidR="006E5E5E" w:rsidRPr="006F6E42">
        <w:t xml:space="preserve"> </w:t>
      </w:r>
      <w:r w:rsidRPr="006F6E42">
        <w:t>obligations</w:t>
      </w:r>
      <w:r w:rsidRPr="006F6E42">
        <w:rPr>
          <w:b/>
          <w:bCs/>
        </w:rPr>
        <w:t xml:space="preserve"> </w:t>
      </w:r>
      <w:r w:rsidRPr="006F6E42">
        <w:t xml:space="preserve">which underpin the rights and safeguards in the relevant part of the Belfast (Good Friday) Agreement and are subject to </w:t>
      </w:r>
      <w:r w:rsidR="000121C7" w:rsidRPr="006F6E42">
        <w:t>the</w:t>
      </w:r>
      <w:r w:rsidRPr="006F6E42">
        <w:t xml:space="preserve"> no</w:t>
      </w:r>
      <w:r w:rsidR="00C346D7" w:rsidRPr="006F6E42">
        <w:t xml:space="preserve"> diminution</w:t>
      </w:r>
      <w:r w:rsidRPr="006F6E42">
        <w:t xml:space="preserve"> commitment. The UK Government has recognised a non-exhaustive list of relevant measures which fall within scope of the commitment in Protocol Article 2,</w:t>
      </w:r>
      <w:r w:rsidR="0095459D">
        <w:rPr>
          <w:rStyle w:val="FootnoteReference"/>
        </w:rPr>
        <w:footnoteReference w:id="22"/>
      </w:r>
      <w:r w:rsidRPr="006F6E42">
        <w:t xml:space="preserve"> including:</w:t>
      </w:r>
    </w:p>
    <w:p w14:paraId="2AEBA1B5" w14:textId="77777777" w:rsidR="00391303" w:rsidRPr="006F6E42" w:rsidRDefault="00391303" w:rsidP="00391303">
      <w:pPr>
        <w:pStyle w:val="Bulletlist"/>
      </w:pPr>
      <w:r w:rsidRPr="006F6E42">
        <w:t>the Victim’s Directive</w:t>
      </w:r>
      <w:r w:rsidR="008679DD">
        <w:t>;</w:t>
      </w:r>
      <w:r w:rsidRPr="006F6E42">
        <w:rPr>
          <w:rStyle w:val="FootnoteReference"/>
        </w:rPr>
        <w:footnoteReference w:id="23"/>
      </w:r>
      <w:r w:rsidRPr="006F6E42">
        <w:t xml:space="preserve"> </w:t>
      </w:r>
    </w:p>
    <w:p w14:paraId="2CA75686" w14:textId="77777777" w:rsidR="00391303" w:rsidRPr="006F6E42" w:rsidRDefault="00391303" w:rsidP="00391303">
      <w:pPr>
        <w:pStyle w:val="Bulletlist"/>
      </w:pPr>
      <w:r w:rsidRPr="006F6E42">
        <w:t>the Parental Leave Directive</w:t>
      </w:r>
      <w:r w:rsidR="008679DD">
        <w:t>;</w:t>
      </w:r>
      <w:r w:rsidRPr="006F6E42">
        <w:rPr>
          <w:rStyle w:val="FootnoteReference"/>
        </w:rPr>
        <w:footnoteReference w:id="24"/>
      </w:r>
      <w:r w:rsidRPr="006F6E42">
        <w:t xml:space="preserve"> </w:t>
      </w:r>
    </w:p>
    <w:p w14:paraId="2AAF2E3E" w14:textId="77777777" w:rsidR="00391303" w:rsidRPr="006F6E42" w:rsidRDefault="00391303" w:rsidP="00391303">
      <w:pPr>
        <w:pStyle w:val="Bulletlist"/>
      </w:pPr>
      <w:r w:rsidRPr="006F6E42">
        <w:t>the Pregnant Workers</w:t>
      </w:r>
      <w:r w:rsidR="002D1A74" w:rsidRPr="006F6E42">
        <w:t>’</w:t>
      </w:r>
      <w:r w:rsidRPr="006F6E42">
        <w:t xml:space="preserve"> Directive</w:t>
      </w:r>
      <w:r w:rsidR="008679DD">
        <w:t>;</w:t>
      </w:r>
      <w:r w:rsidRPr="006F6E42">
        <w:rPr>
          <w:rStyle w:val="FootnoteReference"/>
        </w:rPr>
        <w:footnoteReference w:id="25"/>
      </w:r>
      <w:r w:rsidRPr="006F6E42">
        <w:t xml:space="preserve"> </w:t>
      </w:r>
      <w:r w:rsidR="008679DD">
        <w:t xml:space="preserve">and </w:t>
      </w:r>
    </w:p>
    <w:p w14:paraId="1D8DD904" w14:textId="77777777" w:rsidR="00391303" w:rsidRPr="006F6E42" w:rsidRDefault="00391303" w:rsidP="00391303">
      <w:pPr>
        <w:pStyle w:val="Bulletlist"/>
      </w:pPr>
      <w:r w:rsidRPr="006F6E42">
        <w:t>other specific measures which protect the rights of disabled people.</w:t>
      </w:r>
      <w:r w:rsidRPr="006F6E42">
        <w:rPr>
          <w:rStyle w:val="FootnoteReference"/>
        </w:rPr>
        <w:footnoteReference w:id="26"/>
      </w:r>
    </w:p>
    <w:p w14:paraId="65CB35C8" w14:textId="77777777" w:rsidR="000B78C4" w:rsidRPr="006F6E42" w:rsidRDefault="000B78C4" w:rsidP="000B78C4">
      <w:pPr>
        <w:ind w:left="720" w:hanging="720"/>
      </w:pPr>
    </w:p>
    <w:p w14:paraId="3FDB36DD" w14:textId="48B5DD58" w:rsidR="00917A21" w:rsidRPr="006F6E42" w:rsidRDefault="00052862" w:rsidP="004562D0">
      <w:pPr>
        <w:pStyle w:val="ListParagraph"/>
      </w:pPr>
      <w:bookmarkStart w:id="13" w:name="_Hlk94600425"/>
      <w:r w:rsidRPr="006F6E42">
        <w:t>The Commissions consider that there are additional EU measures that will also fall within the scope of Protocol Article 2</w:t>
      </w:r>
      <w:r w:rsidR="000B78C4" w:rsidRPr="006F6E42">
        <w:t xml:space="preserve"> and </w:t>
      </w:r>
      <w:r w:rsidR="0026665E">
        <w:t xml:space="preserve">have </w:t>
      </w:r>
      <w:r w:rsidR="00391303" w:rsidRPr="009F14CF">
        <w:t>undertak</w:t>
      </w:r>
      <w:r w:rsidR="0026665E" w:rsidRPr="009F14CF">
        <w:t>en</w:t>
      </w:r>
      <w:r w:rsidR="00391303" w:rsidRPr="0026665E">
        <w:t xml:space="preserve"> an extensive</w:t>
      </w:r>
      <w:r w:rsidR="00391303" w:rsidRPr="006F6E42">
        <w:t xml:space="preserve"> exercise to form a view as to which </w:t>
      </w:r>
      <w:r w:rsidR="00391303" w:rsidRPr="00C24D80">
        <w:t xml:space="preserve">EU </w:t>
      </w:r>
      <w:r w:rsidR="0098002F" w:rsidRPr="00C24D80">
        <w:t xml:space="preserve">laws and obligations </w:t>
      </w:r>
      <w:r w:rsidR="00391303" w:rsidRPr="00C24D80">
        <w:t>underpin the rights and safeguards in the relevant part of the Belfast (Good Friday) Agreement</w:t>
      </w:r>
      <w:r w:rsidR="00391303" w:rsidRPr="006F6E42">
        <w:t>.</w:t>
      </w:r>
      <w:r w:rsidR="009D2E88">
        <w:rPr>
          <w:rStyle w:val="FootnoteReference"/>
        </w:rPr>
        <w:footnoteReference w:id="27"/>
      </w:r>
      <w:r w:rsidR="00391303" w:rsidRPr="006F6E42">
        <w:t xml:space="preserve"> </w:t>
      </w:r>
      <w:r w:rsidR="000B78C4" w:rsidRPr="006F6E42">
        <w:t>These measures include additional protections for victims</w:t>
      </w:r>
      <w:r w:rsidR="000B78C4" w:rsidRPr="006F6E42">
        <w:rPr>
          <w:rStyle w:val="FootnoteReference"/>
        </w:rPr>
        <w:footnoteReference w:id="28"/>
      </w:r>
      <w:r w:rsidR="000B78C4" w:rsidRPr="006F6E42">
        <w:t xml:space="preserve"> and employment protections for workers.</w:t>
      </w:r>
      <w:r w:rsidR="000B78C4" w:rsidRPr="006F6E42">
        <w:rPr>
          <w:rStyle w:val="FootnoteReference"/>
        </w:rPr>
        <w:footnoteReference w:id="29"/>
      </w:r>
      <w:r w:rsidR="000B78C4" w:rsidRPr="006F6E42">
        <w:t xml:space="preserve"> </w:t>
      </w:r>
      <w:bookmarkEnd w:id="13"/>
      <w:r w:rsidR="006E5E5E" w:rsidRPr="006F6E42">
        <w:t xml:space="preserve">The Commissions have already identified a range of additional </w:t>
      </w:r>
      <w:r w:rsidR="00391303" w:rsidRPr="006F6E42">
        <w:t xml:space="preserve">underpinning EU law which is set out in the table in </w:t>
      </w:r>
      <w:r w:rsidR="00391303" w:rsidRPr="00046F17">
        <w:t xml:space="preserve">Appendix </w:t>
      </w:r>
      <w:r w:rsidR="00683814" w:rsidRPr="00046F17">
        <w:t>1</w:t>
      </w:r>
      <w:r w:rsidR="00391303" w:rsidRPr="00046F17">
        <w:t>.</w:t>
      </w:r>
      <w:r w:rsidR="00391303" w:rsidRPr="006F6E42">
        <w:t xml:space="preserve"> </w:t>
      </w:r>
      <w:r w:rsidR="003845B0" w:rsidRPr="003845B0">
        <w:t xml:space="preserve">The range of underpinning EU law identified to date by the Commissions relates to the specific rights that </w:t>
      </w:r>
      <w:r w:rsidR="006F78CD">
        <w:t xml:space="preserve">the </w:t>
      </w:r>
      <w:r w:rsidR="006F78CD" w:rsidRPr="008032C2">
        <w:t>parties</w:t>
      </w:r>
      <w:r w:rsidR="003845B0" w:rsidRPr="008032C2">
        <w:t xml:space="preserve"> </w:t>
      </w:r>
      <w:r w:rsidR="00687673" w:rsidRPr="008032C2">
        <w:t>“</w:t>
      </w:r>
      <w:r w:rsidR="003845B0" w:rsidRPr="008032C2">
        <w:t>affirm in particular</w:t>
      </w:r>
      <w:r w:rsidR="00687673" w:rsidRPr="008032C2">
        <w:t>”</w:t>
      </w:r>
      <w:r w:rsidR="003845B0" w:rsidRPr="008032C2">
        <w:t xml:space="preserve"> in</w:t>
      </w:r>
      <w:r w:rsidR="003845B0" w:rsidRPr="003845B0">
        <w:t xml:space="preserve"> the relevant chapter of the </w:t>
      </w:r>
      <w:r w:rsidR="003845B0">
        <w:t>Belfast (Good Friday) Agreement</w:t>
      </w:r>
      <w:r w:rsidR="003845B0" w:rsidRPr="003845B0">
        <w:t xml:space="preserve">. In the Commissions’ view, there is the potential for additional underpinning EU law to fall within the scope of </w:t>
      </w:r>
      <w:r w:rsidR="008679DD">
        <w:t xml:space="preserve">Protocol </w:t>
      </w:r>
      <w:r w:rsidR="003845B0" w:rsidRPr="003845B0">
        <w:t xml:space="preserve">Article 2 </w:t>
      </w:r>
      <w:r w:rsidR="003845B0">
        <w:t xml:space="preserve">as we work to define the </w:t>
      </w:r>
      <w:r w:rsidR="003845B0" w:rsidRPr="003845B0">
        <w:t>rights that are covered within the general commitment to the “civil rights and religious liberties of everyone in the community”</w:t>
      </w:r>
      <w:r w:rsidR="00391303" w:rsidRPr="006F6E42">
        <w:t xml:space="preserve">. </w:t>
      </w:r>
      <w:r w:rsidR="00AE257D">
        <w:rPr>
          <w:rFonts w:ascii="Calibri" w:eastAsia="Times New Roman" w:hAnsi="Calibri" w:cs="Arial"/>
          <w:lang w:eastAsia="en-GB"/>
        </w:rPr>
        <w:t>This table is a ‘</w:t>
      </w:r>
      <w:r w:rsidR="00AE257D" w:rsidRPr="009F14CF">
        <w:rPr>
          <w:rFonts w:ascii="Calibri" w:eastAsia="Times New Roman" w:hAnsi="Calibri" w:cs="Arial"/>
          <w:bCs/>
          <w:lang w:eastAsia="en-GB"/>
        </w:rPr>
        <w:t>living document’</w:t>
      </w:r>
      <w:r w:rsidR="00AE257D">
        <w:rPr>
          <w:rFonts w:ascii="Calibri" w:eastAsia="Times New Roman" w:hAnsi="Calibri" w:cs="Arial"/>
          <w:lang w:eastAsia="en-GB"/>
        </w:rPr>
        <w:t xml:space="preserve">, as it may be subject to amendment by the Commissions, as and when appropriate; for example, in light of any judicial decisions and/or legal </w:t>
      </w:r>
      <w:proofErr w:type="gramStart"/>
      <w:r w:rsidR="00AE257D">
        <w:rPr>
          <w:rFonts w:ascii="Calibri" w:eastAsia="Times New Roman" w:hAnsi="Calibri" w:cs="Arial"/>
          <w:lang w:eastAsia="en-GB"/>
        </w:rPr>
        <w:t>advices</w:t>
      </w:r>
      <w:proofErr w:type="gramEnd"/>
      <w:r w:rsidR="00AE257D">
        <w:rPr>
          <w:rFonts w:ascii="Calibri" w:eastAsia="Times New Roman" w:hAnsi="Calibri" w:cs="Arial"/>
          <w:lang w:eastAsia="en-GB"/>
        </w:rPr>
        <w:t xml:space="preserve"> received by the Commissions on the scope of EU law underpinning Protocol Article 2.</w:t>
      </w:r>
    </w:p>
    <w:p w14:paraId="57D483C4" w14:textId="77777777" w:rsidR="00A45DAD" w:rsidRPr="006F6E42" w:rsidRDefault="00917A21" w:rsidP="000B78C4">
      <w:pPr>
        <w:pStyle w:val="Heading1"/>
      </w:pPr>
      <w:bookmarkStart w:id="14" w:name="_Toc122447020"/>
      <w:r w:rsidRPr="006F6E42">
        <w:t>Belfast (Good Friday) Agreement</w:t>
      </w:r>
      <w:bookmarkEnd w:id="14"/>
      <w:r w:rsidRPr="006F6E42">
        <w:t xml:space="preserve"> </w:t>
      </w:r>
    </w:p>
    <w:p w14:paraId="0ECFDAFC" w14:textId="77777777" w:rsidR="00E07DED" w:rsidRPr="006F6E42" w:rsidRDefault="00E07DED" w:rsidP="00E07DED">
      <w:pPr>
        <w:pStyle w:val="ListParagraph"/>
        <w:numPr>
          <w:ilvl w:val="0"/>
          <w:numId w:val="1"/>
        </w:numPr>
        <w:rPr>
          <w:vanish/>
        </w:rPr>
      </w:pPr>
    </w:p>
    <w:p w14:paraId="5710B4C9" w14:textId="77777777" w:rsidR="481AF196" w:rsidRPr="006F6E42" w:rsidRDefault="481AF196" w:rsidP="5CD99D5E">
      <w:pPr>
        <w:pStyle w:val="ListParagraph"/>
        <w:rPr>
          <w:rFonts w:eastAsiaTheme="minorEastAsia"/>
        </w:rPr>
      </w:pPr>
      <w:r w:rsidRPr="006F6E42">
        <w:rPr>
          <w:rFonts w:ascii="Calibri" w:eastAsia="Calibri" w:hAnsi="Calibri" w:cs="Calibri"/>
          <w:color w:val="000000" w:themeColor="text1"/>
        </w:rPr>
        <w:t>One of the challenges of interpreting</w:t>
      </w:r>
      <w:r w:rsidR="6F7535C6" w:rsidRPr="006F6E42">
        <w:rPr>
          <w:rFonts w:ascii="Calibri" w:eastAsia="Calibri" w:hAnsi="Calibri" w:cs="Calibri"/>
          <w:color w:val="000000" w:themeColor="text1"/>
        </w:rPr>
        <w:t xml:space="preserve"> </w:t>
      </w:r>
      <w:r w:rsidR="002D1A74" w:rsidRPr="006F6E42">
        <w:rPr>
          <w:rFonts w:ascii="Calibri" w:eastAsia="Calibri" w:hAnsi="Calibri" w:cs="Calibri"/>
          <w:color w:val="000000" w:themeColor="text1"/>
        </w:rPr>
        <w:t xml:space="preserve">Protocol </w:t>
      </w:r>
      <w:r w:rsidR="6F7535C6" w:rsidRPr="006F6E42">
        <w:rPr>
          <w:rFonts w:ascii="Calibri" w:eastAsia="Calibri" w:hAnsi="Calibri" w:cs="Calibri"/>
          <w:color w:val="000000" w:themeColor="text1"/>
        </w:rPr>
        <w:t>Article 2 is that</w:t>
      </w:r>
      <w:r w:rsidRPr="006F6E42">
        <w:rPr>
          <w:rFonts w:ascii="Calibri" w:eastAsia="Calibri" w:hAnsi="Calibri" w:cs="Calibri"/>
          <w:color w:val="000000" w:themeColor="text1"/>
        </w:rPr>
        <w:t xml:space="preserve"> the relevant chapter of the Belfast (Good Friday) Agreement was not drafted</w:t>
      </w:r>
      <w:r w:rsidR="1DB50F1C" w:rsidRPr="006F6E42">
        <w:rPr>
          <w:rFonts w:ascii="Calibri" w:eastAsia="Calibri" w:hAnsi="Calibri" w:cs="Calibri"/>
          <w:color w:val="000000" w:themeColor="text1"/>
        </w:rPr>
        <w:t xml:space="preserve"> </w:t>
      </w:r>
      <w:r w:rsidRPr="006F6E42">
        <w:rPr>
          <w:rFonts w:ascii="Calibri" w:eastAsia="Calibri" w:hAnsi="Calibri" w:cs="Calibri"/>
          <w:color w:val="000000" w:themeColor="text1"/>
        </w:rPr>
        <w:t>as a comprehensive statement of rights, safeguards and equality of opportunity</w:t>
      </w:r>
      <w:r w:rsidR="003845B0">
        <w:rPr>
          <w:rFonts w:ascii="Calibri" w:eastAsia="Calibri" w:hAnsi="Calibri" w:cs="Calibri"/>
          <w:color w:val="000000" w:themeColor="text1"/>
        </w:rPr>
        <w:t xml:space="preserve"> protections</w:t>
      </w:r>
      <w:r w:rsidR="35748CBC" w:rsidRPr="006F6E42">
        <w:rPr>
          <w:rFonts w:ascii="Calibri" w:eastAsia="Calibri" w:hAnsi="Calibri" w:cs="Calibri"/>
          <w:color w:val="000000" w:themeColor="text1"/>
        </w:rPr>
        <w:t>.</w:t>
      </w:r>
    </w:p>
    <w:p w14:paraId="36F4688C" w14:textId="77777777" w:rsidR="00A45DAD" w:rsidRPr="006F6E42" w:rsidRDefault="0DD3D0B5" w:rsidP="0031318C">
      <w:pPr>
        <w:pStyle w:val="ListParagraph"/>
      </w:pPr>
      <w:r w:rsidRPr="006F6E42">
        <w:t>In addition to the listed rights</w:t>
      </w:r>
      <w:r w:rsidR="001060E7">
        <w:t>,</w:t>
      </w:r>
      <w:r w:rsidRPr="006F6E42">
        <w:t xml:space="preserve"> safeguards and equality of opportunity protections, this chapter also </w:t>
      </w:r>
      <w:r w:rsidR="39E37547" w:rsidRPr="006F6E42">
        <w:t xml:space="preserve">commits the UK </w:t>
      </w:r>
      <w:r w:rsidR="007C1851" w:rsidRPr="004B0553">
        <w:t>G</w:t>
      </w:r>
      <w:r w:rsidR="007C1851" w:rsidRPr="006F6E42">
        <w:t xml:space="preserve">overnment </w:t>
      </w:r>
      <w:r w:rsidR="39E37547" w:rsidRPr="006F6E42">
        <w:t>to the incorporation of the</w:t>
      </w:r>
      <w:r w:rsidR="00D62036">
        <w:t xml:space="preserve"> European Convention on Human Rights (the</w:t>
      </w:r>
      <w:r w:rsidR="39E37547" w:rsidRPr="006F6E42">
        <w:t xml:space="preserve"> ECHR</w:t>
      </w:r>
      <w:r w:rsidR="00D62036">
        <w:t>)</w:t>
      </w:r>
      <w:r w:rsidR="39E37547" w:rsidRPr="006F6E42">
        <w:t xml:space="preserve"> and a public sector equality duty</w:t>
      </w:r>
      <w:r w:rsidRPr="006F6E42">
        <w:t xml:space="preserve">. It also </w:t>
      </w:r>
      <w:r w:rsidR="39E37547" w:rsidRPr="006F6E42">
        <w:t>anticipates further work on a Bill of Rights for NI</w:t>
      </w:r>
      <w:r w:rsidRPr="006F6E42">
        <w:t xml:space="preserve"> to identify rights supplementary to the ECHR and draw on international instruments and experience.</w:t>
      </w:r>
      <w:r w:rsidR="00FE591D" w:rsidRPr="006F6E42">
        <w:rPr>
          <w:rStyle w:val="FootnoteReference"/>
        </w:rPr>
        <w:footnoteReference w:id="30"/>
      </w:r>
    </w:p>
    <w:p w14:paraId="595BA16B" w14:textId="77777777" w:rsidR="00FE591D" w:rsidRPr="006F6E42" w:rsidRDefault="00DF7BA6" w:rsidP="00FE591D">
      <w:pPr>
        <w:pStyle w:val="Heading2"/>
      </w:pPr>
      <w:bookmarkStart w:id="15" w:name="_Toc122447021"/>
      <w:r w:rsidRPr="006F6E42">
        <w:t>‘</w:t>
      </w:r>
      <w:r w:rsidR="00FE591D" w:rsidRPr="006F6E42">
        <w:t>Civil Rights … of everyone in the community</w:t>
      </w:r>
      <w:r w:rsidRPr="006F6E42">
        <w:t>’</w:t>
      </w:r>
      <w:bookmarkEnd w:id="15"/>
      <w:r w:rsidR="00FE591D" w:rsidRPr="006F6E42">
        <w:t xml:space="preserve"> </w:t>
      </w:r>
    </w:p>
    <w:p w14:paraId="2B4C688E" w14:textId="77777777" w:rsidR="00AB0194" w:rsidRDefault="3AE33A06" w:rsidP="00AA23BC">
      <w:pPr>
        <w:pStyle w:val="ListParagraph"/>
      </w:pPr>
      <w:r w:rsidRPr="006F6E42">
        <w:t>As noted above, the rights</w:t>
      </w:r>
      <w:r w:rsidR="0F9CB56A" w:rsidRPr="006F6E42">
        <w:t>, safeguards and equality of opportunit</w:t>
      </w:r>
      <w:r w:rsidR="007C1851">
        <w:t>y</w:t>
      </w:r>
      <w:r w:rsidR="0F9CB56A" w:rsidRPr="006F6E42">
        <w:t xml:space="preserve"> </w:t>
      </w:r>
      <w:r w:rsidR="4BDC5EA4" w:rsidRPr="006F6E42">
        <w:t>section</w:t>
      </w:r>
      <w:r w:rsidR="0F9CB56A" w:rsidRPr="006F6E42">
        <w:t xml:space="preserve"> includes a general commitment to the “civil rights and religious liberties of everyone in the community” and the rights set ou</w:t>
      </w:r>
      <w:r w:rsidR="0DD3D0B5" w:rsidRPr="006F6E42">
        <w:t>t</w:t>
      </w:r>
      <w:r w:rsidR="0F9CB56A" w:rsidRPr="006F6E42">
        <w:t xml:space="preserve"> in this chapter are </w:t>
      </w:r>
      <w:r w:rsidR="2C01D272" w:rsidRPr="006F6E42">
        <w:t>“</w:t>
      </w:r>
      <w:r w:rsidR="0F9CB56A" w:rsidRPr="006F6E42">
        <w:t>affirmed in particular</w:t>
      </w:r>
      <w:r w:rsidR="2C01D272" w:rsidRPr="006F6E42">
        <w:t>”</w:t>
      </w:r>
      <w:r w:rsidR="00AA23BC">
        <w:t xml:space="preserve">. The extent of that general commitment is important </w:t>
      </w:r>
      <w:r w:rsidR="00C85418">
        <w:t xml:space="preserve">in </w:t>
      </w:r>
      <w:r w:rsidR="00AA23BC">
        <w:t>determin</w:t>
      </w:r>
      <w:r w:rsidR="00C85418">
        <w:t>ing</w:t>
      </w:r>
      <w:r w:rsidR="00AA23BC">
        <w:t xml:space="preserve"> </w:t>
      </w:r>
      <w:r w:rsidR="48BDCA7A">
        <w:t>the</w:t>
      </w:r>
      <w:r w:rsidR="00AA23BC">
        <w:t xml:space="preserve"> range </w:t>
      </w:r>
      <w:r w:rsidR="7820BDE8">
        <w:t xml:space="preserve">of </w:t>
      </w:r>
      <w:r w:rsidR="00AA23BC">
        <w:t xml:space="preserve">EU </w:t>
      </w:r>
      <w:r w:rsidR="2DC6E018">
        <w:t>laws</w:t>
      </w:r>
      <w:r w:rsidR="00AA23BC">
        <w:t xml:space="preserve"> relevant to</w:t>
      </w:r>
      <w:r w:rsidR="4FAE9B23">
        <w:t>, and within scope of,</w:t>
      </w:r>
      <w:r w:rsidR="00AA23BC">
        <w:t xml:space="preserve"> Protocol Article 2. </w:t>
      </w:r>
      <w:r w:rsidR="005F261C">
        <w:t xml:space="preserve">The first section of this chapter </w:t>
      </w:r>
      <w:r w:rsidR="00AA23BC">
        <w:t>is entitled ‘Human Rights’ and is followed by a non-exhaustive list of rights.</w:t>
      </w:r>
      <w:r w:rsidR="00170E53">
        <w:rPr>
          <w:rStyle w:val="FootnoteReference"/>
        </w:rPr>
        <w:footnoteReference w:id="31"/>
      </w:r>
      <w:r w:rsidR="00AA23BC">
        <w:t xml:space="preserve">  </w:t>
      </w:r>
      <w:r w:rsidR="005F261C">
        <w:t>Within this human rights section</w:t>
      </w:r>
      <w:r w:rsidR="00180F56">
        <w:t>,</w:t>
      </w:r>
      <w:r w:rsidR="005F261C">
        <w:t xml:space="preserve"> and i</w:t>
      </w:r>
      <w:r w:rsidR="00AA23BC">
        <w:t xml:space="preserve">mmediately following </w:t>
      </w:r>
      <w:r w:rsidR="005F261C">
        <w:t xml:space="preserve">the </w:t>
      </w:r>
      <w:r w:rsidR="00180F56">
        <w:t>‘</w:t>
      </w:r>
      <w:r w:rsidR="005F261C">
        <w:t>affirmed in particular</w:t>
      </w:r>
      <w:r w:rsidR="00180F56">
        <w:t>’</w:t>
      </w:r>
      <w:r w:rsidR="005F261C">
        <w:t xml:space="preserve"> rights</w:t>
      </w:r>
      <w:r w:rsidR="00180F56">
        <w:t>,</w:t>
      </w:r>
      <w:r w:rsidR="005F261C">
        <w:t xml:space="preserve"> </w:t>
      </w:r>
      <w:r w:rsidR="00AA23BC" w:rsidRPr="0FD66799">
        <w:t>is the UK Government’s commitment to the incorporation of the ECHR with direct access to the courts and remedies for breach.</w:t>
      </w:r>
    </w:p>
    <w:p w14:paraId="2D53CB88" w14:textId="7143858E" w:rsidR="00A45DAD" w:rsidRDefault="00AA23BC" w:rsidP="0031318C">
      <w:pPr>
        <w:pStyle w:val="ListParagraph"/>
      </w:pPr>
      <w:r>
        <w:t xml:space="preserve">Read </w:t>
      </w:r>
      <w:r w:rsidR="00FA2F60">
        <w:t>in the context of the additional pledges on rights within this chapter</w:t>
      </w:r>
      <w:r>
        <w:t xml:space="preserve">, </w:t>
      </w:r>
      <w:r w:rsidR="00F12F8E" w:rsidRPr="00CC30E2">
        <w:t xml:space="preserve">the </w:t>
      </w:r>
      <w:r w:rsidR="39E37547" w:rsidRPr="00CC30E2">
        <w:t>general commitment of the Belfast (Good Friday) Agreement signatories to the range of rights referenced within the chapter must be understood as embracing</w:t>
      </w:r>
      <w:r w:rsidR="2C01D272" w:rsidRPr="00CC30E2">
        <w:t>,</w:t>
      </w:r>
      <w:r w:rsidR="39E37547" w:rsidRPr="00CC30E2">
        <w:t xml:space="preserve"> as a minimum</w:t>
      </w:r>
      <w:r w:rsidR="2C01D272" w:rsidRPr="00CC30E2">
        <w:t>,</w:t>
      </w:r>
      <w:r w:rsidR="39E37547" w:rsidRPr="00CC30E2">
        <w:t xml:space="preserve"> </w:t>
      </w:r>
      <w:r w:rsidR="065285CF" w:rsidRPr="00CC30E2">
        <w:t xml:space="preserve">those </w:t>
      </w:r>
      <w:r w:rsidR="39E37547" w:rsidRPr="00CC30E2">
        <w:t>rights set out in the ECHR.</w:t>
      </w:r>
      <w:r w:rsidR="00DE1124" w:rsidRPr="00CC30E2">
        <w:rPr>
          <w:rStyle w:val="FootnoteReference"/>
        </w:rPr>
        <w:footnoteReference w:id="32"/>
      </w:r>
      <w:r w:rsidR="0DD3D0B5" w:rsidRPr="00CC30E2">
        <w:t xml:space="preserve">  </w:t>
      </w:r>
      <w:r w:rsidR="000B691F" w:rsidRPr="00CC30E2">
        <w:t xml:space="preserve">In its Explainer the UK Government has confirmed that the “key rights and </w:t>
      </w:r>
      <w:r w:rsidR="000B691F" w:rsidRPr="00F94DB7">
        <w:t>equality provision</w:t>
      </w:r>
      <w:r w:rsidR="001139BD">
        <w:t>s</w:t>
      </w:r>
      <w:r w:rsidR="000B691F" w:rsidRPr="00F94DB7">
        <w:t xml:space="preserve"> in the [Belfast (Good Friday)] Agreement are supported by the ECHR</w:t>
      </w:r>
      <w:r w:rsidR="00EE6500" w:rsidRPr="00F94DB7">
        <w:t>”</w:t>
      </w:r>
      <w:r w:rsidR="000B691F" w:rsidRPr="00F94DB7">
        <w:t xml:space="preserve">.  The Explainer further confirms that the </w:t>
      </w:r>
      <w:r w:rsidR="00830C76" w:rsidRPr="00DB28A7">
        <w:t>UK Government acknowledges</w:t>
      </w:r>
      <w:r w:rsidR="000B691F" w:rsidRPr="00DB28A7">
        <w:t xml:space="preserve"> </w:t>
      </w:r>
      <w:r w:rsidR="00830C76" w:rsidRPr="006A18E6">
        <w:t>that “in NI, EU law, particularly on anti</w:t>
      </w:r>
      <w:r w:rsidR="00D66F6E" w:rsidRPr="006A18E6">
        <w:t>-</w:t>
      </w:r>
      <w:r w:rsidR="00830C76" w:rsidRPr="006A18E6">
        <w:t xml:space="preserve">discrimination, has formed an important part of the framework for delivering the guarantees on rights and </w:t>
      </w:r>
      <w:r w:rsidR="00830C76" w:rsidRPr="006C25EF">
        <w:t>equality set out in the [Belfast (Good Frida</w:t>
      </w:r>
      <w:r w:rsidR="00830C76" w:rsidRPr="00277D50">
        <w:t>y)</w:t>
      </w:r>
      <w:r w:rsidR="00D66F6E" w:rsidRPr="00277D50">
        <w:t>]</w:t>
      </w:r>
      <w:r w:rsidR="00830C76" w:rsidRPr="00277D50">
        <w:t xml:space="preserve"> Agreement”.</w:t>
      </w:r>
      <w:r w:rsidR="00830C76" w:rsidRPr="00CC30E2">
        <w:rPr>
          <w:rStyle w:val="FootnoteReference"/>
        </w:rPr>
        <w:footnoteReference w:id="33"/>
      </w:r>
      <w:r w:rsidR="00830C76" w:rsidRPr="00CC30E2">
        <w:t xml:space="preserve">  </w:t>
      </w:r>
      <w:r w:rsidR="39E37547" w:rsidRPr="00CC30E2">
        <w:t xml:space="preserve">The Commissions are adopting a working assumption that the non-diminution commitment in Protocol Article 2 encompasses the full range of rights set out in the ECHR, </w:t>
      </w:r>
      <w:r w:rsidR="28AFA940" w:rsidRPr="001C13D6">
        <w:rPr>
          <w:u w:val="single"/>
        </w:rPr>
        <w:t>to the extent</w:t>
      </w:r>
      <w:r w:rsidR="39E37547" w:rsidRPr="001C13D6">
        <w:rPr>
          <w:u w:val="single"/>
        </w:rPr>
        <w:t xml:space="preserve"> </w:t>
      </w:r>
      <w:r w:rsidR="001A1C2E" w:rsidRPr="001C13D6">
        <w:rPr>
          <w:u w:val="single"/>
        </w:rPr>
        <w:t>that they are</w:t>
      </w:r>
      <w:r w:rsidR="000F4BC2" w:rsidRPr="001C13D6">
        <w:rPr>
          <w:u w:val="single"/>
        </w:rPr>
        <w:t xml:space="preserve"> </w:t>
      </w:r>
      <w:r w:rsidR="39E37547" w:rsidRPr="001C13D6">
        <w:rPr>
          <w:u w:val="single"/>
        </w:rPr>
        <w:t xml:space="preserve">underpinned by EU </w:t>
      </w:r>
      <w:r w:rsidR="007C1851">
        <w:rPr>
          <w:u w:val="single"/>
        </w:rPr>
        <w:t xml:space="preserve">legal </w:t>
      </w:r>
      <w:r w:rsidR="39E37547" w:rsidRPr="001C13D6">
        <w:rPr>
          <w:u w:val="single"/>
        </w:rPr>
        <w:t>obligations</w:t>
      </w:r>
      <w:r w:rsidR="0031645D" w:rsidRPr="00CC30E2">
        <w:t xml:space="preserve"> </w:t>
      </w:r>
      <w:r w:rsidR="00AD5BF6" w:rsidRPr="00CC30E2">
        <w:t xml:space="preserve">in force </w:t>
      </w:r>
      <w:r w:rsidR="00AC6FBD">
        <w:t xml:space="preserve">on </w:t>
      </w:r>
      <w:r w:rsidR="00B37D5A">
        <w:t xml:space="preserve">or before </w:t>
      </w:r>
      <w:r w:rsidR="00AC6FBD">
        <w:t xml:space="preserve">31 December </w:t>
      </w:r>
      <w:r w:rsidR="007F6F55">
        <w:t>202</w:t>
      </w:r>
      <w:r w:rsidR="00AC6FBD">
        <w:t>0.</w:t>
      </w:r>
      <w:r w:rsidR="00034B82">
        <w:t xml:space="preserve">  Put another way, </w:t>
      </w:r>
      <w:r w:rsidR="3C4D04F9">
        <w:t xml:space="preserve">the Commissions consider that </w:t>
      </w:r>
      <w:r w:rsidR="00034B82">
        <w:t xml:space="preserve">all EU law </w:t>
      </w:r>
      <w:r w:rsidR="1D5228FD">
        <w:t xml:space="preserve">in </w:t>
      </w:r>
      <w:r w:rsidR="00034B82">
        <w:t xml:space="preserve">force </w:t>
      </w:r>
      <w:r w:rsidR="00713167">
        <w:t xml:space="preserve">in NI </w:t>
      </w:r>
      <w:r w:rsidR="00034B82">
        <w:t xml:space="preserve">on or before 31 December 2020 which </w:t>
      </w:r>
      <w:r w:rsidR="005C58B1">
        <w:t>underpins an</w:t>
      </w:r>
      <w:r w:rsidR="00034B82">
        <w:t xml:space="preserve"> ECHR</w:t>
      </w:r>
      <w:r w:rsidR="005C58B1">
        <w:t xml:space="preserve"> right </w:t>
      </w:r>
      <w:r w:rsidR="00034B82">
        <w:t xml:space="preserve">falls within scope of the non-diminution commitment in Protocol Article 2.   </w:t>
      </w:r>
    </w:p>
    <w:p w14:paraId="02B3DFE0" w14:textId="77777777" w:rsidR="00E87DB8" w:rsidRDefault="00E87DB8" w:rsidP="00A12C06">
      <w:pPr>
        <w:pStyle w:val="Heading4"/>
        <w:pBdr>
          <w:top w:val="single" w:sz="4" w:space="1" w:color="auto"/>
          <w:left w:val="single" w:sz="4" w:space="1" w:color="auto"/>
          <w:bottom w:val="single" w:sz="4" w:space="1" w:color="auto"/>
          <w:right w:val="single" w:sz="4" w:space="1" w:color="auto"/>
        </w:pBdr>
      </w:pPr>
      <w:bookmarkStart w:id="16" w:name="_Hlk117685316"/>
      <w:r w:rsidRPr="00E87DB8">
        <w:t>Example: Data Protection Rights</w:t>
      </w:r>
    </w:p>
    <w:p w14:paraId="49A04215" w14:textId="77777777" w:rsidR="009027DB" w:rsidRDefault="009027DB" w:rsidP="00A12C06">
      <w:pPr>
        <w:pBdr>
          <w:top w:val="single" w:sz="4" w:space="1" w:color="auto"/>
          <w:left w:val="single" w:sz="4" w:space="1" w:color="auto"/>
          <w:bottom w:val="single" w:sz="4" w:space="1" w:color="auto"/>
          <w:right w:val="single" w:sz="4" w:space="1" w:color="auto"/>
        </w:pBdr>
        <w:spacing w:line="240" w:lineRule="auto"/>
        <w:ind w:left="720"/>
      </w:pPr>
      <w:r>
        <w:t xml:space="preserve">The European Court of Human Rights (ECtHR) has recognised that the protection of personal data is of fundamental importance to a person’s enjoyment of </w:t>
      </w:r>
      <w:r w:rsidR="003D29AE">
        <w:t>her or his</w:t>
      </w:r>
      <w:r>
        <w:t xml:space="preserve"> right to respect for private and family life in Article 8 of the ECHR.</w:t>
      </w:r>
      <w:r w:rsidR="009727B6">
        <w:rPr>
          <w:rStyle w:val="FootnoteReference"/>
        </w:rPr>
        <w:footnoteReference w:id="34"/>
      </w:r>
      <w:r>
        <w:t xml:space="preserve"> </w:t>
      </w:r>
    </w:p>
    <w:p w14:paraId="2413F1D4" w14:textId="77777777" w:rsidR="00447B56" w:rsidRDefault="00447B56" w:rsidP="00A12C06">
      <w:pPr>
        <w:pBdr>
          <w:top w:val="single" w:sz="4" w:space="1" w:color="auto"/>
          <w:left w:val="single" w:sz="4" w:space="1" w:color="auto"/>
          <w:bottom w:val="single" w:sz="4" w:space="1" w:color="auto"/>
          <w:right w:val="single" w:sz="4" w:space="1" w:color="auto"/>
        </w:pBdr>
        <w:spacing w:line="240" w:lineRule="auto"/>
        <w:ind w:left="720"/>
      </w:pPr>
    </w:p>
    <w:p w14:paraId="2C312676" w14:textId="77777777" w:rsidR="00447B56" w:rsidRDefault="6AC49E62" w:rsidP="00A12C06">
      <w:pPr>
        <w:pBdr>
          <w:top w:val="single" w:sz="4" w:space="1" w:color="auto"/>
          <w:left w:val="single" w:sz="4" w:space="1" w:color="auto"/>
          <w:bottom w:val="single" w:sz="4" w:space="1" w:color="auto"/>
          <w:right w:val="single" w:sz="4" w:space="1" w:color="auto"/>
        </w:pBdr>
        <w:spacing w:line="240" w:lineRule="auto"/>
        <w:ind w:left="720"/>
      </w:pPr>
      <w:r>
        <w:t xml:space="preserve">The </w:t>
      </w:r>
      <w:r w:rsidR="00672CF8">
        <w:t xml:space="preserve">EU </w:t>
      </w:r>
      <w:r w:rsidR="00447B56">
        <w:t>Charter of Fundamental Right</w:t>
      </w:r>
      <w:r w:rsidR="00672CF8">
        <w:t xml:space="preserve">s </w:t>
      </w:r>
      <w:r w:rsidR="009027DB">
        <w:t xml:space="preserve">guarantees </w:t>
      </w:r>
      <w:r w:rsidR="00672CF8">
        <w:t xml:space="preserve">the right to </w:t>
      </w:r>
      <w:r w:rsidR="00672CF8" w:rsidRPr="00672CF8">
        <w:t>respect for private and family life</w:t>
      </w:r>
      <w:r w:rsidR="00672CF8">
        <w:t xml:space="preserve"> in Article 7 and </w:t>
      </w:r>
      <w:r w:rsidR="00672CF8" w:rsidRPr="00672CF8">
        <w:t>the right to the protection of personal data</w:t>
      </w:r>
      <w:r w:rsidR="00672CF8">
        <w:t xml:space="preserve"> in Article 8.  Data protection rights are given effect in a number of EU measures, including the General Data Protection Regulation (EU GDPR). The EU GDPR </w:t>
      </w:r>
      <w:r w:rsidR="009027DB">
        <w:t>is</w:t>
      </w:r>
      <w:r w:rsidR="00672CF8">
        <w:t xml:space="preserve"> clear that “the protection of natural persons in relation to the processing of personal data is a fundamental right”.</w:t>
      </w:r>
      <w:r w:rsidR="00463C6A">
        <w:rPr>
          <w:rStyle w:val="FootnoteReference"/>
        </w:rPr>
        <w:footnoteReference w:id="35"/>
      </w:r>
      <w:r w:rsidR="00672CF8">
        <w:t xml:space="preserve"> </w:t>
      </w:r>
    </w:p>
    <w:p w14:paraId="749D4B8A" w14:textId="77777777" w:rsidR="44CFFCCE" w:rsidRDefault="44CFFCCE" w:rsidP="00A12C06">
      <w:pPr>
        <w:pBdr>
          <w:top w:val="single" w:sz="4" w:space="1" w:color="auto"/>
          <w:left w:val="single" w:sz="4" w:space="1" w:color="auto"/>
          <w:bottom w:val="single" w:sz="4" w:space="1" w:color="auto"/>
          <w:right w:val="single" w:sz="4" w:space="1" w:color="auto"/>
        </w:pBdr>
        <w:spacing w:line="240" w:lineRule="auto"/>
        <w:ind w:left="720"/>
      </w:pPr>
    </w:p>
    <w:p w14:paraId="5167E2B2" w14:textId="5547B236" w:rsidR="76FDBA40" w:rsidRDefault="76FDBA40" w:rsidP="00A12C06">
      <w:pPr>
        <w:pBdr>
          <w:top w:val="single" w:sz="4" w:space="1" w:color="auto"/>
          <w:left w:val="single" w:sz="4" w:space="1" w:color="auto"/>
          <w:bottom w:val="single" w:sz="4" w:space="1" w:color="auto"/>
          <w:right w:val="single" w:sz="4" w:space="1" w:color="auto"/>
        </w:pBdr>
        <w:spacing w:line="240" w:lineRule="auto"/>
        <w:ind w:left="720"/>
      </w:pPr>
      <w:r w:rsidRPr="00EA7CCA">
        <w:t xml:space="preserve">As a fundamental right, the Commissions </w:t>
      </w:r>
      <w:r w:rsidR="007669B4" w:rsidRPr="00EA7CCA">
        <w:t xml:space="preserve">consider </w:t>
      </w:r>
      <w:r>
        <w:t xml:space="preserve">that the </w:t>
      </w:r>
      <w:r w:rsidR="6415BC08">
        <w:t xml:space="preserve">right to </w:t>
      </w:r>
      <w:r w:rsidR="00F47CB1">
        <w:t xml:space="preserve">personal </w:t>
      </w:r>
      <w:r w:rsidR="6415BC08">
        <w:t xml:space="preserve">data protection would fall </w:t>
      </w:r>
      <w:r w:rsidR="6FFB4EEE">
        <w:t>within</w:t>
      </w:r>
      <w:r w:rsidR="6415BC08">
        <w:t xml:space="preserve"> the scope of </w:t>
      </w:r>
      <w:r w:rsidR="00EB50E0">
        <w:t>“</w:t>
      </w:r>
      <w:r w:rsidR="6415BC08">
        <w:t>civil rights</w:t>
      </w:r>
      <w:r w:rsidR="00EB50E0">
        <w:t>”</w:t>
      </w:r>
      <w:r w:rsidR="6415BC08">
        <w:t xml:space="preserve"> under </w:t>
      </w:r>
      <w:r w:rsidR="1F0A4073">
        <w:t xml:space="preserve">the </w:t>
      </w:r>
      <w:r w:rsidR="002525C5">
        <w:t>Belfast (Good Friday) Agreement</w:t>
      </w:r>
      <w:r w:rsidR="696C5602">
        <w:t xml:space="preserve">. Further, as </w:t>
      </w:r>
      <w:r w:rsidR="00EB50E0">
        <w:t xml:space="preserve">a fundamental </w:t>
      </w:r>
      <w:r w:rsidR="696C5602">
        <w:t xml:space="preserve">part of the right to </w:t>
      </w:r>
      <w:r w:rsidR="00EB50E0">
        <w:t>respect for private and family life in Article 8 of the ECHR</w:t>
      </w:r>
      <w:r w:rsidR="1622EEF6">
        <w:t xml:space="preserve">, this would mean that any right to </w:t>
      </w:r>
      <w:r w:rsidR="00DF7E46">
        <w:t xml:space="preserve">personal </w:t>
      </w:r>
      <w:r w:rsidR="1622EEF6">
        <w:t xml:space="preserve">data protection afforded by EU GDPR, which the UK was bound by on 31 December 2020, falls within the scope of the non-diminution commitment in Protocol </w:t>
      </w:r>
      <w:r w:rsidR="36D07C5D">
        <w:t>Article 2.</w:t>
      </w:r>
    </w:p>
    <w:p w14:paraId="1970A05B" w14:textId="77777777" w:rsidR="00BC782D" w:rsidRDefault="00BC782D" w:rsidP="00EB50E0">
      <w:pPr>
        <w:pBdr>
          <w:top w:val="single" w:sz="4" w:space="1" w:color="auto"/>
          <w:left w:val="single" w:sz="4" w:space="1" w:color="auto"/>
          <w:bottom w:val="single" w:sz="4" w:space="1" w:color="auto"/>
          <w:right w:val="single" w:sz="4" w:space="1" w:color="auto"/>
        </w:pBdr>
        <w:ind w:left="720"/>
      </w:pPr>
    </w:p>
    <w:bookmarkEnd w:id="16"/>
    <w:p w14:paraId="10C486CC" w14:textId="77777777" w:rsidR="00447B56" w:rsidRPr="00CC30E2" w:rsidRDefault="00447B56" w:rsidP="00BC782D">
      <w:pPr>
        <w:ind w:left="720"/>
      </w:pPr>
    </w:p>
    <w:p w14:paraId="5E73FB60" w14:textId="6F06F2E6" w:rsidR="00A45DAD" w:rsidRPr="006F6E42" w:rsidRDefault="589F60A8" w:rsidP="00A45DAD">
      <w:pPr>
        <w:pStyle w:val="ListParagraph"/>
      </w:pPr>
      <w:r w:rsidRPr="006F6E42">
        <w:t xml:space="preserve">In addition, the listed </w:t>
      </w:r>
      <w:r w:rsidR="39E37547" w:rsidRPr="006F6E42">
        <w:t xml:space="preserve">human rights </w:t>
      </w:r>
      <w:r w:rsidR="0031645D">
        <w:t xml:space="preserve">and equality protections </w:t>
      </w:r>
      <w:r w:rsidR="39E37547" w:rsidRPr="006F6E42">
        <w:t xml:space="preserve">which </w:t>
      </w:r>
      <w:r w:rsidR="00EA7CCA">
        <w:t>the parties</w:t>
      </w:r>
      <w:r w:rsidR="39E37547" w:rsidRPr="006F6E42">
        <w:t xml:space="preserve"> </w:t>
      </w:r>
      <w:r w:rsidR="00687673">
        <w:t>“</w:t>
      </w:r>
      <w:r w:rsidR="39E37547" w:rsidRPr="006F6E42">
        <w:t>affirm in particular</w:t>
      </w:r>
      <w:r w:rsidR="00687673">
        <w:t>”</w:t>
      </w:r>
      <w:r w:rsidR="39E37547" w:rsidRPr="006F6E42">
        <w:t xml:space="preserve">, in the </w:t>
      </w:r>
      <w:r w:rsidRPr="006F6E42">
        <w:t xml:space="preserve">Rights, Safeguards and Equality of Opportunity </w:t>
      </w:r>
      <w:r w:rsidR="39E37547" w:rsidRPr="006F6E42">
        <w:t>chapter of the Belfast (Good Friday) Agreement</w:t>
      </w:r>
      <w:r w:rsidRPr="006F6E42">
        <w:t>,</w:t>
      </w:r>
      <w:r w:rsidR="39E37547" w:rsidRPr="006F6E42">
        <w:t xml:space="preserve"> include “the right to equal opportunity in all social and economic activity</w:t>
      </w:r>
      <w:r w:rsidR="002D1A74" w:rsidRPr="006F6E42">
        <w:t>,</w:t>
      </w:r>
      <w:r w:rsidR="39E37547" w:rsidRPr="006F6E42">
        <w:t xml:space="preserve"> regardless of class, creed, disability, gender or ethnicity”.</w:t>
      </w:r>
    </w:p>
    <w:p w14:paraId="227F85B7" w14:textId="39513B02" w:rsidR="00163A7B" w:rsidRDefault="000F023F" w:rsidP="002912DF">
      <w:pPr>
        <w:pStyle w:val="ListParagraph"/>
      </w:pPr>
      <w:r w:rsidRPr="006F6E42">
        <w:t xml:space="preserve">The </w:t>
      </w:r>
      <w:r w:rsidR="39E37547" w:rsidRPr="006F6E42">
        <w:t xml:space="preserve">anticipated development of a Bill of Rights was </w:t>
      </w:r>
      <w:r w:rsidR="0DD3D0B5" w:rsidRPr="006F6E42">
        <w:t xml:space="preserve">also </w:t>
      </w:r>
      <w:r w:rsidR="39E37547" w:rsidRPr="006F6E42">
        <w:t xml:space="preserve">to include consideration of </w:t>
      </w:r>
      <w:r w:rsidR="589F60A8" w:rsidRPr="006F6E42">
        <w:t>“</w:t>
      </w:r>
      <w:r w:rsidR="39E37547" w:rsidRPr="006F6E42">
        <w:t>a clear formulation of the rights not to be discriminated against and to equality of opportunity in both public and private sectors</w:t>
      </w:r>
      <w:r w:rsidR="589F60A8" w:rsidRPr="006F6E42">
        <w:t>”</w:t>
      </w:r>
      <w:r w:rsidR="39E37547" w:rsidRPr="006F6E42">
        <w:t xml:space="preserve">.   </w:t>
      </w:r>
      <w:r w:rsidR="00C647F4">
        <w:t>In addition</w:t>
      </w:r>
      <w:r w:rsidR="00935454">
        <w:t>,</w:t>
      </w:r>
      <w:r w:rsidR="00C647F4">
        <w:t xml:space="preserve"> </w:t>
      </w:r>
      <w:r w:rsidR="6E57F18D">
        <w:t>the</w:t>
      </w:r>
      <w:r w:rsidR="00EA7F76">
        <w:t xml:space="preserve">re is a </w:t>
      </w:r>
      <w:r w:rsidR="00C647F4">
        <w:t xml:space="preserve">commitment to </w:t>
      </w:r>
      <w:r w:rsidR="6CC05443">
        <w:t>create</w:t>
      </w:r>
      <w:r w:rsidR="6E57F18D">
        <w:t xml:space="preserve"> </w:t>
      </w:r>
      <w:r w:rsidR="00C647F4">
        <w:t xml:space="preserve">a public sector duty </w:t>
      </w:r>
      <w:r w:rsidR="02AF346F">
        <w:t>on public authorities</w:t>
      </w:r>
      <w:r w:rsidR="5A26941D">
        <w:t xml:space="preserve"> in NI</w:t>
      </w:r>
      <w:r w:rsidR="6E57F18D">
        <w:t xml:space="preserve"> </w:t>
      </w:r>
      <w:r w:rsidR="00C647F4">
        <w:t>to have due regard to</w:t>
      </w:r>
      <w:r w:rsidR="006076F5">
        <w:t xml:space="preserve"> the need to</w:t>
      </w:r>
      <w:r w:rsidR="00C647F4">
        <w:t xml:space="preserve"> promote equality of opportunity</w:t>
      </w:r>
      <w:r w:rsidR="00EA7F76">
        <w:t>, and that duty</w:t>
      </w:r>
      <w:r w:rsidR="00C647F4">
        <w:t xml:space="preserve"> lists </w:t>
      </w:r>
      <w:r w:rsidR="008D781C">
        <w:t xml:space="preserve">a wider range of </w:t>
      </w:r>
      <w:r w:rsidR="00C647F4">
        <w:t xml:space="preserve">grounds </w:t>
      </w:r>
      <w:r w:rsidR="00EA7CCA">
        <w:t xml:space="preserve">than </w:t>
      </w:r>
      <w:r w:rsidR="00CF1DA4">
        <w:t xml:space="preserve">those </w:t>
      </w:r>
      <w:r w:rsidR="00EA7CCA">
        <w:t xml:space="preserve">listed in </w:t>
      </w:r>
      <w:r w:rsidR="00CF1DA4">
        <w:t xml:space="preserve">above mentioned right in the </w:t>
      </w:r>
      <w:r w:rsidR="00CF1DA4" w:rsidRPr="006F6E42">
        <w:t>Belfast (Good Friday) Agreement</w:t>
      </w:r>
      <w:r w:rsidR="00CF1DA4">
        <w:t xml:space="preserve">, </w:t>
      </w:r>
      <w:r w:rsidR="00C647F4">
        <w:t xml:space="preserve">including age, disability and sexual orientation.  </w:t>
      </w:r>
      <w:r w:rsidR="008D781C">
        <w:t>Similarly</w:t>
      </w:r>
      <w:r w:rsidR="00C85418">
        <w:t>,</w:t>
      </w:r>
      <w:r w:rsidR="008D781C">
        <w:t xml:space="preserve"> the non-discrimination guarantees in </w:t>
      </w:r>
      <w:r w:rsidR="00935454">
        <w:t>in the ECHR</w:t>
      </w:r>
      <w:r w:rsidR="008D781C">
        <w:rPr>
          <w:rStyle w:val="FootnoteReference"/>
        </w:rPr>
        <w:footnoteReference w:id="36"/>
      </w:r>
      <w:r w:rsidR="00935454">
        <w:t xml:space="preserve"> and EU Charter on Fundamental Rights</w:t>
      </w:r>
      <w:r w:rsidR="008D781C">
        <w:t xml:space="preserve"> include an expansive range of grounds.</w:t>
      </w:r>
      <w:r w:rsidR="008D781C">
        <w:rPr>
          <w:rStyle w:val="FootnoteReference"/>
        </w:rPr>
        <w:footnoteReference w:id="37"/>
      </w:r>
      <w:r w:rsidR="00935454">
        <w:t xml:space="preserve"> </w:t>
      </w:r>
    </w:p>
    <w:p w14:paraId="11399048" w14:textId="78A1656D" w:rsidR="00A45DAD" w:rsidRPr="006F6E42" w:rsidRDefault="00C22D64" w:rsidP="002912DF">
      <w:pPr>
        <w:pStyle w:val="ListParagraph"/>
      </w:pPr>
      <w:r>
        <w:t>It is arguable t</w:t>
      </w:r>
      <w:r w:rsidR="39E37547" w:rsidRPr="006F6E42">
        <w:t>he general commitment to equality of opportunity</w:t>
      </w:r>
      <w:r w:rsidR="002912DF" w:rsidRPr="006F6E42">
        <w:t xml:space="preserve">, in the Rights, Safeguards and Equality of Opportunity chapter </w:t>
      </w:r>
      <w:r w:rsidR="00FA2F60">
        <w:t>should be interpreted in the context of</w:t>
      </w:r>
      <w:r w:rsidR="39E37547" w:rsidRPr="006F6E42">
        <w:t xml:space="preserve"> those </w:t>
      </w:r>
      <w:r w:rsidR="00706965">
        <w:t xml:space="preserve">non-discrimination and </w:t>
      </w:r>
      <w:r w:rsidR="39E37547" w:rsidRPr="006F6E42">
        <w:t xml:space="preserve">equality protections available through the </w:t>
      </w:r>
      <w:r w:rsidR="006E1A48">
        <w:t xml:space="preserve">international </w:t>
      </w:r>
      <w:r w:rsidR="39E37547" w:rsidRPr="006F6E42">
        <w:t>human rights standards ratified by the UK.</w:t>
      </w:r>
      <w:r w:rsidR="002912DF" w:rsidRPr="006F6E42">
        <w:t xml:space="preserve">  </w:t>
      </w:r>
      <w:r w:rsidR="006E1A48">
        <w:t xml:space="preserve">The Commissions will adopt a broad interpretation </w:t>
      </w:r>
      <w:r w:rsidR="006E1A48" w:rsidRPr="006F6E42">
        <w:t>of</w:t>
      </w:r>
      <w:r w:rsidR="001139BD">
        <w:t xml:space="preserve"> the right to</w:t>
      </w:r>
      <w:r w:rsidR="006E1A48" w:rsidRPr="006F6E42">
        <w:t xml:space="preserve"> equality of opportunity in all social and economic activity</w:t>
      </w:r>
      <w:r w:rsidR="006E1A48">
        <w:t xml:space="preserve"> protected under</w:t>
      </w:r>
      <w:r w:rsidR="006E1A48" w:rsidRPr="006F6E42">
        <w:t xml:space="preserve"> </w:t>
      </w:r>
      <w:r w:rsidR="39E37547" w:rsidRPr="006F6E42">
        <w:t>Protocol Article 2.</w:t>
      </w:r>
    </w:p>
    <w:p w14:paraId="6860C29E" w14:textId="0C211504" w:rsidR="00B7735D" w:rsidRDefault="00B7735D" w:rsidP="00A45DAD">
      <w:pPr>
        <w:pStyle w:val="ListParagraph"/>
      </w:pPr>
      <w:r w:rsidRPr="00B7735D">
        <w:t xml:space="preserve">The Rights, Safeguards and Equality of Opportunity chapter requires that advice on the anticipated Bill of Rights should draw on “international instruments and experience”.  </w:t>
      </w:r>
      <w:r w:rsidR="00460D5E">
        <w:t xml:space="preserve">Human </w:t>
      </w:r>
      <w:r w:rsidR="00A53D09">
        <w:t xml:space="preserve">rights </w:t>
      </w:r>
      <w:r w:rsidR="00460D5E">
        <w:t xml:space="preserve">are indivisible, interdependent and interrelated and enjoyment of one human right relies on the realisation of other rights. This </w:t>
      </w:r>
      <w:r w:rsidR="00A53D09">
        <w:t>is recognised in international human rights law.</w:t>
      </w:r>
      <w:r w:rsidR="00A53D09">
        <w:rPr>
          <w:rStyle w:val="FootnoteReference"/>
        </w:rPr>
        <w:footnoteReference w:id="38"/>
      </w:r>
      <w:r w:rsidR="00A53D09">
        <w:t xml:space="preserve">  </w:t>
      </w:r>
      <w:r w:rsidR="005E3A38">
        <w:t xml:space="preserve">The </w:t>
      </w:r>
      <w:r w:rsidR="00241276">
        <w:t>context</w:t>
      </w:r>
      <w:r w:rsidR="00C84F4D">
        <w:t xml:space="preserve"> </w:t>
      </w:r>
      <w:r w:rsidR="005E3A38">
        <w:t xml:space="preserve">of the Belfast (Good Friday) Agreement </w:t>
      </w:r>
      <w:r w:rsidR="00A53D09">
        <w:t xml:space="preserve">also </w:t>
      </w:r>
      <w:r w:rsidR="007E7EC8">
        <w:t xml:space="preserve">includes </w:t>
      </w:r>
      <w:r w:rsidR="005E3A38">
        <w:t xml:space="preserve">a reaffirmation of </w:t>
      </w:r>
      <w:r w:rsidR="00D671E2">
        <w:t xml:space="preserve">the parties’ </w:t>
      </w:r>
      <w:r w:rsidR="00506232">
        <w:t xml:space="preserve">commitment to </w:t>
      </w:r>
      <w:r w:rsidR="005E3A38">
        <w:t xml:space="preserve">the </w:t>
      </w:r>
      <w:r w:rsidR="007E7EC8">
        <w:t>principles of equality and mutual respect and to the protection of civil, political, social, economic and cultural rights by both the UK Government and the Government of Ireland.</w:t>
      </w:r>
      <w:r w:rsidR="007E7EC8">
        <w:rPr>
          <w:rStyle w:val="FootnoteReference"/>
        </w:rPr>
        <w:footnoteReference w:id="39"/>
      </w:r>
      <w:r w:rsidR="007E7EC8">
        <w:t xml:space="preserve"> </w:t>
      </w:r>
    </w:p>
    <w:p w14:paraId="63170488" w14:textId="021BD76A" w:rsidR="008C24B9" w:rsidRPr="006F6E42" w:rsidRDefault="7F09A20F" w:rsidP="00A45DAD">
      <w:pPr>
        <w:pStyle w:val="ListParagraph"/>
      </w:pPr>
      <w:r w:rsidRPr="006F6E42">
        <w:t xml:space="preserve">It is </w:t>
      </w:r>
      <w:r w:rsidR="39E37547" w:rsidRPr="006F6E42">
        <w:t xml:space="preserve">therefore </w:t>
      </w:r>
      <w:r w:rsidRPr="006F6E42">
        <w:t xml:space="preserve">arguable that </w:t>
      </w:r>
      <w:r w:rsidR="39E37547" w:rsidRPr="006F6E42">
        <w:t xml:space="preserve">the </w:t>
      </w:r>
      <w:r w:rsidR="16E12D23" w:rsidRPr="006F6E42">
        <w:t xml:space="preserve">signatories’ </w:t>
      </w:r>
      <w:r w:rsidR="39E37547" w:rsidRPr="006F6E42">
        <w:t xml:space="preserve">general commitment to </w:t>
      </w:r>
      <w:r w:rsidR="00475EE0">
        <w:t>civil</w:t>
      </w:r>
      <w:r w:rsidR="39E37547" w:rsidRPr="006F6E42">
        <w:t xml:space="preserve"> rights</w:t>
      </w:r>
      <w:r w:rsidR="007C1851">
        <w:t xml:space="preserve"> </w:t>
      </w:r>
      <w:r w:rsidR="39E37547" w:rsidRPr="006F6E42">
        <w:t xml:space="preserve">was made with reference to the full range of human rights standards ratified by the UK and that it should be read as an ambulatory or living reference capable of </w:t>
      </w:r>
      <w:r w:rsidRPr="006F6E42">
        <w:t xml:space="preserve">such an </w:t>
      </w:r>
      <w:r w:rsidR="39E37547" w:rsidRPr="006F6E42">
        <w:t xml:space="preserve">interpretation. </w:t>
      </w:r>
    </w:p>
    <w:p w14:paraId="0515CD25" w14:textId="77777777" w:rsidR="00466D25" w:rsidRPr="00AC3B55" w:rsidRDefault="00125FE0" w:rsidP="00A45DAD">
      <w:pPr>
        <w:pStyle w:val="ListParagraph"/>
      </w:pPr>
      <w:r w:rsidRPr="006F6E42">
        <w:t xml:space="preserve">The Commissions note that further consideration is required to determine the meaning of “everyone in the community” </w:t>
      </w:r>
      <w:r w:rsidR="00501833" w:rsidRPr="006F6E42">
        <w:t xml:space="preserve">for the purposes of </w:t>
      </w:r>
      <w:r w:rsidRPr="006F6E42">
        <w:t>Protocol Article 2</w:t>
      </w:r>
      <w:r w:rsidR="00967ADC">
        <w:t xml:space="preserve"> and that this is likely to be the subject of litigation and judicial</w:t>
      </w:r>
      <w:r w:rsidR="00967ADC" w:rsidRPr="00967ADC">
        <w:t xml:space="preserve"> </w:t>
      </w:r>
      <w:r w:rsidR="00967ADC">
        <w:t>interpretation</w:t>
      </w:r>
      <w:r w:rsidRPr="006F6E42">
        <w:t xml:space="preserve">.  </w:t>
      </w:r>
      <w:r w:rsidR="00492C5A" w:rsidRPr="006F6E42">
        <w:t xml:space="preserve">The UK </w:t>
      </w:r>
      <w:r w:rsidR="002F3205" w:rsidRPr="006F6E42">
        <w:t>G</w:t>
      </w:r>
      <w:r w:rsidR="00492C5A" w:rsidRPr="006F6E42">
        <w:t xml:space="preserve">overnment </w:t>
      </w:r>
      <w:r w:rsidR="000121C7" w:rsidRPr="006F6E42">
        <w:t>E</w:t>
      </w:r>
      <w:r w:rsidR="00492C5A" w:rsidRPr="006F6E42">
        <w:t xml:space="preserve">xplainer </w:t>
      </w:r>
      <w:r w:rsidR="00AD00FF" w:rsidRPr="006F6E42">
        <w:t xml:space="preserve">notes </w:t>
      </w:r>
      <w:r w:rsidR="00492C5A" w:rsidRPr="006F6E42">
        <w:t xml:space="preserve">that the commitment in Protocol Article 2 </w:t>
      </w:r>
      <w:r w:rsidR="00E25868" w:rsidRPr="006F6E42">
        <w:t>applies to NI, which i</w:t>
      </w:r>
      <w:r w:rsidR="00224074" w:rsidRPr="006F6E42">
        <w:t>t</w:t>
      </w:r>
      <w:r w:rsidR="00E25868" w:rsidRPr="006F6E42">
        <w:t xml:space="preserve"> clarifies as meaning “everyone who is subject to NI law – irrespective of whether that law has been passed by the NI legislature or Westminster”.</w:t>
      </w:r>
      <w:r w:rsidR="00E25868" w:rsidRPr="006F6E42">
        <w:rPr>
          <w:rStyle w:val="FootnoteReference"/>
        </w:rPr>
        <w:footnoteReference w:id="40"/>
      </w:r>
      <w:r w:rsidR="00E25868" w:rsidRPr="006F6E42">
        <w:t xml:space="preserve"> </w:t>
      </w:r>
      <w:r w:rsidR="00A00A4B" w:rsidRPr="006F6E42">
        <w:t xml:space="preserve"> </w:t>
      </w:r>
      <w:r w:rsidR="00C22D64">
        <w:t xml:space="preserve">The Commissions are </w:t>
      </w:r>
      <w:r w:rsidR="00B02158">
        <w:t xml:space="preserve">adopting a broad interpretation of the phrase </w:t>
      </w:r>
      <w:r w:rsidR="00241935">
        <w:t>“</w:t>
      </w:r>
      <w:r w:rsidR="00B02158">
        <w:t xml:space="preserve">everyone in </w:t>
      </w:r>
      <w:r w:rsidR="003C3322">
        <w:t xml:space="preserve">the </w:t>
      </w:r>
      <w:r w:rsidR="00B02158">
        <w:t>community</w:t>
      </w:r>
      <w:r w:rsidR="00241935">
        <w:t>”</w:t>
      </w:r>
      <w:r w:rsidR="00B02158">
        <w:t>.</w:t>
      </w:r>
      <w:r w:rsidR="008C24B9">
        <w:rPr>
          <w:rStyle w:val="FootnoteReference"/>
        </w:rPr>
        <w:footnoteReference w:id="41"/>
      </w:r>
      <w:r w:rsidR="008C24B9">
        <w:t xml:space="preserve"> </w:t>
      </w:r>
      <w:r w:rsidR="00B02158">
        <w:t xml:space="preserve">  </w:t>
      </w:r>
      <w:r w:rsidR="0F5213FA">
        <w:t>For</w:t>
      </w:r>
      <w:r w:rsidR="0002050C" w:rsidRPr="0002050C">
        <w:t xml:space="preserve"> example</w:t>
      </w:r>
      <w:r w:rsidR="5AF799A4">
        <w:t>,</w:t>
      </w:r>
      <w:r w:rsidR="0002050C" w:rsidRPr="0002050C">
        <w:t xml:space="preserve"> the Commissions take the view that victims of trafficking </w:t>
      </w:r>
      <w:r w:rsidR="00750F6A">
        <w:t xml:space="preserve">in NI can </w:t>
      </w:r>
      <w:r w:rsidR="0F5213FA">
        <w:t>fall</w:t>
      </w:r>
      <w:r w:rsidR="0002050C" w:rsidRPr="0002050C">
        <w:t xml:space="preserve"> within the scope of Protocol Article 2</w:t>
      </w:r>
      <w:r w:rsidR="788D8E9F">
        <w:t>.</w:t>
      </w:r>
      <w:r w:rsidR="00830933">
        <w:rPr>
          <w:rStyle w:val="FootnoteReference"/>
        </w:rPr>
        <w:footnoteReference w:id="42"/>
      </w:r>
      <w:r w:rsidR="788D8E9F">
        <w:t xml:space="preserve">  </w:t>
      </w:r>
      <w:r w:rsidR="2B640E65">
        <w:t>F</w:t>
      </w:r>
      <w:r w:rsidR="002D5045">
        <w:t>urther</w:t>
      </w:r>
      <w:r w:rsidR="00F615B1">
        <w:t xml:space="preserve">, </w:t>
      </w:r>
      <w:r w:rsidR="00F615B1" w:rsidRPr="006F6E42">
        <w:t xml:space="preserve">the </w:t>
      </w:r>
      <w:r w:rsidR="004A3BD7" w:rsidRPr="006F6E42">
        <w:t>Rights</w:t>
      </w:r>
      <w:r w:rsidR="00B20066">
        <w:t>,</w:t>
      </w:r>
      <w:r w:rsidR="004A3BD7" w:rsidRPr="006F6E42">
        <w:t xml:space="preserve"> Safeguard</w:t>
      </w:r>
      <w:r w:rsidR="000121C7" w:rsidRPr="006F6E42">
        <w:t>s</w:t>
      </w:r>
      <w:r w:rsidR="004A3BD7" w:rsidRPr="006F6E42">
        <w:t xml:space="preserve"> and Equality of Opportunity chapter of the </w:t>
      </w:r>
      <w:r w:rsidR="00CA7C6E" w:rsidRPr="006F6E42">
        <w:t>Belfast (Good Friday) Agreement</w:t>
      </w:r>
      <w:r w:rsidR="003C3BF9">
        <w:t xml:space="preserve"> has a north-south dimension</w:t>
      </w:r>
      <w:r w:rsidR="00241935">
        <w:t xml:space="preserve">, </w:t>
      </w:r>
      <w:r w:rsidR="003C3BF9">
        <w:t xml:space="preserve">which includes the </w:t>
      </w:r>
      <w:r w:rsidR="00241935">
        <w:t xml:space="preserve">commitment of the </w:t>
      </w:r>
      <w:r w:rsidR="00D41937">
        <w:t>Government</w:t>
      </w:r>
      <w:r w:rsidR="3FA35AA2">
        <w:t xml:space="preserve"> </w:t>
      </w:r>
      <w:r w:rsidR="3FA35AA2" w:rsidDel="002D5045">
        <w:t>of Ireland</w:t>
      </w:r>
      <w:r w:rsidR="00D41937">
        <w:t xml:space="preserve"> </w:t>
      </w:r>
      <w:r w:rsidR="00241935">
        <w:t xml:space="preserve">to </w:t>
      </w:r>
      <w:r w:rsidR="00D41937">
        <w:t>ensuring an equivalent level of protection of human rights in Ireland as in NI</w:t>
      </w:r>
      <w:r w:rsidR="00241935">
        <w:t>.</w:t>
      </w:r>
      <w:r w:rsidR="00241935" w:rsidRPr="006F6E42">
        <w:rPr>
          <w:rStyle w:val="FootnoteReference"/>
        </w:rPr>
        <w:footnoteReference w:id="43"/>
      </w:r>
      <w:r w:rsidR="00224074" w:rsidRPr="006F6E42">
        <w:t xml:space="preserve"> </w:t>
      </w:r>
      <w:r w:rsidR="00501833" w:rsidRPr="006F6E42">
        <w:t xml:space="preserve">Cognisant of this context, </w:t>
      </w:r>
      <w:r w:rsidR="00967ADC">
        <w:t xml:space="preserve">the Commissions are giving consideration as to whether </w:t>
      </w:r>
      <w:r w:rsidR="00501833" w:rsidRPr="00AC3B55">
        <w:t xml:space="preserve">the </w:t>
      </w:r>
      <w:r w:rsidR="00AD00FF" w:rsidRPr="00AC3B55">
        <w:t>meaning of “everyone in the community” encompass</w:t>
      </w:r>
      <w:r w:rsidR="00967ADC">
        <w:t>es</w:t>
      </w:r>
      <w:r w:rsidR="00501833" w:rsidRPr="00AC3B55">
        <w:t xml:space="preserve"> </w:t>
      </w:r>
      <w:r w:rsidR="00AD00FF" w:rsidRPr="00AC3B55">
        <w:t xml:space="preserve">individuals </w:t>
      </w:r>
      <w:r w:rsidR="00501833" w:rsidRPr="00AC3B55">
        <w:t>on the island of Ireland.</w:t>
      </w:r>
    </w:p>
    <w:p w14:paraId="306BC1F5" w14:textId="77777777" w:rsidR="00D975C8" w:rsidRPr="006F6E42" w:rsidRDefault="00D975C8" w:rsidP="00D975C8">
      <w:pPr>
        <w:pStyle w:val="Heading2"/>
      </w:pPr>
      <w:bookmarkStart w:id="17" w:name="_Toc122447022"/>
      <w:r w:rsidRPr="006F6E42">
        <w:t>‘Ensure at least an Equivalent Level of Protection’</w:t>
      </w:r>
      <w:bookmarkEnd w:id="17"/>
    </w:p>
    <w:p w14:paraId="30FCB2B7" w14:textId="00242418" w:rsidR="00A45DAD" w:rsidRDefault="00F60BA1" w:rsidP="00F40CE3">
      <w:pPr>
        <w:pStyle w:val="ListParagraph"/>
      </w:pPr>
      <w:r w:rsidRPr="006F6E42">
        <w:t>The text of the Belfast (Good Friday) Agreement requires “at l</w:t>
      </w:r>
      <w:r w:rsidR="006F4D0E" w:rsidRPr="006F6E42">
        <w:t>e</w:t>
      </w:r>
      <w:r w:rsidRPr="006F6E42">
        <w:t>ast an equivalent level of protection of human rights</w:t>
      </w:r>
      <w:r w:rsidR="006B0C1E" w:rsidRPr="006F6E42">
        <w:t xml:space="preserve">” in Ireland as in </w:t>
      </w:r>
      <w:r w:rsidR="00A16107" w:rsidRPr="006F6E42">
        <w:t>NI</w:t>
      </w:r>
      <w:r w:rsidR="39E37547" w:rsidRPr="006F6E42">
        <w:t>.</w:t>
      </w:r>
      <w:r w:rsidR="00A45DAD" w:rsidRPr="006F6E42">
        <w:rPr>
          <w:rStyle w:val="FootnoteReference"/>
        </w:rPr>
        <w:footnoteReference w:id="44"/>
      </w:r>
      <w:r w:rsidR="39E37547" w:rsidRPr="006F6E42">
        <w:t xml:space="preserve"> </w:t>
      </w:r>
      <w:r w:rsidR="005E3A38">
        <w:t xml:space="preserve">The </w:t>
      </w:r>
      <w:r w:rsidR="00D85E5B">
        <w:t xml:space="preserve">object and purpose of the </w:t>
      </w:r>
      <w:r w:rsidR="005E3A38">
        <w:t xml:space="preserve">Belfast (Good Friday) Agreement </w:t>
      </w:r>
      <w:r w:rsidR="000132E3">
        <w:t>was</w:t>
      </w:r>
      <w:r w:rsidR="008C5956">
        <w:t xml:space="preserve"> to </w:t>
      </w:r>
      <w:r w:rsidR="00E71A4D">
        <w:t xml:space="preserve">set the </w:t>
      </w:r>
      <w:r w:rsidR="00ED63D7">
        <w:t xml:space="preserve">framework </w:t>
      </w:r>
      <w:r w:rsidR="00E71A4D">
        <w:t>for peace, reconciliation and the enjoyment of human rights</w:t>
      </w:r>
      <w:r w:rsidR="00F36C9E">
        <w:t xml:space="preserve"> in NI.</w:t>
      </w:r>
      <w:r w:rsidR="0002050C">
        <w:rPr>
          <w:rStyle w:val="FootnoteReference"/>
        </w:rPr>
        <w:footnoteReference w:id="45"/>
      </w:r>
      <w:r w:rsidR="00F36C9E">
        <w:t xml:space="preserve"> This encompassed the creation </w:t>
      </w:r>
      <w:r w:rsidR="00F36C9E" w:rsidRPr="00CF1DA4">
        <w:t xml:space="preserve">of </w:t>
      </w:r>
      <w:r w:rsidR="00F36C9E">
        <w:t xml:space="preserve">new interlocking and interdependent institutional and constitutional arrangements and </w:t>
      </w:r>
      <w:r w:rsidR="00822EE5">
        <w:t xml:space="preserve">the Agreement </w:t>
      </w:r>
      <w:r w:rsidR="00F36C9E">
        <w:t>recognis</w:t>
      </w:r>
      <w:r w:rsidR="008C5956">
        <w:t>ed</w:t>
      </w:r>
      <w:r w:rsidR="00F36C9E">
        <w:t xml:space="preserve"> that North</w:t>
      </w:r>
      <w:r w:rsidR="00E47685">
        <w:t>-</w:t>
      </w:r>
      <w:r w:rsidR="00F36C9E">
        <w:t>South and East</w:t>
      </w:r>
      <w:r w:rsidR="00E47685">
        <w:t>-</w:t>
      </w:r>
      <w:r w:rsidR="00F36C9E">
        <w:t>West cooperation were essential for the success of the peace settlement.</w:t>
      </w:r>
      <w:r w:rsidR="00B75EDF">
        <w:rPr>
          <w:rStyle w:val="FootnoteReference"/>
        </w:rPr>
        <w:footnoteReference w:id="46"/>
      </w:r>
      <w:r w:rsidR="00F36C9E">
        <w:t xml:space="preserve">  </w:t>
      </w:r>
      <w:r w:rsidR="39E37547" w:rsidRPr="006F6E42">
        <w:t xml:space="preserve">In its </w:t>
      </w:r>
      <w:r w:rsidR="00154E7C">
        <w:t>E</w:t>
      </w:r>
      <w:r w:rsidR="39E37547" w:rsidRPr="006F6E42">
        <w:t>xplainer</w:t>
      </w:r>
      <w:r w:rsidR="51371197" w:rsidRPr="006F6E42">
        <w:t xml:space="preserve"> on Protocol Article 2,</w:t>
      </w:r>
      <w:r w:rsidR="39E37547" w:rsidRPr="006F6E42">
        <w:t xml:space="preserve"> the UK Government takes the view that the </w:t>
      </w:r>
      <w:r w:rsidR="00777206" w:rsidRPr="006F6E42">
        <w:t>1998</w:t>
      </w:r>
      <w:r w:rsidR="39E37547" w:rsidRPr="006F6E42">
        <w:t xml:space="preserve"> Agreement does not require North-South equivalence of rights and equality protections.</w:t>
      </w:r>
      <w:r w:rsidR="00A45DAD" w:rsidRPr="006F6E42">
        <w:rPr>
          <w:rStyle w:val="FootnoteReference"/>
        </w:rPr>
        <w:footnoteReference w:id="47"/>
      </w:r>
      <w:r w:rsidR="39E37547" w:rsidRPr="006F6E42">
        <w:t xml:space="preserve">  </w:t>
      </w:r>
      <w:r w:rsidR="39E37547" w:rsidRPr="00AC3B55">
        <w:t xml:space="preserve">The </w:t>
      </w:r>
      <w:r w:rsidR="007F2A5D" w:rsidRPr="00AC3B55">
        <w:t xml:space="preserve">Joint Committee of </w:t>
      </w:r>
      <w:r w:rsidR="00E47685">
        <w:t xml:space="preserve">the </w:t>
      </w:r>
      <w:r w:rsidR="007F2A5D" w:rsidRPr="00AC3B55">
        <w:t>NIHRC and</w:t>
      </w:r>
      <w:r w:rsidR="00E47685">
        <w:t xml:space="preserve"> Irish Human Rights and Equality Commission (</w:t>
      </w:r>
      <w:r w:rsidR="007F2A5D" w:rsidRPr="00AC3B55">
        <w:t>IHREC</w:t>
      </w:r>
      <w:r w:rsidR="00E47685">
        <w:t>)</w:t>
      </w:r>
      <w:r w:rsidR="007F2A5D" w:rsidRPr="00AC3B55">
        <w:t xml:space="preserve"> </w:t>
      </w:r>
      <w:r w:rsidR="39E37547" w:rsidRPr="00AC3B55">
        <w:t>believe</w:t>
      </w:r>
      <w:r w:rsidR="00E47685">
        <w:t>s</w:t>
      </w:r>
      <w:r w:rsidR="39E37547" w:rsidRPr="00AC3B55">
        <w:t xml:space="preserve"> that it is clear from the context of the provisions and the establishment of the Joint Committee that long-term North-South equivalence was the intention.</w:t>
      </w:r>
      <w:r w:rsidR="00A45DAD" w:rsidRPr="00AC3B55">
        <w:rPr>
          <w:rStyle w:val="FootnoteReference"/>
        </w:rPr>
        <w:footnoteReference w:id="48"/>
      </w:r>
      <w:r w:rsidR="39E37547" w:rsidRPr="006F6E42">
        <w:t xml:space="preserve">  </w:t>
      </w:r>
    </w:p>
    <w:p w14:paraId="6960E0BB" w14:textId="77777777" w:rsidR="00F40CE3" w:rsidRDefault="00F40CE3" w:rsidP="00F40CE3">
      <w:pPr>
        <w:pStyle w:val="ListParagraph"/>
      </w:pPr>
      <w:r>
        <w:t xml:space="preserve">The Preamble to the Protocol affirms that the Belfast (Good Friday) Agreement should be </w:t>
      </w:r>
      <w:r w:rsidR="00DA08DB">
        <w:t>“</w:t>
      </w:r>
      <w:r>
        <w:t>protected in all its parts</w:t>
      </w:r>
      <w:r w:rsidR="00DA08DB">
        <w:t>”</w:t>
      </w:r>
      <w:r>
        <w:t xml:space="preserve"> and recognises that </w:t>
      </w:r>
      <w:r w:rsidR="00DA08DB">
        <w:t>“</w:t>
      </w:r>
      <w:r>
        <w:t xml:space="preserve">cooperation between </w:t>
      </w:r>
      <w:r w:rsidR="00DA08DB">
        <w:t xml:space="preserve">Northern Ireland </w:t>
      </w:r>
      <w:r>
        <w:t>and Ireland is a central part of the 1998 Agreement</w:t>
      </w:r>
      <w:r w:rsidR="00DA08DB">
        <w:t>”</w:t>
      </w:r>
      <w:r>
        <w:t xml:space="preserve">. The UK Government and EU were also determined that the Protocol, in its application, </w:t>
      </w:r>
      <w:r w:rsidR="00DA08DB">
        <w:t>“</w:t>
      </w:r>
      <w:r>
        <w:t xml:space="preserve">should impact as little as possible on the everyday life of communities in both Ireland and </w:t>
      </w:r>
      <w:r w:rsidR="00DA08DB">
        <w:t>Northern Ireland”</w:t>
      </w:r>
      <w:r>
        <w:t>.</w:t>
      </w:r>
      <w:r w:rsidR="0002050C">
        <w:rPr>
          <w:rStyle w:val="FootnoteReference"/>
        </w:rPr>
        <w:footnoteReference w:id="49"/>
      </w:r>
      <w:r>
        <w:t xml:space="preserve">  </w:t>
      </w:r>
    </w:p>
    <w:p w14:paraId="449A665C" w14:textId="349A3014" w:rsidR="00632890" w:rsidRPr="006F6E42" w:rsidRDefault="002E5B99" w:rsidP="00A45DAD">
      <w:pPr>
        <w:pStyle w:val="ListParagraph"/>
      </w:pPr>
      <w:r w:rsidRPr="002E5B99">
        <w:t xml:space="preserve">The Commissions consider that long-term North-South equivalence is important.  </w:t>
      </w:r>
      <w:r w:rsidR="00632890" w:rsidRPr="00632890">
        <w:t xml:space="preserve">Whilst the Protocol requires that NI equality law keeps pace with any EU changes to the Annex 1 equality </w:t>
      </w:r>
      <w:r w:rsidR="00755139">
        <w:t>d</w:t>
      </w:r>
      <w:r w:rsidR="00632890" w:rsidRPr="00632890">
        <w:t>irectives</w:t>
      </w:r>
      <w:r w:rsidR="00F943A8">
        <w:t xml:space="preserve"> which enhance protections</w:t>
      </w:r>
      <w:r w:rsidR="00632890" w:rsidRPr="00632890">
        <w:t xml:space="preserve">, there is the potential for equality and human rights on the island of Ireland to diverge after </w:t>
      </w:r>
      <w:r w:rsidR="00E47685">
        <w:t>31 December 2020</w:t>
      </w:r>
      <w:r w:rsidR="00632890" w:rsidRPr="00632890">
        <w:t>.  </w:t>
      </w:r>
      <w:r w:rsidR="00632890">
        <w:t xml:space="preserve">It is </w:t>
      </w:r>
      <w:r w:rsidR="00632890" w:rsidRPr="00632890">
        <w:t xml:space="preserve">essential that NI equality and human rights law keeps pace with changes to equality and human rights law in Ireland, including rights introduced in the Ireland as a result of EU laws </w:t>
      </w:r>
      <w:r w:rsidR="00A076AA" w:rsidRPr="00632890">
        <w:t xml:space="preserve">that enhance protections </w:t>
      </w:r>
      <w:r w:rsidR="00632890" w:rsidRPr="00632890">
        <w:t xml:space="preserve">introduced </w:t>
      </w:r>
      <w:r w:rsidR="00B52E2F">
        <w:t xml:space="preserve">on or </w:t>
      </w:r>
      <w:r w:rsidR="00632890" w:rsidRPr="00632890">
        <w:t xml:space="preserve">after </w:t>
      </w:r>
      <w:r w:rsidR="00632890">
        <w:t>1 January 2021</w:t>
      </w:r>
      <w:r w:rsidR="00632890" w:rsidRPr="00632890">
        <w:t>.</w:t>
      </w:r>
      <w:r w:rsidR="00FA2F60" w:rsidRPr="00FA2F60">
        <w:t xml:space="preserve"> </w:t>
      </w:r>
      <w:r w:rsidR="00FA2F60">
        <w:t>T</w:t>
      </w:r>
      <w:r w:rsidR="00FA2F60" w:rsidRPr="006F6E42">
        <w:t xml:space="preserve">he ECNI, NIHRC and IHREC will work together to provide oversight of, and report on, issues which engage Protocol Article 2 with an </w:t>
      </w:r>
      <w:r w:rsidR="00FA2F60">
        <w:t>island of Ireland</w:t>
      </w:r>
      <w:r w:rsidR="00FA2F60" w:rsidRPr="006F6E42">
        <w:t xml:space="preserve"> dimension.</w:t>
      </w:r>
      <w:r w:rsidR="00FA2F60" w:rsidRPr="006F6E42">
        <w:rPr>
          <w:rStyle w:val="FootnoteReference"/>
        </w:rPr>
        <w:footnoteReference w:id="50"/>
      </w:r>
    </w:p>
    <w:p w14:paraId="7255BDFF" w14:textId="77777777" w:rsidR="002036D8" w:rsidRPr="006F6E42" w:rsidRDefault="00F4503D" w:rsidP="00F4503D">
      <w:pPr>
        <w:pStyle w:val="Heading2"/>
      </w:pPr>
      <w:bookmarkStart w:id="18" w:name="_Toc122447023"/>
      <w:r w:rsidRPr="006F6E42">
        <w:t>Economic</w:t>
      </w:r>
      <w:r w:rsidR="00DD1C75">
        <w:t>,</w:t>
      </w:r>
      <w:r w:rsidRPr="006F6E42">
        <w:t xml:space="preserve"> social and cultural issues</w:t>
      </w:r>
      <w:bookmarkEnd w:id="18"/>
      <w:r w:rsidRPr="006F6E42">
        <w:t xml:space="preserve"> </w:t>
      </w:r>
    </w:p>
    <w:p w14:paraId="5E66D306" w14:textId="77777777" w:rsidR="002713E0" w:rsidRDefault="002713E0" w:rsidP="00A45DAD">
      <w:pPr>
        <w:pStyle w:val="ListParagraph"/>
      </w:pPr>
      <w:r w:rsidRPr="002713E0">
        <w:t>In this part of the Rights</w:t>
      </w:r>
      <w:r w:rsidR="00154E7C">
        <w:t>,</w:t>
      </w:r>
      <w:r w:rsidRPr="002713E0">
        <w:t xml:space="preserve"> Safeguards and Equality of Opportunity chapter, the UK Government makes some general commitments pending the restoration of devolution and </w:t>
      </w:r>
      <w:r w:rsidR="00D44730">
        <w:t xml:space="preserve">commits </w:t>
      </w:r>
      <w:r w:rsidRPr="002713E0">
        <w:t>to mak</w:t>
      </w:r>
      <w:r w:rsidR="00DC5676">
        <w:t>ing</w:t>
      </w:r>
      <w:r w:rsidRPr="002713E0">
        <w:t xml:space="preserve"> rapid progress on advancing a number of social and economic outcomes.</w:t>
      </w:r>
    </w:p>
    <w:p w14:paraId="29BA82E5" w14:textId="77777777" w:rsidR="00A45DAD" w:rsidRPr="006F6E42" w:rsidRDefault="4D719C4F" w:rsidP="00A45DAD">
      <w:pPr>
        <w:pStyle w:val="ListParagraph"/>
      </w:pPr>
      <w:r w:rsidRPr="006F6E42">
        <w:t>All parties to the Belfast</w:t>
      </w:r>
      <w:r w:rsidR="000856D3" w:rsidRPr="006F6E42">
        <w:t xml:space="preserve"> (</w:t>
      </w:r>
      <w:r w:rsidRPr="006F6E42">
        <w:t>Good Friday</w:t>
      </w:r>
      <w:r w:rsidR="000856D3" w:rsidRPr="006F6E42">
        <w:t xml:space="preserve">) </w:t>
      </w:r>
      <w:r w:rsidRPr="006F6E42">
        <w:t xml:space="preserve">Agreement recognised the </w:t>
      </w:r>
      <w:r w:rsidR="39E37547" w:rsidRPr="006F6E42">
        <w:t xml:space="preserve">importance of </w:t>
      </w:r>
      <w:r w:rsidRPr="006F6E42">
        <w:t xml:space="preserve">respect, understanding and tolerance of </w:t>
      </w:r>
      <w:r w:rsidR="39E37547" w:rsidRPr="006F6E42">
        <w:t>linguistic diversity in NI, including Ulster Scots and the languages spoken in ethnic minority communities and on promoting the Irish language</w:t>
      </w:r>
      <w:r w:rsidRPr="006F6E42">
        <w:t xml:space="preserve"> and facilitating its use</w:t>
      </w:r>
      <w:r w:rsidR="39E37547" w:rsidRPr="006F6E42">
        <w:t>.</w:t>
      </w:r>
      <w:r w:rsidRPr="006F6E42">
        <w:t xml:space="preserve"> </w:t>
      </w:r>
      <w:r w:rsidR="00D44730" w:rsidRPr="002713E0">
        <w:t>This part of the Rights</w:t>
      </w:r>
      <w:r w:rsidR="00D44730">
        <w:t>,</w:t>
      </w:r>
      <w:r w:rsidR="00D44730" w:rsidRPr="002713E0">
        <w:t xml:space="preserve"> Safeguards and Equality of Opportunity chapter</w:t>
      </w:r>
      <w:r w:rsidRPr="006F6E42">
        <w:t xml:space="preserve"> goes on to list a number of commitments of the UK </w:t>
      </w:r>
      <w:r w:rsidR="29C37439" w:rsidRPr="006F6E42">
        <w:t>Government,</w:t>
      </w:r>
      <w:r w:rsidRPr="006F6E42">
        <w:t xml:space="preserve"> including its active consideration of signing the Council of Europe Charter for Regional and Minority Languages</w:t>
      </w:r>
      <w:r w:rsidR="29C37439" w:rsidRPr="006F6E42">
        <w:t>, which the UK subsequently ratified in 2001.</w:t>
      </w:r>
    </w:p>
    <w:p w14:paraId="733C4C60" w14:textId="77777777" w:rsidR="00097391" w:rsidRPr="006F6E42" w:rsidRDefault="5F7F2747" w:rsidP="00097391">
      <w:pPr>
        <w:pStyle w:val="ListParagraph"/>
      </w:pPr>
      <w:r w:rsidRPr="006F6E42">
        <w:t>In summary, the Rights, Safeguards and Equality of Opportunity</w:t>
      </w:r>
      <w:r w:rsidR="0B747B6F" w:rsidRPr="006F6E42">
        <w:t xml:space="preserve"> section of the </w:t>
      </w:r>
      <w:r w:rsidR="006B0C1E" w:rsidRPr="006F6E42">
        <w:t>Belfast (Good Friday) Agreement</w:t>
      </w:r>
      <w:r w:rsidRPr="006F6E42">
        <w:t xml:space="preserve"> represents wide-ranging acknowledgement of and commitment to civil, political, economic, social and cultural </w:t>
      </w:r>
      <w:r w:rsidR="44524687" w:rsidRPr="006F6E42">
        <w:t>rights</w:t>
      </w:r>
      <w:r w:rsidR="6AC6EE07" w:rsidRPr="006F6E42">
        <w:t xml:space="preserve"> and equality of opportunity</w:t>
      </w:r>
      <w:r w:rsidR="08BE45D2" w:rsidRPr="006F6E42">
        <w:t>, anticipating further legislation to entrench and safeguard those rights.</w:t>
      </w:r>
      <w:r w:rsidR="66464D3B" w:rsidRPr="006F6E42">
        <w:t xml:space="preserve"> </w:t>
      </w:r>
    </w:p>
    <w:p w14:paraId="6B4B0020" w14:textId="77777777" w:rsidR="00097391" w:rsidRPr="006F6E42" w:rsidRDefault="00097391" w:rsidP="00785A72">
      <w:pPr>
        <w:pStyle w:val="Heading1"/>
      </w:pPr>
      <w:bookmarkStart w:id="19" w:name="_Toc122447024"/>
      <w:r w:rsidRPr="006F6E42">
        <w:t>No diminution</w:t>
      </w:r>
      <w:bookmarkEnd w:id="19"/>
      <w:r w:rsidRPr="006F6E42">
        <w:t xml:space="preserve"> </w:t>
      </w:r>
    </w:p>
    <w:p w14:paraId="3750B234" w14:textId="77777777" w:rsidR="00E07DED" w:rsidRPr="006F6E42" w:rsidRDefault="00E07DED" w:rsidP="00E07DED">
      <w:pPr>
        <w:pStyle w:val="ListParagraph"/>
        <w:numPr>
          <w:ilvl w:val="0"/>
          <w:numId w:val="1"/>
        </w:numPr>
        <w:rPr>
          <w:vanish/>
        </w:rPr>
      </w:pPr>
    </w:p>
    <w:p w14:paraId="2DD141FE" w14:textId="77777777" w:rsidR="00170F3D" w:rsidRPr="006F6E42" w:rsidRDefault="00170F3D" w:rsidP="002631AA">
      <w:pPr>
        <w:pStyle w:val="ListParagraph"/>
        <w:rPr>
          <w:rFonts w:eastAsiaTheme="minorEastAsia"/>
        </w:rPr>
      </w:pPr>
      <w:r w:rsidRPr="006F6E42">
        <w:rPr>
          <w:rFonts w:eastAsiaTheme="minorEastAsia"/>
        </w:rPr>
        <w:t xml:space="preserve">Protocol Article 2 protects certain rights, safeguards and equality of opportunity protections, as discussed above, from diminution, measured against standards in place </w:t>
      </w:r>
      <w:r w:rsidRPr="004255B9">
        <w:rPr>
          <w:rFonts w:eastAsiaTheme="minorEastAsia"/>
        </w:rPr>
        <w:t>on</w:t>
      </w:r>
      <w:r w:rsidR="00B37D5A">
        <w:rPr>
          <w:rFonts w:eastAsiaTheme="minorEastAsia"/>
        </w:rPr>
        <w:t xml:space="preserve"> or before</w:t>
      </w:r>
      <w:r w:rsidRPr="004255B9">
        <w:rPr>
          <w:rFonts w:eastAsiaTheme="minorEastAsia"/>
        </w:rPr>
        <w:t xml:space="preserve"> </w:t>
      </w:r>
      <w:r w:rsidR="00A17198" w:rsidRPr="004255B9">
        <w:t>31 December 2020</w:t>
      </w:r>
      <w:r w:rsidRPr="006F6E42">
        <w:rPr>
          <w:rFonts w:eastAsiaTheme="minorEastAsia"/>
        </w:rPr>
        <w:t>. In addition, the protections afforded under the six equality directives in Annex 1 are subject to dynamic alignment or a ‘keeping pace’ obligation. This section deals with what constitutes ‘diminution’ and ‘keeping pace’. The next section deals with identifying and interpreting relevant underpinning EU and domestic law for this purpose.</w:t>
      </w:r>
      <w:r w:rsidRPr="006F6E42">
        <w:rPr>
          <w:rStyle w:val="CommentReference"/>
          <w:rFonts w:eastAsiaTheme="minorEastAsia"/>
          <w:sz w:val="28"/>
          <w:szCs w:val="28"/>
        </w:rPr>
        <w:t xml:space="preserve"> </w:t>
      </w:r>
    </w:p>
    <w:p w14:paraId="4FDD8397" w14:textId="77777777" w:rsidR="00C41265" w:rsidRPr="006F6E42" w:rsidRDefault="00C41265" w:rsidP="00C41265">
      <w:pPr>
        <w:pStyle w:val="Heading2"/>
      </w:pPr>
      <w:bookmarkStart w:id="20" w:name="_Toc122447025"/>
      <w:r w:rsidRPr="006F6E42">
        <w:t>Non-Diminution</w:t>
      </w:r>
      <w:bookmarkEnd w:id="20"/>
      <w:r w:rsidRPr="006F6E42">
        <w:t xml:space="preserve"> </w:t>
      </w:r>
    </w:p>
    <w:p w14:paraId="000E1B4A" w14:textId="77777777" w:rsidR="004E1650" w:rsidRPr="006F6E42" w:rsidRDefault="00917A21" w:rsidP="00AD00FF">
      <w:pPr>
        <w:pStyle w:val="ListParagraph"/>
      </w:pPr>
      <w:r w:rsidRPr="006F6E42">
        <w:t>In order to show that there has been a diminution of rights, safeguards or equality of opportunity protections, as set out in the relevant part of the Belfast (Good Friday) Agreement, resulting from the UK’s withdrawal from the EU, there must be a right or safeguard which</w:t>
      </w:r>
      <w:r w:rsidR="00BB0AC8">
        <w:t xml:space="preserve"> was </w:t>
      </w:r>
      <w:r w:rsidR="00BB0AC8" w:rsidRPr="006F6E42">
        <w:t>underpinned by EU law</w:t>
      </w:r>
      <w:r w:rsidR="00BB0AC8">
        <w:t xml:space="preserve"> </w:t>
      </w:r>
      <w:r w:rsidR="001E7C27">
        <w:t xml:space="preserve">and given effect </w:t>
      </w:r>
      <w:r w:rsidR="001E7C27" w:rsidRPr="006F6E42">
        <w:t xml:space="preserve">in NI </w:t>
      </w:r>
      <w:r w:rsidR="001E7C27">
        <w:t xml:space="preserve">law </w:t>
      </w:r>
      <w:r w:rsidR="00A17198">
        <w:t>on</w:t>
      </w:r>
      <w:r w:rsidR="007565B6">
        <w:t xml:space="preserve"> </w:t>
      </w:r>
      <w:r w:rsidR="00B37D5A">
        <w:t xml:space="preserve">or before </w:t>
      </w:r>
      <w:r w:rsidR="00A17198">
        <w:t>31 December 2020</w:t>
      </w:r>
      <w:r w:rsidR="00DF7BA6" w:rsidRPr="006F6E42">
        <w:t xml:space="preserve">.  </w:t>
      </w:r>
      <w:r w:rsidR="006E2D00" w:rsidRPr="006F6E42">
        <w:t>A diminution occurs where</w:t>
      </w:r>
      <w:r w:rsidR="00725B08" w:rsidRPr="006F6E42">
        <w:t xml:space="preserve"> </w:t>
      </w:r>
      <w:r w:rsidR="002631AA" w:rsidRPr="006F6E42">
        <w:t xml:space="preserve">there is a change to this </w:t>
      </w:r>
      <w:r w:rsidR="00725B08" w:rsidRPr="006F6E42">
        <w:t>legal underpinning</w:t>
      </w:r>
      <w:r w:rsidR="002631AA" w:rsidRPr="006F6E42">
        <w:t xml:space="preserve">, either because the measure which secured it </w:t>
      </w:r>
      <w:r w:rsidR="00725B08" w:rsidRPr="006F6E42">
        <w:t xml:space="preserve">has been removed </w:t>
      </w:r>
      <w:r w:rsidR="002631AA" w:rsidRPr="006F6E42">
        <w:t xml:space="preserve">or amended and this </w:t>
      </w:r>
      <w:r w:rsidR="00725B08" w:rsidRPr="006F6E42">
        <w:t xml:space="preserve">has resulted in the right, safeguard or equality of opportunity protection </w:t>
      </w:r>
      <w:r w:rsidR="00D91FD5" w:rsidRPr="006F6E42">
        <w:t xml:space="preserve">being </w:t>
      </w:r>
      <w:r w:rsidR="00725B08" w:rsidRPr="006F6E42">
        <w:t xml:space="preserve">diminished </w:t>
      </w:r>
      <w:r w:rsidR="00D91FD5" w:rsidRPr="006F6E42">
        <w:t xml:space="preserve">on or after </w:t>
      </w:r>
      <w:r w:rsidR="00725B08" w:rsidRPr="006F6E42">
        <w:t>1 January 2021.</w:t>
      </w:r>
    </w:p>
    <w:p w14:paraId="38399AC8" w14:textId="77777777" w:rsidR="00917A21" w:rsidRPr="006F6E42" w:rsidRDefault="00917A21" w:rsidP="00097391">
      <w:pPr>
        <w:pStyle w:val="Heading2"/>
      </w:pPr>
      <w:bookmarkStart w:id="21" w:name="_Toc87020444"/>
      <w:bookmarkStart w:id="22" w:name="_Toc122447026"/>
      <w:r w:rsidRPr="006F6E42">
        <w:t>‘</w:t>
      </w:r>
      <w:r w:rsidR="6AED1EF8" w:rsidRPr="006F6E42">
        <w:t>Keep</w:t>
      </w:r>
      <w:r w:rsidR="3595ED0F" w:rsidRPr="006F6E42">
        <w:t>ing</w:t>
      </w:r>
      <w:r w:rsidRPr="006F6E42">
        <w:t xml:space="preserve"> Pace’</w:t>
      </w:r>
      <w:bookmarkEnd w:id="21"/>
      <w:bookmarkEnd w:id="22"/>
      <w:r w:rsidRPr="006F6E42">
        <w:t xml:space="preserve">   </w:t>
      </w:r>
    </w:p>
    <w:p w14:paraId="14F3CDA4" w14:textId="77777777" w:rsidR="00917A21" w:rsidRPr="006F6E42" w:rsidRDefault="001E7C27" w:rsidP="00917A21">
      <w:pPr>
        <w:pStyle w:val="ListParagraph"/>
      </w:pPr>
      <w:r>
        <w:t xml:space="preserve">Whereas EU law which underpins the non-diminution commitment in Protocol Article 2 </w:t>
      </w:r>
      <w:r w:rsidR="001F60AC">
        <w:t>is</w:t>
      </w:r>
      <w:r>
        <w:t xml:space="preserve"> limited to </w:t>
      </w:r>
      <w:r w:rsidR="001F60AC">
        <w:t xml:space="preserve">that </w:t>
      </w:r>
      <w:r>
        <w:t xml:space="preserve">which </w:t>
      </w:r>
      <w:r w:rsidR="001F60AC">
        <w:t xml:space="preserve">was </w:t>
      </w:r>
      <w:r>
        <w:t>binding on the UK on</w:t>
      </w:r>
      <w:r w:rsidR="00B37D5A">
        <w:t xml:space="preserve"> or before </w:t>
      </w:r>
      <w:r>
        <w:t>31 December 2020, t</w:t>
      </w:r>
      <w:r w:rsidR="00917A21" w:rsidRPr="006F6E42">
        <w:t xml:space="preserve">he six equality directives set out in Annex 1 are subject to different </w:t>
      </w:r>
      <w:r w:rsidR="008F77E3">
        <w:t>arrangements</w:t>
      </w:r>
      <w:r w:rsidR="00E13ACD">
        <w:t>. The UK Government has committed to ‘keep pace’ with any changes to the Annex 1 equality directives that enhance protections</w:t>
      </w:r>
      <w:r w:rsidR="00917A21" w:rsidRPr="006F6E42">
        <w:t xml:space="preserve">.  </w:t>
      </w:r>
    </w:p>
    <w:p w14:paraId="6824CBAA" w14:textId="77777777" w:rsidR="00917A21" w:rsidRPr="006F6E42" w:rsidRDefault="00917A21" w:rsidP="00917A21">
      <w:pPr>
        <w:pStyle w:val="ListParagraph"/>
        <w:rPr>
          <w:strike/>
        </w:rPr>
      </w:pPr>
      <w:r w:rsidRPr="006F6E42">
        <w:t xml:space="preserve">Article 13(3) </w:t>
      </w:r>
      <w:r w:rsidR="008F77E3">
        <w:t xml:space="preserve">of the Protocol </w:t>
      </w:r>
      <w:r w:rsidRPr="006F6E42">
        <w:t>provides that where the Protocol refers to an EU law measure, including the six equality directives in Annex 1, “that reference shall be read as referring to a Union act as amended or replaced”. There is</w:t>
      </w:r>
      <w:r w:rsidR="008F77E3">
        <w:t xml:space="preserve"> therefore</w:t>
      </w:r>
      <w:r w:rsidRPr="006F6E42">
        <w:t xml:space="preserve"> an additional obligation on the UK Government to ensure that any amendment to</w:t>
      </w:r>
      <w:r w:rsidR="009A0A11">
        <w:t>,</w:t>
      </w:r>
      <w:r w:rsidRPr="006F6E42">
        <w:t xml:space="preserve"> or replacement of</w:t>
      </w:r>
      <w:r w:rsidR="009A0A11">
        <w:t>,</w:t>
      </w:r>
      <w:r w:rsidRPr="006F6E42">
        <w:t xml:space="preserve"> an Annex 1 Directive by the EU on or after 1 January 2021 which enhances rights and protections</w:t>
      </w:r>
      <w:r w:rsidR="006077F3">
        <w:t>,</w:t>
      </w:r>
      <w:r w:rsidRPr="006F6E42">
        <w:t xml:space="preserve"> is reflected in NI law. Article 13 might therefore be described as providing an evolving benchmark for the protection against </w:t>
      </w:r>
      <w:r w:rsidR="00E17C6C">
        <w:t xml:space="preserve">certain forms of </w:t>
      </w:r>
      <w:r w:rsidRPr="006F6E42">
        <w:t xml:space="preserve">discrimination in NI.   </w:t>
      </w:r>
    </w:p>
    <w:p w14:paraId="66A636B6" w14:textId="77777777" w:rsidR="00B57D55" w:rsidRPr="006F6E42" w:rsidRDefault="00B57D55" w:rsidP="00B57D55">
      <w:pPr>
        <w:pStyle w:val="ListParagraph"/>
      </w:pPr>
      <w:r w:rsidRPr="006F6E42">
        <w:t xml:space="preserve">The UK Government has confirmed that these standards </w:t>
      </w:r>
      <w:r w:rsidR="00E17C6C">
        <w:t xml:space="preserve">in the Annex 1 equality directives </w:t>
      </w:r>
      <w:r w:rsidRPr="006F6E42">
        <w:t>represent the minimum standard of protection against discrimination in NI. It has confirmed its commitment to dynamic align</w:t>
      </w:r>
      <w:r w:rsidR="00A42EB9">
        <w:t>ment</w:t>
      </w:r>
      <w:r w:rsidRPr="006F6E42">
        <w:t xml:space="preserve"> with the Annex 1 equality directives to “provide a reassurance that, at the very least, the minimum standard of rights protection required by the listed directives will continue to be relevant in NI” and this will “ensure NI will not fall behind minimum European standards in anti-discrimination law”.</w:t>
      </w:r>
      <w:r w:rsidRPr="006F6E42">
        <w:rPr>
          <w:rStyle w:val="FootnoteReference"/>
        </w:rPr>
        <w:footnoteReference w:id="51"/>
      </w:r>
      <w:r w:rsidRPr="006F6E42">
        <w:t xml:space="preserve"> </w:t>
      </w:r>
    </w:p>
    <w:p w14:paraId="118DCAEC" w14:textId="77777777" w:rsidR="00993015" w:rsidRPr="006F6E42" w:rsidRDefault="00993015" w:rsidP="00993015">
      <w:pPr>
        <w:pStyle w:val="Heading2"/>
      </w:pPr>
      <w:bookmarkStart w:id="23" w:name="_Toc122447027"/>
      <w:r w:rsidRPr="006F6E42">
        <w:t>‘As amended or replaced’</w:t>
      </w:r>
      <w:bookmarkEnd w:id="23"/>
    </w:p>
    <w:p w14:paraId="07AE7B4E" w14:textId="77777777" w:rsidR="00993015" w:rsidRPr="006F6E42" w:rsidRDefault="00C47F2F" w:rsidP="00AE3A7F">
      <w:pPr>
        <w:pStyle w:val="ListParagraph"/>
      </w:pPr>
      <w:r w:rsidRPr="006F6E42">
        <w:t xml:space="preserve">It </w:t>
      </w:r>
      <w:r w:rsidR="00993015" w:rsidRPr="006F6E42">
        <w:t xml:space="preserve">is </w:t>
      </w:r>
      <w:r w:rsidR="00AE3A7F" w:rsidRPr="006F6E42">
        <w:t xml:space="preserve">important to understand what </w:t>
      </w:r>
      <w:r w:rsidRPr="006F6E42">
        <w:t xml:space="preserve">“as amended or replaced” means in the context of the </w:t>
      </w:r>
      <w:r w:rsidR="00AE3A7F" w:rsidRPr="006F6E42">
        <w:t xml:space="preserve">obligation to keep pace with any improvements to the rights and safeguards in the Annex 1 equality directives.  Where a proposed EU measure explicitly states that it is replacing or ‘recasting’ an Annex 1 Directive, it is relatively straightforward to identify what measures will need to be updated in NI law. </w:t>
      </w:r>
    </w:p>
    <w:p w14:paraId="4BBD2252" w14:textId="77777777" w:rsidR="00AE3A7F" w:rsidRPr="00C652D0" w:rsidRDefault="00AE3A7F" w:rsidP="00AE3A7F">
      <w:pPr>
        <w:pStyle w:val="ListParagraph"/>
      </w:pPr>
      <w:r w:rsidRPr="006F6E42">
        <w:t xml:space="preserve">Where a </w:t>
      </w:r>
      <w:r w:rsidR="009E296E" w:rsidRPr="006F6E42">
        <w:t xml:space="preserve">new EU </w:t>
      </w:r>
      <w:r w:rsidRPr="006F6E42">
        <w:t xml:space="preserve">measure </w:t>
      </w:r>
      <w:r w:rsidR="002F6CB7" w:rsidRPr="006F6E42">
        <w:t xml:space="preserve">does not explicitly state that it is </w:t>
      </w:r>
      <w:r w:rsidR="009E296E" w:rsidRPr="006F6E42">
        <w:t xml:space="preserve">amending </w:t>
      </w:r>
      <w:r w:rsidR="002F6CB7" w:rsidRPr="006F6E42">
        <w:t>an Annex 1 equality directive</w:t>
      </w:r>
      <w:r w:rsidR="00C47F2F" w:rsidRPr="006F6E42">
        <w:t>, or where it is amending or updating part of such a directive</w:t>
      </w:r>
      <w:r w:rsidR="002F6CB7" w:rsidRPr="006F6E42">
        <w:t xml:space="preserve">, an assessment </w:t>
      </w:r>
      <w:r w:rsidR="00B11FED" w:rsidRPr="006F6E42">
        <w:t xml:space="preserve">of the </w:t>
      </w:r>
      <w:r w:rsidR="002F6CB7" w:rsidRPr="006F6E42">
        <w:t xml:space="preserve">substance of </w:t>
      </w:r>
      <w:r w:rsidR="00C47F2F" w:rsidRPr="006F6E42">
        <w:t xml:space="preserve">the </w:t>
      </w:r>
      <w:r w:rsidR="00A52010" w:rsidRPr="006F6E42">
        <w:t xml:space="preserve">measure </w:t>
      </w:r>
      <w:r w:rsidR="00B11FED" w:rsidRPr="006F6E42">
        <w:t xml:space="preserve">will be necessary to </w:t>
      </w:r>
      <w:r w:rsidR="00A52010" w:rsidRPr="006F6E42">
        <w:t xml:space="preserve">evaluate the extent to which it </w:t>
      </w:r>
      <w:r w:rsidR="00C47F2F" w:rsidRPr="006F6E42">
        <w:t>requires NI law to keep pace with this change</w:t>
      </w:r>
      <w:r w:rsidR="00A52010" w:rsidRPr="006F6E42">
        <w:t xml:space="preserve">.   </w:t>
      </w:r>
      <w:r w:rsidR="00A52010" w:rsidRPr="00C652D0">
        <w:t>Such an assessment would have to consider</w:t>
      </w:r>
      <w:r w:rsidR="00B11FED" w:rsidRPr="00C652D0">
        <w:t>, for example,</w:t>
      </w:r>
      <w:r w:rsidR="00A52010" w:rsidRPr="00C652D0">
        <w:t xml:space="preserve"> the legal basis for this new measure; the purpose of the new measure; the degree of overlap on the substance of the rights and safeguards between the new measure and the </w:t>
      </w:r>
      <w:r w:rsidR="00CF2AA3" w:rsidRPr="00C652D0">
        <w:t>Annex 1 equality directive</w:t>
      </w:r>
      <w:r w:rsidR="00A52010" w:rsidRPr="00C652D0">
        <w:t>, and any relevant</w:t>
      </w:r>
      <w:r w:rsidR="00E17C6C">
        <w:t xml:space="preserve"> Court of Justice of the EU</w:t>
      </w:r>
      <w:r w:rsidR="00A52010" w:rsidRPr="00C652D0">
        <w:t xml:space="preserve"> </w:t>
      </w:r>
      <w:r w:rsidR="00E17C6C">
        <w:t>(</w:t>
      </w:r>
      <w:r w:rsidR="00A52010" w:rsidRPr="00C652D0">
        <w:t>CJEU</w:t>
      </w:r>
      <w:r w:rsidR="00E17C6C">
        <w:t>)</w:t>
      </w:r>
      <w:r w:rsidR="00A52010" w:rsidRPr="00C652D0">
        <w:t xml:space="preserve"> case law; and the </w:t>
      </w:r>
      <w:r w:rsidR="00B11FED" w:rsidRPr="00C652D0">
        <w:t>extent</w:t>
      </w:r>
      <w:r w:rsidR="009E296E" w:rsidRPr="00C652D0">
        <w:t xml:space="preserve"> </w:t>
      </w:r>
      <w:r w:rsidR="00577455" w:rsidRPr="00C652D0">
        <w:t xml:space="preserve">to which </w:t>
      </w:r>
      <w:r w:rsidR="00A52010" w:rsidRPr="00C652D0">
        <w:t xml:space="preserve">the new measure </w:t>
      </w:r>
      <w:r w:rsidR="009E296E" w:rsidRPr="00C652D0">
        <w:t xml:space="preserve">facilitates </w:t>
      </w:r>
      <w:r w:rsidR="00A52010" w:rsidRPr="00C652D0">
        <w:t xml:space="preserve">the </w:t>
      </w:r>
      <w:r w:rsidR="009E296E" w:rsidRPr="00C652D0">
        <w:t xml:space="preserve">implementation </w:t>
      </w:r>
      <w:r w:rsidR="00A52010" w:rsidRPr="00C652D0">
        <w:t>and/</w:t>
      </w:r>
      <w:r w:rsidR="009E296E" w:rsidRPr="00C652D0">
        <w:t>or enforcement</w:t>
      </w:r>
      <w:r w:rsidR="002F6CB7" w:rsidRPr="00C652D0">
        <w:t xml:space="preserve"> of </w:t>
      </w:r>
      <w:r w:rsidR="00A52010" w:rsidRPr="00C652D0">
        <w:t xml:space="preserve">an </w:t>
      </w:r>
      <w:r w:rsidR="00CF2AA3" w:rsidRPr="00C652D0">
        <w:t>Annex 1 equality directive</w:t>
      </w:r>
      <w:r w:rsidR="00A52010" w:rsidRPr="00C652D0">
        <w:t xml:space="preserve">. </w:t>
      </w:r>
    </w:p>
    <w:p w14:paraId="31DA8C77" w14:textId="7120C67A" w:rsidR="00827D9A" w:rsidRDefault="00827D9A">
      <w:pPr>
        <w:rPr>
          <w:strike/>
        </w:rPr>
      </w:pPr>
      <w:r>
        <w:rPr>
          <w:strike/>
        </w:rPr>
        <w:br w:type="page"/>
      </w:r>
    </w:p>
    <w:p w14:paraId="116B19E7" w14:textId="77777777" w:rsidR="00FE4EB6" w:rsidRPr="006F6E42" w:rsidRDefault="00FE4EB6" w:rsidP="00FE4EB6">
      <w:pPr>
        <w:rPr>
          <w:strike/>
        </w:rPr>
      </w:pPr>
    </w:p>
    <w:p w14:paraId="284B818E" w14:textId="77777777" w:rsidR="00FE4EB6" w:rsidRPr="006F6E42" w:rsidRDefault="00FE4EB6" w:rsidP="006B15F1">
      <w:pPr>
        <w:pStyle w:val="Heading3"/>
        <w:pBdr>
          <w:top w:val="single" w:sz="4" w:space="1" w:color="auto"/>
          <w:left w:val="single" w:sz="4" w:space="4" w:color="auto"/>
          <w:bottom w:val="single" w:sz="4" w:space="1" w:color="auto"/>
          <w:right w:val="single" w:sz="4" w:space="4" w:color="auto"/>
        </w:pBdr>
        <w:spacing w:line="240" w:lineRule="auto"/>
        <w:ind w:left="720"/>
      </w:pPr>
      <w:bookmarkStart w:id="24" w:name="_Toc122447028"/>
      <w:r w:rsidRPr="006F6E42">
        <w:t>What’s the difference between an Annex 1 Equality Directive and other EU measures falling within scope of Protocol Article 2?</w:t>
      </w:r>
      <w:bookmarkEnd w:id="24"/>
    </w:p>
    <w:p w14:paraId="73B5F3A2"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26507FE5"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r w:rsidRPr="006F6E42">
        <w:t xml:space="preserve">Where one of the Annex 1 </w:t>
      </w:r>
      <w:r w:rsidR="00FE6C75" w:rsidRPr="006F6E42">
        <w:t xml:space="preserve">equality directives </w:t>
      </w:r>
      <w:r w:rsidRPr="006F6E42">
        <w:t>is amended or replaced</w:t>
      </w:r>
      <w:r w:rsidR="00E17C6C">
        <w:t xml:space="preserve"> by the EU on or after 1 January 2021</w:t>
      </w:r>
      <w:r w:rsidRPr="006F6E42">
        <w:t xml:space="preserve">, NI law must be updated to </w:t>
      </w:r>
      <w:r w:rsidR="00FE6C75" w:rsidRPr="006F6E42">
        <w:t xml:space="preserve">reflect any </w:t>
      </w:r>
      <w:r w:rsidR="00B05FF8">
        <w:t xml:space="preserve">enhancements </w:t>
      </w:r>
      <w:r w:rsidR="00FE6C75" w:rsidRPr="006F6E42">
        <w:t>to the rights or safeguards in those directives</w:t>
      </w:r>
      <w:r w:rsidRPr="006F6E42">
        <w:t xml:space="preserve">. Other EU measures which underpin the relevant rights, safeguards and equality of opportunity provisions in the Belfast (Good Friday) Agreement are fixed as of </w:t>
      </w:r>
      <w:r w:rsidRPr="004255B9">
        <w:t>31 December 2020</w:t>
      </w:r>
      <w:r w:rsidRPr="006F6E42">
        <w:t xml:space="preserve">. Therefore, there is no requirement under Protocol Article 2 to amend or update domestic law to take account of any </w:t>
      </w:r>
      <w:r w:rsidR="00FE6C75" w:rsidRPr="006F6E42">
        <w:t xml:space="preserve">subsequent </w:t>
      </w:r>
      <w:r w:rsidRPr="006F6E42">
        <w:t xml:space="preserve">changes to such EU measures. </w:t>
      </w:r>
    </w:p>
    <w:p w14:paraId="79473959"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3C6FFE46"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r w:rsidRPr="006F6E42">
        <w:t xml:space="preserve">For example, </w:t>
      </w:r>
      <w:r w:rsidR="00FE6C75" w:rsidRPr="006F6E42">
        <w:t>the EU Commission has proposed a Pay Transparency Directive</w:t>
      </w:r>
      <w:r w:rsidRPr="006F6E42">
        <w:t>.</w:t>
      </w:r>
      <w:r w:rsidR="00B05FF8">
        <w:rPr>
          <w:rStyle w:val="FootnoteReference"/>
        </w:rPr>
        <w:footnoteReference w:id="52"/>
      </w:r>
      <w:r w:rsidR="002928B1" w:rsidRPr="006F6E42">
        <w:t xml:space="preserve">  In the recitals, it states that this proposed Directive should “strengthen the existing enforcement tools and procedures in regard to the rights and obligations laid down in this Directive and the equal pay provisions set out in Directive 2006/54/EC”.  </w:t>
      </w:r>
      <w:r w:rsidR="006B7FD0" w:rsidRPr="006F6E42">
        <w:t xml:space="preserve">This </w:t>
      </w:r>
      <w:r w:rsidR="002928B1" w:rsidRPr="006F6E42">
        <w:t xml:space="preserve">Directive 2006/54/EC on equal treatment of men and women in matters of employment is listed in Annex 1 of the Protocol. </w:t>
      </w:r>
    </w:p>
    <w:p w14:paraId="2F7A8F7C" w14:textId="77777777" w:rsidR="00FE4EB6" w:rsidRPr="006F6E42" w:rsidRDefault="00FE4EB6" w:rsidP="006B15F1">
      <w:pPr>
        <w:pBdr>
          <w:top w:val="single" w:sz="4" w:space="1" w:color="auto"/>
          <w:left w:val="single" w:sz="4" w:space="4" w:color="auto"/>
          <w:bottom w:val="single" w:sz="4" w:space="1" w:color="auto"/>
          <w:right w:val="single" w:sz="4" w:space="4" w:color="auto"/>
        </w:pBdr>
        <w:spacing w:line="240" w:lineRule="auto"/>
        <w:ind w:left="720"/>
      </w:pPr>
    </w:p>
    <w:p w14:paraId="0BDF498A" w14:textId="77777777" w:rsidR="00FE4EB6" w:rsidRPr="006F6E42" w:rsidRDefault="00CF2AA3" w:rsidP="006B15F1">
      <w:pPr>
        <w:pBdr>
          <w:top w:val="single" w:sz="4" w:space="1" w:color="auto"/>
          <w:left w:val="single" w:sz="4" w:space="4" w:color="auto"/>
          <w:bottom w:val="single" w:sz="4" w:space="1" w:color="auto"/>
          <w:right w:val="single" w:sz="4" w:space="4" w:color="auto"/>
        </w:pBdr>
        <w:spacing w:line="240" w:lineRule="auto"/>
        <w:ind w:left="720"/>
      </w:pPr>
      <w:r w:rsidRPr="006F6E42">
        <w:t>To t</w:t>
      </w:r>
      <w:r w:rsidR="002928B1" w:rsidRPr="006F6E42">
        <w:t xml:space="preserve">he extent </w:t>
      </w:r>
      <w:r w:rsidRPr="006F6E42">
        <w:t xml:space="preserve">that the </w:t>
      </w:r>
      <w:r w:rsidR="002928B1" w:rsidRPr="006F6E42">
        <w:t xml:space="preserve">proposed Pay Transparency Directive </w:t>
      </w:r>
      <w:r w:rsidR="00FE4EB6" w:rsidRPr="006F6E42">
        <w:t>update</w:t>
      </w:r>
      <w:r w:rsidR="002928B1" w:rsidRPr="006F6E42">
        <w:t>s</w:t>
      </w:r>
      <w:r w:rsidR="00FE4EB6" w:rsidRPr="006F6E42">
        <w:t xml:space="preserve"> or amend</w:t>
      </w:r>
      <w:r w:rsidR="002928B1" w:rsidRPr="006F6E42">
        <w:t xml:space="preserve">s </w:t>
      </w:r>
      <w:r w:rsidR="00FE4EB6" w:rsidRPr="006F6E42">
        <w:t xml:space="preserve">an Annex 1 Directive, there is a duty to update </w:t>
      </w:r>
      <w:r w:rsidRPr="006F6E42">
        <w:t xml:space="preserve">NI </w:t>
      </w:r>
      <w:r w:rsidR="00FE4EB6" w:rsidRPr="006F6E42">
        <w:t xml:space="preserve">law to take account of this change.  </w:t>
      </w:r>
    </w:p>
    <w:p w14:paraId="1014DD2C" w14:textId="77777777" w:rsidR="00993015" w:rsidRPr="006F6E42" w:rsidRDefault="00993015" w:rsidP="00FE4EB6">
      <w:pPr>
        <w:rPr>
          <w:strike/>
        </w:rPr>
      </w:pPr>
    </w:p>
    <w:p w14:paraId="0B7590A4" w14:textId="77777777" w:rsidR="00917A21" w:rsidRPr="006F6E42" w:rsidRDefault="00917A21" w:rsidP="00097391">
      <w:pPr>
        <w:pStyle w:val="Heading2"/>
      </w:pPr>
      <w:bookmarkStart w:id="25" w:name="_Toc122447029"/>
      <w:r w:rsidRPr="006F6E42">
        <w:t>Obligation of result</w:t>
      </w:r>
      <w:bookmarkEnd w:id="25"/>
      <w:r w:rsidRPr="006F6E42">
        <w:t xml:space="preserve"> </w:t>
      </w:r>
    </w:p>
    <w:p w14:paraId="383AAB23" w14:textId="77777777" w:rsidR="00917A21" w:rsidRPr="006F6E42" w:rsidRDefault="00917A21" w:rsidP="00917A21">
      <w:pPr>
        <w:pStyle w:val="ListParagraph"/>
      </w:pPr>
      <w:bookmarkStart w:id="26" w:name="_Hlk94103764"/>
      <w:r w:rsidRPr="006F6E42">
        <w:t xml:space="preserve">Protocol Article 2 is an enduring commitment by </w:t>
      </w:r>
      <w:r w:rsidR="00CF2AA3" w:rsidRPr="006F6E42">
        <w:t xml:space="preserve">the </w:t>
      </w:r>
      <w:r w:rsidRPr="006F6E42">
        <w:t>UK</w:t>
      </w:r>
      <w:r w:rsidR="00CF2AA3" w:rsidRPr="006F6E42">
        <w:t xml:space="preserve"> </w:t>
      </w:r>
      <w:r w:rsidRPr="006F6E42">
        <w:t>Government to achieve a specific result – namely that there is no diminution of those specified rights, safeguards and equality of opportunity</w:t>
      </w:r>
      <w:r w:rsidR="00E923B9">
        <w:t xml:space="preserve"> protections</w:t>
      </w:r>
      <w:r w:rsidR="006A2256" w:rsidRPr="006F6E42">
        <w:t xml:space="preserve"> in the Belfast (Good Friday) Agreement </w:t>
      </w:r>
      <w:r w:rsidRPr="006F6E42">
        <w:t xml:space="preserve">as a result of the UK leaving the EU.  It requires that substantive rights be protected against diminution rather than preventing amendment of existing provisions, including any underpinning EU obligation.  However, any such change should not result in </w:t>
      </w:r>
      <w:r w:rsidRPr="00C652D0">
        <w:t xml:space="preserve">a reduction </w:t>
      </w:r>
      <w:r w:rsidR="00722DFF">
        <w:t xml:space="preserve">in the </w:t>
      </w:r>
      <w:r w:rsidRPr="00C652D0">
        <w:t>effectiveness of the existing protections, including how that right is claimed or enforced.</w:t>
      </w:r>
      <w:r w:rsidRPr="006F6E42">
        <w:t xml:space="preserve">  </w:t>
      </w:r>
    </w:p>
    <w:p w14:paraId="3DC42319" w14:textId="77777777" w:rsidR="003E49D3" w:rsidRPr="006F6E42" w:rsidRDefault="003E49D3" w:rsidP="003E49D3">
      <w:pPr>
        <w:pStyle w:val="Heading2"/>
      </w:pPr>
      <w:bookmarkStart w:id="27" w:name="_Toc87020451"/>
      <w:bookmarkStart w:id="28" w:name="_Toc122447030"/>
      <w:bookmarkEnd w:id="26"/>
      <w:r w:rsidRPr="006F6E42">
        <w:t>Case law of CJEU</w:t>
      </w:r>
      <w:bookmarkEnd w:id="27"/>
      <w:bookmarkEnd w:id="28"/>
    </w:p>
    <w:p w14:paraId="28835791" w14:textId="77777777" w:rsidR="003E49D3" w:rsidRPr="006F6E42" w:rsidRDefault="00C4497F" w:rsidP="003E49D3">
      <w:pPr>
        <w:pStyle w:val="ListParagraph"/>
      </w:pPr>
      <w:r w:rsidRPr="006F6E42">
        <w:t>Article 4(4) of the UK-EU Withdrawal Agreement</w:t>
      </w:r>
      <w:r w:rsidR="003E49D3" w:rsidRPr="006F6E42">
        <w:t xml:space="preserve"> provides that any EU law concept or provision referred to in that Agreement shall, in its implementation and application, be interpreted in conformity with the relevant case law of the CJEU handed down on or before 31 December 202</w:t>
      </w:r>
      <w:r w:rsidR="00181043">
        <w:t>0</w:t>
      </w:r>
      <w:r w:rsidR="003E49D3" w:rsidRPr="006F6E42">
        <w:t>.</w:t>
      </w:r>
      <w:r w:rsidR="003F69D6">
        <w:rPr>
          <w:rStyle w:val="FootnoteReference"/>
        </w:rPr>
        <w:footnoteReference w:id="53"/>
      </w:r>
      <w:r w:rsidR="003E49D3" w:rsidRPr="006F6E42">
        <w:t xml:space="preserve"> In addition, Article 4(5) provides that judicial and administrative authorities shall have “due regard” to relevant CJEU case law handed down on or after 1 January 2021.</w:t>
      </w:r>
      <w:r w:rsidR="003E49D3" w:rsidRPr="006F6E42">
        <w:rPr>
          <w:rStyle w:val="FootnoteReference"/>
        </w:rPr>
        <w:footnoteReference w:id="54"/>
      </w:r>
    </w:p>
    <w:p w14:paraId="51C31537" w14:textId="7B0EA789" w:rsidR="003E49D3" w:rsidRPr="006F6E42" w:rsidRDefault="00135792" w:rsidP="003E49D3">
      <w:pPr>
        <w:pStyle w:val="ListParagraph"/>
      </w:pPr>
      <w:r>
        <w:t>T</w:t>
      </w:r>
      <w:r w:rsidR="003E49D3" w:rsidRPr="00E44402">
        <w:t>he</w:t>
      </w:r>
      <w:r w:rsidR="003E49D3" w:rsidRPr="006F6E42">
        <w:t xml:space="preserve"> protection of rights, safeguards and equality of opportunity in Protocol Article 2 includes an overarching non-diminution guarantee, which freezes the baseline of rights and safeguards to those that applied on </w:t>
      </w:r>
      <w:r w:rsidR="00B37D5A">
        <w:t xml:space="preserve">or before </w:t>
      </w:r>
      <w:r w:rsidR="003E49D3" w:rsidRPr="006F6E42">
        <w:t>31 December 2020.</w:t>
      </w:r>
      <w:r w:rsidR="003E49D3" w:rsidRPr="006F6E42">
        <w:rPr>
          <w:rStyle w:val="FootnoteReference"/>
        </w:rPr>
        <w:footnoteReference w:id="55"/>
      </w:r>
      <w:r w:rsidR="003E49D3" w:rsidRPr="006F6E42">
        <w:t xml:space="preserve"> Therefore, in line with Article 4(4) and (5) of the Withdrawal Agreement, the interpretation and application of these rights must, as a minimum, conform with the </w:t>
      </w:r>
      <w:r w:rsidR="00A076AA">
        <w:t xml:space="preserve">body of CJEU </w:t>
      </w:r>
      <w:r w:rsidR="003E49D3" w:rsidRPr="006F6E42">
        <w:t>jurisprudence, including insofar as it relates to general principles and the EU Charter of Fundamental Rights</w:t>
      </w:r>
      <w:r w:rsidR="00A076AA">
        <w:t>,</w:t>
      </w:r>
      <w:r w:rsidR="003E49D3" w:rsidRPr="006F6E42">
        <w:t xml:space="preserve"> </w:t>
      </w:r>
      <w:r w:rsidR="00A076AA">
        <w:t>on 31 December 2020</w:t>
      </w:r>
      <w:r w:rsidR="003E49D3" w:rsidRPr="006F6E42">
        <w:t xml:space="preserve">.  </w:t>
      </w:r>
      <w:r w:rsidR="007528C7">
        <w:t xml:space="preserve">In relation to </w:t>
      </w:r>
      <w:r w:rsidR="007528C7" w:rsidRPr="006F6E42">
        <w:t xml:space="preserve">any </w:t>
      </w:r>
      <w:r w:rsidR="003E49D3" w:rsidRPr="006F6E42">
        <w:t>subsequent CJEU decisions of relevance to Protocol Article 2</w:t>
      </w:r>
      <w:r w:rsidR="00E923B9">
        <w:t>, they</w:t>
      </w:r>
      <w:r w:rsidR="003E49D3" w:rsidRPr="006F6E42">
        <w:t xml:space="preserve"> should </w:t>
      </w:r>
      <w:r w:rsidR="007528C7">
        <w:t xml:space="preserve">as a minimum </w:t>
      </w:r>
      <w:r w:rsidR="003E49D3" w:rsidRPr="006F6E42">
        <w:t>be given due regard by judicial and administrative authorities.</w:t>
      </w:r>
    </w:p>
    <w:p w14:paraId="4411BA05" w14:textId="77777777" w:rsidR="003E49D3" w:rsidRPr="006F6E42" w:rsidRDefault="003E49D3" w:rsidP="003E49D3">
      <w:pPr>
        <w:pStyle w:val="ListParagraph"/>
      </w:pPr>
      <w:r w:rsidRPr="006F6E42">
        <w:t>In addition, Article 13(2) of the Protocol provides an important clarification requiring continued alignment with CJEU jurisprudence regarding EU measures listed in the Protocol:</w:t>
      </w:r>
    </w:p>
    <w:p w14:paraId="771A1FE3" w14:textId="77777777" w:rsidR="003E49D3" w:rsidRPr="006F6E42" w:rsidRDefault="003E49D3" w:rsidP="003E49D3">
      <w:pPr>
        <w:pStyle w:val="Quote"/>
      </w:pPr>
      <w:r w:rsidRPr="006F6E42">
        <w:t>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p w14:paraId="40465202" w14:textId="52D7E8A6" w:rsidR="003E49D3" w:rsidRPr="006F6E42" w:rsidRDefault="00135792" w:rsidP="003E49D3">
      <w:pPr>
        <w:pStyle w:val="ListParagraph"/>
      </w:pPr>
      <w:r>
        <w:t>T</w:t>
      </w:r>
      <w:r w:rsidR="003D6C7A" w:rsidRPr="006F6E42">
        <w:t xml:space="preserve">his </w:t>
      </w:r>
      <w:r w:rsidR="003E49D3" w:rsidRPr="006F6E42">
        <w:t>creates an additional obligation in respect of the Protocol, including Article 2.  Annex 1 to the Protocol lists six equality directives, which as noted above, require dynamic alignment.  The UK</w:t>
      </w:r>
      <w:r w:rsidR="00722DFF">
        <w:t xml:space="preserve"> Government</w:t>
      </w:r>
      <w:r w:rsidR="003E49D3" w:rsidRPr="006F6E42">
        <w:t xml:space="preserve"> has accepted that “if the EU decides to amend or replace the substantive rights in those directives to improve the minimum levels of protection available, the corresponding substantive rights protections in Northern Ireland will also develop to take account of this”.</w:t>
      </w:r>
      <w:r w:rsidR="003E49D3" w:rsidRPr="006F6E42">
        <w:rPr>
          <w:rStyle w:val="FootnoteReference"/>
        </w:rPr>
        <w:footnoteReference w:id="56"/>
      </w:r>
      <w:r w:rsidR="003E49D3" w:rsidRPr="006F6E42">
        <w:t xml:space="preserve"> </w:t>
      </w:r>
    </w:p>
    <w:p w14:paraId="64C4EB05" w14:textId="77777777" w:rsidR="003E49D3" w:rsidRPr="006F6E42" w:rsidRDefault="003E49D3" w:rsidP="007C47EC">
      <w:pPr>
        <w:pStyle w:val="ListParagraph"/>
      </w:pPr>
      <w:r w:rsidRPr="006F6E42">
        <w:t>The Commissions’ view is that</w:t>
      </w:r>
      <w:r w:rsidR="006B7FD0" w:rsidRPr="006F6E42">
        <w:t>,</w:t>
      </w:r>
      <w:r w:rsidRPr="006F6E42">
        <w:t xml:space="preserve"> in line with Article 13 of the Protocol, the Annex 1 equality directives will continue to </w:t>
      </w:r>
      <w:r w:rsidRPr="00C652D0">
        <w:t>be informed by future CJEU rulings and</w:t>
      </w:r>
      <w:r w:rsidR="6E6C6B9D" w:rsidRPr="00C652D0">
        <w:t>,</w:t>
      </w:r>
      <w:r w:rsidRPr="00C652D0">
        <w:t xml:space="preserve"> to the extent that such rulings evolve general principles of EU law, the EU Charter of Fundamental Rights and the relevant EU Treaty provisions, these will continue to have relevance in NI.</w:t>
      </w:r>
      <w:r w:rsidRPr="00C652D0">
        <w:rPr>
          <w:rStyle w:val="FootnoteReference"/>
        </w:rPr>
        <w:footnoteReference w:id="57"/>
      </w:r>
      <w:r w:rsidR="005B0630">
        <w:t xml:space="preserve"> </w:t>
      </w:r>
      <w:r w:rsidR="004A0A25" w:rsidRPr="006F6E42">
        <w:t>In the NI High Court, Colton J noted that there is no temporal limitation on Article 13(2) of the Protocol.</w:t>
      </w:r>
      <w:r w:rsidR="004A0A25" w:rsidRPr="006F6E42">
        <w:rPr>
          <w:rStyle w:val="FootnoteReference"/>
        </w:rPr>
        <w:footnoteReference w:id="58"/>
      </w:r>
      <w:r w:rsidR="004A0A25" w:rsidRPr="006F6E42">
        <w:t xml:space="preserve"> </w:t>
      </w:r>
    </w:p>
    <w:p w14:paraId="717905EA" w14:textId="1E327475" w:rsidR="003E49D3" w:rsidRPr="007528C7" w:rsidRDefault="003D6C7A" w:rsidP="003E49D3">
      <w:pPr>
        <w:pStyle w:val="ListParagraph"/>
      </w:pPr>
      <w:r w:rsidRPr="007528C7">
        <w:t>The Commissions are mindful that future case law of the CJEU which, for example, reference</w:t>
      </w:r>
      <w:r w:rsidR="002B0202">
        <w:t>s</w:t>
      </w:r>
      <w:r w:rsidRPr="007528C7">
        <w:t xml:space="preserve"> established</w:t>
      </w:r>
      <w:r w:rsidR="007528C7" w:rsidRPr="007528C7">
        <w:t xml:space="preserve"> </w:t>
      </w:r>
      <w:r w:rsidR="007528C7">
        <w:t xml:space="preserve">and longstanding </w:t>
      </w:r>
      <w:r w:rsidRPr="007528C7">
        <w:t xml:space="preserve">general principles </w:t>
      </w:r>
      <w:r w:rsidR="007528C7">
        <w:t xml:space="preserve">or </w:t>
      </w:r>
      <w:r w:rsidRPr="007528C7">
        <w:t xml:space="preserve">rights under the EU Charter </w:t>
      </w:r>
      <w:r w:rsidR="00002E8A">
        <w:t xml:space="preserve">will </w:t>
      </w:r>
      <w:r w:rsidRPr="007528C7">
        <w:t>continue to have relevance to Protocol Article 2</w:t>
      </w:r>
      <w:r w:rsidR="007528C7" w:rsidRPr="007528C7">
        <w:t xml:space="preserve"> and </w:t>
      </w:r>
      <w:r w:rsidR="007528C7">
        <w:t xml:space="preserve">its interpretation. </w:t>
      </w:r>
    </w:p>
    <w:p w14:paraId="4AE4DFD0" w14:textId="77777777" w:rsidR="003E49D3" w:rsidRPr="006F6E42" w:rsidRDefault="003E49D3" w:rsidP="00535553">
      <w:pPr>
        <w:pStyle w:val="ListParagraph"/>
      </w:pPr>
      <w:r w:rsidRPr="006F6E42">
        <w:t>Under the UK-EU Withdrawal Agreement, there is no recourse to refer questions arising out of the commitment in Protocol Article 2 to the CJEU.</w:t>
      </w:r>
      <w:r w:rsidRPr="006F6E42">
        <w:rPr>
          <w:rStyle w:val="FootnoteReference"/>
        </w:rPr>
        <w:footnoteReference w:id="59"/>
      </w:r>
      <w:r w:rsidRPr="006F6E42">
        <w:t xml:space="preserve"> Nevertheless, CJEU case law will continue to play a</w:t>
      </w:r>
      <w:r w:rsidR="009D6A0A">
        <w:t xml:space="preserve">n important </w:t>
      </w:r>
      <w:r w:rsidRPr="006F6E42">
        <w:t>role in the application and interpretation of the rights and safeguards in Protocol Article 2</w:t>
      </w:r>
      <w:r w:rsidR="009D6A0A">
        <w:t xml:space="preserve">, </w:t>
      </w:r>
      <w:r w:rsidR="009D6A0A" w:rsidRPr="009D6A0A">
        <w:t xml:space="preserve">particularly as regards the rights underpinned by the Annex 1 equality </w:t>
      </w:r>
      <w:r w:rsidR="003C3322">
        <w:t>d</w:t>
      </w:r>
      <w:r w:rsidR="009D6A0A" w:rsidRPr="009D6A0A">
        <w:t>irectives</w:t>
      </w:r>
      <w:r w:rsidRPr="006F6E42">
        <w:t xml:space="preserve">. </w:t>
      </w:r>
    </w:p>
    <w:p w14:paraId="496B0781" w14:textId="77777777" w:rsidR="00917A21" w:rsidRPr="006F6E42" w:rsidRDefault="009266AA" w:rsidP="00785A72">
      <w:pPr>
        <w:pStyle w:val="Heading1"/>
      </w:pPr>
      <w:bookmarkStart w:id="29" w:name="_Hlk89353196"/>
      <w:bookmarkStart w:id="30" w:name="_Toc122447031"/>
      <w:r>
        <w:t xml:space="preserve">‘Results from’ </w:t>
      </w:r>
      <w:r w:rsidR="00097391">
        <w:t xml:space="preserve">UK </w:t>
      </w:r>
      <w:r w:rsidR="00917A21">
        <w:t>Withdrawal from the EU</w:t>
      </w:r>
      <w:bookmarkEnd w:id="30"/>
      <w:r w:rsidR="00917A21">
        <w:t xml:space="preserve"> </w:t>
      </w:r>
    </w:p>
    <w:p w14:paraId="2A0BAAA5" w14:textId="77777777" w:rsidR="00DB166D" w:rsidRPr="006F6E42" w:rsidRDefault="00DB166D" w:rsidP="00DB166D">
      <w:pPr>
        <w:pStyle w:val="ListParagraph"/>
        <w:numPr>
          <w:ilvl w:val="0"/>
          <w:numId w:val="1"/>
        </w:numPr>
        <w:rPr>
          <w:vanish/>
        </w:rPr>
      </w:pPr>
      <w:bookmarkStart w:id="31" w:name="_Toc87020441"/>
      <w:bookmarkEnd w:id="29"/>
    </w:p>
    <w:p w14:paraId="1C9E3A0F" w14:textId="77777777" w:rsidR="009B11E2" w:rsidRPr="006F6E42" w:rsidRDefault="009B11E2" w:rsidP="009B11E2">
      <w:pPr>
        <w:pStyle w:val="ListParagraph"/>
      </w:pPr>
      <w:r w:rsidRPr="006F6E42">
        <w:t xml:space="preserve">The UK is no longer a member of the </w:t>
      </w:r>
      <w:proofErr w:type="gramStart"/>
      <w:r w:rsidRPr="006F6E42">
        <w:t>EU</w:t>
      </w:r>
      <w:proofErr w:type="gramEnd"/>
      <w:r w:rsidRPr="006F6E42">
        <w:t xml:space="preserve"> and the terms of its departure are governed by the UK-EU Withdrawal Agreement.  Unless there is specific commitment to do otherwise in the UK-EU Withdrawal Agreement, including Protocol Article 2, or the UK-EU Trade and Cooperation Agreement</w:t>
      </w:r>
      <w:r w:rsidR="009D6A0A">
        <w:t xml:space="preserve"> (or any future UK-EU Agreement)</w:t>
      </w:r>
      <w:r w:rsidRPr="006F6E42">
        <w:t>, the UK is no longer bound by EU obligations.</w:t>
      </w:r>
    </w:p>
    <w:p w14:paraId="7D261B2D" w14:textId="77777777" w:rsidR="00DB166D" w:rsidRPr="006F6E42" w:rsidRDefault="00DB166D" w:rsidP="00DB166D">
      <w:pPr>
        <w:pStyle w:val="ListParagraph"/>
      </w:pPr>
      <w:r w:rsidRPr="006F6E42">
        <w:t xml:space="preserve">On 31 December 2020, UK law </w:t>
      </w:r>
      <w:r w:rsidR="00FA45FC" w:rsidRPr="006F6E42">
        <w:t>was required</w:t>
      </w:r>
      <w:r w:rsidRPr="006F6E42">
        <w:t xml:space="preserve"> to be fully compliant with </w:t>
      </w:r>
      <w:r w:rsidR="00FA45FC" w:rsidRPr="006F6E42">
        <w:t xml:space="preserve">the </w:t>
      </w:r>
      <w:r w:rsidRPr="006F6E42">
        <w:t xml:space="preserve">EU </w:t>
      </w:r>
      <w:r w:rsidR="00FA45FC" w:rsidRPr="006F6E42">
        <w:t xml:space="preserve">obligations </w:t>
      </w:r>
      <w:r w:rsidRPr="006F6E42">
        <w:t xml:space="preserve">of its membership.  Protocol Article 2 links the diminution of rights standards to the UK leaving the EU, so it follows that for </w:t>
      </w:r>
      <w:r w:rsidR="009D6A0A">
        <w:t xml:space="preserve">any </w:t>
      </w:r>
      <w:r w:rsidR="00E923B9">
        <w:t>potential breach</w:t>
      </w:r>
      <w:r w:rsidR="00E923B9" w:rsidRPr="006F6E42">
        <w:t xml:space="preserve"> </w:t>
      </w:r>
      <w:r w:rsidRPr="006F6E42">
        <w:t>to fall within scope of Protocol Article 2, it should be something that would have been incompatible with</w:t>
      </w:r>
      <w:r w:rsidR="008E7D46" w:rsidRPr="006F6E42">
        <w:t xml:space="preserve"> the UK’s </w:t>
      </w:r>
      <w:r w:rsidRPr="006F6E42">
        <w:t>membership</w:t>
      </w:r>
      <w:r w:rsidR="008E7D46" w:rsidRPr="006F6E42">
        <w:t xml:space="preserve"> of the EU</w:t>
      </w:r>
      <w:r w:rsidRPr="006F6E42">
        <w:t xml:space="preserve">. </w:t>
      </w:r>
    </w:p>
    <w:p w14:paraId="39ED835C" w14:textId="77777777" w:rsidR="00041860" w:rsidRPr="006F6E42" w:rsidRDefault="00041860" w:rsidP="00041860">
      <w:pPr>
        <w:pStyle w:val="ListParagraph"/>
      </w:pPr>
      <w:r w:rsidRPr="006F6E42">
        <w:t>For the purposes of the Withdrawal Agreement, any reference to EU law includes:</w:t>
      </w:r>
    </w:p>
    <w:p w14:paraId="67D53D8E" w14:textId="77777777" w:rsidR="00041860" w:rsidRPr="006F6E42" w:rsidRDefault="00041860" w:rsidP="00880A2F">
      <w:pPr>
        <w:pStyle w:val="Bulletlist"/>
        <w:spacing w:after="240" w:line="240" w:lineRule="auto"/>
      </w:pPr>
      <w:r w:rsidRPr="006F6E42">
        <w:t xml:space="preserve">the foundational treaties and the EU Charter of Fundamental Rights; </w:t>
      </w:r>
    </w:p>
    <w:p w14:paraId="7AA76851" w14:textId="77777777" w:rsidR="00041860" w:rsidRPr="006F6E42" w:rsidRDefault="00041860" w:rsidP="00880A2F">
      <w:pPr>
        <w:pStyle w:val="Bulletlist"/>
        <w:spacing w:after="240" w:line="240" w:lineRule="auto"/>
      </w:pPr>
      <w:r w:rsidRPr="006F6E42">
        <w:t>the General Principles of EU law including fundamental rights,</w:t>
      </w:r>
      <w:r w:rsidRPr="006F6E42">
        <w:rPr>
          <w:rStyle w:val="FootnoteReference"/>
        </w:rPr>
        <w:footnoteReference w:id="60"/>
      </w:r>
      <w:r w:rsidRPr="006F6E42">
        <w:t xml:space="preserve"> proportionality,</w:t>
      </w:r>
      <w:r w:rsidRPr="006F6E42">
        <w:rPr>
          <w:rStyle w:val="FootnoteReference"/>
        </w:rPr>
        <w:footnoteReference w:id="61"/>
      </w:r>
      <w:r w:rsidRPr="006F6E42">
        <w:t xml:space="preserve"> legal certainty,</w:t>
      </w:r>
      <w:r w:rsidRPr="006F6E42">
        <w:rPr>
          <w:rStyle w:val="FootnoteReference"/>
        </w:rPr>
        <w:footnoteReference w:id="62"/>
      </w:r>
      <w:r w:rsidRPr="006F6E42">
        <w:t xml:space="preserve"> legitimate expectations,</w:t>
      </w:r>
      <w:r w:rsidRPr="006F6E42">
        <w:rPr>
          <w:rStyle w:val="FootnoteReference"/>
        </w:rPr>
        <w:footnoteReference w:id="63"/>
      </w:r>
      <w:r w:rsidRPr="006F6E42">
        <w:t xml:space="preserve"> equality and non-discrimination,</w:t>
      </w:r>
      <w:r w:rsidRPr="006F6E42">
        <w:rPr>
          <w:rStyle w:val="FootnoteReference"/>
        </w:rPr>
        <w:footnoteReference w:id="64"/>
      </w:r>
      <w:r w:rsidRPr="006F6E42">
        <w:t xml:space="preserve"> transparency</w:t>
      </w:r>
      <w:r w:rsidRPr="006F6E42">
        <w:rPr>
          <w:rStyle w:val="FootnoteReference"/>
        </w:rPr>
        <w:footnoteReference w:id="65"/>
      </w:r>
      <w:r w:rsidRPr="006F6E42">
        <w:t xml:space="preserve"> and the precautionary principle;</w:t>
      </w:r>
      <w:r w:rsidRPr="006F6E42">
        <w:rPr>
          <w:rStyle w:val="FootnoteReference"/>
        </w:rPr>
        <w:footnoteReference w:id="66"/>
      </w:r>
      <w:r w:rsidRPr="006F6E42">
        <w:t xml:space="preserve">  </w:t>
      </w:r>
    </w:p>
    <w:p w14:paraId="0359F5AC" w14:textId="77777777" w:rsidR="00041860" w:rsidRPr="006F6E42" w:rsidRDefault="00041860" w:rsidP="00880A2F">
      <w:pPr>
        <w:pStyle w:val="Bulletlist"/>
        <w:spacing w:after="240" w:line="240" w:lineRule="auto"/>
      </w:pPr>
      <w:r w:rsidRPr="006F6E42">
        <w:t>legislative acts adopted by the EU institutions, including directives, regulations and decisions; and</w:t>
      </w:r>
    </w:p>
    <w:p w14:paraId="2D327FE8" w14:textId="77777777" w:rsidR="00041860" w:rsidRPr="006F6E42" w:rsidRDefault="00041860" w:rsidP="00880A2F">
      <w:pPr>
        <w:pStyle w:val="Bulletlist"/>
        <w:spacing w:after="240" w:line="240" w:lineRule="auto"/>
      </w:pPr>
      <w:r w:rsidRPr="006F6E42">
        <w:t>international agreements to which the EU is party.</w:t>
      </w:r>
      <w:r w:rsidRPr="006F6E42">
        <w:rPr>
          <w:rStyle w:val="FootnoteReference"/>
        </w:rPr>
        <w:footnoteReference w:id="67"/>
      </w:r>
    </w:p>
    <w:p w14:paraId="0561B882" w14:textId="51956D84" w:rsidR="009B11E2" w:rsidRPr="006F6E42" w:rsidRDefault="009B11E2" w:rsidP="009B11E2">
      <w:pPr>
        <w:pStyle w:val="ListParagraph"/>
      </w:pPr>
      <w:r w:rsidRPr="006F6E42">
        <w:t xml:space="preserve">The commitment in Protocol Article 2 is a unilateral commitment of the UK and does not impose any reciprocal obligation on the EU or on any </w:t>
      </w:r>
      <w:r w:rsidRPr="009F14CF">
        <w:t xml:space="preserve">EU </w:t>
      </w:r>
      <w:r w:rsidR="007A0518" w:rsidRPr="009F14CF">
        <w:t>M</w:t>
      </w:r>
      <w:r w:rsidRPr="009F14CF">
        <w:t xml:space="preserve">ember </w:t>
      </w:r>
      <w:r w:rsidR="007A0518" w:rsidRPr="009F14CF">
        <w:t>S</w:t>
      </w:r>
      <w:r w:rsidRPr="009F14CF">
        <w:t>tate</w:t>
      </w:r>
      <w:r w:rsidRPr="006F6E42">
        <w:t xml:space="preserve">.  Nevertheless, the UK and EU have a shared responsibility </w:t>
      </w:r>
      <w:r w:rsidR="00956DE6">
        <w:t>for</w:t>
      </w:r>
      <w:r w:rsidR="00956DE6" w:rsidRPr="006F6E42">
        <w:t xml:space="preserve"> </w:t>
      </w:r>
      <w:r w:rsidRPr="006F6E42">
        <w:t>the good faith implementation of the Agreement, including Protocol Article 2.</w:t>
      </w:r>
      <w:r w:rsidR="002C0767">
        <w:rPr>
          <w:rStyle w:val="FootnoteReference"/>
        </w:rPr>
        <w:footnoteReference w:id="68"/>
      </w:r>
      <w:r w:rsidRPr="006F6E42">
        <w:t xml:space="preserve">    </w:t>
      </w:r>
    </w:p>
    <w:p w14:paraId="10F002CF" w14:textId="77777777" w:rsidR="00DB166D" w:rsidRPr="006F6E42" w:rsidRDefault="00DB166D" w:rsidP="00DB166D">
      <w:pPr>
        <w:pStyle w:val="ListParagraph"/>
      </w:pPr>
      <w:r w:rsidRPr="006F6E42">
        <w:t>As the UK moves to diverge from the shared rules which emanated from the EU, issues will arise over time as and when the Westminster Parliament or NI Assembly start to change laws applicable in NI in ways that might break with the EU obligations which bound UK action when it was a Member State.</w:t>
      </w:r>
    </w:p>
    <w:p w14:paraId="62A87FC9" w14:textId="77777777" w:rsidR="00041860" w:rsidRPr="006F6E42" w:rsidRDefault="00041860" w:rsidP="00E50653">
      <w:pPr>
        <w:pStyle w:val="Heading2"/>
      </w:pPr>
      <w:bookmarkStart w:id="32" w:name="_Toc122447032"/>
      <w:r>
        <w:t>Transposing EU measures into NI law</w:t>
      </w:r>
      <w:bookmarkEnd w:id="32"/>
    </w:p>
    <w:p w14:paraId="753B31E2" w14:textId="6CC4FF98" w:rsidR="00041860" w:rsidRPr="006F6E42" w:rsidRDefault="009266AA" w:rsidP="00041860">
      <w:pPr>
        <w:pStyle w:val="ListParagraph"/>
      </w:pPr>
      <w:r>
        <w:t xml:space="preserve">When considering whether a diminution has occurred as a result of the UK withdrawal from the EU, it is necessary to see how the relevant underpinning EU law has been </w:t>
      </w:r>
      <w:r w:rsidR="00B12105">
        <w:t>‘</w:t>
      </w:r>
      <w:r>
        <w:t>transposed</w:t>
      </w:r>
      <w:r w:rsidR="00B12105">
        <w:t>’</w:t>
      </w:r>
      <w:r>
        <w:t xml:space="preserve"> into NI law</w:t>
      </w:r>
      <w:r w:rsidR="007A0518">
        <w:t xml:space="preserve">. </w:t>
      </w:r>
      <w:r w:rsidR="007A0518" w:rsidRPr="00002E8A">
        <w:t>This</w:t>
      </w:r>
      <w:r w:rsidR="00041860" w:rsidRPr="006F6E42">
        <w:t xml:space="preserve"> can be a complex exercise. Where there is a specific implementing measure for a particular EU law, these can be easily identified. For example, when domestic legislation explicitly acknowledges that it is giving effect to an EU obligation.  However, the UK could and did rely on a range of measures to give effect to its EU obligations, without always clarifying the link between the UK and the EU law. Therefore, it is not always easy to identify which UK</w:t>
      </w:r>
      <w:r w:rsidR="00091413">
        <w:t>-</w:t>
      </w:r>
      <w:r w:rsidR="00041860" w:rsidRPr="006F6E42">
        <w:t>wide and NI</w:t>
      </w:r>
      <w:r w:rsidR="00091413">
        <w:t>-</w:t>
      </w:r>
      <w:r w:rsidR="00041860" w:rsidRPr="006F6E42">
        <w:t xml:space="preserve">specific laws give effect to an underpinning EU law falling within scope of Protocol Article 2. Failure to </w:t>
      </w:r>
      <w:r w:rsidR="00041860" w:rsidRPr="00D55192">
        <w:t>acknowledge a</w:t>
      </w:r>
      <w:r w:rsidR="00041860" w:rsidRPr="006F6E42">
        <w:t xml:space="preserve"> relevant EU law in a UK implementing measure does not mean that a piece of domestic legislation is outside the scope of Protocol Article 2.</w:t>
      </w:r>
      <w:r w:rsidR="002F5206">
        <w:rPr>
          <w:rStyle w:val="FootnoteReference"/>
        </w:rPr>
        <w:footnoteReference w:id="69"/>
      </w:r>
      <w:r w:rsidR="00041860" w:rsidRPr="006F6E42">
        <w:t xml:space="preserve">  </w:t>
      </w:r>
    </w:p>
    <w:p w14:paraId="7AF5B292" w14:textId="77777777" w:rsidR="00041860" w:rsidRPr="006F6E42" w:rsidRDefault="00041860" w:rsidP="00041860">
      <w:pPr>
        <w:pStyle w:val="ListParagraph"/>
      </w:pPr>
      <w:r w:rsidRPr="006F6E42">
        <w:t>When identifying EU obligations within the scope of Protocol Article 2, it is necessary to interpret any EU law in light of the Treaties, the Charter of Fundamental Rights, general principles of EU law and the relevant CJEU jurisprudence.</w:t>
      </w:r>
    </w:p>
    <w:p w14:paraId="3ED07477" w14:textId="77777777" w:rsidR="00041860" w:rsidRPr="006F6E4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For example, the recitals of the (Recast) Equal Treatment (Employment) Directive include references to the CJEU case law recognising that the prohibition on sex discrimination encompasses transgender discrimination.</w:t>
      </w:r>
      <w:r w:rsidRPr="5F2293AE">
        <w:rPr>
          <w:rStyle w:val="FootnoteReference"/>
        </w:rPr>
        <w:footnoteReference w:id="70"/>
      </w:r>
      <w:r w:rsidRPr="006F6E42">
        <w:t xml:space="preserve">  </w:t>
      </w:r>
    </w:p>
    <w:p w14:paraId="5E10C295" w14:textId="77777777" w:rsidR="00041860" w:rsidRPr="006F6E4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The CJEU has made it clear in relation to the Equal Treatment (Employment) Directive that “to tolerate such discrimination would be tantamount, as regards such a person, to a failure to respect the dignity and freedom to which he or she is entitled, and which the Court has a duty to safeguard”.</w:t>
      </w:r>
      <w:r w:rsidRPr="5F2293AE">
        <w:rPr>
          <w:rStyle w:val="FootnoteReference"/>
        </w:rPr>
        <w:footnoteReference w:id="71"/>
      </w:r>
      <w:r w:rsidRPr="006F6E42">
        <w:t xml:space="preserve"> </w:t>
      </w:r>
    </w:p>
    <w:p w14:paraId="4405C7AA" w14:textId="41BB4B7A" w:rsidR="00AE7CD3" w:rsidRDefault="00AE7CD3"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AE7CD3">
        <w:t xml:space="preserve">By contrast, the Equal Treatment (Goods and Services) Directive, which prohibits sex discrimination in access to goods and services does not include any such express reference to </w:t>
      </w:r>
      <w:r w:rsidR="000F6DDE">
        <w:t xml:space="preserve">the case law recognising </w:t>
      </w:r>
      <w:r w:rsidRPr="00AE7CD3">
        <w:t>transgender discrimination in its recitals.</w:t>
      </w:r>
      <w:r w:rsidR="009F37BB" w:rsidRPr="006F6E42">
        <w:rPr>
          <w:rStyle w:val="FootnoteReference"/>
        </w:rPr>
        <w:footnoteReference w:id="72"/>
      </w:r>
      <w:r w:rsidRPr="00AE7CD3">
        <w:t xml:space="preserve"> </w:t>
      </w:r>
      <w:r w:rsidR="00226822">
        <w:t xml:space="preserve"> </w:t>
      </w:r>
    </w:p>
    <w:p w14:paraId="2CC99010" w14:textId="77777777" w:rsidR="00226822" w:rsidRDefault="00041860" w:rsidP="00041860">
      <w:pPr>
        <w:pStyle w:val="ListParagraph"/>
        <w:numPr>
          <w:ilvl w:val="1"/>
          <w:numId w:val="0"/>
        </w:numPr>
        <w:pBdr>
          <w:top w:val="single" w:sz="4" w:space="1" w:color="auto"/>
          <w:left w:val="single" w:sz="4" w:space="4" w:color="auto"/>
          <w:bottom w:val="single" w:sz="4" w:space="1" w:color="auto"/>
          <w:right w:val="single" w:sz="4" w:space="4" w:color="auto"/>
        </w:pBdr>
      </w:pPr>
      <w:r w:rsidRPr="006F6E42">
        <w:t xml:space="preserve">Nevertheless, in its transposing law for the Equal Treatment (Goods and Services) Directive, the UK </w:t>
      </w:r>
      <w:r w:rsidR="008F77E3" w:rsidRPr="006F6E42">
        <w:t xml:space="preserve">Government </w:t>
      </w:r>
      <w:r w:rsidRPr="006F6E42">
        <w:t>made it clear it was legislating to ensure compliance with its EU obligations</w:t>
      </w:r>
      <w:r w:rsidR="00DE6C3E">
        <w:t>,</w:t>
      </w:r>
      <w:r w:rsidRPr="006F6E42">
        <w:t xml:space="preserve"> in the context of resistance by the then First Minister to legislating on the rights of trans people.</w:t>
      </w:r>
      <w:r w:rsidRPr="5F2293AE">
        <w:rPr>
          <w:rStyle w:val="FootnoteReference"/>
        </w:rPr>
        <w:footnoteReference w:id="73"/>
      </w:r>
      <w:r w:rsidRPr="006F6E42">
        <w:t xml:space="preserve">  </w:t>
      </w:r>
    </w:p>
    <w:p w14:paraId="4BA87E58" w14:textId="77777777" w:rsidR="002F70C2" w:rsidRDefault="00226822" w:rsidP="00041860">
      <w:pPr>
        <w:pStyle w:val="ListParagraph"/>
        <w:numPr>
          <w:ilvl w:val="0"/>
          <w:numId w:val="0"/>
        </w:numPr>
        <w:pBdr>
          <w:top w:val="single" w:sz="4" w:space="1" w:color="auto"/>
          <w:left w:val="single" w:sz="4" w:space="4" w:color="auto"/>
          <w:bottom w:val="single" w:sz="4" w:space="1" w:color="auto"/>
          <w:right w:val="single" w:sz="4" w:space="4" w:color="auto"/>
        </w:pBdr>
      </w:pPr>
      <w:r>
        <w:t xml:space="preserve">Even though the </w:t>
      </w:r>
      <w:r w:rsidRPr="00AE7CD3">
        <w:t>Equal Treatment (Goods and Services) Directive</w:t>
      </w:r>
      <w:r w:rsidRPr="006F6E42">
        <w:t xml:space="preserve"> </w:t>
      </w:r>
      <w:r>
        <w:t xml:space="preserve">makes no reference to the case law interpreting </w:t>
      </w:r>
      <w:r w:rsidR="002F70C2">
        <w:t xml:space="preserve">the prohibition on </w:t>
      </w:r>
      <w:r>
        <w:t xml:space="preserve">sex </w:t>
      </w:r>
      <w:r w:rsidR="002F70C2">
        <w:t>discrimination</w:t>
      </w:r>
      <w:r>
        <w:t xml:space="preserve"> </w:t>
      </w:r>
      <w:r w:rsidR="002F70C2">
        <w:t xml:space="preserve">encompassing </w:t>
      </w:r>
      <w:r w:rsidRPr="006F6E42">
        <w:t>transgender discrimination</w:t>
      </w:r>
      <w:r w:rsidR="002F70C2">
        <w:t xml:space="preserve">, the UK recognised this broader EU </w:t>
      </w:r>
      <w:r w:rsidR="00776EAC">
        <w:t xml:space="preserve">legal </w:t>
      </w:r>
      <w:r w:rsidR="002F70C2">
        <w:t>obligation</w:t>
      </w:r>
      <w:r w:rsidR="000B136E">
        <w:t xml:space="preserve"> in the domestic transposing legislation</w:t>
      </w:r>
      <w:r w:rsidR="002F70C2">
        <w:t xml:space="preserve">. </w:t>
      </w:r>
    </w:p>
    <w:p w14:paraId="1A03C937" w14:textId="77777777" w:rsidR="00041860" w:rsidRPr="006F6E42" w:rsidRDefault="002F70C2" w:rsidP="00041860">
      <w:pPr>
        <w:pStyle w:val="ListParagraph"/>
        <w:numPr>
          <w:ilvl w:val="0"/>
          <w:numId w:val="0"/>
        </w:numPr>
        <w:pBdr>
          <w:top w:val="single" w:sz="4" w:space="1" w:color="auto"/>
          <w:left w:val="single" w:sz="4" w:space="4" w:color="auto"/>
          <w:bottom w:val="single" w:sz="4" w:space="1" w:color="auto"/>
          <w:right w:val="single" w:sz="4" w:space="4" w:color="auto"/>
        </w:pBdr>
      </w:pPr>
      <w:r>
        <w:t xml:space="preserve">This example demonstrates that </w:t>
      </w:r>
      <w:r w:rsidR="000B136E">
        <w:t xml:space="preserve">when </w:t>
      </w:r>
      <w:r>
        <w:t>identifying relevant underpinning EU law, it is not sufficient to simply look to the text of the EU measure</w:t>
      </w:r>
      <w:r w:rsidR="000B136E">
        <w:t xml:space="preserve">, which </w:t>
      </w:r>
      <w:r>
        <w:t xml:space="preserve">must be read in light of relevant case law. </w:t>
      </w:r>
    </w:p>
    <w:p w14:paraId="1E4B1541" w14:textId="77777777" w:rsidR="00041860" w:rsidRPr="006F6E42" w:rsidRDefault="00041860" w:rsidP="004E1650">
      <w:pPr>
        <w:pStyle w:val="ListParagraph"/>
      </w:pPr>
      <w:r w:rsidRPr="006F6E42">
        <w:t>In addition, a UK or NI law which transposes an EU</w:t>
      </w:r>
      <w:r w:rsidR="009D0B29">
        <w:t xml:space="preserve"> legal</w:t>
      </w:r>
      <w:r w:rsidRPr="006F6E42">
        <w:t xml:space="preserve"> obligation may go further than the original EU law required. Therefore, additional consideration is </w:t>
      </w:r>
      <w:r w:rsidR="00DD77A9" w:rsidRPr="006F6E42">
        <w:t>necessary</w:t>
      </w:r>
      <w:r w:rsidRPr="006F6E42">
        <w:t xml:space="preserve"> to understand the extent to which that </w:t>
      </w:r>
      <w:r w:rsidR="00253BC7">
        <w:t>UK or NI</w:t>
      </w:r>
      <w:r w:rsidRPr="006F6E42">
        <w:t xml:space="preserve"> law can be narrowed in scope before it undermines the core EU </w:t>
      </w:r>
      <w:r w:rsidR="00E923B9">
        <w:t xml:space="preserve">legal </w:t>
      </w:r>
      <w:r w:rsidRPr="006F6E42">
        <w:t>obligation, and results in a diminution of rights within scope of Protocol Article 2.</w:t>
      </w:r>
    </w:p>
    <w:p w14:paraId="417B2306" w14:textId="77777777" w:rsidR="00E50653" w:rsidRPr="006F6E42" w:rsidRDefault="00E50653" w:rsidP="00E50653">
      <w:pPr>
        <w:pStyle w:val="ListParagraph"/>
      </w:pPr>
      <w:r w:rsidRPr="006F6E42">
        <w:t xml:space="preserve">When the UK was a Member State of the EU, it was required to ensure that </w:t>
      </w:r>
      <w:r w:rsidR="00E923B9">
        <w:t>its</w:t>
      </w:r>
      <w:r w:rsidR="00E923B9" w:rsidRPr="006F6E42">
        <w:t xml:space="preserve"> </w:t>
      </w:r>
      <w:r w:rsidRPr="006F6E42">
        <w:t xml:space="preserve">domestic rules complied with the requirements of that membership. Where UK domestic laws did not align with EU obligations, then the EU Commission could </w:t>
      </w:r>
      <w:r w:rsidR="0012772E">
        <w:t xml:space="preserve">have </w:t>
      </w:r>
      <w:r w:rsidRPr="006F6E42">
        <w:t>take</w:t>
      </w:r>
      <w:r w:rsidR="0012772E">
        <w:t>n</w:t>
      </w:r>
      <w:r w:rsidRPr="006F6E42">
        <w:t xml:space="preserve"> action to ensure compliance.</w:t>
      </w:r>
      <w:r w:rsidRPr="006F6E42">
        <w:rPr>
          <w:rStyle w:val="FootnoteReference"/>
        </w:rPr>
        <w:footnoteReference w:id="74"/>
      </w:r>
      <w:r w:rsidRPr="006F6E42">
        <w:t xml:space="preserve"> Similarly, individuals (natural and legal persons) were able to take legal action in UK courts to ensure that their rights under EU law were adequately protected. Where a UK court found that UK law conflicted with EU law, it could </w:t>
      </w:r>
      <w:r w:rsidR="0012772E">
        <w:t xml:space="preserve">have </w:t>
      </w:r>
      <w:r w:rsidR="00AC77F7" w:rsidRPr="00AC77F7">
        <w:t>take</w:t>
      </w:r>
      <w:r w:rsidR="0012772E">
        <w:t>n</w:t>
      </w:r>
      <w:r w:rsidR="00AC77F7" w:rsidRPr="00AC77F7">
        <w:t xml:space="preserve"> the necessary steps to ensure EU law is given effect, which may</w:t>
      </w:r>
      <w:r w:rsidR="00335E20">
        <w:t xml:space="preserve"> have</w:t>
      </w:r>
      <w:r w:rsidR="00AC77F7" w:rsidRPr="00AC77F7">
        <w:t xml:space="preserve"> include</w:t>
      </w:r>
      <w:r w:rsidR="00335E20">
        <w:t>d</w:t>
      </w:r>
      <w:r w:rsidR="00AC77F7" w:rsidRPr="00AC77F7">
        <w:t xml:space="preserve"> disapplying</w:t>
      </w:r>
      <w:r w:rsidR="00AC77F7">
        <w:t xml:space="preserve"> the</w:t>
      </w:r>
      <w:r w:rsidR="00AC77F7" w:rsidRPr="00AC77F7">
        <w:t xml:space="preserve"> </w:t>
      </w:r>
      <w:r w:rsidR="00AC77F7">
        <w:t>UK law to the extent of such a conflict</w:t>
      </w:r>
      <w:r w:rsidRPr="006F6E42">
        <w:t>.</w:t>
      </w:r>
      <w:r w:rsidRPr="006F6E42">
        <w:rPr>
          <w:rStyle w:val="FootnoteReference"/>
        </w:rPr>
        <w:footnoteReference w:id="75"/>
      </w:r>
      <w:r w:rsidRPr="006F6E42">
        <w:t xml:space="preserve"> </w:t>
      </w:r>
    </w:p>
    <w:p w14:paraId="2BFB70CD" w14:textId="6C974AF9" w:rsidR="00845AB5" w:rsidRPr="00CD5299" w:rsidRDefault="004E1650" w:rsidP="004E1650">
      <w:pPr>
        <w:pStyle w:val="ListParagraph"/>
      </w:pPr>
      <w:r w:rsidRPr="006F6E42">
        <w:t xml:space="preserve">All EU law obligations </w:t>
      </w:r>
      <w:r w:rsidR="00901AB4">
        <w:t xml:space="preserve">which were binding on the UK </w:t>
      </w:r>
      <w:r w:rsidR="00181043" w:rsidRPr="004255B9">
        <w:t xml:space="preserve">on </w:t>
      </w:r>
      <w:r w:rsidR="004F4A36">
        <w:t xml:space="preserve">or before </w:t>
      </w:r>
      <w:r w:rsidR="00181043" w:rsidRPr="004255B9">
        <w:t xml:space="preserve">31 December </w:t>
      </w:r>
      <w:r w:rsidR="00181043" w:rsidRPr="009E5469">
        <w:t>2020</w:t>
      </w:r>
      <w:r w:rsidR="00901AB4">
        <w:t xml:space="preserve"> </w:t>
      </w:r>
      <w:r w:rsidRPr="006F6E42">
        <w:t>were part of domestic UK law</w:t>
      </w:r>
      <w:r w:rsidRPr="00F4664C">
        <w:t xml:space="preserve">, although how they were enforced </w:t>
      </w:r>
      <w:r w:rsidR="00F4664C">
        <w:t xml:space="preserve">and given effect in NI law </w:t>
      </w:r>
      <w:r w:rsidRPr="00F4664C">
        <w:t>depended on the nature of the EU measure.</w:t>
      </w:r>
      <w:r w:rsidR="00901AB4">
        <w:rPr>
          <w:rStyle w:val="FootnoteReference"/>
        </w:rPr>
        <w:footnoteReference w:id="76"/>
      </w:r>
      <w:r w:rsidRPr="006F6E42">
        <w:t xml:space="preserve"> </w:t>
      </w:r>
      <w:r w:rsidR="00360730" w:rsidRPr="00360730">
        <w:t xml:space="preserve">Where an EU measure was directly applicable </w:t>
      </w:r>
      <w:r w:rsidR="00181043">
        <w:t xml:space="preserve">on </w:t>
      </w:r>
      <w:r w:rsidR="004F4A36">
        <w:t xml:space="preserve">or before </w:t>
      </w:r>
      <w:r w:rsidR="00181043">
        <w:t>31 December 2020</w:t>
      </w:r>
      <w:r w:rsidR="00360730" w:rsidRPr="00360730">
        <w:t>, it did not require any additional implementing legislation for it to apply in NI.  Further, where an EU measure did require additional implementing legislation in NI, it may still be capable of having direct or indirect effect, provided it met the necessary conditions.</w:t>
      </w:r>
      <w:r w:rsidR="00360730">
        <w:rPr>
          <w:rStyle w:val="FootnoteReference"/>
        </w:rPr>
        <w:footnoteReference w:id="77"/>
      </w:r>
      <w:r w:rsidR="00360730" w:rsidRPr="00360730">
        <w:t xml:space="preserve"> </w:t>
      </w:r>
      <w:r w:rsidR="00360730">
        <w:t xml:space="preserve"> </w:t>
      </w:r>
      <w:r w:rsidR="00B7068F" w:rsidRPr="00CD5299">
        <w:t xml:space="preserve">Where </w:t>
      </w:r>
      <w:r w:rsidR="007544B6" w:rsidRPr="00AF40B4">
        <w:t xml:space="preserve">UK and NI law </w:t>
      </w:r>
      <w:r w:rsidR="00360730" w:rsidRPr="00AF40B4">
        <w:t xml:space="preserve">was </w:t>
      </w:r>
      <w:r w:rsidR="007544B6" w:rsidRPr="00E154B6">
        <w:t xml:space="preserve">out of alignment with EU law on </w:t>
      </w:r>
      <w:r w:rsidR="004F4A36">
        <w:t xml:space="preserve">or before </w:t>
      </w:r>
      <w:r w:rsidR="007544B6" w:rsidRPr="00E154B6">
        <w:t xml:space="preserve">31 December 2020, </w:t>
      </w:r>
      <w:r w:rsidR="00B7068F" w:rsidRPr="00CD5299">
        <w:t>the absence of</w:t>
      </w:r>
      <w:r w:rsidRPr="00CD5299">
        <w:t xml:space="preserve"> a ‘domestic implementing measure’</w:t>
      </w:r>
      <w:r w:rsidR="00B7068F" w:rsidRPr="00CD5299">
        <w:t xml:space="preserve"> is not an insurmountable obstacle to demonstrating a diminution of Protocol Article 2</w:t>
      </w:r>
      <w:r w:rsidRPr="00CD5299">
        <w:t xml:space="preserve">, provided the EU </w:t>
      </w:r>
      <w:r w:rsidR="00776EAC">
        <w:t xml:space="preserve">legal </w:t>
      </w:r>
      <w:r w:rsidRPr="00CD5299">
        <w:t xml:space="preserve">obligation existed </w:t>
      </w:r>
      <w:r w:rsidR="00E87662" w:rsidRPr="00CD5299">
        <w:t xml:space="preserve">and was </w:t>
      </w:r>
      <w:r w:rsidR="00816794">
        <w:t>capable of having direct effect</w:t>
      </w:r>
      <w:r w:rsidR="00E87662" w:rsidRPr="00CD5299">
        <w:t xml:space="preserve"> </w:t>
      </w:r>
      <w:r w:rsidR="00181043">
        <w:t>on that date</w:t>
      </w:r>
      <w:r w:rsidRPr="00CD5299">
        <w:t>.</w:t>
      </w:r>
      <w:r w:rsidR="00381A8F" w:rsidRPr="00CD5299">
        <w:t xml:space="preserve"> </w:t>
      </w:r>
    </w:p>
    <w:p w14:paraId="68233738" w14:textId="77777777" w:rsidR="00F2498F" w:rsidRPr="006F6E42" w:rsidRDefault="00F2498F" w:rsidP="00F2498F">
      <w:pPr>
        <w:pStyle w:val="Heading2"/>
      </w:pPr>
      <w:bookmarkStart w:id="33" w:name="_Toc122447033"/>
      <w:r w:rsidRPr="006F6E42">
        <w:t>Retained EU law</w:t>
      </w:r>
      <w:bookmarkEnd w:id="33"/>
    </w:p>
    <w:p w14:paraId="2A0A5BE0" w14:textId="77777777" w:rsidR="00633E67" w:rsidRPr="006F6E42" w:rsidRDefault="00F2498F" w:rsidP="00613F70">
      <w:pPr>
        <w:pStyle w:val="ListParagraph"/>
      </w:pPr>
      <w:r w:rsidRPr="006F6E42">
        <w:t>The EU (Withdrawal) Act 2018 repealed the European Communities Act 1972, which gave effect to EU law within the UK domestic legal framework before 1 January 2021.</w:t>
      </w:r>
      <w:r w:rsidRPr="006F6E42">
        <w:rPr>
          <w:rStyle w:val="FootnoteReference"/>
        </w:rPr>
        <w:footnoteReference w:id="78"/>
      </w:r>
      <w:r w:rsidRPr="006F6E42">
        <w:t xml:space="preserve"> Notwithstanding that repeal, retained EU law continues to be recognised and available </w:t>
      </w:r>
      <w:r w:rsidR="00744101">
        <w:t xml:space="preserve">as UK law </w:t>
      </w:r>
      <w:r w:rsidRPr="006F6E42">
        <w:t>on and after 1 January 2021.</w:t>
      </w:r>
      <w:r w:rsidRPr="006F6E42">
        <w:rPr>
          <w:rStyle w:val="FootnoteReference"/>
        </w:rPr>
        <w:footnoteReference w:id="79"/>
      </w:r>
      <w:r w:rsidRPr="006F6E42">
        <w:t xml:space="preserve">  </w:t>
      </w:r>
    </w:p>
    <w:p w14:paraId="6A7375DE" w14:textId="77777777" w:rsidR="00F2498F" w:rsidRDefault="00B12105" w:rsidP="00613F70">
      <w:pPr>
        <w:pStyle w:val="ListParagraph"/>
      </w:pPr>
      <w:r>
        <w:t>T</w:t>
      </w:r>
      <w:r w:rsidRPr="00B12105">
        <w:t xml:space="preserve">he question of whether a piece of legislation falls within the category of 'retained EU law' is not material to whether it falls within the scope of </w:t>
      </w:r>
      <w:r w:rsidR="00040AA1">
        <w:t>Protocol Article 2.</w:t>
      </w:r>
      <w:r w:rsidR="00633E67">
        <w:t xml:space="preserve">  It is not necessary for EU</w:t>
      </w:r>
      <w:r w:rsidR="00B006E1">
        <w:t>-derived UK</w:t>
      </w:r>
      <w:r w:rsidR="00633E67">
        <w:t xml:space="preserve"> law underpinning the rights, safeguards and equality of opportunity protections in the relevant part of the Belfast (Good Friday) Agreement to be part of retained EU law. Nevertheless, </w:t>
      </w:r>
      <w:r w:rsidR="00A005D6">
        <w:t xml:space="preserve">particular care should be taken </w:t>
      </w:r>
      <w:r w:rsidR="00406D20">
        <w:t xml:space="preserve">by the NI Executive and UK Government </w:t>
      </w:r>
      <w:r w:rsidR="00A005D6">
        <w:t xml:space="preserve">when repealing or amending retained EU law to ensure it does not </w:t>
      </w:r>
      <w:r w:rsidR="00633E67">
        <w:t>result in a diminution of rights, safeguards or equality of opportunity protections</w:t>
      </w:r>
      <w:r w:rsidR="005F1BF5">
        <w:t xml:space="preserve"> </w:t>
      </w:r>
      <w:r w:rsidR="000561FC">
        <w:t xml:space="preserve">contrary to </w:t>
      </w:r>
      <w:r w:rsidR="00633E67">
        <w:t>Protocol Article 2.</w:t>
      </w:r>
    </w:p>
    <w:p w14:paraId="6A7DA927" w14:textId="77777777" w:rsidR="00E550D7" w:rsidRPr="00C9271B" w:rsidRDefault="00E550D7" w:rsidP="00E550D7">
      <w:pPr>
        <w:pStyle w:val="ListParagraph"/>
      </w:pPr>
      <w:r w:rsidRPr="00E550D7">
        <w:rPr>
          <w:rFonts w:eastAsia="Times New Roman"/>
        </w:rPr>
        <w:t xml:space="preserve">The Commissions </w:t>
      </w:r>
      <w:r w:rsidR="004C4F17">
        <w:rPr>
          <w:rFonts w:eastAsia="Times New Roman"/>
        </w:rPr>
        <w:t xml:space="preserve">have </w:t>
      </w:r>
      <w:r w:rsidRPr="00E550D7">
        <w:rPr>
          <w:rFonts w:eastAsia="Times New Roman"/>
        </w:rPr>
        <w:t>recommend</w:t>
      </w:r>
      <w:r w:rsidR="004C4F17">
        <w:rPr>
          <w:rFonts w:eastAsia="Times New Roman"/>
        </w:rPr>
        <w:t>ed</w:t>
      </w:r>
      <w:r w:rsidRPr="00E550D7">
        <w:rPr>
          <w:rFonts w:eastAsia="Times New Roman"/>
        </w:rPr>
        <w:t xml:space="preserve"> that amendment or repeal of </w:t>
      </w:r>
      <w:r w:rsidR="00731B10">
        <w:rPr>
          <w:rFonts w:eastAsia="Times New Roman"/>
        </w:rPr>
        <w:t>r</w:t>
      </w:r>
      <w:r w:rsidRPr="00E550D7">
        <w:rPr>
          <w:rFonts w:eastAsia="Times New Roman"/>
        </w:rPr>
        <w:t xml:space="preserve">etained EU </w:t>
      </w:r>
      <w:r w:rsidR="00731B10">
        <w:rPr>
          <w:rFonts w:eastAsia="Times New Roman"/>
        </w:rPr>
        <w:t>l</w:t>
      </w:r>
      <w:r w:rsidRPr="00E550D7">
        <w:rPr>
          <w:rFonts w:eastAsia="Times New Roman"/>
        </w:rPr>
        <w:t xml:space="preserve">aw, affecting human rights and/or equality protections in </w:t>
      </w:r>
      <w:r w:rsidR="00731B10">
        <w:rPr>
          <w:rFonts w:eastAsia="Times New Roman"/>
        </w:rPr>
        <w:t>NI</w:t>
      </w:r>
      <w:r w:rsidRPr="00E550D7">
        <w:rPr>
          <w:rFonts w:eastAsia="Times New Roman"/>
        </w:rPr>
        <w:t xml:space="preserve">, should be progressed on the basis of continuing adherence to the UK constitutional convention of providing for policy change via the primary legislative process, with technical and operational detail addressed in subordinate legislation. This applies to amending or repealing legislation that emanates from either </w:t>
      </w:r>
      <w:r w:rsidR="001B5003" w:rsidRPr="00E550D7">
        <w:rPr>
          <w:rFonts w:eastAsia="Times New Roman"/>
        </w:rPr>
        <w:t xml:space="preserve">from the NI Assembly </w:t>
      </w:r>
      <w:r w:rsidR="002A644C">
        <w:rPr>
          <w:rFonts w:eastAsia="Times New Roman"/>
        </w:rPr>
        <w:t xml:space="preserve">or from </w:t>
      </w:r>
      <w:r w:rsidRPr="00E550D7">
        <w:rPr>
          <w:rFonts w:eastAsia="Times New Roman"/>
        </w:rPr>
        <w:t xml:space="preserve">Westminster, as regards laws that impact on human rights and equality </w:t>
      </w:r>
      <w:r w:rsidR="002A644C">
        <w:rPr>
          <w:rFonts w:eastAsia="Times New Roman"/>
        </w:rPr>
        <w:t xml:space="preserve">protections </w:t>
      </w:r>
      <w:r w:rsidRPr="00E550D7">
        <w:rPr>
          <w:rFonts w:eastAsia="Times New Roman"/>
        </w:rPr>
        <w:t xml:space="preserve">in </w:t>
      </w:r>
      <w:r w:rsidR="00731B10">
        <w:rPr>
          <w:rFonts w:eastAsia="Times New Roman"/>
        </w:rPr>
        <w:t>NI</w:t>
      </w:r>
      <w:r w:rsidRPr="00E550D7">
        <w:rPr>
          <w:rFonts w:eastAsia="Times New Roman"/>
        </w:rPr>
        <w:t>.</w:t>
      </w:r>
      <w:r w:rsidR="00C9271B">
        <w:rPr>
          <w:rStyle w:val="FootnoteReference"/>
          <w:rFonts w:eastAsia="Times New Roman"/>
        </w:rPr>
        <w:footnoteReference w:id="80"/>
      </w:r>
    </w:p>
    <w:p w14:paraId="71CF1F65" w14:textId="77777777" w:rsidR="00D67668" w:rsidRPr="006F6E42" w:rsidRDefault="00D67668" w:rsidP="00C9271B">
      <w:pPr>
        <w:pStyle w:val="ListParagraph"/>
      </w:pPr>
      <w:r w:rsidRPr="00D67668">
        <w:rPr>
          <w:rFonts w:eastAsia="Times New Roman"/>
        </w:rPr>
        <w:t>As noted above,</w:t>
      </w:r>
      <w:r w:rsidR="00C9271B">
        <w:rPr>
          <w:rFonts w:eastAsia="Times New Roman"/>
        </w:rPr>
        <w:t xml:space="preserve"> it is the Commissions’ view that </w:t>
      </w:r>
      <w:r w:rsidRPr="00D67668">
        <w:rPr>
          <w:rFonts w:eastAsia="Times New Roman"/>
        </w:rPr>
        <w:t>Protocol Article 2 imposes an obligation of result,</w:t>
      </w:r>
      <w:r>
        <w:rPr>
          <w:rStyle w:val="FootnoteReference"/>
          <w:rFonts w:eastAsia="Times New Roman"/>
        </w:rPr>
        <w:footnoteReference w:id="81"/>
      </w:r>
      <w:r w:rsidRPr="00D67668">
        <w:rPr>
          <w:rFonts w:eastAsia="Times New Roman"/>
        </w:rPr>
        <w:t xml:space="preserve"> </w:t>
      </w:r>
      <w:r w:rsidR="00C9271B">
        <w:t xml:space="preserve">so while the form of the legislation can change, the no diminution requirement applies to the substance of the rights protected as well as to the procedural safeguards relevant to implementation and enforcement of rights. Changes to the status of EU-derived UK law which, for example, excluded </w:t>
      </w:r>
      <w:r w:rsidR="00C9271B" w:rsidRPr="006B775E">
        <w:t>specific</w:t>
      </w:r>
      <w:r w:rsidR="00C9271B">
        <w:t xml:space="preserve"> EU general principles, changed how courts interpret that law, </w:t>
      </w:r>
      <w:r w:rsidR="00C9271B" w:rsidRPr="001526A2">
        <w:t>and/or</w:t>
      </w:r>
      <w:r w:rsidR="00C9271B">
        <w:t xml:space="preserve"> reduced or limited the means by which rights can be asserted or enforced, could therefore potentially constitute a diminution of rights</w:t>
      </w:r>
      <w:r w:rsidRPr="00D55192">
        <w:rPr>
          <w:rFonts w:eastAsia="Times New Roman"/>
        </w:rPr>
        <w:t>.</w:t>
      </w:r>
      <w:r>
        <w:rPr>
          <w:rStyle w:val="FootnoteReference"/>
          <w:rFonts w:eastAsia="Times New Roman"/>
        </w:rPr>
        <w:footnoteReference w:id="82"/>
      </w:r>
    </w:p>
    <w:p w14:paraId="31F46AEA" w14:textId="77777777" w:rsidR="00E07DED" w:rsidRPr="006F6E42" w:rsidRDefault="00E07DED" w:rsidP="00E07DED">
      <w:pPr>
        <w:pStyle w:val="Heading1"/>
      </w:pPr>
      <w:bookmarkStart w:id="34" w:name="_Toc87020446"/>
      <w:bookmarkStart w:id="35" w:name="_Hlk89353394"/>
      <w:bookmarkStart w:id="36" w:name="_Toc122447034"/>
      <w:bookmarkEnd w:id="31"/>
      <w:r w:rsidRPr="006F6E42">
        <w:t>Oversight and Enforcement</w:t>
      </w:r>
      <w:bookmarkEnd w:id="34"/>
      <w:bookmarkEnd w:id="36"/>
      <w:r w:rsidRPr="006F6E42">
        <w:t xml:space="preserve"> </w:t>
      </w:r>
    </w:p>
    <w:bookmarkEnd w:id="35"/>
    <w:p w14:paraId="08B66B5A" w14:textId="77777777" w:rsidR="00E07DED" w:rsidRPr="006F6E42" w:rsidRDefault="00E07DED" w:rsidP="00E07DED">
      <w:pPr>
        <w:pStyle w:val="ListParagraph"/>
        <w:numPr>
          <w:ilvl w:val="0"/>
          <w:numId w:val="1"/>
        </w:numPr>
        <w:rPr>
          <w:vanish/>
        </w:rPr>
      </w:pPr>
    </w:p>
    <w:p w14:paraId="59411517" w14:textId="77777777" w:rsidR="00E07DED" w:rsidRPr="006F6E42" w:rsidRDefault="006C6341" w:rsidP="006C6341">
      <w:pPr>
        <w:pStyle w:val="Heading2"/>
      </w:pPr>
      <w:bookmarkStart w:id="37" w:name="_Hlk82161311"/>
      <w:bookmarkStart w:id="38" w:name="_Toc122447035"/>
      <w:r w:rsidRPr="006F6E42">
        <w:t>Protocol Article 2 in NI law</w:t>
      </w:r>
      <w:bookmarkEnd w:id="38"/>
      <w:r w:rsidRPr="006F6E42">
        <w:t xml:space="preserve"> </w:t>
      </w:r>
    </w:p>
    <w:p w14:paraId="30D2F271" w14:textId="77777777" w:rsidR="00B57D55" w:rsidRPr="006F6E42" w:rsidRDefault="00B57D55" w:rsidP="00B57D55">
      <w:pPr>
        <w:pStyle w:val="ListParagraph"/>
      </w:pPr>
      <w:r w:rsidRPr="006F6E42">
        <w:t xml:space="preserve">The methods and principles relating to the effect, implementation and application of the UK-EU Withdrawal Agreement are set out </w:t>
      </w:r>
      <w:r w:rsidR="002E0CFD" w:rsidRPr="006F6E42">
        <w:t xml:space="preserve">in </w:t>
      </w:r>
      <w:r w:rsidRPr="006F6E42">
        <w:t>Article 4</w:t>
      </w:r>
      <w:r w:rsidR="0076661C">
        <w:t>.  Article 4(1) and (2)</w:t>
      </w:r>
      <w:r w:rsidR="00320541">
        <w:rPr>
          <w:rStyle w:val="FootnoteReference"/>
        </w:rPr>
        <w:footnoteReference w:id="83"/>
      </w:r>
      <w:r w:rsidR="0076661C">
        <w:t xml:space="preserve"> apply both to the provisions of the Withdrawal Agreement and EU law made applicable by it, whereas the provisions in Article 4(3</w:t>
      </w:r>
      <w:r w:rsidR="00816794">
        <w:t>)</w:t>
      </w:r>
      <w:r w:rsidR="0076661C">
        <w:t>-</w:t>
      </w:r>
      <w:r w:rsidR="00816794">
        <w:t>(</w:t>
      </w:r>
      <w:r w:rsidR="0076661C">
        <w:t>5)</w:t>
      </w:r>
      <w:r w:rsidR="00320541">
        <w:rPr>
          <w:rStyle w:val="FootnoteReference"/>
        </w:rPr>
        <w:footnoteReference w:id="84"/>
      </w:r>
      <w:r w:rsidR="0076661C">
        <w:t xml:space="preserve"> apply only to provisions of the Withdrawal Agreement referring to EU Law.</w:t>
      </w:r>
      <w:r w:rsidR="0076661C">
        <w:rPr>
          <w:rStyle w:val="FootnoteReference"/>
        </w:rPr>
        <w:footnoteReference w:id="85"/>
      </w:r>
      <w:r w:rsidR="0076661C">
        <w:t xml:space="preserve">  Article 4(1) </w:t>
      </w:r>
      <w:r w:rsidRPr="006F6E42">
        <w:t xml:space="preserve">provides that the provisions in the Agreement and any EU law made applicable by it: </w:t>
      </w:r>
    </w:p>
    <w:p w14:paraId="27AB9FC9" w14:textId="77777777" w:rsidR="00F5325E" w:rsidRDefault="006C6341" w:rsidP="006C6341">
      <w:pPr>
        <w:pStyle w:val="ListParagraph"/>
        <w:numPr>
          <w:ilvl w:val="0"/>
          <w:numId w:val="0"/>
        </w:numPr>
        <w:ind w:left="873" w:right="873"/>
      </w:pPr>
      <w:r w:rsidRPr="006F6E42">
        <w:t xml:space="preserve">shall produce in respect of and in the UK the same legal effects as those which they produce within the [EU] and its Member States. </w:t>
      </w:r>
    </w:p>
    <w:p w14:paraId="7E1DA779" w14:textId="77777777" w:rsidR="006C6341" w:rsidRPr="006F6E42" w:rsidRDefault="006C6341" w:rsidP="006C6341">
      <w:pPr>
        <w:pStyle w:val="ListParagraph"/>
        <w:numPr>
          <w:ilvl w:val="0"/>
          <w:numId w:val="0"/>
        </w:numPr>
        <w:ind w:left="873" w:right="873"/>
      </w:pPr>
      <w:r w:rsidRPr="006F6E42">
        <w:t>Accordingly, legal or natural persons shall in particular be able to rely directly on the provisions contained or referred to in this Agreement which meet the conditions for direct effect under [EU] law.</w:t>
      </w:r>
    </w:p>
    <w:p w14:paraId="52AEDBC5" w14:textId="77777777" w:rsidR="006B1BB5" w:rsidRPr="006F6E42" w:rsidRDefault="006B1BB5" w:rsidP="006C6341">
      <w:pPr>
        <w:pStyle w:val="ListParagraph"/>
      </w:pPr>
      <w:r w:rsidRPr="0FD66799">
        <w:t xml:space="preserve">The UK-EU Withdrawal Agreement requires that consideration of Protocol Article 2 is built into the ordinary policy making and legislative processes within the UK Government and Parliament, and at a devolved level, to ensure that there is no diminution of those rights and safeguards which fall within its scope. </w:t>
      </w:r>
    </w:p>
    <w:p w14:paraId="1931F680" w14:textId="77777777" w:rsidR="006B1BB5" w:rsidRPr="006F6E42" w:rsidRDefault="006B1BB5" w:rsidP="006B1BB5">
      <w:pPr>
        <w:pStyle w:val="ListParagraph"/>
      </w:pPr>
      <w:r w:rsidRPr="0FD66799">
        <w:t>The Northern Ireland Act</w:t>
      </w:r>
      <w:r w:rsidR="00E923B9" w:rsidRPr="0FD66799">
        <w:t xml:space="preserve"> 1998</w:t>
      </w:r>
      <w:r w:rsidRPr="0FD66799">
        <w:t xml:space="preserve"> has been amended to limit the legislative competence of the NI Assembly by prohibiting it </w:t>
      </w:r>
      <w:r w:rsidR="00076544" w:rsidRPr="0FD66799">
        <w:t>from</w:t>
      </w:r>
      <w:r w:rsidRPr="0FD66799">
        <w:t xml:space="preserve"> act</w:t>
      </w:r>
      <w:r w:rsidR="00076544" w:rsidRPr="0FD66799">
        <w:t>ing</w:t>
      </w:r>
      <w:r w:rsidRPr="0FD66799">
        <w:t xml:space="preserve"> in a way that is incompatible with Protocol Article 2</w:t>
      </w:r>
      <w:r w:rsidR="00076544" w:rsidRPr="0FD66799">
        <w:t>.</w:t>
      </w:r>
      <w:r w:rsidRPr="0FD66799">
        <w:rPr>
          <w:rStyle w:val="FootnoteReference"/>
        </w:rPr>
        <w:footnoteReference w:id="86"/>
      </w:r>
      <w:r w:rsidRPr="0FD66799">
        <w:t xml:space="preserve"> </w:t>
      </w:r>
      <w:r w:rsidR="00076544" w:rsidRPr="0FD66799">
        <w:t xml:space="preserve">  Similarly a Minister or NI department has no power to legislate or do any act insofar as it is incompatible with Protocol Article 2.</w:t>
      </w:r>
      <w:r w:rsidR="00076544" w:rsidRPr="0FD66799">
        <w:rPr>
          <w:rStyle w:val="FootnoteReference"/>
        </w:rPr>
        <w:footnoteReference w:id="87"/>
      </w:r>
    </w:p>
    <w:p w14:paraId="2CCA4F7D" w14:textId="77777777" w:rsidR="006B1BB5" w:rsidRPr="006F6E42" w:rsidRDefault="006C6341" w:rsidP="00076544">
      <w:pPr>
        <w:pStyle w:val="ListParagraph"/>
      </w:pPr>
      <w:r w:rsidRPr="006F6E42">
        <w:t xml:space="preserve">In addition, </w:t>
      </w:r>
      <w:bookmarkStart w:id="39" w:name="_Hlk96860914"/>
      <w:r w:rsidR="006B1BB5" w:rsidRPr="006F6E42">
        <w:t>Section 7A of the EU (Withdrawal) Act 2018</w:t>
      </w:r>
      <w:r w:rsidR="005437DD" w:rsidRPr="006F6E42">
        <w:t xml:space="preserve"> </w:t>
      </w:r>
      <w:r w:rsidR="006B1BB5" w:rsidRPr="006F6E42">
        <w:t>gives effect to all the rights, obligations and remedies arising under the UK-EU Withdrawal Agreement in UK law without the need for further enactment.</w:t>
      </w:r>
      <w:r w:rsidR="005437DD" w:rsidRPr="006F6E42">
        <w:rPr>
          <w:rStyle w:val="FootnoteReference"/>
        </w:rPr>
        <w:footnoteReference w:id="88"/>
      </w:r>
      <w:bookmarkEnd w:id="39"/>
    </w:p>
    <w:p w14:paraId="685830B8" w14:textId="77777777" w:rsidR="006C6341" w:rsidRPr="006F6E42" w:rsidRDefault="00246254" w:rsidP="00246254">
      <w:pPr>
        <w:pStyle w:val="Heading2"/>
      </w:pPr>
      <w:bookmarkStart w:id="40" w:name="_Toc122447036"/>
      <w:r w:rsidRPr="006F6E42">
        <w:t>Oversight of Protocol Article 2</w:t>
      </w:r>
      <w:bookmarkEnd w:id="40"/>
      <w:r w:rsidRPr="006F6E42">
        <w:t xml:space="preserve"> </w:t>
      </w:r>
    </w:p>
    <w:p w14:paraId="1A51F988" w14:textId="77777777" w:rsidR="006C6341" w:rsidRPr="006F6E42" w:rsidRDefault="00221AAF" w:rsidP="00A73E98">
      <w:pPr>
        <w:pStyle w:val="ListParagraph"/>
      </w:pPr>
      <w:r w:rsidRPr="006F6E42">
        <w:t xml:space="preserve">Protocol Article 2 </w:t>
      </w:r>
      <w:r w:rsidR="00A73E98" w:rsidRPr="006F6E42">
        <w:t>facilitates a degree of enforceability for the rights, safeguards and equality of opportunity</w:t>
      </w:r>
      <w:r w:rsidR="00AD00FF" w:rsidRPr="006F6E42">
        <w:t xml:space="preserve"> protections </w:t>
      </w:r>
      <w:r w:rsidR="00A73E98" w:rsidRPr="006F6E42">
        <w:t>in the relevant part of the Belfast (Good Friday) Agreement</w:t>
      </w:r>
      <w:r w:rsidR="00515D2C">
        <w:t xml:space="preserve">, to the extent that those rights </w:t>
      </w:r>
      <w:r w:rsidR="00E923B9">
        <w:t xml:space="preserve">and </w:t>
      </w:r>
      <w:r w:rsidR="00515D2C">
        <w:t>safeguards are underpinned by EU law</w:t>
      </w:r>
      <w:r w:rsidR="00DD77A9" w:rsidRPr="006F6E42">
        <w:t>.</w:t>
      </w:r>
      <w:r w:rsidR="00A73E98" w:rsidRPr="006F6E42">
        <w:t xml:space="preserve">  </w:t>
      </w:r>
      <w:r w:rsidR="00C43108" w:rsidRPr="006F6E42">
        <w:t xml:space="preserve">The Courts </w:t>
      </w:r>
      <w:r w:rsidR="007D1DE9" w:rsidRPr="006F6E42">
        <w:t xml:space="preserve">will consider </w:t>
      </w:r>
      <w:r w:rsidR="00C43108" w:rsidRPr="006F6E42">
        <w:t xml:space="preserve">and </w:t>
      </w:r>
      <w:proofErr w:type="gramStart"/>
      <w:r w:rsidR="00C43108" w:rsidRPr="006F6E42">
        <w:t>make a determination</w:t>
      </w:r>
      <w:proofErr w:type="gramEnd"/>
      <w:r w:rsidR="00C43108" w:rsidRPr="006F6E42">
        <w:t xml:space="preserve"> on </w:t>
      </w:r>
      <w:r w:rsidR="006C6341" w:rsidRPr="006F6E42">
        <w:t xml:space="preserve">the relevant provisions of the Belfast (Good Friday) Agreement, the extent to which the identified underpinning EU obligations fall within scope of </w:t>
      </w:r>
      <w:r w:rsidR="00C43108" w:rsidRPr="006F6E42">
        <w:t xml:space="preserve">the </w:t>
      </w:r>
      <w:r w:rsidR="006C6341" w:rsidRPr="006F6E42">
        <w:t>commitment</w:t>
      </w:r>
      <w:r w:rsidR="00C43108" w:rsidRPr="006F6E42">
        <w:t xml:space="preserve"> in Protocol Article 2 </w:t>
      </w:r>
      <w:r w:rsidR="5BF9B719" w:rsidRPr="006F6E42">
        <w:t xml:space="preserve">and whether there has been a diminution of </w:t>
      </w:r>
      <w:r w:rsidR="26E796F1" w:rsidRPr="006F6E42">
        <w:t>rights or protections</w:t>
      </w:r>
      <w:r w:rsidR="00370E15">
        <w:t xml:space="preserve"> as a result of the UK leaving the EU</w:t>
      </w:r>
      <w:r w:rsidR="006C6341" w:rsidRPr="006F6E42">
        <w:t xml:space="preserve">. </w:t>
      </w:r>
    </w:p>
    <w:p w14:paraId="55DEA574" w14:textId="1366356A" w:rsidR="006C6341" w:rsidRPr="006F6E42" w:rsidRDefault="006C6341" w:rsidP="006C6341">
      <w:pPr>
        <w:pStyle w:val="ListParagraph"/>
      </w:pPr>
      <w:r w:rsidRPr="006F6E42">
        <w:t>In addition, the UK and EU, through the Joint Committee, will supervise and facilitate the implementation of the Withdrawal Agreement.  The Joint Committee can adopt decisions and make appropriate recommendations</w:t>
      </w:r>
      <w:r w:rsidR="007D1DE9" w:rsidRPr="006F6E42">
        <w:t xml:space="preserve"> to</w:t>
      </w:r>
      <w:r w:rsidR="00DD77A9" w:rsidRPr="006F6E42">
        <w:t xml:space="preserve"> the</w:t>
      </w:r>
      <w:r w:rsidRPr="006F6E42">
        <w:t xml:space="preserve"> UK and EU</w:t>
      </w:r>
      <w:r w:rsidR="007D1DE9" w:rsidRPr="006F6E42">
        <w:t>.  S</w:t>
      </w:r>
      <w:r w:rsidRPr="006F6E42">
        <w:t xml:space="preserve">uch decisions </w:t>
      </w:r>
      <w:r w:rsidR="007D1DE9" w:rsidRPr="006F6E42">
        <w:t xml:space="preserve">shall be </w:t>
      </w:r>
      <w:r w:rsidRPr="006F6E42">
        <w:t xml:space="preserve">agreed by mutual consent between the parties, have the same legal effect as the Withdrawal Agreement and </w:t>
      </w:r>
      <w:r w:rsidR="004B6057" w:rsidRPr="006F6E42">
        <w:t xml:space="preserve">be </w:t>
      </w:r>
      <w:r w:rsidRPr="006F6E42">
        <w:t>binding on both parties.</w:t>
      </w:r>
      <w:r w:rsidRPr="006F6E42">
        <w:rPr>
          <w:rStyle w:val="FootnoteReference"/>
        </w:rPr>
        <w:footnoteReference w:id="89"/>
      </w:r>
      <w:r w:rsidRPr="006F6E42">
        <w:t xml:space="preserve">  Where there is a dispute on the application and interpretation of the UK-EU Withdrawal Agreement that cannot be resolved through the Joint Committee, it will be subject to arbitration and any decision of the arbitration panel will be binding on both parties.</w:t>
      </w:r>
      <w:r w:rsidRPr="006F6E42">
        <w:rPr>
          <w:rStyle w:val="FootnoteReference"/>
        </w:rPr>
        <w:footnoteReference w:id="90"/>
      </w:r>
      <w:r w:rsidRPr="006F6E42">
        <w:t xml:space="preserve"> </w:t>
      </w:r>
    </w:p>
    <w:p w14:paraId="597E452E" w14:textId="77777777" w:rsidR="006C6341" w:rsidRPr="006F6E42" w:rsidRDefault="006C6341" w:rsidP="006C6341">
      <w:pPr>
        <w:pStyle w:val="ListParagraph"/>
      </w:pPr>
      <w:r w:rsidRPr="0FD66799">
        <w:t>The UK and EU have affirmed their commitment to a principle of good faith and sincere cooperation and to take all appropriate measures to ensure fulfilment of the obligations arising from the UK-EU Withdrawal Agreement.</w:t>
      </w:r>
      <w:r w:rsidRPr="0FD66799">
        <w:rPr>
          <w:rStyle w:val="FootnoteReference"/>
        </w:rPr>
        <w:footnoteReference w:id="91"/>
      </w:r>
    </w:p>
    <w:p w14:paraId="5C30E115" w14:textId="77777777" w:rsidR="00D42B20" w:rsidRPr="006F6E42" w:rsidRDefault="00256008" w:rsidP="00D42B20">
      <w:pPr>
        <w:pStyle w:val="Heading2"/>
      </w:pPr>
      <w:bookmarkStart w:id="41" w:name="_Toc122447037"/>
      <w:r w:rsidRPr="006F6E42">
        <w:t xml:space="preserve">Individual </w:t>
      </w:r>
      <w:r w:rsidR="004F4944" w:rsidRPr="006F6E42">
        <w:t>Redress and Direct Effect</w:t>
      </w:r>
      <w:bookmarkEnd w:id="41"/>
    </w:p>
    <w:p w14:paraId="5A37C7A2" w14:textId="77777777" w:rsidR="004F4944" w:rsidRPr="006F6E42" w:rsidRDefault="004F4944" w:rsidP="00D42B20">
      <w:pPr>
        <w:pStyle w:val="ListParagraph"/>
      </w:pPr>
      <w:r w:rsidRPr="006F6E42">
        <w:t xml:space="preserve">Protocol Article 2 is also framed within the wider context of EU </w:t>
      </w:r>
      <w:r w:rsidR="00E923B9">
        <w:t xml:space="preserve">legal </w:t>
      </w:r>
      <w:r w:rsidRPr="006F6E42">
        <w:t xml:space="preserve">obligations, which are woven through the Withdrawal Agreement.  </w:t>
      </w:r>
      <w:r w:rsidR="00102BFC" w:rsidRPr="006F6E42">
        <w:t xml:space="preserve">The UK Government has recognised that it is </w:t>
      </w:r>
      <w:r w:rsidR="00DA3F8F" w:rsidRPr="006F6E42">
        <w:t>“</w:t>
      </w:r>
      <w:r w:rsidR="00102BFC" w:rsidRPr="006F6E42">
        <w:t xml:space="preserve">obliged to ensure that holders of relevant rights are able to bring challenges before domestic courts and … that appropriate remedies are </w:t>
      </w:r>
      <w:r w:rsidR="00DA3F8F" w:rsidRPr="006F6E42">
        <w:t>available”</w:t>
      </w:r>
      <w:r w:rsidR="00102BFC" w:rsidRPr="006F6E42">
        <w:t>.</w:t>
      </w:r>
      <w:r w:rsidR="00102BFC" w:rsidRPr="006F6E42">
        <w:rPr>
          <w:rStyle w:val="FootnoteReference"/>
        </w:rPr>
        <w:footnoteReference w:id="92"/>
      </w:r>
      <w:r w:rsidR="00102BFC" w:rsidRPr="006F6E42">
        <w:t xml:space="preserve">  </w:t>
      </w:r>
    </w:p>
    <w:p w14:paraId="28F265FF" w14:textId="77777777" w:rsidR="00102BFC" w:rsidRPr="006F6E42" w:rsidRDefault="00102BFC" w:rsidP="00102BFC">
      <w:pPr>
        <w:pStyle w:val="ListParagraph"/>
      </w:pPr>
      <w:r w:rsidRPr="006F6E42">
        <w:t xml:space="preserve">The UK-EU Withdrawal Agreement requires that UK law provide for individual redress where a person feels that there has been a diminution of rights, safeguards and equality of opportunity protections in Protocol Article 2 and </w:t>
      </w:r>
      <w:r w:rsidR="00E932D6">
        <w:t xml:space="preserve">that </w:t>
      </w:r>
      <w:r w:rsidRPr="006F6E42">
        <w:t>this is given effect in UK law.</w:t>
      </w:r>
      <w:r w:rsidRPr="006F6E42">
        <w:rPr>
          <w:rStyle w:val="FootnoteReference"/>
        </w:rPr>
        <w:footnoteReference w:id="93"/>
      </w:r>
      <w:r w:rsidRPr="006F6E42">
        <w:t xml:space="preserve">  This includes the power of judicial and administrative authorities to “disapply inconsistent or incompatible domestic provisions”, </w:t>
      </w:r>
      <w:r w:rsidR="003F448F" w:rsidRPr="006F6E42">
        <w:t>which must</w:t>
      </w:r>
      <w:r w:rsidRPr="006F6E42">
        <w:t xml:space="preserve"> be provided</w:t>
      </w:r>
      <w:r w:rsidR="003F448F" w:rsidRPr="006F6E42">
        <w:t xml:space="preserve"> for</w:t>
      </w:r>
      <w:r w:rsidRPr="006F6E42">
        <w:t xml:space="preserve"> in primary legislation.</w:t>
      </w:r>
      <w:r w:rsidRPr="006F6E42">
        <w:rPr>
          <w:rStyle w:val="FootnoteReference"/>
        </w:rPr>
        <w:footnoteReference w:id="94"/>
      </w:r>
      <w:r w:rsidRPr="006F6E42">
        <w:t xml:space="preserve"> </w:t>
      </w:r>
    </w:p>
    <w:p w14:paraId="763FC0CC" w14:textId="77777777" w:rsidR="009424F7" w:rsidRPr="006F6E42" w:rsidRDefault="004F4944" w:rsidP="004F4944">
      <w:pPr>
        <w:pStyle w:val="ListParagraph"/>
      </w:pPr>
      <w:r w:rsidRPr="006F6E42">
        <w:t>The principle of supremacy of EU law obligations over the domestic law provisions is closely linked to that of direct effect.</w:t>
      </w:r>
      <w:r w:rsidRPr="006F6E42">
        <w:rPr>
          <w:rStyle w:val="FootnoteReference"/>
        </w:rPr>
        <w:footnoteReference w:id="95"/>
      </w:r>
      <w:r w:rsidRPr="006F6E42">
        <w:t xml:space="preserve">  Direct effect enables individuals immediately to invoke an EU provision before a national court.</w:t>
      </w:r>
      <w:r w:rsidR="009424F7" w:rsidRPr="006F6E42">
        <w:t xml:space="preserve"> Article 4 acknowledges that this principle applies to the provisions of the UK-EU Withdrawal Agreement, including Protocol Article 2, and any EU measure given effect by it, where such provisions meet the conditions for direct effect.</w:t>
      </w:r>
      <w:r w:rsidR="009424F7" w:rsidRPr="006F6E42">
        <w:rPr>
          <w:rStyle w:val="FootnoteReference"/>
        </w:rPr>
        <w:footnoteReference w:id="96"/>
      </w:r>
      <w:r w:rsidR="00762683" w:rsidRPr="006F6E42">
        <w:t xml:space="preserve">  For a provision of EU law to have direct effect it must be set out in unconditional and unequivocal terms and be sufficiently clear and precise to be invoked by an individual.</w:t>
      </w:r>
      <w:r w:rsidR="00762683" w:rsidRPr="006F6E42">
        <w:rPr>
          <w:rStyle w:val="FootnoteReference"/>
        </w:rPr>
        <w:footnoteReference w:id="97"/>
      </w:r>
      <w:r w:rsidR="00762683" w:rsidRPr="006F6E42">
        <w:t xml:space="preserve">  </w:t>
      </w:r>
    </w:p>
    <w:p w14:paraId="06D45829" w14:textId="77777777" w:rsidR="004F4944" w:rsidRPr="006F6E42" w:rsidRDefault="009424F7" w:rsidP="004F4944">
      <w:pPr>
        <w:pStyle w:val="ListParagraph"/>
      </w:pPr>
      <w:r w:rsidRPr="006F6E42">
        <w:t>In its Explainer the UK Government acknowledges this wider legal context and framing of Protocol Article 2 confirming that “under Article 4 of the Withdrawal Agreement, incorporated into domestic law through the EU (Withdrawal Agreement) Act 2020, all provisions in the Withdrawal Agreement and the provisions of Union law that it makes applicable in the UK have the same legal effect in the UK as in the EU and its Member States”.</w:t>
      </w:r>
      <w:r w:rsidRPr="006F6E42">
        <w:rPr>
          <w:rStyle w:val="FootnoteReference"/>
        </w:rPr>
        <w:footnoteReference w:id="98"/>
      </w:r>
      <w:r w:rsidRPr="006F6E42">
        <w:t xml:space="preserve"> </w:t>
      </w:r>
    </w:p>
    <w:p w14:paraId="1B46CEB9" w14:textId="77777777" w:rsidR="00401EFE" w:rsidRPr="006F6E42" w:rsidRDefault="00BC6F9C" w:rsidP="004F4944">
      <w:pPr>
        <w:pStyle w:val="ListParagraph"/>
      </w:pPr>
      <w:r w:rsidRPr="006F6E42">
        <w:t>I</w:t>
      </w:r>
      <w:r w:rsidR="004F4944" w:rsidRPr="006F6E42">
        <w:t xml:space="preserve">n the EU legal order, directives and general principles of EU law </w:t>
      </w:r>
      <w:r w:rsidRPr="006F6E42">
        <w:t>can be</w:t>
      </w:r>
      <w:r w:rsidR="004F4944" w:rsidRPr="006F6E42">
        <w:t xml:space="preserve"> considered </w:t>
      </w:r>
      <w:r w:rsidR="00140BF2" w:rsidRPr="006F6E42">
        <w:t xml:space="preserve">as </w:t>
      </w:r>
      <w:r w:rsidRPr="006F6E42">
        <w:t xml:space="preserve">being </w:t>
      </w:r>
      <w:r w:rsidR="004F4944" w:rsidRPr="006F6E42">
        <w:t>capable of having direct effect</w:t>
      </w:r>
      <w:r w:rsidRPr="006F6E42">
        <w:t>.  The rules governing direct effect are complex and</w:t>
      </w:r>
      <w:r w:rsidR="004B6057" w:rsidRPr="006F6E42">
        <w:t>,</w:t>
      </w:r>
      <w:r w:rsidRPr="006F6E42">
        <w:t xml:space="preserve"> while directives are usually limited to </w:t>
      </w:r>
      <w:r w:rsidR="00073C92" w:rsidRPr="006F6E42">
        <w:t>vertical</w:t>
      </w:r>
      <w:r w:rsidRPr="006F6E42">
        <w:t xml:space="preserve"> </w:t>
      </w:r>
      <w:r w:rsidR="00073C92" w:rsidRPr="006F6E42">
        <w:t>direct</w:t>
      </w:r>
      <w:r w:rsidRPr="006F6E42">
        <w:t xml:space="preserve"> effect</w:t>
      </w:r>
      <w:r w:rsidR="00073C92" w:rsidRPr="006F6E42">
        <w:t xml:space="preserve"> against the state, </w:t>
      </w:r>
      <w:r w:rsidR="004F4944" w:rsidRPr="006F6E42">
        <w:t>general principles</w:t>
      </w:r>
      <w:r w:rsidR="00073C92" w:rsidRPr="006F6E42">
        <w:t xml:space="preserve"> are </w:t>
      </w:r>
      <w:r w:rsidR="00E17247" w:rsidRPr="006F6E42">
        <w:t>capable</w:t>
      </w:r>
      <w:r w:rsidR="00073C92" w:rsidRPr="006F6E42">
        <w:t xml:space="preserve"> </w:t>
      </w:r>
      <w:r w:rsidR="00E17247" w:rsidRPr="006F6E42">
        <w:t>of</w:t>
      </w:r>
      <w:r w:rsidR="00073C92" w:rsidRPr="006F6E42">
        <w:t xml:space="preserve"> being invoked in </w:t>
      </w:r>
      <w:r w:rsidR="00E17247" w:rsidRPr="006F6E42">
        <w:t>litigation</w:t>
      </w:r>
      <w:r w:rsidR="00073C92" w:rsidRPr="006F6E42">
        <w:t xml:space="preserve"> </w:t>
      </w:r>
      <w:r w:rsidR="004F4944" w:rsidRPr="006F6E42">
        <w:t>between private individuals.</w:t>
      </w:r>
      <w:r w:rsidR="00073C92" w:rsidRPr="006F6E42">
        <w:rPr>
          <w:rStyle w:val="FootnoteReference"/>
        </w:rPr>
        <w:footnoteReference w:id="99"/>
      </w:r>
      <w:r w:rsidR="00073C92" w:rsidRPr="006F6E42">
        <w:t xml:space="preserve"> </w:t>
      </w:r>
      <w:r w:rsidR="004F4944" w:rsidRPr="006F6E42">
        <w:t xml:space="preserve"> </w:t>
      </w:r>
    </w:p>
    <w:p w14:paraId="06756108" w14:textId="77777777" w:rsidR="00B73D5B" w:rsidRPr="006F6E42" w:rsidRDefault="00B73D5B" w:rsidP="009424F7">
      <w:pPr>
        <w:pStyle w:val="ListParagraph"/>
      </w:pPr>
      <w:r w:rsidRPr="006F6E42">
        <w:t>The Annex 1 equality directives listed in the Protocol, together with the general principle of equality and non-discrimination, have generally been found to be capable of having direct effect within EU law and can be used to override conflicting domestic law.</w:t>
      </w:r>
      <w:r w:rsidRPr="006F6E42">
        <w:rPr>
          <w:rStyle w:val="FootnoteReference"/>
        </w:rPr>
        <w:footnoteReference w:id="100"/>
      </w:r>
      <w:r w:rsidRPr="006F6E42">
        <w:t xml:space="preserve">  </w:t>
      </w:r>
    </w:p>
    <w:p w14:paraId="601830DE" w14:textId="77777777" w:rsidR="00365694" w:rsidRPr="00643E65" w:rsidRDefault="00365694" w:rsidP="00401EFE">
      <w:pPr>
        <w:pStyle w:val="ListParagraph"/>
      </w:pPr>
      <w:r>
        <w:t xml:space="preserve">The Commissions welcome </w:t>
      </w:r>
      <w:bookmarkStart w:id="44" w:name="_Hlk96860714"/>
      <w:r>
        <w:t xml:space="preserve">the UK Government’s recognition that Protocol Article 2 has direct effect </w:t>
      </w:r>
      <w:r w:rsidRPr="00643E65">
        <w:t xml:space="preserve">and that </w:t>
      </w:r>
      <w:r w:rsidR="00370E15">
        <w:t>individuals</w:t>
      </w:r>
      <w:r w:rsidRPr="00D4563F">
        <w:t xml:space="preserve"> </w:t>
      </w:r>
      <w:r w:rsidR="00FF46B7" w:rsidRPr="0006017E">
        <w:t xml:space="preserve">can </w:t>
      </w:r>
      <w:r w:rsidRPr="00CD5299">
        <w:t xml:space="preserve">invoke their </w:t>
      </w:r>
      <w:r w:rsidRPr="00AF40B4">
        <w:t>rights under Protocol Article 2 in UK Courts</w:t>
      </w:r>
      <w:r w:rsidRPr="00643E65">
        <w:t>.</w:t>
      </w:r>
      <w:r w:rsidR="00B266E7" w:rsidRPr="006F6E42">
        <w:rPr>
          <w:rStyle w:val="FootnoteReference"/>
        </w:rPr>
        <w:footnoteReference w:id="101"/>
      </w:r>
      <w:r w:rsidRPr="00643E65">
        <w:t xml:space="preserve"> </w:t>
      </w:r>
      <w:r w:rsidR="00F24441">
        <w:t>The NI High Court has also recognised that “</w:t>
      </w:r>
      <w:r w:rsidR="00F24441" w:rsidRPr="00F92302">
        <w:t xml:space="preserve">Article 2 has direct effect and legal persons </w:t>
      </w:r>
      <w:r w:rsidR="00F24441">
        <w:t xml:space="preserve">… </w:t>
      </w:r>
      <w:r w:rsidR="00F24441" w:rsidRPr="00F92302">
        <w:t>are able to rely on it in domestic courts</w:t>
      </w:r>
      <w:r w:rsidR="00F24441">
        <w:t>”.</w:t>
      </w:r>
      <w:r w:rsidR="00F24441">
        <w:rPr>
          <w:rStyle w:val="FootnoteReference"/>
        </w:rPr>
        <w:footnoteReference w:id="102"/>
      </w:r>
    </w:p>
    <w:p w14:paraId="1B17A0FF" w14:textId="77777777" w:rsidR="00740E5C" w:rsidRPr="006F6E42" w:rsidRDefault="00740E5C" w:rsidP="00740E5C">
      <w:pPr>
        <w:pStyle w:val="Heading2"/>
      </w:pPr>
      <w:bookmarkStart w:id="45" w:name="_Toc122447038"/>
      <w:bookmarkEnd w:id="44"/>
      <w:r w:rsidRPr="006F6E42">
        <w:t xml:space="preserve">Commissions’ Oversight </w:t>
      </w:r>
      <w:r w:rsidR="00550527" w:rsidRPr="006F6E42">
        <w:t xml:space="preserve">and Enforcement </w:t>
      </w:r>
      <w:r w:rsidRPr="006F6E42">
        <w:t>Powers</w:t>
      </w:r>
      <w:bookmarkEnd w:id="45"/>
      <w:r w:rsidRPr="006F6E42">
        <w:t xml:space="preserve"> </w:t>
      </w:r>
    </w:p>
    <w:p w14:paraId="74882323" w14:textId="6BC7BF9C" w:rsidR="00740E5C" w:rsidRPr="006F6E42" w:rsidRDefault="00740E5C" w:rsidP="00740E5C">
      <w:pPr>
        <w:pStyle w:val="ListParagraph"/>
      </w:pPr>
      <w:r w:rsidRPr="006F6E42">
        <w:t>The Commissions have additional powers to oversee the UK Government’s commitment in Protocol Article 2. The Commissions are responsible for providing advice to government and monitoring, supervising, enforcing and reporting on the ongoing implementation of this commitment</w:t>
      </w:r>
      <w:r w:rsidR="00F424A4">
        <w:t>. They</w:t>
      </w:r>
      <w:r w:rsidRPr="006F6E42">
        <w:t xml:space="preserve"> can carry out their powers and duties either jointly or separately.</w:t>
      </w:r>
      <w:r w:rsidRPr="006F6E42">
        <w:rPr>
          <w:rStyle w:val="FootnoteReference"/>
        </w:rPr>
        <w:footnoteReference w:id="103"/>
      </w:r>
      <w:r w:rsidRPr="006F6E42">
        <w:t xml:space="preserve"> The Commissions can provide advice to the UK Government and Parliament and the NI Executive and Assembly on compliance with Protocol Article 2.</w:t>
      </w:r>
      <w:r w:rsidRPr="006F6E42">
        <w:rPr>
          <w:rStyle w:val="FootnoteReference"/>
        </w:rPr>
        <w:footnoteReference w:id="104"/>
      </w:r>
    </w:p>
    <w:p w14:paraId="25B8E104" w14:textId="690EBBA1" w:rsidR="00740E5C" w:rsidRPr="006F6E42" w:rsidRDefault="00740E5C" w:rsidP="00740E5C">
      <w:pPr>
        <w:pStyle w:val="ListParagraph"/>
      </w:pPr>
      <w:r w:rsidRPr="006F6E42">
        <w:t>The Commissions can bring any matter of relevance to Protocol Article 2 to the attention of the Specialised Committee on the Implementation of the Protocol</w:t>
      </w:r>
      <w:r w:rsidR="05FBF924" w:rsidRPr="006F6E42">
        <w:t>,</w:t>
      </w:r>
      <w:r w:rsidRPr="006F6E42">
        <w:t xml:space="preserve"> for consideration.</w:t>
      </w:r>
      <w:r w:rsidRPr="006F6E42">
        <w:rPr>
          <w:rStyle w:val="FootnoteReference"/>
        </w:rPr>
        <w:footnoteReference w:id="105"/>
      </w:r>
      <w:r w:rsidRPr="006F6E42">
        <w:t xml:space="preserve">  In addition, the Joint Committee of representatives of the NIHRC and </w:t>
      </w:r>
      <w:r w:rsidR="00140BF2" w:rsidRPr="006F6E42">
        <w:t xml:space="preserve">IHREC </w:t>
      </w:r>
      <w:r w:rsidRPr="006F6E42">
        <w:t xml:space="preserve">may also </w:t>
      </w:r>
      <w:r w:rsidR="00E2433B">
        <w:t>bring</w:t>
      </w:r>
      <w:r w:rsidR="00E2433B" w:rsidRPr="006F6E42">
        <w:t xml:space="preserve"> </w:t>
      </w:r>
      <w:r w:rsidRPr="006F6E42">
        <w:t>any matters of relevance to Protocol Article 2 to the attention of the Specialised Committee.</w:t>
      </w:r>
      <w:r w:rsidRPr="006F6E42">
        <w:rPr>
          <w:rStyle w:val="FootnoteReference"/>
        </w:rPr>
        <w:footnoteReference w:id="106"/>
      </w:r>
      <w:r w:rsidRPr="006F6E42">
        <w:t xml:space="preserve">  This gives the Commissions </w:t>
      </w:r>
      <w:r w:rsidR="00CD5F53" w:rsidRPr="00CD5F53">
        <w:t>an important role and responsibility to identify and raise</w:t>
      </w:r>
      <w:r w:rsidR="00CD5F53">
        <w:t xml:space="preserve"> </w:t>
      </w:r>
      <w:r w:rsidRPr="006F6E42">
        <w:t>concerns about how the Withdrawal Agreement is operating in relation to the rights and safeguards in Protocol Article</w:t>
      </w:r>
      <w:r w:rsidR="00A33F8F" w:rsidRPr="006F6E42">
        <w:t xml:space="preserve"> 2</w:t>
      </w:r>
      <w:r w:rsidRPr="006F6E42">
        <w:t xml:space="preserve">, including on an island </w:t>
      </w:r>
      <w:r w:rsidR="00F40CE3">
        <w:t xml:space="preserve">of Ireland </w:t>
      </w:r>
      <w:r w:rsidRPr="006F6E42">
        <w:t xml:space="preserve">basis.  The Specialised Committee can make recommendations for the </w:t>
      </w:r>
      <w:r w:rsidR="303C4B94" w:rsidRPr="006F6E42">
        <w:t xml:space="preserve">UK-EU </w:t>
      </w:r>
      <w:r w:rsidRPr="006F6E42">
        <w:t>Withdrawal Agreement Joint Committee to address.</w:t>
      </w:r>
      <w:r w:rsidRPr="006F6E42">
        <w:rPr>
          <w:rStyle w:val="FootnoteReference"/>
        </w:rPr>
        <w:footnoteReference w:id="107"/>
      </w:r>
      <w:r w:rsidRPr="006F6E42">
        <w:t xml:space="preserve"> </w:t>
      </w:r>
    </w:p>
    <w:p w14:paraId="409D0E20" w14:textId="77777777" w:rsidR="00740E5C" w:rsidRPr="006F6E42" w:rsidRDefault="00740E5C" w:rsidP="00740E5C">
      <w:pPr>
        <w:pStyle w:val="ListParagraph"/>
      </w:pPr>
      <w:r w:rsidRPr="006F6E42">
        <w:t>The Commissions have powers to bring a legal action in relation to breach (or potential future breach) of Protocol Article 2 or intervene in other legal action that engages Protocol Article 2.</w:t>
      </w:r>
      <w:r w:rsidR="00B71C23" w:rsidRPr="006F6E42">
        <w:rPr>
          <w:rStyle w:val="FootnoteReference"/>
        </w:rPr>
        <w:footnoteReference w:id="108"/>
      </w:r>
      <w:r w:rsidRPr="006F6E42">
        <w:t xml:space="preserve"> The Commission</w:t>
      </w:r>
      <w:r w:rsidR="00140BF2" w:rsidRPr="006F6E42">
        <w:t>s</w:t>
      </w:r>
      <w:r w:rsidRPr="006F6E42">
        <w:t xml:space="preserve"> can also assist persons in legal proceedings </w:t>
      </w:r>
      <w:r w:rsidR="008202B3">
        <w:t xml:space="preserve">in respect of </w:t>
      </w:r>
      <w:r w:rsidRPr="006F6E42">
        <w:t>a breach (or potential future breach) of Protocol Article 2.</w:t>
      </w:r>
      <w:r w:rsidRPr="0FD66799">
        <w:rPr>
          <w:rStyle w:val="FootnoteReference"/>
        </w:rPr>
        <w:footnoteReference w:id="109"/>
      </w:r>
    </w:p>
    <w:p w14:paraId="6433B9E3" w14:textId="77777777" w:rsidR="00D42B20" w:rsidRPr="006F6E42" w:rsidRDefault="00740E5C" w:rsidP="00740E5C">
      <w:pPr>
        <w:pStyle w:val="Heading2"/>
      </w:pPr>
      <w:bookmarkStart w:id="47" w:name="_Toc122447039"/>
      <w:r w:rsidRPr="00C652D0">
        <w:t>When is Protocol Article 2 engaged</w:t>
      </w:r>
      <w:r w:rsidRPr="006F6E42">
        <w:t>?</w:t>
      </w:r>
      <w:bookmarkEnd w:id="47"/>
    </w:p>
    <w:p w14:paraId="2F6F389F" w14:textId="77777777" w:rsidR="004E4C7A" w:rsidRPr="006F6E42" w:rsidRDefault="00813404" w:rsidP="00E07DED">
      <w:pPr>
        <w:pStyle w:val="ListParagraph"/>
      </w:pPr>
      <w:r w:rsidRPr="006F6E42">
        <w:t xml:space="preserve">When assessing whether Protocol Article 2 is engaged, </w:t>
      </w:r>
      <w:r w:rsidR="00E86D13" w:rsidRPr="00E86D13">
        <w:t xml:space="preserve">the following questions are relevant to establishing a </w:t>
      </w:r>
      <w:r w:rsidR="0055397D">
        <w:t xml:space="preserve">potential </w:t>
      </w:r>
      <w:r w:rsidR="00E86D13" w:rsidRPr="00E86D13">
        <w:t>breach</w:t>
      </w:r>
      <w:r w:rsidRPr="006F6E42">
        <w:t>:</w:t>
      </w:r>
      <w:r w:rsidR="004E4C7A" w:rsidRPr="006F6E42">
        <w:t xml:space="preserve"> </w:t>
      </w:r>
    </w:p>
    <w:p w14:paraId="58DBE89A" w14:textId="77777777" w:rsidR="00550527" w:rsidRPr="006F6E42" w:rsidRDefault="00550527" w:rsidP="00550527">
      <w:pPr>
        <w:pStyle w:val="ListParagraph"/>
        <w:numPr>
          <w:ilvl w:val="0"/>
          <w:numId w:val="9"/>
        </w:numPr>
        <w:ind w:left="1276"/>
      </w:pPr>
      <w:r w:rsidRPr="006F6E42">
        <w:t>Does the right, safeguard or equality of opportunity protection fall within the relevant part of the Belfast (Good Friday) Agreement?</w:t>
      </w:r>
    </w:p>
    <w:p w14:paraId="077748AC" w14:textId="77777777" w:rsidR="0009046E" w:rsidRDefault="007F1E68" w:rsidP="00D760E4">
      <w:pPr>
        <w:pStyle w:val="ListParagraph"/>
        <w:numPr>
          <w:ilvl w:val="0"/>
          <w:numId w:val="9"/>
        </w:numPr>
        <w:ind w:left="1276"/>
      </w:pPr>
      <w:r>
        <w:t>Was</w:t>
      </w:r>
      <w:r w:rsidRPr="006F6E42">
        <w:t xml:space="preserve"> </w:t>
      </w:r>
      <w:r w:rsidR="00550527" w:rsidRPr="006F6E42">
        <w:t>the right, safeguard or equality of opportunity</w:t>
      </w:r>
      <w:r w:rsidR="00E923B9">
        <w:t xml:space="preserve"> protection</w:t>
      </w:r>
      <w:r w:rsidR="0094122D">
        <w:t>:</w:t>
      </w:r>
    </w:p>
    <w:p w14:paraId="062B911B" w14:textId="77777777" w:rsidR="0009046E" w:rsidRDefault="00550527" w:rsidP="0094122D">
      <w:pPr>
        <w:pStyle w:val="ListParagraph"/>
        <w:numPr>
          <w:ilvl w:val="1"/>
          <w:numId w:val="9"/>
        </w:numPr>
        <w:ind w:left="1701" w:hanging="425"/>
      </w:pPr>
      <w:r>
        <w:t xml:space="preserve">underpinned by EU law </w:t>
      </w:r>
      <w:r w:rsidR="0065396F">
        <w:t xml:space="preserve">binding on the UK </w:t>
      </w:r>
      <w:r w:rsidR="00CD5F53">
        <w:t xml:space="preserve">on </w:t>
      </w:r>
      <w:r w:rsidR="00383A20">
        <w:t xml:space="preserve">or before </w:t>
      </w:r>
      <w:r w:rsidR="00CD5F53">
        <w:t>31 December 2020</w:t>
      </w:r>
      <w:r>
        <w:t xml:space="preserve">? </w:t>
      </w:r>
    </w:p>
    <w:p w14:paraId="506A6923" w14:textId="77777777" w:rsidR="00550527" w:rsidRPr="006F6E42" w:rsidRDefault="00550527" w:rsidP="00241276">
      <w:pPr>
        <w:pStyle w:val="ListParagraph"/>
        <w:numPr>
          <w:ilvl w:val="1"/>
          <w:numId w:val="9"/>
        </w:numPr>
        <w:ind w:left="1701" w:hanging="425"/>
      </w:pPr>
      <w:r w:rsidRPr="006F6E42">
        <w:t>given effect in NI law</w:t>
      </w:r>
      <w:r w:rsidR="00C84BE9">
        <w:t xml:space="preserve">, in whole or in part, </w:t>
      </w:r>
      <w:r w:rsidR="00CD5F53">
        <w:t>on</w:t>
      </w:r>
      <w:r w:rsidR="006A41A1">
        <w:t xml:space="preserve"> or before</w:t>
      </w:r>
      <w:r w:rsidR="00CD5F53">
        <w:t xml:space="preserve"> 31 December 2020</w:t>
      </w:r>
      <w:r w:rsidRPr="006F6E42">
        <w:t>?</w:t>
      </w:r>
      <w:r w:rsidR="0065396F" w:rsidRPr="00A811E0">
        <w:rPr>
          <w:rStyle w:val="FootnoteReference"/>
        </w:rPr>
        <w:footnoteReference w:id="110"/>
      </w:r>
      <w:r w:rsidRPr="006F6E42">
        <w:t xml:space="preserve"> </w:t>
      </w:r>
    </w:p>
    <w:p w14:paraId="1D5043A0" w14:textId="77777777" w:rsidR="00550527" w:rsidRPr="00235D25" w:rsidRDefault="00550527" w:rsidP="00550527">
      <w:pPr>
        <w:pStyle w:val="ListParagraph"/>
        <w:numPr>
          <w:ilvl w:val="0"/>
          <w:numId w:val="9"/>
        </w:numPr>
        <w:ind w:left="1276"/>
      </w:pPr>
      <w:r w:rsidRPr="00235D25">
        <w:t>Has there been a diminution in</w:t>
      </w:r>
      <w:r w:rsidR="006A41A1">
        <w:t xml:space="preserve"> the</w:t>
      </w:r>
      <w:r w:rsidRPr="00235D25">
        <w:t xml:space="preserve"> right, safeguard or equality of opportunity protection on or after 1 January 2021?</w:t>
      </w:r>
    </w:p>
    <w:p w14:paraId="2B3F17C9" w14:textId="77777777" w:rsidR="00550527" w:rsidRPr="00235D25" w:rsidRDefault="00550527" w:rsidP="00550527">
      <w:pPr>
        <w:pStyle w:val="ListParagraph"/>
        <w:numPr>
          <w:ilvl w:val="0"/>
          <w:numId w:val="9"/>
        </w:numPr>
        <w:ind w:left="1276"/>
      </w:pPr>
      <w:r w:rsidRPr="00AF40B4">
        <w:t xml:space="preserve">Would this diminution </w:t>
      </w:r>
      <w:r w:rsidR="00383A20" w:rsidRPr="00383A20">
        <w:t xml:space="preserve">not have occurred </w:t>
      </w:r>
      <w:r w:rsidR="00DD47EC" w:rsidRPr="00AF40B4">
        <w:t>had the UK remained in the EU</w:t>
      </w:r>
      <w:r w:rsidRPr="00235D25">
        <w:t>?</w:t>
      </w:r>
    </w:p>
    <w:p w14:paraId="2E803883" w14:textId="77777777" w:rsidR="00A76242" w:rsidRPr="006F6E42" w:rsidRDefault="00C346D7" w:rsidP="00A15B0F">
      <w:pPr>
        <w:pStyle w:val="ListParagraph"/>
      </w:pPr>
      <w:r w:rsidRPr="006F6E42">
        <w:t xml:space="preserve">This formulation is designed as a guide to key questions </w:t>
      </w:r>
      <w:r w:rsidR="00ED5B96" w:rsidRPr="006F6E42">
        <w:t xml:space="preserve">to be considered when identifying whether Protocol Article 2 is engaged and to help identify if there is a breach or a potential breach of </w:t>
      </w:r>
      <w:r w:rsidR="00567A50" w:rsidRPr="006F6E42">
        <w:t xml:space="preserve">the </w:t>
      </w:r>
      <w:r w:rsidR="00ED5B96" w:rsidRPr="006F6E42">
        <w:t xml:space="preserve">non-diminution obligation.  </w:t>
      </w:r>
      <w:r w:rsidR="006A41A1">
        <w:t>If the answer to each of the questions is yes, then a breach of Protocol Article 2 has been identified.</w:t>
      </w:r>
    </w:p>
    <w:p w14:paraId="0804BFCD" w14:textId="10F3B145" w:rsidR="00550527" w:rsidRPr="006F6E42" w:rsidRDefault="009773B6" w:rsidP="009D7088">
      <w:pPr>
        <w:pStyle w:val="ListParagraph"/>
        <w:numPr>
          <w:ilvl w:val="1"/>
          <w:numId w:val="0"/>
        </w:numPr>
        <w:pBdr>
          <w:top w:val="single" w:sz="4" w:space="1" w:color="auto"/>
          <w:left w:val="single" w:sz="4" w:space="4" w:color="auto"/>
          <w:bottom w:val="single" w:sz="4" w:space="1" w:color="auto"/>
          <w:right w:val="single" w:sz="4" w:space="4" w:color="auto"/>
        </w:pBdr>
      </w:pPr>
      <w:r w:rsidRPr="006F6E42">
        <w:t>For example</w:t>
      </w:r>
      <w:r w:rsidR="00DA4C61" w:rsidRPr="006F6E42">
        <w:t>,</w:t>
      </w:r>
      <w:r w:rsidRPr="006F6E42">
        <w:t xml:space="preserve"> </w:t>
      </w:r>
      <w:r w:rsidR="00A83837">
        <w:t>Section</w:t>
      </w:r>
      <w:r w:rsidR="00A83837" w:rsidRPr="006F6E42">
        <w:t xml:space="preserve"> </w:t>
      </w:r>
      <w:r w:rsidRPr="006F6E42">
        <w:t>6</w:t>
      </w:r>
      <w:r w:rsidR="00911E91">
        <w:t>8</w:t>
      </w:r>
      <w:r w:rsidRPr="006F6E42">
        <w:t xml:space="preserve"> of the Nationality and Borders </w:t>
      </w:r>
      <w:r w:rsidR="00A83837">
        <w:t>Act</w:t>
      </w:r>
      <w:r w:rsidRPr="006F6E42">
        <w:t xml:space="preserve"> seeks to disapply the EU Trafficking Directive, in so far as it is incompatible with a provision made in or under the </w:t>
      </w:r>
      <w:r w:rsidR="00ED63D7">
        <w:t>Act</w:t>
      </w:r>
      <w:r w:rsidRPr="006F6E42">
        <w:t>.</w:t>
      </w:r>
      <w:r w:rsidR="007F25A5">
        <w:rPr>
          <w:rStyle w:val="FootnoteReference"/>
        </w:rPr>
        <w:footnoteReference w:id="111"/>
      </w:r>
    </w:p>
    <w:p w14:paraId="393ED684"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proofErr w:type="spellStart"/>
      <w:r w:rsidRPr="006F6E42">
        <w:rPr>
          <w:b/>
          <w:bCs/>
          <w:i/>
          <w:iCs/>
        </w:rPr>
        <w:t>i</w:t>
      </w:r>
      <w:proofErr w:type="spellEnd"/>
      <w:r w:rsidRPr="006F6E42">
        <w:rPr>
          <w:b/>
          <w:bCs/>
          <w:i/>
          <w:iCs/>
        </w:rPr>
        <w:t>.</w:t>
      </w:r>
      <w:r w:rsidRPr="006F6E42">
        <w:rPr>
          <w:b/>
          <w:bCs/>
          <w:i/>
          <w:iCs/>
        </w:rPr>
        <w:tab/>
        <w:t xml:space="preserve"> </w:t>
      </w:r>
      <w:r w:rsidR="00DA4C61" w:rsidRPr="006F6E42">
        <w:rPr>
          <w:b/>
          <w:bCs/>
          <w:i/>
          <w:iCs/>
        </w:rPr>
        <w:t>Does the right, safeguard or equality of opportunity protection fall within the relevant part of the Belfast (Good Friday) Agreement?</w:t>
      </w:r>
    </w:p>
    <w:p w14:paraId="3AB864E3" w14:textId="6E74A2AC" w:rsidR="006F3412" w:rsidRPr="006F6E42" w:rsidRDefault="006A41A1" w:rsidP="009D7088">
      <w:pPr>
        <w:pBdr>
          <w:top w:val="single" w:sz="4" w:space="1" w:color="auto"/>
          <w:left w:val="single" w:sz="4" w:space="4" w:color="auto"/>
          <w:bottom w:val="single" w:sz="4" w:space="1" w:color="auto"/>
          <w:right w:val="single" w:sz="4" w:space="4" w:color="auto"/>
        </w:pBdr>
        <w:spacing w:line="240" w:lineRule="auto"/>
      </w:pPr>
      <w:r>
        <w:t xml:space="preserve">Yes. </w:t>
      </w:r>
      <w:r w:rsidR="00085EBA" w:rsidRPr="5F2293AE">
        <w:rPr>
          <w:color w:val="000000" w:themeColor="text1"/>
        </w:rPr>
        <w:t xml:space="preserve">The Commissions </w:t>
      </w:r>
      <w:r w:rsidR="00085EBA" w:rsidRPr="59162805">
        <w:rPr>
          <w:color w:val="000000" w:themeColor="text1"/>
        </w:rPr>
        <w:t xml:space="preserve">consider </w:t>
      </w:r>
      <w:r w:rsidR="00085EBA">
        <w:rPr>
          <w:color w:val="000000" w:themeColor="text1"/>
        </w:rPr>
        <w:t xml:space="preserve">that the rights of victims of trafficking </w:t>
      </w:r>
      <w:r w:rsidR="00907D82">
        <w:rPr>
          <w:color w:val="000000" w:themeColor="text1"/>
        </w:rPr>
        <w:t xml:space="preserve">in NI can </w:t>
      </w:r>
      <w:r w:rsidR="00085EBA" w:rsidRPr="00FB1E0B">
        <w:t xml:space="preserve">fall within </w:t>
      </w:r>
      <w:r w:rsidR="00085EBA">
        <w:t>th</w:t>
      </w:r>
      <w:r w:rsidR="008B5BF9">
        <w:t>e relevant</w:t>
      </w:r>
      <w:r w:rsidR="00085EBA">
        <w:t xml:space="preserve"> chapter </w:t>
      </w:r>
      <w:r w:rsidR="006D1AC2">
        <w:t>of the Belfast (Good Friday) Agreement</w:t>
      </w:r>
      <w:r w:rsidR="00085EBA">
        <w:t xml:space="preserve"> </w:t>
      </w:r>
      <w:r w:rsidR="00085EBA" w:rsidRPr="5F2293AE">
        <w:rPr>
          <w:color w:val="000000" w:themeColor="text1"/>
        </w:rPr>
        <w:t xml:space="preserve">for a number of reasons: firstly, </w:t>
      </w:r>
      <w:r w:rsidR="00BD5AE3">
        <w:t xml:space="preserve">the right of victims to remember and to contribute to a changed society is recognised in </w:t>
      </w:r>
      <w:r w:rsidR="006D1AC2">
        <w:t xml:space="preserve">this </w:t>
      </w:r>
      <w:r w:rsidR="00BD5AE3">
        <w:t>chapter</w:t>
      </w:r>
      <w:r w:rsidR="006D1AC2">
        <w:t>,</w:t>
      </w:r>
      <w:r w:rsidR="00432E7B">
        <w:t xml:space="preserve"> </w:t>
      </w:r>
      <w:r w:rsidR="006D1AC2">
        <w:t>and</w:t>
      </w:r>
      <w:r w:rsidR="00BD5AE3">
        <w:t xml:space="preserve"> </w:t>
      </w:r>
      <w:r w:rsidR="00085EBA">
        <w:t>victims of trafficking are a subset of victims</w:t>
      </w:r>
      <w:r w:rsidR="00085EBA" w:rsidRPr="5F2293AE">
        <w:rPr>
          <w:color w:val="000000" w:themeColor="text1"/>
        </w:rPr>
        <w:t>;</w:t>
      </w:r>
      <w:r w:rsidR="00651FF0" w:rsidRPr="00651FF0">
        <w:rPr>
          <w:rStyle w:val="FootnoteReference"/>
        </w:rPr>
        <w:t xml:space="preserve"> </w:t>
      </w:r>
      <w:r w:rsidR="00085EBA" w:rsidRPr="5F2293AE">
        <w:rPr>
          <w:color w:val="000000" w:themeColor="text1"/>
        </w:rPr>
        <w:t xml:space="preserve"> secondly, </w:t>
      </w:r>
      <w:r w:rsidR="00661DAE" w:rsidRPr="0067511F">
        <w:rPr>
          <w:color w:val="000000" w:themeColor="text1"/>
        </w:rPr>
        <w:t>as noted above</w:t>
      </w:r>
      <w:r w:rsidR="00C02DE5">
        <w:rPr>
          <w:color w:val="000000" w:themeColor="text1"/>
        </w:rPr>
        <w:t>,</w:t>
      </w:r>
      <w:r w:rsidR="00661DAE" w:rsidRPr="0067511F">
        <w:rPr>
          <w:color w:val="000000" w:themeColor="text1"/>
        </w:rPr>
        <w:t xml:space="preserve"> the Commissions are reading the commitment to </w:t>
      </w:r>
      <w:r w:rsidR="00871A98" w:rsidRPr="0067511F">
        <w:rPr>
          <w:color w:val="000000" w:themeColor="text1"/>
        </w:rPr>
        <w:t>civil rights</w:t>
      </w:r>
      <w:r w:rsidR="00661DAE" w:rsidRPr="0067511F">
        <w:rPr>
          <w:color w:val="000000" w:themeColor="text1"/>
        </w:rPr>
        <w:t xml:space="preserve"> </w:t>
      </w:r>
      <w:r w:rsidR="00871A98" w:rsidRPr="0067511F">
        <w:rPr>
          <w:color w:val="000000" w:themeColor="text1"/>
        </w:rPr>
        <w:t xml:space="preserve">as </w:t>
      </w:r>
      <w:r w:rsidR="0094122D" w:rsidRPr="0067511F">
        <w:rPr>
          <w:color w:val="000000" w:themeColor="text1"/>
        </w:rPr>
        <w:t xml:space="preserve">including </w:t>
      </w:r>
      <w:r w:rsidR="00871A98" w:rsidRPr="0067511F">
        <w:rPr>
          <w:color w:val="000000" w:themeColor="text1"/>
        </w:rPr>
        <w:t>ECHR rights which are underpinned by EU law,</w:t>
      </w:r>
      <w:r w:rsidR="00871A98" w:rsidRPr="0067511F">
        <w:rPr>
          <w:rStyle w:val="FootnoteReference"/>
          <w:color w:val="000000" w:themeColor="text1"/>
        </w:rPr>
        <w:footnoteReference w:id="112"/>
      </w:r>
      <w:r w:rsidR="00871A98">
        <w:rPr>
          <w:color w:val="000000" w:themeColor="text1"/>
        </w:rPr>
        <w:t xml:space="preserve"> and</w:t>
      </w:r>
      <w:r w:rsidR="00661DAE">
        <w:rPr>
          <w:color w:val="000000" w:themeColor="text1"/>
        </w:rPr>
        <w:t xml:space="preserve"> </w:t>
      </w:r>
      <w:r w:rsidR="00085EBA" w:rsidRPr="5F2293AE">
        <w:rPr>
          <w:color w:val="000000" w:themeColor="text1"/>
        </w:rPr>
        <w:t>Article 4 of the ECHR on the prohibition of slavery and forced labour</w:t>
      </w:r>
      <w:r w:rsidR="00CF755F" w:rsidRPr="5F2293AE">
        <w:rPr>
          <w:color w:val="000000" w:themeColor="text1"/>
        </w:rPr>
        <w:t xml:space="preserve"> </w:t>
      </w:r>
      <w:r w:rsidR="004B5D91" w:rsidRPr="5F2293AE">
        <w:rPr>
          <w:color w:val="000000" w:themeColor="text1"/>
        </w:rPr>
        <w:t xml:space="preserve">encompasses </w:t>
      </w:r>
      <w:r w:rsidR="00CF755F" w:rsidRPr="5F2293AE">
        <w:rPr>
          <w:color w:val="000000" w:themeColor="text1"/>
        </w:rPr>
        <w:t>a prohibition on trafficking of human beings</w:t>
      </w:r>
      <w:r w:rsidR="00085EBA" w:rsidRPr="5F2293AE">
        <w:rPr>
          <w:color w:val="000000" w:themeColor="text1"/>
        </w:rPr>
        <w:t>;</w:t>
      </w:r>
      <w:r w:rsidR="00CF755F">
        <w:rPr>
          <w:rStyle w:val="FootnoteReference"/>
          <w:color w:val="000000"/>
        </w:rPr>
        <w:footnoteReference w:id="113"/>
      </w:r>
      <w:r w:rsidR="00085EBA" w:rsidRPr="5F2293AE">
        <w:rPr>
          <w:color w:val="000000" w:themeColor="text1"/>
        </w:rPr>
        <w:t xml:space="preserve"> and thirdly, </w:t>
      </w:r>
      <w:r w:rsidR="00257BA4">
        <w:rPr>
          <w:color w:val="000000" w:themeColor="text1"/>
        </w:rPr>
        <w:t xml:space="preserve">the rights of victims of trafficking </w:t>
      </w:r>
      <w:r w:rsidR="00907D82">
        <w:rPr>
          <w:color w:val="000000" w:themeColor="text1"/>
        </w:rPr>
        <w:t xml:space="preserve">can </w:t>
      </w:r>
      <w:r w:rsidR="00D15AC4">
        <w:rPr>
          <w:color w:val="000000" w:themeColor="text1"/>
        </w:rPr>
        <w:t>fall</w:t>
      </w:r>
      <w:r w:rsidR="002E5D51">
        <w:rPr>
          <w:color w:val="000000" w:themeColor="text1"/>
        </w:rPr>
        <w:t xml:space="preserve"> within the </w:t>
      </w:r>
      <w:r w:rsidR="00075C20">
        <w:rPr>
          <w:color w:val="000000" w:themeColor="text1"/>
        </w:rPr>
        <w:t>right relatin</w:t>
      </w:r>
      <w:r w:rsidR="001D1523">
        <w:rPr>
          <w:color w:val="000000" w:themeColor="text1"/>
        </w:rPr>
        <w:t>g to equal</w:t>
      </w:r>
      <w:r w:rsidR="00467B7B">
        <w:rPr>
          <w:color w:val="000000" w:themeColor="text1"/>
        </w:rPr>
        <w:t xml:space="preserve"> </w:t>
      </w:r>
      <w:r w:rsidR="001D1523">
        <w:rPr>
          <w:color w:val="000000" w:themeColor="text1"/>
        </w:rPr>
        <w:t xml:space="preserve">opportunity </w:t>
      </w:r>
      <w:r w:rsidR="00467B7B" w:rsidRPr="00467B7B">
        <w:rPr>
          <w:color w:val="000000" w:themeColor="text1"/>
        </w:rPr>
        <w:t>in all social and economic activity</w:t>
      </w:r>
      <w:r w:rsidR="00085EBA" w:rsidRPr="00467B7B">
        <w:rPr>
          <w:color w:val="000000" w:themeColor="text1"/>
        </w:rPr>
        <w:t xml:space="preserve"> </w:t>
      </w:r>
      <w:r w:rsidR="00085EBA" w:rsidRPr="5F2293AE">
        <w:rPr>
          <w:color w:val="000000" w:themeColor="text1"/>
        </w:rPr>
        <w:t>in the relevant chapter of the Belfast (Good Friday) Agreement.</w:t>
      </w:r>
      <w:r w:rsidR="007F25A5" w:rsidDel="00651FF0">
        <w:rPr>
          <w:rStyle w:val="FootnoteReference"/>
        </w:rPr>
        <w:footnoteReference w:id="114"/>
      </w:r>
    </w:p>
    <w:p w14:paraId="4F0337A0" w14:textId="77777777" w:rsidR="00DA4C61" w:rsidRPr="006F6E42" w:rsidRDefault="00DA4C61" w:rsidP="009D7088">
      <w:pPr>
        <w:pBdr>
          <w:top w:val="single" w:sz="4" w:space="1" w:color="auto"/>
          <w:left w:val="single" w:sz="4" w:space="4" w:color="auto"/>
          <w:bottom w:val="single" w:sz="4" w:space="1" w:color="auto"/>
          <w:right w:val="single" w:sz="4" w:space="4" w:color="auto"/>
        </w:pBdr>
        <w:spacing w:line="240" w:lineRule="auto"/>
      </w:pPr>
      <w:r w:rsidRPr="006F6E42">
        <w:t xml:space="preserve"> </w:t>
      </w:r>
    </w:p>
    <w:p w14:paraId="4979C2D3" w14:textId="77777777" w:rsidR="00DA4C61" w:rsidRPr="00110D87"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r w:rsidRPr="006F6E42">
        <w:rPr>
          <w:b/>
          <w:bCs/>
          <w:i/>
          <w:iCs/>
        </w:rPr>
        <w:t xml:space="preserve">ii. </w:t>
      </w:r>
      <w:r w:rsidRPr="006F6E42">
        <w:rPr>
          <w:b/>
          <w:bCs/>
          <w:i/>
          <w:iCs/>
        </w:rPr>
        <w:tab/>
      </w:r>
      <w:r w:rsidR="003A03FF" w:rsidRPr="00110D87">
        <w:rPr>
          <w:b/>
          <w:bCs/>
          <w:i/>
          <w:iCs/>
        </w:rPr>
        <w:t xml:space="preserve">Was </w:t>
      </w:r>
      <w:r w:rsidR="00DA4C61" w:rsidRPr="00110D87">
        <w:rPr>
          <w:b/>
          <w:bCs/>
          <w:i/>
          <w:iCs/>
        </w:rPr>
        <w:t>the right, safeguard or equality of opportunity protect</w:t>
      </w:r>
      <w:r w:rsidR="003A03FF" w:rsidRPr="00F943A8">
        <w:rPr>
          <w:b/>
          <w:bCs/>
          <w:i/>
          <w:iCs/>
        </w:rPr>
        <w:t>ion</w:t>
      </w:r>
      <w:r w:rsidR="0054514B" w:rsidRPr="00110D87">
        <w:rPr>
          <w:b/>
          <w:bCs/>
          <w:i/>
          <w:iCs/>
        </w:rPr>
        <w:t>:</w:t>
      </w:r>
    </w:p>
    <w:p w14:paraId="5F34005A" w14:textId="77777777" w:rsidR="00DA4C61" w:rsidRPr="006F6E42" w:rsidRDefault="00DA486E" w:rsidP="00196A7E">
      <w:pPr>
        <w:pBdr>
          <w:top w:val="single" w:sz="4" w:space="1" w:color="auto"/>
          <w:left w:val="single" w:sz="4" w:space="4" w:color="auto"/>
          <w:bottom w:val="single" w:sz="4" w:space="1" w:color="auto"/>
          <w:right w:val="single" w:sz="4" w:space="4" w:color="auto"/>
        </w:pBdr>
        <w:spacing w:line="240" w:lineRule="auto"/>
        <w:ind w:left="992" w:hanging="992"/>
        <w:rPr>
          <w:b/>
          <w:bCs/>
          <w:i/>
          <w:iCs/>
        </w:rPr>
      </w:pPr>
      <w:r w:rsidRPr="004255B9">
        <w:rPr>
          <w:b/>
          <w:bCs/>
          <w:i/>
          <w:iCs/>
        </w:rPr>
        <w:t xml:space="preserve">a. </w:t>
      </w:r>
      <w:r w:rsidRPr="004255B9">
        <w:rPr>
          <w:b/>
          <w:bCs/>
          <w:i/>
          <w:iCs/>
        </w:rPr>
        <w:tab/>
      </w:r>
      <w:r w:rsidR="00DA4C61" w:rsidRPr="004255B9">
        <w:rPr>
          <w:b/>
          <w:bCs/>
          <w:i/>
          <w:iCs/>
        </w:rPr>
        <w:t xml:space="preserve"> </w:t>
      </w:r>
      <w:r w:rsidR="006A41A1" w:rsidRPr="004255B9">
        <w:rPr>
          <w:b/>
          <w:bCs/>
          <w:i/>
          <w:iCs/>
        </w:rPr>
        <w:t xml:space="preserve">underpinned by EU law binding on the UK on </w:t>
      </w:r>
      <w:r w:rsidR="00042172" w:rsidRPr="004255B9">
        <w:rPr>
          <w:b/>
          <w:bCs/>
          <w:i/>
          <w:iCs/>
        </w:rPr>
        <w:t xml:space="preserve">or before </w:t>
      </w:r>
      <w:r w:rsidR="006A41A1" w:rsidRPr="004255B9">
        <w:rPr>
          <w:b/>
          <w:bCs/>
          <w:i/>
          <w:iCs/>
        </w:rPr>
        <w:t>31 December 2020</w:t>
      </w:r>
      <w:r w:rsidR="00DA4C61" w:rsidRPr="00110D87">
        <w:rPr>
          <w:b/>
          <w:bCs/>
          <w:i/>
          <w:iCs/>
        </w:rPr>
        <w:t>?</w:t>
      </w:r>
    </w:p>
    <w:p w14:paraId="68FE6585" w14:textId="77777777" w:rsidR="005E18CB" w:rsidRPr="006F6E42" w:rsidRDefault="006A41A1" w:rsidP="009D7088">
      <w:pPr>
        <w:pBdr>
          <w:top w:val="single" w:sz="4" w:space="1" w:color="auto"/>
          <w:left w:val="single" w:sz="4" w:space="4" w:color="auto"/>
          <w:bottom w:val="single" w:sz="4" w:space="1" w:color="auto"/>
          <w:right w:val="single" w:sz="4" w:space="4" w:color="auto"/>
        </w:pBdr>
        <w:spacing w:line="240" w:lineRule="auto"/>
      </w:pPr>
      <w:r>
        <w:t xml:space="preserve">Yes. </w:t>
      </w:r>
      <w:r w:rsidR="00495E2A">
        <w:t>The EU Trafficking</w:t>
      </w:r>
      <w:r w:rsidR="009B0A26">
        <w:t xml:space="preserve"> Directive</w:t>
      </w:r>
      <w:r w:rsidR="007D3508" w:rsidRPr="006F6E42">
        <w:t xml:space="preserve"> provides for a number of rights and safeguards relating to trafficking victims.</w:t>
      </w:r>
      <w:r w:rsidR="00495E2A">
        <w:rPr>
          <w:rStyle w:val="FootnoteReference"/>
        </w:rPr>
        <w:footnoteReference w:id="115"/>
      </w:r>
      <w:r w:rsidR="007D3508" w:rsidRPr="006F6E42">
        <w:t xml:space="preserve">  The Directive recognises the “gender-specific phenomenon of trafficking and that women and men are often trafficked for different purposes” and includes a number of specific </w:t>
      </w:r>
      <w:r w:rsidR="005E18CB" w:rsidRPr="006F6E42">
        <w:t>provisions</w:t>
      </w:r>
      <w:r w:rsidR="007D3508" w:rsidRPr="006F6E42">
        <w:t xml:space="preserve"> </w:t>
      </w:r>
      <w:r w:rsidR="005E18CB" w:rsidRPr="006F6E42">
        <w:t xml:space="preserve">focused on the rights and safeguards in respect of child victims. </w:t>
      </w:r>
    </w:p>
    <w:p w14:paraId="02897D95"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rPr>
          <w:b/>
          <w:bCs/>
        </w:rPr>
      </w:pPr>
    </w:p>
    <w:p w14:paraId="6FA35D92" w14:textId="77777777" w:rsidR="00DA4C61" w:rsidRPr="00FA520A" w:rsidRDefault="00133F39" w:rsidP="00196A7E">
      <w:pPr>
        <w:pBdr>
          <w:top w:val="single" w:sz="4" w:space="1" w:color="auto"/>
          <w:left w:val="single" w:sz="4" w:space="4" w:color="auto"/>
          <w:bottom w:val="single" w:sz="4" w:space="1" w:color="auto"/>
          <w:right w:val="single" w:sz="4" w:space="4" w:color="auto"/>
        </w:pBdr>
        <w:ind w:left="992" w:hanging="992"/>
        <w:rPr>
          <w:b/>
          <w:bCs/>
          <w:i/>
          <w:iCs/>
        </w:rPr>
      </w:pPr>
      <w:r>
        <w:rPr>
          <w:b/>
          <w:bCs/>
          <w:i/>
          <w:iCs/>
        </w:rPr>
        <w:t xml:space="preserve">b. </w:t>
      </w:r>
      <w:r>
        <w:rPr>
          <w:b/>
          <w:bCs/>
          <w:i/>
          <w:iCs/>
        </w:rPr>
        <w:tab/>
      </w:r>
      <w:r w:rsidR="006A41A1" w:rsidRPr="00DD6F19">
        <w:rPr>
          <w:b/>
          <w:bCs/>
          <w:i/>
          <w:iCs/>
        </w:rPr>
        <w:t>given effect</w:t>
      </w:r>
      <w:r w:rsidR="00DF3744">
        <w:rPr>
          <w:b/>
          <w:bCs/>
          <w:i/>
          <w:iCs/>
        </w:rPr>
        <w:t xml:space="preserve"> </w:t>
      </w:r>
      <w:r w:rsidR="006A41A1" w:rsidRPr="00DD6F19">
        <w:rPr>
          <w:b/>
          <w:bCs/>
          <w:i/>
          <w:iCs/>
        </w:rPr>
        <w:t>in NI law</w:t>
      </w:r>
      <w:r w:rsidR="00042172">
        <w:rPr>
          <w:b/>
          <w:bCs/>
          <w:i/>
          <w:iCs/>
        </w:rPr>
        <w:t xml:space="preserve">, in whole or in part, </w:t>
      </w:r>
      <w:r w:rsidR="006A41A1" w:rsidRPr="00196A7E">
        <w:rPr>
          <w:b/>
          <w:bCs/>
          <w:i/>
          <w:iCs/>
        </w:rPr>
        <w:t>on or before 31 December 2020</w:t>
      </w:r>
      <w:r w:rsidR="00DA4C61" w:rsidRPr="00FA520A">
        <w:rPr>
          <w:b/>
          <w:bCs/>
          <w:i/>
          <w:iCs/>
        </w:rPr>
        <w:t xml:space="preserve">? </w:t>
      </w:r>
    </w:p>
    <w:p w14:paraId="69499CD4" w14:textId="77777777" w:rsidR="005E18CB" w:rsidRPr="006F6E42" w:rsidRDefault="006A41A1" w:rsidP="009D7088">
      <w:pPr>
        <w:pBdr>
          <w:top w:val="single" w:sz="4" w:space="1" w:color="auto"/>
          <w:left w:val="single" w:sz="4" w:space="4" w:color="auto"/>
          <w:bottom w:val="single" w:sz="4" w:space="1" w:color="auto"/>
          <w:right w:val="single" w:sz="4" w:space="4" w:color="auto"/>
        </w:pBdr>
        <w:spacing w:line="240" w:lineRule="auto"/>
      </w:pPr>
      <w:r w:rsidRPr="00D22590">
        <w:t>Y</w:t>
      </w:r>
      <w:r w:rsidRPr="5F2293AE">
        <w:rPr>
          <w:rFonts w:asciiTheme="minorHAnsi" w:hAnsiTheme="minorHAnsi"/>
        </w:rPr>
        <w:t>es</w:t>
      </w:r>
      <w:r w:rsidRPr="00D22590">
        <w:t>.</w:t>
      </w:r>
      <w:r>
        <w:t xml:space="preserve"> </w:t>
      </w:r>
      <w:r w:rsidR="005E18CB" w:rsidRPr="006F6E42">
        <w:t xml:space="preserve">This </w:t>
      </w:r>
      <w:r w:rsidR="006F3412" w:rsidRPr="006F6E42">
        <w:t>Directive</w:t>
      </w:r>
      <w:r w:rsidR="005E18CB" w:rsidRPr="006F6E42">
        <w:t xml:space="preserve"> is given effect in NI law in </w:t>
      </w:r>
      <w:r w:rsidR="006F3412" w:rsidRPr="006F6E42">
        <w:t>various measures</w:t>
      </w:r>
      <w:r w:rsidR="007F25A5">
        <w:t xml:space="preserve">, including </w:t>
      </w:r>
      <w:r w:rsidR="007F25A5" w:rsidRPr="004C0FDD">
        <w:t>Human Trafficking and Exploitation (Criminal Justice and Support for Victims) Act (Northern Ireland) 2015</w:t>
      </w:r>
      <w:r w:rsidR="006F3412" w:rsidRPr="006F6E42">
        <w:t>.</w:t>
      </w:r>
      <w:r w:rsidR="00343BF4" w:rsidRPr="006F6E42">
        <w:rPr>
          <w:rStyle w:val="FootnoteReference"/>
        </w:rPr>
        <w:footnoteReference w:id="116"/>
      </w:r>
      <w:r w:rsidR="006F3412" w:rsidRPr="006F6E42">
        <w:t xml:space="preserve"> </w:t>
      </w:r>
    </w:p>
    <w:p w14:paraId="48126C6C"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p>
    <w:p w14:paraId="05D64B4C"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iCs/>
        </w:rPr>
      </w:pPr>
      <w:r w:rsidRPr="006F6E42">
        <w:rPr>
          <w:b/>
          <w:bCs/>
          <w:i/>
          <w:iCs/>
        </w:rPr>
        <w:t>iii.</w:t>
      </w:r>
      <w:r w:rsidRPr="006F6E42">
        <w:rPr>
          <w:b/>
          <w:bCs/>
          <w:i/>
          <w:iCs/>
        </w:rPr>
        <w:tab/>
      </w:r>
      <w:r w:rsidR="00DA4C61" w:rsidRPr="006F6E42">
        <w:rPr>
          <w:b/>
          <w:bCs/>
          <w:i/>
          <w:iCs/>
        </w:rPr>
        <w:t xml:space="preserve">Has there been a diminution in </w:t>
      </w:r>
      <w:r w:rsidR="006A41A1" w:rsidRPr="00AE0591">
        <w:rPr>
          <w:b/>
          <w:bCs/>
          <w:i/>
          <w:iCs/>
        </w:rPr>
        <w:t xml:space="preserve">the right, safeguard or equality of opportunity protection </w:t>
      </w:r>
      <w:r w:rsidR="00DA4C61" w:rsidRPr="006F6E42">
        <w:rPr>
          <w:b/>
          <w:bCs/>
          <w:i/>
          <w:iCs/>
        </w:rPr>
        <w:t>on or after 1 January 2021?</w:t>
      </w:r>
    </w:p>
    <w:p w14:paraId="091350D8" w14:textId="783CB4CC" w:rsidR="006F3412" w:rsidRDefault="00AE1683" w:rsidP="009D7088">
      <w:pPr>
        <w:pBdr>
          <w:top w:val="single" w:sz="4" w:space="1" w:color="auto"/>
          <w:left w:val="single" w:sz="4" w:space="4" w:color="auto"/>
          <w:bottom w:val="single" w:sz="4" w:space="1" w:color="auto"/>
          <w:right w:val="single" w:sz="4" w:space="4" w:color="auto"/>
        </w:pBdr>
        <w:spacing w:line="240" w:lineRule="auto"/>
      </w:pPr>
      <w:r>
        <w:t xml:space="preserve">The Commissions’ analysis of the </w:t>
      </w:r>
      <w:r w:rsidR="001D1FB4" w:rsidRPr="006F6E42">
        <w:t xml:space="preserve">Nationality and Borders </w:t>
      </w:r>
      <w:r>
        <w:t xml:space="preserve">Bill </w:t>
      </w:r>
      <w:r w:rsidR="00911E91">
        <w:t xml:space="preserve">as it progressed through Parliament </w:t>
      </w:r>
      <w:r>
        <w:t xml:space="preserve">identified a number of provisions that may infringe obligations arising from the </w:t>
      </w:r>
      <w:r w:rsidR="005458B4">
        <w:t xml:space="preserve">EU </w:t>
      </w:r>
      <w:r>
        <w:t>Trafficking Directive.</w:t>
      </w:r>
      <w:r w:rsidR="000A6D95" w:rsidRPr="003D3204">
        <w:rPr>
          <w:rStyle w:val="FootnoteReference"/>
          <w:rFonts w:asciiTheme="minorHAnsi" w:hAnsiTheme="minorHAnsi" w:cstheme="minorHAnsi"/>
          <w:szCs w:val="28"/>
        </w:rPr>
        <w:footnoteReference w:id="117"/>
      </w:r>
      <w:r w:rsidRPr="006F6E42">
        <w:t xml:space="preserve"> </w:t>
      </w:r>
      <w:r w:rsidR="001F1BB7" w:rsidRPr="5F2293AE">
        <w:rPr>
          <w:rFonts w:asciiTheme="minorHAnsi" w:hAnsiTheme="minorHAnsi"/>
        </w:rPr>
        <w:t xml:space="preserve">For example, </w:t>
      </w:r>
      <w:r w:rsidR="000913A0">
        <w:rPr>
          <w:rFonts w:asciiTheme="minorHAnsi" w:hAnsiTheme="minorHAnsi"/>
        </w:rPr>
        <w:t xml:space="preserve">the Commissions raised concerns in relation to Clause 58 of the Bill, now </w:t>
      </w:r>
      <w:r w:rsidR="00911E91" w:rsidRPr="5F2293AE">
        <w:rPr>
          <w:rFonts w:asciiTheme="minorHAnsi" w:hAnsiTheme="minorHAnsi"/>
        </w:rPr>
        <w:t>Section 59</w:t>
      </w:r>
      <w:r w:rsidR="001F1BB7" w:rsidRPr="5F2293AE">
        <w:rPr>
          <w:rFonts w:asciiTheme="minorHAnsi" w:hAnsiTheme="minorHAnsi"/>
        </w:rPr>
        <w:t xml:space="preserve">(2) </w:t>
      </w:r>
      <w:r w:rsidR="00A76D6B">
        <w:rPr>
          <w:rFonts w:asciiTheme="minorHAnsi" w:hAnsiTheme="minorHAnsi"/>
        </w:rPr>
        <w:t xml:space="preserve">of the </w:t>
      </w:r>
      <w:r w:rsidR="00B36100" w:rsidRPr="006F6E42">
        <w:t xml:space="preserve">Nationality and Borders </w:t>
      </w:r>
      <w:r w:rsidR="00A76D6B">
        <w:rPr>
          <w:rFonts w:asciiTheme="minorHAnsi" w:hAnsiTheme="minorHAnsi"/>
        </w:rPr>
        <w:t>Act</w:t>
      </w:r>
      <w:r w:rsidR="000913A0">
        <w:rPr>
          <w:rFonts w:asciiTheme="minorHAnsi" w:hAnsiTheme="minorHAnsi"/>
        </w:rPr>
        <w:t>,</w:t>
      </w:r>
      <w:r w:rsidR="00A76D6B">
        <w:rPr>
          <w:rFonts w:asciiTheme="minorHAnsi" w:hAnsiTheme="minorHAnsi"/>
        </w:rPr>
        <w:t xml:space="preserve"> </w:t>
      </w:r>
      <w:r w:rsidR="009E5469">
        <w:rPr>
          <w:rFonts w:asciiTheme="minorHAnsi" w:hAnsiTheme="minorHAnsi"/>
        </w:rPr>
        <w:t xml:space="preserve">which </w:t>
      </w:r>
      <w:r w:rsidR="001F1BB7" w:rsidRPr="5F2293AE">
        <w:rPr>
          <w:rFonts w:asciiTheme="minorHAnsi" w:hAnsiTheme="minorHAnsi"/>
        </w:rPr>
        <w:t xml:space="preserve">requires that late compliance with a Trafficking Information Notice, without good reason, must be considered as a factor damaging a person’s credibility.  This mandatory consideration relating to credibility has the potential to engage and infringe Article 8 of the </w:t>
      </w:r>
      <w:r w:rsidR="005458B4" w:rsidRPr="5F2293AE">
        <w:rPr>
          <w:rFonts w:asciiTheme="minorHAnsi" w:hAnsiTheme="minorHAnsi"/>
        </w:rPr>
        <w:t xml:space="preserve">EU </w:t>
      </w:r>
      <w:r w:rsidR="001F1BB7" w:rsidRPr="5F2293AE">
        <w:rPr>
          <w:rFonts w:asciiTheme="minorHAnsi" w:hAnsiTheme="minorHAnsi"/>
        </w:rPr>
        <w:t>Trafficking Directive and may reverse the obligations on states to identify victims of trafficking in Article 9 of the Directive.</w:t>
      </w:r>
      <w:r w:rsidR="00AA3648" w:rsidRPr="5F2293AE">
        <w:rPr>
          <w:rStyle w:val="FootnoteReference"/>
          <w:rFonts w:asciiTheme="minorHAnsi" w:hAnsiTheme="minorHAnsi"/>
        </w:rPr>
        <w:t xml:space="preserve"> </w:t>
      </w:r>
      <w:r w:rsidR="00DF3744" w:rsidRPr="5F2293AE">
        <w:rPr>
          <w:rFonts w:asciiTheme="minorHAnsi" w:hAnsiTheme="minorHAnsi"/>
        </w:rPr>
        <w:t xml:space="preserve"> </w:t>
      </w:r>
      <w:r w:rsidR="006F3412" w:rsidRPr="006F6E42">
        <w:t xml:space="preserve">Line by line analysis of the Nationality and Borders </w:t>
      </w:r>
      <w:r w:rsidR="00911E91">
        <w:t>Act</w:t>
      </w:r>
      <w:r w:rsidR="00911E91" w:rsidRPr="006F6E42">
        <w:t xml:space="preserve"> </w:t>
      </w:r>
      <w:r w:rsidR="006F3412" w:rsidRPr="006F6E42">
        <w:t xml:space="preserve">and subsequent measures, such as secondary legislation and guidance under the </w:t>
      </w:r>
      <w:r w:rsidR="000A6D95">
        <w:t>Act</w:t>
      </w:r>
      <w:r w:rsidR="003E3AC5">
        <w:t>,</w:t>
      </w:r>
      <w:r w:rsidR="006F3412" w:rsidRPr="006F6E42">
        <w:t xml:space="preserve"> </w:t>
      </w:r>
      <w:r w:rsidR="00911E91">
        <w:t>is</w:t>
      </w:r>
      <w:r w:rsidR="006F3412" w:rsidRPr="006F6E42">
        <w:t xml:space="preserve"> required to ensure that the disapplication of the EU Trafficking Directive does not in fact diminish the rights, safeguards and equality of opportunity protection of trafficking victims in NI. </w:t>
      </w:r>
    </w:p>
    <w:p w14:paraId="451124B8" w14:textId="77777777"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p>
    <w:p w14:paraId="3DBA6DCD" w14:textId="77777777" w:rsidR="00DA4C61" w:rsidRPr="006F6E42" w:rsidRDefault="00DA486E" w:rsidP="009D7088">
      <w:pPr>
        <w:pBdr>
          <w:top w:val="single" w:sz="4" w:space="1" w:color="auto"/>
          <w:left w:val="single" w:sz="4" w:space="4" w:color="auto"/>
          <w:bottom w:val="single" w:sz="4" w:space="1" w:color="auto"/>
          <w:right w:val="single" w:sz="4" w:space="4" w:color="auto"/>
        </w:pBdr>
        <w:tabs>
          <w:tab w:val="left" w:pos="426"/>
        </w:tabs>
        <w:spacing w:line="240" w:lineRule="auto"/>
        <w:rPr>
          <w:b/>
          <w:bCs/>
          <w:i/>
        </w:rPr>
      </w:pPr>
      <w:r w:rsidRPr="006F6E42">
        <w:rPr>
          <w:b/>
          <w:bCs/>
          <w:i/>
        </w:rPr>
        <w:t>iv.</w:t>
      </w:r>
      <w:r w:rsidRPr="006F6E42">
        <w:rPr>
          <w:b/>
          <w:bCs/>
          <w:i/>
        </w:rPr>
        <w:tab/>
      </w:r>
      <w:r w:rsidR="00DA4C61" w:rsidRPr="006F6E42">
        <w:rPr>
          <w:b/>
          <w:bCs/>
          <w:i/>
        </w:rPr>
        <w:t xml:space="preserve">Would this diminution </w:t>
      </w:r>
      <w:r w:rsidR="00042172" w:rsidRPr="00042172">
        <w:rPr>
          <w:b/>
          <w:bCs/>
          <w:i/>
        </w:rPr>
        <w:t>not have occurred had the UK remained in the EU</w:t>
      </w:r>
      <w:r w:rsidR="00DA4C61" w:rsidRPr="006F6E42">
        <w:rPr>
          <w:b/>
          <w:bCs/>
          <w:i/>
        </w:rPr>
        <w:t>?</w:t>
      </w:r>
    </w:p>
    <w:p w14:paraId="34132BD6" w14:textId="4BF0E959" w:rsidR="006F3412" w:rsidRPr="006F6E42" w:rsidRDefault="006F3412" w:rsidP="009D7088">
      <w:pPr>
        <w:pBdr>
          <w:top w:val="single" w:sz="4" w:space="1" w:color="auto"/>
          <w:left w:val="single" w:sz="4" w:space="4" w:color="auto"/>
          <w:bottom w:val="single" w:sz="4" w:space="1" w:color="auto"/>
          <w:right w:val="single" w:sz="4" w:space="4" w:color="auto"/>
        </w:pBdr>
        <w:spacing w:line="240" w:lineRule="auto"/>
      </w:pPr>
      <w:r w:rsidRPr="006F6E42">
        <w:t>As an EU Member State</w:t>
      </w:r>
      <w:r w:rsidR="00A5248A" w:rsidRPr="006F6E42">
        <w:t>,</w:t>
      </w:r>
      <w:r w:rsidRPr="006F6E42">
        <w:t xml:space="preserve"> the UK was required to give effect to the principle of supremacy of EU law, therefore any UK </w:t>
      </w:r>
      <w:r w:rsidR="000A6D95">
        <w:t>Act</w:t>
      </w:r>
      <w:r w:rsidR="000A6D95" w:rsidRPr="006F6E42">
        <w:t xml:space="preserve"> </w:t>
      </w:r>
      <w:r w:rsidRPr="006F6E42">
        <w:t xml:space="preserve">and subsequent secondary legislation and guidance would have to be read in light of the EU </w:t>
      </w:r>
      <w:r w:rsidR="0043030A" w:rsidRPr="006F6E42">
        <w:t>Trafficking</w:t>
      </w:r>
      <w:r w:rsidRPr="006F6E42">
        <w:t xml:space="preserve"> </w:t>
      </w:r>
      <w:r w:rsidR="0043030A" w:rsidRPr="006F6E42">
        <w:t xml:space="preserve">Directive. </w:t>
      </w:r>
    </w:p>
    <w:p w14:paraId="5E858CD4" w14:textId="77777777" w:rsidR="0043030A" w:rsidRPr="006F6E42" w:rsidRDefault="0043030A" w:rsidP="009D7088">
      <w:pPr>
        <w:pBdr>
          <w:top w:val="single" w:sz="4" w:space="1" w:color="auto"/>
          <w:left w:val="single" w:sz="4" w:space="4" w:color="auto"/>
          <w:bottom w:val="single" w:sz="4" w:space="1" w:color="auto"/>
          <w:right w:val="single" w:sz="4" w:space="4" w:color="auto"/>
        </w:pBdr>
        <w:spacing w:line="240" w:lineRule="auto"/>
      </w:pPr>
    </w:p>
    <w:p w14:paraId="447883EC" w14:textId="11146B53" w:rsidR="009773B6" w:rsidRPr="006F6E42" w:rsidRDefault="0043030A" w:rsidP="009D7088">
      <w:pPr>
        <w:pBdr>
          <w:top w:val="single" w:sz="4" w:space="1" w:color="auto"/>
          <w:left w:val="single" w:sz="4" w:space="4" w:color="auto"/>
          <w:bottom w:val="single" w:sz="4" w:space="1" w:color="auto"/>
          <w:right w:val="single" w:sz="4" w:space="4" w:color="auto"/>
        </w:pBdr>
        <w:spacing w:line="240" w:lineRule="auto"/>
      </w:pPr>
      <w:r w:rsidRPr="006F6E42">
        <w:rPr>
          <w:b/>
          <w:bCs/>
        </w:rPr>
        <w:t>Evaluation:</w:t>
      </w:r>
      <w:r w:rsidRPr="006F6E42">
        <w:t xml:space="preserve"> </w:t>
      </w:r>
      <w:r w:rsidR="00911E91">
        <w:t>Section 68</w:t>
      </w:r>
      <w:r w:rsidR="00A5248A" w:rsidRPr="006F6E42">
        <w:t xml:space="preserve"> of the Nationality and Borders </w:t>
      </w:r>
      <w:r w:rsidR="00911E91">
        <w:t>Act</w:t>
      </w:r>
      <w:r w:rsidR="00911E91" w:rsidRPr="006F6E42">
        <w:t xml:space="preserve"> </w:t>
      </w:r>
      <w:r w:rsidR="00A5248A" w:rsidRPr="008868DD">
        <w:t>engages rights,</w:t>
      </w:r>
      <w:r w:rsidR="00A5248A" w:rsidRPr="006F6E42">
        <w:t xml:space="preserve"> safeguards and equality of opportunity protections within</w:t>
      </w:r>
      <w:r w:rsidR="00BC7161">
        <w:t xml:space="preserve"> the scope of</w:t>
      </w:r>
      <w:r w:rsidR="00A5248A" w:rsidRPr="006F6E42">
        <w:t xml:space="preserve"> Protocol Article 2.  </w:t>
      </w:r>
      <w:r w:rsidR="007F25A5" w:rsidRPr="00B3504F">
        <w:t>The Commissions recommend</w:t>
      </w:r>
      <w:r w:rsidR="007F25A5">
        <w:t>ed</w:t>
      </w:r>
      <w:r w:rsidR="007F25A5" w:rsidRPr="00B3504F">
        <w:t xml:space="preserve"> the Nationality and Borders Bill </w:t>
      </w:r>
      <w:r w:rsidR="00426D81">
        <w:t>be</w:t>
      </w:r>
      <w:r w:rsidR="007F25A5">
        <w:t xml:space="preserve"> amended </w:t>
      </w:r>
      <w:r w:rsidR="007F25A5" w:rsidRPr="00B3504F">
        <w:t xml:space="preserve">to remove Northern Ireland from the extent of </w:t>
      </w:r>
      <w:r w:rsidR="00911E91">
        <w:t>this section (and related sections)</w:t>
      </w:r>
      <w:r w:rsidR="007F25A5" w:rsidRPr="00B3504F">
        <w:t xml:space="preserve">, to avoid potential breach of the “no-diminution” commitment under </w:t>
      </w:r>
      <w:r w:rsidR="007F25A5">
        <w:t>Protocol Article 2</w:t>
      </w:r>
      <w:r w:rsidR="007F25A5" w:rsidRPr="00B3504F">
        <w:t>.</w:t>
      </w:r>
      <w:r w:rsidR="008C463D">
        <w:rPr>
          <w:rStyle w:val="FootnoteReference"/>
        </w:rPr>
        <w:footnoteReference w:id="118"/>
      </w:r>
      <w:r w:rsidR="00F424A4">
        <w:t xml:space="preserve"> </w:t>
      </w:r>
      <w:r w:rsidR="00A97E52">
        <w:t xml:space="preserve">The Commissions will continue to monitor and advise on the outworkings of the Act in terms of its compliance with Protocol Article 2 and its impact on the rights of </w:t>
      </w:r>
      <w:r w:rsidR="00110850" w:rsidRPr="006F6E42">
        <w:t>trafficking victims in NI</w:t>
      </w:r>
      <w:r w:rsidR="00110850">
        <w:t xml:space="preserve">. </w:t>
      </w:r>
    </w:p>
    <w:p w14:paraId="5E69C595" w14:textId="77777777" w:rsidR="00550527" w:rsidRPr="006F6E42" w:rsidRDefault="00550527" w:rsidP="00DE5E69"/>
    <w:p w14:paraId="1ACDBE99" w14:textId="77777777" w:rsidR="00E07DED" w:rsidRPr="006F6E42" w:rsidRDefault="00E07DED" w:rsidP="00E07DED">
      <w:pPr>
        <w:pStyle w:val="ListParagraph"/>
        <w:numPr>
          <w:ilvl w:val="1"/>
          <w:numId w:val="7"/>
        </w:numPr>
        <w:spacing w:before="360" w:after="120"/>
        <w:outlineLvl w:val="0"/>
        <w:rPr>
          <w:b/>
          <w:bCs/>
          <w:vanish/>
          <w:color w:val="77328A"/>
          <w:sz w:val="40"/>
          <w:szCs w:val="40"/>
        </w:rPr>
      </w:pPr>
      <w:bookmarkStart w:id="50" w:name="_Toc82507520"/>
      <w:bookmarkStart w:id="51" w:name="_Toc82507521"/>
      <w:bookmarkStart w:id="52" w:name="_Toc82507522"/>
      <w:bookmarkStart w:id="53" w:name="_Toc82507523"/>
      <w:bookmarkStart w:id="54" w:name="_Toc75851698"/>
      <w:bookmarkStart w:id="55" w:name="_Toc75869551"/>
      <w:bookmarkStart w:id="56" w:name="_Toc75878582"/>
      <w:bookmarkStart w:id="57" w:name="_Toc76030719"/>
      <w:bookmarkStart w:id="58" w:name="_Toc76109859"/>
      <w:bookmarkStart w:id="59" w:name="_Toc76395044"/>
      <w:bookmarkStart w:id="60" w:name="_Toc76395063"/>
      <w:bookmarkStart w:id="61" w:name="_Toc76395123"/>
      <w:bookmarkStart w:id="62" w:name="_Toc76396591"/>
      <w:bookmarkStart w:id="63" w:name="_Toc76456467"/>
      <w:bookmarkStart w:id="64" w:name="_Toc76484333"/>
      <w:bookmarkStart w:id="65" w:name="_Toc76484592"/>
      <w:bookmarkStart w:id="66" w:name="_Toc76566423"/>
      <w:bookmarkStart w:id="67" w:name="_Toc76566449"/>
      <w:bookmarkStart w:id="68" w:name="_Toc76567139"/>
      <w:bookmarkStart w:id="69" w:name="_Toc76569423"/>
      <w:bookmarkStart w:id="70" w:name="_Toc76570541"/>
      <w:bookmarkStart w:id="71" w:name="_Toc76570680"/>
      <w:bookmarkStart w:id="72" w:name="_Toc76571837"/>
      <w:bookmarkStart w:id="73" w:name="_Toc76573134"/>
      <w:bookmarkStart w:id="74" w:name="_Toc76626924"/>
      <w:bookmarkStart w:id="75" w:name="_Toc76659907"/>
      <w:bookmarkStart w:id="76" w:name="_Toc76710412"/>
      <w:bookmarkStart w:id="77" w:name="_Toc76713402"/>
      <w:bookmarkStart w:id="78" w:name="_Toc79391174"/>
      <w:bookmarkStart w:id="79" w:name="_Toc79479024"/>
      <w:bookmarkStart w:id="80" w:name="_Toc79499304"/>
      <w:bookmarkStart w:id="81" w:name="_Toc80773453"/>
      <w:bookmarkStart w:id="82" w:name="_Toc80783817"/>
      <w:bookmarkStart w:id="83" w:name="_Toc80797335"/>
      <w:bookmarkStart w:id="84" w:name="_Toc80797742"/>
      <w:bookmarkStart w:id="85" w:name="_Toc80804445"/>
      <w:bookmarkStart w:id="86" w:name="_Toc80805375"/>
      <w:bookmarkStart w:id="87" w:name="_Toc80806363"/>
      <w:bookmarkStart w:id="88" w:name="_Toc82080283"/>
      <w:bookmarkStart w:id="89" w:name="_Toc82161360"/>
      <w:bookmarkStart w:id="90" w:name="_Toc82507524"/>
      <w:bookmarkStart w:id="91" w:name="_Toc82508258"/>
      <w:bookmarkStart w:id="92" w:name="_Toc85526283"/>
      <w:bookmarkStart w:id="93" w:name="_Toc86959485"/>
      <w:bookmarkStart w:id="94" w:name="_Toc87020449"/>
      <w:bookmarkStart w:id="95" w:name="_Toc90278946"/>
      <w:bookmarkStart w:id="96" w:name="_Toc90362946"/>
      <w:bookmarkStart w:id="97" w:name="_Toc90969966"/>
      <w:bookmarkStart w:id="98" w:name="_Toc91065423"/>
      <w:bookmarkStart w:id="99" w:name="_Toc91066324"/>
      <w:bookmarkStart w:id="100" w:name="_Toc91087312"/>
      <w:bookmarkStart w:id="101" w:name="_Toc91087379"/>
      <w:bookmarkStart w:id="102" w:name="_Toc93416687"/>
      <w:bookmarkStart w:id="103" w:name="_Toc97050768"/>
      <w:bookmarkStart w:id="104" w:name="_Toc97914033"/>
      <w:bookmarkStart w:id="105" w:name="_Toc100759518"/>
      <w:bookmarkStart w:id="106" w:name="_Toc117693189"/>
      <w:bookmarkStart w:id="107" w:name="_Toc118978744"/>
      <w:bookmarkStart w:id="108" w:name="_Toc119425802"/>
      <w:bookmarkStart w:id="109" w:name="_Toc122444463"/>
      <w:bookmarkStart w:id="110" w:name="_Toc122445766"/>
      <w:bookmarkStart w:id="111" w:name="_Toc122446083"/>
      <w:bookmarkStart w:id="112" w:name="_Toc122446581"/>
      <w:bookmarkStart w:id="113" w:name="_Toc122447040"/>
      <w:bookmarkEnd w:id="3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215A269" w14:textId="77777777" w:rsidR="00E07DED" w:rsidRPr="006F6E42" w:rsidRDefault="00E07DED" w:rsidP="00E07DED">
      <w:pPr>
        <w:pStyle w:val="Heading1"/>
        <w:ind w:left="426" w:hanging="426"/>
      </w:pPr>
      <w:bookmarkStart w:id="114" w:name="_Toc87020450"/>
      <w:bookmarkStart w:id="115" w:name="_Toc122447041"/>
      <w:r w:rsidRPr="006F6E42">
        <w:t>Context: EU Charter and UN CRPD</w:t>
      </w:r>
      <w:bookmarkEnd w:id="114"/>
      <w:bookmarkEnd w:id="115"/>
      <w:r w:rsidRPr="006F6E42">
        <w:t xml:space="preserve"> </w:t>
      </w:r>
    </w:p>
    <w:p w14:paraId="73048423" w14:textId="77777777" w:rsidR="004562D0" w:rsidRPr="006F6E42" w:rsidRDefault="004562D0" w:rsidP="004562D0">
      <w:pPr>
        <w:pStyle w:val="ListParagraph"/>
        <w:numPr>
          <w:ilvl w:val="0"/>
          <w:numId w:val="1"/>
        </w:numPr>
        <w:rPr>
          <w:vanish/>
        </w:rPr>
      </w:pPr>
    </w:p>
    <w:p w14:paraId="0F4E256F" w14:textId="77777777" w:rsidR="00ED5B96" w:rsidRPr="006F6E42" w:rsidRDefault="00ED5B96" w:rsidP="004562D0">
      <w:pPr>
        <w:pStyle w:val="ListParagraph"/>
      </w:pPr>
      <w:r w:rsidRPr="006F6E42">
        <w:t>As noted above any reference to EU law concepts or provisions in the</w:t>
      </w:r>
      <w:r w:rsidR="39E43E78" w:rsidRPr="006F6E42">
        <w:t xml:space="preserve"> </w:t>
      </w:r>
      <w:r w:rsidR="005458B4">
        <w:t xml:space="preserve">UK-EU </w:t>
      </w:r>
      <w:r w:rsidR="39E43E78" w:rsidRPr="006F6E42">
        <w:t>Withdrawal</w:t>
      </w:r>
      <w:r w:rsidRPr="006F6E42">
        <w:t xml:space="preserve"> Agreement must be interpreted and applied in accordance with the methods and general principles of EU law.</w:t>
      </w:r>
      <w:r w:rsidRPr="006F6E42">
        <w:rPr>
          <w:rStyle w:val="FootnoteReference"/>
        </w:rPr>
        <w:footnoteReference w:id="119"/>
      </w:r>
      <w:r w:rsidRPr="006F6E42">
        <w:t xml:space="preserve"> Moreover, provisions of the </w:t>
      </w:r>
      <w:r w:rsidR="005458B4">
        <w:t xml:space="preserve">UK-EU </w:t>
      </w:r>
      <w:r w:rsidR="404AD4DC" w:rsidRPr="006F6E42">
        <w:t xml:space="preserve">Withdrawal </w:t>
      </w:r>
      <w:r w:rsidRPr="006F6E42">
        <w:t>Agreement and EU law made applicable by it “shall produce …the same legal effects as those which they produce within the EU and its Member States”.</w:t>
      </w:r>
      <w:r w:rsidRPr="006F6E42">
        <w:rPr>
          <w:rStyle w:val="FootnoteReference"/>
        </w:rPr>
        <w:footnoteReference w:id="120"/>
      </w:r>
    </w:p>
    <w:p w14:paraId="43FECA66" w14:textId="77777777" w:rsidR="00ED5B96" w:rsidRPr="006F6E42" w:rsidRDefault="00ED5B96" w:rsidP="00ED5B96">
      <w:pPr>
        <w:pStyle w:val="Heading2"/>
      </w:pPr>
      <w:bookmarkStart w:id="116" w:name="_Toc87020452"/>
      <w:bookmarkStart w:id="117" w:name="_Toc122447042"/>
      <w:r w:rsidRPr="006F6E42">
        <w:t>EU Charter of Fundamental Rights</w:t>
      </w:r>
      <w:bookmarkEnd w:id="116"/>
      <w:bookmarkEnd w:id="117"/>
      <w:r w:rsidRPr="006F6E42">
        <w:t xml:space="preserve"> </w:t>
      </w:r>
    </w:p>
    <w:p w14:paraId="20A771F0" w14:textId="77777777" w:rsidR="00E07DED" w:rsidRPr="006F6E42" w:rsidRDefault="00E07DED" w:rsidP="004562D0">
      <w:pPr>
        <w:pStyle w:val="ListParagraph"/>
      </w:pPr>
      <w:r w:rsidRPr="006F6E42">
        <w:t xml:space="preserve">Where required by the UK-EU Withdrawal Agreement, including the Protocol and Article 2, the EU Charter of Fundamental Rights continues to have relevance in NI.  </w:t>
      </w:r>
      <w:r w:rsidR="00DE5E69" w:rsidRPr="006F6E42">
        <w:t xml:space="preserve">This </w:t>
      </w:r>
      <w:r w:rsidR="00D21EE0">
        <w:t xml:space="preserve">is an </w:t>
      </w:r>
      <w:r w:rsidR="00DE5E69" w:rsidRPr="006F6E42">
        <w:t xml:space="preserve">exception from the general provision of </w:t>
      </w:r>
      <w:r w:rsidRPr="006F6E42">
        <w:t xml:space="preserve">the EU (Withdrawal) Act 2018 </w:t>
      </w:r>
      <w:r w:rsidR="00DE5E69" w:rsidRPr="006F6E42">
        <w:t xml:space="preserve">which </w:t>
      </w:r>
      <w:r w:rsidRPr="006F6E42">
        <w:t xml:space="preserve">provides that the EU Charter is not carried over by the general rules on the retention of EU law and is not part of </w:t>
      </w:r>
      <w:r w:rsidR="00DE5E69" w:rsidRPr="006F6E42">
        <w:t xml:space="preserve">UK </w:t>
      </w:r>
      <w:r w:rsidRPr="006F6E42">
        <w:t>law on or after 1 January 2021.</w:t>
      </w:r>
      <w:r w:rsidRPr="006F6E42">
        <w:rPr>
          <w:rStyle w:val="FootnoteReference"/>
        </w:rPr>
        <w:footnoteReference w:id="121"/>
      </w:r>
      <w:r w:rsidRPr="006F6E42">
        <w:t xml:space="preserve"> </w:t>
      </w:r>
    </w:p>
    <w:p w14:paraId="52CAD795" w14:textId="77777777" w:rsidR="00E07DED" w:rsidRPr="006F6E42" w:rsidRDefault="00E07DED" w:rsidP="00E07DED">
      <w:pPr>
        <w:pStyle w:val="ListParagraph"/>
      </w:pPr>
      <w:r w:rsidRPr="006F6E42">
        <w:t xml:space="preserve">The </w:t>
      </w:r>
      <w:r w:rsidR="005E594F" w:rsidRPr="006F6E42">
        <w:t xml:space="preserve">definition of EU law within the </w:t>
      </w:r>
      <w:r w:rsidRPr="006F6E42">
        <w:t xml:space="preserve">UK-EU Withdrawal Agreement </w:t>
      </w:r>
      <w:r w:rsidR="005E594F" w:rsidRPr="006F6E42">
        <w:t>includes the EU Treaties, which encompasses the EU Charter of Fundamental Rights.</w:t>
      </w:r>
      <w:r w:rsidR="005E594F" w:rsidRPr="006F6E42">
        <w:rPr>
          <w:rStyle w:val="FootnoteReference"/>
        </w:rPr>
        <w:footnoteReference w:id="122"/>
      </w:r>
      <w:r w:rsidR="005E594F" w:rsidRPr="006F6E42">
        <w:t xml:space="preserve"> </w:t>
      </w:r>
      <w:bookmarkStart w:id="118" w:name="_Hlk93418964"/>
    </w:p>
    <w:p w14:paraId="4ABD4F56" w14:textId="77777777" w:rsidR="00512706" w:rsidRPr="006F6E42" w:rsidRDefault="006F0991" w:rsidP="00073B38">
      <w:pPr>
        <w:pStyle w:val="ListParagraph"/>
      </w:pPr>
      <w:bookmarkStart w:id="119" w:name="_Hlk93418973"/>
      <w:bookmarkEnd w:id="118"/>
      <w:r w:rsidRPr="006F6E42">
        <w:t>W</w:t>
      </w:r>
      <w:r>
        <w:t>h</w:t>
      </w:r>
      <w:r w:rsidRPr="006F6E42">
        <w:t>en</w:t>
      </w:r>
      <w:r w:rsidR="00E07DED" w:rsidRPr="006F6E42">
        <w:t xml:space="preserve"> EU Member States are implementing EU law, they are required to “respect the rights, observe the principles and promote the application” of the EU Charter.</w:t>
      </w:r>
      <w:r w:rsidR="00E07DED" w:rsidRPr="006F6E42">
        <w:rPr>
          <w:rStyle w:val="FootnoteReference"/>
        </w:rPr>
        <w:footnoteReference w:id="123"/>
      </w:r>
      <w:r w:rsidR="00E07DED" w:rsidRPr="006F6E42">
        <w:t xml:space="preserve"> </w:t>
      </w:r>
      <w:r w:rsidR="00326AE4" w:rsidRPr="006F6E42">
        <w:t xml:space="preserve"> </w:t>
      </w:r>
      <w:r w:rsidR="00E07DED" w:rsidRPr="006F6E42">
        <w:t xml:space="preserve">Therefore the EU Charter will continue to apply in the application and interpretation </w:t>
      </w:r>
      <w:r w:rsidR="00D66AAB">
        <w:t>of any EU law and concepts referred to in the Withdrawal Agreement</w:t>
      </w:r>
      <w:r w:rsidR="00E07DED" w:rsidRPr="006F6E42">
        <w:t>.</w:t>
      </w:r>
      <w:r w:rsidR="00D66AAB">
        <w:rPr>
          <w:rStyle w:val="FootnoteReference"/>
        </w:rPr>
        <w:footnoteReference w:id="124"/>
      </w:r>
      <w:r w:rsidR="00512706" w:rsidRPr="006F6E42">
        <w:t xml:space="preserve"> </w:t>
      </w:r>
      <w:r w:rsidR="00D66AAB">
        <w:t xml:space="preserve">Where a relevant EU measure cannot be read to be compatible with the EU Charter, the Charter must be given precedence. </w:t>
      </w:r>
      <w:r w:rsidR="00512706" w:rsidRPr="006F6E42">
        <w:t>The application of the EU Charter is</w:t>
      </w:r>
      <w:r w:rsidR="76633A6E" w:rsidRPr="006F6E42">
        <w:t xml:space="preserve"> confined</w:t>
      </w:r>
      <w:r w:rsidR="00512706" w:rsidRPr="006F6E42">
        <w:t xml:space="preserve"> to when Member States are implementing EU law and it does not extend the field of application of EU law.</w:t>
      </w:r>
      <w:r w:rsidR="00E07DED" w:rsidRPr="006F6E42">
        <w:rPr>
          <w:rStyle w:val="FootnoteReference"/>
        </w:rPr>
        <w:footnoteReference w:id="125"/>
      </w:r>
      <w:r w:rsidR="0030270C">
        <w:t xml:space="preserve"> </w:t>
      </w:r>
      <w:r w:rsidR="007650A8">
        <w:t xml:space="preserve"> </w:t>
      </w:r>
    </w:p>
    <w:bookmarkEnd w:id="119"/>
    <w:p w14:paraId="5B9978C6" w14:textId="77777777" w:rsidR="00E07DED" w:rsidRPr="006F6E42" w:rsidRDefault="00E07DED" w:rsidP="00D21EE0">
      <w:pPr>
        <w:pStyle w:val="ListParagraph"/>
      </w:pPr>
      <w:r w:rsidRPr="006F6E42">
        <w:t>The EU Charter can be considered to have direct effect where it meets the test of being sufficiently precise and unconditional.</w:t>
      </w:r>
      <w:r w:rsidRPr="006F6E42">
        <w:rPr>
          <w:rStyle w:val="FootnoteReference"/>
        </w:rPr>
        <w:footnoteReference w:id="126"/>
      </w:r>
      <w:r w:rsidRPr="006F6E42">
        <w:t xml:space="preserve"> It places an obligation on the national courts to “guarantee the full effectiveness of those articles by disapplying, if need be, any contrary provision of national law”.</w:t>
      </w:r>
      <w:r w:rsidRPr="006F6E42">
        <w:rPr>
          <w:rStyle w:val="FootnoteReference"/>
        </w:rPr>
        <w:footnoteReference w:id="127"/>
      </w:r>
    </w:p>
    <w:p w14:paraId="29BB184D" w14:textId="77777777" w:rsidR="00E07DED" w:rsidRPr="006F6E42" w:rsidRDefault="00295BE0" w:rsidP="00E07DED">
      <w:pPr>
        <w:pStyle w:val="ListParagraph"/>
      </w:pPr>
      <w:r>
        <w:t xml:space="preserve">As noted above, pursuant to Article 4(1), the Withdrawal Agreement produces ‘the </w:t>
      </w:r>
      <w:r w:rsidRPr="00295BE0">
        <w:t>same legal effects</w:t>
      </w:r>
      <w:r>
        <w:t>’</w:t>
      </w:r>
      <w:r w:rsidRPr="00295BE0">
        <w:t xml:space="preserve"> </w:t>
      </w:r>
      <w:r>
        <w:t>on the UK as EU law on EU Member States, including</w:t>
      </w:r>
      <w:r w:rsidRPr="00C652D0">
        <w:t xml:space="preserve"> </w:t>
      </w:r>
      <w:r w:rsidR="00033815">
        <w:t>compliance with the EU Charter on Fundamental Rights and the general principles of EU law.</w:t>
      </w:r>
      <w:r w:rsidR="00033815">
        <w:rPr>
          <w:rStyle w:val="FootnoteReference"/>
        </w:rPr>
        <w:footnoteReference w:id="128"/>
      </w:r>
      <w:r w:rsidR="00033815">
        <w:t xml:space="preserve"> </w:t>
      </w:r>
    </w:p>
    <w:p w14:paraId="09A009AF" w14:textId="77777777" w:rsidR="00E07DED" w:rsidRPr="006F6E42" w:rsidRDefault="00E07DED" w:rsidP="00E07DED">
      <w:pPr>
        <w:pStyle w:val="Heading2"/>
      </w:pPr>
      <w:bookmarkStart w:id="120" w:name="_Toc87020453"/>
      <w:bookmarkStart w:id="121" w:name="_Toc122447043"/>
      <w:r w:rsidRPr="006F6E42">
        <w:t>Disability and UN CRPD</w:t>
      </w:r>
      <w:bookmarkEnd w:id="120"/>
      <w:bookmarkEnd w:id="121"/>
      <w:r w:rsidRPr="006F6E42">
        <w:t xml:space="preserve"> </w:t>
      </w:r>
    </w:p>
    <w:p w14:paraId="5BA02B88" w14:textId="77777777" w:rsidR="00E07DED" w:rsidRPr="006F6E42" w:rsidRDefault="00E07DED" w:rsidP="0056030D">
      <w:pPr>
        <w:pStyle w:val="ListParagraph"/>
      </w:pPr>
      <w:r w:rsidRPr="006F6E42">
        <w:t>In 2009 the EU, by a Council decision, was authorised to accede to the UN CRPD</w:t>
      </w:r>
      <w:r w:rsidRPr="006F6E42">
        <w:rPr>
          <w:rStyle w:val="FootnoteReference"/>
        </w:rPr>
        <w:footnoteReference w:id="129"/>
      </w:r>
      <w:r w:rsidRPr="006F6E42">
        <w:t xml:space="preserve"> and it entered into force in the EU in 2011.</w:t>
      </w:r>
      <w:r w:rsidRPr="006F6E42">
        <w:rPr>
          <w:rStyle w:val="FootnoteReference"/>
        </w:rPr>
        <w:footnoteReference w:id="130"/>
      </w:r>
      <w:r w:rsidRPr="006F6E42">
        <w:t xml:space="preserve">  The EU has therefore committed to promoting, protecting and implementing the UN CRPD and mainstreaming it within the scope of its competences.</w:t>
      </w:r>
      <w:r w:rsidRPr="006F6E42">
        <w:rPr>
          <w:rStyle w:val="FootnoteReference"/>
        </w:rPr>
        <w:footnoteReference w:id="131"/>
      </w:r>
      <w:r w:rsidR="00A850E7">
        <w:t xml:space="preserve"> </w:t>
      </w:r>
      <w:r w:rsidR="004A03AC">
        <w:t xml:space="preserve"> At the point of ratification</w:t>
      </w:r>
      <w:r w:rsidR="006523F4">
        <w:t>,</w:t>
      </w:r>
      <w:r w:rsidR="00A850E7">
        <w:t xml:space="preserve"> </w:t>
      </w:r>
      <w:r w:rsidR="004A03AC">
        <w:t>the E</w:t>
      </w:r>
      <w:r w:rsidR="0056030D">
        <w:t>U Council Decision included an Annex setting out the competence of the EU in relation to the UN CRPD.</w:t>
      </w:r>
      <w:r w:rsidR="0056030D">
        <w:rPr>
          <w:rStyle w:val="FootnoteReference"/>
        </w:rPr>
        <w:footnoteReference w:id="132"/>
      </w:r>
      <w:r w:rsidRPr="006F6E42">
        <w:t xml:space="preserve"> </w:t>
      </w:r>
    </w:p>
    <w:p w14:paraId="2AB2D9A6" w14:textId="77777777" w:rsidR="00E07DED" w:rsidRPr="006F6E42" w:rsidRDefault="00E07DED" w:rsidP="00E07DED">
      <w:pPr>
        <w:pStyle w:val="ListParagraph"/>
      </w:pPr>
      <w:r w:rsidRPr="006F6E42">
        <w:t>The right to equality of opportunity in all social and economic activity</w:t>
      </w:r>
      <w:r w:rsidR="3801C938" w:rsidRPr="006F6E42">
        <w:t>,</w:t>
      </w:r>
      <w:r w:rsidRPr="006F6E42">
        <w:t xml:space="preserve"> regardless of disability</w:t>
      </w:r>
      <w:r w:rsidR="6210E2DE" w:rsidRPr="006F6E42">
        <w:t>,</w:t>
      </w:r>
      <w:r w:rsidRPr="006F6E42">
        <w:t xml:space="preserve"> is listed in the rights, safeguards and equality of opportunity part of the Belfast (Good Friday</w:t>
      </w:r>
      <w:r w:rsidR="00321667" w:rsidRPr="006F6E42">
        <w:t>)</w:t>
      </w:r>
      <w:r w:rsidRPr="006F6E42">
        <w:t xml:space="preserve"> Agreement. The UK Government has recognised </w:t>
      </w:r>
      <w:r w:rsidR="21B5A510" w:rsidRPr="006F6E42">
        <w:t>as within the scope of</w:t>
      </w:r>
      <w:r w:rsidR="00132370">
        <w:t xml:space="preserve"> Protocol</w:t>
      </w:r>
      <w:r w:rsidR="21B5A510" w:rsidRPr="006F6E42">
        <w:t xml:space="preserve"> Article 2</w:t>
      </w:r>
      <w:r w:rsidRPr="006F6E42">
        <w:t xml:space="preserve"> the supporting framework of EU </w:t>
      </w:r>
      <w:r w:rsidR="002A2AD0" w:rsidRPr="006F6E42">
        <w:t>law</w:t>
      </w:r>
      <w:r w:rsidRPr="006F6E42">
        <w:t xml:space="preserve"> which protect the rights of disabled people.</w:t>
      </w:r>
      <w:r w:rsidRPr="006F6E42">
        <w:rPr>
          <w:rStyle w:val="FootnoteReference"/>
        </w:rPr>
        <w:footnoteReference w:id="133"/>
      </w:r>
      <w:r w:rsidRPr="006F6E42">
        <w:t xml:space="preserve">  </w:t>
      </w:r>
    </w:p>
    <w:p w14:paraId="2A547598" w14:textId="77777777" w:rsidR="00E07DED" w:rsidRPr="006F6E42" w:rsidRDefault="00E07DED" w:rsidP="00E07DED">
      <w:pPr>
        <w:pStyle w:val="ListParagraph"/>
      </w:pPr>
      <w:r w:rsidRPr="006F6E42">
        <w:t>The Framework Equality Directive, which is listed in Annex 1</w:t>
      </w:r>
      <w:r w:rsidR="3BCB437D" w:rsidRPr="006F6E42">
        <w:t>,</w:t>
      </w:r>
      <w:r w:rsidRPr="006F6E42">
        <w:t xml:space="preserve"> protects against discrimination on grounds of disability in employment and vocational training.</w:t>
      </w:r>
      <w:r w:rsidRPr="006F6E42">
        <w:rPr>
          <w:rStyle w:val="FootnoteReference"/>
        </w:rPr>
        <w:footnoteReference w:id="134"/>
      </w:r>
      <w:r w:rsidRPr="006F6E42">
        <w:t xml:space="preserve"> The EU’s Disability Strategy 2021-30 notes that a gap exists in EU law to ensure equal treatment of persons with disabilities outside the field of employment.</w:t>
      </w:r>
      <w:r w:rsidRPr="006F6E42">
        <w:rPr>
          <w:rStyle w:val="FootnoteReference"/>
        </w:rPr>
        <w:footnoteReference w:id="135"/>
      </w:r>
      <w:r w:rsidRPr="006F6E42">
        <w:t xml:space="preserve">  </w:t>
      </w:r>
    </w:p>
    <w:p w14:paraId="05301C38" w14:textId="77777777" w:rsidR="00A60470" w:rsidRPr="006F6E42" w:rsidRDefault="00E07DED" w:rsidP="00A60470">
      <w:pPr>
        <w:pStyle w:val="ListParagraph"/>
      </w:pPr>
      <w:r w:rsidRPr="006F6E42">
        <w:t>The CJEU has recognised that the UN CRPD is part of the EU legal order and therefore can be relied on for the interpretation of EU measures which impact on the lives of disabled people.</w:t>
      </w:r>
      <w:r w:rsidRPr="006F6E42">
        <w:rPr>
          <w:rStyle w:val="FootnoteReference"/>
        </w:rPr>
        <w:footnoteReference w:id="136"/>
      </w:r>
      <w:r w:rsidRPr="006F6E42">
        <w:t xml:space="preserve">  </w:t>
      </w:r>
      <w:r w:rsidR="00A60470" w:rsidRPr="00A60470">
        <w:t xml:space="preserve">The </w:t>
      </w:r>
      <w:r w:rsidR="00A60470">
        <w:t xml:space="preserve">UN </w:t>
      </w:r>
      <w:r w:rsidR="00A60470" w:rsidRPr="00A60470">
        <w:t xml:space="preserve">CRPD </w:t>
      </w:r>
      <w:r w:rsidR="00A60470">
        <w:t xml:space="preserve">is </w:t>
      </w:r>
      <w:r w:rsidR="00A60470" w:rsidRPr="00A60470">
        <w:t>relevant to the interpretation of</w:t>
      </w:r>
      <w:r w:rsidR="00A60470">
        <w:t xml:space="preserve"> the </w:t>
      </w:r>
      <w:r w:rsidR="00A60470" w:rsidRPr="00A60470">
        <w:t xml:space="preserve">Annex 1 </w:t>
      </w:r>
      <w:r w:rsidR="003C3322">
        <w:t>e</w:t>
      </w:r>
      <w:r w:rsidR="00A60470">
        <w:t xml:space="preserve">quality </w:t>
      </w:r>
      <w:r w:rsidR="003C3322">
        <w:t>d</w:t>
      </w:r>
      <w:r w:rsidR="00A60470">
        <w:t xml:space="preserve">irectives.  </w:t>
      </w:r>
      <w:r w:rsidR="00A60470" w:rsidRPr="00A60470">
        <w:t xml:space="preserve">In addition, it is also relevant to the interpretation of any additional underpinning EU obligations </w:t>
      </w:r>
      <w:r w:rsidR="00A60470">
        <w:t xml:space="preserve">of </w:t>
      </w:r>
      <w:r w:rsidR="00A60470" w:rsidRPr="00A60470">
        <w:t>the rights, safeguards and equality of opportunity listed in the relevant part of the Belfast (Good Friday</w:t>
      </w:r>
      <w:r w:rsidR="00A60470">
        <w:t>)</w:t>
      </w:r>
      <w:r w:rsidR="00A60470" w:rsidRPr="00A60470">
        <w:t xml:space="preserve"> Agreement</w:t>
      </w:r>
      <w:r w:rsidR="00A60470">
        <w:t xml:space="preserve">. </w:t>
      </w:r>
      <w:r w:rsidRPr="006F6E42">
        <w:t>The EU’s Disability Strategy highlights the complexity in identifying the range of measures in EU law which can have an impact on the rights of disabled people.</w:t>
      </w:r>
      <w:r w:rsidRPr="006F6E42">
        <w:rPr>
          <w:rStyle w:val="FootnoteReference"/>
        </w:rPr>
        <w:footnoteReference w:id="137"/>
      </w:r>
      <w:r w:rsidRPr="006F6E42">
        <w:t xml:space="preserve">  </w:t>
      </w:r>
    </w:p>
    <w:p w14:paraId="21B73536" w14:textId="77777777" w:rsidR="00E07DED" w:rsidRPr="00755EE9" w:rsidRDefault="00E07DED" w:rsidP="00E07DED">
      <w:pPr>
        <w:pStyle w:val="ListParagraph"/>
        <w:rPr>
          <w:rStyle w:val="CommentReference"/>
          <w:sz w:val="28"/>
          <w:szCs w:val="28"/>
        </w:rPr>
      </w:pPr>
      <w:r w:rsidRPr="006F6E42">
        <w:t xml:space="preserve">The CJEU found that the provisions of the UN CRPD do not meet the criteria for direct effect as </w:t>
      </w:r>
      <w:r w:rsidR="0EE5E734" w:rsidRPr="006F6E42">
        <w:t>they are</w:t>
      </w:r>
      <w:r w:rsidRPr="006F6E42">
        <w:t xml:space="preserve"> not sufficiently precise and unconditional.</w:t>
      </w:r>
      <w:r w:rsidRPr="006F6E42">
        <w:rPr>
          <w:rStyle w:val="FootnoteReference"/>
        </w:rPr>
        <w:footnoteReference w:id="138"/>
      </w:r>
      <w:r w:rsidRPr="006F6E42">
        <w:t xml:space="preserve">  However</w:t>
      </w:r>
      <w:r w:rsidR="29A76B0A" w:rsidRPr="006F6E42">
        <w:t>,</w:t>
      </w:r>
      <w:r w:rsidRPr="006F6E42">
        <w:t xml:space="preserve"> the obligation to ensure that EU </w:t>
      </w:r>
      <w:r w:rsidR="002A2AD0" w:rsidRPr="006F6E42">
        <w:t>law</w:t>
      </w:r>
      <w:r w:rsidRPr="006F6E42">
        <w:t xml:space="preserve"> </w:t>
      </w:r>
      <w:r w:rsidR="002A2AD0" w:rsidRPr="006F6E42">
        <w:t xml:space="preserve">is </w:t>
      </w:r>
      <w:r w:rsidRPr="006F6E42">
        <w:t xml:space="preserve">interpreted in line with the UN CRPD remains. The overriding obligation on EU institutions to mainstream UN CRPD implies that all EU institutions in the development of policy and legislation must take </w:t>
      </w:r>
      <w:r w:rsidRPr="006B283D">
        <w:t>account of the UN CRPD.</w:t>
      </w:r>
      <w:r w:rsidR="00795DB1">
        <w:rPr>
          <w:rStyle w:val="CommentReference"/>
          <w:rFonts w:ascii="Calibri" w:hAnsi="Calibri"/>
        </w:rPr>
        <w:t xml:space="preserve"> </w:t>
      </w:r>
    </w:p>
    <w:p w14:paraId="1F121A19" w14:textId="77777777" w:rsidR="00122DCA" w:rsidRDefault="00122DCA">
      <w:pPr>
        <w:rPr>
          <w:rFonts w:asciiTheme="minorHAnsi" w:hAnsiTheme="minorHAnsi"/>
          <w:b/>
          <w:bCs/>
          <w:i/>
          <w:iCs/>
          <w:szCs w:val="28"/>
        </w:rPr>
      </w:pPr>
      <w:r>
        <w:br w:type="page"/>
      </w:r>
    </w:p>
    <w:p w14:paraId="0C811A2F" w14:textId="661DC4C1" w:rsidR="002E25A0" w:rsidRDefault="00182C00" w:rsidP="00681633">
      <w:pPr>
        <w:pStyle w:val="Heading4"/>
        <w:pBdr>
          <w:top w:val="single" w:sz="4" w:space="1" w:color="auto"/>
          <w:left w:val="single" w:sz="4" w:space="4" w:color="auto"/>
          <w:bottom w:val="single" w:sz="4" w:space="1" w:color="auto"/>
          <w:right w:val="single" w:sz="4" w:space="4" w:color="auto"/>
        </w:pBdr>
      </w:pPr>
      <w:r>
        <w:t xml:space="preserve">UN CRPD and the </w:t>
      </w:r>
      <w:r w:rsidR="00F314D3">
        <w:t xml:space="preserve">Definition of Disability </w:t>
      </w:r>
    </w:p>
    <w:p w14:paraId="4FD62E14" w14:textId="77777777" w:rsidR="00956959" w:rsidRDefault="00956959" w:rsidP="00683814">
      <w:pPr>
        <w:pBdr>
          <w:top w:val="single" w:sz="4" w:space="1" w:color="auto"/>
          <w:left w:val="single" w:sz="4" w:space="4" w:color="auto"/>
          <w:bottom w:val="single" w:sz="4" w:space="1" w:color="auto"/>
          <w:right w:val="single" w:sz="4" w:space="4" w:color="auto"/>
        </w:pBdr>
        <w:spacing w:line="240" w:lineRule="auto"/>
        <w:ind w:left="720"/>
      </w:pPr>
      <w:r>
        <w:t xml:space="preserve">The Framework Equality Directive provides a </w:t>
      </w:r>
      <w:r w:rsidRPr="00956959">
        <w:t>general framework for combating discrimination on the grounds of religion or belief, disability, age or sexual orientation as regards employment and occupation</w:t>
      </w:r>
      <w:r>
        <w:t>.</w:t>
      </w:r>
      <w:r w:rsidRPr="006F6E42">
        <w:rPr>
          <w:rStyle w:val="FootnoteReference"/>
        </w:rPr>
        <w:footnoteReference w:id="139"/>
      </w:r>
      <w:r>
        <w:t xml:space="preserve">  The concept of disability is not defined in the Directive. </w:t>
      </w:r>
    </w:p>
    <w:p w14:paraId="66B28729" w14:textId="77777777" w:rsidR="00956959" w:rsidRDefault="00956959" w:rsidP="00683814">
      <w:pPr>
        <w:pBdr>
          <w:top w:val="single" w:sz="4" w:space="1" w:color="auto"/>
          <w:left w:val="single" w:sz="4" w:space="4" w:color="auto"/>
          <w:bottom w:val="single" w:sz="4" w:space="1" w:color="auto"/>
          <w:right w:val="single" w:sz="4" w:space="4" w:color="auto"/>
        </w:pBdr>
        <w:spacing w:line="240" w:lineRule="auto"/>
        <w:ind w:left="720"/>
      </w:pPr>
    </w:p>
    <w:p w14:paraId="69F81E30" w14:textId="77777777" w:rsidR="00341D7C" w:rsidRDefault="00A23F56" w:rsidP="00683814">
      <w:pPr>
        <w:pBdr>
          <w:top w:val="single" w:sz="4" w:space="1" w:color="auto"/>
          <w:left w:val="single" w:sz="4" w:space="4" w:color="auto"/>
          <w:bottom w:val="single" w:sz="4" w:space="1" w:color="auto"/>
          <w:right w:val="single" w:sz="4" w:space="4" w:color="auto"/>
        </w:pBdr>
        <w:spacing w:line="240" w:lineRule="auto"/>
        <w:ind w:left="720"/>
      </w:pPr>
      <w:r>
        <w:t xml:space="preserve">In a </w:t>
      </w:r>
      <w:r w:rsidR="00DE66D0">
        <w:t xml:space="preserve">2006 </w:t>
      </w:r>
      <w:r>
        <w:t>judgment</w:t>
      </w:r>
      <w:r w:rsidR="00DE66D0">
        <w:t>, the CJEU</w:t>
      </w:r>
      <w:r>
        <w:t xml:space="preserve"> excluded sickness from the definition of </w:t>
      </w:r>
      <w:r w:rsidR="008846CC">
        <w:t xml:space="preserve">disability in </w:t>
      </w:r>
      <w:r w:rsidR="00AC447D">
        <w:t xml:space="preserve">the </w:t>
      </w:r>
      <w:r w:rsidR="008846CC">
        <w:t>context of the Framework Equality Directive</w:t>
      </w:r>
      <w:r w:rsidR="00AD2023">
        <w:t>.</w:t>
      </w:r>
      <w:r w:rsidR="008846CC">
        <w:rPr>
          <w:rStyle w:val="FootnoteReference"/>
        </w:rPr>
        <w:footnoteReference w:id="140"/>
      </w:r>
      <w:r w:rsidR="008846CC">
        <w:t xml:space="preserve">  </w:t>
      </w:r>
      <w:r w:rsidR="00DE66D0">
        <w:t xml:space="preserve">However, following the </w:t>
      </w:r>
      <w:r w:rsidR="005778A9">
        <w:t xml:space="preserve">EU </w:t>
      </w:r>
      <w:r w:rsidR="00DE66D0">
        <w:t xml:space="preserve">ratification of the </w:t>
      </w:r>
      <w:r>
        <w:t>UN</w:t>
      </w:r>
      <w:r w:rsidR="00707597">
        <w:t xml:space="preserve"> </w:t>
      </w:r>
      <w:r>
        <w:t>CRPD</w:t>
      </w:r>
      <w:r w:rsidR="00AD2023">
        <w:t xml:space="preserve">, </w:t>
      </w:r>
      <w:r w:rsidR="00341D7C">
        <w:t xml:space="preserve">the CJEU </w:t>
      </w:r>
      <w:r w:rsidR="00AD2023">
        <w:t xml:space="preserve">revisited </w:t>
      </w:r>
      <w:r w:rsidR="00341D7C">
        <w:t>that definition to take account of the UN CRPD</w:t>
      </w:r>
      <w:r w:rsidR="00AD2023">
        <w:t xml:space="preserve">, which </w:t>
      </w:r>
      <w:r w:rsidR="004D51C0">
        <w:t>recognises</w:t>
      </w:r>
      <w:r w:rsidR="00341D7C">
        <w:t xml:space="preserve"> that “</w:t>
      </w:r>
      <w:r w:rsidR="000D3D67" w:rsidRPr="000D3D67">
        <w:t>disability is an evolving concept and that disability results from the interaction between persons with impairments and attitudinal and environmental barriers that hinders their full and effective participation in society on an equal basis with others</w:t>
      </w:r>
      <w:r w:rsidR="00341D7C">
        <w:t>”</w:t>
      </w:r>
      <w:r w:rsidR="000D3D67" w:rsidRPr="000D3D67">
        <w:t>.</w:t>
      </w:r>
      <w:r w:rsidR="00341D7C">
        <w:rPr>
          <w:rStyle w:val="FootnoteReference"/>
        </w:rPr>
        <w:footnoteReference w:id="141"/>
      </w:r>
      <w:r w:rsidR="000D3D67" w:rsidRPr="000D3D67">
        <w:t xml:space="preserve"> </w:t>
      </w:r>
    </w:p>
    <w:p w14:paraId="6EAAFFA9" w14:textId="77777777" w:rsidR="00341D7C" w:rsidRDefault="00341D7C" w:rsidP="00683814">
      <w:pPr>
        <w:pBdr>
          <w:top w:val="single" w:sz="4" w:space="1" w:color="auto"/>
          <w:left w:val="single" w:sz="4" w:space="4" w:color="auto"/>
          <w:bottom w:val="single" w:sz="4" w:space="1" w:color="auto"/>
          <w:right w:val="single" w:sz="4" w:space="4" w:color="auto"/>
        </w:pBdr>
        <w:spacing w:line="240" w:lineRule="auto"/>
        <w:ind w:left="720"/>
      </w:pPr>
    </w:p>
    <w:p w14:paraId="311EE9A3" w14:textId="77777777" w:rsidR="00D733D4" w:rsidRDefault="00341D7C" w:rsidP="00683814">
      <w:pPr>
        <w:pBdr>
          <w:top w:val="single" w:sz="4" w:space="1" w:color="auto"/>
          <w:left w:val="single" w:sz="4" w:space="4" w:color="auto"/>
          <w:bottom w:val="single" w:sz="4" w:space="1" w:color="auto"/>
          <w:right w:val="single" w:sz="4" w:space="4" w:color="auto"/>
        </w:pBdr>
        <w:spacing w:line="240" w:lineRule="auto"/>
        <w:ind w:left="720"/>
      </w:pPr>
      <w:r>
        <w:t xml:space="preserve">The </w:t>
      </w:r>
      <w:r w:rsidR="00AD2023">
        <w:t xml:space="preserve">CJEU </w:t>
      </w:r>
      <w:r>
        <w:t xml:space="preserve">recognised that the UN CRPD </w:t>
      </w:r>
      <w:r w:rsidR="00DE66D0">
        <w:t>states</w:t>
      </w:r>
      <w:r>
        <w:t xml:space="preserve"> that </w:t>
      </w:r>
      <w:r w:rsidR="000D3D67" w:rsidRPr="000D3D67">
        <w:t xml:space="preserve">persons with disabilities include </w:t>
      </w:r>
      <w:r w:rsidR="004D51C0">
        <w:t>“</w:t>
      </w:r>
      <w:r w:rsidR="000D3D67" w:rsidRPr="000D3D67">
        <w:t>those who have long-term physical, mental, intellectual or sensory impairments which in interaction with various barriers may hinder their full and effective participation in society on an equal basis with others</w:t>
      </w:r>
      <w:r w:rsidR="004D51C0">
        <w:t>”</w:t>
      </w:r>
      <w:r w:rsidR="000D3D67" w:rsidRPr="000D3D67">
        <w:t>.</w:t>
      </w:r>
      <w:r w:rsidR="004D51C0">
        <w:rPr>
          <w:rStyle w:val="FootnoteReference"/>
        </w:rPr>
        <w:footnoteReference w:id="142"/>
      </w:r>
    </w:p>
    <w:p w14:paraId="09F5D3C8" w14:textId="77777777" w:rsidR="004D51C0" w:rsidRDefault="004D51C0" w:rsidP="00683814">
      <w:pPr>
        <w:pBdr>
          <w:top w:val="single" w:sz="4" w:space="1" w:color="auto"/>
          <w:left w:val="single" w:sz="4" w:space="4" w:color="auto"/>
          <w:bottom w:val="single" w:sz="4" w:space="1" w:color="auto"/>
          <w:right w:val="single" w:sz="4" w:space="4" w:color="auto"/>
        </w:pBdr>
        <w:spacing w:line="240" w:lineRule="auto"/>
        <w:ind w:left="720"/>
      </w:pPr>
    </w:p>
    <w:p w14:paraId="36CA50A9" w14:textId="77777777" w:rsidR="004D51C0" w:rsidRPr="00F314D3" w:rsidRDefault="004D51C0" w:rsidP="00683814">
      <w:pPr>
        <w:pBdr>
          <w:top w:val="single" w:sz="4" w:space="1" w:color="auto"/>
          <w:left w:val="single" w:sz="4" w:space="4" w:color="auto"/>
          <w:bottom w:val="single" w:sz="4" w:space="1" w:color="auto"/>
          <w:right w:val="single" w:sz="4" w:space="4" w:color="auto"/>
        </w:pBdr>
        <w:spacing w:line="240" w:lineRule="auto"/>
        <w:ind w:left="720"/>
      </w:pPr>
      <w:r>
        <w:t xml:space="preserve">The CJEU </w:t>
      </w:r>
      <w:r w:rsidR="00DE66D0" w:rsidRPr="00DE66D0">
        <w:t xml:space="preserve">concluded that </w:t>
      </w:r>
      <w:r w:rsidR="00DE66D0">
        <w:t>“</w:t>
      </w:r>
      <w:r w:rsidR="00DE66D0" w:rsidRPr="00DE66D0">
        <w:t>if a curable or incurable illness entails a limitation which results in particular from physical, mental or psychological impairments which in interaction with various barriers may hinder the full and effective participation of the person concerned in professional life on an equal basis with other workers, and the limitation is a long-term one, such an illness can be covered by the concept of ‘disability’ within the meaning of Directive 2000/78</w:t>
      </w:r>
      <w:r w:rsidR="00A23F56">
        <w:t>”</w:t>
      </w:r>
      <w:r w:rsidR="00DE66D0">
        <w:t>.</w:t>
      </w:r>
      <w:r w:rsidR="00DE66D0" w:rsidRPr="006F6E42">
        <w:rPr>
          <w:rStyle w:val="FootnoteReference"/>
        </w:rPr>
        <w:footnoteReference w:id="143"/>
      </w:r>
    </w:p>
    <w:p w14:paraId="0A85354B" w14:textId="77777777" w:rsidR="00F314D3" w:rsidRPr="006B283D" w:rsidRDefault="00F314D3" w:rsidP="00755EE9">
      <w:pPr>
        <w:pStyle w:val="ListParagraph"/>
        <w:numPr>
          <w:ilvl w:val="0"/>
          <w:numId w:val="0"/>
        </w:numPr>
        <w:ind w:left="720"/>
      </w:pPr>
    </w:p>
    <w:p w14:paraId="335A462E" w14:textId="77777777" w:rsidR="004562D0" w:rsidRPr="006F6E42" w:rsidRDefault="004562D0" w:rsidP="004562D0">
      <w:pPr>
        <w:pStyle w:val="Heading1"/>
      </w:pPr>
      <w:bookmarkStart w:id="122" w:name="_Toc122447044"/>
      <w:r w:rsidRPr="006F6E42">
        <w:t>Annex 1 Equality Directives</w:t>
      </w:r>
      <w:bookmarkEnd w:id="122"/>
    </w:p>
    <w:p w14:paraId="29431493" w14:textId="77777777" w:rsidR="004562D0" w:rsidRPr="006F6E42" w:rsidRDefault="004562D0" w:rsidP="004562D0">
      <w:pPr>
        <w:pStyle w:val="ListParagraph"/>
        <w:numPr>
          <w:ilvl w:val="0"/>
          <w:numId w:val="1"/>
        </w:numPr>
        <w:rPr>
          <w:vanish/>
        </w:rPr>
      </w:pPr>
    </w:p>
    <w:p w14:paraId="0D791848" w14:textId="77777777" w:rsidR="00CE55D7" w:rsidRPr="006F6E42" w:rsidRDefault="004562D0" w:rsidP="004562D0">
      <w:pPr>
        <w:pStyle w:val="ListParagraph"/>
      </w:pPr>
      <w:r w:rsidRPr="006F6E42">
        <w:t xml:space="preserve">The equality directives in Annex 1 are specific pieces of EU law covering a range of protected grounds including race, gender, religion and belief, disability, age and sexual orientation. The scope of what is covered by each of these Annex 1 directives differs. Protocol Article 2 requires that NI law must ensure that equivalent rights and obligations that arise from these directives are maintained, </w:t>
      </w:r>
      <w:r w:rsidR="00132370">
        <w:t>therefore</w:t>
      </w:r>
      <w:r w:rsidRPr="006F6E42">
        <w:t xml:space="preserve"> these rights must not be diminished.</w:t>
      </w:r>
      <w:r w:rsidR="00730F26" w:rsidRPr="006F6E42">
        <w:t xml:space="preserve"> </w:t>
      </w:r>
    </w:p>
    <w:p w14:paraId="79A54391" w14:textId="77777777" w:rsidR="004562D0" w:rsidRPr="006F6E42" w:rsidRDefault="00730F26" w:rsidP="004562D0">
      <w:pPr>
        <w:pStyle w:val="ListParagraph"/>
      </w:pPr>
      <w:r w:rsidRPr="006F6E42">
        <w:t>If the</w:t>
      </w:r>
      <w:r w:rsidR="00CE55D7" w:rsidRPr="006F6E42">
        <w:t xml:space="preserve"> Annex 1 equality d</w:t>
      </w:r>
      <w:r w:rsidRPr="006F6E42">
        <w:t>irectives are amended or replaced</w:t>
      </w:r>
      <w:r w:rsidR="00CE55D7" w:rsidRPr="006F6E42">
        <w:t xml:space="preserve">, </w:t>
      </w:r>
      <w:r w:rsidRPr="006F6E42">
        <w:t xml:space="preserve">NI law must also keep pace with these enhancements of rights and safeguards and ensure there is no future diminution from these enhanced standards.  The Annex 1 equality directives must be interpreted in NI law in line with relevant CJEU case law as it evolves </w:t>
      </w:r>
      <w:r w:rsidR="00AC6FBD">
        <w:t xml:space="preserve">on or </w:t>
      </w:r>
      <w:r w:rsidRPr="006F6E42">
        <w:t>after 1 January 2021.</w:t>
      </w:r>
    </w:p>
    <w:p w14:paraId="541E0178" w14:textId="77777777" w:rsidR="004562D0" w:rsidRPr="006F6E42" w:rsidRDefault="004562D0" w:rsidP="004562D0">
      <w:pPr>
        <w:pStyle w:val="ListParagraph"/>
      </w:pPr>
      <w:r w:rsidRPr="006F6E42">
        <w:t>As noted above</w:t>
      </w:r>
      <w:r w:rsidR="5C8C4324" w:rsidRPr="006F6E42">
        <w:t>,</w:t>
      </w:r>
      <w:r w:rsidRPr="006F6E42">
        <w:t xml:space="preserve"> the CJEU, in interpreting these directives, has relied on the EU Treaties, the EU Charter of Fundamental Rights and the general principles of EU law on fundamental rights and equality and non-discrimination to interpret and elaborate on the scope and remit of these, and other, directives. </w:t>
      </w:r>
    </w:p>
    <w:p w14:paraId="1E2B32BC" w14:textId="77777777" w:rsidR="004562D0" w:rsidRPr="006F6E42" w:rsidRDefault="00880854" w:rsidP="004562D0">
      <w:pPr>
        <w:pStyle w:val="ListParagraph"/>
      </w:pPr>
      <w:r w:rsidRPr="006F6E42">
        <w:t xml:space="preserve">This section sets out a brief overview of the Annex 1 equality directives.  </w:t>
      </w:r>
      <w:r w:rsidR="004562D0" w:rsidRPr="006F6E42">
        <w:t xml:space="preserve">The Commissions advise that close monitoring of the directives, including relevant case law of the CJEU and other EU law developments which amend, replace or further interpret these Directives will be necessary.  </w:t>
      </w:r>
    </w:p>
    <w:p w14:paraId="7A461D7A" w14:textId="77777777" w:rsidR="004562D0" w:rsidRPr="006F6E42" w:rsidRDefault="004562D0" w:rsidP="004562D0">
      <w:pPr>
        <w:pStyle w:val="Heading2"/>
      </w:pPr>
      <w:bookmarkStart w:id="123" w:name="_Toc87020455"/>
      <w:bookmarkStart w:id="124" w:name="_Toc122447045"/>
      <w:r w:rsidRPr="006F6E42">
        <w:t>Race Equality Directive</w:t>
      </w:r>
      <w:bookmarkEnd w:id="123"/>
      <w:bookmarkEnd w:id="124"/>
    </w:p>
    <w:p w14:paraId="6EE5C096" w14:textId="77777777" w:rsidR="004562D0" w:rsidRPr="006F6E42" w:rsidRDefault="004562D0" w:rsidP="004562D0">
      <w:pPr>
        <w:pStyle w:val="ListParagraph"/>
      </w:pPr>
      <w:r w:rsidRPr="006F6E42">
        <w:t xml:space="preserve">The </w:t>
      </w:r>
      <w:r w:rsidRPr="006F6E42">
        <w:rPr>
          <w:b/>
        </w:rPr>
        <w:t>Race Equality Directive</w:t>
      </w:r>
      <w:r w:rsidRPr="006F6E42">
        <w:t xml:space="preserve"> requires that people be treated equally regardless of their racial and ethnic origin and creates a broad framework for protection against discrimination.</w:t>
      </w:r>
      <w:r w:rsidR="001744B0" w:rsidRPr="006F6E42">
        <w:rPr>
          <w:rStyle w:val="FootnoteReference"/>
        </w:rPr>
        <w:footnoteReference w:id="144"/>
      </w:r>
      <w:r w:rsidRPr="006F6E42">
        <w:t xml:space="preserve"> It covers the areas of employment and vocational training; education; social protection including social security; social advantages; access to and supply of goods and services. The prohibition of discrimination covers direct and indirect discrimination, harassment, an instruction to discriminate and victimisation.  </w:t>
      </w:r>
    </w:p>
    <w:p w14:paraId="7F1A30A7" w14:textId="77777777" w:rsidR="004562D0" w:rsidRPr="006F6E42" w:rsidRDefault="004562D0" w:rsidP="004562D0">
      <w:pPr>
        <w:pStyle w:val="ListParagraph"/>
      </w:pPr>
      <w:r w:rsidRPr="006F6E42">
        <w:t>The burden of proof for establishing that an impugned action was not discriminatory falls on the respondent. The Directive further provides that these measures are designed as a minimum standard of protection and that member states should introduce additional safeguards to protect individuals from adverse treatment in response to a complaint.  In addition, states can adopt or maintain specific measures to prevent or compensate for disadvantages linked to racial or ethnic origin. The Commission must report to the European Parliament and Council on the application of the Directive every five years and that report covers recent developments including relevant case law of the CJEU.</w:t>
      </w:r>
      <w:r w:rsidRPr="006F6E42">
        <w:rPr>
          <w:rStyle w:val="FootnoteReference"/>
        </w:rPr>
        <w:footnoteReference w:id="145"/>
      </w:r>
      <w:r w:rsidRPr="006F6E42">
        <w:t xml:space="preserve"> </w:t>
      </w:r>
    </w:p>
    <w:p w14:paraId="2AC961BE" w14:textId="77777777" w:rsidR="004562D0" w:rsidRPr="006F6E42" w:rsidRDefault="004562D0" w:rsidP="004562D0">
      <w:pPr>
        <w:pStyle w:val="ListParagraph"/>
      </w:pPr>
      <w:r w:rsidRPr="006F6E42">
        <w:t>The Race Equality Directive does not include a definition of ‘racial or ethnic origin’, however it excludes ‘nationality’ from its interpretation of race or ethnicity.</w:t>
      </w:r>
      <w:r w:rsidRPr="006F6E42">
        <w:rPr>
          <w:rStyle w:val="FootnoteReference"/>
        </w:rPr>
        <w:footnoteReference w:id="146"/>
      </w:r>
      <w:r w:rsidRPr="006F6E42">
        <w:t xml:space="preserve">  </w:t>
      </w:r>
    </w:p>
    <w:p w14:paraId="0AB77F3B" w14:textId="77777777" w:rsidR="004562D0" w:rsidRPr="006F6E42" w:rsidRDefault="004562D0" w:rsidP="004562D0">
      <w:pPr>
        <w:pStyle w:val="Heading2"/>
      </w:pPr>
      <w:bookmarkStart w:id="125" w:name="_Toc87020456"/>
      <w:bookmarkStart w:id="126" w:name="_Toc122447046"/>
      <w:r w:rsidRPr="006F6E42">
        <w:t>Employment Equality (Framework) Directive</w:t>
      </w:r>
      <w:bookmarkEnd w:id="125"/>
      <w:bookmarkEnd w:id="126"/>
    </w:p>
    <w:p w14:paraId="3C98BFAB" w14:textId="77777777" w:rsidR="004562D0" w:rsidRPr="006F6E42" w:rsidRDefault="004562D0" w:rsidP="004562D0">
      <w:pPr>
        <w:pStyle w:val="ListParagraph"/>
      </w:pPr>
      <w:r w:rsidRPr="006F6E42">
        <w:t xml:space="preserve">The </w:t>
      </w:r>
      <w:r w:rsidRPr="006F6E42">
        <w:rPr>
          <w:b/>
        </w:rPr>
        <w:t>Framework Equality Directive</w:t>
      </w:r>
      <w:r w:rsidRPr="006F6E42">
        <w:t xml:space="preserve"> sets out a framework for combatting discrimination regardless of religion or belief, disability, age and sexual orientation.</w:t>
      </w:r>
      <w:r w:rsidR="001744B0" w:rsidRPr="006F6E42">
        <w:rPr>
          <w:rStyle w:val="FootnoteReference"/>
        </w:rPr>
        <w:footnoteReference w:id="147"/>
      </w:r>
      <w:r w:rsidRPr="006F6E42">
        <w:t xml:space="preserve"> This protection is limited </w:t>
      </w:r>
      <w:r w:rsidR="00201ABD" w:rsidRPr="006F6E42">
        <w:t xml:space="preserve">to </w:t>
      </w:r>
      <w:r w:rsidRPr="006F6E42">
        <w:t xml:space="preserve">discrimination in the areas of employment and vocational training. The prohibition of discrimination covers direct and indirect discrimination, harassment, an instruction to discriminate and victimisation. </w:t>
      </w:r>
    </w:p>
    <w:p w14:paraId="4AFDD6AA" w14:textId="77777777" w:rsidR="004562D0" w:rsidRPr="006F6E42" w:rsidRDefault="004562D0" w:rsidP="004562D0">
      <w:pPr>
        <w:pStyle w:val="ListParagraph"/>
      </w:pPr>
      <w:r w:rsidRPr="006F6E42">
        <w:t>The burden of proof for establishing that an impugned action was not discriminatory falls on the respondent. The Directive further provides that these measures are designed as a minimum standard of protection and that member states should introduce additional safeguards to protect individuals from</w:t>
      </w:r>
      <w:r w:rsidR="00201ABD" w:rsidRPr="006F6E42">
        <w:t xml:space="preserve"> discrimination and</w:t>
      </w:r>
      <w:r w:rsidRPr="006F6E42">
        <w:t xml:space="preserve"> victimisation.  The Commission must report to the European Parliament and Council on the application of the Directive.</w:t>
      </w:r>
    </w:p>
    <w:p w14:paraId="072125E8" w14:textId="77777777" w:rsidR="004562D0" w:rsidRPr="006F6E42" w:rsidRDefault="004562D0" w:rsidP="004562D0">
      <w:pPr>
        <w:pStyle w:val="ListParagraph"/>
      </w:pPr>
      <w:r w:rsidRPr="006F6E42">
        <w:t>The Directive contains specific provisions in relation to NI. It excludes the recruitment of teachers in schools from discrimination on grounds of religion or belief, provided such measures are expressly authorised in national law.</w:t>
      </w:r>
      <w:r w:rsidRPr="006F6E42">
        <w:rPr>
          <w:rStyle w:val="FootnoteReference"/>
        </w:rPr>
        <w:footnoteReference w:id="148"/>
      </w:r>
      <w:r w:rsidRPr="006F6E42">
        <w:t xml:space="preserve"> </w:t>
      </w:r>
    </w:p>
    <w:p w14:paraId="1DB7E935" w14:textId="77777777" w:rsidR="004562D0" w:rsidRPr="006F6E42" w:rsidRDefault="004562D0" w:rsidP="00152DD8">
      <w:pPr>
        <w:pStyle w:val="ListParagraph"/>
      </w:pPr>
      <w:r w:rsidRPr="006F6E42">
        <w:t>There is no definition of disability in the Directive. The EU became a party to the UN CRPD in 2010 and since then it has been the interpretative model for the definition of disability in the Directive.</w:t>
      </w:r>
      <w:r w:rsidRPr="006F6E42">
        <w:rPr>
          <w:rStyle w:val="FootnoteReference"/>
        </w:rPr>
        <w:footnoteReference w:id="149"/>
      </w:r>
      <w:r w:rsidRPr="006F6E42">
        <w:t xml:space="preserve">  Employers are required to take such measures as are </w:t>
      </w:r>
      <w:r w:rsidR="002A2AD0" w:rsidRPr="006F6E42">
        <w:t xml:space="preserve">necessary </w:t>
      </w:r>
      <w:r w:rsidRPr="006F6E42">
        <w:t>to ensure the equal participation of disabled people through the provision of reasonable accommodation.</w:t>
      </w:r>
      <w:r w:rsidRPr="006F6E42">
        <w:rPr>
          <w:rStyle w:val="FootnoteReference"/>
        </w:rPr>
        <w:footnoteReference w:id="150"/>
      </w:r>
      <w:r w:rsidRPr="006F6E42">
        <w:t xml:space="preserve"> </w:t>
      </w:r>
    </w:p>
    <w:p w14:paraId="337A6B60" w14:textId="77777777" w:rsidR="004562D0" w:rsidRPr="006F6E42" w:rsidRDefault="004562D0" w:rsidP="004562D0">
      <w:pPr>
        <w:pStyle w:val="Heading2"/>
      </w:pPr>
      <w:bookmarkStart w:id="127" w:name="_Toc87020457"/>
      <w:bookmarkStart w:id="128" w:name="_Toc122447047"/>
      <w:r w:rsidRPr="006F6E42">
        <w:t>Gender Directives</w:t>
      </w:r>
      <w:bookmarkEnd w:id="127"/>
      <w:bookmarkEnd w:id="128"/>
    </w:p>
    <w:p w14:paraId="7A760289" w14:textId="77777777" w:rsidR="004562D0" w:rsidRPr="006F6E42" w:rsidRDefault="004562D0" w:rsidP="004562D0">
      <w:pPr>
        <w:pStyle w:val="ListParagraph"/>
      </w:pPr>
      <w:r w:rsidRPr="006F6E42">
        <w:t>Gender equality is considered a fundamental value and objective of the EU legal order.</w:t>
      </w:r>
      <w:r w:rsidRPr="006F6E42">
        <w:rPr>
          <w:rStyle w:val="FootnoteReference"/>
        </w:rPr>
        <w:footnoteReference w:id="151"/>
      </w:r>
      <w:r w:rsidRPr="006F6E42">
        <w:t xml:space="preserve"> It is protected in the EU Charter of Fundamental Rights, both in terms of the non-discrimination clause in Article 21 and in its own right in Article 23.</w:t>
      </w:r>
      <w:r w:rsidRPr="006F6E42">
        <w:rPr>
          <w:rStyle w:val="FootnoteReference"/>
        </w:rPr>
        <w:footnoteReference w:id="152"/>
      </w:r>
      <w:r w:rsidRPr="006F6E42">
        <w:t xml:space="preserve">   </w:t>
      </w:r>
    </w:p>
    <w:p w14:paraId="1C4C389C" w14:textId="77777777" w:rsidR="004562D0" w:rsidRPr="006F6E42" w:rsidRDefault="004562D0" w:rsidP="004562D0">
      <w:pPr>
        <w:pStyle w:val="ListParagraph"/>
      </w:pPr>
      <w:r w:rsidRPr="006F6E42">
        <w:t xml:space="preserve">The </w:t>
      </w:r>
      <w:r w:rsidRPr="006F6E42">
        <w:rPr>
          <w:b/>
        </w:rPr>
        <w:t>Equal Treatment (Goods and Services) Directive</w:t>
      </w:r>
      <w:r w:rsidRPr="006F6E42">
        <w:t xml:space="preserve"> sets out a framework to combat discrimination based on sex in access to and the supply of goods and services and it is designed to give effect to the principle of equal treatment between men and women.</w:t>
      </w:r>
      <w:r w:rsidR="00FD035C" w:rsidRPr="006F6E42">
        <w:rPr>
          <w:rStyle w:val="FootnoteReference"/>
        </w:rPr>
        <w:footnoteReference w:id="153"/>
      </w:r>
      <w:r w:rsidRPr="006F6E42">
        <w:t xml:space="preserve"> </w:t>
      </w:r>
      <w:r w:rsidR="0029136D" w:rsidRPr="006F6E42">
        <w:t>The prohibition of discrimination covers direct and indirect discrimination, harassment and sexual harassment, an instruction to discriminate and victimisation. The burden of proof for establishing that an impugned action was not discriminatory falls on the respondent.</w:t>
      </w:r>
    </w:p>
    <w:p w14:paraId="33246F72" w14:textId="77777777" w:rsidR="004562D0" w:rsidRPr="006F6E42" w:rsidRDefault="004562D0" w:rsidP="004562D0">
      <w:pPr>
        <w:pStyle w:val="ListParagraph"/>
      </w:pPr>
      <w:r w:rsidRPr="006F6E42">
        <w:t xml:space="preserve">The </w:t>
      </w:r>
      <w:r w:rsidRPr="006F6E42">
        <w:rPr>
          <w:b/>
        </w:rPr>
        <w:t>Recast Equal Treatment (Employment) Directive</w:t>
      </w:r>
      <w:r w:rsidRPr="006F6E42">
        <w:t xml:space="preserve"> sets the framework for ensuring the implementation of the principle of equal opportunities and equal treatment of men and women in matters of employment and occupation.</w:t>
      </w:r>
      <w:r w:rsidR="00FD035C" w:rsidRPr="006F6E42">
        <w:rPr>
          <w:rStyle w:val="FootnoteReference"/>
        </w:rPr>
        <w:footnoteReference w:id="154"/>
      </w:r>
      <w:r w:rsidRPr="006F6E42">
        <w:t xml:space="preserve"> It includes a protection for women returning to</w:t>
      </w:r>
      <w:r w:rsidR="002A2AD0" w:rsidRPr="006F6E42">
        <w:t xml:space="preserve"> the</w:t>
      </w:r>
      <w:r w:rsidRPr="006F6E42">
        <w:t xml:space="preserve"> workplace after a period of maternity leave to return to her job or an equivalent post on terms and conditions that are no less favourable than she would have been entitled</w:t>
      </w:r>
      <w:r w:rsidR="00A5587D">
        <w:t xml:space="preserve"> to</w:t>
      </w:r>
      <w:r w:rsidRPr="006F6E42">
        <w:t xml:space="preserve"> during her absence. The prohibition of discrimination covers direct and indirect discrimination, harassment and sexual harassment, an instruction to discriminate and victimisation. The burden of proof for establishing that an impugned action was not discriminatory falls on the respondent. The Commission must report to the European Parliament and Council on the application of the Recast Directive every four years.</w:t>
      </w:r>
      <w:r w:rsidRPr="006F6E42">
        <w:rPr>
          <w:rStyle w:val="FootnoteReference"/>
        </w:rPr>
        <w:footnoteReference w:id="155"/>
      </w:r>
      <w:r w:rsidRPr="006F6E42">
        <w:t xml:space="preserve"> </w:t>
      </w:r>
    </w:p>
    <w:p w14:paraId="17D439CA" w14:textId="77777777" w:rsidR="004562D0" w:rsidRPr="006F6E42" w:rsidRDefault="004562D0" w:rsidP="004562D0">
      <w:pPr>
        <w:pStyle w:val="ListParagraph"/>
      </w:pPr>
      <w:r w:rsidRPr="006F6E42">
        <w:t xml:space="preserve">Similarly, the </w:t>
      </w:r>
      <w:r w:rsidRPr="006F6E42">
        <w:rPr>
          <w:b/>
        </w:rPr>
        <w:t>Equal Treatment (Self-Employ</w:t>
      </w:r>
      <w:r w:rsidR="00FE7488" w:rsidRPr="006F6E42">
        <w:rPr>
          <w:b/>
        </w:rPr>
        <w:t>ment</w:t>
      </w:r>
      <w:r w:rsidRPr="006F6E42">
        <w:rPr>
          <w:b/>
        </w:rPr>
        <w:t>) Directive</w:t>
      </w:r>
      <w:r w:rsidRPr="006F6E42">
        <w:t xml:space="preserve"> aims to provide for equal treatment for men and women engaged in any activity in a self-employed capacity and covers areas such as the establishment of a company, social protection and maternity benefits.</w:t>
      </w:r>
      <w:r w:rsidR="00FD035C" w:rsidRPr="006F6E42">
        <w:rPr>
          <w:rStyle w:val="FootnoteReference"/>
        </w:rPr>
        <w:footnoteReference w:id="156"/>
      </w:r>
      <w:r w:rsidRPr="006F6E42">
        <w:t xml:space="preserve"> The prohibition of discrimination covers direct and indirect discrimination, harassment and sexual harassment, and victimisation.</w:t>
      </w:r>
    </w:p>
    <w:p w14:paraId="43B9B7E6" w14:textId="77777777" w:rsidR="004562D0" w:rsidRPr="006F6E42" w:rsidRDefault="004562D0" w:rsidP="004562D0">
      <w:pPr>
        <w:pStyle w:val="ListParagraph"/>
      </w:pPr>
      <w:r w:rsidRPr="006F6E42">
        <w:t xml:space="preserve">The Directives further clarify that these measures are designed as a minimum standard of protection.  In addition, there is a general clause requiring member states to </w:t>
      </w:r>
      <w:proofErr w:type="gramStart"/>
      <w:r w:rsidRPr="006F6E42">
        <w:t>take into account</w:t>
      </w:r>
      <w:proofErr w:type="gramEnd"/>
      <w:r w:rsidRPr="006F6E42">
        <w:t xml:space="preserve"> equality between men and women when formulating laws and policies in the areas covered by these directives.</w:t>
      </w:r>
    </w:p>
    <w:p w14:paraId="46D0D144" w14:textId="77777777" w:rsidR="004562D0" w:rsidRPr="006F6E42" w:rsidRDefault="004562D0" w:rsidP="004562D0">
      <w:pPr>
        <w:pStyle w:val="ListParagraph"/>
      </w:pPr>
      <w:r w:rsidRPr="006F6E42">
        <w:t xml:space="preserve">The </w:t>
      </w:r>
      <w:r w:rsidRPr="006F6E42">
        <w:rPr>
          <w:b/>
        </w:rPr>
        <w:t>Equal Treatment (Social Security) Directive</w:t>
      </w:r>
      <w:r w:rsidRPr="006F6E42">
        <w:t xml:space="preserve"> provides for the progressive implementation of the principle of equal treatment between men and women in the area of social security and social protection, including in the areas of illness, disability, old age, accidents at work and occupational disease, and unemployment.</w:t>
      </w:r>
      <w:r w:rsidR="00FD035C" w:rsidRPr="006F6E42">
        <w:rPr>
          <w:rStyle w:val="FootnoteReference"/>
        </w:rPr>
        <w:footnoteReference w:id="157"/>
      </w:r>
      <w:r w:rsidRPr="006F6E42">
        <w:t xml:space="preserve">  The Directive provides that there should be no direct or indirect discrimination whatsoever on grounds of sex, including in relation to marital or family status in </w:t>
      </w:r>
      <w:r w:rsidR="00FE7488" w:rsidRPr="006F6E42">
        <w:t xml:space="preserve">respect of </w:t>
      </w:r>
      <w:r w:rsidRPr="006F6E42">
        <w:t>the scope of and access to schemes, contributions and the calculation of benefits. It further clarifies that the principle of equal treatment shall be without prejudice to the provisions relating to the protection of women on the grounds of maternity.</w:t>
      </w:r>
      <w:r w:rsidRPr="006F6E42">
        <w:rPr>
          <w:rFonts w:ascii="Times New Roman" w:hAnsi="Times New Roman" w:cs="Times New Roman"/>
          <w:sz w:val="24"/>
          <w:szCs w:val="24"/>
          <w:lang w:eastAsia="en-GB"/>
        </w:rPr>
        <w:t xml:space="preserve"> </w:t>
      </w:r>
    </w:p>
    <w:p w14:paraId="53F8E7F5" w14:textId="77777777" w:rsidR="00813404" w:rsidRPr="006F6E42" w:rsidRDefault="0087323C" w:rsidP="0087323C">
      <w:pPr>
        <w:pStyle w:val="Heading1"/>
      </w:pPr>
      <w:bookmarkStart w:id="129" w:name="_Toc122447048"/>
      <w:r w:rsidRPr="006F6E42">
        <w:t>Concluding comments and next steps</w:t>
      </w:r>
      <w:bookmarkEnd w:id="129"/>
      <w:r w:rsidRPr="006F6E42">
        <w:t xml:space="preserve"> </w:t>
      </w:r>
    </w:p>
    <w:p w14:paraId="0EE77C12" w14:textId="77777777" w:rsidR="0087323C" w:rsidRPr="006F6E42" w:rsidRDefault="0087323C" w:rsidP="0087323C">
      <w:pPr>
        <w:pStyle w:val="ListParagraph"/>
        <w:numPr>
          <w:ilvl w:val="0"/>
          <w:numId w:val="1"/>
        </w:numPr>
        <w:rPr>
          <w:vanish/>
        </w:rPr>
      </w:pPr>
    </w:p>
    <w:p w14:paraId="618F7EC0" w14:textId="77777777" w:rsidR="0087323C" w:rsidRPr="006F6E42" w:rsidRDefault="00F905F4" w:rsidP="0087323C">
      <w:pPr>
        <w:pStyle w:val="ListParagraph"/>
      </w:pPr>
      <w:r w:rsidRPr="006F6E42">
        <w:t xml:space="preserve">This working paper is designed to set out the current thinking of the Commissions on Protocol Article 2. </w:t>
      </w:r>
      <w:r w:rsidR="007E5E5A">
        <w:t>T</w:t>
      </w:r>
      <w:r w:rsidR="007E5E5A" w:rsidRPr="007E5E5A">
        <w:t xml:space="preserve">he Commissions recognise the need for greater clarity on scope </w:t>
      </w:r>
      <w:r w:rsidR="007E5E5A" w:rsidRPr="006F6E42">
        <w:t>and limits of the rights and protections afforded by Protocol Article 2</w:t>
      </w:r>
      <w:r w:rsidR="007E5E5A">
        <w:t xml:space="preserve"> </w:t>
      </w:r>
      <w:r w:rsidR="007E5E5A" w:rsidRPr="007E5E5A">
        <w:t xml:space="preserve">and </w:t>
      </w:r>
      <w:r w:rsidR="007E5E5A">
        <w:t xml:space="preserve">are </w:t>
      </w:r>
      <w:r w:rsidR="007E5E5A" w:rsidRPr="007E5E5A">
        <w:t>working to achieve this</w:t>
      </w:r>
      <w:r w:rsidR="00C47ECF" w:rsidRPr="006F6E42">
        <w:t>.  It is not possible at this stage to set out a definitive position o</w:t>
      </w:r>
      <w:r w:rsidR="00B80471">
        <w:t>n</w:t>
      </w:r>
      <w:r w:rsidR="00C47ECF" w:rsidRPr="006F6E42">
        <w:t xml:space="preserve"> what Protocol Article 2 will mean in practice and much will depend on how the Courts will interpret this UK Government commitment. </w:t>
      </w:r>
    </w:p>
    <w:p w14:paraId="58FE7F23" w14:textId="77777777" w:rsidR="004858F3" w:rsidRPr="006F6E42" w:rsidRDefault="003B0D65" w:rsidP="00FC7861">
      <w:pPr>
        <w:pStyle w:val="ListParagraph"/>
      </w:pPr>
      <w:r>
        <w:t xml:space="preserve">It is important that there is no weakening of </w:t>
      </w:r>
      <w:r w:rsidR="00186B13">
        <w:t xml:space="preserve">Protocol </w:t>
      </w:r>
      <w:r>
        <w:t xml:space="preserve">Article 2 or the oversight mechanisms. </w:t>
      </w:r>
      <w:r w:rsidR="00C47ECF" w:rsidRPr="00E85510">
        <w:t xml:space="preserve">The </w:t>
      </w:r>
      <w:r w:rsidR="00BF36C9" w:rsidRPr="00E85510">
        <w:t>Commissions</w:t>
      </w:r>
      <w:r w:rsidR="00C47ECF" w:rsidRPr="00E85510">
        <w:t xml:space="preserve"> are mindful that </w:t>
      </w:r>
      <w:r w:rsidR="00BF36C9" w:rsidRPr="00E85510">
        <w:t>Protocol</w:t>
      </w:r>
      <w:r w:rsidR="00C47ECF" w:rsidRPr="00E85510">
        <w:t xml:space="preserve"> Article 2 does not exist in a vacuum and that any </w:t>
      </w:r>
      <w:r w:rsidR="00BF36C9" w:rsidRPr="00E85510">
        <w:t>destabilisation</w:t>
      </w:r>
      <w:r w:rsidR="00C47ECF" w:rsidRPr="00E85510">
        <w:t xml:space="preserve"> of the </w:t>
      </w:r>
      <w:r w:rsidR="00BF36C9" w:rsidRPr="00E85510">
        <w:t>architecture</w:t>
      </w:r>
      <w:r w:rsidR="00C47ECF" w:rsidRPr="006F6E42">
        <w:t xml:space="preserve"> </w:t>
      </w:r>
      <w:r w:rsidR="00BF36C9" w:rsidRPr="006F6E42">
        <w:t>and institutions of the Withdrawal Agreement and the Ireland/</w:t>
      </w:r>
      <w:r w:rsidR="00FE7488" w:rsidRPr="006F6E42">
        <w:t>NI</w:t>
      </w:r>
      <w:r w:rsidR="00BF36C9" w:rsidRPr="006F6E42">
        <w:t xml:space="preserve"> Protocol could have ramifications for the enforceability of the rights and safeguards envisaged in Protocol Article 2.  </w:t>
      </w:r>
    </w:p>
    <w:p w14:paraId="3660576E" w14:textId="77777777" w:rsidR="00BF36C9" w:rsidRPr="006F6E42" w:rsidRDefault="00BF36C9" w:rsidP="009D302C">
      <w:pPr>
        <w:pStyle w:val="ListParagraph"/>
      </w:pPr>
      <w:r w:rsidRPr="006F6E42">
        <w:t xml:space="preserve">The Commissions are heartened that the UK Government has consistently maintained its commitment to Protocol Article 2 </w:t>
      </w:r>
      <w:r w:rsidR="009D302C" w:rsidRPr="006F6E42">
        <w:t>noting that “the provisions that ensure there is no diminution of human rights in NI as a result of the UK’s withdrawal from the EU are not controversial”.</w:t>
      </w:r>
      <w:r w:rsidR="009D302C" w:rsidRPr="006F6E42">
        <w:rPr>
          <w:rStyle w:val="FootnoteReference"/>
        </w:rPr>
        <w:footnoteReference w:id="158"/>
      </w:r>
    </w:p>
    <w:p w14:paraId="2906D826" w14:textId="113C019D" w:rsidR="006B3CB8" w:rsidRPr="006F6E42" w:rsidRDefault="006840AA" w:rsidP="0087323C">
      <w:pPr>
        <w:pStyle w:val="ListParagraph"/>
      </w:pPr>
      <w:r w:rsidRPr="006F6E42">
        <w:t xml:space="preserve">The </w:t>
      </w:r>
      <w:r w:rsidR="009D302C" w:rsidRPr="006F6E42">
        <w:t>Commissions are undertaking</w:t>
      </w:r>
      <w:r w:rsidR="006B3CB8" w:rsidRPr="006F6E42">
        <w:t xml:space="preserve"> further research exploring equality and human rights after Brexit and the impact of Protocol Article 2</w:t>
      </w:r>
      <w:r w:rsidR="00B05B65">
        <w:t xml:space="preserve">. </w:t>
      </w:r>
      <w:r>
        <w:t xml:space="preserve">In addition to published research on </w:t>
      </w:r>
      <w:r w:rsidR="00210586">
        <w:t>P</w:t>
      </w:r>
      <w:r>
        <w:t>arliamentary scrutiny;</w:t>
      </w:r>
      <w:r>
        <w:rPr>
          <w:rStyle w:val="FootnoteReference"/>
        </w:rPr>
        <w:footnoteReference w:id="159"/>
      </w:r>
      <w:r>
        <w:t xml:space="preserve"> human trafficking;</w:t>
      </w:r>
      <w:r>
        <w:rPr>
          <w:rStyle w:val="FootnoteReference"/>
        </w:rPr>
        <w:footnoteReference w:id="160"/>
      </w:r>
      <w:r>
        <w:t xml:space="preserve"> health;</w:t>
      </w:r>
      <w:r>
        <w:rPr>
          <w:rStyle w:val="FootnoteReference"/>
        </w:rPr>
        <w:footnoteReference w:id="161"/>
      </w:r>
      <w:r>
        <w:t xml:space="preserve"> and the </w:t>
      </w:r>
      <w:r w:rsidRPr="006F6E42">
        <w:t>impact of the loss of EU funding on equality groups in NI</w:t>
      </w:r>
      <w:r>
        <w:t>,</w:t>
      </w:r>
      <w:r>
        <w:rPr>
          <w:rStyle w:val="FootnoteReference"/>
        </w:rPr>
        <w:footnoteReference w:id="162"/>
      </w:r>
      <w:r>
        <w:t xml:space="preserve"> research is being undertaken on </w:t>
      </w:r>
      <w:r w:rsidR="006B3CB8" w:rsidRPr="006F6E42">
        <w:t xml:space="preserve">immigration; rights of frontier workers and their families on the island of Ireland; </w:t>
      </w:r>
      <w:r w:rsidR="00910A8F">
        <w:t xml:space="preserve">the environment; </w:t>
      </w:r>
      <w:r w:rsidR="00E114E4">
        <w:t xml:space="preserve"> the EU Charter of Fundamental Rights; the </w:t>
      </w:r>
      <w:r w:rsidR="00910A8F">
        <w:t>impact of Brexit on women</w:t>
      </w:r>
      <w:r w:rsidR="00B05B65">
        <w:t>;</w:t>
      </w:r>
      <w:r w:rsidR="00910A8F">
        <w:t xml:space="preserve"> </w:t>
      </w:r>
      <w:r w:rsidR="003B0D65">
        <w:t>and the impact of Brexit on minority ethnic and migrant people in NI</w:t>
      </w:r>
      <w:r w:rsidR="006B3CB8" w:rsidRPr="006F6E42">
        <w:t xml:space="preserve">.  </w:t>
      </w:r>
      <w:r w:rsidRPr="006F6E42">
        <w:t xml:space="preserve">In </w:t>
      </w:r>
      <w:r w:rsidR="006B3CB8" w:rsidRPr="006F6E42">
        <w:t xml:space="preserve">partnership with the </w:t>
      </w:r>
      <w:r w:rsidR="00CC0391" w:rsidRPr="006F6E42">
        <w:t>IHREC,</w:t>
      </w:r>
      <w:r w:rsidR="006B3CB8" w:rsidRPr="006F6E42">
        <w:t xml:space="preserve"> the Commissions are also undertaking research examining divergence of rights and good practice on the island of Ireland.</w:t>
      </w:r>
      <w:r w:rsidR="00E114E4">
        <w:rPr>
          <w:rStyle w:val="FootnoteReference"/>
        </w:rPr>
        <w:footnoteReference w:id="163"/>
      </w:r>
    </w:p>
    <w:p w14:paraId="069F04B2" w14:textId="6F8AE28C" w:rsidR="00692AF1" w:rsidRPr="006F6E42" w:rsidRDefault="00692AF1" w:rsidP="00692AF1">
      <w:pPr>
        <w:pStyle w:val="ListParagraph"/>
      </w:pPr>
      <w:r w:rsidRPr="006F6E42">
        <w:t xml:space="preserve">In addition to the work being undertaken by the Commissions, the UK Government has set out its understanding of Protocol Article 2 and how it is engaged in </w:t>
      </w:r>
      <w:r w:rsidR="00B917AA" w:rsidRPr="006F6E42">
        <w:t>its E</w:t>
      </w:r>
      <w:r w:rsidRPr="006F6E42">
        <w:t>xplainer.</w:t>
      </w:r>
      <w:r w:rsidRPr="006F6E42">
        <w:rPr>
          <w:rStyle w:val="FootnoteReference"/>
        </w:rPr>
        <w:t xml:space="preserve"> </w:t>
      </w:r>
      <w:r w:rsidRPr="006F6E42">
        <w:rPr>
          <w:rStyle w:val="FootnoteReference"/>
        </w:rPr>
        <w:footnoteReference w:id="164"/>
      </w:r>
      <w:r w:rsidRPr="006F6E42">
        <w:t xml:space="preserve">  </w:t>
      </w:r>
      <w:r w:rsidRPr="00CD5299">
        <w:t xml:space="preserve">While this does not have legal </w:t>
      </w:r>
      <w:r w:rsidR="00051B5C" w:rsidRPr="00CD5299">
        <w:t>authority</w:t>
      </w:r>
      <w:r w:rsidRPr="00CD5299">
        <w:t>,</w:t>
      </w:r>
      <w:r w:rsidRPr="006F6E42">
        <w:t xml:space="preserve"> it clarifies the UK Government’s current position on Protocol Article 2</w:t>
      </w:r>
      <w:r w:rsidR="00B71C23" w:rsidRPr="006F6E42">
        <w:t xml:space="preserve"> and is referenced throughout this working paper</w:t>
      </w:r>
      <w:r w:rsidRPr="006F6E42">
        <w:t xml:space="preserve">.  </w:t>
      </w:r>
      <w:r w:rsidR="00210586">
        <w:t>O</w:t>
      </w:r>
      <w:r w:rsidRPr="006F6E42">
        <w:t xml:space="preserve">ther human rights stakeholders </w:t>
      </w:r>
      <w:r w:rsidR="00130A71">
        <w:t xml:space="preserve">and academics </w:t>
      </w:r>
      <w:r w:rsidRPr="006F6E42">
        <w:t xml:space="preserve">have </w:t>
      </w:r>
      <w:r w:rsidR="00210586">
        <w:t xml:space="preserve">also </w:t>
      </w:r>
      <w:r w:rsidRPr="006F6E42">
        <w:t xml:space="preserve">started mapping out what Protocol Article 2 means for human rights and equality in </w:t>
      </w:r>
      <w:r w:rsidR="00B8746A">
        <w:t>NI</w:t>
      </w:r>
      <w:r w:rsidRPr="006F6E42">
        <w:t>.</w:t>
      </w:r>
      <w:r w:rsidRPr="006F6E42">
        <w:rPr>
          <w:rStyle w:val="FootnoteReference"/>
        </w:rPr>
        <w:footnoteReference w:id="165"/>
      </w:r>
      <w:r w:rsidRPr="006F6E42">
        <w:t xml:space="preserve"> </w:t>
      </w:r>
    </w:p>
    <w:p w14:paraId="1D83E0CE" w14:textId="1ADF2D8D" w:rsidR="00E25703" w:rsidRPr="006F6E42" w:rsidRDefault="00440037" w:rsidP="006B3CB8">
      <w:pPr>
        <w:pStyle w:val="ListParagraph"/>
      </w:pPr>
      <w:r>
        <w:t>T</w:t>
      </w:r>
      <w:r w:rsidR="006B3CB8" w:rsidRPr="006F6E42">
        <w:t xml:space="preserve">his working paper </w:t>
      </w:r>
      <w:r>
        <w:t xml:space="preserve">provides </w:t>
      </w:r>
      <w:r w:rsidR="006B3CB8" w:rsidRPr="006F6E42">
        <w:t xml:space="preserve">an initial assessment </w:t>
      </w:r>
      <w:r>
        <w:t xml:space="preserve">by the Commissions </w:t>
      </w:r>
      <w:r w:rsidR="006B3CB8" w:rsidRPr="006F6E42">
        <w:t xml:space="preserve">of the UK Government’s commitment in Protocol Article 2.  </w:t>
      </w:r>
      <w:r w:rsidR="00210586">
        <w:t xml:space="preserve">It </w:t>
      </w:r>
      <w:r w:rsidR="006B3CB8" w:rsidRPr="006F6E42">
        <w:t xml:space="preserve">is designed to </w:t>
      </w:r>
      <w:r w:rsidR="00445B73">
        <w:t xml:space="preserve">provide additional guidance on how the non-diminution commitment is applied and </w:t>
      </w:r>
      <w:proofErr w:type="gramStart"/>
      <w:r w:rsidR="00445B73">
        <w:t>interpreted, and</w:t>
      </w:r>
      <w:proofErr w:type="gramEnd"/>
      <w:r w:rsidR="00445B73">
        <w:t xml:space="preserve"> has been informed </w:t>
      </w:r>
      <w:r w:rsidR="00217733">
        <w:t xml:space="preserve">by </w:t>
      </w:r>
      <w:r w:rsidR="00445B73">
        <w:t xml:space="preserve">the Commissions’ </w:t>
      </w:r>
      <w:r w:rsidR="006B3CB8" w:rsidRPr="006F6E42">
        <w:t xml:space="preserve">engagement with </w:t>
      </w:r>
      <w:r w:rsidR="00445B73">
        <w:t xml:space="preserve">a number of key </w:t>
      </w:r>
      <w:r w:rsidR="006B3CB8" w:rsidRPr="006F6E42">
        <w:t>stakeholders on the scope and content of this commitment</w:t>
      </w:r>
      <w:r w:rsidR="000D4BF7">
        <w:t>; engagement which the Commissions have welcomed and found helpful</w:t>
      </w:r>
      <w:r w:rsidR="00217733">
        <w:t xml:space="preserve">. </w:t>
      </w:r>
      <w:r w:rsidR="006B3CB8" w:rsidRPr="006F6E42">
        <w:t xml:space="preserve">  </w:t>
      </w:r>
    </w:p>
    <w:p w14:paraId="3FE97F0B" w14:textId="77777777" w:rsidR="00637EDD" w:rsidRDefault="00637EDD">
      <w:pPr>
        <w:sectPr w:rsidR="00637EDD" w:rsidSect="00755EE9">
          <w:headerReference w:type="default" r:id="rId10"/>
          <w:footerReference w:type="default" r:id="rId11"/>
          <w:pgSz w:w="11906" w:h="16838"/>
          <w:pgMar w:top="1440" w:right="1440" w:bottom="1440" w:left="1440" w:header="708" w:footer="708" w:gutter="0"/>
          <w:cols w:space="708"/>
          <w:titlePg/>
          <w:docGrid w:linePitch="381"/>
        </w:sectPr>
      </w:pPr>
    </w:p>
    <w:p w14:paraId="24F31AC8" w14:textId="602C266F" w:rsidR="00637EDD" w:rsidRDefault="00637EDD" w:rsidP="00BC510F">
      <w:pPr>
        <w:pStyle w:val="Heading1"/>
        <w:numPr>
          <w:ilvl w:val="0"/>
          <w:numId w:val="0"/>
        </w:numPr>
        <w:rPr>
          <w:lang w:eastAsia="en-GB"/>
        </w:rPr>
      </w:pPr>
      <w:bookmarkStart w:id="130" w:name="_Toc122447049"/>
      <w:r>
        <w:rPr>
          <w:lang w:eastAsia="en-GB"/>
        </w:rPr>
        <w:t>Appendix 1</w:t>
      </w:r>
      <w:bookmarkEnd w:id="130"/>
    </w:p>
    <w:p w14:paraId="34DDB0FC" w14:textId="77777777" w:rsidR="00637EDD" w:rsidRPr="009E40F1" w:rsidRDefault="00637EDD" w:rsidP="00992825">
      <w:pPr>
        <w:spacing w:line="240" w:lineRule="auto"/>
        <w:ind w:right="-215"/>
        <w:rPr>
          <w:rFonts w:eastAsia="Times New Roman" w:cs="Arial"/>
          <w:b/>
          <w:bCs/>
          <w:sz w:val="32"/>
          <w:szCs w:val="32"/>
          <w:lang w:eastAsia="en-GB"/>
        </w:rPr>
      </w:pPr>
      <w:r w:rsidRPr="009E40F1">
        <w:rPr>
          <w:rFonts w:eastAsia="Times New Roman" w:cs="Arial"/>
          <w:b/>
          <w:sz w:val="32"/>
          <w:szCs w:val="32"/>
          <w:lang w:eastAsia="en-GB"/>
        </w:rPr>
        <w:t>Table of Rights, Safeguards and Equality of Opportunity Provisions included in the Chapter of the Belfast (Good Friday) Agreement of the same name and the underpinning EU</w:t>
      </w:r>
      <w:r>
        <w:rPr>
          <w:rFonts w:eastAsia="Times New Roman" w:cs="Arial"/>
          <w:b/>
          <w:sz w:val="32"/>
          <w:szCs w:val="32"/>
          <w:lang w:eastAsia="en-GB"/>
        </w:rPr>
        <w:t xml:space="preserve"> law</w:t>
      </w:r>
    </w:p>
    <w:p w14:paraId="37DB9554" w14:textId="77777777" w:rsidR="00637EDD" w:rsidRDefault="00637EDD" w:rsidP="00992825">
      <w:pPr>
        <w:spacing w:line="240" w:lineRule="auto"/>
        <w:ind w:left="-426" w:right="-215" w:firstLine="426"/>
        <w:rPr>
          <w:rFonts w:eastAsia="Times New Roman" w:cs="Arial"/>
          <w:b/>
          <w:bCs/>
          <w:sz w:val="32"/>
          <w:szCs w:val="32"/>
          <w:u w:val="single"/>
          <w:lang w:eastAsia="en-GB"/>
        </w:rPr>
      </w:pPr>
    </w:p>
    <w:p w14:paraId="7DFC92ED" w14:textId="77777777" w:rsidR="00637EDD" w:rsidRPr="00EE1F8E" w:rsidRDefault="00637EDD" w:rsidP="00992825">
      <w:pPr>
        <w:spacing w:line="240" w:lineRule="auto"/>
        <w:ind w:left="-426" w:right="-215" w:firstLine="426"/>
        <w:rPr>
          <w:rFonts w:eastAsia="Times New Roman" w:cs="Arial"/>
          <w:b/>
          <w:bCs/>
          <w:sz w:val="32"/>
          <w:szCs w:val="32"/>
          <w:u w:val="single"/>
          <w:lang w:eastAsia="en-GB"/>
        </w:rPr>
      </w:pPr>
      <w:r w:rsidRPr="00EE1F8E">
        <w:rPr>
          <w:rFonts w:eastAsia="Times New Roman" w:cs="Arial"/>
          <w:b/>
          <w:bCs/>
          <w:sz w:val="32"/>
          <w:szCs w:val="32"/>
          <w:u w:val="single"/>
          <w:lang w:eastAsia="en-GB"/>
        </w:rPr>
        <w:t>Introduction and notes on using this table</w:t>
      </w:r>
    </w:p>
    <w:p w14:paraId="7E1E8C19" w14:textId="77777777" w:rsidR="00637EDD" w:rsidRDefault="00637EDD" w:rsidP="00992825">
      <w:pPr>
        <w:spacing w:after="240" w:line="240" w:lineRule="auto"/>
        <w:ind w:right="-215"/>
        <w:rPr>
          <w:rFonts w:eastAsia="Times New Roman" w:cs="Arial"/>
          <w:color w:val="000000"/>
          <w:szCs w:val="28"/>
          <w:lang w:eastAsia="en-GB"/>
        </w:rPr>
      </w:pPr>
      <w:r w:rsidRPr="00EE1F8E">
        <w:rPr>
          <w:rFonts w:eastAsia="Times New Roman" w:cs="Arial"/>
          <w:color w:val="000000"/>
          <w:szCs w:val="28"/>
          <w:lang w:eastAsia="en-GB"/>
        </w:rPr>
        <w:t xml:space="preserve">The table below sets out the EU law which the Commissions have identified to date as falling within the scope of the UK Government’s commitment under Article 2(1) of the Ireland/Northern Ireland Protocol (‘Protocol Article 2’). </w:t>
      </w:r>
    </w:p>
    <w:p w14:paraId="74F19E81" w14:textId="77777777" w:rsidR="00637EDD" w:rsidRDefault="00637EDD" w:rsidP="00992825">
      <w:pPr>
        <w:spacing w:after="240" w:line="240" w:lineRule="auto"/>
        <w:ind w:right="-215"/>
        <w:rPr>
          <w:rFonts w:eastAsia="Times New Roman" w:cs="Arial"/>
          <w:szCs w:val="28"/>
          <w:lang w:eastAsia="en-GB"/>
        </w:rPr>
      </w:pPr>
      <w:r w:rsidRPr="00EE1F8E">
        <w:rPr>
          <w:rFonts w:eastAsia="Times New Roman" w:cs="Arial"/>
          <w:color w:val="000000"/>
          <w:szCs w:val="28"/>
          <w:lang w:eastAsia="en-GB"/>
        </w:rPr>
        <w:t>Specifically, it sets out EU law which the Commissions consider underpin the UK Government’s commitment to ‘non–diminution’ of certain equality and human rights as a result of Brexit covered by the relevant section of the Belfast (Good Friday) Agreement.</w:t>
      </w:r>
      <w:r w:rsidRPr="00EE1F8E">
        <w:rPr>
          <w:rFonts w:eastAsia="Calibri" w:cs="Arial"/>
          <w:szCs w:val="28"/>
          <w:lang w:eastAsia="en-GB"/>
        </w:rPr>
        <w:t xml:space="preserve"> The table below includes the relevant EU</w:t>
      </w:r>
      <w:r>
        <w:rPr>
          <w:rFonts w:eastAsia="Calibri" w:cs="Arial"/>
          <w:szCs w:val="28"/>
          <w:lang w:eastAsia="en-GB"/>
        </w:rPr>
        <w:t xml:space="preserve"> </w:t>
      </w:r>
      <w:r w:rsidRPr="00EE1F8E">
        <w:rPr>
          <w:rFonts w:eastAsia="Calibri" w:cs="Arial"/>
          <w:szCs w:val="28"/>
          <w:lang w:eastAsia="en-GB"/>
        </w:rPr>
        <w:t>law in force on or before the end of the Brexit transition period; namely 31 December 2020. It therefore does not include EU law relevant to equality and human rights which the UK had</w:t>
      </w:r>
      <w:r>
        <w:rPr>
          <w:rFonts w:eastAsia="Calibri" w:cs="Arial"/>
          <w:szCs w:val="28"/>
          <w:lang w:eastAsia="en-GB"/>
        </w:rPr>
        <w:t xml:space="preserve"> opted out of, or not agreed to,</w:t>
      </w:r>
      <w:r w:rsidRPr="00EE1F8E">
        <w:rPr>
          <w:rFonts w:eastAsia="Calibri" w:cs="Arial"/>
          <w:szCs w:val="28"/>
          <w:lang w:eastAsia="en-GB"/>
        </w:rPr>
        <w:t xml:space="preserve"> on or before </w:t>
      </w:r>
      <w:r w:rsidRPr="00304054">
        <w:rPr>
          <w:rFonts w:eastAsia="Times New Roman" w:cs="Arial"/>
          <w:szCs w:val="28"/>
          <w:lang w:eastAsia="en-GB"/>
        </w:rPr>
        <w:t>31</w:t>
      </w:r>
      <w:r w:rsidRPr="00EE1F8E">
        <w:rPr>
          <w:rFonts w:eastAsia="Calibri" w:cs="Arial"/>
          <w:szCs w:val="28"/>
          <w:lang w:eastAsia="en-GB"/>
        </w:rPr>
        <w:t xml:space="preserve"> December 2020.</w:t>
      </w:r>
      <w:r w:rsidRPr="00304054">
        <w:rPr>
          <w:rFonts w:eastAsia="Times New Roman" w:cs="Arial"/>
          <w:szCs w:val="28"/>
          <w:lang w:eastAsia="en-GB"/>
        </w:rPr>
        <w:t xml:space="preserve"> </w:t>
      </w:r>
    </w:p>
    <w:p w14:paraId="745AABC7"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The first section of this document contains the six EU equality Directives listed in Annex 1 to the Ireland/Northern Ireland Protocol (‘the Protocol’). As set out in the</w:t>
      </w:r>
      <w:r w:rsidRPr="000D73B8">
        <w:t xml:space="preserve"> </w:t>
      </w:r>
      <w:r w:rsidRPr="000D73B8">
        <w:rPr>
          <w:rFonts w:eastAsia="Times New Roman" w:cs="Arial"/>
          <w:szCs w:val="28"/>
          <w:lang w:eastAsia="en-GB"/>
        </w:rPr>
        <w:t>Commissions’ working paper on the scope of Artic</w:t>
      </w:r>
      <w:r>
        <w:rPr>
          <w:rFonts w:eastAsia="Times New Roman" w:cs="Arial"/>
          <w:szCs w:val="28"/>
          <w:lang w:eastAsia="en-GB"/>
        </w:rPr>
        <w:t xml:space="preserve">le 2 (‘Article 2 scope paper’), </w:t>
      </w:r>
      <w:r w:rsidRPr="00304054">
        <w:rPr>
          <w:rFonts w:eastAsia="Times New Roman" w:cs="Arial"/>
          <w:szCs w:val="28"/>
          <w:lang w:eastAsia="en-GB"/>
        </w:rPr>
        <w:t xml:space="preserve">and </w:t>
      </w:r>
      <w:r w:rsidRPr="00304054">
        <w:rPr>
          <w:rFonts w:eastAsia="Times New Roman" w:cs="Arial"/>
          <w:color w:val="000000"/>
          <w:szCs w:val="28"/>
          <w:lang w:eastAsia="en-GB"/>
        </w:rPr>
        <w:t xml:space="preserve">unlike in relation to the other EU Directives listed in the table below, in the event that the EU amends or replaces the minimum standards of protection from discrimination set out in the Annex 1 Directives, on or after 1 January 2021, there is an obligation on the UK Government to ‘keep pace’ with any enhancement to those protections and to amend Northern Ireland’s equality law accordingly. </w:t>
      </w:r>
      <w:r w:rsidRPr="00304054">
        <w:rPr>
          <w:rFonts w:eastAsia="Times New Roman" w:cs="Arial"/>
          <w:szCs w:val="28"/>
          <w:lang w:eastAsia="en-GB"/>
        </w:rPr>
        <w:t xml:space="preserve">These six EU Equality Directives underpin many of the rights set out in the chapter of the Belfast (Good Friday) Agreement on ‘Rights, Safeguards and Equality of Opportunity’ and are relevant to many areas of policy and legislation.  </w:t>
      </w:r>
    </w:p>
    <w:p w14:paraId="557CE74E" w14:textId="77777777" w:rsidR="00637EDD" w:rsidRDefault="00637EDD" w:rsidP="00992825">
      <w:pPr>
        <w:spacing w:after="240" w:line="240" w:lineRule="auto"/>
        <w:ind w:right="-215"/>
        <w:rPr>
          <w:rFonts w:eastAsia="Times New Roman" w:cs="Arial"/>
          <w:color w:val="000000"/>
          <w:szCs w:val="28"/>
          <w:lang w:eastAsia="en-GB"/>
        </w:rPr>
      </w:pPr>
      <w:r w:rsidRPr="00304054">
        <w:rPr>
          <w:rFonts w:eastAsia="Times New Roman" w:cs="Arial"/>
          <w:szCs w:val="28"/>
          <w:lang w:eastAsia="en-GB"/>
        </w:rPr>
        <w:t xml:space="preserve">The remainder of the table below is structured under the </w:t>
      </w:r>
      <w:r w:rsidRPr="00304054">
        <w:rPr>
          <w:rFonts w:eastAsia="Times New Roman" w:cs="Arial"/>
          <w:szCs w:val="28"/>
          <w:u w:val="single"/>
          <w:lang w:eastAsia="en-GB"/>
        </w:rPr>
        <w:t>specific list</w:t>
      </w:r>
      <w:r w:rsidRPr="00304054">
        <w:rPr>
          <w:rFonts w:eastAsia="Times New Roman" w:cs="Arial"/>
          <w:szCs w:val="28"/>
          <w:lang w:eastAsia="en-GB"/>
        </w:rPr>
        <w:t xml:space="preserve"> of rights ‘affirmed in particular’ in the relevant Chapter the Belfast (Good Friday) Agreement, in a non-exhaustive list. </w:t>
      </w:r>
      <w:r w:rsidRPr="00304054">
        <w:rPr>
          <w:rFonts w:eastAsia="Times New Roman" w:cs="Arial"/>
          <w:color w:val="000000"/>
          <w:szCs w:val="28"/>
          <w:lang w:eastAsia="en-GB"/>
        </w:rPr>
        <w:t>There is also a commitment in the relevant Chapter of the Belfast (Good Friday) Agreement to protect the ‘civil rights and religious liberties’ of ‘everyone in the community’</w:t>
      </w:r>
      <w:r>
        <w:rPr>
          <w:rFonts w:eastAsia="Times New Roman" w:cs="Arial"/>
          <w:color w:val="000000"/>
          <w:szCs w:val="28"/>
          <w:lang w:eastAsia="en-GB"/>
        </w:rPr>
        <w:t xml:space="preserve">. The </w:t>
      </w:r>
      <w:r w:rsidRPr="0011346D">
        <w:rPr>
          <w:rFonts w:eastAsia="Times New Roman" w:cs="Arial"/>
          <w:color w:val="000000"/>
          <w:szCs w:val="28"/>
          <w:lang w:eastAsia="en-GB"/>
        </w:rPr>
        <w:t xml:space="preserve">Commissions have identified </w:t>
      </w:r>
      <w:r>
        <w:rPr>
          <w:rFonts w:eastAsia="Times New Roman" w:cs="Arial"/>
          <w:color w:val="000000"/>
          <w:szCs w:val="28"/>
          <w:lang w:eastAsia="en-GB"/>
        </w:rPr>
        <w:t xml:space="preserve">in this table some of </w:t>
      </w:r>
      <w:r w:rsidRPr="0011346D">
        <w:rPr>
          <w:rFonts w:eastAsia="Times New Roman" w:cs="Arial"/>
          <w:color w:val="000000"/>
          <w:szCs w:val="28"/>
          <w:lang w:eastAsia="en-GB"/>
        </w:rPr>
        <w:t xml:space="preserve">the first examples of EU measures that are non- Annex 1 Directives which </w:t>
      </w:r>
      <w:r>
        <w:rPr>
          <w:rFonts w:eastAsia="Times New Roman" w:cs="Arial"/>
          <w:color w:val="000000"/>
          <w:szCs w:val="28"/>
          <w:lang w:eastAsia="en-GB"/>
        </w:rPr>
        <w:t xml:space="preserve">they consider are </w:t>
      </w:r>
      <w:r w:rsidRPr="0011346D">
        <w:rPr>
          <w:rFonts w:eastAsia="Times New Roman" w:cs="Arial"/>
          <w:color w:val="000000"/>
          <w:szCs w:val="28"/>
          <w:lang w:eastAsia="en-GB"/>
        </w:rPr>
        <w:t xml:space="preserve">within the scope of </w:t>
      </w:r>
      <w:r>
        <w:rPr>
          <w:rFonts w:eastAsia="Times New Roman" w:cs="Arial"/>
          <w:color w:val="000000"/>
          <w:szCs w:val="28"/>
          <w:lang w:eastAsia="en-GB"/>
        </w:rPr>
        <w:t xml:space="preserve">Protocol </w:t>
      </w:r>
      <w:r w:rsidRPr="0011346D">
        <w:rPr>
          <w:rFonts w:eastAsia="Times New Roman" w:cs="Arial"/>
          <w:color w:val="000000"/>
          <w:szCs w:val="28"/>
          <w:lang w:eastAsia="en-GB"/>
        </w:rPr>
        <w:t xml:space="preserve">Article 2 on the basis </w:t>
      </w:r>
      <w:r>
        <w:rPr>
          <w:rFonts w:eastAsia="Times New Roman" w:cs="Arial"/>
          <w:color w:val="000000"/>
          <w:szCs w:val="28"/>
          <w:lang w:eastAsia="en-GB"/>
        </w:rPr>
        <w:t>that they fall within the scope of this commitment to protect the ‘</w:t>
      </w:r>
      <w:r w:rsidRPr="00304054">
        <w:rPr>
          <w:rFonts w:eastAsia="Times New Roman" w:cs="Arial"/>
          <w:color w:val="000000"/>
          <w:szCs w:val="28"/>
          <w:lang w:eastAsia="en-GB"/>
        </w:rPr>
        <w:t xml:space="preserve">civil rights and religious liberties’ </w:t>
      </w:r>
      <w:r w:rsidRPr="0011346D">
        <w:rPr>
          <w:rFonts w:eastAsia="Times New Roman" w:cs="Arial"/>
          <w:color w:val="000000"/>
          <w:szCs w:val="28"/>
          <w:lang w:eastAsia="en-GB"/>
        </w:rPr>
        <w:t xml:space="preserve">of </w:t>
      </w:r>
      <w:r w:rsidRPr="00304054">
        <w:rPr>
          <w:rFonts w:eastAsia="Times New Roman" w:cs="Arial"/>
          <w:color w:val="000000"/>
          <w:szCs w:val="28"/>
          <w:lang w:eastAsia="en-GB"/>
        </w:rPr>
        <w:t>‘everyone in the community’</w:t>
      </w:r>
      <w:r w:rsidRPr="0011346D">
        <w:rPr>
          <w:rFonts w:eastAsia="Times New Roman" w:cs="Arial"/>
          <w:color w:val="000000"/>
          <w:szCs w:val="28"/>
          <w:lang w:eastAsia="en-GB"/>
        </w:rPr>
        <w:t>.</w:t>
      </w:r>
      <w:r>
        <w:rPr>
          <w:rFonts w:eastAsia="Times New Roman" w:cs="Arial"/>
          <w:color w:val="000000"/>
          <w:szCs w:val="28"/>
          <w:lang w:eastAsia="en-GB"/>
        </w:rPr>
        <w:t xml:space="preserve"> </w:t>
      </w:r>
      <w:r w:rsidRPr="00304054">
        <w:rPr>
          <w:rFonts w:eastAsia="Times New Roman" w:cs="Arial"/>
          <w:color w:val="000000"/>
          <w:szCs w:val="28"/>
          <w:lang w:eastAsia="en-GB"/>
        </w:rPr>
        <w:t xml:space="preserve"> </w:t>
      </w:r>
      <w:r>
        <w:rPr>
          <w:rFonts w:eastAsia="Times New Roman" w:cs="Arial"/>
          <w:color w:val="000000"/>
          <w:szCs w:val="28"/>
          <w:lang w:eastAsia="en-GB"/>
        </w:rPr>
        <w:t>T</w:t>
      </w:r>
      <w:r w:rsidRPr="00304054">
        <w:rPr>
          <w:rFonts w:eastAsia="Times New Roman" w:cs="Arial"/>
          <w:color w:val="000000"/>
          <w:szCs w:val="28"/>
          <w:lang w:eastAsia="en-GB"/>
        </w:rPr>
        <w:t xml:space="preserve">he Commissions are undertaking further work to identify additional EU law which may underpin that commitment, as outlined in the text of the </w:t>
      </w:r>
      <w:r>
        <w:rPr>
          <w:rFonts w:eastAsia="Times New Roman" w:cs="Arial"/>
          <w:color w:val="000000"/>
          <w:szCs w:val="28"/>
          <w:lang w:eastAsia="en-GB"/>
        </w:rPr>
        <w:t xml:space="preserve">Protocol Article 2 scope paper. </w:t>
      </w:r>
    </w:p>
    <w:p w14:paraId="33C27879"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 xml:space="preserve">The EU measures listed in the table below reflect those measures identified by the Commissions </w:t>
      </w:r>
      <w:r w:rsidRPr="00304054">
        <w:rPr>
          <w:rFonts w:eastAsia="Times New Roman" w:cs="Arial"/>
          <w:szCs w:val="28"/>
          <w:u w:val="single"/>
          <w:lang w:eastAsia="en-GB"/>
        </w:rPr>
        <w:t>to date</w:t>
      </w:r>
      <w:r w:rsidRPr="00304054">
        <w:rPr>
          <w:rFonts w:eastAsia="Times New Roman" w:cs="Arial"/>
          <w:szCs w:val="28"/>
          <w:lang w:eastAsia="en-GB"/>
        </w:rPr>
        <w:t xml:space="preserve"> as falling within the scope of Protocol Article 2 and the list may be subject to change, not least in light of any judicial decisions on this matter.  </w:t>
      </w:r>
    </w:p>
    <w:p w14:paraId="46948B54" w14:textId="77777777" w:rsidR="00637EDD" w:rsidRDefault="00637EDD" w:rsidP="00992825">
      <w:pPr>
        <w:spacing w:after="240" w:line="240" w:lineRule="auto"/>
        <w:ind w:right="-215"/>
        <w:rPr>
          <w:rFonts w:eastAsia="Times New Roman" w:cs="Arial"/>
          <w:szCs w:val="28"/>
          <w:lang w:eastAsia="en-GB"/>
        </w:rPr>
      </w:pPr>
      <w:r>
        <w:rPr>
          <w:rFonts w:eastAsia="Times New Roman" w:cs="Arial"/>
          <w:szCs w:val="28"/>
          <w:lang w:eastAsia="en-GB"/>
        </w:rPr>
        <w:t>This table is therefore a ‘</w:t>
      </w:r>
      <w:r w:rsidRPr="00AF2A19">
        <w:rPr>
          <w:rFonts w:eastAsia="Times New Roman" w:cs="Arial"/>
          <w:b/>
          <w:bCs/>
          <w:szCs w:val="28"/>
          <w:lang w:eastAsia="en-GB"/>
        </w:rPr>
        <w:t>living document’</w:t>
      </w:r>
      <w:r>
        <w:rPr>
          <w:rFonts w:eastAsia="Times New Roman" w:cs="Arial"/>
          <w:szCs w:val="28"/>
          <w:lang w:eastAsia="en-GB"/>
        </w:rPr>
        <w:t xml:space="preserve">, as it may be subject to amendment by the Commissions, as and when appropriate; for example, in light of any judicial decisions and/or legal </w:t>
      </w:r>
      <w:proofErr w:type="gramStart"/>
      <w:r>
        <w:rPr>
          <w:rFonts w:eastAsia="Times New Roman" w:cs="Arial"/>
          <w:szCs w:val="28"/>
          <w:lang w:eastAsia="en-GB"/>
        </w:rPr>
        <w:t>advices</w:t>
      </w:r>
      <w:proofErr w:type="gramEnd"/>
      <w:r>
        <w:rPr>
          <w:rFonts w:eastAsia="Times New Roman" w:cs="Arial"/>
          <w:szCs w:val="28"/>
          <w:lang w:eastAsia="en-GB"/>
        </w:rPr>
        <w:t xml:space="preserve"> received by the Commissions on the scope of EU law underpinning Protocol Article 2.  Further, whether or not a specific measure of EU law underpins a </w:t>
      </w:r>
      <w:r>
        <w:rPr>
          <w:rFonts w:eastAsia="Times New Roman" w:cs="Arial"/>
          <w:color w:val="000000"/>
          <w:szCs w:val="28"/>
          <w:lang w:eastAsia="en-GB"/>
        </w:rPr>
        <w:t xml:space="preserve">relevant </w:t>
      </w:r>
      <w:r w:rsidRPr="00EE1F8E">
        <w:rPr>
          <w:rFonts w:eastAsia="Times New Roman" w:cs="Arial"/>
          <w:color w:val="000000"/>
          <w:szCs w:val="28"/>
          <w:lang w:eastAsia="en-GB"/>
        </w:rPr>
        <w:t>Belfast (Good Friday) Agreement</w:t>
      </w:r>
      <w:r>
        <w:rPr>
          <w:rFonts w:eastAsia="Times New Roman" w:cs="Arial"/>
          <w:szCs w:val="28"/>
          <w:lang w:eastAsia="en-GB"/>
        </w:rPr>
        <w:t xml:space="preserve"> right/s will be context and fact specific. </w:t>
      </w:r>
    </w:p>
    <w:p w14:paraId="4BB1F965"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 xml:space="preserve">Care should also be taken to refer to the version of the listed EU measure that applied on 31 December 2020, rather than any version amended after that date. </w:t>
      </w:r>
    </w:p>
    <w:p w14:paraId="05B97668" w14:textId="77777777" w:rsidR="00637EDD" w:rsidRDefault="00637EDD" w:rsidP="00992825">
      <w:pPr>
        <w:spacing w:after="240" w:line="240" w:lineRule="auto"/>
        <w:ind w:right="-215"/>
        <w:rPr>
          <w:rFonts w:eastAsia="Times New Roman" w:cs="Arial"/>
          <w:szCs w:val="28"/>
          <w:lang w:eastAsia="en-GB"/>
        </w:rPr>
      </w:pPr>
      <w:r w:rsidRPr="000D73B8">
        <w:rPr>
          <w:rFonts w:eastAsia="Times New Roman" w:cs="Arial"/>
          <w:szCs w:val="28"/>
          <w:lang w:eastAsia="en-GB"/>
        </w:rPr>
        <w:t>The UK Government has made clear in its Explainer Document on Protocol Article 2</w:t>
      </w:r>
      <w:r w:rsidRPr="000D73B8">
        <w:rPr>
          <w:rFonts w:eastAsia="Times New Roman" w:cs="Arial"/>
          <w:szCs w:val="28"/>
          <w:vertAlign w:val="superscript"/>
          <w:lang w:eastAsia="en-GB"/>
        </w:rPr>
        <w:footnoteReference w:id="166"/>
      </w:r>
      <w:r w:rsidRPr="000D73B8">
        <w:rPr>
          <w:rFonts w:eastAsia="Times New Roman" w:cs="Arial"/>
          <w:szCs w:val="28"/>
          <w:lang w:eastAsia="en-GB"/>
        </w:rPr>
        <w:t xml:space="preserve"> that, in addition to the Annex 1 Directives, there are a number of other EU laws that fall within the scope of Article 2 including the </w:t>
      </w:r>
      <w:r>
        <w:rPr>
          <w:rFonts w:eastAsia="Times New Roman" w:cs="Arial"/>
          <w:szCs w:val="28"/>
          <w:lang w:eastAsia="en-GB"/>
        </w:rPr>
        <w:t xml:space="preserve">Victims Directive, the </w:t>
      </w:r>
      <w:r w:rsidRPr="000D73B8">
        <w:rPr>
          <w:rFonts w:eastAsia="Times New Roman" w:cs="Arial"/>
          <w:szCs w:val="28"/>
          <w:lang w:eastAsia="en-GB"/>
        </w:rPr>
        <w:t xml:space="preserve">Parental Leave Directive and </w:t>
      </w:r>
      <w:r>
        <w:rPr>
          <w:rFonts w:eastAsia="Times New Roman" w:cs="Arial"/>
          <w:szCs w:val="28"/>
          <w:lang w:eastAsia="en-GB"/>
        </w:rPr>
        <w:t xml:space="preserve">the </w:t>
      </w:r>
      <w:r w:rsidRPr="000D73B8">
        <w:rPr>
          <w:rFonts w:eastAsia="Times New Roman" w:cs="Arial"/>
          <w:szCs w:val="28"/>
          <w:lang w:eastAsia="en-GB"/>
        </w:rPr>
        <w:t>Pregnant Workers’ Directive, as well as specific measures aimed at protecting the rights of disabled people. These t</w:t>
      </w:r>
      <w:r>
        <w:rPr>
          <w:rFonts w:eastAsia="Times New Roman" w:cs="Arial"/>
          <w:szCs w:val="28"/>
          <w:lang w:eastAsia="en-GB"/>
        </w:rPr>
        <w:t>hree</w:t>
      </w:r>
      <w:r w:rsidRPr="000D73B8">
        <w:rPr>
          <w:rFonts w:eastAsia="Times New Roman" w:cs="Arial"/>
          <w:szCs w:val="28"/>
          <w:lang w:eastAsia="en-GB"/>
        </w:rPr>
        <w:t xml:space="preserve"> Directives, as well as EU measures which the Commission has identified as being aimed at protecting the rights of disabled people, are included in the table below.</w:t>
      </w:r>
      <w:r w:rsidRPr="00304054">
        <w:rPr>
          <w:rFonts w:eastAsia="Times New Roman" w:cs="Arial"/>
          <w:szCs w:val="28"/>
          <w:lang w:eastAsia="en-GB"/>
        </w:rPr>
        <w:t xml:space="preserve"> </w:t>
      </w:r>
    </w:p>
    <w:p w14:paraId="370017AC" w14:textId="77777777" w:rsidR="00637EDD" w:rsidRDefault="00637EDD" w:rsidP="00992825">
      <w:pPr>
        <w:spacing w:after="240" w:line="240" w:lineRule="auto"/>
        <w:ind w:right="-215"/>
        <w:rPr>
          <w:rFonts w:eastAsia="Times New Roman" w:cs="Arial"/>
          <w:szCs w:val="28"/>
          <w:lang w:eastAsia="en-GB"/>
        </w:rPr>
      </w:pPr>
      <w:r w:rsidRPr="00304054">
        <w:rPr>
          <w:rFonts w:eastAsia="Times New Roman" w:cs="Arial"/>
          <w:szCs w:val="28"/>
          <w:lang w:eastAsia="en-GB"/>
        </w:rPr>
        <w:t>Please note, that there is repeated reference to</w:t>
      </w:r>
      <w:r>
        <w:rPr>
          <w:rFonts w:eastAsia="Times New Roman" w:cs="Arial"/>
          <w:szCs w:val="28"/>
          <w:lang w:eastAsia="en-GB"/>
        </w:rPr>
        <w:t xml:space="preserve"> EU</w:t>
      </w:r>
      <w:r w:rsidRPr="00304054">
        <w:rPr>
          <w:rFonts w:eastAsia="Times New Roman" w:cs="Arial"/>
          <w:szCs w:val="28"/>
          <w:lang w:eastAsia="en-GB"/>
        </w:rPr>
        <w:t xml:space="preserve"> measures which are relevant to a number of rights in the relevant Chapter</w:t>
      </w:r>
      <w:r>
        <w:rPr>
          <w:rFonts w:eastAsia="Times New Roman" w:cs="Arial"/>
          <w:szCs w:val="28"/>
          <w:lang w:eastAsia="en-GB"/>
        </w:rPr>
        <w:t xml:space="preserve"> of</w:t>
      </w:r>
      <w:r w:rsidRPr="00304054">
        <w:rPr>
          <w:rFonts w:eastAsia="Times New Roman" w:cs="Arial"/>
          <w:szCs w:val="28"/>
          <w:lang w:eastAsia="en-GB"/>
        </w:rPr>
        <w:t xml:space="preserve"> the Belfast (Good Friday) Agreement. </w:t>
      </w:r>
    </w:p>
    <w:p w14:paraId="1CF71070" w14:textId="32DB18CD" w:rsidR="00637EDD" w:rsidRPr="00992825" w:rsidRDefault="00637EDD" w:rsidP="00992825">
      <w:pPr>
        <w:spacing w:after="240" w:line="240" w:lineRule="auto"/>
        <w:ind w:right="-215"/>
        <w:rPr>
          <w:rFonts w:eastAsia="Times New Roman" w:cs="Arial"/>
          <w:szCs w:val="28"/>
          <w:lang w:eastAsia="en-GB"/>
        </w:rPr>
      </w:pPr>
      <w:r w:rsidRPr="004F7631">
        <w:rPr>
          <w:rFonts w:eastAsia="Times New Roman" w:cs="Arial"/>
          <w:szCs w:val="28"/>
          <w:lang w:eastAsia="en-GB"/>
        </w:rPr>
        <w:t xml:space="preserve">Further, not all of the provisions of each </w:t>
      </w:r>
      <w:r>
        <w:rPr>
          <w:rFonts w:eastAsia="Times New Roman" w:cs="Arial"/>
          <w:szCs w:val="28"/>
          <w:lang w:eastAsia="en-GB"/>
        </w:rPr>
        <w:t xml:space="preserve">EU </w:t>
      </w:r>
      <w:r w:rsidRPr="004F7631">
        <w:rPr>
          <w:rFonts w:eastAsia="Times New Roman" w:cs="Arial"/>
          <w:szCs w:val="28"/>
          <w:lang w:eastAsia="en-GB"/>
        </w:rPr>
        <w:t xml:space="preserve">measure will be within scope of </w:t>
      </w:r>
      <w:r>
        <w:rPr>
          <w:rFonts w:eastAsia="Times New Roman" w:cs="Arial"/>
          <w:color w:val="000000"/>
          <w:szCs w:val="28"/>
          <w:lang w:eastAsia="en-GB"/>
        </w:rPr>
        <w:t xml:space="preserve">Protocol </w:t>
      </w:r>
      <w:r w:rsidRPr="004F7631">
        <w:rPr>
          <w:rFonts w:eastAsia="Times New Roman" w:cs="Arial"/>
          <w:szCs w:val="28"/>
          <w:lang w:eastAsia="en-GB"/>
        </w:rPr>
        <w:t xml:space="preserve">Article 2 and consideration must therefore be given to which provisions underpin the relevant Belfast (Good Friday) Agreement right, which is explained in section 5 of </w:t>
      </w:r>
      <w:r>
        <w:rPr>
          <w:rFonts w:eastAsia="Times New Roman" w:cs="Arial"/>
          <w:szCs w:val="28"/>
          <w:lang w:eastAsia="en-GB"/>
        </w:rPr>
        <w:t xml:space="preserve">the </w:t>
      </w:r>
      <w:r>
        <w:rPr>
          <w:rFonts w:eastAsia="Times New Roman" w:cs="Arial"/>
          <w:color w:val="000000"/>
          <w:szCs w:val="28"/>
          <w:lang w:eastAsia="en-GB"/>
        </w:rPr>
        <w:t xml:space="preserve">Protocol </w:t>
      </w:r>
      <w:r>
        <w:rPr>
          <w:rFonts w:eastAsia="Times New Roman" w:cs="Arial"/>
          <w:szCs w:val="28"/>
          <w:lang w:eastAsia="en-GB"/>
        </w:rPr>
        <w:t>Article 2 scope paper</w:t>
      </w:r>
      <w:r w:rsidRPr="004F7631">
        <w:rPr>
          <w:rFonts w:eastAsia="Times New Roman" w:cs="Arial"/>
          <w:szCs w:val="28"/>
          <w:lang w:eastAsia="en-GB"/>
        </w:rPr>
        <w:t>.</w:t>
      </w:r>
      <w:r w:rsidRPr="004F7631">
        <w:rPr>
          <w:rFonts w:eastAsia="Times New Roman" w:cs="Arial"/>
          <w:szCs w:val="28"/>
          <w:vertAlign w:val="superscript"/>
          <w:lang w:eastAsia="en-GB"/>
        </w:rPr>
        <w:footnoteReference w:id="167"/>
      </w:r>
      <w:r>
        <w:rPr>
          <w:rFonts w:eastAsia="Times New Roman" w:cs="Arial"/>
          <w:szCs w:val="28"/>
          <w:lang w:eastAsia="en-GB"/>
        </w:rPr>
        <w:t xml:space="preserve"> </w:t>
      </w:r>
      <w:r w:rsidRPr="00304054">
        <w:rPr>
          <w:rFonts w:eastAsia="Times New Roman" w:cs="Arial"/>
          <w:szCs w:val="28"/>
          <w:lang w:eastAsia="en-GB"/>
        </w:rPr>
        <w:t>The EU measures identified by the Commissions in this table has been informed by legal research and advice.</w:t>
      </w:r>
    </w:p>
    <w:p w14:paraId="4D3E65B7" w14:textId="69B351C7" w:rsidR="00637EDD" w:rsidRDefault="00637EDD" w:rsidP="00637EDD">
      <w:pPr>
        <w:rPr>
          <w:rFonts w:eastAsia="Calibri" w:cs="Arial"/>
          <w:b/>
          <w:sz w:val="32"/>
          <w:szCs w:val="32"/>
          <w:u w:val="single"/>
        </w:rPr>
      </w:pPr>
      <w:r w:rsidRPr="00304054">
        <w:rPr>
          <w:rFonts w:eastAsia="Calibri" w:cs="Arial"/>
          <w:b/>
          <w:sz w:val="32"/>
          <w:szCs w:val="32"/>
          <w:u w:val="single"/>
        </w:rPr>
        <w:t xml:space="preserve">Annex 1 Equality Directives </w:t>
      </w:r>
    </w:p>
    <w:p w14:paraId="6DD0ECD4" w14:textId="77777777" w:rsidR="00637EDD" w:rsidRDefault="00637EDD" w:rsidP="00046F17">
      <w:pPr>
        <w:spacing w:after="240"/>
        <w:rPr>
          <w:rFonts w:eastAsia="Times New Roman" w:cs="Arial"/>
          <w:szCs w:val="28"/>
          <w:lang w:eastAsia="en-GB"/>
        </w:rPr>
      </w:pPr>
      <w:r w:rsidRPr="00304054">
        <w:rPr>
          <w:rFonts w:eastAsia="Times New Roman" w:cs="Arial"/>
          <w:szCs w:val="28"/>
          <w:lang w:eastAsia="en-GB"/>
        </w:rPr>
        <w:t>For ease of reference the Protocol Annex 1 Directives are listed below</w:t>
      </w:r>
      <w:r>
        <w:rPr>
          <w:rFonts w:eastAsia="Times New Roman" w:cs="Arial"/>
          <w:szCs w:val="28"/>
          <w:lang w:eastAsia="en-GB"/>
        </w:rPr>
        <w:t>.</w:t>
      </w:r>
      <w:r w:rsidRPr="00304054">
        <w:rPr>
          <w:rFonts w:eastAsia="Times New Roman" w:cs="Arial"/>
          <w:szCs w:val="28"/>
          <w:lang w:eastAsia="en-GB"/>
        </w:rPr>
        <w:t xml:space="preserve"> </w:t>
      </w:r>
    </w:p>
    <w:p w14:paraId="031A6892" w14:textId="77777777" w:rsidR="00637EDD" w:rsidRDefault="00637EDD" w:rsidP="00046F17">
      <w:pPr>
        <w:spacing w:after="240"/>
        <w:rPr>
          <w:rFonts w:eastAsia="Times New Roman" w:cs="Arial"/>
          <w:szCs w:val="28"/>
          <w:lang w:eastAsia="en-GB"/>
        </w:rPr>
      </w:pPr>
      <w:r w:rsidRPr="00304054">
        <w:rPr>
          <w:rFonts w:eastAsia="Times New Roman" w:cs="Arial"/>
          <w:szCs w:val="28"/>
          <w:lang w:eastAsia="en-GB"/>
        </w:rPr>
        <w:t>Please note, that particular caution is required with the following references to the Annex 1 Directives, since Article 2(1) of the Protocol requires Northern Ireland law to ‘keep pace’ with any enhancements to protections afforded under the</w:t>
      </w:r>
      <w:r>
        <w:rPr>
          <w:rFonts w:eastAsia="Times New Roman" w:cs="Arial"/>
          <w:szCs w:val="28"/>
          <w:lang w:eastAsia="en-GB"/>
        </w:rPr>
        <w:t>se</w:t>
      </w:r>
      <w:r w:rsidRPr="00304054">
        <w:rPr>
          <w:rFonts w:eastAsia="Times New Roman" w:cs="Arial"/>
          <w:szCs w:val="28"/>
          <w:lang w:eastAsia="en-GB"/>
        </w:rPr>
        <w:t xml:space="preserve"> Directives as they are amended or replaced</w:t>
      </w:r>
      <w:r>
        <w:rPr>
          <w:rFonts w:eastAsia="Times New Roman" w:cs="Arial"/>
          <w:szCs w:val="28"/>
          <w:lang w:eastAsia="en-GB"/>
        </w:rPr>
        <w:t xml:space="preserve"> by the EU</w:t>
      </w:r>
      <w:r w:rsidRPr="00304054">
        <w:rPr>
          <w:rFonts w:eastAsia="Times New Roman" w:cs="Arial"/>
          <w:szCs w:val="28"/>
          <w:lang w:eastAsia="en-GB"/>
        </w:rPr>
        <w:t xml:space="preserve">. </w:t>
      </w:r>
    </w:p>
    <w:p w14:paraId="272A5DB7" w14:textId="65852E09" w:rsidR="00637EDD" w:rsidRDefault="00637EDD" w:rsidP="00046F17">
      <w:pPr>
        <w:spacing w:after="240"/>
        <w:rPr>
          <w:rFonts w:eastAsia="Times New Roman" w:cs="Arial"/>
          <w:szCs w:val="28"/>
          <w:lang w:eastAsia="en-GB"/>
        </w:rPr>
      </w:pPr>
      <w:r w:rsidRPr="00304054">
        <w:rPr>
          <w:rFonts w:eastAsia="Times New Roman" w:cs="Arial"/>
          <w:szCs w:val="28"/>
          <w:lang w:eastAsia="en-GB"/>
        </w:rPr>
        <w:t xml:space="preserve">The following references are correct as of </w:t>
      </w:r>
      <w:r w:rsidR="00BC510F">
        <w:rPr>
          <w:rFonts w:eastAsia="Times New Roman" w:cs="Arial"/>
          <w:szCs w:val="28"/>
          <w:lang w:eastAsia="en-GB"/>
        </w:rPr>
        <w:t xml:space="preserve">December </w:t>
      </w:r>
      <w:r w:rsidRPr="00304054">
        <w:rPr>
          <w:rFonts w:eastAsia="Times New Roman" w:cs="Arial"/>
          <w:szCs w:val="28"/>
          <w:lang w:eastAsia="en-GB"/>
        </w:rPr>
        <w:t>2022.</w:t>
      </w:r>
      <w:r>
        <w:rPr>
          <w:rFonts w:eastAsia="Times New Roman" w:cs="Arial"/>
          <w:szCs w:val="28"/>
          <w:lang w:eastAsia="en-GB"/>
        </w:rPr>
        <w:t xml:space="preserve"> </w:t>
      </w:r>
    </w:p>
    <w:p w14:paraId="1F5A038F" w14:textId="77777777" w:rsidR="00637EDD" w:rsidRPr="00304054" w:rsidRDefault="00637EDD" w:rsidP="00637EDD">
      <w:pPr>
        <w:numPr>
          <w:ilvl w:val="0"/>
          <w:numId w:val="22"/>
        </w:numPr>
        <w:spacing w:line="240" w:lineRule="auto"/>
        <w:contextualSpacing/>
        <w:rPr>
          <w:rFonts w:eastAsia="Calibri" w:cs="Arial"/>
          <w:szCs w:val="28"/>
          <w:lang w:eastAsia="en-GB"/>
        </w:rPr>
      </w:pPr>
      <w:hyperlink r:id="rId12" w:history="1">
        <w:r w:rsidRPr="00304054">
          <w:rPr>
            <w:rFonts w:eastAsia="Calibri" w:cs="Arial"/>
            <w:color w:val="0563C1"/>
            <w:szCs w:val="28"/>
            <w:u w:val="single"/>
            <w:lang w:eastAsia="en-GB"/>
          </w:rPr>
          <w:t>Council Directive 79/7/EEC</w:t>
        </w:r>
      </w:hyperlink>
      <w:r w:rsidRPr="00304054">
        <w:rPr>
          <w:rFonts w:eastAsia="Calibri" w:cs="Arial"/>
          <w:szCs w:val="28"/>
          <w:lang w:eastAsia="en-GB"/>
        </w:rPr>
        <w:t xml:space="preserve"> of 19 December 1978 on the progressive implementation of the principle of </w:t>
      </w:r>
      <w:r w:rsidRPr="00304054">
        <w:rPr>
          <w:rFonts w:eastAsia="Calibri" w:cs="Arial"/>
          <w:b/>
          <w:szCs w:val="28"/>
          <w:lang w:eastAsia="en-GB"/>
        </w:rPr>
        <w:t>equal treatment</w:t>
      </w:r>
      <w:r w:rsidRPr="00304054">
        <w:rPr>
          <w:rFonts w:eastAsia="Calibri" w:cs="Arial"/>
          <w:szCs w:val="28"/>
          <w:lang w:eastAsia="en-GB"/>
        </w:rPr>
        <w:t xml:space="preserve"> for </w:t>
      </w:r>
      <w:r w:rsidRPr="00304054">
        <w:rPr>
          <w:rFonts w:eastAsia="Calibri" w:cs="Arial"/>
          <w:b/>
          <w:szCs w:val="28"/>
          <w:lang w:eastAsia="en-GB"/>
        </w:rPr>
        <w:t xml:space="preserve">men and women </w:t>
      </w:r>
      <w:r w:rsidRPr="00304054">
        <w:rPr>
          <w:rFonts w:eastAsia="Calibri" w:cs="Arial"/>
          <w:szCs w:val="28"/>
          <w:lang w:eastAsia="en-GB"/>
        </w:rPr>
        <w:t xml:space="preserve">in matters of </w:t>
      </w:r>
      <w:r w:rsidRPr="00304054">
        <w:rPr>
          <w:rFonts w:eastAsia="Calibri" w:cs="Arial"/>
          <w:b/>
          <w:szCs w:val="28"/>
          <w:lang w:eastAsia="en-GB"/>
        </w:rPr>
        <w:t>social security</w:t>
      </w:r>
    </w:p>
    <w:p w14:paraId="5B4759C4" w14:textId="77777777" w:rsidR="00637EDD" w:rsidRPr="00304054" w:rsidRDefault="00637EDD" w:rsidP="00637EDD">
      <w:pPr>
        <w:spacing w:line="240" w:lineRule="auto"/>
        <w:ind w:left="720"/>
        <w:contextualSpacing/>
        <w:rPr>
          <w:rFonts w:eastAsia="Calibri" w:cs="Arial"/>
          <w:szCs w:val="28"/>
          <w:lang w:eastAsia="en-GB"/>
        </w:rPr>
      </w:pPr>
    </w:p>
    <w:p w14:paraId="5B4BA5B8" w14:textId="77777777" w:rsidR="00637EDD" w:rsidRPr="00304054" w:rsidRDefault="00637EDD" w:rsidP="00637EDD">
      <w:pPr>
        <w:numPr>
          <w:ilvl w:val="0"/>
          <w:numId w:val="22"/>
        </w:numPr>
        <w:spacing w:line="240" w:lineRule="auto"/>
        <w:contextualSpacing/>
        <w:rPr>
          <w:rFonts w:eastAsia="Calibri" w:cs="Arial"/>
          <w:b/>
          <w:szCs w:val="28"/>
          <w:lang w:eastAsia="en-GB"/>
        </w:rPr>
      </w:pPr>
      <w:hyperlink r:id="rId13" w:history="1">
        <w:r w:rsidRPr="00304054">
          <w:rPr>
            <w:rFonts w:eastAsia="Calibri" w:cs="Arial"/>
            <w:color w:val="0563C1"/>
            <w:szCs w:val="28"/>
            <w:u w:val="single"/>
            <w:lang w:eastAsia="en-GB"/>
          </w:rPr>
          <w:t>Council Directive 2000/43/EC</w:t>
        </w:r>
      </w:hyperlink>
      <w:r w:rsidRPr="00304054">
        <w:rPr>
          <w:rFonts w:eastAsia="Calibri" w:cs="Arial"/>
          <w:szCs w:val="28"/>
          <w:lang w:eastAsia="en-GB"/>
        </w:rPr>
        <w:t xml:space="preserve"> of 29 June 2000 implementing the principle of </w:t>
      </w:r>
      <w:r w:rsidRPr="00304054">
        <w:rPr>
          <w:rFonts w:eastAsia="Calibri" w:cs="Arial"/>
          <w:b/>
          <w:szCs w:val="28"/>
          <w:lang w:eastAsia="en-GB"/>
        </w:rPr>
        <w:t>equal treatment</w:t>
      </w:r>
      <w:r w:rsidRPr="00304054">
        <w:rPr>
          <w:rFonts w:eastAsia="Calibri" w:cs="Arial"/>
          <w:szCs w:val="28"/>
          <w:lang w:eastAsia="en-GB"/>
        </w:rPr>
        <w:t xml:space="preserve"> between persons </w:t>
      </w:r>
      <w:r w:rsidRPr="00304054">
        <w:rPr>
          <w:rFonts w:eastAsia="Calibri" w:cs="Arial"/>
          <w:b/>
          <w:szCs w:val="28"/>
          <w:lang w:eastAsia="en-GB"/>
        </w:rPr>
        <w:t>irrespective of racial or ethnic origin</w:t>
      </w:r>
    </w:p>
    <w:p w14:paraId="002164CE" w14:textId="77777777" w:rsidR="00637EDD" w:rsidRPr="00304054" w:rsidRDefault="00637EDD" w:rsidP="00637EDD">
      <w:pPr>
        <w:spacing w:line="240" w:lineRule="auto"/>
        <w:ind w:left="720"/>
        <w:contextualSpacing/>
        <w:rPr>
          <w:rFonts w:eastAsia="Calibri" w:cs="Arial"/>
          <w:b/>
          <w:szCs w:val="28"/>
          <w:lang w:eastAsia="en-GB"/>
        </w:rPr>
      </w:pPr>
    </w:p>
    <w:p w14:paraId="1C24E7F6" w14:textId="77777777" w:rsidR="00637EDD" w:rsidRPr="00304054" w:rsidRDefault="00637EDD" w:rsidP="00637EDD">
      <w:pPr>
        <w:numPr>
          <w:ilvl w:val="0"/>
          <w:numId w:val="22"/>
        </w:numPr>
        <w:spacing w:line="240" w:lineRule="auto"/>
        <w:contextualSpacing/>
        <w:rPr>
          <w:rFonts w:eastAsia="Calibri" w:cs="Arial"/>
          <w:b/>
          <w:szCs w:val="28"/>
          <w:lang w:eastAsia="en-GB"/>
        </w:rPr>
      </w:pPr>
      <w:hyperlink r:id="rId14" w:history="1">
        <w:r w:rsidRPr="00304054">
          <w:rPr>
            <w:rFonts w:eastAsia="Calibri" w:cs="Arial"/>
            <w:color w:val="0563C1"/>
            <w:szCs w:val="28"/>
            <w:u w:val="single"/>
            <w:lang w:eastAsia="en-GB"/>
          </w:rPr>
          <w:t>Council Directive 2000/78/EC</w:t>
        </w:r>
      </w:hyperlink>
      <w:r w:rsidRPr="00304054">
        <w:rPr>
          <w:rFonts w:eastAsia="Calibri" w:cs="Arial"/>
          <w:szCs w:val="28"/>
          <w:lang w:eastAsia="en-GB"/>
        </w:rPr>
        <w:t xml:space="preserve"> of 27 November 2000 establishing a general framework for </w:t>
      </w:r>
      <w:r w:rsidRPr="00304054">
        <w:rPr>
          <w:rFonts w:eastAsia="Calibri" w:cs="Arial"/>
          <w:b/>
          <w:szCs w:val="28"/>
          <w:lang w:eastAsia="en-GB"/>
        </w:rPr>
        <w:t xml:space="preserve">equal treatment </w:t>
      </w:r>
      <w:r w:rsidRPr="00304054">
        <w:rPr>
          <w:rFonts w:eastAsia="Calibri" w:cs="Arial"/>
          <w:szCs w:val="28"/>
          <w:lang w:eastAsia="en-GB"/>
        </w:rPr>
        <w:t xml:space="preserve">in </w:t>
      </w:r>
      <w:r w:rsidRPr="00304054">
        <w:rPr>
          <w:rFonts w:eastAsia="Calibri" w:cs="Arial"/>
          <w:b/>
          <w:szCs w:val="28"/>
          <w:lang w:eastAsia="en-GB"/>
        </w:rPr>
        <w:t>employment and occupation</w:t>
      </w:r>
    </w:p>
    <w:p w14:paraId="4EE399E4" w14:textId="77777777" w:rsidR="00637EDD" w:rsidRPr="00304054" w:rsidRDefault="00637EDD" w:rsidP="00637EDD">
      <w:pPr>
        <w:spacing w:line="240" w:lineRule="auto"/>
        <w:ind w:left="720"/>
        <w:contextualSpacing/>
        <w:rPr>
          <w:rFonts w:eastAsia="Calibri" w:cs="Arial"/>
          <w:b/>
          <w:szCs w:val="28"/>
          <w:lang w:eastAsia="en-GB"/>
        </w:rPr>
      </w:pPr>
    </w:p>
    <w:p w14:paraId="0C9399AC" w14:textId="77777777" w:rsidR="00637EDD" w:rsidRPr="00304054" w:rsidRDefault="00637EDD" w:rsidP="00637EDD">
      <w:pPr>
        <w:numPr>
          <w:ilvl w:val="0"/>
          <w:numId w:val="22"/>
        </w:numPr>
        <w:spacing w:line="240" w:lineRule="auto"/>
        <w:contextualSpacing/>
        <w:rPr>
          <w:rFonts w:eastAsia="Calibri" w:cs="Arial"/>
          <w:szCs w:val="28"/>
          <w:lang w:eastAsia="en-GB"/>
        </w:rPr>
      </w:pPr>
      <w:hyperlink r:id="rId15" w:history="1">
        <w:r w:rsidRPr="00304054">
          <w:rPr>
            <w:rFonts w:eastAsia="Calibri" w:cs="Arial"/>
            <w:color w:val="0563C1"/>
            <w:szCs w:val="28"/>
            <w:u w:val="single"/>
            <w:lang w:eastAsia="en-GB"/>
          </w:rPr>
          <w:t>Council Directive 2004/113/EC</w:t>
        </w:r>
      </w:hyperlink>
      <w:r w:rsidRPr="00304054">
        <w:rPr>
          <w:rFonts w:eastAsia="Calibri" w:cs="Arial"/>
          <w:szCs w:val="28"/>
          <w:lang w:eastAsia="en-GB"/>
        </w:rPr>
        <w:t xml:space="preserve"> of 13 December 2004 implementing the principle of </w:t>
      </w:r>
      <w:r w:rsidRPr="00304054">
        <w:rPr>
          <w:rFonts w:eastAsia="Calibri" w:cs="Arial"/>
          <w:b/>
          <w:szCs w:val="28"/>
          <w:lang w:eastAsia="en-GB"/>
        </w:rPr>
        <w:t>equal treatment</w:t>
      </w:r>
      <w:r w:rsidRPr="00304054">
        <w:rPr>
          <w:rFonts w:eastAsia="Calibri" w:cs="Arial"/>
          <w:szCs w:val="28"/>
          <w:lang w:eastAsia="en-GB"/>
        </w:rPr>
        <w:t xml:space="preserve"> between </w:t>
      </w:r>
      <w:r w:rsidRPr="00304054">
        <w:rPr>
          <w:rFonts w:eastAsia="Calibri" w:cs="Arial"/>
          <w:b/>
          <w:szCs w:val="28"/>
          <w:lang w:eastAsia="en-GB"/>
        </w:rPr>
        <w:t>men and women</w:t>
      </w:r>
      <w:r w:rsidRPr="00304054">
        <w:rPr>
          <w:rFonts w:eastAsia="Calibri" w:cs="Arial"/>
          <w:szCs w:val="28"/>
          <w:lang w:eastAsia="en-GB"/>
        </w:rPr>
        <w:t xml:space="preserve"> in the access to and supply of </w:t>
      </w:r>
      <w:r w:rsidRPr="00304054">
        <w:rPr>
          <w:rFonts w:eastAsia="Calibri" w:cs="Arial"/>
          <w:b/>
          <w:szCs w:val="28"/>
          <w:lang w:eastAsia="en-GB"/>
        </w:rPr>
        <w:t>goods and services</w:t>
      </w:r>
    </w:p>
    <w:p w14:paraId="157B06CC" w14:textId="77777777" w:rsidR="00637EDD" w:rsidRPr="00304054" w:rsidRDefault="00637EDD" w:rsidP="00637EDD">
      <w:pPr>
        <w:spacing w:line="240" w:lineRule="auto"/>
        <w:ind w:left="720"/>
        <w:contextualSpacing/>
        <w:rPr>
          <w:rFonts w:eastAsia="Calibri" w:cs="Arial"/>
          <w:szCs w:val="28"/>
          <w:lang w:eastAsia="en-GB"/>
        </w:rPr>
      </w:pPr>
    </w:p>
    <w:p w14:paraId="2BC07323" w14:textId="77777777" w:rsidR="00637EDD" w:rsidRPr="00304054" w:rsidRDefault="00637EDD" w:rsidP="00637EDD">
      <w:pPr>
        <w:numPr>
          <w:ilvl w:val="0"/>
          <w:numId w:val="22"/>
        </w:numPr>
        <w:spacing w:line="240" w:lineRule="auto"/>
        <w:contextualSpacing/>
        <w:rPr>
          <w:rFonts w:eastAsia="Calibri" w:cs="Arial"/>
          <w:szCs w:val="28"/>
          <w:lang w:eastAsia="en-GB"/>
        </w:rPr>
      </w:pPr>
      <w:hyperlink r:id="rId16" w:history="1">
        <w:r w:rsidRPr="00304054">
          <w:rPr>
            <w:rFonts w:eastAsia="Calibri" w:cs="Arial"/>
            <w:color w:val="0563C1"/>
            <w:szCs w:val="28"/>
            <w:u w:val="single"/>
            <w:lang w:eastAsia="en-GB"/>
          </w:rPr>
          <w:t>Directive 2006/54/EC</w:t>
        </w:r>
      </w:hyperlink>
      <w:r w:rsidRPr="00304054">
        <w:rPr>
          <w:rFonts w:eastAsia="Calibri" w:cs="Arial"/>
          <w:szCs w:val="28"/>
          <w:lang w:eastAsia="en-GB"/>
        </w:rPr>
        <w:t xml:space="preserve"> of the European Parliament and of the Council of 5 July 2006 on the implementation of the principle of equal opportunities and </w:t>
      </w:r>
      <w:r w:rsidRPr="00304054">
        <w:rPr>
          <w:rFonts w:eastAsia="Calibri" w:cs="Arial"/>
          <w:b/>
          <w:szCs w:val="28"/>
          <w:lang w:eastAsia="en-GB"/>
        </w:rPr>
        <w:t xml:space="preserve">equal treatment </w:t>
      </w:r>
      <w:r w:rsidRPr="00304054">
        <w:rPr>
          <w:rFonts w:eastAsia="Calibri" w:cs="Arial"/>
          <w:szCs w:val="28"/>
          <w:lang w:eastAsia="en-GB"/>
        </w:rPr>
        <w:t xml:space="preserve">of </w:t>
      </w:r>
      <w:r w:rsidRPr="00304054">
        <w:rPr>
          <w:rFonts w:eastAsia="Calibri" w:cs="Arial"/>
          <w:b/>
          <w:szCs w:val="28"/>
          <w:lang w:eastAsia="en-GB"/>
        </w:rPr>
        <w:t>men and women</w:t>
      </w:r>
      <w:r w:rsidRPr="00304054">
        <w:rPr>
          <w:rFonts w:eastAsia="Calibri" w:cs="Arial"/>
          <w:szCs w:val="28"/>
          <w:lang w:eastAsia="en-GB"/>
        </w:rPr>
        <w:t xml:space="preserve"> in matters of </w:t>
      </w:r>
      <w:r w:rsidRPr="00304054">
        <w:rPr>
          <w:rFonts w:eastAsia="Calibri" w:cs="Arial"/>
          <w:b/>
          <w:szCs w:val="28"/>
          <w:lang w:eastAsia="en-GB"/>
        </w:rPr>
        <w:t>employment and occupation</w:t>
      </w:r>
      <w:r w:rsidRPr="00304054">
        <w:rPr>
          <w:rFonts w:eastAsia="Calibri" w:cs="Arial"/>
          <w:szCs w:val="28"/>
          <w:lang w:eastAsia="en-GB"/>
        </w:rPr>
        <w:t xml:space="preserve">                                 </w:t>
      </w:r>
    </w:p>
    <w:p w14:paraId="110DD3F1" w14:textId="77777777" w:rsidR="00637EDD" w:rsidRPr="00304054" w:rsidRDefault="00637EDD" w:rsidP="00637EDD">
      <w:pPr>
        <w:spacing w:line="240" w:lineRule="auto"/>
        <w:ind w:left="720"/>
        <w:contextualSpacing/>
        <w:rPr>
          <w:rFonts w:eastAsia="Calibri" w:cs="Arial"/>
          <w:szCs w:val="28"/>
          <w:lang w:eastAsia="en-GB"/>
        </w:rPr>
      </w:pPr>
      <w:r w:rsidRPr="00304054">
        <w:rPr>
          <w:rFonts w:eastAsia="Calibri" w:cs="Arial"/>
          <w:szCs w:val="28"/>
          <w:lang w:eastAsia="en-GB"/>
        </w:rPr>
        <w:t>(Recast)</w:t>
      </w:r>
    </w:p>
    <w:p w14:paraId="5A88904D" w14:textId="77777777" w:rsidR="00637EDD" w:rsidRPr="00304054" w:rsidRDefault="00637EDD" w:rsidP="00637EDD">
      <w:pPr>
        <w:spacing w:line="240" w:lineRule="auto"/>
        <w:ind w:left="720"/>
        <w:contextualSpacing/>
        <w:rPr>
          <w:rFonts w:eastAsia="Calibri" w:cs="Arial"/>
          <w:szCs w:val="28"/>
          <w:lang w:eastAsia="en-GB"/>
        </w:rPr>
      </w:pPr>
    </w:p>
    <w:p w14:paraId="4414CC50" w14:textId="77777777" w:rsidR="00637EDD" w:rsidRPr="00EF4B93" w:rsidRDefault="00637EDD" w:rsidP="00637EDD">
      <w:pPr>
        <w:numPr>
          <w:ilvl w:val="0"/>
          <w:numId w:val="22"/>
        </w:numPr>
        <w:spacing w:line="240" w:lineRule="auto"/>
        <w:contextualSpacing/>
        <w:rPr>
          <w:rFonts w:eastAsia="Calibri" w:cs="Arial"/>
          <w:szCs w:val="28"/>
          <w:lang w:eastAsia="en-GB"/>
        </w:rPr>
      </w:pPr>
      <w:hyperlink r:id="rId17" w:history="1">
        <w:r w:rsidRPr="00304054">
          <w:rPr>
            <w:rFonts w:eastAsia="Calibri" w:cs="Arial"/>
            <w:color w:val="0563C1"/>
            <w:szCs w:val="28"/>
            <w:u w:val="single"/>
            <w:lang w:eastAsia="en-GB"/>
          </w:rPr>
          <w:t>Directive 2010/41/EU</w:t>
        </w:r>
      </w:hyperlink>
      <w:r w:rsidRPr="00304054">
        <w:rPr>
          <w:rFonts w:eastAsia="Calibri" w:cs="Arial"/>
          <w:szCs w:val="28"/>
          <w:lang w:eastAsia="en-GB"/>
        </w:rPr>
        <w:t xml:space="preserve"> of the European Parliament and of the Council of 7 July 2010 on the application of the principle of </w:t>
      </w:r>
      <w:r w:rsidRPr="00304054">
        <w:rPr>
          <w:rFonts w:eastAsia="Calibri" w:cs="Arial"/>
          <w:b/>
          <w:szCs w:val="28"/>
          <w:lang w:eastAsia="en-GB"/>
        </w:rPr>
        <w:t>equal treatment</w:t>
      </w:r>
      <w:r w:rsidRPr="00304054">
        <w:rPr>
          <w:rFonts w:eastAsia="Calibri" w:cs="Arial"/>
          <w:szCs w:val="28"/>
          <w:lang w:eastAsia="en-GB"/>
        </w:rPr>
        <w:t xml:space="preserve"> between </w:t>
      </w:r>
      <w:r w:rsidRPr="00304054">
        <w:rPr>
          <w:rFonts w:eastAsia="Calibri" w:cs="Arial"/>
          <w:b/>
          <w:szCs w:val="28"/>
          <w:lang w:eastAsia="en-GB"/>
        </w:rPr>
        <w:t>men and women</w:t>
      </w:r>
      <w:r w:rsidRPr="00304054">
        <w:rPr>
          <w:rFonts w:eastAsia="Calibri" w:cs="Arial"/>
          <w:szCs w:val="28"/>
          <w:lang w:eastAsia="en-GB"/>
        </w:rPr>
        <w:t xml:space="preserve"> engaged in an activity in a </w:t>
      </w:r>
      <w:r w:rsidRPr="00304054">
        <w:rPr>
          <w:rFonts w:eastAsia="Calibri" w:cs="Arial"/>
          <w:b/>
          <w:szCs w:val="28"/>
          <w:lang w:eastAsia="en-GB"/>
        </w:rPr>
        <w:t>self-employed</w:t>
      </w:r>
      <w:r w:rsidRPr="00304054">
        <w:rPr>
          <w:rFonts w:eastAsia="Calibri" w:cs="Arial"/>
          <w:szCs w:val="28"/>
          <w:lang w:eastAsia="en-GB"/>
        </w:rPr>
        <w:t xml:space="preserve"> capacity and repealing Council Directive 86/613/EEC</w:t>
      </w:r>
    </w:p>
    <w:p w14:paraId="0A067A7D" w14:textId="77777777" w:rsidR="00262189" w:rsidRDefault="00262189">
      <w:pPr>
        <w:rPr>
          <w:rFonts w:eastAsia="Times New Roman" w:cs="Arial"/>
          <w:b/>
          <w:sz w:val="32"/>
          <w:szCs w:val="32"/>
          <w:u w:val="single"/>
          <w:lang w:eastAsia="en-GB"/>
        </w:rPr>
      </w:pPr>
      <w:r>
        <w:rPr>
          <w:rFonts w:eastAsia="Times New Roman" w:cs="Arial"/>
          <w:b/>
          <w:sz w:val="32"/>
          <w:szCs w:val="32"/>
          <w:u w:val="single"/>
          <w:lang w:eastAsia="en-GB"/>
        </w:rPr>
        <w:br w:type="page"/>
      </w:r>
    </w:p>
    <w:p w14:paraId="6CEEF9F1" w14:textId="4F2CF02B" w:rsidR="00637EDD" w:rsidRPr="00D84F99" w:rsidRDefault="00637EDD" w:rsidP="00046F17">
      <w:pPr>
        <w:tabs>
          <w:tab w:val="center" w:pos="4513"/>
          <w:tab w:val="right" w:pos="9026"/>
        </w:tabs>
        <w:spacing w:line="240" w:lineRule="auto"/>
        <w:rPr>
          <w:rFonts w:eastAsia="Times New Roman" w:cs="Arial"/>
          <w:b/>
          <w:sz w:val="32"/>
          <w:szCs w:val="32"/>
          <w:u w:val="single"/>
          <w:lang w:eastAsia="en-GB"/>
        </w:rPr>
      </w:pPr>
      <w:r w:rsidRPr="00D84F99">
        <w:rPr>
          <w:rFonts w:eastAsia="Times New Roman" w:cs="Arial"/>
          <w:b/>
          <w:sz w:val="32"/>
          <w:szCs w:val="32"/>
          <w:u w:val="single"/>
          <w:lang w:eastAsia="en-GB"/>
        </w:rPr>
        <w:t>Table of Rights, Safeguards and Equality of Opportunity Provisions in the Belfast (Good Friday) Agreement and underpinning EU Law</w:t>
      </w:r>
    </w:p>
    <w:p w14:paraId="26F78D6F" w14:textId="77777777" w:rsidR="00637EDD" w:rsidRDefault="00637EDD" w:rsidP="00637EDD">
      <w:pPr>
        <w:spacing w:line="240" w:lineRule="auto"/>
        <w:rPr>
          <w:rFonts w:eastAsia="Times New Roman" w:cs="Arial"/>
          <w:szCs w:val="28"/>
          <w:lang w:eastAsia="en-GB"/>
        </w:rPr>
      </w:pPr>
    </w:p>
    <w:tbl>
      <w:tblPr>
        <w:tblStyle w:val="TableGrid"/>
        <w:tblW w:w="0" w:type="auto"/>
        <w:tblLook w:val="04A0" w:firstRow="1" w:lastRow="0" w:firstColumn="1" w:lastColumn="0" w:noHBand="0" w:noVBand="1"/>
      </w:tblPr>
      <w:tblGrid>
        <w:gridCol w:w="9016"/>
      </w:tblGrid>
      <w:tr w:rsidR="00637EDD" w14:paraId="6306E52C" w14:textId="77777777" w:rsidTr="005E641F">
        <w:tc>
          <w:tcPr>
            <w:tcW w:w="9016" w:type="dxa"/>
            <w:shd w:val="clear" w:color="auto" w:fill="AEAAAA" w:themeFill="background2" w:themeFillShade="BF"/>
          </w:tcPr>
          <w:p w14:paraId="01F9B0F9" w14:textId="77777777" w:rsidR="00637EDD" w:rsidRPr="001D1C2D" w:rsidRDefault="00637EDD" w:rsidP="005E641F">
            <w:pPr>
              <w:rPr>
                <w:rFonts w:eastAsia="Times New Roman" w:cs="Arial"/>
                <w:b/>
                <w:bCs/>
                <w:sz w:val="32"/>
                <w:szCs w:val="32"/>
                <w:lang w:eastAsia="en-GB"/>
              </w:rPr>
            </w:pPr>
            <w:r w:rsidRPr="001D1C2D">
              <w:rPr>
                <w:rFonts w:eastAsia="Times New Roman" w:cs="Arial"/>
                <w:b/>
                <w:bCs/>
                <w:sz w:val="32"/>
                <w:szCs w:val="32"/>
                <w:lang w:eastAsia="en-GB"/>
              </w:rPr>
              <w:t>Right of free political thought</w:t>
            </w:r>
          </w:p>
        </w:tc>
      </w:tr>
      <w:tr w:rsidR="00637EDD" w14:paraId="06832113" w14:textId="77777777" w:rsidTr="005E641F">
        <w:tc>
          <w:tcPr>
            <w:tcW w:w="9016" w:type="dxa"/>
          </w:tcPr>
          <w:p w14:paraId="1A92A2FA" w14:textId="77777777" w:rsidR="00637EDD" w:rsidRDefault="00637EDD" w:rsidP="005E641F">
            <w:pPr>
              <w:rPr>
                <w:rFonts w:eastAsia="Times New Roman" w:cs="Arial"/>
                <w:szCs w:val="28"/>
                <w:lang w:eastAsia="en-GB"/>
              </w:rPr>
            </w:pPr>
            <w:r w:rsidRPr="001F0A67">
              <w:rPr>
                <w:rFonts w:eastAsia="Times New Roman" w:cs="Arial"/>
                <w:b/>
                <w:bCs/>
                <w:sz w:val="32"/>
                <w:szCs w:val="32"/>
                <w:lang w:eastAsia="en-GB"/>
              </w:rPr>
              <w:t>Treaty Articles</w:t>
            </w:r>
            <w:r w:rsidRPr="001F0A67">
              <w:rPr>
                <w:rFonts w:ascii="Arial" w:eastAsia="Times New Roman" w:hAnsi="Arial" w:cs="Arial"/>
                <w:szCs w:val="28"/>
                <w:lang w:eastAsia="en-GB"/>
              </w:rPr>
              <w:t xml:space="preserve"> </w:t>
            </w:r>
          </w:p>
        </w:tc>
      </w:tr>
      <w:tr w:rsidR="00637EDD" w14:paraId="68CB524F" w14:textId="77777777" w:rsidTr="005E641F">
        <w:tc>
          <w:tcPr>
            <w:tcW w:w="9016" w:type="dxa"/>
          </w:tcPr>
          <w:p w14:paraId="6F98779E" w14:textId="77777777" w:rsidR="00637EDD" w:rsidRDefault="00637EDD" w:rsidP="005E641F">
            <w:pPr>
              <w:rPr>
                <w:rFonts w:eastAsia="Times New Roman" w:cs="Arial"/>
                <w:b/>
                <w:bCs/>
                <w:sz w:val="32"/>
                <w:szCs w:val="32"/>
                <w:lang w:eastAsia="en-GB"/>
              </w:rPr>
            </w:pPr>
            <w:r w:rsidRPr="00373131">
              <w:rPr>
                <w:rFonts w:eastAsia="Times New Roman" w:cs="Arial"/>
                <w:b/>
                <w:bCs/>
                <w:sz w:val="32"/>
                <w:szCs w:val="32"/>
                <w:lang w:eastAsia="en-GB"/>
              </w:rPr>
              <w:t xml:space="preserve">Regulations </w:t>
            </w:r>
          </w:p>
          <w:p w14:paraId="0535C57A" w14:textId="77777777" w:rsidR="00637EDD" w:rsidRDefault="00637EDD" w:rsidP="005E641F">
            <w:pPr>
              <w:rPr>
                <w:rFonts w:eastAsia="Times New Roman" w:cs="Arial"/>
                <w:b/>
                <w:szCs w:val="28"/>
                <w:lang w:eastAsia="en-GB"/>
              </w:rPr>
            </w:pPr>
            <w:hyperlink r:id="rId18" w:history="1">
              <w:r w:rsidRPr="005226CE">
                <w:rPr>
                  <w:rStyle w:val="Hyperlink"/>
                  <w:rFonts w:eastAsia="Times New Roman" w:cs="Arial"/>
                  <w:szCs w:val="28"/>
                  <w:lang w:eastAsia="en-GB"/>
                </w:rPr>
                <w:t>Regulation (EU) 2015/2120</w:t>
              </w:r>
            </w:hyperlink>
            <w:r w:rsidRPr="00373131">
              <w:rPr>
                <w:rFonts w:eastAsia="Times New Roman" w:cs="Arial"/>
                <w:szCs w:val="28"/>
                <w:lang w:eastAsia="en-GB"/>
              </w:rPr>
              <w:t xml:space="preserve"> of the Parliament and of the Council of 25 November 2015 laying down </w:t>
            </w:r>
            <w:r w:rsidRPr="00234D28">
              <w:rPr>
                <w:rFonts w:eastAsia="Times New Roman" w:cs="Arial"/>
                <w:b/>
                <w:szCs w:val="28"/>
                <w:lang w:eastAsia="en-GB"/>
              </w:rPr>
              <w:t>measures concerning open internet access</w:t>
            </w:r>
            <w:r w:rsidRPr="00373131">
              <w:rPr>
                <w:rFonts w:eastAsia="Times New Roman" w:cs="Arial"/>
                <w:szCs w:val="28"/>
                <w:lang w:eastAsia="en-GB"/>
              </w:rPr>
              <w:t xml:space="preserve"> and amending Directive 2002/22/EC on </w:t>
            </w:r>
            <w:r w:rsidRPr="00234D28">
              <w:rPr>
                <w:rFonts w:eastAsia="Times New Roman" w:cs="Arial"/>
                <w:b/>
                <w:szCs w:val="28"/>
                <w:lang w:eastAsia="en-GB"/>
              </w:rPr>
              <w:t>universal service and users’ rights relating to electronic communications networks and services</w:t>
            </w:r>
            <w:r w:rsidRPr="00373131">
              <w:rPr>
                <w:rFonts w:eastAsia="Times New Roman" w:cs="Arial"/>
                <w:szCs w:val="28"/>
                <w:lang w:eastAsia="en-GB"/>
              </w:rPr>
              <w:t xml:space="preserve"> and Regulation (EU) No 531/2012 on </w:t>
            </w:r>
            <w:r w:rsidRPr="00234D28">
              <w:rPr>
                <w:rFonts w:eastAsia="Times New Roman" w:cs="Arial"/>
                <w:b/>
                <w:szCs w:val="28"/>
                <w:lang w:eastAsia="en-GB"/>
              </w:rPr>
              <w:t>roaming on public mobile communications networks within the Union</w:t>
            </w:r>
          </w:p>
          <w:p w14:paraId="5F33FF05" w14:textId="63030077" w:rsidR="00992825" w:rsidRPr="00373131" w:rsidRDefault="00992825" w:rsidP="005E641F">
            <w:pPr>
              <w:rPr>
                <w:rFonts w:eastAsia="Times New Roman" w:cs="Arial"/>
                <w:szCs w:val="28"/>
                <w:lang w:eastAsia="en-GB"/>
              </w:rPr>
            </w:pPr>
          </w:p>
        </w:tc>
      </w:tr>
      <w:tr w:rsidR="00637EDD" w14:paraId="405115A7" w14:textId="77777777" w:rsidTr="005E641F">
        <w:tc>
          <w:tcPr>
            <w:tcW w:w="9016" w:type="dxa"/>
          </w:tcPr>
          <w:p w14:paraId="5B218554" w14:textId="77777777" w:rsidR="00637EDD" w:rsidRDefault="00637EDD" w:rsidP="005E641F">
            <w:pPr>
              <w:rPr>
                <w:rFonts w:eastAsia="Times New Roman" w:cs="Arial"/>
                <w:b/>
                <w:bCs/>
                <w:sz w:val="32"/>
                <w:szCs w:val="32"/>
                <w:lang w:eastAsia="en-GB"/>
              </w:rPr>
            </w:pPr>
            <w:r>
              <w:rPr>
                <w:rFonts w:eastAsia="Times New Roman" w:cs="Arial"/>
                <w:b/>
                <w:bCs/>
                <w:sz w:val="32"/>
                <w:szCs w:val="32"/>
                <w:lang w:eastAsia="en-GB"/>
              </w:rPr>
              <w:t>Directives</w:t>
            </w:r>
          </w:p>
          <w:p w14:paraId="3004BF2F" w14:textId="77777777" w:rsidR="00637EDD" w:rsidRPr="008774E5" w:rsidRDefault="00637EDD" w:rsidP="005E641F">
            <w:pPr>
              <w:rPr>
                <w:rFonts w:eastAsia="Times New Roman" w:cs="Arial"/>
                <w:b/>
                <w:bCs/>
                <w:sz w:val="32"/>
                <w:szCs w:val="32"/>
                <w:lang w:eastAsia="en-GB"/>
              </w:rPr>
            </w:pPr>
          </w:p>
          <w:p w14:paraId="4127357B" w14:textId="77777777" w:rsidR="00637EDD" w:rsidRDefault="00637EDD" w:rsidP="005E641F">
            <w:pPr>
              <w:rPr>
                <w:rFonts w:eastAsia="Times New Roman" w:cs="Arial"/>
                <w:b/>
                <w:bCs/>
                <w:sz w:val="32"/>
                <w:szCs w:val="32"/>
                <w:lang w:eastAsia="en-GB"/>
              </w:rPr>
            </w:pPr>
            <w:r w:rsidRPr="008774E5">
              <w:rPr>
                <w:rFonts w:eastAsia="Times New Roman" w:cs="Arial"/>
                <w:b/>
                <w:bCs/>
                <w:sz w:val="32"/>
                <w:szCs w:val="32"/>
                <w:lang w:eastAsia="en-GB"/>
              </w:rPr>
              <w:t>Annex 1 Directives</w:t>
            </w:r>
          </w:p>
          <w:p w14:paraId="3FB0047F" w14:textId="77777777" w:rsidR="00637EDD" w:rsidRPr="008B7EBC" w:rsidRDefault="00637EDD" w:rsidP="005E641F">
            <w:pPr>
              <w:spacing w:after="160"/>
              <w:rPr>
                <w:rFonts w:eastAsia="Calibri" w:cs="Arial"/>
                <w:b/>
                <w:bCs/>
                <w:szCs w:val="28"/>
              </w:rPr>
            </w:pPr>
            <w:hyperlink r:id="rId19" w:history="1">
              <w:r w:rsidRPr="008B7EBC">
                <w:rPr>
                  <w:rFonts w:eastAsia="Calibri" w:cs="Arial"/>
                  <w:color w:val="0563C1"/>
                  <w:szCs w:val="28"/>
                  <w:u w:val="single"/>
                </w:rPr>
                <w:t>Council Directive 2000/78/EC</w:t>
              </w:r>
            </w:hyperlink>
            <w:r w:rsidRPr="008B7EBC">
              <w:rPr>
                <w:rFonts w:eastAsia="Calibri" w:cs="Arial"/>
                <w:szCs w:val="28"/>
              </w:rPr>
              <w:t xml:space="preserve"> </w:t>
            </w:r>
          </w:p>
          <w:p w14:paraId="5EA9614A" w14:textId="77777777" w:rsidR="00637EDD" w:rsidRDefault="00637EDD" w:rsidP="005E641F">
            <w:pPr>
              <w:rPr>
                <w:rFonts w:eastAsia="Times New Roman" w:cs="Arial"/>
                <w:b/>
                <w:bCs/>
                <w:sz w:val="32"/>
                <w:szCs w:val="32"/>
                <w:lang w:eastAsia="en-GB"/>
              </w:rPr>
            </w:pPr>
          </w:p>
          <w:p w14:paraId="230635F7" w14:textId="77777777" w:rsidR="00637EDD" w:rsidRPr="00373131" w:rsidRDefault="00637EDD" w:rsidP="005E641F">
            <w:pPr>
              <w:rPr>
                <w:rFonts w:eastAsia="Times New Roman" w:cs="Arial"/>
                <w:b/>
                <w:bCs/>
                <w:sz w:val="32"/>
                <w:szCs w:val="32"/>
                <w:lang w:eastAsia="en-GB"/>
              </w:rPr>
            </w:pPr>
            <w:r>
              <w:rPr>
                <w:rFonts w:eastAsia="Times New Roman" w:cs="Arial"/>
                <w:b/>
                <w:bCs/>
                <w:sz w:val="32"/>
                <w:szCs w:val="32"/>
                <w:lang w:eastAsia="en-GB"/>
              </w:rPr>
              <w:t>Non-Annex 1 Directives</w:t>
            </w:r>
            <w:r w:rsidRPr="008774E5">
              <w:rPr>
                <w:rFonts w:eastAsia="Times New Roman" w:cs="Arial"/>
                <w:b/>
                <w:bCs/>
                <w:sz w:val="32"/>
                <w:szCs w:val="32"/>
                <w:lang w:eastAsia="en-GB"/>
              </w:rPr>
              <w:t xml:space="preserve"> </w:t>
            </w:r>
            <w:r>
              <w:rPr>
                <w:rFonts w:eastAsia="Times New Roman" w:cs="Arial"/>
                <w:b/>
                <w:bCs/>
                <w:sz w:val="32"/>
                <w:szCs w:val="32"/>
                <w:lang w:eastAsia="en-GB"/>
              </w:rPr>
              <w:t>(None)</w:t>
            </w:r>
          </w:p>
        </w:tc>
      </w:tr>
      <w:tr w:rsidR="00637EDD" w14:paraId="1E3E2E81" w14:textId="77777777" w:rsidTr="005E641F">
        <w:tc>
          <w:tcPr>
            <w:tcW w:w="9016" w:type="dxa"/>
          </w:tcPr>
          <w:p w14:paraId="01B8881B" w14:textId="77777777" w:rsidR="00637EDD" w:rsidRPr="0012559D" w:rsidRDefault="00637EDD" w:rsidP="005E641F">
            <w:pPr>
              <w:rPr>
                <w:rFonts w:eastAsia="Times New Roman" w:cs="Arial"/>
                <w:b/>
                <w:bCs/>
                <w:sz w:val="32"/>
                <w:szCs w:val="32"/>
                <w:lang w:eastAsia="en-GB"/>
              </w:rPr>
            </w:pPr>
            <w:r w:rsidRPr="0012559D">
              <w:rPr>
                <w:rFonts w:eastAsia="Times New Roman" w:cs="Arial"/>
                <w:b/>
                <w:bCs/>
                <w:sz w:val="32"/>
                <w:szCs w:val="32"/>
                <w:lang w:eastAsia="en-GB"/>
              </w:rPr>
              <w:t xml:space="preserve">Charter of Fundamental Rights of the European Union </w:t>
            </w:r>
          </w:p>
          <w:p w14:paraId="1F4A1E85" w14:textId="77777777" w:rsidR="00637EDD" w:rsidRPr="0012559D" w:rsidRDefault="00637EDD" w:rsidP="005E641F">
            <w:pPr>
              <w:rPr>
                <w:rFonts w:eastAsia="Times New Roman" w:cs="Arial"/>
                <w:b/>
                <w:bCs/>
                <w:sz w:val="32"/>
                <w:szCs w:val="32"/>
                <w:lang w:eastAsia="en-GB"/>
              </w:rPr>
            </w:pPr>
          </w:p>
          <w:p w14:paraId="79819C52" w14:textId="77777777" w:rsidR="00637EDD" w:rsidRPr="0012559D" w:rsidRDefault="00637EDD" w:rsidP="005E641F">
            <w:pPr>
              <w:rPr>
                <w:rFonts w:eastAsia="Times New Roman" w:cs="Arial"/>
                <w:szCs w:val="28"/>
                <w:lang w:eastAsia="en-GB"/>
              </w:rPr>
            </w:pPr>
            <w:r w:rsidRPr="0012559D">
              <w:rPr>
                <w:rFonts w:eastAsia="Times New Roman" w:cs="Arial"/>
                <w:szCs w:val="28"/>
                <w:lang w:eastAsia="en-GB"/>
              </w:rPr>
              <w:t xml:space="preserve">Article 10 - Freedom of thought, conscience and religion </w:t>
            </w:r>
          </w:p>
          <w:p w14:paraId="1DCF4D6D" w14:textId="77777777" w:rsidR="00637EDD" w:rsidRDefault="00637EDD" w:rsidP="005E641F">
            <w:pPr>
              <w:rPr>
                <w:rFonts w:eastAsia="Times New Roman" w:cs="Arial"/>
                <w:szCs w:val="28"/>
                <w:lang w:eastAsia="en-GB"/>
              </w:rPr>
            </w:pPr>
            <w:r w:rsidRPr="0012559D">
              <w:rPr>
                <w:rFonts w:eastAsia="Times New Roman" w:cs="Arial"/>
                <w:szCs w:val="28"/>
                <w:lang w:eastAsia="en-GB"/>
              </w:rPr>
              <w:t>Article 11 - Freedom of expression and information</w:t>
            </w:r>
          </w:p>
          <w:p w14:paraId="300DD8AD" w14:textId="30DCB317" w:rsidR="00BC510F" w:rsidRDefault="00BC510F" w:rsidP="005E641F">
            <w:pPr>
              <w:rPr>
                <w:rFonts w:eastAsia="Times New Roman" w:cs="Arial"/>
                <w:b/>
                <w:bCs/>
                <w:sz w:val="32"/>
                <w:szCs w:val="32"/>
                <w:lang w:eastAsia="en-GB"/>
              </w:rPr>
            </w:pPr>
          </w:p>
        </w:tc>
      </w:tr>
      <w:tr w:rsidR="00637EDD" w14:paraId="32E25CAE" w14:textId="77777777" w:rsidTr="005E641F">
        <w:tc>
          <w:tcPr>
            <w:tcW w:w="9016" w:type="dxa"/>
            <w:shd w:val="clear" w:color="auto" w:fill="AEAAAA" w:themeFill="background2" w:themeFillShade="BF"/>
          </w:tcPr>
          <w:p w14:paraId="528AD38B" w14:textId="77777777" w:rsidR="00637EDD" w:rsidRPr="0012559D" w:rsidRDefault="00637EDD" w:rsidP="005E641F">
            <w:pPr>
              <w:rPr>
                <w:rFonts w:eastAsia="Times New Roman" w:cs="Arial"/>
                <w:b/>
                <w:bCs/>
                <w:sz w:val="32"/>
                <w:szCs w:val="32"/>
                <w:lang w:eastAsia="en-GB"/>
              </w:rPr>
            </w:pPr>
            <w:r w:rsidRPr="007A21EA">
              <w:rPr>
                <w:rFonts w:eastAsia="Times New Roman" w:cs="Arial"/>
                <w:b/>
                <w:bCs/>
                <w:sz w:val="32"/>
                <w:szCs w:val="32"/>
                <w:lang w:eastAsia="en-GB"/>
              </w:rPr>
              <w:t>Right to freedom and expression of religion</w:t>
            </w:r>
          </w:p>
        </w:tc>
      </w:tr>
      <w:tr w:rsidR="00637EDD" w14:paraId="72A894AE" w14:textId="77777777" w:rsidTr="005E641F">
        <w:tc>
          <w:tcPr>
            <w:tcW w:w="9016" w:type="dxa"/>
            <w:shd w:val="clear" w:color="auto" w:fill="auto"/>
          </w:tcPr>
          <w:p w14:paraId="310A493E" w14:textId="77777777" w:rsidR="00637EDD" w:rsidRPr="007A21EA" w:rsidRDefault="00637EDD" w:rsidP="005E641F">
            <w:pPr>
              <w:rPr>
                <w:rFonts w:eastAsia="Times New Roman" w:cs="Arial"/>
                <w:b/>
                <w:bCs/>
                <w:sz w:val="32"/>
                <w:szCs w:val="32"/>
                <w:lang w:eastAsia="en-GB"/>
              </w:rPr>
            </w:pPr>
            <w:r w:rsidRPr="00884A6B">
              <w:rPr>
                <w:rFonts w:eastAsia="Times New Roman" w:cs="Arial"/>
                <w:b/>
                <w:bCs/>
                <w:sz w:val="32"/>
                <w:szCs w:val="32"/>
                <w:lang w:eastAsia="en-GB"/>
              </w:rPr>
              <w:t>Treaty Articles</w:t>
            </w:r>
          </w:p>
        </w:tc>
      </w:tr>
      <w:tr w:rsidR="00637EDD" w14:paraId="2AC40639" w14:textId="77777777" w:rsidTr="005E641F">
        <w:tc>
          <w:tcPr>
            <w:tcW w:w="9016" w:type="dxa"/>
            <w:shd w:val="clear" w:color="auto" w:fill="auto"/>
          </w:tcPr>
          <w:p w14:paraId="485CCA27" w14:textId="77777777" w:rsidR="00637EDD" w:rsidRPr="0023066A" w:rsidRDefault="00637EDD" w:rsidP="005E641F">
            <w:pPr>
              <w:rPr>
                <w:rFonts w:eastAsia="Times New Roman" w:cs="Calibri"/>
                <w:b/>
                <w:bCs/>
                <w:sz w:val="32"/>
                <w:szCs w:val="32"/>
                <w:lang w:eastAsia="en-GB"/>
              </w:rPr>
            </w:pPr>
            <w:r w:rsidRPr="0023066A">
              <w:rPr>
                <w:rFonts w:cs="Calibri"/>
                <w:b/>
                <w:bCs/>
                <w:sz w:val="32"/>
                <w:szCs w:val="32"/>
              </w:rPr>
              <w:t>Regulations</w:t>
            </w:r>
          </w:p>
        </w:tc>
      </w:tr>
      <w:tr w:rsidR="00637EDD" w14:paraId="0558522E" w14:textId="77777777" w:rsidTr="005E641F">
        <w:tc>
          <w:tcPr>
            <w:tcW w:w="9016" w:type="dxa"/>
            <w:shd w:val="clear" w:color="auto" w:fill="auto"/>
          </w:tcPr>
          <w:p w14:paraId="3D2F7A32" w14:textId="77777777" w:rsidR="00637EDD" w:rsidRDefault="00637EDD" w:rsidP="005E641F">
            <w:pPr>
              <w:rPr>
                <w:rFonts w:cs="Calibri"/>
                <w:b/>
                <w:bCs/>
                <w:sz w:val="32"/>
                <w:szCs w:val="32"/>
              </w:rPr>
            </w:pPr>
            <w:r w:rsidRPr="007A39F1">
              <w:rPr>
                <w:rFonts w:cs="Calibri"/>
                <w:b/>
                <w:bCs/>
                <w:sz w:val="32"/>
                <w:szCs w:val="32"/>
              </w:rPr>
              <w:t xml:space="preserve">Directives </w:t>
            </w:r>
          </w:p>
          <w:p w14:paraId="616FA08F" w14:textId="77777777" w:rsidR="00637EDD" w:rsidRPr="007A39F1" w:rsidRDefault="00637EDD" w:rsidP="005E641F">
            <w:pPr>
              <w:rPr>
                <w:rFonts w:cs="Calibri"/>
                <w:b/>
                <w:bCs/>
                <w:sz w:val="32"/>
                <w:szCs w:val="32"/>
              </w:rPr>
            </w:pPr>
          </w:p>
          <w:p w14:paraId="126F8A55" w14:textId="77777777" w:rsidR="00637EDD" w:rsidRDefault="00637EDD" w:rsidP="005E641F">
            <w:pPr>
              <w:rPr>
                <w:rFonts w:cs="Calibri"/>
                <w:b/>
                <w:bCs/>
                <w:sz w:val="32"/>
                <w:szCs w:val="32"/>
              </w:rPr>
            </w:pPr>
            <w:r w:rsidRPr="007A39F1">
              <w:rPr>
                <w:rFonts w:cs="Calibri"/>
                <w:b/>
                <w:bCs/>
                <w:sz w:val="32"/>
                <w:szCs w:val="32"/>
              </w:rPr>
              <w:t>Annex 1 Directives</w:t>
            </w:r>
          </w:p>
          <w:p w14:paraId="056FDC13" w14:textId="77777777" w:rsidR="00637EDD" w:rsidRPr="002348A3" w:rsidRDefault="00637EDD" w:rsidP="005E641F">
            <w:pPr>
              <w:rPr>
                <w:rFonts w:cs="Calibri"/>
                <w:szCs w:val="28"/>
              </w:rPr>
            </w:pPr>
            <w:hyperlink r:id="rId20" w:history="1">
              <w:r w:rsidRPr="00BA689D">
                <w:rPr>
                  <w:rStyle w:val="Hyperlink"/>
                  <w:rFonts w:cs="Calibri"/>
                  <w:szCs w:val="28"/>
                </w:rPr>
                <w:t>Council Directive 2000/78/EC</w:t>
              </w:r>
            </w:hyperlink>
          </w:p>
          <w:p w14:paraId="2F5A8006" w14:textId="77777777" w:rsidR="00637EDD" w:rsidRDefault="00637EDD" w:rsidP="005E641F">
            <w:pPr>
              <w:rPr>
                <w:rFonts w:cs="Calibri"/>
                <w:b/>
                <w:bCs/>
                <w:sz w:val="32"/>
                <w:szCs w:val="32"/>
              </w:rPr>
            </w:pPr>
          </w:p>
          <w:p w14:paraId="3DEE25B8" w14:textId="77777777" w:rsidR="00637EDD" w:rsidRDefault="00637EDD" w:rsidP="005E641F">
            <w:pPr>
              <w:rPr>
                <w:rFonts w:cs="Calibri"/>
                <w:b/>
                <w:bCs/>
                <w:sz w:val="32"/>
                <w:szCs w:val="32"/>
              </w:rPr>
            </w:pPr>
            <w:r w:rsidRPr="007A39F1">
              <w:rPr>
                <w:rFonts w:cs="Calibri"/>
                <w:b/>
                <w:bCs/>
                <w:sz w:val="32"/>
                <w:szCs w:val="32"/>
              </w:rPr>
              <w:t>Non-Annex 1 Directives</w:t>
            </w:r>
            <w:r>
              <w:rPr>
                <w:rFonts w:cs="Calibri"/>
                <w:b/>
                <w:bCs/>
                <w:sz w:val="32"/>
                <w:szCs w:val="32"/>
              </w:rPr>
              <w:t xml:space="preserve"> (None)</w:t>
            </w:r>
          </w:p>
          <w:p w14:paraId="7429DEE1" w14:textId="77777777" w:rsidR="00637EDD" w:rsidRPr="0023066A" w:rsidRDefault="00637EDD" w:rsidP="005E641F">
            <w:pPr>
              <w:rPr>
                <w:rFonts w:cs="Calibri"/>
                <w:b/>
                <w:bCs/>
                <w:sz w:val="32"/>
                <w:szCs w:val="32"/>
              </w:rPr>
            </w:pPr>
          </w:p>
        </w:tc>
      </w:tr>
    </w:tbl>
    <w:p w14:paraId="018B5C62" w14:textId="77777777" w:rsidR="00BC510F" w:rsidRDefault="00BC510F">
      <w:r>
        <w:br w:type="page"/>
      </w:r>
    </w:p>
    <w:tbl>
      <w:tblPr>
        <w:tblStyle w:val="TableGrid"/>
        <w:tblW w:w="0" w:type="auto"/>
        <w:tblLook w:val="04A0" w:firstRow="1" w:lastRow="0" w:firstColumn="1" w:lastColumn="0" w:noHBand="0" w:noVBand="1"/>
      </w:tblPr>
      <w:tblGrid>
        <w:gridCol w:w="9016"/>
      </w:tblGrid>
      <w:tr w:rsidR="00637EDD" w14:paraId="4B807A4E" w14:textId="77777777" w:rsidTr="005E641F">
        <w:tc>
          <w:tcPr>
            <w:tcW w:w="9016" w:type="dxa"/>
            <w:shd w:val="clear" w:color="auto" w:fill="auto"/>
          </w:tcPr>
          <w:p w14:paraId="28556CAE" w14:textId="22137DE2" w:rsidR="00637EDD" w:rsidRDefault="00637EDD" w:rsidP="005E641F">
            <w:pPr>
              <w:rPr>
                <w:rFonts w:cs="Calibri"/>
                <w:b/>
                <w:bCs/>
                <w:sz w:val="32"/>
                <w:szCs w:val="32"/>
              </w:rPr>
            </w:pPr>
            <w:r w:rsidRPr="00627527">
              <w:rPr>
                <w:rFonts w:cs="Calibri"/>
                <w:b/>
                <w:bCs/>
                <w:sz w:val="32"/>
                <w:szCs w:val="32"/>
              </w:rPr>
              <w:t>Charter of Fundamental Rights of the European Union</w:t>
            </w:r>
          </w:p>
          <w:p w14:paraId="60D11639" w14:textId="77777777" w:rsidR="00BC510F" w:rsidRDefault="00BC510F" w:rsidP="005E641F">
            <w:pPr>
              <w:rPr>
                <w:rFonts w:cs="Calibri"/>
                <w:b/>
                <w:bCs/>
                <w:sz w:val="32"/>
                <w:szCs w:val="32"/>
              </w:rPr>
            </w:pPr>
          </w:p>
          <w:p w14:paraId="70370B00" w14:textId="77777777" w:rsidR="00637EDD" w:rsidRPr="00627527" w:rsidRDefault="00637EDD" w:rsidP="005E641F">
            <w:pPr>
              <w:rPr>
                <w:rFonts w:cs="Calibri"/>
                <w:szCs w:val="28"/>
              </w:rPr>
            </w:pPr>
            <w:r w:rsidRPr="00627527">
              <w:rPr>
                <w:rFonts w:cs="Calibri"/>
                <w:szCs w:val="28"/>
              </w:rPr>
              <w:t xml:space="preserve">Article 10 - Freedom of thought, conscience and religion </w:t>
            </w:r>
          </w:p>
          <w:p w14:paraId="4FD98300" w14:textId="77777777" w:rsidR="00637EDD" w:rsidRPr="00627527" w:rsidRDefault="00637EDD" w:rsidP="005E641F">
            <w:pPr>
              <w:rPr>
                <w:rFonts w:cs="Calibri"/>
                <w:szCs w:val="28"/>
              </w:rPr>
            </w:pPr>
            <w:r w:rsidRPr="00627527">
              <w:rPr>
                <w:rFonts w:cs="Calibri"/>
                <w:szCs w:val="28"/>
              </w:rPr>
              <w:t xml:space="preserve">Article 11 - Freedom of expression and information </w:t>
            </w:r>
          </w:p>
          <w:p w14:paraId="5B561C3C" w14:textId="77777777" w:rsidR="00637EDD" w:rsidRPr="00627527" w:rsidRDefault="00637EDD" w:rsidP="005E641F">
            <w:pPr>
              <w:rPr>
                <w:rFonts w:cs="Calibri"/>
                <w:szCs w:val="28"/>
              </w:rPr>
            </w:pPr>
            <w:r w:rsidRPr="00627527">
              <w:rPr>
                <w:rFonts w:cs="Calibri"/>
                <w:szCs w:val="28"/>
              </w:rPr>
              <w:t xml:space="preserve">Article 20 - Equality before the law </w:t>
            </w:r>
          </w:p>
          <w:p w14:paraId="5D7173F2" w14:textId="77777777" w:rsidR="00637EDD" w:rsidRPr="00627527" w:rsidRDefault="00637EDD" w:rsidP="005E641F">
            <w:pPr>
              <w:rPr>
                <w:rFonts w:cs="Calibri"/>
                <w:szCs w:val="28"/>
              </w:rPr>
            </w:pPr>
            <w:r w:rsidRPr="00627527">
              <w:rPr>
                <w:rFonts w:cs="Calibri"/>
                <w:szCs w:val="28"/>
              </w:rPr>
              <w:t xml:space="preserve">Article 21 - Non-discrimination </w:t>
            </w:r>
          </w:p>
          <w:p w14:paraId="5CFA17BF" w14:textId="77777777" w:rsidR="00637EDD" w:rsidRDefault="00637EDD" w:rsidP="005E641F">
            <w:pPr>
              <w:rPr>
                <w:rFonts w:cs="Calibri"/>
                <w:szCs w:val="28"/>
              </w:rPr>
            </w:pPr>
            <w:r w:rsidRPr="00627527">
              <w:rPr>
                <w:rFonts w:cs="Calibri"/>
                <w:szCs w:val="28"/>
              </w:rPr>
              <w:t>Article 22 - Cultural, religious and linguistic diversity</w:t>
            </w:r>
          </w:p>
          <w:p w14:paraId="357458D4" w14:textId="5451B0D7" w:rsidR="009215CD" w:rsidRPr="007A39F1" w:rsidRDefault="009215CD" w:rsidP="005E641F">
            <w:pPr>
              <w:rPr>
                <w:rFonts w:cs="Calibri"/>
                <w:b/>
                <w:bCs/>
                <w:sz w:val="32"/>
                <w:szCs w:val="32"/>
              </w:rPr>
            </w:pPr>
          </w:p>
        </w:tc>
      </w:tr>
      <w:tr w:rsidR="00637EDD" w14:paraId="74810CE7" w14:textId="77777777" w:rsidTr="005E641F">
        <w:tc>
          <w:tcPr>
            <w:tcW w:w="9016" w:type="dxa"/>
            <w:shd w:val="clear" w:color="auto" w:fill="AEAAAA" w:themeFill="background2" w:themeFillShade="BF"/>
          </w:tcPr>
          <w:p w14:paraId="1AE0F282" w14:textId="77777777" w:rsidR="00637EDD" w:rsidRPr="00210639" w:rsidRDefault="00637EDD" w:rsidP="005E641F">
            <w:pPr>
              <w:rPr>
                <w:rFonts w:cs="Calibri"/>
                <w:b/>
                <w:bCs/>
                <w:sz w:val="32"/>
                <w:szCs w:val="32"/>
              </w:rPr>
            </w:pPr>
            <w:r w:rsidRPr="00210639">
              <w:rPr>
                <w:rFonts w:cs="Calibri"/>
                <w:b/>
                <w:bCs/>
                <w:sz w:val="32"/>
                <w:szCs w:val="32"/>
              </w:rPr>
              <w:t>Right to pursue democratically national and political aspirations</w:t>
            </w:r>
          </w:p>
          <w:p w14:paraId="42C4157B" w14:textId="77777777" w:rsidR="00637EDD" w:rsidRPr="00210639" w:rsidRDefault="00637EDD" w:rsidP="005E641F">
            <w:pPr>
              <w:rPr>
                <w:rFonts w:cs="Calibri"/>
                <w:b/>
                <w:bCs/>
                <w:sz w:val="32"/>
                <w:szCs w:val="32"/>
              </w:rPr>
            </w:pPr>
          </w:p>
          <w:p w14:paraId="7778E89F" w14:textId="77777777" w:rsidR="00637EDD" w:rsidRPr="00627527" w:rsidRDefault="00637EDD" w:rsidP="005E641F">
            <w:pPr>
              <w:rPr>
                <w:rFonts w:cs="Calibri"/>
                <w:b/>
                <w:bCs/>
                <w:sz w:val="32"/>
                <w:szCs w:val="32"/>
              </w:rPr>
            </w:pPr>
            <w:r w:rsidRPr="00210639">
              <w:rPr>
                <w:rFonts w:cs="Calibri"/>
                <w:b/>
                <w:bCs/>
                <w:sz w:val="32"/>
                <w:szCs w:val="32"/>
              </w:rPr>
              <w:t>Right to seek constitutional change by peaceful and legitimate means</w:t>
            </w:r>
          </w:p>
        </w:tc>
      </w:tr>
      <w:tr w:rsidR="00637EDD" w14:paraId="3BDE789A" w14:textId="77777777" w:rsidTr="005E641F">
        <w:tc>
          <w:tcPr>
            <w:tcW w:w="9016" w:type="dxa"/>
            <w:shd w:val="clear" w:color="auto" w:fill="FFFFFF" w:themeFill="background1"/>
          </w:tcPr>
          <w:p w14:paraId="15D8DE8D" w14:textId="77777777" w:rsidR="00637EDD" w:rsidRPr="00210639" w:rsidRDefault="00637EDD" w:rsidP="005E641F">
            <w:pPr>
              <w:rPr>
                <w:rFonts w:cs="Calibri"/>
                <w:b/>
                <w:bCs/>
                <w:sz w:val="32"/>
                <w:szCs w:val="32"/>
              </w:rPr>
            </w:pPr>
            <w:r w:rsidRPr="00EA4E98">
              <w:rPr>
                <w:rFonts w:cs="Calibri"/>
                <w:b/>
                <w:bCs/>
                <w:sz w:val="32"/>
                <w:szCs w:val="32"/>
              </w:rPr>
              <w:t>Treaty Articles</w:t>
            </w:r>
          </w:p>
        </w:tc>
      </w:tr>
      <w:tr w:rsidR="00637EDD" w14:paraId="12F2757B" w14:textId="77777777" w:rsidTr="005E641F">
        <w:tc>
          <w:tcPr>
            <w:tcW w:w="9016" w:type="dxa"/>
            <w:shd w:val="clear" w:color="auto" w:fill="FFFFFF" w:themeFill="background1"/>
          </w:tcPr>
          <w:p w14:paraId="60C57A52" w14:textId="77777777" w:rsidR="00637EDD" w:rsidRPr="00EA4E98" w:rsidRDefault="00637EDD" w:rsidP="005E641F">
            <w:pPr>
              <w:rPr>
                <w:rFonts w:cs="Calibri"/>
                <w:b/>
                <w:bCs/>
                <w:sz w:val="32"/>
                <w:szCs w:val="32"/>
              </w:rPr>
            </w:pPr>
            <w:r w:rsidRPr="00EE3E25">
              <w:rPr>
                <w:rFonts w:cs="Calibri"/>
                <w:b/>
                <w:bCs/>
                <w:sz w:val="32"/>
                <w:szCs w:val="32"/>
              </w:rPr>
              <w:t>Regulations</w:t>
            </w:r>
          </w:p>
        </w:tc>
      </w:tr>
      <w:tr w:rsidR="00637EDD" w14:paraId="2144C1AD" w14:textId="77777777" w:rsidTr="005E641F">
        <w:tc>
          <w:tcPr>
            <w:tcW w:w="9016" w:type="dxa"/>
            <w:shd w:val="clear" w:color="auto" w:fill="FFFFFF" w:themeFill="background1"/>
          </w:tcPr>
          <w:p w14:paraId="7A91B36A" w14:textId="77777777" w:rsidR="00637EDD" w:rsidRPr="004D4F7E" w:rsidRDefault="00637EDD" w:rsidP="005E641F">
            <w:pPr>
              <w:rPr>
                <w:rFonts w:cs="Calibri"/>
                <w:b/>
                <w:bCs/>
                <w:sz w:val="32"/>
                <w:szCs w:val="32"/>
              </w:rPr>
            </w:pPr>
            <w:r w:rsidRPr="004D4F7E">
              <w:rPr>
                <w:rFonts w:cs="Calibri"/>
                <w:b/>
                <w:bCs/>
                <w:sz w:val="32"/>
                <w:szCs w:val="32"/>
              </w:rPr>
              <w:t xml:space="preserve">Directives </w:t>
            </w:r>
          </w:p>
          <w:p w14:paraId="429CF181" w14:textId="77777777" w:rsidR="00637EDD" w:rsidRDefault="00637EDD" w:rsidP="005E641F">
            <w:pPr>
              <w:rPr>
                <w:rFonts w:cs="Calibri"/>
                <w:b/>
                <w:bCs/>
                <w:sz w:val="32"/>
                <w:szCs w:val="32"/>
              </w:rPr>
            </w:pPr>
          </w:p>
          <w:p w14:paraId="19E9AF6B" w14:textId="77777777" w:rsidR="00637EDD" w:rsidRDefault="00637EDD" w:rsidP="005E641F">
            <w:pPr>
              <w:rPr>
                <w:rFonts w:cs="Calibri"/>
                <w:b/>
                <w:bCs/>
                <w:sz w:val="32"/>
                <w:szCs w:val="32"/>
              </w:rPr>
            </w:pPr>
            <w:r>
              <w:rPr>
                <w:rFonts w:cs="Calibri"/>
                <w:b/>
                <w:bCs/>
                <w:sz w:val="32"/>
                <w:szCs w:val="32"/>
              </w:rPr>
              <w:t xml:space="preserve">Annex 1 Directives (None) </w:t>
            </w:r>
          </w:p>
          <w:p w14:paraId="34FB4F46" w14:textId="77777777" w:rsidR="00637EDD" w:rsidRPr="004D4F7E" w:rsidRDefault="00637EDD" w:rsidP="005E641F">
            <w:pPr>
              <w:rPr>
                <w:rFonts w:cs="Calibri"/>
                <w:b/>
                <w:bCs/>
                <w:sz w:val="32"/>
                <w:szCs w:val="32"/>
              </w:rPr>
            </w:pPr>
          </w:p>
          <w:p w14:paraId="281CFB23" w14:textId="77777777" w:rsidR="00637EDD" w:rsidRDefault="00637EDD" w:rsidP="005E641F">
            <w:pPr>
              <w:rPr>
                <w:rFonts w:cs="Calibri"/>
                <w:b/>
                <w:bCs/>
                <w:sz w:val="32"/>
                <w:szCs w:val="32"/>
              </w:rPr>
            </w:pPr>
            <w:r w:rsidRPr="004D4F7E">
              <w:rPr>
                <w:rFonts w:cs="Calibri"/>
                <w:b/>
                <w:bCs/>
                <w:sz w:val="32"/>
                <w:szCs w:val="32"/>
              </w:rPr>
              <w:t>Non-Annex 1 Directives</w:t>
            </w:r>
          </w:p>
          <w:p w14:paraId="44220023" w14:textId="77777777" w:rsidR="00637EDD" w:rsidRDefault="00637EDD" w:rsidP="005E641F">
            <w:pPr>
              <w:rPr>
                <w:rFonts w:cs="Calibri"/>
                <w:szCs w:val="28"/>
              </w:rPr>
            </w:pPr>
            <w:hyperlink r:id="rId21" w:history="1">
              <w:r w:rsidRPr="00444FA3">
                <w:rPr>
                  <w:rStyle w:val="Hyperlink"/>
                  <w:rFonts w:cs="Calibri"/>
                  <w:szCs w:val="28"/>
                </w:rPr>
                <w:t>Council Directive 94/80/EC</w:t>
              </w:r>
            </w:hyperlink>
            <w:r w:rsidRPr="004D4F7E">
              <w:rPr>
                <w:rFonts w:cs="Calibri"/>
                <w:szCs w:val="28"/>
              </w:rPr>
              <w:t xml:space="preserve"> of 19 December 1994 laying down detailed arrangements for the exercise of the </w:t>
            </w:r>
            <w:r w:rsidRPr="00234D28">
              <w:rPr>
                <w:rFonts w:cs="Calibri"/>
                <w:b/>
                <w:szCs w:val="28"/>
              </w:rPr>
              <w:t>right to vote</w:t>
            </w:r>
            <w:r w:rsidRPr="004D4F7E">
              <w:rPr>
                <w:rFonts w:cs="Calibri"/>
                <w:szCs w:val="28"/>
              </w:rPr>
              <w:t xml:space="preserve"> and to </w:t>
            </w:r>
            <w:r w:rsidRPr="00234D28">
              <w:rPr>
                <w:rFonts w:cs="Calibri"/>
                <w:b/>
                <w:szCs w:val="28"/>
              </w:rPr>
              <w:t>stand as a candidate in municipal elections</w:t>
            </w:r>
            <w:r w:rsidRPr="004D4F7E">
              <w:rPr>
                <w:rFonts w:cs="Calibri"/>
                <w:szCs w:val="28"/>
              </w:rPr>
              <w:t xml:space="preserve"> by citizens of the Union residing in a Member State of which they are not nationals</w:t>
            </w:r>
          </w:p>
          <w:p w14:paraId="676C0E10" w14:textId="77777777" w:rsidR="00637EDD" w:rsidRPr="004D4F7E" w:rsidRDefault="00637EDD" w:rsidP="005E641F">
            <w:pPr>
              <w:rPr>
                <w:rFonts w:cs="Calibri"/>
                <w:szCs w:val="28"/>
              </w:rPr>
            </w:pPr>
          </w:p>
          <w:p w14:paraId="3C6FD62D" w14:textId="77777777" w:rsidR="00637EDD" w:rsidRDefault="00637EDD" w:rsidP="005E641F">
            <w:pPr>
              <w:rPr>
                <w:rFonts w:cs="Calibri"/>
                <w:szCs w:val="28"/>
              </w:rPr>
            </w:pPr>
            <w:hyperlink r:id="rId22" w:history="1">
              <w:r w:rsidRPr="00795959">
                <w:rPr>
                  <w:rStyle w:val="Hyperlink"/>
                  <w:rFonts w:cs="Calibri"/>
                  <w:szCs w:val="28"/>
                </w:rPr>
                <w:t>Council Directive 2013/19/EU</w:t>
              </w:r>
            </w:hyperlink>
            <w:r w:rsidRPr="004D4F7E">
              <w:rPr>
                <w:rFonts w:cs="Calibri"/>
                <w:szCs w:val="28"/>
              </w:rPr>
              <w:t xml:space="preserve"> of 13 May 2013 adapting Directive 94/80/EC laying down detailed arrangements for the exercise of the </w:t>
            </w:r>
            <w:r w:rsidRPr="00234D28">
              <w:rPr>
                <w:rFonts w:cs="Calibri"/>
                <w:b/>
                <w:szCs w:val="28"/>
              </w:rPr>
              <w:t>right to vote</w:t>
            </w:r>
            <w:r w:rsidRPr="004D4F7E">
              <w:rPr>
                <w:rFonts w:cs="Calibri"/>
                <w:szCs w:val="28"/>
              </w:rPr>
              <w:t xml:space="preserve"> and to </w:t>
            </w:r>
            <w:r w:rsidRPr="00234D28">
              <w:rPr>
                <w:rFonts w:cs="Calibri"/>
                <w:b/>
                <w:szCs w:val="28"/>
              </w:rPr>
              <w:t>stand as a candidate in municipal elections</w:t>
            </w:r>
            <w:r w:rsidRPr="004D4F7E">
              <w:rPr>
                <w:rFonts w:cs="Calibri"/>
                <w:szCs w:val="28"/>
              </w:rPr>
              <w:t xml:space="preserve"> by citizens of the Union residing in a Member State of which they are not nationals, by reason of the accession of the Republic of Croatia</w:t>
            </w:r>
          </w:p>
          <w:p w14:paraId="3764635D" w14:textId="206E2435" w:rsidR="00992825" w:rsidRPr="00EE3E25" w:rsidRDefault="00992825" w:rsidP="005E641F">
            <w:pPr>
              <w:rPr>
                <w:rFonts w:cs="Calibri"/>
                <w:b/>
                <w:bCs/>
                <w:sz w:val="32"/>
                <w:szCs w:val="32"/>
              </w:rPr>
            </w:pPr>
          </w:p>
        </w:tc>
      </w:tr>
      <w:tr w:rsidR="00637EDD" w14:paraId="56E0CF74" w14:textId="77777777" w:rsidTr="005E641F">
        <w:tc>
          <w:tcPr>
            <w:tcW w:w="9016" w:type="dxa"/>
            <w:shd w:val="clear" w:color="auto" w:fill="FFFFFF" w:themeFill="background1"/>
          </w:tcPr>
          <w:p w14:paraId="65C6C9FC" w14:textId="4D9D42D7" w:rsidR="00637EDD" w:rsidRDefault="00637EDD" w:rsidP="005E641F">
            <w:pPr>
              <w:rPr>
                <w:rFonts w:cs="Calibri"/>
                <w:b/>
                <w:bCs/>
                <w:sz w:val="32"/>
                <w:szCs w:val="32"/>
              </w:rPr>
            </w:pPr>
            <w:r w:rsidRPr="00392868">
              <w:rPr>
                <w:rFonts w:cs="Calibri"/>
                <w:b/>
                <w:bCs/>
                <w:sz w:val="32"/>
                <w:szCs w:val="32"/>
              </w:rPr>
              <w:t>Charter of Fundamental Rights of the Europe</w:t>
            </w:r>
            <w:r>
              <w:rPr>
                <w:rFonts w:cs="Calibri"/>
                <w:b/>
                <w:bCs/>
                <w:sz w:val="32"/>
                <w:szCs w:val="32"/>
              </w:rPr>
              <w:t>an Union</w:t>
            </w:r>
          </w:p>
          <w:p w14:paraId="255B24B9" w14:textId="77777777" w:rsidR="00D84F99" w:rsidRDefault="00D84F99" w:rsidP="005E641F">
            <w:pPr>
              <w:rPr>
                <w:rFonts w:cs="Calibri"/>
                <w:szCs w:val="28"/>
              </w:rPr>
            </w:pPr>
          </w:p>
          <w:p w14:paraId="163FB4F9" w14:textId="5BBE0F3B" w:rsidR="00637EDD" w:rsidRDefault="00637EDD" w:rsidP="005E641F">
            <w:pPr>
              <w:rPr>
                <w:rFonts w:cs="Calibri"/>
                <w:szCs w:val="28"/>
              </w:rPr>
            </w:pPr>
            <w:r w:rsidRPr="00392868">
              <w:rPr>
                <w:rFonts w:cs="Calibri"/>
                <w:szCs w:val="28"/>
              </w:rPr>
              <w:t xml:space="preserve">Article 11 - Freedom of expression and information </w:t>
            </w:r>
          </w:p>
          <w:p w14:paraId="33C1B87D" w14:textId="77777777" w:rsidR="00637EDD" w:rsidRPr="00392868" w:rsidRDefault="00637EDD" w:rsidP="005E641F">
            <w:pPr>
              <w:rPr>
                <w:rFonts w:cs="Calibri"/>
                <w:szCs w:val="28"/>
              </w:rPr>
            </w:pPr>
            <w:r w:rsidRPr="00392868">
              <w:rPr>
                <w:rFonts w:cs="Calibri"/>
                <w:szCs w:val="28"/>
              </w:rPr>
              <w:t xml:space="preserve">Article 12 - Freedom of assembly and of association </w:t>
            </w:r>
          </w:p>
          <w:p w14:paraId="47A8C175" w14:textId="77777777" w:rsidR="00637EDD" w:rsidRDefault="00637EDD" w:rsidP="005E641F">
            <w:pPr>
              <w:rPr>
                <w:rFonts w:cs="Calibri"/>
                <w:szCs w:val="28"/>
              </w:rPr>
            </w:pPr>
            <w:r w:rsidRPr="00392868">
              <w:rPr>
                <w:rFonts w:cs="Calibri"/>
                <w:szCs w:val="28"/>
              </w:rPr>
              <w:t>Article 40 - Right to vote and to stand as a candidate at municipal elections</w:t>
            </w:r>
          </w:p>
          <w:p w14:paraId="164E5A09" w14:textId="1264FF74" w:rsidR="00992825" w:rsidRPr="004D4F7E" w:rsidRDefault="00992825" w:rsidP="005E641F">
            <w:pPr>
              <w:rPr>
                <w:rFonts w:cs="Calibri"/>
                <w:b/>
                <w:bCs/>
                <w:sz w:val="32"/>
                <w:szCs w:val="32"/>
              </w:rPr>
            </w:pPr>
          </w:p>
        </w:tc>
      </w:tr>
    </w:tbl>
    <w:p w14:paraId="0ED43526"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13F49176" w14:textId="77777777" w:rsidTr="005E641F">
        <w:tc>
          <w:tcPr>
            <w:tcW w:w="9016" w:type="dxa"/>
            <w:shd w:val="clear" w:color="auto" w:fill="AEAAAA" w:themeFill="background2" w:themeFillShade="BF"/>
          </w:tcPr>
          <w:p w14:paraId="09837A39" w14:textId="5AEE9B99" w:rsidR="00637EDD" w:rsidRPr="00392868" w:rsidRDefault="00637EDD" w:rsidP="005E641F">
            <w:pPr>
              <w:rPr>
                <w:rFonts w:cs="Calibri"/>
                <w:b/>
                <w:bCs/>
                <w:sz w:val="32"/>
                <w:szCs w:val="32"/>
              </w:rPr>
            </w:pPr>
            <w:r w:rsidRPr="00994C69">
              <w:rPr>
                <w:rFonts w:cs="Calibri"/>
                <w:b/>
                <w:bCs/>
                <w:sz w:val="32"/>
                <w:szCs w:val="32"/>
              </w:rPr>
              <w:t>Right to freely choose one’s place of residence</w:t>
            </w:r>
          </w:p>
        </w:tc>
      </w:tr>
      <w:tr w:rsidR="00637EDD" w14:paraId="600A7CEA" w14:textId="77777777" w:rsidTr="005E641F">
        <w:tc>
          <w:tcPr>
            <w:tcW w:w="9016" w:type="dxa"/>
            <w:shd w:val="clear" w:color="auto" w:fill="auto"/>
          </w:tcPr>
          <w:p w14:paraId="287D0A8D" w14:textId="77777777" w:rsidR="00637EDD" w:rsidRPr="00994C69" w:rsidRDefault="00637EDD" w:rsidP="005E641F">
            <w:pPr>
              <w:rPr>
                <w:rFonts w:cs="Calibri"/>
                <w:b/>
                <w:bCs/>
                <w:sz w:val="32"/>
                <w:szCs w:val="32"/>
              </w:rPr>
            </w:pPr>
            <w:r w:rsidRPr="00B16996">
              <w:rPr>
                <w:rFonts w:cs="Calibri"/>
                <w:b/>
                <w:bCs/>
                <w:sz w:val="32"/>
                <w:szCs w:val="32"/>
              </w:rPr>
              <w:t>Treaty Articles</w:t>
            </w:r>
          </w:p>
        </w:tc>
      </w:tr>
      <w:tr w:rsidR="00637EDD" w14:paraId="470F3B57" w14:textId="77777777" w:rsidTr="005E641F">
        <w:tc>
          <w:tcPr>
            <w:tcW w:w="9016" w:type="dxa"/>
            <w:shd w:val="clear" w:color="auto" w:fill="auto"/>
          </w:tcPr>
          <w:p w14:paraId="0D6717F8" w14:textId="77777777" w:rsidR="00637EDD" w:rsidRPr="00B16996" w:rsidRDefault="00637EDD" w:rsidP="005E641F">
            <w:pPr>
              <w:rPr>
                <w:rFonts w:cs="Calibri"/>
                <w:b/>
                <w:bCs/>
                <w:sz w:val="32"/>
                <w:szCs w:val="32"/>
              </w:rPr>
            </w:pPr>
            <w:r w:rsidRPr="006E4042">
              <w:rPr>
                <w:rFonts w:cs="Calibri"/>
                <w:b/>
                <w:bCs/>
                <w:sz w:val="32"/>
                <w:szCs w:val="32"/>
              </w:rPr>
              <w:t>Regulations</w:t>
            </w:r>
          </w:p>
        </w:tc>
      </w:tr>
      <w:tr w:rsidR="00637EDD" w14:paraId="6A7F90FD" w14:textId="77777777" w:rsidTr="005E641F">
        <w:tc>
          <w:tcPr>
            <w:tcW w:w="9016" w:type="dxa"/>
            <w:shd w:val="clear" w:color="auto" w:fill="auto"/>
          </w:tcPr>
          <w:p w14:paraId="2E6465ED" w14:textId="77777777" w:rsidR="00637EDD" w:rsidRDefault="00637EDD" w:rsidP="005E641F">
            <w:pPr>
              <w:rPr>
                <w:rFonts w:cs="Calibri"/>
                <w:b/>
                <w:bCs/>
                <w:sz w:val="32"/>
                <w:szCs w:val="32"/>
              </w:rPr>
            </w:pPr>
            <w:r w:rsidRPr="00DA0425">
              <w:rPr>
                <w:rFonts w:cs="Calibri"/>
                <w:b/>
                <w:bCs/>
                <w:sz w:val="32"/>
                <w:szCs w:val="32"/>
              </w:rPr>
              <w:t xml:space="preserve">Directives </w:t>
            </w:r>
          </w:p>
          <w:p w14:paraId="5CA70F76" w14:textId="77777777" w:rsidR="00637EDD" w:rsidRDefault="00637EDD" w:rsidP="005E641F">
            <w:pPr>
              <w:rPr>
                <w:rFonts w:cs="Calibri"/>
                <w:b/>
                <w:bCs/>
                <w:sz w:val="32"/>
                <w:szCs w:val="32"/>
              </w:rPr>
            </w:pPr>
          </w:p>
          <w:p w14:paraId="1008FDF5" w14:textId="77777777" w:rsidR="00637EDD" w:rsidRPr="00DA0425" w:rsidRDefault="00637EDD" w:rsidP="005E641F">
            <w:pPr>
              <w:rPr>
                <w:rFonts w:cs="Calibri"/>
                <w:b/>
                <w:bCs/>
                <w:sz w:val="32"/>
                <w:szCs w:val="32"/>
              </w:rPr>
            </w:pPr>
            <w:r>
              <w:rPr>
                <w:rFonts w:cs="Calibri"/>
                <w:b/>
                <w:bCs/>
                <w:sz w:val="32"/>
                <w:szCs w:val="32"/>
              </w:rPr>
              <w:t xml:space="preserve">Annex 1 Directives (None) </w:t>
            </w:r>
          </w:p>
          <w:p w14:paraId="44035C8C" w14:textId="77777777" w:rsidR="00637EDD" w:rsidRPr="00DA0425" w:rsidRDefault="00637EDD" w:rsidP="005E641F">
            <w:pPr>
              <w:rPr>
                <w:rFonts w:cs="Calibri"/>
                <w:b/>
                <w:bCs/>
                <w:sz w:val="32"/>
                <w:szCs w:val="32"/>
              </w:rPr>
            </w:pPr>
          </w:p>
          <w:p w14:paraId="500237B5" w14:textId="77777777" w:rsidR="00637EDD" w:rsidRPr="00DA0425" w:rsidRDefault="00637EDD" w:rsidP="005E641F">
            <w:pPr>
              <w:rPr>
                <w:rFonts w:cs="Calibri"/>
                <w:b/>
                <w:bCs/>
                <w:sz w:val="32"/>
                <w:szCs w:val="32"/>
              </w:rPr>
            </w:pPr>
            <w:r w:rsidRPr="00DA0425">
              <w:rPr>
                <w:rFonts w:cs="Calibri"/>
                <w:b/>
                <w:bCs/>
                <w:sz w:val="32"/>
                <w:szCs w:val="32"/>
              </w:rPr>
              <w:t xml:space="preserve">Non-Annex 1 Directives </w:t>
            </w:r>
          </w:p>
          <w:p w14:paraId="64E8DD89" w14:textId="77777777" w:rsidR="00637EDD" w:rsidRDefault="00637EDD" w:rsidP="005E641F">
            <w:pPr>
              <w:rPr>
                <w:rFonts w:cs="Calibri"/>
                <w:szCs w:val="28"/>
              </w:rPr>
            </w:pPr>
            <w:hyperlink r:id="rId23" w:history="1">
              <w:r w:rsidRPr="00724854">
                <w:rPr>
                  <w:rStyle w:val="Hyperlink"/>
                  <w:rFonts w:cs="Calibri"/>
                  <w:szCs w:val="28"/>
                </w:rPr>
                <w:t>Council Directive 2003/9/EC</w:t>
              </w:r>
            </w:hyperlink>
            <w:r w:rsidRPr="00DA0425">
              <w:rPr>
                <w:rFonts w:cs="Calibri"/>
                <w:szCs w:val="28"/>
              </w:rPr>
              <w:t xml:space="preserve"> of 27 January 2003 laying down </w:t>
            </w:r>
            <w:r w:rsidRPr="00234D28">
              <w:rPr>
                <w:rFonts w:cs="Calibri"/>
                <w:b/>
                <w:szCs w:val="28"/>
              </w:rPr>
              <w:t>minimum standards for the reception of asylum seekers</w:t>
            </w:r>
          </w:p>
          <w:p w14:paraId="5487BEC4" w14:textId="77777777" w:rsidR="00637EDD" w:rsidRPr="00DA0425" w:rsidRDefault="00637EDD" w:rsidP="005E641F">
            <w:pPr>
              <w:rPr>
                <w:rFonts w:cs="Calibri"/>
                <w:szCs w:val="28"/>
              </w:rPr>
            </w:pPr>
          </w:p>
          <w:p w14:paraId="76AE3FF0" w14:textId="77777777" w:rsidR="00637EDD" w:rsidRDefault="00637EDD" w:rsidP="005E641F">
            <w:pPr>
              <w:rPr>
                <w:rFonts w:cs="Calibri"/>
                <w:szCs w:val="28"/>
              </w:rPr>
            </w:pPr>
            <w:hyperlink r:id="rId24" w:history="1">
              <w:r w:rsidRPr="00B501AF">
                <w:rPr>
                  <w:rStyle w:val="Hyperlink"/>
                  <w:rFonts w:cs="Calibri"/>
                  <w:szCs w:val="28"/>
                </w:rPr>
                <w:t>Directive 2004/38/EC</w:t>
              </w:r>
            </w:hyperlink>
            <w:r w:rsidRPr="00DA0425">
              <w:rPr>
                <w:rFonts w:cs="Calibri"/>
                <w:szCs w:val="28"/>
              </w:rPr>
              <w:t xml:space="preserve"> of the European Parliament and of the Council of 29 April 2004 on the right of citizens of the Union and their family members </w:t>
            </w:r>
            <w:r w:rsidRPr="00234D28">
              <w:rPr>
                <w:rFonts w:cs="Calibri"/>
                <w:b/>
                <w:szCs w:val="28"/>
              </w:rPr>
              <w:t>to move and reside freely within the territory of the Member States</w:t>
            </w:r>
            <w:r w:rsidRPr="00DA0425">
              <w:rPr>
                <w:rFonts w:cs="Calibri"/>
                <w:szCs w:val="28"/>
              </w:rPr>
              <w:t xml:space="preserve"> amending Regulation (EEC) No 1612/68 and repealing Directives 64/221/EEC, 68/360/EEC, 72/194/EEC, 73/148/EEC, 75/34/EEC, 75/35/EEC, 90/364/EEC, 90/365/EEC and 93/96/EEC</w:t>
            </w:r>
          </w:p>
          <w:p w14:paraId="15D7D91E" w14:textId="77777777" w:rsidR="00637EDD" w:rsidRPr="00DA0425" w:rsidRDefault="00637EDD" w:rsidP="005E641F">
            <w:pPr>
              <w:rPr>
                <w:rFonts w:cs="Calibri"/>
                <w:szCs w:val="28"/>
              </w:rPr>
            </w:pPr>
          </w:p>
          <w:p w14:paraId="14B1225A" w14:textId="77777777" w:rsidR="00637EDD" w:rsidRPr="006E4042" w:rsidRDefault="00637EDD" w:rsidP="005E641F">
            <w:pPr>
              <w:rPr>
                <w:rFonts w:cs="Calibri"/>
                <w:b/>
                <w:bCs/>
                <w:sz w:val="32"/>
                <w:szCs w:val="32"/>
              </w:rPr>
            </w:pPr>
            <w:hyperlink r:id="rId25" w:history="1">
              <w:r w:rsidRPr="009C154C">
                <w:rPr>
                  <w:rStyle w:val="Hyperlink"/>
                  <w:rFonts w:cs="Calibri"/>
                  <w:szCs w:val="28"/>
                </w:rPr>
                <w:t>Directive 2014/54/EU</w:t>
              </w:r>
            </w:hyperlink>
            <w:r w:rsidRPr="00DA0425">
              <w:rPr>
                <w:rFonts w:cs="Calibri"/>
                <w:szCs w:val="28"/>
              </w:rPr>
              <w:t xml:space="preserve"> of the European Parliament and of the Council of 16 April 2014 on measures facilitating the exercise of rights conferred on workers in the context of </w:t>
            </w:r>
            <w:r w:rsidRPr="00234D28">
              <w:rPr>
                <w:rFonts w:cs="Calibri"/>
                <w:b/>
                <w:szCs w:val="28"/>
              </w:rPr>
              <w:t>freedom of movement for workers</w:t>
            </w:r>
          </w:p>
        </w:tc>
      </w:tr>
      <w:tr w:rsidR="00637EDD" w14:paraId="39B85F33" w14:textId="77777777" w:rsidTr="005E641F">
        <w:tc>
          <w:tcPr>
            <w:tcW w:w="9016" w:type="dxa"/>
            <w:shd w:val="clear" w:color="auto" w:fill="auto"/>
          </w:tcPr>
          <w:p w14:paraId="3AEA1FE3" w14:textId="77777777" w:rsidR="00637EDD" w:rsidRDefault="00637EDD" w:rsidP="005E641F">
            <w:pPr>
              <w:rPr>
                <w:rFonts w:cs="Calibri"/>
                <w:b/>
                <w:bCs/>
                <w:sz w:val="32"/>
                <w:szCs w:val="32"/>
              </w:rPr>
            </w:pPr>
            <w:r w:rsidRPr="004B7EE9">
              <w:rPr>
                <w:rFonts w:cs="Calibri"/>
                <w:b/>
                <w:bCs/>
                <w:sz w:val="32"/>
                <w:szCs w:val="32"/>
              </w:rPr>
              <w:t>Charter of Fundamental Rights of the European Union</w:t>
            </w:r>
          </w:p>
          <w:p w14:paraId="42D62979" w14:textId="77777777" w:rsidR="00637EDD" w:rsidRPr="00992825" w:rsidRDefault="00637EDD" w:rsidP="005E641F">
            <w:pPr>
              <w:rPr>
                <w:rFonts w:cs="Calibri"/>
                <w:b/>
                <w:bCs/>
                <w:szCs w:val="28"/>
              </w:rPr>
            </w:pPr>
          </w:p>
          <w:p w14:paraId="1404A22C" w14:textId="77777777" w:rsidR="00637EDD" w:rsidRDefault="00637EDD" w:rsidP="005E641F">
            <w:pPr>
              <w:rPr>
                <w:rFonts w:cs="Calibri"/>
                <w:szCs w:val="28"/>
              </w:rPr>
            </w:pPr>
            <w:r w:rsidRPr="00E5153E">
              <w:rPr>
                <w:rFonts w:cs="Calibri"/>
                <w:szCs w:val="28"/>
              </w:rPr>
              <w:t>Article 45 - Freedom of movement and of residence</w:t>
            </w:r>
          </w:p>
          <w:p w14:paraId="2D01D0EA" w14:textId="0E6D5939" w:rsidR="00961231" w:rsidRPr="00E5153E" w:rsidRDefault="00961231" w:rsidP="005E641F">
            <w:pPr>
              <w:rPr>
                <w:rFonts w:cs="Calibri"/>
                <w:szCs w:val="28"/>
              </w:rPr>
            </w:pPr>
          </w:p>
        </w:tc>
      </w:tr>
      <w:tr w:rsidR="00637EDD" w14:paraId="4BC79499" w14:textId="77777777" w:rsidTr="005E641F">
        <w:tc>
          <w:tcPr>
            <w:tcW w:w="9016" w:type="dxa"/>
            <w:shd w:val="clear" w:color="auto" w:fill="AEAAAA" w:themeFill="background2" w:themeFillShade="BF"/>
          </w:tcPr>
          <w:p w14:paraId="7128F839" w14:textId="77777777" w:rsidR="00637EDD" w:rsidRPr="004B7EE9" w:rsidRDefault="00637EDD" w:rsidP="005E641F">
            <w:pPr>
              <w:rPr>
                <w:rFonts w:cs="Calibri"/>
                <w:b/>
                <w:bCs/>
                <w:sz w:val="32"/>
                <w:szCs w:val="32"/>
              </w:rPr>
            </w:pPr>
            <w:r w:rsidRPr="00077E08">
              <w:rPr>
                <w:rFonts w:cs="Calibri"/>
                <w:b/>
                <w:bCs/>
                <w:sz w:val="32"/>
                <w:szCs w:val="32"/>
              </w:rPr>
              <w:t>Right to equal opportunity in all social and economic activity, regardless of class, creed, disability, gender or ethnicity</w:t>
            </w:r>
          </w:p>
        </w:tc>
      </w:tr>
      <w:tr w:rsidR="00637EDD" w14:paraId="06BF30F4" w14:textId="77777777" w:rsidTr="005E641F">
        <w:tc>
          <w:tcPr>
            <w:tcW w:w="9016" w:type="dxa"/>
            <w:shd w:val="clear" w:color="auto" w:fill="auto"/>
          </w:tcPr>
          <w:p w14:paraId="429C8F05" w14:textId="77777777" w:rsidR="00637EDD" w:rsidRPr="005018E6" w:rsidRDefault="00637EDD" w:rsidP="005E641F">
            <w:pPr>
              <w:rPr>
                <w:rFonts w:cs="Calibri"/>
                <w:b/>
                <w:bCs/>
                <w:sz w:val="32"/>
                <w:szCs w:val="32"/>
              </w:rPr>
            </w:pPr>
            <w:r w:rsidRPr="005018E6">
              <w:rPr>
                <w:rFonts w:cs="Calibri"/>
                <w:b/>
                <w:bCs/>
                <w:sz w:val="32"/>
                <w:szCs w:val="32"/>
              </w:rPr>
              <w:t>Treaty Articles</w:t>
            </w:r>
          </w:p>
          <w:p w14:paraId="04749B6D" w14:textId="77777777" w:rsidR="00637EDD" w:rsidRPr="005018E6" w:rsidRDefault="00637EDD" w:rsidP="005E641F">
            <w:pPr>
              <w:rPr>
                <w:rFonts w:cs="Calibri"/>
                <w:szCs w:val="28"/>
              </w:rPr>
            </w:pPr>
            <w:r w:rsidRPr="005018E6">
              <w:rPr>
                <w:rFonts w:cs="Calibri"/>
                <w:szCs w:val="28"/>
              </w:rPr>
              <w:t xml:space="preserve">Treaty on the Functioning of the European Union </w:t>
            </w:r>
          </w:p>
          <w:p w14:paraId="087B5E72" w14:textId="77777777" w:rsidR="00637EDD" w:rsidRPr="005018E6" w:rsidRDefault="00637EDD" w:rsidP="005E641F">
            <w:pPr>
              <w:rPr>
                <w:rFonts w:cs="Calibri"/>
                <w:szCs w:val="28"/>
              </w:rPr>
            </w:pPr>
            <w:r w:rsidRPr="005018E6">
              <w:rPr>
                <w:rFonts w:cs="Calibri"/>
                <w:szCs w:val="28"/>
              </w:rPr>
              <w:t>Art 18 and Art 45: nationality discrimination is prohibited in the scope of EU law</w:t>
            </w:r>
          </w:p>
          <w:p w14:paraId="7FE2F794" w14:textId="77777777" w:rsidR="00637EDD" w:rsidRPr="005018E6" w:rsidRDefault="00637EDD" w:rsidP="005E641F">
            <w:pPr>
              <w:rPr>
                <w:rFonts w:cs="Calibri"/>
                <w:szCs w:val="28"/>
              </w:rPr>
            </w:pPr>
          </w:p>
          <w:p w14:paraId="4140E380" w14:textId="77777777" w:rsidR="00637EDD" w:rsidRPr="005018E6" w:rsidRDefault="00637EDD" w:rsidP="005E641F">
            <w:pPr>
              <w:rPr>
                <w:rFonts w:cs="Calibri"/>
                <w:szCs w:val="28"/>
              </w:rPr>
            </w:pPr>
            <w:r w:rsidRPr="005018E6">
              <w:rPr>
                <w:rFonts w:cs="Calibri"/>
                <w:szCs w:val="28"/>
              </w:rPr>
              <w:t xml:space="preserve">Treaty on the Functioning of the European Union </w:t>
            </w:r>
          </w:p>
          <w:p w14:paraId="71646D5B" w14:textId="77777777" w:rsidR="00637EDD" w:rsidRDefault="00637EDD" w:rsidP="005E641F">
            <w:pPr>
              <w:rPr>
                <w:rFonts w:cs="Calibri"/>
                <w:szCs w:val="28"/>
              </w:rPr>
            </w:pPr>
            <w:r w:rsidRPr="005018E6">
              <w:rPr>
                <w:rFonts w:cs="Calibri"/>
                <w:szCs w:val="28"/>
              </w:rPr>
              <w:t>Art 157(1): equal pay for equal work or work of equal value principle</w:t>
            </w:r>
          </w:p>
          <w:p w14:paraId="01CF3F62" w14:textId="77777777" w:rsidR="00637EDD" w:rsidRPr="00B46933" w:rsidRDefault="00637EDD" w:rsidP="005E641F">
            <w:pPr>
              <w:rPr>
                <w:rFonts w:cs="Calibri"/>
                <w:szCs w:val="28"/>
              </w:rPr>
            </w:pPr>
          </w:p>
        </w:tc>
      </w:tr>
    </w:tbl>
    <w:p w14:paraId="47663BBB"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2E2BFB74" w14:textId="77777777" w:rsidTr="005E641F">
        <w:tc>
          <w:tcPr>
            <w:tcW w:w="9016" w:type="dxa"/>
            <w:shd w:val="clear" w:color="auto" w:fill="auto"/>
          </w:tcPr>
          <w:p w14:paraId="6FC5A368" w14:textId="42C980FD" w:rsidR="00637EDD" w:rsidRPr="00105211" w:rsidRDefault="00637EDD" w:rsidP="005E641F">
            <w:pPr>
              <w:rPr>
                <w:rFonts w:cs="Calibri"/>
                <w:b/>
                <w:bCs/>
                <w:sz w:val="32"/>
                <w:szCs w:val="32"/>
              </w:rPr>
            </w:pPr>
            <w:r w:rsidRPr="00105211">
              <w:rPr>
                <w:rFonts w:cs="Calibri"/>
                <w:b/>
                <w:bCs/>
                <w:sz w:val="32"/>
                <w:szCs w:val="32"/>
              </w:rPr>
              <w:t>Regulations</w:t>
            </w:r>
          </w:p>
          <w:p w14:paraId="7A86FD3E" w14:textId="77777777" w:rsidR="00637EDD" w:rsidRDefault="00637EDD" w:rsidP="005E641F">
            <w:pPr>
              <w:rPr>
                <w:rFonts w:cs="Calibri"/>
                <w:szCs w:val="28"/>
              </w:rPr>
            </w:pPr>
            <w:hyperlink r:id="rId26" w:history="1">
              <w:r w:rsidRPr="00384EC6">
                <w:rPr>
                  <w:rStyle w:val="Hyperlink"/>
                  <w:rFonts w:cs="Calibri"/>
                  <w:szCs w:val="28"/>
                </w:rPr>
                <w:t>Regulation (EC) No 261/2004</w:t>
              </w:r>
            </w:hyperlink>
            <w:r w:rsidRPr="00105211">
              <w:rPr>
                <w:rFonts w:cs="Calibri"/>
                <w:szCs w:val="28"/>
              </w:rPr>
              <w:t xml:space="preserve"> of the European Parliament and of the Council of 11 February 2004 establishing </w:t>
            </w:r>
            <w:r w:rsidRPr="00234D28">
              <w:rPr>
                <w:rFonts w:cs="Calibri"/>
                <w:b/>
                <w:szCs w:val="28"/>
              </w:rPr>
              <w:t>common rules on compensation and assistance to passengers in the event of denied boarding and of cancellation or long delay of flights</w:t>
            </w:r>
            <w:r w:rsidRPr="00105211">
              <w:rPr>
                <w:rFonts w:cs="Calibri"/>
                <w:szCs w:val="28"/>
              </w:rPr>
              <w:t>, and repealing Regulation (EEC) No 295/91</w:t>
            </w:r>
          </w:p>
          <w:p w14:paraId="27AE2DF5" w14:textId="77777777" w:rsidR="00637EDD" w:rsidRPr="00105211" w:rsidRDefault="00637EDD" w:rsidP="005E641F">
            <w:pPr>
              <w:rPr>
                <w:rFonts w:cs="Calibri"/>
                <w:szCs w:val="28"/>
              </w:rPr>
            </w:pPr>
          </w:p>
          <w:p w14:paraId="6025E259" w14:textId="77777777" w:rsidR="00637EDD" w:rsidRDefault="00637EDD" w:rsidP="005E641F">
            <w:pPr>
              <w:rPr>
                <w:rFonts w:cs="Calibri"/>
                <w:szCs w:val="28"/>
              </w:rPr>
            </w:pPr>
            <w:hyperlink r:id="rId27" w:history="1">
              <w:r w:rsidRPr="004E7AAA">
                <w:rPr>
                  <w:rStyle w:val="Hyperlink"/>
                  <w:rFonts w:cs="Calibri"/>
                  <w:szCs w:val="28"/>
                </w:rPr>
                <w:t>Regulation (EC) No 1107/2006</w:t>
              </w:r>
            </w:hyperlink>
            <w:r w:rsidRPr="00105211">
              <w:rPr>
                <w:rFonts w:cs="Calibri"/>
                <w:szCs w:val="28"/>
              </w:rPr>
              <w:t xml:space="preserve"> of the European Parliament and of the Council of 5 July 2006 concerning the </w:t>
            </w:r>
            <w:r w:rsidRPr="00234D28">
              <w:rPr>
                <w:rFonts w:cs="Calibri"/>
                <w:b/>
                <w:szCs w:val="28"/>
              </w:rPr>
              <w:t>rights of disabled persons and persons with reduced mobility when travelling by air</w:t>
            </w:r>
          </w:p>
          <w:p w14:paraId="28696213" w14:textId="77777777" w:rsidR="00637EDD" w:rsidRPr="00105211" w:rsidRDefault="00637EDD" w:rsidP="005E641F">
            <w:pPr>
              <w:rPr>
                <w:rFonts w:cs="Calibri"/>
                <w:szCs w:val="28"/>
              </w:rPr>
            </w:pPr>
          </w:p>
          <w:p w14:paraId="6DE44266" w14:textId="77777777" w:rsidR="00637EDD" w:rsidRDefault="00637EDD" w:rsidP="005E641F">
            <w:pPr>
              <w:rPr>
                <w:rFonts w:cs="Calibri"/>
                <w:szCs w:val="28"/>
              </w:rPr>
            </w:pPr>
            <w:hyperlink r:id="rId28" w:history="1">
              <w:r w:rsidRPr="00343E32">
                <w:rPr>
                  <w:rStyle w:val="Hyperlink"/>
                  <w:rFonts w:cs="Calibri"/>
                  <w:szCs w:val="28"/>
                </w:rPr>
                <w:t>Regulation (EC) No 1899/2006</w:t>
              </w:r>
            </w:hyperlink>
            <w:r w:rsidRPr="00105211">
              <w:rPr>
                <w:rFonts w:cs="Calibri"/>
                <w:szCs w:val="28"/>
              </w:rPr>
              <w:t xml:space="preserve"> of the European Parliament and of the Council of 12 December 2006 amending Council Regulation (EEC) No 3922/91 on the </w:t>
            </w:r>
            <w:r w:rsidRPr="00234D28">
              <w:rPr>
                <w:rFonts w:cs="Calibri"/>
                <w:b/>
                <w:szCs w:val="28"/>
              </w:rPr>
              <w:t>harmonisation of technical requirements and administrative procedures in the field of civil aviation</w:t>
            </w:r>
          </w:p>
          <w:p w14:paraId="68D4388A" w14:textId="77777777" w:rsidR="00637EDD" w:rsidRPr="00105211" w:rsidRDefault="00637EDD" w:rsidP="005E641F">
            <w:pPr>
              <w:rPr>
                <w:rFonts w:cs="Calibri"/>
                <w:szCs w:val="28"/>
              </w:rPr>
            </w:pPr>
          </w:p>
          <w:p w14:paraId="3089FF25" w14:textId="77777777" w:rsidR="00637EDD" w:rsidRDefault="00637EDD" w:rsidP="005E641F">
            <w:pPr>
              <w:rPr>
                <w:rFonts w:cs="Calibri"/>
                <w:szCs w:val="28"/>
              </w:rPr>
            </w:pPr>
            <w:hyperlink r:id="rId29" w:history="1">
              <w:r w:rsidRPr="00251112">
                <w:rPr>
                  <w:rStyle w:val="Hyperlink"/>
                  <w:rFonts w:cs="Calibri"/>
                  <w:szCs w:val="28"/>
                </w:rPr>
                <w:t>Regulation (EC) No 1371/2007</w:t>
              </w:r>
            </w:hyperlink>
            <w:r w:rsidRPr="00105211">
              <w:rPr>
                <w:rFonts w:cs="Calibri"/>
                <w:szCs w:val="28"/>
              </w:rPr>
              <w:t xml:space="preserve"> of the European Parliament and of the Council of 23 October 2007 on </w:t>
            </w:r>
            <w:r w:rsidRPr="00234D28">
              <w:rPr>
                <w:rFonts w:cs="Calibri"/>
                <w:b/>
                <w:szCs w:val="28"/>
              </w:rPr>
              <w:t>rail passengers’ rights and obligations</w:t>
            </w:r>
          </w:p>
          <w:p w14:paraId="390DEF54" w14:textId="77777777" w:rsidR="00637EDD" w:rsidRPr="00105211" w:rsidRDefault="00637EDD" w:rsidP="005E641F">
            <w:pPr>
              <w:rPr>
                <w:rFonts w:cs="Calibri"/>
                <w:szCs w:val="28"/>
              </w:rPr>
            </w:pPr>
          </w:p>
          <w:p w14:paraId="66A34EE4" w14:textId="77777777" w:rsidR="00637EDD" w:rsidRDefault="00637EDD" w:rsidP="005E641F">
            <w:pPr>
              <w:rPr>
                <w:rFonts w:cs="Calibri"/>
                <w:szCs w:val="28"/>
              </w:rPr>
            </w:pPr>
            <w:hyperlink r:id="rId30" w:history="1">
              <w:r w:rsidRPr="00766310">
                <w:rPr>
                  <w:rStyle w:val="Hyperlink"/>
                  <w:rFonts w:cs="Calibri"/>
                  <w:szCs w:val="28"/>
                </w:rPr>
                <w:t>Regulation (EC) No 78/2009</w:t>
              </w:r>
            </w:hyperlink>
            <w:r w:rsidRPr="00105211">
              <w:rPr>
                <w:rFonts w:cs="Calibri"/>
                <w:szCs w:val="28"/>
              </w:rPr>
              <w:t xml:space="preserve"> of the European Parliament and of the Council of 14 January 2009 on the </w:t>
            </w:r>
            <w:r w:rsidRPr="00234D28">
              <w:rPr>
                <w:rFonts w:cs="Calibri"/>
                <w:b/>
                <w:szCs w:val="28"/>
              </w:rPr>
              <w:t>type-approval of motor vehicles with regard to the protection of pedestrians and other vulnerable road users</w:t>
            </w:r>
            <w:r w:rsidRPr="00105211">
              <w:rPr>
                <w:rFonts w:cs="Calibri"/>
                <w:szCs w:val="28"/>
              </w:rPr>
              <w:t>, amending Directive 2007/46/EC and repealing Directives 2003/102/EC and 2005/66/EC</w:t>
            </w:r>
          </w:p>
          <w:p w14:paraId="221677D1" w14:textId="77777777" w:rsidR="00637EDD" w:rsidRPr="00105211" w:rsidRDefault="00637EDD" w:rsidP="005E641F">
            <w:pPr>
              <w:rPr>
                <w:rFonts w:cs="Calibri"/>
                <w:szCs w:val="28"/>
              </w:rPr>
            </w:pPr>
          </w:p>
          <w:p w14:paraId="52FF517C" w14:textId="77777777" w:rsidR="00637EDD" w:rsidRDefault="00637EDD" w:rsidP="005E641F">
            <w:pPr>
              <w:rPr>
                <w:rFonts w:cs="Calibri"/>
                <w:szCs w:val="28"/>
              </w:rPr>
            </w:pPr>
            <w:hyperlink r:id="rId31" w:history="1">
              <w:r w:rsidRPr="00BB429C">
                <w:rPr>
                  <w:rStyle w:val="Hyperlink"/>
                  <w:rFonts w:cs="Calibri"/>
                  <w:szCs w:val="28"/>
                </w:rPr>
                <w:t>Regulation (EU) No 1177/2010</w:t>
              </w:r>
            </w:hyperlink>
            <w:r w:rsidRPr="00105211">
              <w:rPr>
                <w:rFonts w:cs="Calibri"/>
                <w:szCs w:val="28"/>
              </w:rPr>
              <w:t xml:space="preserve"> of the European Parliament and of the Council of 24 November 2010 concerning the </w:t>
            </w:r>
            <w:r w:rsidRPr="00234D28">
              <w:rPr>
                <w:rFonts w:cs="Calibri"/>
                <w:b/>
                <w:szCs w:val="28"/>
              </w:rPr>
              <w:t>rights of passengers when travelling by sea and inland waterway</w:t>
            </w:r>
            <w:r w:rsidRPr="00105211">
              <w:rPr>
                <w:rFonts w:cs="Calibri"/>
                <w:szCs w:val="28"/>
              </w:rPr>
              <w:t xml:space="preserve"> and amending Regulation (EC) No 2006/2004</w:t>
            </w:r>
          </w:p>
          <w:p w14:paraId="27E5E39B" w14:textId="77777777" w:rsidR="00637EDD" w:rsidRPr="00105211" w:rsidRDefault="00637EDD" w:rsidP="005E641F">
            <w:pPr>
              <w:rPr>
                <w:rFonts w:cs="Calibri"/>
                <w:szCs w:val="28"/>
              </w:rPr>
            </w:pPr>
            <w:r w:rsidRPr="00105211">
              <w:rPr>
                <w:rFonts w:cs="Calibri"/>
                <w:szCs w:val="28"/>
              </w:rPr>
              <w:t xml:space="preserve"> </w:t>
            </w:r>
          </w:p>
          <w:p w14:paraId="395977D1" w14:textId="77777777" w:rsidR="00637EDD" w:rsidRDefault="00637EDD" w:rsidP="005E641F">
            <w:pPr>
              <w:rPr>
                <w:rFonts w:cs="Calibri"/>
                <w:szCs w:val="28"/>
              </w:rPr>
            </w:pPr>
            <w:hyperlink r:id="rId32" w:history="1">
              <w:r w:rsidRPr="009F4FF2">
                <w:rPr>
                  <w:rStyle w:val="Hyperlink"/>
                  <w:rFonts w:cs="Calibri"/>
                  <w:szCs w:val="28"/>
                </w:rPr>
                <w:t>Regulation (EU) No 181/2011</w:t>
              </w:r>
            </w:hyperlink>
            <w:r w:rsidRPr="00105211">
              <w:rPr>
                <w:rFonts w:cs="Calibri"/>
                <w:szCs w:val="28"/>
              </w:rPr>
              <w:t xml:space="preserve"> of the European Parliament and of the Council of 16 February 2011 concerning the </w:t>
            </w:r>
            <w:r w:rsidRPr="00234D28">
              <w:rPr>
                <w:rFonts w:cs="Calibri"/>
                <w:b/>
                <w:szCs w:val="28"/>
              </w:rPr>
              <w:t>rights of passengers in bus and coach transport</w:t>
            </w:r>
            <w:r w:rsidRPr="00105211">
              <w:rPr>
                <w:rFonts w:cs="Calibri"/>
                <w:szCs w:val="28"/>
              </w:rPr>
              <w:t xml:space="preserve"> and amending Regulation (EC) No 2006/2004 </w:t>
            </w:r>
          </w:p>
          <w:p w14:paraId="385663D8" w14:textId="77777777" w:rsidR="00637EDD" w:rsidRDefault="00637EDD" w:rsidP="005E641F">
            <w:pPr>
              <w:rPr>
                <w:rFonts w:cs="Calibri"/>
                <w:szCs w:val="28"/>
              </w:rPr>
            </w:pPr>
          </w:p>
          <w:p w14:paraId="654123EB" w14:textId="77777777" w:rsidR="00637EDD" w:rsidRDefault="00637EDD" w:rsidP="005E641F">
            <w:pPr>
              <w:rPr>
                <w:rFonts w:cs="Calibri"/>
                <w:szCs w:val="28"/>
              </w:rPr>
            </w:pPr>
            <w:hyperlink r:id="rId33" w:history="1">
              <w:r w:rsidRPr="00B13B7D">
                <w:rPr>
                  <w:rStyle w:val="Hyperlink"/>
                  <w:rFonts w:cs="Calibri"/>
                  <w:szCs w:val="28"/>
                </w:rPr>
                <w:t>Regulation (EU) No 305/2011</w:t>
              </w:r>
            </w:hyperlink>
            <w:r w:rsidRPr="00105211">
              <w:rPr>
                <w:rFonts w:cs="Calibri"/>
                <w:szCs w:val="28"/>
              </w:rPr>
              <w:t xml:space="preserve"> of the European Parliament and of the Council of 9 March 2011 laying down </w:t>
            </w:r>
            <w:r w:rsidRPr="006F1A1B">
              <w:rPr>
                <w:rFonts w:cs="Calibri"/>
                <w:b/>
                <w:szCs w:val="28"/>
              </w:rPr>
              <w:t xml:space="preserve">harmonised conditions for the marketing of construction products </w:t>
            </w:r>
            <w:r w:rsidRPr="00105211">
              <w:rPr>
                <w:rFonts w:cs="Calibri"/>
                <w:szCs w:val="28"/>
              </w:rPr>
              <w:t>and repealing Council Directive 89/106/EEC</w:t>
            </w:r>
          </w:p>
          <w:p w14:paraId="0F0BCF08" w14:textId="77777777" w:rsidR="00637EDD" w:rsidRDefault="00637EDD" w:rsidP="005E641F">
            <w:pPr>
              <w:rPr>
                <w:rFonts w:cs="Calibri"/>
                <w:szCs w:val="28"/>
              </w:rPr>
            </w:pPr>
          </w:p>
          <w:p w14:paraId="53122585" w14:textId="77777777" w:rsidR="00637EDD" w:rsidRDefault="00637EDD" w:rsidP="005E641F">
            <w:pPr>
              <w:rPr>
                <w:rFonts w:cs="Calibri"/>
                <w:szCs w:val="28"/>
              </w:rPr>
            </w:pPr>
            <w:hyperlink r:id="rId34" w:history="1">
              <w:r w:rsidRPr="003B4A31">
                <w:rPr>
                  <w:rStyle w:val="Hyperlink"/>
                  <w:rFonts w:cs="Calibri"/>
                  <w:szCs w:val="28"/>
                </w:rPr>
                <w:t>Regulation No 910/2014</w:t>
              </w:r>
            </w:hyperlink>
            <w:r w:rsidRPr="00105211">
              <w:rPr>
                <w:rFonts w:cs="Calibri"/>
                <w:szCs w:val="28"/>
              </w:rPr>
              <w:t xml:space="preserve"> of the European Parliament and of the Council of 23 July 2014 on </w:t>
            </w:r>
            <w:r w:rsidRPr="006F1A1B">
              <w:rPr>
                <w:rFonts w:cs="Calibri"/>
                <w:b/>
                <w:szCs w:val="28"/>
              </w:rPr>
              <w:t>electronic identification and trust services for electronic transactions in the internal market</w:t>
            </w:r>
            <w:r w:rsidRPr="00105211">
              <w:rPr>
                <w:rFonts w:cs="Calibri"/>
                <w:szCs w:val="28"/>
              </w:rPr>
              <w:t xml:space="preserve"> and repealing Directive 1999/93/EC</w:t>
            </w:r>
          </w:p>
          <w:p w14:paraId="7A364152" w14:textId="77777777" w:rsidR="00637EDD" w:rsidRPr="00105211" w:rsidRDefault="00637EDD" w:rsidP="005E641F">
            <w:pPr>
              <w:rPr>
                <w:rFonts w:cs="Calibri"/>
                <w:szCs w:val="28"/>
              </w:rPr>
            </w:pPr>
          </w:p>
          <w:p w14:paraId="0E74D71C" w14:textId="77777777" w:rsidR="00637EDD" w:rsidRDefault="00637EDD" w:rsidP="005E641F">
            <w:pPr>
              <w:rPr>
                <w:rFonts w:cs="Calibri"/>
                <w:szCs w:val="28"/>
              </w:rPr>
            </w:pPr>
            <w:hyperlink r:id="rId35" w:history="1">
              <w:r w:rsidRPr="0049346F">
                <w:rPr>
                  <w:rStyle w:val="Hyperlink"/>
                  <w:rFonts w:cs="Calibri"/>
                  <w:szCs w:val="28"/>
                </w:rPr>
                <w:t>Commission Regulation (EU) No 1300/2014</w:t>
              </w:r>
            </w:hyperlink>
            <w:r w:rsidRPr="00105211">
              <w:rPr>
                <w:rFonts w:cs="Calibri"/>
                <w:szCs w:val="28"/>
              </w:rPr>
              <w:t xml:space="preserve"> of 18 November 2014 on the </w:t>
            </w:r>
            <w:r w:rsidRPr="006F1A1B">
              <w:rPr>
                <w:rFonts w:cs="Calibri"/>
                <w:b/>
                <w:szCs w:val="28"/>
              </w:rPr>
              <w:t>technical specifications for interoperability relating to accessibility of the Union’s rail system for persons with disabilities and persons with reduced mobility</w:t>
            </w:r>
          </w:p>
          <w:p w14:paraId="336D0B70" w14:textId="77777777" w:rsidR="00637EDD" w:rsidRPr="00105211" w:rsidRDefault="00637EDD" w:rsidP="005E641F">
            <w:pPr>
              <w:rPr>
                <w:rFonts w:cs="Calibri"/>
                <w:szCs w:val="28"/>
              </w:rPr>
            </w:pPr>
          </w:p>
          <w:p w14:paraId="795C9F5A" w14:textId="77777777" w:rsidR="00637EDD" w:rsidRDefault="00637EDD" w:rsidP="005E641F">
            <w:pPr>
              <w:rPr>
                <w:rFonts w:cs="Calibri"/>
                <w:szCs w:val="28"/>
              </w:rPr>
            </w:pPr>
            <w:hyperlink r:id="rId36" w:history="1">
              <w:r w:rsidRPr="00DC0353">
                <w:rPr>
                  <w:rStyle w:val="Hyperlink"/>
                  <w:rFonts w:cs="Calibri"/>
                  <w:szCs w:val="28"/>
                </w:rPr>
                <w:t>Regulation (EU) 2016/399</w:t>
              </w:r>
            </w:hyperlink>
            <w:r w:rsidRPr="00105211">
              <w:rPr>
                <w:rFonts w:cs="Calibri"/>
                <w:szCs w:val="28"/>
              </w:rPr>
              <w:t xml:space="preserve"> of the European Parliament and of the Council of 9 March 2016 on a </w:t>
            </w:r>
            <w:r w:rsidRPr="006F1A1B">
              <w:rPr>
                <w:rFonts w:cs="Calibri"/>
                <w:b/>
                <w:szCs w:val="28"/>
              </w:rPr>
              <w:t>Union Code on the rules governing the movement of persons across borders</w:t>
            </w:r>
            <w:r w:rsidRPr="00105211">
              <w:rPr>
                <w:rFonts w:cs="Calibri"/>
                <w:szCs w:val="28"/>
              </w:rPr>
              <w:t>, (as regards parts of the Regulation which relates to border checks)</w:t>
            </w:r>
          </w:p>
          <w:p w14:paraId="715A2D76" w14:textId="77777777" w:rsidR="00637EDD" w:rsidRPr="00105211" w:rsidRDefault="00637EDD" w:rsidP="005E641F">
            <w:pPr>
              <w:rPr>
                <w:rFonts w:cs="Calibri"/>
                <w:szCs w:val="28"/>
              </w:rPr>
            </w:pPr>
          </w:p>
          <w:p w14:paraId="2B8F0C1E" w14:textId="77777777" w:rsidR="00637EDD" w:rsidRDefault="00637EDD" w:rsidP="005E641F">
            <w:pPr>
              <w:rPr>
                <w:rFonts w:cs="Calibri"/>
                <w:szCs w:val="28"/>
              </w:rPr>
            </w:pPr>
            <w:hyperlink r:id="rId37" w:history="1">
              <w:r w:rsidRPr="00F079AF">
                <w:rPr>
                  <w:rStyle w:val="Hyperlink"/>
                  <w:rFonts w:cs="Calibri"/>
                  <w:szCs w:val="28"/>
                </w:rPr>
                <w:t>Regulation (EU) 2016/424</w:t>
              </w:r>
            </w:hyperlink>
            <w:r w:rsidRPr="00105211">
              <w:rPr>
                <w:rFonts w:cs="Calibri"/>
                <w:szCs w:val="28"/>
              </w:rPr>
              <w:t xml:space="preserve"> of the European Parliament and of the Council of 9 March 2016 on </w:t>
            </w:r>
            <w:r w:rsidRPr="00852BFC">
              <w:rPr>
                <w:rFonts w:cs="Calibri"/>
                <w:b/>
                <w:szCs w:val="28"/>
              </w:rPr>
              <w:t>cableway installations</w:t>
            </w:r>
            <w:r w:rsidRPr="00105211">
              <w:rPr>
                <w:rFonts w:cs="Calibri"/>
                <w:szCs w:val="28"/>
              </w:rPr>
              <w:t xml:space="preserve"> and repealing Directive 2000/9/EC</w:t>
            </w:r>
          </w:p>
          <w:p w14:paraId="29D0A54E" w14:textId="77777777" w:rsidR="00637EDD" w:rsidRPr="00105211" w:rsidRDefault="00637EDD" w:rsidP="005E641F">
            <w:pPr>
              <w:rPr>
                <w:rFonts w:cs="Calibri"/>
                <w:szCs w:val="28"/>
              </w:rPr>
            </w:pPr>
          </w:p>
          <w:p w14:paraId="446262F9" w14:textId="77777777" w:rsidR="00637EDD" w:rsidRDefault="00637EDD" w:rsidP="005E641F">
            <w:pPr>
              <w:rPr>
                <w:rFonts w:cs="Calibri"/>
                <w:szCs w:val="28"/>
              </w:rPr>
            </w:pPr>
            <w:hyperlink r:id="rId38" w:history="1">
              <w:r w:rsidRPr="009C6DFA">
                <w:rPr>
                  <w:rStyle w:val="Hyperlink"/>
                  <w:rFonts w:cs="Calibri"/>
                  <w:szCs w:val="28"/>
                </w:rPr>
                <w:t>Regulation (EU) 2017/1563</w:t>
              </w:r>
            </w:hyperlink>
            <w:r w:rsidRPr="00105211">
              <w:rPr>
                <w:rFonts w:cs="Calibri"/>
                <w:szCs w:val="28"/>
              </w:rPr>
              <w:t xml:space="preserve"> of the European Parliament and of the Council of 13 September 2017 on the </w:t>
            </w:r>
            <w:r w:rsidRPr="00852BFC">
              <w:rPr>
                <w:rFonts w:cs="Calibri"/>
                <w:b/>
                <w:szCs w:val="28"/>
              </w:rPr>
              <w:t xml:space="preserve">cross-border exchange between the Union and third countries of accessible format copies of certain works and other subject matter protected by copyright </w:t>
            </w:r>
            <w:r w:rsidRPr="00105211">
              <w:rPr>
                <w:rFonts w:cs="Calibri"/>
                <w:szCs w:val="28"/>
              </w:rPr>
              <w:t xml:space="preserve">and related rights for the benefit of </w:t>
            </w:r>
            <w:r w:rsidRPr="00852BFC">
              <w:rPr>
                <w:rFonts w:cs="Calibri"/>
                <w:b/>
                <w:szCs w:val="28"/>
              </w:rPr>
              <w:t>persons who are blind, visually impaired or otherwise print-disabled</w:t>
            </w:r>
            <w:r w:rsidRPr="00105211">
              <w:rPr>
                <w:rFonts w:cs="Calibri"/>
                <w:szCs w:val="28"/>
              </w:rPr>
              <w:t xml:space="preserve"> </w:t>
            </w:r>
          </w:p>
          <w:p w14:paraId="60D2E185" w14:textId="77777777" w:rsidR="00637EDD" w:rsidRPr="00105211" w:rsidRDefault="00637EDD" w:rsidP="005E641F">
            <w:pPr>
              <w:rPr>
                <w:rFonts w:cs="Calibri"/>
                <w:szCs w:val="28"/>
              </w:rPr>
            </w:pPr>
          </w:p>
          <w:p w14:paraId="152299FD" w14:textId="77777777" w:rsidR="00637EDD" w:rsidRDefault="00637EDD" w:rsidP="005E641F">
            <w:pPr>
              <w:rPr>
                <w:rFonts w:cs="Calibri"/>
                <w:szCs w:val="28"/>
              </w:rPr>
            </w:pPr>
            <w:hyperlink r:id="rId39" w:history="1">
              <w:r w:rsidRPr="000575B9">
                <w:rPr>
                  <w:rStyle w:val="Hyperlink"/>
                  <w:rFonts w:cs="Calibri"/>
                  <w:szCs w:val="28"/>
                </w:rPr>
                <w:t>Regulation (EU) 2017/2394</w:t>
              </w:r>
            </w:hyperlink>
            <w:r w:rsidRPr="00105211">
              <w:rPr>
                <w:rFonts w:cs="Calibri"/>
                <w:szCs w:val="28"/>
              </w:rPr>
              <w:t xml:space="preserve"> of the European Parliament and of the Council of 12 December 2017 on </w:t>
            </w:r>
            <w:r w:rsidRPr="00852BFC">
              <w:rPr>
                <w:rFonts w:cs="Calibri"/>
                <w:b/>
                <w:szCs w:val="28"/>
              </w:rPr>
              <w:t>cooperation between national authorities responsible for the enforcement of consumer protection laws</w:t>
            </w:r>
            <w:r w:rsidRPr="00105211">
              <w:rPr>
                <w:rFonts w:cs="Calibri"/>
                <w:szCs w:val="28"/>
              </w:rPr>
              <w:t xml:space="preserve"> and repealing Regulation EC No 2006/2004</w:t>
            </w:r>
          </w:p>
          <w:p w14:paraId="6B7A3D40" w14:textId="77777777" w:rsidR="00637EDD" w:rsidRPr="00105211" w:rsidRDefault="00637EDD" w:rsidP="005E641F">
            <w:pPr>
              <w:rPr>
                <w:rFonts w:cs="Calibri"/>
                <w:szCs w:val="28"/>
              </w:rPr>
            </w:pPr>
          </w:p>
          <w:p w14:paraId="4B8C9EE2" w14:textId="77777777" w:rsidR="00637EDD" w:rsidRDefault="00637EDD" w:rsidP="005E641F">
            <w:pPr>
              <w:rPr>
                <w:rFonts w:cs="Calibri"/>
                <w:b/>
                <w:szCs w:val="28"/>
              </w:rPr>
            </w:pPr>
            <w:hyperlink r:id="rId40" w:history="1">
              <w:r w:rsidRPr="00141E09">
                <w:rPr>
                  <w:rStyle w:val="Hyperlink"/>
                  <w:rFonts w:cs="Calibri"/>
                  <w:szCs w:val="28"/>
                </w:rPr>
                <w:t>Regulation (EU) 2019/772</w:t>
              </w:r>
            </w:hyperlink>
            <w:r w:rsidRPr="00105211">
              <w:rPr>
                <w:rFonts w:cs="Calibri"/>
                <w:szCs w:val="28"/>
              </w:rPr>
              <w:t xml:space="preserve"> of 16 May 2019 amending Regulation (EU) No        1300/2014 as regards </w:t>
            </w:r>
            <w:r w:rsidRPr="007A6078">
              <w:rPr>
                <w:rFonts w:cs="Calibri"/>
                <w:b/>
                <w:szCs w:val="28"/>
              </w:rPr>
              <w:t>inventory of assets with a view to identifying barriers to accessibility, providing information to users and monitoring and evaluating progress on accessibility</w:t>
            </w:r>
          </w:p>
          <w:p w14:paraId="6CB82DD3" w14:textId="77777777" w:rsidR="00637EDD" w:rsidRPr="00105211" w:rsidRDefault="00637EDD" w:rsidP="005E641F">
            <w:pPr>
              <w:rPr>
                <w:rFonts w:cs="Calibri"/>
                <w:szCs w:val="28"/>
              </w:rPr>
            </w:pPr>
          </w:p>
          <w:p w14:paraId="70C2DCCE" w14:textId="77777777" w:rsidR="00637EDD" w:rsidRDefault="00637EDD" w:rsidP="005E641F">
            <w:pPr>
              <w:rPr>
                <w:rFonts w:cs="Calibri"/>
                <w:szCs w:val="28"/>
              </w:rPr>
            </w:pPr>
            <w:hyperlink r:id="rId41" w:history="1">
              <w:r w:rsidRPr="00FC738C">
                <w:rPr>
                  <w:rStyle w:val="Hyperlink"/>
                  <w:rFonts w:cs="Calibri"/>
                  <w:szCs w:val="28"/>
                </w:rPr>
                <w:t>Regulation (EU) 2019/1896</w:t>
              </w:r>
            </w:hyperlink>
            <w:r w:rsidRPr="00105211">
              <w:rPr>
                <w:rFonts w:cs="Calibri"/>
                <w:szCs w:val="28"/>
              </w:rPr>
              <w:t xml:space="preserve"> of the European Parliament and of the Council of 13 November 2019 on the </w:t>
            </w:r>
            <w:r w:rsidRPr="007A6078">
              <w:rPr>
                <w:rFonts w:cs="Calibri"/>
                <w:b/>
                <w:szCs w:val="28"/>
              </w:rPr>
              <w:t>European Border and Coast Guard</w:t>
            </w:r>
            <w:r w:rsidRPr="00105211">
              <w:rPr>
                <w:rFonts w:cs="Calibri"/>
                <w:szCs w:val="28"/>
              </w:rPr>
              <w:t xml:space="preserve"> and repealing Regulations (EU) No 1052/2013 and (EU) 2016/1624</w:t>
            </w:r>
          </w:p>
          <w:p w14:paraId="1F12C568" w14:textId="77777777" w:rsidR="00637EDD" w:rsidRPr="006D05B8" w:rsidRDefault="00637EDD" w:rsidP="005E641F">
            <w:pPr>
              <w:rPr>
                <w:rFonts w:cs="Calibri"/>
                <w:szCs w:val="28"/>
              </w:rPr>
            </w:pPr>
          </w:p>
        </w:tc>
      </w:tr>
    </w:tbl>
    <w:p w14:paraId="79031488" w14:textId="77777777" w:rsidR="009215CD" w:rsidRDefault="009215CD">
      <w:r>
        <w:br w:type="page"/>
      </w:r>
    </w:p>
    <w:tbl>
      <w:tblPr>
        <w:tblStyle w:val="TableGrid"/>
        <w:tblW w:w="0" w:type="auto"/>
        <w:tblLook w:val="04A0" w:firstRow="1" w:lastRow="0" w:firstColumn="1" w:lastColumn="0" w:noHBand="0" w:noVBand="1"/>
      </w:tblPr>
      <w:tblGrid>
        <w:gridCol w:w="9016"/>
      </w:tblGrid>
      <w:tr w:rsidR="00637EDD" w14:paraId="7D11EE74" w14:textId="77777777" w:rsidTr="005E641F">
        <w:tc>
          <w:tcPr>
            <w:tcW w:w="9016" w:type="dxa"/>
            <w:shd w:val="clear" w:color="auto" w:fill="auto"/>
          </w:tcPr>
          <w:p w14:paraId="685A655C" w14:textId="1428B70C" w:rsidR="00637EDD" w:rsidRDefault="00637EDD" w:rsidP="005E641F">
            <w:pPr>
              <w:rPr>
                <w:rFonts w:cs="Calibri"/>
                <w:b/>
                <w:bCs/>
                <w:sz w:val="32"/>
                <w:szCs w:val="32"/>
              </w:rPr>
            </w:pPr>
            <w:r w:rsidRPr="00FC1909">
              <w:rPr>
                <w:rFonts w:cs="Calibri"/>
                <w:b/>
                <w:bCs/>
                <w:sz w:val="32"/>
                <w:szCs w:val="32"/>
              </w:rPr>
              <w:t xml:space="preserve">Directives </w:t>
            </w:r>
          </w:p>
          <w:p w14:paraId="6EEF5A8D" w14:textId="77777777" w:rsidR="00637EDD" w:rsidRPr="00FC1909" w:rsidRDefault="00637EDD" w:rsidP="005E641F">
            <w:pPr>
              <w:rPr>
                <w:rFonts w:cs="Calibri"/>
                <w:b/>
                <w:bCs/>
                <w:sz w:val="32"/>
                <w:szCs w:val="32"/>
              </w:rPr>
            </w:pPr>
          </w:p>
          <w:p w14:paraId="6F71D525" w14:textId="77777777" w:rsidR="00637EDD" w:rsidRPr="00FC1909" w:rsidRDefault="00637EDD" w:rsidP="005E641F">
            <w:pPr>
              <w:rPr>
                <w:rFonts w:cs="Calibri"/>
                <w:b/>
                <w:bCs/>
                <w:sz w:val="32"/>
                <w:szCs w:val="32"/>
              </w:rPr>
            </w:pPr>
            <w:r w:rsidRPr="00FC1909">
              <w:rPr>
                <w:rFonts w:cs="Calibri"/>
                <w:b/>
                <w:bCs/>
                <w:sz w:val="32"/>
                <w:szCs w:val="32"/>
              </w:rPr>
              <w:t>Annex 1 Directives</w:t>
            </w:r>
          </w:p>
          <w:p w14:paraId="26F749C2" w14:textId="77777777" w:rsidR="00637EDD" w:rsidRPr="00FC1909" w:rsidRDefault="00637EDD" w:rsidP="005E641F">
            <w:pPr>
              <w:rPr>
                <w:rFonts w:cs="Calibri"/>
                <w:szCs w:val="28"/>
              </w:rPr>
            </w:pPr>
            <w:hyperlink r:id="rId42" w:history="1">
              <w:r w:rsidRPr="00EA6AF8">
                <w:rPr>
                  <w:rStyle w:val="Hyperlink"/>
                  <w:rFonts w:cs="Calibri"/>
                  <w:szCs w:val="28"/>
                </w:rPr>
                <w:t>Council Directive 79/7/EEC</w:t>
              </w:r>
            </w:hyperlink>
            <w:r w:rsidRPr="00FC1909">
              <w:rPr>
                <w:rFonts w:cs="Calibri"/>
                <w:szCs w:val="28"/>
              </w:rPr>
              <w:t xml:space="preserve"> </w:t>
            </w:r>
          </w:p>
          <w:p w14:paraId="51C80957" w14:textId="77777777" w:rsidR="00637EDD" w:rsidRPr="00FC1909" w:rsidRDefault="00637EDD" w:rsidP="005E641F">
            <w:pPr>
              <w:rPr>
                <w:rFonts w:cs="Calibri"/>
                <w:szCs w:val="28"/>
              </w:rPr>
            </w:pPr>
            <w:hyperlink r:id="rId43" w:history="1">
              <w:r w:rsidRPr="005245DD">
                <w:rPr>
                  <w:rStyle w:val="Hyperlink"/>
                  <w:rFonts w:cs="Calibri"/>
                  <w:szCs w:val="28"/>
                </w:rPr>
                <w:t>Council Directive 2000/43/EC</w:t>
              </w:r>
            </w:hyperlink>
            <w:r w:rsidRPr="00FC1909">
              <w:rPr>
                <w:rFonts w:cs="Calibri"/>
                <w:szCs w:val="28"/>
              </w:rPr>
              <w:t xml:space="preserve"> </w:t>
            </w:r>
          </w:p>
          <w:p w14:paraId="66F6EE91" w14:textId="77777777" w:rsidR="00637EDD" w:rsidRPr="00FC1909" w:rsidRDefault="00637EDD" w:rsidP="005E641F">
            <w:pPr>
              <w:rPr>
                <w:rFonts w:cs="Calibri"/>
                <w:szCs w:val="28"/>
              </w:rPr>
            </w:pPr>
            <w:hyperlink r:id="rId44" w:history="1">
              <w:r w:rsidRPr="001E28C7">
                <w:rPr>
                  <w:rStyle w:val="Hyperlink"/>
                  <w:rFonts w:cs="Calibri"/>
                  <w:szCs w:val="28"/>
                </w:rPr>
                <w:t>Council Directive 2000/78/EC</w:t>
              </w:r>
            </w:hyperlink>
            <w:r w:rsidRPr="00FC1909">
              <w:rPr>
                <w:rFonts w:cs="Calibri"/>
                <w:szCs w:val="28"/>
              </w:rPr>
              <w:t xml:space="preserve"> </w:t>
            </w:r>
          </w:p>
          <w:p w14:paraId="53756DA4" w14:textId="77777777" w:rsidR="00637EDD" w:rsidRPr="00FC1909" w:rsidRDefault="00637EDD" w:rsidP="005E641F">
            <w:pPr>
              <w:rPr>
                <w:rFonts w:cs="Calibri"/>
                <w:szCs w:val="28"/>
              </w:rPr>
            </w:pPr>
            <w:hyperlink r:id="rId45" w:history="1">
              <w:r w:rsidRPr="003E6824">
                <w:rPr>
                  <w:rStyle w:val="Hyperlink"/>
                  <w:rFonts w:cs="Calibri"/>
                  <w:szCs w:val="28"/>
                </w:rPr>
                <w:t>Council Directive 2004/113/EC</w:t>
              </w:r>
            </w:hyperlink>
            <w:r w:rsidRPr="00FC1909">
              <w:rPr>
                <w:rFonts w:cs="Calibri"/>
                <w:szCs w:val="28"/>
              </w:rPr>
              <w:t xml:space="preserve"> </w:t>
            </w:r>
          </w:p>
          <w:p w14:paraId="11BA269B" w14:textId="77777777" w:rsidR="00637EDD" w:rsidRPr="00FC1909" w:rsidRDefault="00637EDD" w:rsidP="005E641F">
            <w:pPr>
              <w:rPr>
                <w:rFonts w:cs="Calibri"/>
                <w:szCs w:val="28"/>
              </w:rPr>
            </w:pPr>
            <w:hyperlink r:id="rId46" w:history="1">
              <w:r w:rsidRPr="00242870">
                <w:rPr>
                  <w:rStyle w:val="Hyperlink"/>
                  <w:rFonts w:cs="Calibri"/>
                  <w:szCs w:val="28"/>
                </w:rPr>
                <w:t>Directive 2006/54/EC</w:t>
              </w:r>
            </w:hyperlink>
            <w:r w:rsidRPr="00FC1909">
              <w:rPr>
                <w:rFonts w:cs="Calibri"/>
                <w:szCs w:val="28"/>
              </w:rPr>
              <w:t xml:space="preserve"> </w:t>
            </w:r>
          </w:p>
          <w:p w14:paraId="01C6A6BC" w14:textId="77777777" w:rsidR="00637EDD" w:rsidRPr="00FC1909" w:rsidRDefault="00637EDD" w:rsidP="005E641F">
            <w:pPr>
              <w:rPr>
                <w:rFonts w:cs="Calibri"/>
                <w:szCs w:val="28"/>
              </w:rPr>
            </w:pPr>
            <w:hyperlink r:id="rId47" w:history="1">
              <w:r w:rsidRPr="002D1B06">
                <w:rPr>
                  <w:rStyle w:val="Hyperlink"/>
                  <w:rFonts w:cs="Calibri"/>
                  <w:szCs w:val="28"/>
                </w:rPr>
                <w:t>Directive 2010/41/EU</w:t>
              </w:r>
            </w:hyperlink>
            <w:r w:rsidRPr="00FC1909">
              <w:rPr>
                <w:rFonts w:cs="Calibri"/>
                <w:szCs w:val="28"/>
              </w:rPr>
              <w:t xml:space="preserve"> </w:t>
            </w:r>
          </w:p>
          <w:p w14:paraId="3CF73797" w14:textId="77777777" w:rsidR="00637EDD" w:rsidRPr="00FC1909" w:rsidRDefault="00637EDD" w:rsidP="005E641F">
            <w:pPr>
              <w:rPr>
                <w:rFonts w:cs="Calibri"/>
                <w:b/>
                <w:bCs/>
                <w:sz w:val="32"/>
                <w:szCs w:val="32"/>
              </w:rPr>
            </w:pPr>
          </w:p>
          <w:p w14:paraId="731C65A9" w14:textId="77777777" w:rsidR="00637EDD" w:rsidRPr="00FC1909" w:rsidRDefault="00637EDD" w:rsidP="005E641F">
            <w:pPr>
              <w:rPr>
                <w:rFonts w:cs="Calibri"/>
                <w:b/>
                <w:bCs/>
                <w:sz w:val="32"/>
                <w:szCs w:val="32"/>
              </w:rPr>
            </w:pPr>
            <w:r w:rsidRPr="00FC1909">
              <w:rPr>
                <w:rFonts w:cs="Calibri"/>
                <w:b/>
                <w:bCs/>
                <w:sz w:val="32"/>
                <w:szCs w:val="32"/>
              </w:rPr>
              <w:t>Non-Annex 1 Directives</w:t>
            </w:r>
          </w:p>
          <w:p w14:paraId="58755367" w14:textId="77777777" w:rsidR="00637EDD" w:rsidRPr="007114D6" w:rsidRDefault="00637EDD" w:rsidP="005E641F">
            <w:pPr>
              <w:rPr>
                <w:rFonts w:cs="Calibri"/>
                <w:szCs w:val="28"/>
              </w:rPr>
            </w:pPr>
            <w:hyperlink r:id="rId48" w:history="1">
              <w:r w:rsidRPr="00165AD9">
                <w:rPr>
                  <w:rStyle w:val="Hyperlink"/>
                  <w:rFonts w:cs="Calibri"/>
                  <w:szCs w:val="28"/>
                </w:rPr>
                <w:t>Council Directive 89/654/EEC</w:t>
              </w:r>
            </w:hyperlink>
            <w:r w:rsidRPr="007114D6">
              <w:rPr>
                <w:rFonts w:cs="Calibri"/>
                <w:szCs w:val="28"/>
              </w:rPr>
              <w:t xml:space="preserve"> of 30 November 1989 concerning the </w:t>
            </w:r>
            <w:r w:rsidRPr="007A6078">
              <w:rPr>
                <w:rFonts w:cs="Calibri"/>
                <w:b/>
                <w:szCs w:val="28"/>
              </w:rPr>
              <w:t xml:space="preserve">minimum safety and health requirements for the workplace </w:t>
            </w:r>
            <w:r w:rsidRPr="007114D6">
              <w:rPr>
                <w:rFonts w:cs="Calibri"/>
                <w:szCs w:val="28"/>
              </w:rPr>
              <w:t>(first individual directive within the meaning of Article 16 (1) of Directive 89/391/EEC)</w:t>
            </w:r>
          </w:p>
          <w:p w14:paraId="280D68FE" w14:textId="77777777" w:rsidR="00637EDD" w:rsidRPr="007114D6" w:rsidRDefault="00637EDD" w:rsidP="005E641F">
            <w:pPr>
              <w:rPr>
                <w:rFonts w:cs="Calibri"/>
                <w:szCs w:val="28"/>
              </w:rPr>
            </w:pPr>
          </w:p>
          <w:p w14:paraId="25819232" w14:textId="77777777" w:rsidR="00637EDD" w:rsidRPr="007A6078" w:rsidRDefault="00637EDD" w:rsidP="005E641F">
            <w:pPr>
              <w:rPr>
                <w:rFonts w:cs="Calibri"/>
                <w:b/>
                <w:szCs w:val="28"/>
              </w:rPr>
            </w:pPr>
            <w:hyperlink r:id="rId49" w:history="1">
              <w:r w:rsidRPr="005E04F2">
                <w:rPr>
                  <w:rStyle w:val="Hyperlink"/>
                  <w:rFonts w:cs="Calibri"/>
                  <w:szCs w:val="28"/>
                </w:rPr>
                <w:t>Council Directive 92/13/EEC</w:t>
              </w:r>
            </w:hyperlink>
            <w:r w:rsidRPr="007114D6">
              <w:rPr>
                <w:rFonts w:cs="Calibri"/>
                <w:szCs w:val="28"/>
              </w:rPr>
              <w:t xml:space="preserve"> of 25 February 1992 coordinating the laws, regulations and administrative provisions relating to the application of Community rules on the </w:t>
            </w:r>
            <w:r w:rsidRPr="007A6078">
              <w:rPr>
                <w:rFonts w:cs="Calibri"/>
                <w:b/>
                <w:szCs w:val="28"/>
              </w:rPr>
              <w:t>procurement procedures of entities operating in the water, energy, transport and telecommunications sectors</w:t>
            </w:r>
          </w:p>
          <w:p w14:paraId="76D24B4C" w14:textId="77777777" w:rsidR="00637EDD" w:rsidRPr="007114D6" w:rsidRDefault="00637EDD" w:rsidP="005E641F">
            <w:pPr>
              <w:rPr>
                <w:rFonts w:cs="Calibri"/>
                <w:szCs w:val="28"/>
              </w:rPr>
            </w:pPr>
          </w:p>
          <w:p w14:paraId="7C9F9938" w14:textId="77777777" w:rsidR="00637EDD" w:rsidRDefault="00637EDD" w:rsidP="005E641F">
            <w:pPr>
              <w:rPr>
                <w:rFonts w:cs="Calibri"/>
                <w:szCs w:val="28"/>
              </w:rPr>
            </w:pPr>
            <w:hyperlink r:id="rId50" w:history="1">
              <w:r w:rsidRPr="00ED2786">
                <w:rPr>
                  <w:rStyle w:val="Hyperlink"/>
                  <w:rFonts w:cs="Calibri"/>
                  <w:szCs w:val="28"/>
                </w:rPr>
                <w:t>Council Directive 92/85/EEC</w:t>
              </w:r>
            </w:hyperlink>
            <w:r w:rsidRPr="007114D6">
              <w:rPr>
                <w:rFonts w:cs="Calibri"/>
                <w:szCs w:val="28"/>
              </w:rPr>
              <w:t xml:space="preserve"> of 19 October 1992 on the introduction of measures to encourage improvements in the </w:t>
            </w:r>
            <w:r w:rsidRPr="007A6078">
              <w:rPr>
                <w:rFonts w:cs="Calibri"/>
                <w:b/>
                <w:szCs w:val="28"/>
              </w:rPr>
              <w:t xml:space="preserve">safety and health of pregnant workers </w:t>
            </w:r>
            <w:r w:rsidRPr="007114D6">
              <w:rPr>
                <w:rFonts w:cs="Calibri"/>
                <w:szCs w:val="28"/>
              </w:rPr>
              <w:t xml:space="preserve">and workers who have </w:t>
            </w:r>
            <w:r w:rsidRPr="007A6078">
              <w:rPr>
                <w:rFonts w:cs="Calibri"/>
                <w:b/>
                <w:szCs w:val="28"/>
              </w:rPr>
              <w:t>recently given birth or are breastfeeding</w:t>
            </w:r>
            <w:r w:rsidRPr="007114D6">
              <w:rPr>
                <w:rFonts w:cs="Calibri"/>
                <w:szCs w:val="28"/>
              </w:rPr>
              <w:t xml:space="preserve"> (tenth individual Directive within the meaning of Article 16 (1) of Directive 89/391/EEC)</w:t>
            </w:r>
          </w:p>
          <w:p w14:paraId="11C5E7DE" w14:textId="77777777" w:rsidR="00637EDD" w:rsidRPr="007114D6" w:rsidRDefault="00637EDD" w:rsidP="005E641F">
            <w:pPr>
              <w:rPr>
                <w:rFonts w:cs="Calibri"/>
                <w:szCs w:val="28"/>
              </w:rPr>
            </w:pPr>
          </w:p>
          <w:p w14:paraId="705CE020" w14:textId="77777777" w:rsidR="00637EDD" w:rsidRPr="007114D6" w:rsidRDefault="00637EDD" w:rsidP="005E641F">
            <w:pPr>
              <w:rPr>
                <w:rFonts w:cs="Calibri"/>
                <w:szCs w:val="28"/>
              </w:rPr>
            </w:pPr>
            <w:hyperlink r:id="rId51" w:history="1">
              <w:r w:rsidRPr="0077171E">
                <w:rPr>
                  <w:rStyle w:val="Hyperlink"/>
                  <w:rFonts w:cs="Calibri"/>
                  <w:szCs w:val="28"/>
                </w:rPr>
                <w:t>Council Directive 97/81/EC</w:t>
              </w:r>
            </w:hyperlink>
            <w:r w:rsidRPr="007114D6">
              <w:rPr>
                <w:rFonts w:cs="Calibri"/>
                <w:szCs w:val="28"/>
              </w:rPr>
              <w:t xml:space="preserve"> of 15 December 1997 concerning the Framework Agreement on </w:t>
            </w:r>
            <w:r w:rsidRPr="007A6078">
              <w:rPr>
                <w:rFonts w:cs="Calibri"/>
                <w:b/>
                <w:szCs w:val="28"/>
              </w:rPr>
              <w:t>part-time work</w:t>
            </w:r>
            <w:r w:rsidRPr="007114D6">
              <w:rPr>
                <w:rFonts w:cs="Calibri"/>
                <w:szCs w:val="28"/>
              </w:rPr>
              <w:t xml:space="preserve"> concluded by UNICE, CEEP and the ETUC</w:t>
            </w:r>
          </w:p>
          <w:p w14:paraId="360F1979" w14:textId="77777777" w:rsidR="00637EDD" w:rsidRPr="007114D6" w:rsidRDefault="00637EDD" w:rsidP="005E641F">
            <w:pPr>
              <w:rPr>
                <w:rFonts w:cs="Calibri"/>
                <w:szCs w:val="28"/>
              </w:rPr>
            </w:pPr>
          </w:p>
          <w:p w14:paraId="7C50F585" w14:textId="4619D023" w:rsidR="00637EDD" w:rsidRDefault="00637EDD" w:rsidP="005E641F">
            <w:pPr>
              <w:rPr>
                <w:rFonts w:cs="Calibri"/>
                <w:szCs w:val="28"/>
              </w:rPr>
            </w:pPr>
            <w:hyperlink r:id="rId52" w:history="1">
              <w:r w:rsidRPr="002F77EB">
                <w:rPr>
                  <w:rStyle w:val="Hyperlink"/>
                  <w:rFonts w:cs="Calibri"/>
                  <w:szCs w:val="28"/>
                </w:rPr>
                <w:t>Council Directive 99/70/EC</w:t>
              </w:r>
            </w:hyperlink>
            <w:r w:rsidRPr="007114D6">
              <w:rPr>
                <w:rFonts w:cs="Calibri"/>
                <w:szCs w:val="28"/>
              </w:rPr>
              <w:t xml:space="preserve"> of 28 June 1999 concerning the framework agreement on </w:t>
            </w:r>
            <w:r w:rsidRPr="007A6078">
              <w:rPr>
                <w:rFonts w:cs="Calibri"/>
                <w:b/>
                <w:szCs w:val="28"/>
              </w:rPr>
              <w:t>fixed-term work</w:t>
            </w:r>
            <w:r w:rsidRPr="007114D6">
              <w:rPr>
                <w:rFonts w:cs="Calibri"/>
                <w:szCs w:val="28"/>
              </w:rPr>
              <w:t xml:space="preserve"> concluded by ETUC, UNICE and CEEP</w:t>
            </w:r>
          </w:p>
          <w:p w14:paraId="67529931" w14:textId="77777777" w:rsidR="009215CD" w:rsidRPr="007114D6" w:rsidRDefault="009215CD" w:rsidP="005E641F">
            <w:pPr>
              <w:rPr>
                <w:rFonts w:cs="Calibri"/>
                <w:szCs w:val="28"/>
              </w:rPr>
            </w:pPr>
          </w:p>
          <w:p w14:paraId="48E7E2DB" w14:textId="77777777" w:rsidR="00637EDD" w:rsidRPr="007114D6" w:rsidRDefault="00637EDD" w:rsidP="005E641F">
            <w:pPr>
              <w:rPr>
                <w:rFonts w:cs="Calibri"/>
                <w:szCs w:val="28"/>
              </w:rPr>
            </w:pPr>
            <w:hyperlink r:id="rId53" w:history="1">
              <w:r w:rsidRPr="00D338F1">
                <w:rPr>
                  <w:rStyle w:val="Hyperlink"/>
                  <w:rFonts w:cs="Calibri"/>
                  <w:szCs w:val="28"/>
                </w:rPr>
                <w:t>Directive 2001/29/EC</w:t>
              </w:r>
            </w:hyperlink>
            <w:r w:rsidRPr="007114D6">
              <w:rPr>
                <w:rFonts w:cs="Calibri"/>
                <w:szCs w:val="28"/>
              </w:rPr>
              <w:t xml:space="preserve"> of the European Parliament and of the Council of 22 May 2001 on the harmonisation of certain aspects of </w:t>
            </w:r>
            <w:r w:rsidRPr="007A6078">
              <w:rPr>
                <w:rFonts w:cs="Calibri"/>
                <w:b/>
                <w:szCs w:val="28"/>
              </w:rPr>
              <w:t>copyright</w:t>
            </w:r>
            <w:r w:rsidRPr="007114D6">
              <w:rPr>
                <w:rFonts w:cs="Calibri"/>
                <w:szCs w:val="28"/>
              </w:rPr>
              <w:t xml:space="preserve"> and </w:t>
            </w:r>
            <w:r w:rsidRPr="007A6078">
              <w:rPr>
                <w:rFonts w:cs="Calibri"/>
                <w:b/>
                <w:szCs w:val="28"/>
              </w:rPr>
              <w:t xml:space="preserve">related rights in the information society </w:t>
            </w:r>
            <w:r w:rsidRPr="007114D6">
              <w:rPr>
                <w:rFonts w:cs="Calibri"/>
                <w:szCs w:val="28"/>
              </w:rPr>
              <w:t>(‘</w:t>
            </w:r>
            <w:proofErr w:type="spellStart"/>
            <w:r w:rsidRPr="007114D6">
              <w:rPr>
                <w:rFonts w:cs="Calibri"/>
                <w:szCs w:val="28"/>
              </w:rPr>
              <w:t>Infosoc</w:t>
            </w:r>
            <w:proofErr w:type="spellEnd"/>
            <w:r w:rsidRPr="007114D6">
              <w:rPr>
                <w:rFonts w:cs="Calibri"/>
                <w:szCs w:val="28"/>
              </w:rPr>
              <w:t xml:space="preserve"> Directive’)</w:t>
            </w:r>
          </w:p>
          <w:p w14:paraId="02F6C900" w14:textId="77777777" w:rsidR="00637EDD" w:rsidRPr="007114D6" w:rsidRDefault="00637EDD" w:rsidP="005E641F">
            <w:pPr>
              <w:rPr>
                <w:rFonts w:cs="Calibri"/>
                <w:szCs w:val="28"/>
              </w:rPr>
            </w:pPr>
          </w:p>
          <w:p w14:paraId="5089A585" w14:textId="77777777" w:rsidR="00637EDD" w:rsidRPr="007114D6" w:rsidRDefault="00637EDD" w:rsidP="005E641F">
            <w:pPr>
              <w:rPr>
                <w:rFonts w:cs="Calibri"/>
                <w:szCs w:val="28"/>
              </w:rPr>
            </w:pPr>
            <w:hyperlink r:id="rId54" w:history="1">
              <w:r w:rsidRPr="008A69E9">
                <w:rPr>
                  <w:rStyle w:val="Hyperlink"/>
                  <w:rFonts w:cs="Calibri"/>
                  <w:szCs w:val="28"/>
                </w:rPr>
                <w:t>Council Directive 2003/9/EC</w:t>
              </w:r>
            </w:hyperlink>
            <w:r w:rsidRPr="007114D6">
              <w:rPr>
                <w:rFonts w:cs="Calibri"/>
                <w:szCs w:val="28"/>
              </w:rPr>
              <w:t xml:space="preserve"> of 27 January 2003 laying down </w:t>
            </w:r>
            <w:r w:rsidRPr="007A6078">
              <w:rPr>
                <w:rFonts w:cs="Calibri"/>
                <w:b/>
                <w:szCs w:val="28"/>
              </w:rPr>
              <w:t>minimum standards for the reception of asylum seekers</w:t>
            </w:r>
          </w:p>
          <w:p w14:paraId="4B9FB2B7" w14:textId="77777777" w:rsidR="00637EDD" w:rsidRPr="007114D6" w:rsidRDefault="00637EDD" w:rsidP="005E641F">
            <w:pPr>
              <w:rPr>
                <w:rFonts w:cs="Calibri"/>
                <w:szCs w:val="28"/>
              </w:rPr>
            </w:pPr>
          </w:p>
          <w:p w14:paraId="4897E754" w14:textId="77777777" w:rsidR="00637EDD" w:rsidRDefault="00637EDD" w:rsidP="005E641F">
            <w:pPr>
              <w:rPr>
                <w:rFonts w:cs="Calibri"/>
                <w:szCs w:val="28"/>
              </w:rPr>
            </w:pPr>
            <w:hyperlink r:id="rId55" w:history="1">
              <w:r w:rsidRPr="00F04221">
                <w:rPr>
                  <w:rStyle w:val="Hyperlink"/>
                  <w:rFonts w:cs="Calibri"/>
                  <w:szCs w:val="28"/>
                </w:rPr>
                <w:t>Directive 2003/59/EC</w:t>
              </w:r>
            </w:hyperlink>
            <w:r w:rsidRPr="007114D6">
              <w:rPr>
                <w:rFonts w:cs="Calibri"/>
                <w:szCs w:val="28"/>
              </w:rPr>
              <w:t xml:space="preserve"> of the European Parliament and of the Council of 15 July 2003 on the initial </w:t>
            </w:r>
            <w:r w:rsidRPr="007A6078">
              <w:rPr>
                <w:rFonts w:cs="Calibri"/>
                <w:b/>
                <w:szCs w:val="28"/>
              </w:rPr>
              <w:t>qualification</w:t>
            </w:r>
            <w:r w:rsidRPr="007114D6">
              <w:rPr>
                <w:rFonts w:cs="Calibri"/>
                <w:szCs w:val="28"/>
              </w:rPr>
              <w:t xml:space="preserve"> and periodic </w:t>
            </w:r>
            <w:r w:rsidRPr="007A6078">
              <w:rPr>
                <w:rFonts w:cs="Calibri"/>
                <w:b/>
                <w:szCs w:val="28"/>
              </w:rPr>
              <w:t>training</w:t>
            </w:r>
            <w:r w:rsidRPr="007114D6">
              <w:rPr>
                <w:rFonts w:cs="Calibri"/>
                <w:szCs w:val="28"/>
              </w:rPr>
              <w:t xml:space="preserve"> of </w:t>
            </w:r>
            <w:r w:rsidRPr="007A6078">
              <w:rPr>
                <w:rFonts w:cs="Calibri"/>
                <w:b/>
                <w:szCs w:val="28"/>
              </w:rPr>
              <w:t>drivers of certain road vehicles for the carriage of goods or passengers</w:t>
            </w:r>
            <w:r w:rsidRPr="007114D6">
              <w:rPr>
                <w:rFonts w:cs="Calibri"/>
                <w:szCs w:val="28"/>
              </w:rPr>
              <w:t>, amending Council Regulation (EEC) No 3820/85 and Council Directive 91/439/EEC and repealing Council Directive 76/914/EEC</w:t>
            </w:r>
          </w:p>
          <w:p w14:paraId="06925AFC" w14:textId="77777777" w:rsidR="00637EDD" w:rsidRPr="007114D6" w:rsidRDefault="00637EDD" w:rsidP="005E641F">
            <w:pPr>
              <w:rPr>
                <w:rFonts w:cs="Calibri"/>
                <w:szCs w:val="28"/>
              </w:rPr>
            </w:pPr>
          </w:p>
          <w:p w14:paraId="37B92461" w14:textId="77777777" w:rsidR="00637EDD" w:rsidRPr="007114D6" w:rsidRDefault="00637EDD" w:rsidP="005E641F">
            <w:pPr>
              <w:rPr>
                <w:rFonts w:cs="Calibri"/>
                <w:szCs w:val="28"/>
              </w:rPr>
            </w:pPr>
            <w:hyperlink r:id="rId56" w:history="1">
              <w:r w:rsidRPr="008F18B8">
                <w:rPr>
                  <w:rStyle w:val="Hyperlink"/>
                  <w:rFonts w:cs="Calibri"/>
                  <w:szCs w:val="28"/>
                </w:rPr>
                <w:t>Directive 2004/27/EC</w:t>
              </w:r>
            </w:hyperlink>
            <w:r w:rsidRPr="007114D6">
              <w:rPr>
                <w:rFonts w:cs="Calibri"/>
                <w:szCs w:val="28"/>
              </w:rPr>
              <w:t xml:space="preserve"> of the European Parliament and of the Council of 31 March 2004 amending Directive 2001/83/EC on the Community code relating to </w:t>
            </w:r>
            <w:r w:rsidRPr="007A6078">
              <w:rPr>
                <w:rFonts w:cs="Calibri"/>
                <w:b/>
                <w:szCs w:val="28"/>
              </w:rPr>
              <w:t xml:space="preserve">medicinal products for human use </w:t>
            </w:r>
          </w:p>
          <w:p w14:paraId="54B564DE" w14:textId="77777777" w:rsidR="00637EDD" w:rsidRPr="007114D6" w:rsidRDefault="00637EDD" w:rsidP="005E641F">
            <w:pPr>
              <w:rPr>
                <w:rFonts w:cs="Calibri"/>
                <w:szCs w:val="28"/>
              </w:rPr>
            </w:pPr>
          </w:p>
          <w:p w14:paraId="4DEB8B5D" w14:textId="77777777" w:rsidR="00637EDD" w:rsidRDefault="00637EDD" w:rsidP="005E641F">
            <w:pPr>
              <w:rPr>
                <w:rFonts w:cs="Calibri"/>
                <w:szCs w:val="28"/>
              </w:rPr>
            </w:pPr>
            <w:hyperlink r:id="rId57" w:history="1">
              <w:r w:rsidRPr="000F3D8C">
                <w:rPr>
                  <w:rStyle w:val="Hyperlink"/>
                  <w:rFonts w:cs="Calibri"/>
                  <w:szCs w:val="28"/>
                </w:rPr>
                <w:t>Council Directive 2004/83/EC</w:t>
              </w:r>
            </w:hyperlink>
            <w:r w:rsidRPr="007114D6">
              <w:rPr>
                <w:rFonts w:cs="Calibri"/>
                <w:szCs w:val="28"/>
              </w:rPr>
              <w:t xml:space="preserve"> of 29 April 2004 on </w:t>
            </w:r>
            <w:r w:rsidRPr="007A6078">
              <w:rPr>
                <w:rFonts w:cs="Calibri"/>
                <w:b/>
                <w:szCs w:val="28"/>
              </w:rPr>
              <w:t>minimum standards</w:t>
            </w:r>
            <w:r w:rsidRPr="007114D6">
              <w:rPr>
                <w:rFonts w:cs="Calibri"/>
                <w:szCs w:val="28"/>
              </w:rPr>
              <w:t xml:space="preserve"> for the </w:t>
            </w:r>
            <w:r w:rsidRPr="007A6078">
              <w:rPr>
                <w:rFonts w:cs="Calibri"/>
                <w:b/>
                <w:szCs w:val="28"/>
              </w:rPr>
              <w:t>qualification and status of third country nationals or stateless persons as refugees or as persons who otherwise need international protection</w:t>
            </w:r>
            <w:r w:rsidRPr="007114D6">
              <w:rPr>
                <w:rFonts w:cs="Calibri"/>
                <w:szCs w:val="28"/>
              </w:rPr>
              <w:t xml:space="preserve"> and the content of the protection granted</w:t>
            </w:r>
          </w:p>
          <w:p w14:paraId="604E4C25" w14:textId="77777777" w:rsidR="00637EDD" w:rsidRPr="007114D6" w:rsidRDefault="00637EDD" w:rsidP="005E641F">
            <w:pPr>
              <w:rPr>
                <w:rFonts w:cs="Calibri"/>
                <w:szCs w:val="28"/>
              </w:rPr>
            </w:pPr>
          </w:p>
          <w:p w14:paraId="36CC0DB8" w14:textId="77777777" w:rsidR="00637EDD" w:rsidRPr="007114D6" w:rsidRDefault="00637EDD" w:rsidP="005E641F">
            <w:pPr>
              <w:rPr>
                <w:rFonts w:cs="Calibri"/>
                <w:szCs w:val="28"/>
              </w:rPr>
            </w:pPr>
            <w:hyperlink r:id="rId58" w:history="1">
              <w:r w:rsidRPr="00FF3BBA">
                <w:rPr>
                  <w:rStyle w:val="Hyperlink"/>
                  <w:rFonts w:cs="Calibri"/>
                  <w:szCs w:val="28"/>
                </w:rPr>
                <w:t>Directive 2006/42/EC</w:t>
              </w:r>
            </w:hyperlink>
            <w:r w:rsidRPr="007114D6">
              <w:rPr>
                <w:rFonts w:cs="Calibri"/>
                <w:szCs w:val="28"/>
              </w:rPr>
              <w:t xml:space="preserve"> of the European Parliament and of the Council of 17 May 2006 on </w:t>
            </w:r>
            <w:r w:rsidRPr="007A6078">
              <w:rPr>
                <w:rFonts w:cs="Calibri"/>
                <w:b/>
                <w:szCs w:val="28"/>
              </w:rPr>
              <w:t>machinery</w:t>
            </w:r>
            <w:r w:rsidRPr="007114D6">
              <w:rPr>
                <w:rFonts w:cs="Calibri"/>
                <w:szCs w:val="28"/>
              </w:rPr>
              <w:t>, and amending Directive 95/16/EC (Recast)</w:t>
            </w:r>
          </w:p>
          <w:p w14:paraId="4D37235C" w14:textId="77777777" w:rsidR="00637EDD" w:rsidRPr="007114D6" w:rsidRDefault="00637EDD" w:rsidP="005E641F">
            <w:pPr>
              <w:rPr>
                <w:rFonts w:cs="Calibri"/>
                <w:szCs w:val="28"/>
              </w:rPr>
            </w:pPr>
          </w:p>
          <w:p w14:paraId="57546041" w14:textId="77777777" w:rsidR="00637EDD" w:rsidRDefault="00637EDD" w:rsidP="005E641F">
            <w:pPr>
              <w:rPr>
                <w:rFonts w:cs="Calibri"/>
                <w:szCs w:val="28"/>
              </w:rPr>
            </w:pPr>
            <w:hyperlink r:id="rId59" w:history="1">
              <w:r w:rsidRPr="00CA066F">
                <w:rPr>
                  <w:rStyle w:val="Hyperlink"/>
                  <w:rFonts w:cs="Calibri"/>
                  <w:szCs w:val="28"/>
                </w:rPr>
                <w:t>Directive 2006/126/EC</w:t>
              </w:r>
            </w:hyperlink>
            <w:r w:rsidRPr="007114D6">
              <w:rPr>
                <w:rFonts w:cs="Calibri"/>
                <w:szCs w:val="28"/>
              </w:rPr>
              <w:t xml:space="preserve"> of the European Parliament and of the Council of 20 December 2006 on </w:t>
            </w:r>
            <w:r w:rsidRPr="007A6078">
              <w:rPr>
                <w:rFonts w:cs="Calibri"/>
                <w:b/>
                <w:szCs w:val="28"/>
              </w:rPr>
              <w:t xml:space="preserve">driving licences </w:t>
            </w:r>
            <w:r w:rsidRPr="007114D6">
              <w:rPr>
                <w:rFonts w:cs="Calibri"/>
                <w:szCs w:val="28"/>
              </w:rPr>
              <w:t xml:space="preserve">(Recast) </w:t>
            </w:r>
          </w:p>
          <w:p w14:paraId="5AFD83AA" w14:textId="77777777" w:rsidR="00637EDD" w:rsidRDefault="00637EDD" w:rsidP="005E641F">
            <w:pPr>
              <w:rPr>
                <w:rFonts w:cs="Calibri"/>
                <w:szCs w:val="28"/>
              </w:rPr>
            </w:pPr>
          </w:p>
          <w:p w14:paraId="4AB0F9BB" w14:textId="77777777" w:rsidR="00637EDD" w:rsidRPr="007A6078" w:rsidRDefault="00637EDD" w:rsidP="005E641F">
            <w:pPr>
              <w:rPr>
                <w:rFonts w:cs="Calibri"/>
                <w:b/>
                <w:szCs w:val="28"/>
              </w:rPr>
            </w:pPr>
            <w:hyperlink r:id="rId60" w:history="1">
              <w:r w:rsidRPr="009A73C1">
                <w:rPr>
                  <w:rStyle w:val="Hyperlink"/>
                  <w:rFonts w:cs="Calibri"/>
                  <w:szCs w:val="28"/>
                </w:rPr>
                <w:t>Directive 2008/104/EC</w:t>
              </w:r>
            </w:hyperlink>
            <w:r w:rsidRPr="007114D6">
              <w:rPr>
                <w:rFonts w:cs="Calibri"/>
                <w:szCs w:val="28"/>
              </w:rPr>
              <w:t xml:space="preserve"> of the European Parliament and of the Council of 19 November 2008 on </w:t>
            </w:r>
            <w:r w:rsidRPr="007A6078">
              <w:rPr>
                <w:rFonts w:cs="Calibri"/>
                <w:b/>
                <w:szCs w:val="28"/>
              </w:rPr>
              <w:t>temporary agency work</w:t>
            </w:r>
          </w:p>
          <w:p w14:paraId="02696722" w14:textId="77777777" w:rsidR="00637EDD" w:rsidRPr="007114D6" w:rsidRDefault="00637EDD" w:rsidP="005E641F">
            <w:pPr>
              <w:rPr>
                <w:rFonts w:cs="Calibri"/>
                <w:szCs w:val="28"/>
              </w:rPr>
            </w:pPr>
          </w:p>
          <w:p w14:paraId="20A641EB" w14:textId="77777777" w:rsidR="00637EDD" w:rsidRDefault="00637EDD" w:rsidP="005E641F">
            <w:pPr>
              <w:rPr>
                <w:rFonts w:cs="Calibri"/>
                <w:szCs w:val="28"/>
              </w:rPr>
            </w:pPr>
            <w:hyperlink r:id="rId61" w:history="1">
              <w:r w:rsidRPr="00147CCB">
                <w:rPr>
                  <w:rStyle w:val="Hyperlink"/>
                  <w:rFonts w:cs="Calibri"/>
                  <w:szCs w:val="28"/>
                </w:rPr>
                <w:t>Directive 2009/73/EC</w:t>
              </w:r>
            </w:hyperlink>
            <w:r w:rsidRPr="007114D6">
              <w:rPr>
                <w:rFonts w:cs="Calibri"/>
                <w:szCs w:val="28"/>
              </w:rPr>
              <w:t xml:space="preserve"> of the European Parliament and of the Council of 13 July 2009 concerning </w:t>
            </w:r>
            <w:r w:rsidRPr="007A6078">
              <w:rPr>
                <w:rFonts w:cs="Calibri"/>
                <w:b/>
                <w:szCs w:val="28"/>
              </w:rPr>
              <w:t>common rules for the internal market in natural gas</w:t>
            </w:r>
            <w:r w:rsidRPr="007114D6">
              <w:rPr>
                <w:rFonts w:cs="Calibri"/>
                <w:szCs w:val="28"/>
              </w:rPr>
              <w:t xml:space="preserve"> and repealing Directive 2003/55/EC (‘The Gas Directive’) </w:t>
            </w:r>
          </w:p>
          <w:p w14:paraId="253BA18D" w14:textId="77777777" w:rsidR="00637EDD" w:rsidRPr="007114D6" w:rsidRDefault="00637EDD" w:rsidP="005E641F">
            <w:pPr>
              <w:rPr>
                <w:rFonts w:cs="Calibri"/>
                <w:szCs w:val="28"/>
              </w:rPr>
            </w:pPr>
          </w:p>
          <w:p w14:paraId="7BB16C25" w14:textId="77777777" w:rsidR="00637EDD" w:rsidRPr="007114D6" w:rsidRDefault="00637EDD" w:rsidP="005E641F">
            <w:pPr>
              <w:rPr>
                <w:rFonts w:cs="Calibri"/>
                <w:szCs w:val="28"/>
              </w:rPr>
            </w:pPr>
            <w:hyperlink r:id="rId62" w:history="1">
              <w:r w:rsidRPr="00606032">
                <w:rPr>
                  <w:rStyle w:val="Hyperlink"/>
                  <w:rFonts w:cs="Calibri"/>
                  <w:szCs w:val="28"/>
                </w:rPr>
                <w:t>Directive 2009/136/EC</w:t>
              </w:r>
            </w:hyperlink>
            <w:r w:rsidRPr="007114D6">
              <w:rPr>
                <w:rFonts w:cs="Calibri"/>
                <w:szCs w:val="28"/>
              </w:rPr>
              <w:t xml:space="preserve"> of the European Parliament and of the Council of 25 November 2009 amending Directive 2002/22/EC on </w:t>
            </w:r>
            <w:r w:rsidRPr="007A6078">
              <w:rPr>
                <w:rFonts w:cs="Calibri"/>
                <w:b/>
                <w:szCs w:val="28"/>
              </w:rPr>
              <w:t>universal service and users’ rights relating to electronic communications networks and services</w:t>
            </w:r>
            <w:r w:rsidRPr="007114D6">
              <w:rPr>
                <w:rFonts w:cs="Calibri"/>
                <w:szCs w:val="28"/>
              </w:rPr>
              <w:t xml:space="preserve">, Directive 2002/58/EC concerning the </w:t>
            </w:r>
            <w:r w:rsidRPr="007A6078">
              <w:rPr>
                <w:rFonts w:cs="Calibri"/>
                <w:b/>
                <w:szCs w:val="28"/>
              </w:rPr>
              <w:t>processing of personal data</w:t>
            </w:r>
            <w:r w:rsidRPr="007114D6">
              <w:rPr>
                <w:rFonts w:cs="Calibri"/>
                <w:szCs w:val="28"/>
              </w:rPr>
              <w:t xml:space="preserve"> and the </w:t>
            </w:r>
            <w:r w:rsidRPr="007A6078">
              <w:rPr>
                <w:rFonts w:cs="Calibri"/>
                <w:b/>
                <w:szCs w:val="28"/>
              </w:rPr>
              <w:t>protection of privacy in the electronic communications sector</w:t>
            </w:r>
            <w:r w:rsidRPr="007114D6">
              <w:rPr>
                <w:rFonts w:cs="Calibri"/>
                <w:szCs w:val="28"/>
              </w:rPr>
              <w:t xml:space="preserve"> and Regulation (EC) No 2006/2004 on cooperation between national authorities responsible for the enforcement of consumer protection laws</w:t>
            </w:r>
          </w:p>
          <w:p w14:paraId="608EC40C" w14:textId="77777777" w:rsidR="00637EDD" w:rsidRPr="007114D6" w:rsidRDefault="00637EDD" w:rsidP="005E641F">
            <w:pPr>
              <w:rPr>
                <w:rFonts w:cs="Calibri"/>
                <w:szCs w:val="28"/>
              </w:rPr>
            </w:pPr>
          </w:p>
          <w:p w14:paraId="6003DCE5" w14:textId="77777777" w:rsidR="00637EDD" w:rsidRPr="007A6078" w:rsidRDefault="00637EDD" w:rsidP="005E641F">
            <w:pPr>
              <w:rPr>
                <w:rFonts w:cs="Calibri"/>
                <w:b/>
                <w:szCs w:val="28"/>
              </w:rPr>
            </w:pPr>
            <w:hyperlink r:id="rId63" w:history="1">
              <w:r w:rsidRPr="00EA4FEF">
                <w:rPr>
                  <w:rStyle w:val="Hyperlink"/>
                  <w:rFonts w:cs="Calibri"/>
                  <w:szCs w:val="28"/>
                </w:rPr>
                <w:t>Directive 2009/140/EC</w:t>
              </w:r>
            </w:hyperlink>
            <w:r w:rsidRPr="007114D6">
              <w:rPr>
                <w:rFonts w:cs="Calibri"/>
                <w:szCs w:val="28"/>
              </w:rPr>
              <w:t xml:space="preserve"> of the European Parliament and of the Council of 25 November 2009 amending Directives 2002/21/EC on a </w:t>
            </w:r>
            <w:r w:rsidRPr="007A6078">
              <w:rPr>
                <w:rFonts w:cs="Calibri"/>
                <w:b/>
                <w:szCs w:val="28"/>
              </w:rPr>
              <w:t>common regulatory framework for electronic communications networks</w:t>
            </w:r>
            <w:r w:rsidRPr="007114D6">
              <w:rPr>
                <w:rFonts w:cs="Calibri"/>
                <w:szCs w:val="28"/>
              </w:rPr>
              <w:t xml:space="preserve"> and services, 2002/19/EC on </w:t>
            </w:r>
            <w:r w:rsidRPr="007A6078">
              <w:rPr>
                <w:rFonts w:cs="Calibri"/>
                <w:b/>
                <w:szCs w:val="28"/>
              </w:rPr>
              <w:t>access to, and interconnection of, electronic communications networks and associated facilities</w:t>
            </w:r>
            <w:r w:rsidRPr="007114D6">
              <w:rPr>
                <w:rFonts w:cs="Calibri"/>
                <w:szCs w:val="28"/>
              </w:rPr>
              <w:t xml:space="preserve">, and 2002/20/EC on the </w:t>
            </w:r>
            <w:r w:rsidRPr="007A6078">
              <w:rPr>
                <w:rFonts w:cs="Calibri"/>
                <w:b/>
                <w:szCs w:val="28"/>
              </w:rPr>
              <w:t>authorisation of electronic communications networks and services</w:t>
            </w:r>
          </w:p>
          <w:p w14:paraId="0F3E238C" w14:textId="77777777" w:rsidR="00637EDD" w:rsidRPr="007A6078" w:rsidRDefault="00637EDD" w:rsidP="005E641F">
            <w:pPr>
              <w:rPr>
                <w:rFonts w:cs="Calibri"/>
                <w:b/>
                <w:szCs w:val="28"/>
              </w:rPr>
            </w:pPr>
          </w:p>
          <w:p w14:paraId="5DE669FB" w14:textId="77777777" w:rsidR="00637EDD" w:rsidRPr="007114D6" w:rsidRDefault="00637EDD" w:rsidP="005E641F">
            <w:pPr>
              <w:rPr>
                <w:rFonts w:cs="Calibri"/>
                <w:szCs w:val="28"/>
              </w:rPr>
            </w:pPr>
            <w:hyperlink r:id="rId64" w:history="1">
              <w:r w:rsidRPr="004F310B">
                <w:rPr>
                  <w:rStyle w:val="Hyperlink"/>
                  <w:rFonts w:cs="Calibri"/>
                  <w:szCs w:val="28"/>
                </w:rPr>
                <w:t>Directive 2010/13/EU</w:t>
              </w:r>
            </w:hyperlink>
            <w:r w:rsidRPr="007114D6">
              <w:rPr>
                <w:rFonts w:cs="Calibri"/>
                <w:szCs w:val="28"/>
              </w:rPr>
              <w:t xml:space="preserve"> of the European Parliament and of the Council of 10 March 2010 on the coordination of certain provisions laid down by law, regulation or administrative action in Member States concerning the </w:t>
            </w:r>
            <w:r w:rsidRPr="007A6078">
              <w:rPr>
                <w:rFonts w:cs="Calibri"/>
                <w:b/>
                <w:szCs w:val="28"/>
              </w:rPr>
              <w:t xml:space="preserve">provision of </w:t>
            </w:r>
            <w:proofErr w:type="spellStart"/>
            <w:r w:rsidRPr="007A6078">
              <w:rPr>
                <w:rFonts w:cs="Calibri"/>
                <w:b/>
                <w:szCs w:val="28"/>
              </w:rPr>
              <w:t>audiovisual</w:t>
            </w:r>
            <w:proofErr w:type="spellEnd"/>
            <w:r w:rsidRPr="007A6078">
              <w:rPr>
                <w:rFonts w:cs="Calibri"/>
                <w:b/>
                <w:szCs w:val="28"/>
              </w:rPr>
              <w:t xml:space="preserve"> media services</w:t>
            </w:r>
            <w:r w:rsidRPr="007114D6">
              <w:rPr>
                <w:rFonts w:cs="Calibri"/>
                <w:szCs w:val="28"/>
              </w:rPr>
              <w:t xml:space="preserve"> (‘</w:t>
            </w:r>
            <w:proofErr w:type="spellStart"/>
            <w:r w:rsidRPr="007114D6">
              <w:rPr>
                <w:rFonts w:cs="Calibri"/>
                <w:szCs w:val="28"/>
              </w:rPr>
              <w:t>Audiovisual</w:t>
            </w:r>
            <w:proofErr w:type="spellEnd"/>
            <w:r w:rsidRPr="007114D6">
              <w:rPr>
                <w:rFonts w:cs="Calibri"/>
                <w:szCs w:val="28"/>
              </w:rPr>
              <w:t xml:space="preserve"> Media Services Directive’)</w:t>
            </w:r>
          </w:p>
          <w:p w14:paraId="6B7C9DE5" w14:textId="77777777" w:rsidR="00637EDD" w:rsidRPr="007114D6" w:rsidRDefault="00637EDD" w:rsidP="005E641F">
            <w:pPr>
              <w:rPr>
                <w:rFonts w:cs="Calibri"/>
                <w:szCs w:val="28"/>
              </w:rPr>
            </w:pPr>
          </w:p>
          <w:p w14:paraId="26C2409F" w14:textId="77777777" w:rsidR="00637EDD" w:rsidRPr="007114D6" w:rsidRDefault="00637EDD" w:rsidP="005E641F">
            <w:pPr>
              <w:rPr>
                <w:rFonts w:cs="Calibri"/>
                <w:szCs w:val="28"/>
              </w:rPr>
            </w:pPr>
            <w:hyperlink r:id="rId65" w:history="1">
              <w:r w:rsidRPr="00EF4921">
                <w:rPr>
                  <w:rStyle w:val="Hyperlink"/>
                  <w:rFonts w:cs="Calibri"/>
                  <w:szCs w:val="28"/>
                </w:rPr>
                <w:t>Council Directive 2010/18/EU</w:t>
              </w:r>
            </w:hyperlink>
            <w:r w:rsidRPr="007114D6">
              <w:rPr>
                <w:rFonts w:cs="Calibri"/>
                <w:szCs w:val="28"/>
              </w:rPr>
              <w:t xml:space="preserve"> of 8 March 2010 implementing the revised </w:t>
            </w:r>
            <w:r w:rsidRPr="007A6078">
              <w:rPr>
                <w:rFonts w:cs="Calibri"/>
                <w:b/>
                <w:szCs w:val="28"/>
              </w:rPr>
              <w:t>Framework Agreement on parental leave</w:t>
            </w:r>
            <w:r w:rsidRPr="007114D6">
              <w:rPr>
                <w:rFonts w:cs="Calibri"/>
                <w:szCs w:val="28"/>
              </w:rPr>
              <w:t xml:space="preserve"> concluded by BUSINESSEUROPE, UEAPME, CEEP and ETUC and repealing Directive 96/34/EC</w:t>
            </w:r>
          </w:p>
          <w:p w14:paraId="0535D2EE" w14:textId="77777777" w:rsidR="00637EDD" w:rsidRPr="007114D6" w:rsidRDefault="00637EDD" w:rsidP="005E641F">
            <w:pPr>
              <w:rPr>
                <w:rFonts w:cs="Calibri"/>
                <w:szCs w:val="28"/>
              </w:rPr>
            </w:pPr>
          </w:p>
          <w:p w14:paraId="7CE9ACA7" w14:textId="77777777" w:rsidR="00637EDD" w:rsidRDefault="00637EDD" w:rsidP="005E641F">
            <w:pPr>
              <w:rPr>
                <w:rFonts w:cs="Calibri"/>
                <w:szCs w:val="28"/>
              </w:rPr>
            </w:pPr>
            <w:hyperlink r:id="rId66" w:history="1">
              <w:r w:rsidRPr="0095603E">
                <w:rPr>
                  <w:rStyle w:val="Hyperlink"/>
                  <w:rFonts w:cs="Calibri"/>
                  <w:szCs w:val="28"/>
                </w:rPr>
                <w:t>Directive 2011/36/EU</w:t>
              </w:r>
            </w:hyperlink>
            <w:r w:rsidRPr="007114D6">
              <w:rPr>
                <w:rFonts w:cs="Calibri"/>
                <w:szCs w:val="28"/>
              </w:rPr>
              <w:t xml:space="preserve"> of the European Parliament and of the Council of 5 April 2011 on </w:t>
            </w:r>
            <w:r w:rsidRPr="007A6078">
              <w:rPr>
                <w:rFonts w:cs="Calibri"/>
                <w:b/>
                <w:szCs w:val="28"/>
              </w:rPr>
              <w:t>preventing and combating trafficking</w:t>
            </w:r>
            <w:r w:rsidRPr="007114D6">
              <w:rPr>
                <w:rFonts w:cs="Calibri"/>
                <w:szCs w:val="28"/>
              </w:rPr>
              <w:t xml:space="preserve"> in human beings and </w:t>
            </w:r>
            <w:r w:rsidRPr="007A6078">
              <w:rPr>
                <w:rFonts w:cs="Calibri"/>
                <w:b/>
                <w:szCs w:val="28"/>
              </w:rPr>
              <w:t>protecting its victims</w:t>
            </w:r>
            <w:r w:rsidRPr="007114D6">
              <w:rPr>
                <w:rFonts w:cs="Calibri"/>
                <w:szCs w:val="28"/>
              </w:rPr>
              <w:t>, and replacing Council Framework Decision 2002/629/JHA</w:t>
            </w:r>
          </w:p>
          <w:p w14:paraId="2B918BB7" w14:textId="77777777" w:rsidR="00637EDD" w:rsidRPr="007114D6" w:rsidRDefault="00637EDD" w:rsidP="005E641F">
            <w:pPr>
              <w:rPr>
                <w:rFonts w:cs="Calibri"/>
                <w:szCs w:val="28"/>
              </w:rPr>
            </w:pPr>
          </w:p>
          <w:p w14:paraId="09A9A780" w14:textId="77777777" w:rsidR="00637EDD" w:rsidRPr="007114D6" w:rsidRDefault="00637EDD" w:rsidP="005E641F">
            <w:pPr>
              <w:rPr>
                <w:rFonts w:cs="Calibri"/>
                <w:szCs w:val="28"/>
              </w:rPr>
            </w:pPr>
            <w:hyperlink r:id="rId67" w:history="1">
              <w:r w:rsidRPr="001C2F37">
                <w:rPr>
                  <w:rStyle w:val="Hyperlink"/>
                  <w:rFonts w:cs="Calibri"/>
                  <w:szCs w:val="28"/>
                </w:rPr>
                <w:t>Directive 2011/93/EU</w:t>
              </w:r>
            </w:hyperlink>
            <w:r w:rsidRPr="007114D6">
              <w:rPr>
                <w:rFonts w:cs="Calibri"/>
                <w:szCs w:val="28"/>
              </w:rPr>
              <w:t xml:space="preserve"> of the European Parliament and of the Council of 13 December 2011 on</w:t>
            </w:r>
            <w:r w:rsidRPr="007A6078">
              <w:rPr>
                <w:rFonts w:cs="Calibri"/>
                <w:b/>
                <w:szCs w:val="28"/>
              </w:rPr>
              <w:t xml:space="preserve"> combating the sexual abuse and sexual exploitation of children and child pornography</w:t>
            </w:r>
            <w:r w:rsidRPr="007114D6">
              <w:rPr>
                <w:rFonts w:cs="Calibri"/>
                <w:szCs w:val="28"/>
              </w:rPr>
              <w:t>, and replacing Council Framework Decision 2004/68/JHA</w:t>
            </w:r>
          </w:p>
          <w:p w14:paraId="4C8B9FEF" w14:textId="77777777" w:rsidR="00637EDD" w:rsidRPr="007114D6" w:rsidRDefault="00637EDD" w:rsidP="005E641F">
            <w:pPr>
              <w:rPr>
                <w:rFonts w:cs="Calibri"/>
                <w:szCs w:val="28"/>
              </w:rPr>
            </w:pPr>
          </w:p>
          <w:p w14:paraId="238363C6" w14:textId="77777777" w:rsidR="00637EDD" w:rsidRDefault="00637EDD" w:rsidP="005E641F">
            <w:pPr>
              <w:rPr>
                <w:rFonts w:cs="Calibri"/>
                <w:b/>
                <w:szCs w:val="28"/>
              </w:rPr>
            </w:pPr>
            <w:hyperlink r:id="rId68" w:history="1">
              <w:r w:rsidRPr="00F1185F">
                <w:rPr>
                  <w:rStyle w:val="Hyperlink"/>
                  <w:rFonts w:cs="Calibri"/>
                  <w:szCs w:val="28"/>
                </w:rPr>
                <w:t>Directive 2012/13/EU</w:t>
              </w:r>
            </w:hyperlink>
            <w:r w:rsidRPr="007114D6">
              <w:rPr>
                <w:rFonts w:cs="Calibri"/>
                <w:szCs w:val="28"/>
              </w:rPr>
              <w:t xml:space="preserve"> of the European Parliament and of the Council of 22 May 2012 on the </w:t>
            </w:r>
            <w:r w:rsidRPr="007A6078">
              <w:rPr>
                <w:rFonts w:cs="Calibri"/>
                <w:b/>
                <w:szCs w:val="28"/>
              </w:rPr>
              <w:t>right to information in criminal proceedings</w:t>
            </w:r>
          </w:p>
          <w:p w14:paraId="02977581" w14:textId="77777777" w:rsidR="00637EDD" w:rsidRDefault="00637EDD" w:rsidP="005E641F">
            <w:pPr>
              <w:rPr>
                <w:rFonts w:cs="Calibri"/>
                <w:b/>
                <w:szCs w:val="28"/>
              </w:rPr>
            </w:pPr>
          </w:p>
          <w:p w14:paraId="07838FC9" w14:textId="77777777" w:rsidR="00637EDD" w:rsidRPr="00B46933" w:rsidRDefault="00637EDD" w:rsidP="005E641F">
            <w:pPr>
              <w:rPr>
                <w:rFonts w:cs="Calibri"/>
                <w:szCs w:val="28"/>
              </w:rPr>
            </w:pPr>
            <w:hyperlink r:id="rId69" w:history="1">
              <w:r w:rsidRPr="00D51E9D">
                <w:rPr>
                  <w:rStyle w:val="Hyperlink"/>
                  <w:szCs w:val="28"/>
                </w:rPr>
                <w:t>Directive 2012/29/EU</w:t>
              </w:r>
            </w:hyperlink>
            <w:r w:rsidRPr="00F9136E">
              <w:rPr>
                <w:szCs w:val="28"/>
              </w:rPr>
              <w:t xml:space="preserve"> of the European Parliament and of the Council of 25 October 2012 establishing </w:t>
            </w:r>
            <w:r w:rsidRPr="00527976">
              <w:rPr>
                <w:b/>
                <w:szCs w:val="28"/>
              </w:rPr>
              <w:t>minimum standards on the rights, support and protection of victims of crime</w:t>
            </w:r>
            <w:r w:rsidRPr="00F9136E">
              <w:rPr>
                <w:szCs w:val="28"/>
              </w:rPr>
              <w:t>, and replacing Council Framework Decision 2001/220/JHA</w:t>
            </w:r>
          </w:p>
          <w:p w14:paraId="5D2FD528" w14:textId="77777777" w:rsidR="00637EDD" w:rsidRPr="007114D6" w:rsidRDefault="00637EDD" w:rsidP="005E641F">
            <w:pPr>
              <w:rPr>
                <w:rFonts w:cs="Calibri"/>
                <w:szCs w:val="28"/>
              </w:rPr>
            </w:pPr>
          </w:p>
          <w:p w14:paraId="005141AC" w14:textId="77777777" w:rsidR="00F252D6" w:rsidRDefault="00637EDD" w:rsidP="005E641F">
            <w:pPr>
              <w:rPr>
                <w:rFonts w:cs="Calibri"/>
                <w:szCs w:val="28"/>
              </w:rPr>
            </w:pPr>
            <w:hyperlink r:id="rId70" w:history="1">
              <w:r w:rsidRPr="00AE74C8">
                <w:rPr>
                  <w:rStyle w:val="Hyperlink"/>
                  <w:rFonts w:cs="Calibri"/>
                  <w:szCs w:val="28"/>
                </w:rPr>
                <w:t>Directive 2014/24/EU</w:t>
              </w:r>
            </w:hyperlink>
            <w:r w:rsidRPr="007114D6">
              <w:rPr>
                <w:rFonts w:cs="Calibri"/>
                <w:szCs w:val="28"/>
              </w:rPr>
              <w:t xml:space="preserve"> of the European Parliament and of the Council of 26 February 2014 on </w:t>
            </w:r>
            <w:r w:rsidRPr="007A6078">
              <w:rPr>
                <w:rFonts w:cs="Calibri"/>
                <w:b/>
                <w:szCs w:val="28"/>
              </w:rPr>
              <w:t>public procurement</w:t>
            </w:r>
            <w:r w:rsidRPr="007114D6">
              <w:rPr>
                <w:rFonts w:cs="Calibri"/>
                <w:szCs w:val="28"/>
              </w:rPr>
              <w:t xml:space="preserve"> and repealing Directive 2004/18/EC</w:t>
            </w:r>
          </w:p>
          <w:p w14:paraId="0F1146C7" w14:textId="2B088133" w:rsidR="00637EDD" w:rsidRPr="007114D6" w:rsidRDefault="00637EDD" w:rsidP="005E641F">
            <w:pPr>
              <w:rPr>
                <w:rFonts w:cs="Calibri"/>
                <w:szCs w:val="28"/>
              </w:rPr>
            </w:pPr>
            <w:r w:rsidRPr="007114D6">
              <w:rPr>
                <w:rFonts w:cs="Calibri"/>
                <w:szCs w:val="28"/>
              </w:rPr>
              <w:t xml:space="preserve"> </w:t>
            </w:r>
          </w:p>
          <w:p w14:paraId="24D4F006" w14:textId="77777777" w:rsidR="00637EDD" w:rsidRDefault="00637EDD" w:rsidP="005E641F">
            <w:pPr>
              <w:rPr>
                <w:rFonts w:cs="Calibri"/>
                <w:szCs w:val="28"/>
              </w:rPr>
            </w:pPr>
            <w:hyperlink r:id="rId71" w:history="1">
              <w:r w:rsidRPr="00E115DA">
                <w:rPr>
                  <w:rStyle w:val="Hyperlink"/>
                  <w:rFonts w:cs="Calibri"/>
                  <w:szCs w:val="28"/>
                </w:rPr>
                <w:t>Directive 2014/25/EU</w:t>
              </w:r>
            </w:hyperlink>
            <w:r w:rsidRPr="007114D6">
              <w:rPr>
                <w:rFonts w:cs="Calibri"/>
                <w:szCs w:val="28"/>
              </w:rPr>
              <w:t xml:space="preserve"> of the European Parliament and of the Council of 26 February 2014 on </w:t>
            </w:r>
            <w:r w:rsidRPr="007A6078">
              <w:rPr>
                <w:rFonts w:cs="Calibri"/>
                <w:b/>
                <w:szCs w:val="28"/>
              </w:rPr>
              <w:t>procurement by entities operating in the water, energy, transport and postal services sectors</w:t>
            </w:r>
            <w:r w:rsidRPr="007114D6">
              <w:rPr>
                <w:rFonts w:cs="Calibri"/>
                <w:szCs w:val="28"/>
              </w:rPr>
              <w:t xml:space="preserve"> and repealing Directive 2004/17/EC (‘Utilities Directive’)</w:t>
            </w:r>
          </w:p>
          <w:p w14:paraId="1808E4B5" w14:textId="77777777" w:rsidR="00637EDD" w:rsidRPr="007114D6" w:rsidRDefault="00637EDD" w:rsidP="005E641F">
            <w:pPr>
              <w:rPr>
                <w:rFonts w:cs="Calibri"/>
                <w:szCs w:val="28"/>
              </w:rPr>
            </w:pPr>
          </w:p>
          <w:p w14:paraId="283AB505" w14:textId="77777777" w:rsidR="00637EDD" w:rsidRDefault="00637EDD" w:rsidP="005E641F">
            <w:pPr>
              <w:rPr>
                <w:rFonts w:cs="Calibri"/>
                <w:szCs w:val="28"/>
              </w:rPr>
            </w:pPr>
            <w:hyperlink r:id="rId72" w:history="1">
              <w:r w:rsidRPr="00C83C24">
                <w:rPr>
                  <w:rStyle w:val="Hyperlink"/>
                  <w:rFonts w:cs="Calibri"/>
                  <w:szCs w:val="28"/>
                </w:rPr>
                <w:t>Directive 2014/33/EU</w:t>
              </w:r>
            </w:hyperlink>
            <w:r w:rsidRPr="007114D6">
              <w:rPr>
                <w:rFonts w:cs="Calibri"/>
                <w:szCs w:val="28"/>
              </w:rPr>
              <w:t xml:space="preserve"> of the European Parliament and of the Council of 26 February 2014 on the harmonisation of the laws of the Member States relating to </w:t>
            </w:r>
            <w:r w:rsidRPr="007A6078">
              <w:rPr>
                <w:rFonts w:cs="Calibri"/>
                <w:b/>
                <w:szCs w:val="28"/>
              </w:rPr>
              <w:t>lifts and safety components for lifts</w:t>
            </w:r>
          </w:p>
          <w:p w14:paraId="6F3F3C4F" w14:textId="77777777" w:rsidR="00637EDD" w:rsidRPr="007114D6" w:rsidRDefault="00637EDD" w:rsidP="005E641F">
            <w:pPr>
              <w:rPr>
                <w:rFonts w:cs="Calibri"/>
                <w:szCs w:val="28"/>
              </w:rPr>
            </w:pPr>
          </w:p>
          <w:p w14:paraId="67F98514" w14:textId="77777777" w:rsidR="00637EDD" w:rsidRPr="007114D6" w:rsidRDefault="00637EDD" w:rsidP="005E641F">
            <w:pPr>
              <w:rPr>
                <w:rFonts w:cs="Calibri"/>
                <w:szCs w:val="28"/>
              </w:rPr>
            </w:pPr>
            <w:hyperlink r:id="rId73" w:history="1">
              <w:r w:rsidRPr="00AB0ABA">
                <w:rPr>
                  <w:rStyle w:val="Hyperlink"/>
                  <w:rFonts w:cs="Calibri"/>
                  <w:szCs w:val="28"/>
                </w:rPr>
                <w:t>Directive 2014/53/EU</w:t>
              </w:r>
            </w:hyperlink>
            <w:r w:rsidRPr="007114D6">
              <w:rPr>
                <w:rFonts w:cs="Calibri"/>
                <w:szCs w:val="28"/>
              </w:rPr>
              <w:t xml:space="preserve"> of the European Parliament and of the Council of 16 April 2014 on the harmonisation of the laws of the Member States relating to the </w:t>
            </w:r>
            <w:r w:rsidRPr="000F0F1F">
              <w:rPr>
                <w:rFonts w:cs="Calibri"/>
                <w:b/>
                <w:szCs w:val="28"/>
              </w:rPr>
              <w:t>making available on the market of radio equipment</w:t>
            </w:r>
            <w:r w:rsidRPr="007114D6">
              <w:rPr>
                <w:rFonts w:cs="Calibri"/>
                <w:szCs w:val="28"/>
              </w:rPr>
              <w:t xml:space="preserve"> and repealing Directive 1999/5/EC</w:t>
            </w:r>
          </w:p>
          <w:p w14:paraId="6A733D22" w14:textId="77777777" w:rsidR="00637EDD" w:rsidRPr="007114D6" w:rsidRDefault="00637EDD" w:rsidP="005E641F">
            <w:pPr>
              <w:rPr>
                <w:rFonts w:cs="Calibri"/>
                <w:szCs w:val="28"/>
              </w:rPr>
            </w:pPr>
          </w:p>
          <w:p w14:paraId="61FD3EA1" w14:textId="77777777" w:rsidR="00637EDD" w:rsidRDefault="00637EDD" w:rsidP="005E641F">
            <w:pPr>
              <w:rPr>
                <w:rFonts w:cs="Calibri"/>
                <w:szCs w:val="28"/>
              </w:rPr>
            </w:pPr>
            <w:hyperlink r:id="rId74" w:history="1">
              <w:r w:rsidRPr="00F83E49">
                <w:rPr>
                  <w:rStyle w:val="Hyperlink"/>
                  <w:rFonts w:cs="Calibri"/>
                  <w:szCs w:val="28"/>
                </w:rPr>
                <w:t>Directive (EU) 2015/2366</w:t>
              </w:r>
            </w:hyperlink>
            <w:r w:rsidRPr="007114D6">
              <w:rPr>
                <w:rFonts w:cs="Calibri"/>
                <w:szCs w:val="28"/>
              </w:rPr>
              <w:t xml:space="preserve"> of the European Parliament and of the Council of 25 November 2015 on </w:t>
            </w:r>
            <w:r w:rsidRPr="000F0F1F">
              <w:rPr>
                <w:rFonts w:cs="Calibri"/>
                <w:b/>
                <w:szCs w:val="28"/>
              </w:rPr>
              <w:t>payment services in the internal market</w:t>
            </w:r>
            <w:r w:rsidRPr="007114D6">
              <w:rPr>
                <w:rFonts w:cs="Calibri"/>
                <w:szCs w:val="28"/>
              </w:rPr>
              <w:t>, amending Directives 2002/65/EC, 2009/110/EC and 2013/36/EU and Regulation (EU) No 1093/2010, and repealing Directive 2007/64/EC (‘Revised Payment Services Directive’)</w:t>
            </w:r>
          </w:p>
          <w:p w14:paraId="4B589B4D" w14:textId="77777777" w:rsidR="00637EDD" w:rsidRPr="007114D6" w:rsidRDefault="00637EDD" w:rsidP="005E641F">
            <w:pPr>
              <w:rPr>
                <w:rFonts w:cs="Calibri"/>
                <w:szCs w:val="28"/>
              </w:rPr>
            </w:pPr>
          </w:p>
          <w:p w14:paraId="214AB9A2" w14:textId="77777777" w:rsidR="00637EDD" w:rsidRPr="007114D6" w:rsidRDefault="00637EDD" w:rsidP="005E641F">
            <w:pPr>
              <w:rPr>
                <w:rFonts w:cs="Calibri"/>
                <w:szCs w:val="28"/>
              </w:rPr>
            </w:pPr>
            <w:hyperlink r:id="rId75" w:history="1">
              <w:r w:rsidRPr="002248AE">
                <w:rPr>
                  <w:rStyle w:val="Hyperlink"/>
                  <w:rFonts w:cs="Calibri"/>
                  <w:szCs w:val="28"/>
                </w:rPr>
                <w:t>Directive (EU) 2016/797</w:t>
              </w:r>
            </w:hyperlink>
            <w:r w:rsidRPr="007114D6">
              <w:rPr>
                <w:rFonts w:cs="Calibri"/>
                <w:szCs w:val="28"/>
              </w:rPr>
              <w:t xml:space="preserve"> of the European Parliament and of the Council of 11 May 2016 on the </w:t>
            </w:r>
            <w:r w:rsidRPr="000F0F1F">
              <w:rPr>
                <w:rFonts w:cs="Calibri"/>
                <w:b/>
                <w:szCs w:val="28"/>
              </w:rPr>
              <w:t>interoperability of the rail system</w:t>
            </w:r>
            <w:r w:rsidRPr="007114D6">
              <w:rPr>
                <w:rFonts w:cs="Calibri"/>
                <w:szCs w:val="28"/>
              </w:rPr>
              <w:t xml:space="preserve"> within the European Union</w:t>
            </w:r>
          </w:p>
          <w:p w14:paraId="4AC03B77" w14:textId="77777777" w:rsidR="00637EDD" w:rsidRPr="002B77EF" w:rsidRDefault="00637EDD" w:rsidP="005E641F">
            <w:pPr>
              <w:rPr>
                <w:rStyle w:val="Hyperlink"/>
                <w:rFonts w:cs="Calibri"/>
                <w:szCs w:val="28"/>
              </w:rPr>
            </w:pPr>
            <w:r>
              <w:rPr>
                <w:rFonts w:cs="Calibri"/>
                <w:szCs w:val="28"/>
              </w:rPr>
              <w:fldChar w:fldCharType="begin"/>
            </w:r>
            <w:r>
              <w:rPr>
                <w:rFonts w:cs="Calibri"/>
                <w:szCs w:val="28"/>
              </w:rPr>
              <w:instrText xml:space="preserve"> HYPERLINK "https://eur-lex.europa.eu/legal-content/EN/TXT/?uri=CELEX%3A32016L2102" </w:instrText>
            </w:r>
            <w:r>
              <w:rPr>
                <w:rFonts w:cs="Calibri"/>
                <w:szCs w:val="28"/>
              </w:rPr>
            </w:r>
            <w:r>
              <w:rPr>
                <w:rFonts w:cs="Calibri"/>
                <w:szCs w:val="28"/>
              </w:rPr>
              <w:fldChar w:fldCharType="separate"/>
            </w:r>
          </w:p>
          <w:p w14:paraId="4BB6263C" w14:textId="77777777" w:rsidR="00637EDD" w:rsidRDefault="00637EDD" w:rsidP="005E641F">
            <w:pPr>
              <w:rPr>
                <w:rFonts w:cs="Calibri"/>
                <w:szCs w:val="28"/>
              </w:rPr>
            </w:pPr>
            <w:r w:rsidRPr="002B77EF">
              <w:rPr>
                <w:rStyle w:val="Hyperlink"/>
                <w:rFonts w:cs="Calibri"/>
                <w:szCs w:val="28"/>
              </w:rPr>
              <w:t>Directive (EU) 2016/2102</w:t>
            </w:r>
            <w:r>
              <w:rPr>
                <w:rFonts w:cs="Calibri"/>
                <w:szCs w:val="28"/>
              </w:rPr>
              <w:fldChar w:fldCharType="end"/>
            </w:r>
            <w:r w:rsidRPr="007114D6">
              <w:rPr>
                <w:rFonts w:cs="Calibri"/>
                <w:szCs w:val="28"/>
              </w:rPr>
              <w:t xml:space="preserve"> of the European Parliament and of the Council of 26 October 2016 on the </w:t>
            </w:r>
            <w:r w:rsidRPr="000F0F1F">
              <w:rPr>
                <w:rFonts w:cs="Calibri"/>
                <w:b/>
                <w:szCs w:val="28"/>
              </w:rPr>
              <w:t>accessibility of the websites and mobile applications of public sector bodies</w:t>
            </w:r>
          </w:p>
          <w:p w14:paraId="25E5BC1E" w14:textId="77777777" w:rsidR="00637EDD" w:rsidRPr="007114D6" w:rsidRDefault="00637EDD" w:rsidP="005E641F">
            <w:pPr>
              <w:rPr>
                <w:rFonts w:cs="Calibri"/>
                <w:szCs w:val="28"/>
              </w:rPr>
            </w:pPr>
          </w:p>
          <w:p w14:paraId="796E8916" w14:textId="77777777" w:rsidR="00637EDD" w:rsidRPr="007114D6" w:rsidRDefault="00637EDD" w:rsidP="005E641F">
            <w:pPr>
              <w:rPr>
                <w:rFonts w:cs="Calibri"/>
                <w:szCs w:val="28"/>
              </w:rPr>
            </w:pPr>
            <w:hyperlink r:id="rId76" w:history="1">
              <w:r w:rsidRPr="002175EB">
                <w:rPr>
                  <w:rStyle w:val="Hyperlink"/>
                  <w:rFonts w:cs="Calibri"/>
                  <w:szCs w:val="28"/>
                </w:rPr>
                <w:t>Directive (EU) 2017/1564</w:t>
              </w:r>
            </w:hyperlink>
            <w:r w:rsidRPr="007114D6">
              <w:rPr>
                <w:rFonts w:cs="Calibri"/>
                <w:szCs w:val="28"/>
              </w:rPr>
              <w:t xml:space="preserve"> of the European Parliament and of the Council of 13 September 2017 on certain </w:t>
            </w:r>
            <w:r w:rsidRPr="00527976">
              <w:rPr>
                <w:rFonts w:cs="Calibri"/>
                <w:b/>
                <w:szCs w:val="28"/>
              </w:rPr>
              <w:t>permitted uses of certain works</w:t>
            </w:r>
            <w:r w:rsidRPr="007114D6">
              <w:rPr>
                <w:rFonts w:cs="Calibri"/>
                <w:szCs w:val="28"/>
              </w:rPr>
              <w:t xml:space="preserve"> and other subject matter </w:t>
            </w:r>
            <w:r w:rsidRPr="00527976">
              <w:rPr>
                <w:rFonts w:cs="Calibri"/>
                <w:b/>
                <w:szCs w:val="28"/>
              </w:rPr>
              <w:t>protected by copyright and related rights for the benefit of persons who are blind, visually impaired</w:t>
            </w:r>
            <w:r w:rsidRPr="007114D6">
              <w:rPr>
                <w:rFonts w:cs="Calibri"/>
                <w:szCs w:val="28"/>
              </w:rPr>
              <w:t xml:space="preserve"> or otherwise print-disabled and amending Directive 2001/29/EC on the harmonisation of certain aspects of copyright and related rights in the information society  </w:t>
            </w:r>
          </w:p>
          <w:p w14:paraId="208E080E" w14:textId="77777777" w:rsidR="00637EDD" w:rsidRPr="007114D6" w:rsidRDefault="00637EDD" w:rsidP="005E641F">
            <w:pPr>
              <w:rPr>
                <w:rFonts w:cs="Calibri"/>
                <w:szCs w:val="28"/>
              </w:rPr>
            </w:pPr>
          </w:p>
          <w:p w14:paraId="03D7CCB1" w14:textId="77777777" w:rsidR="00637EDD" w:rsidRDefault="00637EDD" w:rsidP="005E641F">
            <w:pPr>
              <w:rPr>
                <w:rFonts w:cs="Calibri"/>
                <w:szCs w:val="28"/>
              </w:rPr>
            </w:pPr>
            <w:hyperlink r:id="rId77" w:history="1">
              <w:r w:rsidRPr="006F5B2C">
                <w:rPr>
                  <w:rStyle w:val="Hyperlink"/>
                  <w:rFonts w:cs="Calibri"/>
                  <w:szCs w:val="28"/>
                </w:rPr>
                <w:t>Directive (EU) 2017/2108</w:t>
              </w:r>
            </w:hyperlink>
            <w:r w:rsidRPr="007114D6">
              <w:rPr>
                <w:rFonts w:cs="Calibri"/>
                <w:szCs w:val="28"/>
              </w:rPr>
              <w:t xml:space="preserve"> of the European Parliament and of the Council of 15 November 2017 amended Directive 2009/45/EC on </w:t>
            </w:r>
            <w:r w:rsidRPr="00527976">
              <w:rPr>
                <w:rFonts w:cs="Calibri"/>
                <w:b/>
                <w:szCs w:val="28"/>
              </w:rPr>
              <w:t>safety rules and standards for passenger ships</w:t>
            </w:r>
          </w:p>
          <w:p w14:paraId="08D46058" w14:textId="77777777" w:rsidR="00637EDD" w:rsidRPr="007114D6" w:rsidRDefault="00637EDD" w:rsidP="005E641F">
            <w:pPr>
              <w:rPr>
                <w:rFonts w:cs="Calibri"/>
                <w:szCs w:val="28"/>
              </w:rPr>
            </w:pPr>
          </w:p>
          <w:p w14:paraId="5680D2BB" w14:textId="77777777" w:rsidR="00637EDD" w:rsidRDefault="00637EDD" w:rsidP="005E641F">
            <w:pPr>
              <w:rPr>
                <w:rFonts w:cs="Calibri"/>
                <w:szCs w:val="28"/>
              </w:rPr>
            </w:pPr>
            <w:hyperlink r:id="rId78" w:history="1">
              <w:r w:rsidRPr="00AB3869">
                <w:rPr>
                  <w:rStyle w:val="Hyperlink"/>
                  <w:rFonts w:cs="Calibri"/>
                  <w:szCs w:val="28"/>
                </w:rPr>
                <w:t>Directive (EU) 2017/2110</w:t>
              </w:r>
            </w:hyperlink>
            <w:r w:rsidRPr="007114D6">
              <w:rPr>
                <w:rFonts w:cs="Calibri"/>
                <w:szCs w:val="28"/>
              </w:rPr>
              <w:t xml:space="preserve"> of the European Parliament and of the Council of 15 November 2017 on a </w:t>
            </w:r>
            <w:r w:rsidRPr="00527976">
              <w:rPr>
                <w:rFonts w:cs="Calibri"/>
                <w:b/>
                <w:szCs w:val="28"/>
              </w:rPr>
              <w:t>system of inspections for the safe operation of ro-ro passenger ships and high-speed passenger craft in regular service</w:t>
            </w:r>
            <w:r w:rsidRPr="007114D6">
              <w:rPr>
                <w:rFonts w:cs="Calibri"/>
                <w:szCs w:val="28"/>
              </w:rPr>
              <w:t xml:space="preserve"> and amending Directive 2009/16/EC and repealing Council Directive 1999/35/EC</w:t>
            </w:r>
          </w:p>
          <w:p w14:paraId="272123B5" w14:textId="77777777" w:rsidR="00637EDD" w:rsidRPr="007114D6" w:rsidRDefault="00637EDD" w:rsidP="005E641F">
            <w:pPr>
              <w:rPr>
                <w:rFonts w:cs="Calibri"/>
                <w:szCs w:val="28"/>
              </w:rPr>
            </w:pPr>
          </w:p>
          <w:p w14:paraId="3D638D14" w14:textId="77777777" w:rsidR="00637EDD" w:rsidRPr="007114D6" w:rsidRDefault="00637EDD" w:rsidP="005E641F">
            <w:pPr>
              <w:rPr>
                <w:rFonts w:cs="Calibri"/>
                <w:szCs w:val="28"/>
              </w:rPr>
            </w:pPr>
            <w:hyperlink r:id="rId79" w:history="1">
              <w:r w:rsidRPr="007C3D04">
                <w:rPr>
                  <w:rStyle w:val="Hyperlink"/>
                  <w:rFonts w:cs="Calibri"/>
                  <w:szCs w:val="28"/>
                </w:rPr>
                <w:t>Directive (EU) 2018/1808</w:t>
              </w:r>
            </w:hyperlink>
            <w:r w:rsidRPr="007114D6">
              <w:rPr>
                <w:rFonts w:cs="Calibri"/>
                <w:szCs w:val="28"/>
              </w:rPr>
              <w:t xml:space="preserve"> of the European Parliament and of the Council of 14 November 2018 amending Directive 2010/13/EU on the coordination of certain provisions laid down by law, regulation or administration action in Member States concerning the </w:t>
            </w:r>
            <w:r w:rsidRPr="00527976">
              <w:rPr>
                <w:rFonts w:cs="Calibri"/>
                <w:b/>
                <w:szCs w:val="28"/>
              </w:rPr>
              <w:t xml:space="preserve">provision of </w:t>
            </w:r>
            <w:proofErr w:type="spellStart"/>
            <w:r w:rsidRPr="00527976">
              <w:rPr>
                <w:rFonts w:cs="Calibri"/>
                <w:b/>
                <w:szCs w:val="28"/>
              </w:rPr>
              <w:t>audiovisual</w:t>
            </w:r>
            <w:proofErr w:type="spellEnd"/>
            <w:r w:rsidRPr="00527976">
              <w:rPr>
                <w:rFonts w:cs="Calibri"/>
                <w:b/>
                <w:szCs w:val="28"/>
              </w:rPr>
              <w:t xml:space="preserve"> medial services</w:t>
            </w:r>
            <w:r w:rsidRPr="007114D6">
              <w:rPr>
                <w:rFonts w:cs="Calibri"/>
                <w:szCs w:val="28"/>
              </w:rPr>
              <w:t xml:space="preserve"> (‘</w:t>
            </w:r>
            <w:proofErr w:type="spellStart"/>
            <w:r w:rsidRPr="007114D6">
              <w:rPr>
                <w:rFonts w:cs="Calibri"/>
                <w:szCs w:val="28"/>
              </w:rPr>
              <w:t>Audiovisual</w:t>
            </w:r>
            <w:proofErr w:type="spellEnd"/>
            <w:r w:rsidRPr="007114D6">
              <w:rPr>
                <w:rFonts w:cs="Calibri"/>
                <w:szCs w:val="28"/>
              </w:rPr>
              <w:t xml:space="preserve"> Media Services Directive’) in view of changing market realities</w:t>
            </w:r>
          </w:p>
          <w:p w14:paraId="2F280631" w14:textId="77777777" w:rsidR="00637EDD" w:rsidRPr="007114D6" w:rsidRDefault="00637EDD" w:rsidP="005E641F">
            <w:pPr>
              <w:rPr>
                <w:rFonts w:cs="Calibri"/>
                <w:szCs w:val="28"/>
              </w:rPr>
            </w:pPr>
          </w:p>
          <w:p w14:paraId="2D825C0B" w14:textId="77777777" w:rsidR="00637EDD" w:rsidRPr="007E6A6B" w:rsidRDefault="00637EDD" w:rsidP="005E641F">
            <w:pPr>
              <w:rPr>
                <w:rFonts w:cs="Calibri"/>
                <w:szCs w:val="28"/>
              </w:rPr>
            </w:pPr>
            <w:hyperlink r:id="rId80" w:history="1">
              <w:r w:rsidRPr="00DE0FA6">
                <w:rPr>
                  <w:rStyle w:val="Hyperlink"/>
                  <w:rFonts w:cs="Calibri"/>
                  <w:szCs w:val="28"/>
                </w:rPr>
                <w:t>Directive (EU) 2018/1972</w:t>
              </w:r>
            </w:hyperlink>
            <w:r w:rsidRPr="007114D6">
              <w:rPr>
                <w:rFonts w:cs="Calibri"/>
                <w:szCs w:val="28"/>
              </w:rPr>
              <w:t xml:space="preserve"> of the European Parliament and of the Council of 11 December 2018 </w:t>
            </w:r>
            <w:r w:rsidRPr="00527976">
              <w:rPr>
                <w:rFonts w:cs="Calibri"/>
                <w:b/>
                <w:szCs w:val="28"/>
              </w:rPr>
              <w:t xml:space="preserve">establishing the European Electronic Communications Code </w:t>
            </w:r>
            <w:r w:rsidRPr="007114D6">
              <w:rPr>
                <w:rFonts w:cs="Calibri"/>
                <w:szCs w:val="28"/>
              </w:rPr>
              <w:t>(Recast)</w:t>
            </w:r>
          </w:p>
        </w:tc>
      </w:tr>
      <w:tr w:rsidR="00637EDD" w14:paraId="3C884E56" w14:textId="77777777" w:rsidTr="005E641F">
        <w:tc>
          <w:tcPr>
            <w:tcW w:w="9016" w:type="dxa"/>
            <w:shd w:val="clear" w:color="auto" w:fill="auto"/>
          </w:tcPr>
          <w:p w14:paraId="33F5DDE4" w14:textId="77777777" w:rsidR="00637EDD" w:rsidRPr="000857F1" w:rsidRDefault="00637EDD" w:rsidP="005E641F">
            <w:pPr>
              <w:rPr>
                <w:rFonts w:cs="Calibri"/>
                <w:b/>
                <w:bCs/>
                <w:sz w:val="32"/>
                <w:szCs w:val="32"/>
              </w:rPr>
            </w:pPr>
            <w:r w:rsidRPr="000857F1">
              <w:rPr>
                <w:rFonts w:cs="Calibri"/>
                <w:b/>
                <w:bCs/>
                <w:sz w:val="32"/>
                <w:szCs w:val="32"/>
              </w:rPr>
              <w:t xml:space="preserve">Charter of Fundamental Rights of the European Union </w:t>
            </w:r>
          </w:p>
          <w:p w14:paraId="1F1ADAB0" w14:textId="77777777" w:rsidR="00D84F99" w:rsidRDefault="00D84F99" w:rsidP="005E641F">
            <w:pPr>
              <w:rPr>
                <w:rFonts w:cs="Calibri"/>
                <w:szCs w:val="28"/>
              </w:rPr>
            </w:pPr>
          </w:p>
          <w:p w14:paraId="2499DDC0" w14:textId="06A5BB9B" w:rsidR="00637EDD" w:rsidRPr="000857F1" w:rsidRDefault="00637EDD" w:rsidP="005E641F">
            <w:pPr>
              <w:rPr>
                <w:rFonts w:cs="Calibri"/>
                <w:szCs w:val="28"/>
              </w:rPr>
            </w:pPr>
            <w:r w:rsidRPr="000857F1">
              <w:rPr>
                <w:rFonts w:cs="Calibri"/>
                <w:szCs w:val="28"/>
              </w:rPr>
              <w:t xml:space="preserve">Article 20 - Equality before the law </w:t>
            </w:r>
          </w:p>
          <w:p w14:paraId="5ADFE80C" w14:textId="77777777" w:rsidR="00637EDD" w:rsidRDefault="00637EDD" w:rsidP="005E641F">
            <w:pPr>
              <w:rPr>
                <w:rFonts w:cs="Calibri"/>
                <w:szCs w:val="28"/>
              </w:rPr>
            </w:pPr>
            <w:r w:rsidRPr="000857F1">
              <w:rPr>
                <w:rFonts w:cs="Calibri"/>
                <w:szCs w:val="28"/>
              </w:rPr>
              <w:t xml:space="preserve">Article 21 - Non-discrimination </w:t>
            </w:r>
          </w:p>
          <w:p w14:paraId="60BA772D" w14:textId="77777777" w:rsidR="00637EDD" w:rsidRPr="000857F1" w:rsidRDefault="00637EDD" w:rsidP="005E641F">
            <w:pPr>
              <w:rPr>
                <w:rFonts w:cs="Calibri"/>
                <w:szCs w:val="28"/>
              </w:rPr>
            </w:pPr>
            <w:r w:rsidRPr="000857F1">
              <w:rPr>
                <w:rFonts w:cs="Calibri"/>
                <w:szCs w:val="28"/>
              </w:rPr>
              <w:t xml:space="preserve">Article 22 - Cultural, religious and linguistic diversity </w:t>
            </w:r>
          </w:p>
          <w:p w14:paraId="3EB42DBB" w14:textId="77777777" w:rsidR="00637EDD" w:rsidRPr="000857F1" w:rsidRDefault="00637EDD" w:rsidP="005E641F">
            <w:pPr>
              <w:rPr>
                <w:rFonts w:cs="Calibri"/>
                <w:szCs w:val="28"/>
              </w:rPr>
            </w:pPr>
            <w:r w:rsidRPr="000857F1">
              <w:rPr>
                <w:rFonts w:cs="Calibri"/>
                <w:szCs w:val="28"/>
              </w:rPr>
              <w:t xml:space="preserve">Article 23 - Equality between women and men </w:t>
            </w:r>
          </w:p>
          <w:p w14:paraId="68406B85" w14:textId="77777777" w:rsidR="00637EDD" w:rsidRDefault="00637EDD" w:rsidP="005E641F">
            <w:pPr>
              <w:rPr>
                <w:rFonts w:cs="Calibri"/>
                <w:szCs w:val="28"/>
              </w:rPr>
            </w:pPr>
            <w:r w:rsidRPr="000857F1">
              <w:rPr>
                <w:rFonts w:cs="Calibri"/>
                <w:szCs w:val="28"/>
              </w:rPr>
              <w:t>Article 26 - Integration of persons with disabilities</w:t>
            </w:r>
          </w:p>
          <w:p w14:paraId="5DCDD59A" w14:textId="0E90E8D2" w:rsidR="00961231" w:rsidRPr="006D05B8" w:rsidRDefault="00961231" w:rsidP="005E641F">
            <w:pPr>
              <w:rPr>
                <w:rFonts w:cs="Calibri"/>
                <w:szCs w:val="28"/>
              </w:rPr>
            </w:pPr>
          </w:p>
        </w:tc>
      </w:tr>
      <w:tr w:rsidR="00637EDD" w14:paraId="1E555259" w14:textId="77777777" w:rsidTr="005E641F">
        <w:tc>
          <w:tcPr>
            <w:tcW w:w="9016" w:type="dxa"/>
            <w:shd w:val="clear" w:color="auto" w:fill="AEAAAA" w:themeFill="background2" w:themeFillShade="BF"/>
          </w:tcPr>
          <w:p w14:paraId="54320777" w14:textId="77777777" w:rsidR="00637EDD" w:rsidRPr="000857F1" w:rsidRDefault="00637EDD" w:rsidP="005E641F">
            <w:pPr>
              <w:rPr>
                <w:rFonts w:cs="Calibri"/>
                <w:b/>
                <w:bCs/>
                <w:sz w:val="32"/>
                <w:szCs w:val="32"/>
              </w:rPr>
            </w:pPr>
            <w:r w:rsidRPr="00956843">
              <w:rPr>
                <w:rFonts w:cs="Calibri"/>
                <w:b/>
                <w:bCs/>
                <w:sz w:val="32"/>
                <w:szCs w:val="32"/>
              </w:rPr>
              <w:t>Right to freedom from sectarian harassment</w:t>
            </w:r>
          </w:p>
        </w:tc>
      </w:tr>
      <w:tr w:rsidR="00637EDD" w14:paraId="512A7395" w14:textId="77777777" w:rsidTr="005E641F">
        <w:tc>
          <w:tcPr>
            <w:tcW w:w="9016" w:type="dxa"/>
            <w:shd w:val="clear" w:color="auto" w:fill="FFFFFF" w:themeFill="background1"/>
          </w:tcPr>
          <w:p w14:paraId="4A44EC4F" w14:textId="77777777" w:rsidR="00637EDD" w:rsidRPr="00956843" w:rsidRDefault="00637EDD" w:rsidP="005E641F">
            <w:pPr>
              <w:rPr>
                <w:rFonts w:cs="Calibri"/>
                <w:b/>
                <w:bCs/>
                <w:sz w:val="32"/>
                <w:szCs w:val="32"/>
              </w:rPr>
            </w:pPr>
            <w:r w:rsidRPr="00F81207">
              <w:rPr>
                <w:rFonts w:cs="Calibri"/>
                <w:b/>
                <w:bCs/>
                <w:sz w:val="32"/>
                <w:szCs w:val="32"/>
              </w:rPr>
              <w:t>Treaty Articles</w:t>
            </w:r>
          </w:p>
        </w:tc>
      </w:tr>
      <w:tr w:rsidR="00637EDD" w14:paraId="0D1688F3" w14:textId="77777777" w:rsidTr="005E641F">
        <w:tc>
          <w:tcPr>
            <w:tcW w:w="9016" w:type="dxa"/>
            <w:shd w:val="clear" w:color="auto" w:fill="FFFFFF" w:themeFill="background1"/>
          </w:tcPr>
          <w:p w14:paraId="64A0EFA5" w14:textId="77777777" w:rsidR="00637EDD" w:rsidRPr="00F81207" w:rsidRDefault="00637EDD" w:rsidP="005E641F">
            <w:pPr>
              <w:rPr>
                <w:rFonts w:cs="Calibri"/>
                <w:b/>
                <w:bCs/>
                <w:sz w:val="32"/>
                <w:szCs w:val="32"/>
              </w:rPr>
            </w:pPr>
            <w:r w:rsidRPr="00A86423">
              <w:rPr>
                <w:rFonts w:cs="Calibri"/>
                <w:b/>
                <w:bCs/>
                <w:sz w:val="32"/>
                <w:szCs w:val="32"/>
              </w:rPr>
              <w:t>Regulations</w:t>
            </w:r>
          </w:p>
        </w:tc>
      </w:tr>
      <w:tr w:rsidR="00637EDD" w14:paraId="68DB7C03" w14:textId="77777777" w:rsidTr="005E641F">
        <w:tc>
          <w:tcPr>
            <w:tcW w:w="9016" w:type="dxa"/>
            <w:shd w:val="clear" w:color="auto" w:fill="FFFFFF" w:themeFill="background1"/>
          </w:tcPr>
          <w:p w14:paraId="34909D5B" w14:textId="77777777" w:rsidR="00637EDD" w:rsidRDefault="00637EDD" w:rsidP="005E641F">
            <w:pPr>
              <w:rPr>
                <w:rFonts w:cs="Calibri"/>
                <w:b/>
                <w:bCs/>
                <w:sz w:val="32"/>
                <w:szCs w:val="32"/>
              </w:rPr>
            </w:pPr>
            <w:r w:rsidRPr="007C6892">
              <w:rPr>
                <w:rFonts w:cs="Calibri"/>
                <w:b/>
                <w:bCs/>
                <w:sz w:val="32"/>
                <w:szCs w:val="32"/>
              </w:rPr>
              <w:t xml:space="preserve">Directives </w:t>
            </w:r>
          </w:p>
          <w:p w14:paraId="2AF1860D" w14:textId="77777777" w:rsidR="00637EDD" w:rsidRDefault="00637EDD" w:rsidP="005E641F">
            <w:pPr>
              <w:rPr>
                <w:rFonts w:cs="Calibri"/>
                <w:b/>
                <w:bCs/>
                <w:sz w:val="32"/>
                <w:szCs w:val="32"/>
              </w:rPr>
            </w:pPr>
          </w:p>
          <w:p w14:paraId="0EB059F9" w14:textId="77777777" w:rsidR="00637EDD" w:rsidRPr="007C6892" w:rsidRDefault="00637EDD" w:rsidP="005E641F">
            <w:pPr>
              <w:rPr>
                <w:rFonts w:cs="Calibri"/>
                <w:b/>
                <w:bCs/>
                <w:sz w:val="32"/>
                <w:szCs w:val="32"/>
              </w:rPr>
            </w:pPr>
            <w:r w:rsidRPr="007C6892">
              <w:rPr>
                <w:rFonts w:cs="Calibri"/>
                <w:b/>
                <w:bCs/>
                <w:sz w:val="32"/>
                <w:szCs w:val="32"/>
              </w:rPr>
              <w:t>Annex 1 Directives</w:t>
            </w:r>
          </w:p>
          <w:p w14:paraId="1E78503E" w14:textId="77777777" w:rsidR="00637EDD" w:rsidRPr="007C6892" w:rsidRDefault="00637EDD" w:rsidP="005E641F">
            <w:pPr>
              <w:rPr>
                <w:rFonts w:cs="Calibri"/>
                <w:szCs w:val="28"/>
              </w:rPr>
            </w:pPr>
          </w:p>
          <w:p w14:paraId="08AB2980" w14:textId="77777777" w:rsidR="00637EDD" w:rsidRDefault="00637EDD" w:rsidP="005E641F">
            <w:pPr>
              <w:rPr>
                <w:rFonts w:cs="Calibri"/>
                <w:szCs w:val="28"/>
              </w:rPr>
            </w:pPr>
            <w:hyperlink r:id="rId81" w:history="1">
              <w:r w:rsidRPr="000F713F">
                <w:rPr>
                  <w:rStyle w:val="Hyperlink"/>
                  <w:rFonts w:cs="Calibri"/>
                  <w:szCs w:val="28"/>
                </w:rPr>
                <w:t>Council Directive 2000/78/EC</w:t>
              </w:r>
            </w:hyperlink>
            <w:r w:rsidRPr="007C6892">
              <w:rPr>
                <w:rFonts w:cs="Calibri"/>
                <w:szCs w:val="28"/>
              </w:rPr>
              <w:t xml:space="preserve"> </w:t>
            </w:r>
          </w:p>
          <w:p w14:paraId="2963D836" w14:textId="77777777" w:rsidR="00637EDD" w:rsidRDefault="00637EDD" w:rsidP="005E641F">
            <w:pPr>
              <w:rPr>
                <w:rFonts w:cs="Calibri"/>
                <w:szCs w:val="28"/>
              </w:rPr>
            </w:pPr>
          </w:p>
          <w:p w14:paraId="766A58BF" w14:textId="77777777" w:rsidR="00637EDD" w:rsidRPr="00A86423" w:rsidRDefault="00637EDD" w:rsidP="005E641F">
            <w:pPr>
              <w:rPr>
                <w:rFonts w:cs="Calibri"/>
                <w:b/>
                <w:bCs/>
                <w:sz w:val="32"/>
                <w:szCs w:val="32"/>
              </w:rPr>
            </w:pPr>
            <w:r w:rsidRPr="007C6892">
              <w:rPr>
                <w:rFonts w:cs="Calibri"/>
                <w:b/>
                <w:bCs/>
                <w:sz w:val="32"/>
                <w:szCs w:val="32"/>
              </w:rPr>
              <w:t>Non-Annex 1 Directives</w:t>
            </w:r>
            <w:r>
              <w:rPr>
                <w:rFonts w:cs="Calibri"/>
                <w:b/>
                <w:bCs/>
                <w:sz w:val="32"/>
                <w:szCs w:val="32"/>
              </w:rPr>
              <w:t xml:space="preserve"> (None)</w:t>
            </w:r>
          </w:p>
        </w:tc>
      </w:tr>
      <w:tr w:rsidR="00637EDD" w14:paraId="780F8A62" w14:textId="77777777" w:rsidTr="005E641F">
        <w:tc>
          <w:tcPr>
            <w:tcW w:w="9016" w:type="dxa"/>
            <w:shd w:val="clear" w:color="auto" w:fill="FFFFFF" w:themeFill="background1"/>
          </w:tcPr>
          <w:p w14:paraId="47317D32" w14:textId="77777777" w:rsidR="00637EDD" w:rsidRPr="00952DDF" w:rsidRDefault="00637EDD" w:rsidP="005E641F">
            <w:pPr>
              <w:rPr>
                <w:rFonts w:cs="Calibri"/>
                <w:b/>
                <w:bCs/>
                <w:sz w:val="32"/>
                <w:szCs w:val="32"/>
              </w:rPr>
            </w:pPr>
            <w:r w:rsidRPr="00952DDF">
              <w:rPr>
                <w:rFonts w:cs="Calibri"/>
                <w:b/>
                <w:bCs/>
                <w:sz w:val="32"/>
                <w:szCs w:val="32"/>
              </w:rPr>
              <w:t>Charter of Fundamental Rights of the European Union</w:t>
            </w:r>
          </w:p>
          <w:p w14:paraId="2D553F80" w14:textId="4872F3F2" w:rsidR="00637EDD" w:rsidRDefault="00637EDD" w:rsidP="005E641F">
            <w:pPr>
              <w:rPr>
                <w:rFonts w:cs="Calibri"/>
                <w:szCs w:val="28"/>
              </w:rPr>
            </w:pPr>
            <w:r w:rsidRPr="00952DDF">
              <w:rPr>
                <w:rFonts w:cs="Calibri"/>
                <w:szCs w:val="28"/>
              </w:rPr>
              <w:t>CFR: Article 21 - Non-discrimination</w:t>
            </w:r>
          </w:p>
          <w:p w14:paraId="26ED48D3" w14:textId="7DE3F5AF" w:rsidR="00961231" w:rsidRPr="00952DDF" w:rsidRDefault="00961231" w:rsidP="005E641F">
            <w:pPr>
              <w:rPr>
                <w:rFonts w:cs="Calibri"/>
                <w:szCs w:val="28"/>
              </w:rPr>
            </w:pPr>
          </w:p>
        </w:tc>
      </w:tr>
    </w:tbl>
    <w:p w14:paraId="2EE59A78" w14:textId="77777777" w:rsidR="00961231" w:rsidRDefault="00961231">
      <w:r>
        <w:br w:type="page"/>
      </w:r>
    </w:p>
    <w:tbl>
      <w:tblPr>
        <w:tblStyle w:val="TableGrid"/>
        <w:tblW w:w="0" w:type="auto"/>
        <w:tblLook w:val="04A0" w:firstRow="1" w:lastRow="0" w:firstColumn="1" w:lastColumn="0" w:noHBand="0" w:noVBand="1"/>
      </w:tblPr>
      <w:tblGrid>
        <w:gridCol w:w="9016"/>
      </w:tblGrid>
      <w:tr w:rsidR="00637EDD" w14:paraId="44749022" w14:textId="77777777" w:rsidTr="005E641F">
        <w:tc>
          <w:tcPr>
            <w:tcW w:w="9016" w:type="dxa"/>
            <w:shd w:val="clear" w:color="auto" w:fill="AEAAAA" w:themeFill="background2" w:themeFillShade="BF"/>
          </w:tcPr>
          <w:p w14:paraId="073CD99A" w14:textId="7888B06F" w:rsidR="00637EDD" w:rsidRPr="00A10367" w:rsidRDefault="00637EDD" w:rsidP="005E641F">
            <w:pPr>
              <w:rPr>
                <w:rFonts w:cs="Calibri"/>
                <w:b/>
                <w:bCs/>
                <w:sz w:val="32"/>
                <w:szCs w:val="32"/>
              </w:rPr>
            </w:pPr>
            <w:r w:rsidRPr="00A10367">
              <w:rPr>
                <w:b/>
                <w:bCs/>
                <w:sz w:val="32"/>
                <w:szCs w:val="32"/>
              </w:rPr>
              <w:t>Right of women to full and equal political participation</w:t>
            </w:r>
          </w:p>
        </w:tc>
      </w:tr>
      <w:tr w:rsidR="00637EDD" w14:paraId="5857439A" w14:textId="77777777" w:rsidTr="005E641F">
        <w:tc>
          <w:tcPr>
            <w:tcW w:w="9016" w:type="dxa"/>
            <w:shd w:val="clear" w:color="auto" w:fill="auto"/>
          </w:tcPr>
          <w:p w14:paraId="46CA421E" w14:textId="77777777" w:rsidR="00637EDD" w:rsidRPr="00A10367" w:rsidRDefault="00637EDD" w:rsidP="005E641F">
            <w:pPr>
              <w:rPr>
                <w:b/>
                <w:bCs/>
                <w:sz w:val="32"/>
                <w:szCs w:val="32"/>
              </w:rPr>
            </w:pPr>
            <w:r w:rsidRPr="00444E76">
              <w:rPr>
                <w:b/>
                <w:bCs/>
                <w:sz w:val="32"/>
                <w:szCs w:val="32"/>
              </w:rPr>
              <w:t>Treaty Articles</w:t>
            </w:r>
          </w:p>
        </w:tc>
      </w:tr>
      <w:tr w:rsidR="00637EDD" w14:paraId="12ED7E5C" w14:textId="77777777" w:rsidTr="005E641F">
        <w:tc>
          <w:tcPr>
            <w:tcW w:w="9016" w:type="dxa"/>
            <w:shd w:val="clear" w:color="auto" w:fill="auto"/>
          </w:tcPr>
          <w:p w14:paraId="26C94875" w14:textId="77777777" w:rsidR="00637EDD" w:rsidRPr="00444E76" w:rsidRDefault="00637EDD" w:rsidP="005E641F">
            <w:pPr>
              <w:rPr>
                <w:b/>
                <w:bCs/>
                <w:sz w:val="32"/>
                <w:szCs w:val="32"/>
              </w:rPr>
            </w:pPr>
            <w:r w:rsidRPr="00195D89">
              <w:rPr>
                <w:b/>
                <w:bCs/>
                <w:sz w:val="32"/>
                <w:szCs w:val="32"/>
              </w:rPr>
              <w:t>Regulations</w:t>
            </w:r>
          </w:p>
        </w:tc>
      </w:tr>
      <w:tr w:rsidR="00637EDD" w14:paraId="182CF221" w14:textId="77777777" w:rsidTr="005E641F">
        <w:tc>
          <w:tcPr>
            <w:tcW w:w="9016" w:type="dxa"/>
            <w:shd w:val="clear" w:color="auto" w:fill="auto"/>
          </w:tcPr>
          <w:p w14:paraId="3C153855" w14:textId="77777777" w:rsidR="00637EDD" w:rsidRDefault="00637EDD" w:rsidP="005E641F">
            <w:pPr>
              <w:rPr>
                <w:b/>
                <w:bCs/>
                <w:sz w:val="32"/>
                <w:szCs w:val="32"/>
              </w:rPr>
            </w:pPr>
            <w:r w:rsidRPr="00AA1B5E">
              <w:rPr>
                <w:b/>
                <w:bCs/>
                <w:sz w:val="32"/>
                <w:szCs w:val="32"/>
              </w:rPr>
              <w:t xml:space="preserve">Directives </w:t>
            </w:r>
          </w:p>
          <w:p w14:paraId="151EF577" w14:textId="77777777" w:rsidR="00637EDD" w:rsidRDefault="00637EDD" w:rsidP="005E641F">
            <w:pPr>
              <w:rPr>
                <w:b/>
                <w:bCs/>
                <w:sz w:val="32"/>
                <w:szCs w:val="32"/>
              </w:rPr>
            </w:pPr>
          </w:p>
          <w:p w14:paraId="5FBB8EE0" w14:textId="77777777" w:rsidR="00637EDD" w:rsidRPr="00AA1B5E" w:rsidRDefault="00637EDD" w:rsidP="005E641F">
            <w:pPr>
              <w:rPr>
                <w:b/>
                <w:bCs/>
                <w:sz w:val="32"/>
                <w:szCs w:val="32"/>
              </w:rPr>
            </w:pPr>
            <w:r>
              <w:rPr>
                <w:b/>
                <w:bCs/>
                <w:sz w:val="32"/>
                <w:szCs w:val="32"/>
              </w:rPr>
              <w:t xml:space="preserve">Annex 1 Directives (None) </w:t>
            </w:r>
          </w:p>
          <w:p w14:paraId="39650D81" w14:textId="77777777" w:rsidR="00637EDD" w:rsidRPr="00AA1B5E" w:rsidRDefault="00637EDD" w:rsidP="005E641F">
            <w:pPr>
              <w:rPr>
                <w:b/>
                <w:bCs/>
                <w:sz w:val="32"/>
                <w:szCs w:val="32"/>
              </w:rPr>
            </w:pPr>
          </w:p>
          <w:p w14:paraId="74C3D771" w14:textId="77777777" w:rsidR="00637EDD" w:rsidRPr="006D05B8" w:rsidRDefault="00637EDD" w:rsidP="005E641F">
            <w:pPr>
              <w:rPr>
                <w:b/>
                <w:bCs/>
                <w:sz w:val="32"/>
                <w:szCs w:val="32"/>
              </w:rPr>
            </w:pPr>
            <w:r w:rsidRPr="00AA1B5E">
              <w:rPr>
                <w:b/>
                <w:bCs/>
                <w:sz w:val="32"/>
                <w:szCs w:val="32"/>
              </w:rPr>
              <w:t xml:space="preserve">Non-Annex 1 Directives </w:t>
            </w:r>
            <w:r>
              <w:rPr>
                <w:b/>
                <w:bCs/>
                <w:sz w:val="32"/>
                <w:szCs w:val="32"/>
              </w:rPr>
              <w:t>(None)</w:t>
            </w:r>
          </w:p>
        </w:tc>
      </w:tr>
      <w:tr w:rsidR="00637EDD" w14:paraId="29D74027" w14:textId="77777777" w:rsidTr="005E641F">
        <w:tc>
          <w:tcPr>
            <w:tcW w:w="9016" w:type="dxa"/>
            <w:shd w:val="clear" w:color="auto" w:fill="auto"/>
          </w:tcPr>
          <w:p w14:paraId="0F519B02" w14:textId="77777777" w:rsidR="00637EDD" w:rsidRPr="00EE1021" w:rsidRDefault="00637EDD" w:rsidP="005E641F">
            <w:pPr>
              <w:rPr>
                <w:b/>
                <w:bCs/>
                <w:sz w:val="32"/>
                <w:szCs w:val="32"/>
              </w:rPr>
            </w:pPr>
            <w:r w:rsidRPr="00EE1021">
              <w:rPr>
                <w:b/>
                <w:bCs/>
                <w:sz w:val="32"/>
                <w:szCs w:val="32"/>
              </w:rPr>
              <w:t>Charter of Fundamental Rights of the European Union</w:t>
            </w:r>
          </w:p>
          <w:p w14:paraId="5480E9ED" w14:textId="77777777" w:rsidR="00637EDD" w:rsidRDefault="00637EDD" w:rsidP="005E641F">
            <w:pPr>
              <w:rPr>
                <w:szCs w:val="28"/>
              </w:rPr>
            </w:pPr>
            <w:r w:rsidRPr="00EE1021">
              <w:rPr>
                <w:szCs w:val="28"/>
              </w:rPr>
              <w:t>Article 23 - Equality between women and men</w:t>
            </w:r>
          </w:p>
          <w:p w14:paraId="46EDBF78" w14:textId="25A560D7" w:rsidR="00992825" w:rsidRPr="006D05B8" w:rsidRDefault="00992825" w:rsidP="005E641F">
            <w:pPr>
              <w:rPr>
                <w:szCs w:val="28"/>
              </w:rPr>
            </w:pPr>
          </w:p>
        </w:tc>
      </w:tr>
      <w:tr w:rsidR="00637EDD" w14:paraId="389F69C4" w14:textId="77777777" w:rsidTr="005E641F">
        <w:tc>
          <w:tcPr>
            <w:tcW w:w="9016" w:type="dxa"/>
            <w:shd w:val="clear" w:color="auto" w:fill="AEAAAA" w:themeFill="background2" w:themeFillShade="BF"/>
          </w:tcPr>
          <w:p w14:paraId="41C4DEAD" w14:textId="77777777" w:rsidR="00637EDD" w:rsidRPr="00DE2B77" w:rsidRDefault="00637EDD" w:rsidP="005E641F">
            <w:pPr>
              <w:rPr>
                <w:b/>
                <w:bCs/>
                <w:sz w:val="32"/>
                <w:szCs w:val="32"/>
              </w:rPr>
            </w:pPr>
            <w:r w:rsidRPr="00DE2B77">
              <w:rPr>
                <w:b/>
                <w:bCs/>
                <w:sz w:val="32"/>
                <w:szCs w:val="32"/>
              </w:rPr>
              <w:t>Right of victims to remember as well as to contribute to a changed society</w:t>
            </w:r>
          </w:p>
        </w:tc>
      </w:tr>
      <w:tr w:rsidR="00637EDD" w14:paraId="38D4B154" w14:textId="77777777" w:rsidTr="005E641F">
        <w:tc>
          <w:tcPr>
            <w:tcW w:w="9016" w:type="dxa"/>
            <w:shd w:val="clear" w:color="auto" w:fill="auto"/>
          </w:tcPr>
          <w:p w14:paraId="56A952A7" w14:textId="77777777" w:rsidR="00637EDD" w:rsidRPr="00DE2B77" w:rsidRDefault="00637EDD" w:rsidP="005E641F">
            <w:pPr>
              <w:rPr>
                <w:b/>
                <w:bCs/>
                <w:sz w:val="32"/>
                <w:szCs w:val="32"/>
              </w:rPr>
            </w:pPr>
            <w:r w:rsidRPr="00A16CE4">
              <w:rPr>
                <w:b/>
                <w:bCs/>
                <w:sz w:val="32"/>
                <w:szCs w:val="32"/>
              </w:rPr>
              <w:t>Treaty Articles</w:t>
            </w:r>
          </w:p>
        </w:tc>
      </w:tr>
      <w:tr w:rsidR="00637EDD" w14:paraId="6AB60AFE" w14:textId="77777777" w:rsidTr="005E641F">
        <w:tc>
          <w:tcPr>
            <w:tcW w:w="9016" w:type="dxa"/>
            <w:shd w:val="clear" w:color="auto" w:fill="auto"/>
          </w:tcPr>
          <w:p w14:paraId="52A3A321" w14:textId="77777777" w:rsidR="00637EDD" w:rsidRPr="00A16CE4" w:rsidRDefault="00637EDD" w:rsidP="005E641F">
            <w:pPr>
              <w:rPr>
                <w:b/>
                <w:bCs/>
                <w:sz w:val="32"/>
                <w:szCs w:val="32"/>
              </w:rPr>
            </w:pPr>
            <w:r w:rsidRPr="005F4BC6">
              <w:rPr>
                <w:b/>
                <w:bCs/>
                <w:sz w:val="32"/>
                <w:szCs w:val="32"/>
              </w:rPr>
              <w:t>Regulations</w:t>
            </w:r>
          </w:p>
        </w:tc>
      </w:tr>
      <w:tr w:rsidR="00637EDD" w14:paraId="4C2875E0" w14:textId="77777777" w:rsidTr="005E641F">
        <w:tc>
          <w:tcPr>
            <w:tcW w:w="9016" w:type="dxa"/>
            <w:shd w:val="clear" w:color="auto" w:fill="auto"/>
          </w:tcPr>
          <w:p w14:paraId="64D0A297" w14:textId="77777777" w:rsidR="00637EDD" w:rsidRDefault="00637EDD" w:rsidP="005E641F">
            <w:pPr>
              <w:rPr>
                <w:b/>
                <w:bCs/>
                <w:sz w:val="32"/>
                <w:szCs w:val="32"/>
              </w:rPr>
            </w:pPr>
            <w:r w:rsidRPr="00F9136E">
              <w:rPr>
                <w:b/>
                <w:bCs/>
                <w:sz w:val="32"/>
                <w:szCs w:val="32"/>
              </w:rPr>
              <w:t xml:space="preserve">Directives </w:t>
            </w:r>
          </w:p>
          <w:p w14:paraId="32FA5F69" w14:textId="77777777" w:rsidR="00637EDD" w:rsidRDefault="00637EDD" w:rsidP="005E641F">
            <w:pPr>
              <w:rPr>
                <w:b/>
                <w:bCs/>
                <w:sz w:val="32"/>
                <w:szCs w:val="32"/>
              </w:rPr>
            </w:pPr>
          </w:p>
          <w:p w14:paraId="4A2B0FD8" w14:textId="77777777" w:rsidR="00637EDD" w:rsidRPr="00F9136E" w:rsidRDefault="00637EDD" w:rsidP="005E641F">
            <w:pPr>
              <w:rPr>
                <w:b/>
                <w:bCs/>
                <w:sz w:val="32"/>
                <w:szCs w:val="32"/>
              </w:rPr>
            </w:pPr>
            <w:r>
              <w:rPr>
                <w:b/>
                <w:bCs/>
                <w:sz w:val="32"/>
                <w:szCs w:val="32"/>
              </w:rPr>
              <w:t>Annex 1 Directives (None)</w:t>
            </w:r>
          </w:p>
          <w:p w14:paraId="710B9CFE" w14:textId="77777777" w:rsidR="00637EDD" w:rsidRPr="00F9136E" w:rsidRDefault="00637EDD" w:rsidP="005E641F">
            <w:pPr>
              <w:rPr>
                <w:b/>
                <w:bCs/>
                <w:sz w:val="32"/>
                <w:szCs w:val="32"/>
              </w:rPr>
            </w:pPr>
          </w:p>
          <w:p w14:paraId="6592C012" w14:textId="77777777" w:rsidR="00637EDD" w:rsidRDefault="00637EDD" w:rsidP="005E641F">
            <w:pPr>
              <w:rPr>
                <w:b/>
                <w:bCs/>
                <w:sz w:val="32"/>
                <w:szCs w:val="32"/>
              </w:rPr>
            </w:pPr>
            <w:r w:rsidRPr="00F9136E">
              <w:rPr>
                <w:b/>
                <w:bCs/>
                <w:sz w:val="32"/>
                <w:szCs w:val="32"/>
              </w:rPr>
              <w:t>Non-Annex 1 Directives</w:t>
            </w:r>
          </w:p>
          <w:p w14:paraId="196D554A" w14:textId="77777777" w:rsidR="00637EDD" w:rsidRDefault="00637EDD" w:rsidP="005E641F">
            <w:pPr>
              <w:rPr>
                <w:szCs w:val="28"/>
              </w:rPr>
            </w:pPr>
            <w:hyperlink r:id="rId82" w:history="1">
              <w:r w:rsidRPr="004602B2">
                <w:rPr>
                  <w:rStyle w:val="Hyperlink"/>
                  <w:szCs w:val="28"/>
                </w:rPr>
                <w:t>Directive 2011/36/EU</w:t>
              </w:r>
            </w:hyperlink>
            <w:r w:rsidRPr="00F9136E">
              <w:rPr>
                <w:szCs w:val="28"/>
              </w:rPr>
              <w:t xml:space="preserve"> of the European Parliament and of the Council of 5 April 2011 on </w:t>
            </w:r>
            <w:r w:rsidRPr="00527976">
              <w:rPr>
                <w:b/>
                <w:szCs w:val="28"/>
              </w:rPr>
              <w:t>preventing and combating trafficking</w:t>
            </w:r>
            <w:r w:rsidRPr="00F9136E">
              <w:rPr>
                <w:szCs w:val="28"/>
              </w:rPr>
              <w:t xml:space="preserve"> in human beings and </w:t>
            </w:r>
            <w:r w:rsidRPr="00527976">
              <w:rPr>
                <w:b/>
                <w:szCs w:val="28"/>
              </w:rPr>
              <w:t>protecting its victims</w:t>
            </w:r>
            <w:r w:rsidRPr="00F9136E">
              <w:rPr>
                <w:szCs w:val="28"/>
              </w:rPr>
              <w:t>, and replacing Council Framework Decision 2002/629/JHA</w:t>
            </w:r>
          </w:p>
          <w:p w14:paraId="126DAD9C" w14:textId="77777777" w:rsidR="00637EDD" w:rsidRPr="007E6A6B" w:rsidRDefault="00637EDD" w:rsidP="005E641F">
            <w:pPr>
              <w:rPr>
                <w:b/>
                <w:bCs/>
                <w:sz w:val="32"/>
                <w:szCs w:val="32"/>
              </w:rPr>
            </w:pPr>
          </w:p>
          <w:p w14:paraId="14A9F638" w14:textId="77777777" w:rsidR="00637EDD" w:rsidRPr="007114D6" w:rsidRDefault="00637EDD" w:rsidP="005E641F">
            <w:pPr>
              <w:rPr>
                <w:rFonts w:cs="Calibri"/>
                <w:szCs w:val="28"/>
              </w:rPr>
            </w:pPr>
            <w:hyperlink r:id="rId83" w:history="1">
              <w:r w:rsidRPr="001C2F37">
                <w:rPr>
                  <w:rStyle w:val="Hyperlink"/>
                  <w:rFonts w:cs="Calibri"/>
                  <w:szCs w:val="28"/>
                </w:rPr>
                <w:t>Directive 2011/93/EU</w:t>
              </w:r>
            </w:hyperlink>
            <w:r w:rsidRPr="007114D6">
              <w:rPr>
                <w:rFonts w:cs="Calibri"/>
                <w:szCs w:val="28"/>
              </w:rPr>
              <w:t xml:space="preserve"> of the European Parliament and of the Council of 13 December 2011 on</w:t>
            </w:r>
            <w:r w:rsidRPr="007A6078">
              <w:rPr>
                <w:rFonts w:cs="Calibri"/>
                <w:b/>
                <w:szCs w:val="28"/>
              </w:rPr>
              <w:t xml:space="preserve"> combating the sexual abuse and sexual exploitation of children and child pornography</w:t>
            </w:r>
            <w:r w:rsidRPr="007114D6">
              <w:rPr>
                <w:rFonts w:cs="Calibri"/>
                <w:szCs w:val="28"/>
              </w:rPr>
              <w:t>, and replacing Council Framework Decision 2004/68/JHA</w:t>
            </w:r>
          </w:p>
          <w:p w14:paraId="57576CD4" w14:textId="77777777" w:rsidR="00637EDD" w:rsidRPr="00F9136E" w:rsidRDefault="00637EDD" w:rsidP="005E641F">
            <w:pPr>
              <w:rPr>
                <w:szCs w:val="28"/>
              </w:rPr>
            </w:pPr>
          </w:p>
          <w:p w14:paraId="4FF6DA7B" w14:textId="77777777" w:rsidR="00637EDD" w:rsidRPr="008A4F26" w:rsidRDefault="00637EDD" w:rsidP="005E641F">
            <w:pPr>
              <w:rPr>
                <w:szCs w:val="28"/>
              </w:rPr>
            </w:pPr>
            <w:hyperlink r:id="rId84" w:history="1">
              <w:r w:rsidRPr="00D51E9D">
                <w:rPr>
                  <w:rStyle w:val="Hyperlink"/>
                  <w:szCs w:val="28"/>
                </w:rPr>
                <w:t>Directive 2012/29/EU</w:t>
              </w:r>
            </w:hyperlink>
            <w:r w:rsidRPr="00F9136E">
              <w:rPr>
                <w:szCs w:val="28"/>
              </w:rPr>
              <w:t xml:space="preserve"> of the European Parliament and of the Council of 25 October 2012 establishing </w:t>
            </w:r>
            <w:r w:rsidRPr="00527976">
              <w:rPr>
                <w:b/>
                <w:szCs w:val="28"/>
              </w:rPr>
              <w:t>minimum standards on the rights, support and protection of victims of crime</w:t>
            </w:r>
            <w:r w:rsidRPr="00F9136E">
              <w:rPr>
                <w:szCs w:val="28"/>
              </w:rPr>
              <w:t>, and replacing Council Framework Decision 2001/220/JHA</w:t>
            </w:r>
          </w:p>
        </w:tc>
      </w:tr>
      <w:tr w:rsidR="00637EDD" w14:paraId="6AA6E3A5" w14:textId="77777777" w:rsidTr="005E641F">
        <w:tc>
          <w:tcPr>
            <w:tcW w:w="9016" w:type="dxa"/>
            <w:shd w:val="clear" w:color="auto" w:fill="auto"/>
          </w:tcPr>
          <w:p w14:paraId="473F005F" w14:textId="77777777" w:rsidR="00637EDD" w:rsidRPr="00B86984" w:rsidRDefault="00637EDD" w:rsidP="005E641F">
            <w:pPr>
              <w:rPr>
                <w:b/>
                <w:bCs/>
                <w:sz w:val="32"/>
                <w:szCs w:val="32"/>
              </w:rPr>
            </w:pPr>
            <w:r w:rsidRPr="00B86984">
              <w:rPr>
                <w:b/>
                <w:bCs/>
                <w:sz w:val="32"/>
                <w:szCs w:val="32"/>
              </w:rPr>
              <w:t>Charter of Fundamental Rights of the European Union</w:t>
            </w:r>
          </w:p>
          <w:p w14:paraId="56FE08DD" w14:textId="77777777" w:rsidR="00637EDD" w:rsidRPr="00B86984" w:rsidRDefault="00637EDD" w:rsidP="005E641F">
            <w:pPr>
              <w:rPr>
                <w:szCs w:val="28"/>
              </w:rPr>
            </w:pPr>
            <w:r w:rsidRPr="00B86984">
              <w:rPr>
                <w:szCs w:val="28"/>
              </w:rPr>
              <w:t>CFR: Article 1 - Human Dignity</w:t>
            </w:r>
          </w:p>
        </w:tc>
      </w:tr>
      <w:tr w:rsidR="00637EDD" w14:paraId="5D1F96DC" w14:textId="77777777" w:rsidTr="005E641F">
        <w:tc>
          <w:tcPr>
            <w:tcW w:w="9016" w:type="dxa"/>
            <w:shd w:val="clear" w:color="auto" w:fill="AEAAAA" w:themeFill="background2" w:themeFillShade="BF"/>
          </w:tcPr>
          <w:p w14:paraId="1F781739" w14:textId="77777777" w:rsidR="00637EDD" w:rsidRPr="00B86984" w:rsidRDefault="00637EDD" w:rsidP="005E641F">
            <w:pPr>
              <w:rPr>
                <w:b/>
                <w:bCs/>
                <w:sz w:val="32"/>
                <w:szCs w:val="32"/>
              </w:rPr>
            </w:pPr>
            <w:r w:rsidRPr="00471D25">
              <w:rPr>
                <w:b/>
                <w:bCs/>
                <w:sz w:val="32"/>
                <w:szCs w:val="32"/>
              </w:rPr>
              <w:t>Respect, understanding and tolerance in relation to linguistic diversity</w:t>
            </w:r>
          </w:p>
        </w:tc>
      </w:tr>
      <w:tr w:rsidR="00637EDD" w14:paraId="2245B32B" w14:textId="77777777" w:rsidTr="005E641F">
        <w:tc>
          <w:tcPr>
            <w:tcW w:w="9016" w:type="dxa"/>
            <w:shd w:val="clear" w:color="auto" w:fill="FFFFFF" w:themeFill="background1"/>
          </w:tcPr>
          <w:p w14:paraId="1FEB55C2" w14:textId="77777777" w:rsidR="00637EDD" w:rsidRPr="002B405D" w:rsidRDefault="00637EDD" w:rsidP="005E641F">
            <w:pPr>
              <w:rPr>
                <w:b/>
                <w:bCs/>
                <w:sz w:val="32"/>
                <w:szCs w:val="32"/>
              </w:rPr>
            </w:pPr>
            <w:r w:rsidRPr="002B405D">
              <w:rPr>
                <w:b/>
                <w:bCs/>
                <w:sz w:val="32"/>
                <w:szCs w:val="32"/>
              </w:rPr>
              <w:t xml:space="preserve">Treaty Articles </w:t>
            </w:r>
          </w:p>
        </w:tc>
      </w:tr>
      <w:tr w:rsidR="00637EDD" w14:paraId="35A832A2" w14:textId="77777777" w:rsidTr="005E641F">
        <w:tc>
          <w:tcPr>
            <w:tcW w:w="9016" w:type="dxa"/>
            <w:shd w:val="clear" w:color="auto" w:fill="FFFFFF" w:themeFill="background1"/>
          </w:tcPr>
          <w:p w14:paraId="66F73B3B" w14:textId="77777777" w:rsidR="00637EDD" w:rsidRPr="002B405D" w:rsidRDefault="00637EDD" w:rsidP="005E641F">
            <w:pPr>
              <w:rPr>
                <w:b/>
                <w:bCs/>
                <w:sz w:val="32"/>
                <w:szCs w:val="32"/>
              </w:rPr>
            </w:pPr>
            <w:r w:rsidRPr="0097760C">
              <w:rPr>
                <w:b/>
                <w:bCs/>
                <w:sz w:val="32"/>
                <w:szCs w:val="32"/>
              </w:rPr>
              <w:t>Regulations</w:t>
            </w:r>
          </w:p>
        </w:tc>
      </w:tr>
      <w:tr w:rsidR="00637EDD" w14:paraId="1246E90D" w14:textId="77777777" w:rsidTr="005E641F">
        <w:tc>
          <w:tcPr>
            <w:tcW w:w="9016" w:type="dxa"/>
            <w:shd w:val="clear" w:color="auto" w:fill="FFFFFF" w:themeFill="background1"/>
          </w:tcPr>
          <w:p w14:paraId="10AB2F6B" w14:textId="77777777" w:rsidR="00637EDD" w:rsidRPr="0097760C" w:rsidRDefault="00637EDD" w:rsidP="005E641F">
            <w:pPr>
              <w:rPr>
                <w:b/>
                <w:bCs/>
                <w:sz w:val="32"/>
                <w:szCs w:val="32"/>
              </w:rPr>
            </w:pPr>
            <w:r w:rsidRPr="00B4400D">
              <w:rPr>
                <w:b/>
                <w:bCs/>
                <w:sz w:val="32"/>
                <w:szCs w:val="32"/>
              </w:rPr>
              <w:t xml:space="preserve">Directives </w:t>
            </w:r>
            <w:r>
              <w:rPr>
                <w:b/>
                <w:bCs/>
                <w:sz w:val="32"/>
                <w:szCs w:val="32"/>
              </w:rPr>
              <w:t>(None)</w:t>
            </w:r>
          </w:p>
        </w:tc>
      </w:tr>
      <w:tr w:rsidR="00637EDD" w14:paraId="0B401862" w14:textId="77777777" w:rsidTr="005E641F">
        <w:tc>
          <w:tcPr>
            <w:tcW w:w="9016" w:type="dxa"/>
            <w:shd w:val="clear" w:color="auto" w:fill="FFFFFF" w:themeFill="background1"/>
          </w:tcPr>
          <w:p w14:paraId="45674EA5" w14:textId="77777777" w:rsidR="00637EDD" w:rsidRDefault="00637EDD" w:rsidP="005E641F">
            <w:pPr>
              <w:rPr>
                <w:b/>
                <w:bCs/>
                <w:sz w:val="32"/>
                <w:szCs w:val="32"/>
              </w:rPr>
            </w:pPr>
            <w:r w:rsidRPr="00247120">
              <w:rPr>
                <w:b/>
                <w:bCs/>
                <w:sz w:val="32"/>
                <w:szCs w:val="32"/>
              </w:rPr>
              <w:t>Charter of Fundamental Rights of the European Union</w:t>
            </w:r>
          </w:p>
          <w:p w14:paraId="2740EF41" w14:textId="77777777" w:rsidR="00637EDD" w:rsidRPr="00247120" w:rsidRDefault="00637EDD" w:rsidP="005E641F">
            <w:pPr>
              <w:rPr>
                <w:b/>
                <w:bCs/>
                <w:sz w:val="32"/>
                <w:szCs w:val="32"/>
              </w:rPr>
            </w:pPr>
          </w:p>
          <w:p w14:paraId="012745E4" w14:textId="1537932B" w:rsidR="00637EDD" w:rsidRPr="00247120" w:rsidRDefault="00637EDD" w:rsidP="005E641F">
            <w:pPr>
              <w:rPr>
                <w:szCs w:val="28"/>
              </w:rPr>
            </w:pPr>
            <w:r w:rsidRPr="00247120">
              <w:rPr>
                <w:szCs w:val="28"/>
              </w:rPr>
              <w:t>CFR: Article 21 - Non-discrimination on grounds of language</w:t>
            </w:r>
          </w:p>
          <w:p w14:paraId="08374799" w14:textId="77777777" w:rsidR="00637EDD" w:rsidRDefault="00637EDD" w:rsidP="005E641F">
            <w:pPr>
              <w:rPr>
                <w:szCs w:val="28"/>
              </w:rPr>
            </w:pPr>
            <w:r w:rsidRPr="00247120">
              <w:rPr>
                <w:szCs w:val="28"/>
              </w:rPr>
              <w:t>CFR: Article 22 - Support of linguistic diversity</w:t>
            </w:r>
          </w:p>
          <w:p w14:paraId="51B0EB4F" w14:textId="1B362BB4" w:rsidR="00961231" w:rsidRPr="00B4400D" w:rsidRDefault="00961231" w:rsidP="005E641F">
            <w:pPr>
              <w:rPr>
                <w:b/>
                <w:bCs/>
                <w:sz w:val="32"/>
                <w:szCs w:val="32"/>
              </w:rPr>
            </w:pPr>
          </w:p>
        </w:tc>
      </w:tr>
      <w:tr w:rsidR="00637EDD" w14:paraId="15047154" w14:textId="77777777" w:rsidTr="005E641F">
        <w:tc>
          <w:tcPr>
            <w:tcW w:w="9016" w:type="dxa"/>
            <w:shd w:val="clear" w:color="auto" w:fill="AEAAAA" w:themeFill="background2" w:themeFillShade="BF"/>
          </w:tcPr>
          <w:p w14:paraId="34F4238C" w14:textId="77777777" w:rsidR="00637EDD" w:rsidRPr="00E206B2" w:rsidRDefault="00637EDD" w:rsidP="005E641F">
            <w:pPr>
              <w:rPr>
                <w:b/>
                <w:bCs/>
                <w:sz w:val="32"/>
                <w:szCs w:val="32"/>
              </w:rPr>
            </w:pPr>
            <w:r w:rsidRPr="00E206B2">
              <w:rPr>
                <w:b/>
                <w:bCs/>
                <w:sz w:val="32"/>
                <w:szCs w:val="32"/>
              </w:rPr>
              <w:t>The need to ensure that symbols and emblems are used in a manner which promotes mutual respect rather than division</w:t>
            </w:r>
          </w:p>
        </w:tc>
      </w:tr>
      <w:tr w:rsidR="00637EDD" w14:paraId="4A44C9E7" w14:textId="77777777" w:rsidTr="005E641F">
        <w:tc>
          <w:tcPr>
            <w:tcW w:w="9016" w:type="dxa"/>
            <w:shd w:val="clear" w:color="auto" w:fill="auto"/>
          </w:tcPr>
          <w:p w14:paraId="667C5138" w14:textId="77777777" w:rsidR="00637EDD" w:rsidRPr="00E206B2" w:rsidRDefault="00637EDD" w:rsidP="005E641F">
            <w:pPr>
              <w:rPr>
                <w:b/>
                <w:bCs/>
                <w:sz w:val="32"/>
                <w:szCs w:val="32"/>
              </w:rPr>
            </w:pPr>
            <w:r w:rsidRPr="00260909">
              <w:rPr>
                <w:b/>
                <w:bCs/>
                <w:sz w:val="32"/>
                <w:szCs w:val="32"/>
              </w:rPr>
              <w:t>Treaty Articles</w:t>
            </w:r>
          </w:p>
        </w:tc>
      </w:tr>
      <w:tr w:rsidR="00637EDD" w14:paraId="17F73EF3" w14:textId="77777777" w:rsidTr="005E641F">
        <w:tc>
          <w:tcPr>
            <w:tcW w:w="9016" w:type="dxa"/>
            <w:shd w:val="clear" w:color="auto" w:fill="auto"/>
          </w:tcPr>
          <w:p w14:paraId="4C0286B9" w14:textId="77777777" w:rsidR="00637EDD" w:rsidRPr="00260909" w:rsidRDefault="00637EDD" w:rsidP="005E641F">
            <w:pPr>
              <w:rPr>
                <w:b/>
                <w:bCs/>
                <w:sz w:val="32"/>
                <w:szCs w:val="32"/>
              </w:rPr>
            </w:pPr>
            <w:r w:rsidRPr="00775170">
              <w:rPr>
                <w:b/>
                <w:bCs/>
                <w:sz w:val="32"/>
                <w:szCs w:val="32"/>
              </w:rPr>
              <w:t>Regulations</w:t>
            </w:r>
          </w:p>
        </w:tc>
      </w:tr>
      <w:tr w:rsidR="00637EDD" w14:paraId="663CE65B" w14:textId="77777777" w:rsidTr="005E641F">
        <w:tc>
          <w:tcPr>
            <w:tcW w:w="9016" w:type="dxa"/>
            <w:shd w:val="clear" w:color="auto" w:fill="auto"/>
          </w:tcPr>
          <w:p w14:paraId="0336BEA8" w14:textId="77777777" w:rsidR="00637EDD" w:rsidRPr="00775170" w:rsidRDefault="00637EDD" w:rsidP="005E641F">
            <w:pPr>
              <w:rPr>
                <w:b/>
                <w:bCs/>
                <w:sz w:val="32"/>
                <w:szCs w:val="32"/>
              </w:rPr>
            </w:pPr>
            <w:r w:rsidRPr="006460DC">
              <w:rPr>
                <w:b/>
                <w:bCs/>
                <w:sz w:val="32"/>
                <w:szCs w:val="32"/>
              </w:rPr>
              <w:t xml:space="preserve">Directives </w:t>
            </w:r>
            <w:r>
              <w:rPr>
                <w:b/>
                <w:bCs/>
                <w:sz w:val="32"/>
                <w:szCs w:val="32"/>
              </w:rPr>
              <w:t xml:space="preserve"> (None)</w:t>
            </w:r>
          </w:p>
        </w:tc>
      </w:tr>
      <w:tr w:rsidR="00637EDD" w14:paraId="76A4227F" w14:textId="77777777" w:rsidTr="005E641F">
        <w:tc>
          <w:tcPr>
            <w:tcW w:w="9016" w:type="dxa"/>
            <w:shd w:val="clear" w:color="auto" w:fill="auto"/>
          </w:tcPr>
          <w:p w14:paraId="495E1B29" w14:textId="77777777" w:rsidR="00637EDD" w:rsidRPr="001D02F5" w:rsidRDefault="00637EDD" w:rsidP="005E641F">
            <w:pPr>
              <w:rPr>
                <w:b/>
                <w:bCs/>
                <w:sz w:val="32"/>
                <w:szCs w:val="32"/>
              </w:rPr>
            </w:pPr>
            <w:r w:rsidRPr="001D02F5">
              <w:rPr>
                <w:b/>
                <w:bCs/>
                <w:sz w:val="32"/>
                <w:szCs w:val="32"/>
              </w:rPr>
              <w:t xml:space="preserve">Charter of Fundamental Rights of the European Union </w:t>
            </w:r>
          </w:p>
          <w:p w14:paraId="3A44C62B" w14:textId="77777777" w:rsidR="00637EDD" w:rsidRPr="001D02F5" w:rsidRDefault="00637EDD" w:rsidP="005E641F">
            <w:pPr>
              <w:rPr>
                <w:b/>
                <w:bCs/>
                <w:sz w:val="32"/>
                <w:szCs w:val="32"/>
              </w:rPr>
            </w:pPr>
          </w:p>
          <w:p w14:paraId="7B732407" w14:textId="77777777" w:rsidR="00637EDD" w:rsidRPr="001D02F5" w:rsidRDefault="00637EDD" w:rsidP="005E641F">
            <w:pPr>
              <w:rPr>
                <w:szCs w:val="28"/>
              </w:rPr>
            </w:pPr>
            <w:r w:rsidRPr="001D02F5">
              <w:rPr>
                <w:szCs w:val="28"/>
              </w:rPr>
              <w:t>CFR: Article 52(3) - Scope of rights</w:t>
            </w:r>
          </w:p>
          <w:p w14:paraId="4F187BCB" w14:textId="46E113B3" w:rsidR="00637EDD" w:rsidRDefault="00637EDD" w:rsidP="005E641F">
            <w:pPr>
              <w:rPr>
                <w:szCs w:val="28"/>
              </w:rPr>
            </w:pPr>
            <w:r w:rsidRPr="001D02F5">
              <w:rPr>
                <w:szCs w:val="28"/>
              </w:rPr>
              <w:t>CFR: Article 54 - Prohibition on abuse of rights</w:t>
            </w:r>
          </w:p>
          <w:p w14:paraId="64B45EC2" w14:textId="77777777" w:rsidR="00637EDD" w:rsidRPr="006460DC" w:rsidRDefault="00637EDD" w:rsidP="005E641F">
            <w:pPr>
              <w:rPr>
                <w:b/>
                <w:bCs/>
                <w:sz w:val="32"/>
                <w:szCs w:val="32"/>
              </w:rPr>
            </w:pPr>
          </w:p>
        </w:tc>
      </w:tr>
    </w:tbl>
    <w:p w14:paraId="7B976712" w14:textId="77777777" w:rsidR="00961231" w:rsidRDefault="00961231">
      <w:r>
        <w:br w:type="page"/>
      </w:r>
    </w:p>
    <w:tbl>
      <w:tblPr>
        <w:tblStyle w:val="TableGrid"/>
        <w:tblW w:w="0" w:type="auto"/>
        <w:tblLook w:val="04A0" w:firstRow="1" w:lastRow="0" w:firstColumn="1" w:lastColumn="0" w:noHBand="0" w:noVBand="1"/>
      </w:tblPr>
      <w:tblGrid>
        <w:gridCol w:w="9016"/>
      </w:tblGrid>
      <w:tr w:rsidR="00637EDD" w14:paraId="69051401" w14:textId="77777777" w:rsidTr="005E641F">
        <w:tc>
          <w:tcPr>
            <w:tcW w:w="9016" w:type="dxa"/>
            <w:shd w:val="clear" w:color="auto" w:fill="AEAAAA" w:themeFill="background2" w:themeFillShade="BF"/>
          </w:tcPr>
          <w:p w14:paraId="11CC632B" w14:textId="68F78ADE" w:rsidR="00637EDD" w:rsidRPr="001D02F5" w:rsidRDefault="00637EDD" w:rsidP="005E641F">
            <w:pPr>
              <w:rPr>
                <w:b/>
                <w:bCs/>
                <w:sz w:val="32"/>
                <w:szCs w:val="32"/>
              </w:rPr>
            </w:pPr>
            <w:r w:rsidRPr="001737C4">
              <w:rPr>
                <w:b/>
                <w:bCs/>
                <w:sz w:val="32"/>
                <w:szCs w:val="32"/>
              </w:rPr>
              <w:t>Civil Rights and Religious Liberties of Everyone in the Community</w:t>
            </w:r>
          </w:p>
        </w:tc>
      </w:tr>
      <w:tr w:rsidR="00637EDD" w14:paraId="0A554B2E" w14:textId="77777777" w:rsidTr="00D84F99">
        <w:trPr>
          <w:trHeight w:val="9063"/>
        </w:trPr>
        <w:tc>
          <w:tcPr>
            <w:tcW w:w="9016" w:type="dxa"/>
            <w:shd w:val="clear" w:color="auto" w:fill="auto"/>
          </w:tcPr>
          <w:p w14:paraId="02DD4ABA" w14:textId="77777777" w:rsidR="00637EDD" w:rsidRPr="00363A26" w:rsidRDefault="00637EDD" w:rsidP="005E641F">
            <w:pPr>
              <w:tabs>
                <w:tab w:val="left" w:pos="960"/>
              </w:tabs>
              <w:rPr>
                <w:szCs w:val="28"/>
              </w:rPr>
            </w:pPr>
            <w:r w:rsidRPr="00363A26">
              <w:rPr>
                <w:szCs w:val="28"/>
              </w:rPr>
              <w:t>There is a commitment in the relevant Chapter of the Belfast (Good Friday) Agreement to protect the ‘civil rights’ and ‘religious liberties’ of ‘everyone in the community’.</w:t>
            </w:r>
          </w:p>
          <w:p w14:paraId="7E88654F" w14:textId="77777777" w:rsidR="00637EDD" w:rsidRPr="00363A26" w:rsidRDefault="00637EDD" w:rsidP="005E641F">
            <w:pPr>
              <w:tabs>
                <w:tab w:val="left" w:pos="960"/>
              </w:tabs>
              <w:rPr>
                <w:szCs w:val="28"/>
              </w:rPr>
            </w:pPr>
          </w:p>
          <w:p w14:paraId="51A37A31" w14:textId="77777777" w:rsidR="00637EDD" w:rsidRPr="00363A26" w:rsidRDefault="00637EDD" w:rsidP="005E641F">
            <w:pPr>
              <w:tabs>
                <w:tab w:val="left" w:pos="960"/>
              </w:tabs>
              <w:rPr>
                <w:szCs w:val="28"/>
              </w:rPr>
            </w:pPr>
            <w:r w:rsidRPr="00363A26">
              <w:rPr>
                <w:szCs w:val="28"/>
              </w:rPr>
              <w:t xml:space="preserve">This commitment remains under consideration by the Commissions in terms of its implications for the scope of Protocol Article 2, as outlined in </w:t>
            </w:r>
            <w:r>
              <w:rPr>
                <w:szCs w:val="28"/>
              </w:rPr>
              <w:t>S</w:t>
            </w:r>
            <w:r w:rsidRPr="00363A26">
              <w:rPr>
                <w:szCs w:val="28"/>
              </w:rPr>
              <w:t>ection 3</w:t>
            </w:r>
            <w:r>
              <w:rPr>
                <w:szCs w:val="28"/>
              </w:rPr>
              <w:t xml:space="preserve"> of the Protocol Article 2 scope paper. </w:t>
            </w:r>
            <w:r w:rsidRPr="00363A26">
              <w:rPr>
                <w:szCs w:val="28"/>
              </w:rPr>
              <w:t xml:space="preserve"> </w:t>
            </w:r>
          </w:p>
          <w:p w14:paraId="07938957" w14:textId="77777777" w:rsidR="00637EDD" w:rsidRPr="00363A26" w:rsidRDefault="00637EDD" w:rsidP="005E641F">
            <w:pPr>
              <w:tabs>
                <w:tab w:val="left" w:pos="960"/>
              </w:tabs>
              <w:rPr>
                <w:szCs w:val="28"/>
              </w:rPr>
            </w:pPr>
          </w:p>
          <w:p w14:paraId="4208726C" w14:textId="77777777" w:rsidR="00637EDD" w:rsidRPr="00363A26" w:rsidRDefault="00637EDD" w:rsidP="005E641F">
            <w:pPr>
              <w:tabs>
                <w:tab w:val="left" w:pos="960"/>
              </w:tabs>
              <w:rPr>
                <w:szCs w:val="28"/>
              </w:rPr>
            </w:pPr>
            <w:r w:rsidRPr="00363A26">
              <w:rPr>
                <w:szCs w:val="28"/>
              </w:rPr>
              <w:t xml:space="preserve">The Commissions are adopting a working assumption that the non-diminution commitment in Protocol Article 2 encompasses the full range of rights set out in the European Convention on Human Rights (‘ECHR’), to the extent that they are underpinned by EU obligations in force </w:t>
            </w:r>
            <w:r>
              <w:rPr>
                <w:szCs w:val="28"/>
              </w:rPr>
              <w:t xml:space="preserve">in Northern Ireland </w:t>
            </w:r>
            <w:r w:rsidRPr="00363A26">
              <w:rPr>
                <w:szCs w:val="28"/>
              </w:rPr>
              <w:t xml:space="preserve">on </w:t>
            </w:r>
            <w:r>
              <w:rPr>
                <w:szCs w:val="28"/>
              </w:rPr>
              <w:t xml:space="preserve">or before </w:t>
            </w:r>
            <w:r w:rsidRPr="00363A26">
              <w:rPr>
                <w:szCs w:val="28"/>
              </w:rPr>
              <w:t>31 December 2020. The Commissions are undertaking ongoing research exploring the extent to which ECHR rights are underpinned by EU law.</w:t>
            </w:r>
          </w:p>
          <w:p w14:paraId="591A6C54" w14:textId="77777777" w:rsidR="00637EDD" w:rsidRPr="00363A26" w:rsidRDefault="00637EDD" w:rsidP="005E641F">
            <w:pPr>
              <w:tabs>
                <w:tab w:val="left" w:pos="960"/>
              </w:tabs>
              <w:rPr>
                <w:szCs w:val="28"/>
              </w:rPr>
            </w:pPr>
          </w:p>
          <w:p w14:paraId="65BABD36" w14:textId="77777777" w:rsidR="00637EDD" w:rsidRPr="00363A26" w:rsidRDefault="00637EDD" w:rsidP="005E641F">
            <w:pPr>
              <w:tabs>
                <w:tab w:val="left" w:pos="960"/>
              </w:tabs>
              <w:rPr>
                <w:szCs w:val="28"/>
              </w:rPr>
            </w:pPr>
            <w:r w:rsidRPr="00363A26">
              <w:rPr>
                <w:szCs w:val="28"/>
              </w:rPr>
              <w:t xml:space="preserve">It is arguable that the signatories’ general commitment to rights in the Belfast (Good Friday) Agreement was made with reference to the full range of human rights standards ratified by the UK and that it should be read as an ambulatory or living reference capable of such an interpretation. </w:t>
            </w:r>
          </w:p>
          <w:p w14:paraId="47F9B3A2" w14:textId="77777777" w:rsidR="00637EDD" w:rsidRPr="00363A26" w:rsidRDefault="00637EDD" w:rsidP="005E641F">
            <w:pPr>
              <w:tabs>
                <w:tab w:val="left" w:pos="960"/>
              </w:tabs>
              <w:rPr>
                <w:szCs w:val="28"/>
              </w:rPr>
            </w:pPr>
          </w:p>
          <w:p w14:paraId="516D20B9" w14:textId="77777777" w:rsidR="00637EDD" w:rsidRPr="00363A26" w:rsidRDefault="00637EDD" w:rsidP="005E641F">
            <w:pPr>
              <w:tabs>
                <w:tab w:val="left" w:pos="960"/>
              </w:tabs>
              <w:rPr>
                <w:szCs w:val="28"/>
              </w:rPr>
            </w:pPr>
            <w:r w:rsidRPr="00363A26">
              <w:rPr>
                <w:szCs w:val="28"/>
              </w:rPr>
              <w:t>It is also arguable that the general commitment to equality of opportunity, in the ‘Rights, Safeguards and Equality of Opportunity’ Chapter in the Belfast (Good Friday) Agreement also draws on those non-discrimination and equality protections available through the international human rights standards ratified by the UK.  The Commissions will adopt a broad interpretation of the right to equality of opportunity in all social and economic activity protected under Protocol Article 2.</w:t>
            </w:r>
          </w:p>
          <w:p w14:paraId="628D2F00" w14:textId="77777777" w:rsidR="00637EDD" w:rsidRPr="00363A26" w:rsidRDefault="00637EDD" w:rsidP="005E641F">
            <w:pPr>
              <w:tabs>
                <w:tab w:val="left" w:pos="960"/>
              </w:tabs>
              <w:rPr>
                <w:szCs w:val="28"/>
              </w:rPr>
            </w:pPr>
          </w:p>
          <w:p w14:paraId="5D50EC03" w14:textId="77777777" w:rsidR="00637EDD" w:rsidRDefault="00637EDD" w:rsidP="005E641F">
            <w:pPr>
              <w:tabs>
                <w:tab w:val="left" w:pos="960"/>
              </w:tabs>
              <w:rPr>
                <w:szCs w:val="28"/>
              </w:rPr>
            </w:pPr>
            <w:r w:rsidRPr="00363A26">
              <w:rPr>
                <w:szCs w:val="28"/>
              </w:rPr>
              <w:t>The following are the first examples of</w:t>
            </w:r>
            <w:r>
              <w:rPr>
                <w:szCs w:val="28"/>
              </w:rPr>
              <w:t xml:space="preserve"> EU </w:t>
            </w:r>
            <w:r w:rsidRPr="00363A26">
              <w:rPr>
                <w:szCs w:val="28"/>
              </w:rPr>
              <w:t>measures</w:t>
            </w:r>
            <w:r>
              <w:rPr>
                <w:szCs w:val="28"/>
              </w:rPr>
              <w:t xml:space="preserve"> that are non- Annex 1 Directives</w:t>
            </w:r>
            <w:r w:rsidRPr="00363A26">
              <w:rPr>
                <w:szCs w:val="28"/>
              </w:rPr>
              <w:t xml:space="preserve"> </w:t>
            </w:r>
            <w:r>
              <w:rPr>
                <w:szCs w:val="28"/>
              </w:rPr>
              <w:t xml:space="preserve">which the Commissions have </w:t>
            </w:r>
            <w:r w:rsidRPr="00363A26">
              <w:rPr>
                <w:szCs w:val="28"/>
              </w:rPr>
              <w:t>identified as falling within</w:t>
            </w:r>
            <w:r w:rsidRPr="007F24B8">
              <w:rPr>
                <w:szCs w:val="28"/>
              </w:rPr>
              <w:t xml:space="preserve"> the</w:t>
            </w:r>
            <w:r w:rsidRPr="00363A26">
              <w:rPr>
                <w:szCs w:val="28"/>
              </w:rPr>
              <w:t xml:space="preserve"> scope of </w:t>
            </w:r>
            <w:r>
              <w:rPr>
                <w:szCs w:val="28"/>
              </w:rPr>
              <w:t xml:space="preserve">Protocol </w:t>
            </w:r>
            <w:r w:rsidRPr="00363A26">
              <w:rPr>
                <w:szCs w:val="28"/>
              </w:rPr>
              <w:t>Article 2 on the basis of the rationale above</w:t>
            </w:r>
            <w:r>
              <w:rPr>
                <w:szCs w:val="28"/>
              </w:rPr>
              <w:t xml:space="preserve">. As indicated in earlier sections of this table, a number of these Directives can also be considered to fall within some of the specific rights listed in </w:t>
            </w:r>
            <w:r w:rsidRPr="00363A26">
              <w:rPr>
                <w:szCs w:val="28"/>
              </w:rPr>
              <w:t>relevant Chapter of the Belfast (Good Friday) Agreement</w:t>
            </w:r>
            <w:r>
              <w:rPr>
                <w:szCs w:val="28"/>
              </w:rPr>
              <w:t>.</w:t>
            </w:r>
          </w:p>
          <w:p w14:paraId="047B2734" w14:textId="77777777" w:rsidR="00637EDD" w:rsidRPr="00363A26" w:rsidRDefault="00637EDD" w:rsidP="005E641F">
            <w:pPr>
              <w:tabs>
                <w:tab w:val="left" w:pos="960"/>
              </w:tabs>
              <w:rPr>
                <w:szCs w:val="28"/>
              </w:rPr>
            </w:pPr>
          </w:p>
          <w:p w14:paraId="039BAFE4" w14:textId="77777777" w:rsidR="00637EDD" w:rsidRDefault="00637EDD" w:rsidP="005E641F">
            <w:pPr>
              <w:tabs>
                <w:tab w:val="left" w:pos="960"/>
              </w:tabs>
              <w:rPr>
                <w:b/>
                <w:bCs/>
                <w:sz w:val="32"/>
                <w:szCs w:val="32"/>
              </w:rPr>
            </w:pPr>
          </w:p>
          <w:p w14:paraId="06B76193" w14:textId="77777777" w:rsidR="00637EDD" w:rsidRDefault="00637EDD" w:rsidP="005E641F">
            <w:pPr>
              <w:tabs>
                <w:tab w:val="left" w:pos="960"/>
              </w:tabs>
              <w:rPr>
                <w:b/>
                <w:bCs/>
                <w:sz w:val="32"/>
                <w:szCs w:val="32"/>
              </w:rPr>
            </w:pPr>
          </w:p>
          <w:p w14:paraId="4426EA2B" w14:textId="77777777" w:rsidR="00637EDD" w:rsidRDefault="00637EDD" w:rsidP="005E641F">
            <w:pPr>
              <w:tabs>
                <w:tab w:val="left" w:pos="960"/>
              </w:tabs>
              <w:rPr>
                <w:b/>
                <w:bCs/>
                <w:sz w:val="32"/>
                <w:szCs w:val="32"/>
              </w:rPr>
            </w:pPr>
          </w:p>
          <w:p w14:paraId="739C2250" w14:textId="77777777" w:rsidR="00315A0B" w:rsidRDefault="00315A0B" w:rsidP="005E641F">
            <w:pPr>
              <w:tabs>
                <w:tab w:val="left" w:pos="960"/>
              </w:tabs>
              <w:rPr>
                <w:b/>
                <w:bCs/>
                <w:sz w:val="32"/>
                <w:szCs w:val="32"/>
              </w:rPr>
            </w:pPr>
          </w:p>
          <w:p w14:paraId="23F23C14" w14:textId="4EDC46FC" w:rsidR="00637EDD" w:rsidRPr="00363A26" w:rsidRDefault="00637EDD" w:rsidP="005E641F">
            <w:pPr>
              <w:tabs>
                <w:tab w:val="left" w:pos="960"/>
              </w:tabs>
              <w:rPr>
                <w:b/>
                <w:bCs/>
                <w:sz w:val="32"/>
                <w:szCs w:val="32"/>
              </w:rPr>
            </w:pPr>
            <w:r w:rsidRPr="00363A26">
              <w:rPr>
                <w:b/>
                <w:bCs/>
                <w:sz w:val="32"/>
                <w:szCs w:val="32"/>
              </w:rPr>
              <w:t>Regulations</w:t>
            </w:r>
          </w:p>
          <w:p w14:paraId="1B7D85E4" w14:textId="77777777" w:rsidR="00637EDD" w:rsidRDefault="00637EDD" w:rsidP="005E641F">
            <w:pPr>
              <w:tabs>
                <w:tab w:val="left" w:pos="960"/>
              </w:tabs>
              <w:rPr>
                <w:bCs/>
                <w:szCs w:val="28"/>
              </w:rPr>
            </w:pPr>
            <w:hyperlink r:id="rId85" w:history="1">
              <w:r w:rsidRPr="00E553AC">
                <w:rPr>
                  <w:rStyle w:val="Hyperlink"/>
                  <w:bCs/>
                  <w:szCs w:val="28"/>
                </w:rPr>
                <w:t>Commission Regulation (EC) No 1560/2003</w:t>
              </w:r>
            </w:hyperlink>
            <w:r w:rsidRPr="00E553AC">
              <w:rPr>
                <w:bCs/>
                <w:szCs w:val="28"/>
              </w:rPr>
              <w:t xml:space="preserve"> of 2 September 2003 laying down detailed rules for the application of Council Regulation (EC) No 343/2003 </w:t>
            </w:r>
            <w:r w:rsidRPr="00E553AC">
              <w:rPr>
                <w:b/>
                <w:bCs/>
                <w:szCs w:val="28"/>
              </w:rPr>
              <w:t>establishing the</w:t>
            </w:r>
            <w:r w:rsidRPr="00E553AC">
              <w:rPr>
                <w:bCs/>
                <w:szCs w:val="28"/>
              </w:rPr>
              <w:t xml:space="preserve"> </w:t>
            </w:r>
            <w:r w:rsidRPr="00E553AC">
              <w:rPr>
                <w:b/>
                <w:bCs/>
                <w:szCs w:val="28"/>
              </w:rPr>
              <w:t>criteria and mechanisms for determining the Member State responsible for examining an asylum application</w:t>
            </w:r>
            <w:r w:rsidRPr="00E553AC">
              <w:rPr>
                <w:bCs/>
                <w:szCs w:val="28"/>
              </w:rPr>
              <w:t xml:space="preserve"> lodged in one of the Member States by a third-country national</w:t>
            </w:r>
          </w:p>
          <w:p w14:paraId="39863FDD" w14:textId="77777777" w:rsidR="00637EDD" w:rsidRDefault="00637EDD" w:rsidP="005E641F">
            <w:pPr>
              <w:tabs>
                <w:tab w:val="left" w:pos="960"/>
              </w:tabs>
              <w:rPr>
                <w:bCs/>
                <w:szCs w:val="28"/>
              </w:rPr>
            </w:pPr>
          </w:p>
          <w:p w14:paraId="6E4CD86D" w14:textId="77777777" w:rsidR="00637EDD" w:rsidRDefault="00637EDD" w:rsidP="005E641F">
            <w:pPr>
              <w:tabs>
                <w:tab w:val="left" w:pos="960"/>
              </w:tabs>
              <w:rPr>
                <w:szCs w:val="28"/>
              </w:rPr>
            </w:pPr>
            <w:hyperlink r:id="rId86" w:history="1">
              <w:r w:rsidRPr="00E553AC">
                <w:rPr>
                  <w:rStyle w:val="Hyperlink"/>
                  <w:szCs w:val="28"/>
                </w:rPr>
                <w:t>Regulation (EU) No 604/2013</w:t>
              </w:r>
            </w:hyperlink>
            <w:r w:rsidRPr="00E553AC">
              <w:rPr>
                <w:szCs w:val="28"/>
              </w:rPr>
              <w:t xml:space="preserve"> of the European Parliament and of the Council of 26 June 2013 </w:t>
            </w:r>
            <w:r w:rsidRPr="00E553AC">
              <w:rPr>
                <w:b/>
                <w:szCs w:val="28"/>
              </w:rPr>
              <w:t>establishing the</w:t>
            </w:r>
            <w:r w:rsidRPr="00E553AC">
              <w:rPr>
                <w:szCs w:val="28"/>
              </w:rPr>
              <w:t xml:space="preserve"> </w:t>
            </w:r>
            <w:r w:rsidRPr="00E553AC">
              <w:rPr>
                <w:b/>
                <w:szCs w:val="28"/>
              </w:rPr>
              <w:t>criteria and mechanisms for determining the Member State responsible for examining an application for international protection</w:t>
            </w:r>
            <w:r w:rsidRPr="00E553AC">
              <w:rPr>
                <w:szCs w:val="28"/>
              </w:rPr>
              <w:t xml:space="preserve"> lodged in one of the Member States by a third-country national or a stateless person</w:t>
            </w:r>
          </w:p>
          <w:p w14:paraId="1517B0F5" w14:textId="77777777" w:rsidR="00637EDD" w:rsidRDefault="00637EDD" w:rsidP="005E641F">
            <w:pPr>
              <w:tabs>
                <w:tab w:val="left" w:pos="960"/>
              </w:tabs>
              <w:rPr>
                <w:szCs w:val="28"/>
              </w:rPr>
            </w:pPr>
          </w:p>
          <w:p w14:paraId="48EC5516" w14:textId="77777777" w:rsidR="00637EDD" w:rsidRDefault="00637EDD" w:rsidP="005E641F">
            <w:pPr>
              <w:tabs>
                <w:tab w:val="left" w:pos="960"/>
              </w:tabs>
              <w:rPr>
                <w:bCs/>
                <w:szCs w:val="28"/>
              </w:rPr>
            </w:pPr>
            <w:hyperlink r:id="rId87" w:history="1">
              <w:r w:rsidRPr="00E553AC">
                <w:rPr>
                  <w:rStyle w:val="Hyperlink"/>
                  <w:szCs w:val="28"/>
                </w:rPr>
                <w:t>Commission Implementing Regulation (EU) No 118/2014</w:t>
              </w:r>
            </w:hyperlink>
            <w:r w:rsidRPr="00E553AC">
              <w:rPr>
                <w:szCs w:val="28"/>
              </w:rPr>
              <w:t xml:space="preserve"> of 30 January 2014 amending Regulation (EC) No 1560/2003 laying down detailed rules for the application of Council Regulation (EC) No 343/2003 </w:t>
            </w:r>
            <w:r w:rsidRPr="00E553AC">
              <w:rPr>
                <w:b/>
                <w:szCs w:val="28"/>
              </w:rPr>
              <w:t xml:space="preserve">establishing the criteria and mechanisms for determining the Member State responsible for examining an asylum application </w:t>
            </w:r>
            <w:r w:rsidRPr="00E553AC">
              <w:rPr>
                <w:szCs w:val="28"/>
              </w:rPr>
              <w:t>lodged in one of the Member States by a third-country national</w:t>
            </w:r>
          </w:p>
          <w:p w14:paraId="2D88FBAB" w14:textId="77777777" w:rsidR="00637EDD" w:rsidRPr="00363A26" w:rsidRDefault="00637EDD" w:rsidP="005E641F">
            <w:pPr>
              <w:tabs>
                <w:tab w:val="left" w:pos="960"/>
              </w:tabs>
              <w:rPr>
                <w:szCs w:val="28"/>
              </w:rPr>
            </w:pPr>
          </w:p>
          <w:p w14:paraId="7B2B9E51" w14:textId="77777777" w:rsidR="00637EDD" w:rsidRDefault="00637EDD" w:rsidP="005E641F">
            <w:pPr>
              <w:tabs>
                <w:tab w:val="left" w:pos="960"/>
              </w:tabs>
              <w:rPr>
                <w:szCs w:val="28"/>
              </w:rPr>
            </w:pPr>
            <w:hyperlink r:id="rId88" w:history="1">
              <w:r w:rsidRPr="00363A26">
                <w:rPr>
                  <w:rStyle w:val="Hyperlink"/>
                  <w:szCs w:val="28"/>
                </w:rPr>
                <w:t>Regulation (EU) 2016/679</w:t>
              </w:r>
            </w:hyperlink>
            <w:r w:rsidRPr="00363A26">
              <w:rPr>
                <w:szCs w:val="28"/>
              </w:rPr>
              <w:t xml:space="preserve"> of the European Parliament and of the Council of 27 April 2016 on the protection of natural persons with regard to the </w:t>
            </w:r>
            <w:r w:rsidRPr="00527976">
              <w:rPr>
                <w:b/>
                <w:szCs w:val="28"/>
              </w:rPr>
              <w:t>processing of personal data</w:t>
            </w:r>
            <w:r w:rsidRPr="00363A26">
              <w:rPr>
                <w:szCs w:val="28"/>
              </w:rPr>
              <w:t xml:space="preserve"> and on the </w:t>
            </w:r>
            <w:r w:rsidRPr="00527976">
              <w:rPr>
                <w:b/>
                <w:szCs w:val="28"/>
              </w:rPr>
              <w:t>free movement of such data</w:t>
            </w:r>
            <w:r w:rsidRPr="00363A26">
              <w:rPr>
                <w:szCs w:val="28"/>
              </w:rPr>
              <w:t>, and repealing Directive 95/46/EC (General Data Protection Regulation) (Text with EEA relevance)</w:t>
            </w:r>
          </w:p>
          <w:p w14:paraId="53658967" w14:textId="77777777" w:rsidR="00637EDD" w:rsidRPr="00363A26" w:rsidRDefault="00637EDD" w:rsidP="005E641F">
            <w:pPr>
              <w:tabs>
                <w:tab w:val="left" w:pos="960"/>
              </w:tabs>
              <w:rPr>
                <w:szCs w:val="28"/>
              </w:rPr>
            </w:pPr>
          </w:p>
          <w:p w14:paraId="7955178C" w14:textId="77777777" w:rsidR="00637EDD" w:rsidRPr="00266845" w:rsidRDefault="00637EDD" w:rsidP="005E641F">
            <w:pPr>
              <w:tabs>
                <w:tab w:val="left" w:pos="960"/>
              </w:tabs>
              <w:rPr>
                <w:b/>
                <w:sz w:val="32"/>
                <w:szCs w:val="32"/>
              </w:rPr>
            </w:pPr>
            <w:r w:rsidRPr="00266845">
              <w:rPr>
                <w:b/>
                <w:sz w:val="32"/>
                <w:szCs w:val="32"/>
              </w:rPr>
              <w:t xml:space="preserve">Directives </w:t>
            </w:r>
          </w:p>
          <w:p w14:paraId="50753B9D" w14:textId="77777777" w:rsidR="00637EDD" w:rsidRPr="00363A26" w:rsidRDefault="00637EDD" w:rsidP="005E641F">
            <w:pPr>
              <w:tabs>
                <w:tab w:val="left" w:pos="960"/>
              </w:tabs>
              <w:rPr>
                <w:szCs w:val="28"/>
              </w:rPr>
            </w:pPr>
          </w:p>
          <w:p w14:paraId="3C7CC349" w14:textId="77777777" w:rsidR="00637EDD" w:rsidRDefault="00637EDD" w:rsidP="005E641F">
            <w:pPr>
              <w:tabs>
                <w:tab w:val="left" w:pos="960"/>
              </w:tabs>
              <w:rPr>
                <w:b/>
                <w:bCs/>
                <w:sz w:val="32"/>
                <w:szCs w:val="32"/>
              </w:rPr>
            </w:pPr>
            <w:r w:rsidRPr="00363A26">
              <w:rPr>
                <w:b/>
                <w:bCs/>
                <w:sz w:val="32"/>
                <w:szCs w:val="32"/>
              </w:rPr>
              <w:t>Non-Annex 1 Directives</w:t>
            </w:r>
          </w:p>
          <w:p w14:paraId="1336A61F" w14:textId="77777777" w:rsidR="00637EDD" w:rsidRPr="00363A26" w:rsidRDefault="00637EDD" w:rsidP="005E641F">
            <w:pPr>
              <w:tabs>
                <w:tab w:val="left" w:pos="960"/>
              </w:tabs>
              <w:rPr>
                <w:b/>
                <w:bCs/>
                <w:sz w:val="32"/>
                <w:szCs w:val="32"/>
              </w:rPr>
            </w:pPr>
            <w:hyperlink r:id="rId89" w:history="1">
              <w:r w:rsidRPr="00E553AC">
                <w:rPr>
                  <w:rStyle w:val="Hyperlink"/>
                  <w:rFonts w:cs="Calibri"/>
                  <w:szCs w:val="28"/>
                </w:rPr>
                <w:t>Council Directive 2001/55/EC</w:t>
              </w:r>
            </w:hyperlink>
            <w:r w:rsidRPr="00E553AC">
              <w:rPr>
                <w:rFonts w:cs="Calibri"/>
                <w:szCs w:val="28"/>
              </w:rPr>
              <w:t xml:space="preserve"> of 20 July 2001 on </w:t>
            </w:r>
            <w:r w:rsidRPr="00E553AC">
              <w:rPr>
                <w:rFonts w:cs="Calibri"/>
                <w:b/>
                <w:szCs w:val="28"/>
              </w:rPr>
              <w:t xml:space="preserve">minimum standards for giving temporary protection </w:t>
            </w:r>
            <w:r w:rsidRPr="00E553AC">
              <w:rPr>
                <w:rFonts w:cs="Calibri"/>
                <w:szCs w:val="28"/>
              </w:rPr>
              <w:t xml:space="preserve">in the event of a </w:t>
            </w:r>
            <w:r w:rsidRPr="00E553AC">
              <w:rPr>
                <w:rFonts w:cs="Calibri"/>
                <w:b/>
                <w:szCs w:val="28"/>
              </w:rPr>
              <w:t>mass influx of displaced persons</w:t>
            </w:r>
            <w:r w:rsidRPr="00E553AC">
              <w:rPr>
                <w:rFonts w:cs="Calibri"/>
                <w:szCs w:val="28"/>
              </w:rPr>
              <w:t xml:space="preserve"> and on measures promoting a </w:t>
            </w:r>
            <w:r w:rsidRPr="00E553AC">
              <w:rPr>
                <w:rFonts w:cs="Calibri"/>
                <w:b/>
                <w:szCs w:val="28"/>
              </w:rPr>
              <w:t>balance of efforts between Member States</w:t>
            </w:r>
            <w:r w:rsidRPr="00E553AC">
              <w:rPr>
                <w:rFonts w:cs="Calibri"/>
                <w:szCs w:val="28"/>
              </w:rPr>
              <w:t xml:space="preserve"> in receiving such persons and bearing the consequences thereof</w:t>
            </w:r>
          </w:p>
          <w:p w14:paraId="328FA8E9" w14:textId="77777777" w:rsidR="00637EDD" w:rsidRDefault="00637EDD" w:rsidP="005E641F">
            <w:pPr>
              <w:tabs>
                <w:tab w:val="left" w:pos="960"/>
              </w:tabs>
              <w:rPr>
                <w:szCs w:val="28"/>
              </w:rPr>
            </w:pPr>
          </w:p>
          <w:p w14:paraId="4C4FCE95" w14:textId="77777777" w:rsidR="00637EDD" w:rsidRPr="007114D6" w:rsidRDefault="00637EDD" w:rsidP="005E641F">
            <w:pPr>
              <w:rPr>
                <w:rFonts w:cs="Calibri"/>
                <w:szCs w:val="28"/>
              </w:rPr>
            </w:pPr>
            <w:hyperlink r:id="rId90" w:history="1">
              <w:r w:rsidRPr="008A69E9">
                <w:rPr>
                  <w:rStyle w:val="Hyperlink"/>
                  <w:rFonts w:cs="Calibri"/>
                  <w:szCs w:val="28"/>
                </w:rPr>
                <w:t>Council Directive 2003/9/EC</w:t>
              </w:r>
            </w:hyperlink>
            <w:r w:rsidRPr="007114D6">
              <w:rPr>
                <w:rFonts w:cs="Calibri"/>
                <w:szCs w:val="28"/>
              </w:rPr>
              <w:t xml:space="preserve"> of 27 January 2003 laying down </w:t>
            </w:r>
            <w:r w:rsidRPr="007A6078">
              <w:rPr>
                <w:rFonts w:cs="Calibri"/>
                <w:b/>
                <w:szCs w:val="28"/>
              </w:rPr>
              <w:t>minimum standards for the reception of asylum seekers</w:t>
            </w:r>
          </w:p>
          <w:p w14:paraId="2CB4FF19" w14:textId="77777777" w:rsidR="00637EDD" w:rsidRDefault="00637EDD" w:rsidP="005E641F">
            <w:pPr>
              <w:tabs>
                <w:tab w:val="left" w:pos="960"/>
              </w:tabs>
              <w:rPr>
                <w:szCs w:val="28"/>
              </w:rPr>
            </w:pPr>
          </w:p>
          <w:p w14:paraId="36AB3B2C" w14:textId="77777777" w:rsidR="00637EDD" w:rsidRDefault="00637EDD" w:rsidP="005E641F">
            <w:pPr>
              <w:rPr>
                <w:rFonts w:cs="Calibri"/>
                <w:szCs w:val="28"/>
              </w:rPr>
            </w:pPr>
            <w:hyperlink r:id="rId91" w:history="1">
              <w:r w:rsidRPr="000F3D8C">
                <w:rPr>
                  <w:rStyle w:val="Hyperlink"/>
                  <w:rFonts w:cs="Calibri"/>
                  <w:szCs w:val="28"/>
                </w:rPr>
                <w:t>Council Directive 2004/83/EC</w:t>
              </w:r>
            </w:hyperlink>
            <w:r w:rsidRPr="007114D6">
              <w:rPr>
                <w:rFonts w:cs="Calibri"/>
                <w:szCs w:val="28"/>
              </w:rPr>
              <w:t xml:space="preserve"> of 29 April 2004 on </w:t>
            </w:r>
            <w:r w:rsidRPr="007A6078">
              <w:rPr>
                <w:rFonts w:cs="Calibri"/>
                <w:b/>
                <w:szCs w:val="28"/>
              </w:rPr>
              <w:t>minimum standards</w:t>
            </w:r>
            <w:r w:rsidRPr="007114D6">
              <w:rPr>
                <w:rFonts w:cs="Calibri"/>
                <w:szCs w:val="28"/>
              </w:rPr>
              <w:t xml:space="preserve"> for the </w:t>
            </w:r>
            <w:r w:rsidRPr="007A6078">
              <w:rPr>
                <w:rFonts w:cs="Calibri"/>
                <w:b/>
                <w:szCs w:val="28"/>
              </w:rPr>
              <w:t>qualification and status of third country nationals or stateless persons as refugees or as persons who otherwise need international protection</w:t>
            </w:r>
            <w:r w:rsidRPr="007114D6">
              <w:rPr>
                <w:rFonts w:cs="Calibri"/>
                <w:szCs w:val="28"/>
              </w:rPr>
              <w:t xml:space="preserve"> and the content of the protection granted</w:t>
            </w:r>
          </w:p>
          <w:p w14:paraId="6209DFB3" w14:textId="77777777" w:rsidR="00637EDD" w:rsidRDefault="00637EDD" w:rsidP="005E641F">
            <w:pPr>
              <w:rPr>
                <w:rFonts w:cs="Calibri"/>
                <w:szCs w:val="28"/>
              </w:rPr>
            </w:pPr>
          </w:p>
          <w:p w14:paraId="2FD7B244" w14:textId="77777777" w:rsidR="00637EDD" w:rsidRDefault="00637EDD" w:rsidP="005E641F">
            <w:pPr>
              <w:rPr>
                <w:rFonts w:cs="Calibri"/>
                <w:szCs w:val="28"/>
              </w:rPr>
            </w:pPr>
            <w:hyperlink r:id="rId92" w:history="1">
              <w:r w:rsidRPr="00E553AC">
                <w:rPr>
                  <w:rStyle w:val="Hyperlink"/>
                  <w:rFonts w:cs="Calibri"/>
                  <w:szCs w:val="28"/>
                </w:rPr>
                <w:t>Council Directive 2005/85/EC</w:t>
              </w:r>
            </w:hyperlink>
            <w:r w:rsidRPr="00E553AC">
              <w:rPr>
                <w:rFonts w:cs="Calibri"/>
                <w:szCs w:val="28"/>
              </w:rPr>
              <w:t xml:space="preserve"> of 1 December 2005 on </w:t>
            </w:r>
            <w:r w:rsidRPr="00E553AC">
              <w:rPr>
                <w:rFonts w:cs="Calibri"/>
                <w:b/>
                <w:szCs w:val="28"/>
              </w:rPr>
              <w:t>minimum standards</w:t>
            </w:r>
            <w:r w:rsidRPr="00E553AC">
              <w:rPr>
                <w:rFonts w:cs="Calibri"/>
                <w:szCs w:val="28"/>
              </w:rPr>
              <w:t xml:space="preserve"> on </w:t>
            </w:r>
            <w:r w:rsidRPr="00E553AC">
              <w:rPr>
                <w:rFonts w:cs="Calibri"/>
                <w:b/>
                <w:szCs w:val="28"/>
              </w:rPr>
              <w:t>procedures</w:t>
            </w:r>
            <w:r w:rsidRPr="00E553AC">
              <w:rPr>
                <w:rFonts w:cs="Calibri"/>
                <w:szCs w:val="28"/>
              </w:rPr>
              <w:t xml:space="preserve"> in Member States </w:t>
            </w:r>
            <w:r w:rsidRPr="00E553AC">
              <w:rPr>
                <w:rFonts w:cs="Calibri"/>
                <w:b/>
                <w:szCs w:val="28"/>
              </w:rPr>
              <w:t>for granting and withdrawing refugee status</w:t>
            </w:r>
          </w:p>
          <w:p w14:paraId="00DEA530" w14:textId="77777777" w:rsidR="00637EDD" w:rsidRDefault="00637EDD" w:rsidP="005E641F">
            <w:pPr>
              <w:rPr>
                <w:rFonts w:cs="Calibri"/>
                <w:szCs w:val="28"/>
              </w:rPr>
            </w:pPr>
          </w:p>
          <w:p w14:paraId="7873C4AD" w14:textId="77777777" w:rsidR="00637EDD" w:rsidRDefault="00637EDD" w:rsidP="005E641F">
            <w:pPr>
              <w:rPr>
                <w:rFonts w:cs="Calibri"/>
                <w:szCs w:val="28"/>
              </w:rPr>
            </w:pPr>
            <w:hyperlink r:id="rId93" w:history="1">
              <w:r w:rsidRPr="00E553AC">
                <w:rPr>
                  <w:rStyle w:val="Hyperlink"/>
                  <w:rFonts w:cs="Calibri"/>
                  <w:szCs w:val="28"/>
                </w:rPr>
                <w:t>Directive 2010/64/EU</w:t>
              </w:r>
            </w:hyperlink>
            <w:r w:rsidRPr="00E553AC">
              <w:rPr>
                <w:rFonts w:cs="Calibri"/>
                <w:szCs w:val="28"/>
              </w:rPr>
              <w:t xml:space="preserve"> of the European Parliament and of the Council of 20 October 2010 on the </w:t>
            </w:r>
            <w:r w:rsidRPr="00E553AC">
              <w:rPr>
                <w:rFonts w:cs="Calibri"/>
                <w:b/>
                <w:szCs w:val="28"/>
              </w:rPr>
              <w:t>right to interpretation and translation in criminal proceedings</w:t>
            </w:r>
          </w:p>
          <w:p w14:paraId="0C4D216E" w14:textId="77777777" w:rsidR="00637EDD" w:rsidRPr="00363A26" w:rsidRDefault="00637EDD" w:rsidP="005E641F">
            <w:pPr>
              <w:tabs>
                <w:tab w:val="left" w:pos="960"/>
              </w:tabs>
              <w:rPr>
                <w:szCs w:val="28"/>
              </w:rPr>
            </w:pPr>
          </w:p>
          <w:p w14:paraId="06082C4A" w14:textId="77777777" w:rsidR="00637EDD" w:rsidRDefault="00637EDD" w:rsidP="005E641F">
            <w:pPr>
              <w:tabs>
                <w:tab w:val="left" w:pos="960"/>
              </w:tabs>
              <w:rPr>
                <w:szCs w:val="28"/>
              </w:rPr>
            </w:pPr>
            <w:hyperlink r:id="rId94" w:history="1">
              <w:r w:rsidRPr="000501D9">
                <w:rPr>
                  <w:rStyle w:val="Hyperlink"/>
                  <w:szCs w:val="28"/>
                </w:rPr>
                <w:t>Directive 2011/36/EU</w:t>
              </w:r>
            </w:hyperlink>
            <w:r w:rsidRPr="000501D9">
              <w:rPr>
                <w:szCs w:val="28"/>
              </w:rPr>
              <w:t xml:space="preserve"> of the European Parliament and of the Council of 5 April 2011 on </w:t>
            </w:r>
            <w:r w:rsidRPr="00527976">
              <w:rPr>
                <w:b/>
                <w:szCs w:val="28"/>
              </w:rPr>
              <w:t>preventing and combating trafficking</w:t>
            </w:r>
            <w:r w:rsidRPr="000501D9">
              <w:rPr>
                <w:szCs w:val="28"/>
              </w:rPr>
              <w:t xml:space="preserve"> in human beings and </w:t>
            </w:r>
            <w:r w:rsidRPr="00527976">
              <w:rPr>
                <w:b/>
                <w:szCs w:val="28"/>
              </w:rPr>
              <w:t>protecting its victims</w:t>
            </w:r>
            <w:r w:rsidRPr="000501D9">
              <w:rPr>
                <w:szCs w:val="28"/>
              </w:rPr>
              <w:t>, and replacing Council Framework Decision 2002/629/JHA</w:t>
            </w:r>
          </w:p>
          <w:p w14:paraId="0297D69F" w14:textId="77777777" w:rsidR="00637EDD" w:rsidRDefault="00637EDD" w:rsidP="005E641F">
            <w:pPr>
              <w:tabs>
                <w:tab w:val="left" w:pos="960"/>
              </w:tabs>
              <w:rPr>
                <w:szCs w:val="28"/>
              </w:rPr>
            </w:pPr>
          </w:p>
          <w:p w14:paraId="16114D08" w14:textId="77777777" w:rsidR="00637EDD" w:rsidRPr="007114D6" w:rsidRDefault="00637EDD" w:rsidP="005E641F">
            <w:pPr>
              <w:rPr>
                <w:rFonts w:cs="Calibri"/>
                <w:szCs w:val="28"/>
              </w:rPr>
            </w:pPr>
            <w:hyperlink r:id="rId95" w:history="1">
              <w:r w:rsidRPr="001C2F37">
                <w:rPr>
                  <w:rStyle w:val="Hyperlink"/>
                  <w:rFonts w:cs="Calibri"/>
                  <w:szCs w:val="28"/>
                </w:rPr>
                <w:t>Directive 2011/93/EU</w:t>
              </w:r>
            </w:hyperlink>
            <w:r w:rsidRPr="007114D6">
              <w:rPr>
                <w:rFonts w:cs="Calibri"/>
                <w:szCs w:val="28"/>
              </w:rPr>
              <w:t xml:space="preserve"> of the European Parliament and of the Council of 13 December 2011 on</w:t>
            </w:r>
            <w:r w:rsidRPr="007A6078">
              <w:rPr>
                <w:rFonts w:cs="Calibri"/>
                <w:b/>
                <w:szCs w:val="28"/>
              </w:rPr>
              <w:t xml:space="preserve"> combating the sexual abuse and sexual exploitation of children and child pornography</w:t>
            </w:r>
            <w:r w:rsidRPr="007114D6">
              <w:rPr>
                <w:rFonts w:cs="Calibri"/>
                <w:szCs w:val="28"/>
              </w:rPr>
              <w:t>, and replacing Council Framework Decision 2004/68/JHA</w:t>
            </w:r>
          </w:p>
          <w:p w14:paraId="30C4F963" w14:textId="77777777" w:rsidR="00637EDD" w:rsidRDefault="00637EDD" w:rsidP="005E641F">
            <w:pPr>
              <w:tabs>
                <w:tab w:val="left" w:pos="960"/>
              </w:tabs>
              <w:rPr>
                <w:b/>
                <w:bCs/>
                <w:sz w:val="32"/>
                <w:szCs w:val="32"/>
              </w:rPr>
            </w:pPr>
          </w:p>
          <w:p w14:paraId="0FA00E67" w14:textId="77777777" w:rsidR="00637EDD" w:rsidRPr="007E6A6B" w:rsidRDefault="00637EDD" w:rsidP="005E641F">
            <w:pPr>
              <w:rPr>
                <w:rFonts w:cs="Calibri"/>
                <w:b/>
                <w:szCs w:val="28"/>
              </w:rPr>
            </w:pPr>
            <w:hyperlink r:id="rId96" w:history="1">
              <w:r w:rsidRPr="00F1185F">
                <w:rPr>
                  <w:rStyle w:val="Hyperlink"/>
                  <w:rFonts w:cs="Calibri"/>
                  <w:szCs w:val="28"/>
                </w:rPr>
                <w:t>Directive 2012/13/EU</w:t>
              </w:r>
            </w:hyperlink>
            <w:r w:rsidRPr="007114D6">
              <w:rPr>
                <w:rFonts w:cs="Calibri"/>
                <w:szCs w:val="28"/>
              </w:rPr>
              <w:t xml:space="preserve"> of the European Parliament and of the Council of 22 May 2012 on the </w:t>
            </w:r>
            <w:r w:rsidRPr="007A6078">
              <w:rPr>
                <w:rFonts w:cs="Calibri"/>
                <w:b/>
                <w:szCs w:val="28"/>
              </w:rPr>
              <w:t>right to information in criminal proceedings</w:t>
            </w:r>
          </w:p>
        </w:tc>
      </w:tr>
    </w:tbl>
    <w:p w14:paraId="0531DB50" w14:textId="77777777" w:rsidR="00637EDD" w:rsidRDefault="00637EDD" w:rsidP="00637EDD">
      <w:pPr>
        <w:spacing w:line="240" w:lineRule="auto"/>
        <w:rPr>
          <w:rFonts w:eastAsia="Times New Roman" w:cs="Arial"/>
          <w:szCs w:val="28"/>
          <w:lang w:eastAsia="en-GB"/>
        </w:rPr>
      </w:pPr>
    </w:p>
    <w:p w14:paraId="64B736FF" w14:textId="21DE5398" w:rsidR="00637EDD" w:rsidRPr="00266845" w:rsidRDefault="00961231" w:rsidP="00637EDD">
      <w:pPr>
        <w:spacing w:line="240" w:lineRule="auto"/>
        <w:rPr>
          <w:rFonts w:eastAsia="Times New Roman" w:cs="Arial"/>
          <w:b/>
          <w:szCs w:val="28"/>
          <w:lang w:eastAsia="en-GB"/>
        </w:rPr>
      </w:pPr>
      <w:r>
        <w:rPr>
          <w:rFonts w:eastAsia="Times New Roman" w:cs="Arial"/>
          <w:b/>
          <w:szCs w:val="28"/>
          <w:lang w:eastAsia="en-GB"/>
        </w:rPr>
        <w:t>December 2022</w:t>
      </w:r>
    </w:p>
    <w:p w14:paraId="63C5B18C" w14:textId="77777777" w:rsidR="00637EDD" w:rsidRPr="00266845" w:rsidRDefault="00637EDD" w:rsidP="00637EDD">
      <w:pPr>
        <w:spacing w:line="240" w:lineRule="auto"/>
        <w:rPr>
          <w:rFonts w:eastAsia="Times New Roman" w:cs="Arial"/>
          <w:b/>
          <w:szCs w:val="28"/>
          <w:lang w:eastAsia="en-GB"/>
        </w:rPr>
      </w:pPr>
    </w:p>
    <w:p w14:paraId="32392AB1" w14:textId="77777777" w:rsidR="00637EDD" w:rsidRPr="00266845" w:rsidRDefault="00637EDD" w:rsidP="00637EDD">
      <w:pPr>
        <w:spacing w:line="240" w:lineRule="auto"/>
        <w:rPr>
          <w:rFonts w:eastAsia="Times New Roman" w:cs="Arial"/>
          <w:b/>
          <w:szCs w:val="28"/>
          <w:lang w:eastAsia="en-GB"/>
        </w:rPr>
      </w:pPr>
    </w:p>
    <w:p w14:paraId="5627922E" w14:textId="77777777" w:rsidR="00637EDD" w:rsidRPr="00266845" w:rsidRDefault="00637EDD" w:rsidP="00637EDD">
      <w:pPr>
        <w:spacing w:line="240" w:lineRule="auto"/>
        <w:rPr>
          <w:rFonts w:eastAsia="Times New Roman" w:cs="Arial"/>
          <w:b/>
          <w:szCs w:val="28"/>
          <w:lang w:eastAsia="en-GB"/>
        </w:rPr>
      </w:pPr>
      <w:r w:rsidRPr="00266845">
        <w:rPr>
          <w:rFonts w:eastAsia="Times New Roman" w:cs="Arial"/>
          <w:b/>
          <w:szCs w:val="28"/>
          <w:lang w:eastAsia="en-GB"/>
        </w:rPr>
        <w:t>Equality Commission for Northern Ireland</w:t>
      </w:r>
    </w:p>
    <w:p w14:paraId="675404E4" w14:textId="57AA4249" w:rsidR="00E25703" w:rsidRPr="00637EDD" w:rsidRDefault="00637EDD" w:rsidP="00637EDD">
      <w:pPr>
        <w:spacing w:line="240" w:lineRule="auto"/>
        <w:rPr>
          <w:rFonts w:eastAsia="Times New Roman" w:cs="Arial"/>
          <w:b/>
          <w:szCs w:val="28"/>
          <w:lang w:eastAsia="en-GB"/>
        </w:rPr>
      </w:pPr>
      <w:r w:rsidRPr="00266845">
        <w:rPr>
          <w:rFonts w:eastAsia="Times New Roman" w:cs="Arial"/>
          <w:b/>
          <w:szCs w:val="28"/>
          <w:lang w:eastAsia="en-GB"/>
        </w:rPr>
        <w:t>Northern Ireland Human Rights Commiss</w:t>
      </w:r>
      <w:r>
        <w:rPr>
          <w:rFonts w:eastAsia="Times New Roman" w:cs="Arial"/>
          <w:b/>
          <w:szCs w:val="28"/>
          <w:lang w:eastAsia="en-GB"/>
        </w:rPr>
        <w:t>ion</w:t>
      </w:r>
    </w:p>
    <w:p w14:paraId="1D4C98AA"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10E1857E" w14:textId="77777777" w:rsidR="00827D9A" w:rsidRDefault="00827D9A" w:rsidP="00E25703">
      <w:pPr>
        <w:pStyle w:val="BasicParagraph"/>
        <w:suppressAutoHyphens/>
        <w:jc w:val="center"/>
        <w:rPr>
          <w:rFonts w:asciiTheme="minorHAnsi" w:hAnsiTheme="minorHAnsi" w:cs="Arial"/>
          <w:b/>
          <w:bCs/>
          <w:color w:val="auto"/>
          <w:sz w:val="36"/>
          <w:szCs w:val="36"/>
        </w:rPr>
        <w:sectPr w:rsidR="00827D9A" w:rsidSect="006A66EF">
          <w:pgSz w:w="11906" w:h="16838"/>
          <w:pgMar w:top="1440" w:right="1440" w:bottom="1440" w:left="1440" w:header="708" w:footer="708" w:gutter="0"/>
          <w:cols w:space="708"/>
          <w:docGrid w:linePitch="381"/>
        </w:sectPr>
      </w:pPr>
    </w:p>
    <w:p w14:paraId="19FD2974" w14:textId="5AC4937B" w:rsidR="00E25703" w:rsidRDefault="00E25703" w:rsidP="00E25703">
      <w:pPr>
        <w:pStyle w:val="BasicParagraph"/>
        <w:suppressAutoHyphens/>
        <w:jc w:val="center"/>
        <w:rPr>
          <w:rFonts w:asciiTheme="minorHAnsi" w:hAnsiTheme="minorHAnsi" w:cs="Arial"/>
          <w:b/>
          <w:bCs/>
          <w:color w:val="auto"/>
          <w:sz w:val="36"/>
          <w:szCs w:val="36"/>
        </w:rPr>
      </w:pPr>
    </w:p>
    <w:p w14:paraId="425AB212" w14:textId="7E0C9BA4" w:rsidR="00827D9A" w:rsidRDefault="00827D9A" w:rsidP="00E25703">
      <w:pPr>
        <w:pStyle w:val="BasicParagraph"/>
        <w:suppressAutoHyphens/>
        <w:jc w:val="center"/>
        <w:rPr>
          <w:rFonts w:asciiTheme="minorHAnsi" w:hAnsiTheme="minorHAnsi" w:cs="Arial"/>
          <w:b/>
          <w:bCs/>
          <w:color w:val="auto"/>
          <w:sz w:val="36"/>
          <w:szCs w:val="36"/>
        </w:rPr>
      </w:pPr>
    </w:p>
    <w:p w14:paraId="44BBCBB4" w14:textId="64616A4B" w:rsidR="00827D9A" w:rsidRDefault="00827D9A" w:rsidP="00E25703">
      <w:pPr>
        <w:pStyle w:val="BasicParagraph"/>
        <w:suppressAutoHyphens/>
        <w:jc w:val="center"/>
        <w:rPr>
          <w:rFonts w:asciiTheme="minorHAnsi" w:hAnsiTheme="minorHAnsi" w:cs="Arial"/>
          <w:b/>
          <w:bCs/>
          <w:color w:val="auto"/>
          <w:sz w:val="36"/>
          <w:szCs w:val="36"/>
        </w:rPr>
      </w:pPr>
    </w:p>
    <w:p w14:paraId="0837A2E8" w14:textId="77777777" w:rsidR="00827D9A" w:rsidRPr="006F6E42" w:rsidRDefault="00827D9A" w:rsidP="00E25703">
      <w:pPr>
        <w:pStyle w:val="BasicParagraph"/>
        <w:suppressAutoHyphens/>
        <w:jc w:val="center"/>
        <w:rPr>
          <w:rFonts w:asciiTheme="minorHAnsi" w:hAnsiTheme="minorHAnsi" w:cs="Arial"/>
          <w:b/>
          <w:bCs/>
          <w:color w:val="auto"/>
          <w:sz w:val="36"/>
          <w:szCs w:val="36"/>
        </w:rPr>
      </w:pPr>
    </w:p>
    <w:p w14:paraId="202BF586"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5176D9DD"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5790D85D"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6AC942E5" w14:textId="77777777" w:rsidR="00E25703" w:rsidRPr="006F6E42" w:rsidRDefault="00E25703" w:rsidP="00E25703">
      <w:pPr>
        <w:pStyle w:val="BasicParagraph"/>
        <w:suppressAutoHyphens/>
        <w:jc w:val="center"/>
        <w:rPr>
          <w:rFonts w:asciiTheme="minorHAnsi" w:hAnsiTheme="minorHAnsi" w:cs="Arial"/>
          <w:b/>
          <w:bCs/>
          <w:color w:val="auto"/>
          <w:sz w:val="36"/>
          <w:szCs w:val="36"/>
        </w:rPr>
      </w:pPr>
    </w:p>
    <w:p w14:paraId="12B5F7D2" w14:textId="462570F8" w:rsidR="00F26ADD" w:rsidRDefault="00F26ADD" w:rsidP="00E25703">
      <w:pPr>
        <w:pStyle w:val="BasicParagraph"/>
        <w:suppressAutoHyphens/>
        <w:jc w:val="center"/>
        <w:rPr>
          <w:rFonts w:asciiTheme="minorHAnsi" w:hAnsiTheme="minorHAnsi" w:cs="Arial"/>
          <w:bCs/>
          <w:color w:val="auto"/>
        </w:rPr>
      </w:pPr>
      <w:r>
        <w:rPr>
          <w:rFonts w:asciiTheme="minorHAnsi" w:hAnsiTheme="minorHAnsi" w:cs="Arial"/>
          <w:bCs/>
          <w:color w:val="auto"/>
        </w:rPr>
        <w:t xml:space="preserve"> </w:t>
      </w:r>
    </w:p>
    <w:p w14:paraId="69F0EABC" w14:textId="77777777" w:rsidR="00F26ADD" w:rsidRPr="006F6E42" w:rsidRDefault="00F26ADD" w:rsidP="00E25703">
      <w:pPr>
        <w:pStyle w:val="BasicParagraph"/>
        <w:suppressAutoHyphens/>
        <w:jc w:val="center"/>
        <w:rPr>
          <w:rFonts w:asciiTheme="minorHAnsi" w:hAnsiTheme="minorHAnsi" w:cs="Arial"/>
          <w:bCs/>
          <w:color w:val="auto"/>
        </w:rPr>
      </w:pPr>
    </w:p>
    <w:tbl>
      <w:tblPr>
        <w:tblStyle w:val="TableGridLight"/>
        <w:tblW w:w="0" w:type="auto"/>
        <w:tblLook w:val="04A0" w:firstRow="1" w:lastRow="0" w:firstColumn="1" w:lastColumn="0" w:noHBand="0" w:noVBand="1"/>
      </w:tblPr>
      <w:tblGrid>
        <w:gridCol w:w="4508"/>
        <w:gridCol w:w="4508"/>
      </w:tblGrid>
      <w:tr w:rsidR="00DC4203" w14:paraId="4834458E" w14:textId="77777777" w:rsidTr="00F26ADD">
        <w:tc>
          <w:tcPr>
            <w:tcW w:w="4508" w:type="dxa"/>
            <w:shd w:val="clear" w:color="auto" w:fill="auto"/>
          </w:tcPr>
          <w:p w14:paraId="5A6A1805"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 xml:space="preserve">Northern Ireland Human Rights Commission </w:t>
            </w:r>
          </w:p>
          <w:p w14:paraId="33285CF9"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4th Floor, Alfred House</w:t>
            </w:r>
          </w:p>
          <w:p w14:paraId="2E83782D" w14:textId="77777777" w:rsidR="00F26ADD"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 xml:space="preserve"> 19-21 Alfred Street</w:t>
            </w:r>
          </w:p>
          <w:p w14:paraId="04A62746"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rPr>
              <w:t>Belfast, BT2 8ED</w:t>
            </w:r>
          </w:p>
          <w:p w14:paraId="753D627F" w14:textId="77777777" w:rsidR="00DC4203" w:rsidRPr="00683814" w:rsidRDefault="00DC4203" w:rsidP="00DC4203">
            <w:pPr>
              <w:jc w:val="center"/>
              <w:rPr>
                <w:rFonts w:asciiTheme="minorHAnsi" w:hAnsiTheme="minorHAnsi" w:cs="Arial"/>
                <w:b/>
                <w:sz w:val="22"/>
                <w:szCs w:val="22"/>
              </w:rPr>
            </w:pPr>
          </w:p>
          <w:p w14:paraId="4EF89992" w14:textId="77777777" w:rsidR="00F26ADD" w:rsidRPr="00683814" w:rsidRDefault="00F3476E" w:rsidP="00DC4203">
            <w:pPr>
              <w:jc w:val="center"/>
              <w:rPr>
                <w:rFonts w:asciiTheme="minorHAnsi" w:hAnsiTheme="minorHAnsi" w:cs="Arial"/>
                <w:sz w:val="22"/>
                <w:szCs w:val="22"/>
                <w:lang w:val="en-US"/>
              </w:rPr>
            </w:pPr>
            <w:hyperlink r:id="rId97" w:history="1">
              <w:r w:rsidR="006469D2" w:rsidRPr="00683814">
                <w:rPr>
                  <w:rStyle w:val="Hyperlink"/>
                  <w:rFonts w:asciiTheme="minorHAnsi" w:hAnsiTheme="minorHAnsi" w:cs="Arial"/>
                  <w:color w:val="auto"/>
                  <w:sz w:val="22"/>
                  <w:szCs w:val="22"/>
                  <w:lang w:val="en-US"/>
                </w:rPr>
                <w:t>www.nihrc.org/brexit</w:t>
              </w:r>
            </w:hyperlink>
            <w:r w:rsidR="006469D2" w:rsidRPr="00683814">
              <w:rPr>
                <w:rStyle w:val="Hyperlink"/>
                <w:rFonts w:asciiTheme="minorHAnsi" w:hAnsiTheme="minorHAnsi" w:cs="Arial"/>
                <w:color w:val="auto"/>
                <w:sz w:val="22"/>
                <w:szCs w:val="22"/>
                <w:lang w:val="en-US"/>
              </w:rPr>
              <w:t xml:space="preserve"> </w:t>
            </w:r>
            <w:r w:rsidR="00DC4203" w:rsidRPr="00683814">
              <w:rPr>
                <w:rFonts w:asciiTheme="minorHAnsi" w:hAnsiTheme="minorHAnsi" w:cs="Arial"/>
                <w:sz w:val="22"/>
                <w:szCs w:val="22"/>
                <w:lang w:val="en-US"/>
              </w:rPr>
              <w:t xml:space="preserve">  </w:t>
            </w:r>
          </w:p>
          <w:p w14:paraId="3228648F" w14:textId="77777777" w:rsidR="00F26ADD" w:rsidRPr="00683814" w:rsidRDefault="00F3476E" w:rsidP="00DC4203">
            <w:pPr>
              <w:jc w:val="center"/>
              <w:rPr>
                <w:rFonts w:asciiTheme="minorHAnsi" w:hAnsiTheme="minorHAnsi" w:cs="Arial"/>
                <w:sz w:val="22"/>
                <w:szCs w:val="22"/>
                <w:lang w:val="en-US"/>
              </w:rPr>
            </w:pPr>
            <w:hyperlink r:id="rId98" w:history="1">
              <w:r w:rsidR="00DC4203" w:rsidRPr="00683814">
                <w:rPr>
                  <w:rStyle w:val="Hyperlink"/>
                  <w:rFonts w:asciiTheme="minorHAnsi" w:hAnsiTheme="minorHAnsi" w:cs="Arial"/>
                  <w:color w:val="auto"/>
                  <w:sz w:val="22"/>
                  <w:szCs w:val="22"/>
                  <w:lang w:val="en-US"/>
                </w:rPr>
                <w:t>info@nihrc.org</w:t>
              </w:r>
            </w:hyperlink>
            <w:r w:rsidR="00DC4203" w:rsidRPr="00683814">
              <w:rPr>
                <w:rFonts w:asciiTheme="minorHAnsi" w:hAnsiTheme="minorHAnsi" w:cs="Arial"/>
                <w:sz w:val="22"/>
                <w:szCs w:val="22"/>
                <w:lang w:val="en-US"/>
              </w:rPr>
              <w:t xml:space="preserve">  </w:t>
            </w:r>
          </w:p>
          <w:p w14:paraId="52A698B7"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lang w:val="en-US"/>
              </w:rPr>
              <w:t>+44 (0)28 9024 3987</w:t>
            </w:r>
          </w:p>
          <w:p w14:paraId="5C3D8B5B" w14:textId="77777777" w:rsidR="00DC4203" w:rsidRPr="00683814" w:rsidRDefault="00DC4203" w:rsidP="00E25703">
            <w:pPr>
              <w:pStyle w:val="BasicParagraph"/>
              <w:suppressAutoHyphens/>
              <w:jc w:val="center"/>
              <w:rPr>
                <w:rFonts w:asciiTheme="minorHAnsi" w:hAnsiTheme="minorHAnsi" w:cs="Arial"/>
                <w:bCs/>
                <w:color w:val="auto"/>
                <w:sz w:val="22"/>
                <w:szCs w:val="22"/>
              </w:rPr>
            </w:pPr>
          </w:p>
        </w:tc>
        <w:tc>
          <w:tcPr>
            <w:tcW w:w="4508" w:type="dxa"/>
            <w:shd w:val="clear" w:color="auto" w:fill="auto"/>
          </w:tcPr>
          <w:p w14:paraId="40180AF5" w14:textId="77777777" w:rsidR="00F26ADD" w:rsidRPr="00683814" w:rsidRDefault="00DC4203" w:rsidP="00DC4203">
            <w:pPr>
              <w:jc w:val="center"/>
              <w:rPr>
                <w:sz w:val="22"/>
                <w:szCs w:val="22"/>
              </w:rPr>
            </w:pPr>
            <w:r w:rsidRPr="00683814">
              <w:rPr>
                <w:sz w:val="22"/>
                <w:szCs w:val="22"/>
              </w:rPr>
              <w:t>Equality Commission for Northern Ireland, Equality House</w:t>
            </w:r>
          </w:p>
          <w:p w14:paraId="75693E3B" w14:textId="77777777" w:rsidR="00F26ADD" w:rsidRPr="00683814" w:rsidRDefault="00DC4203" w:rsidP="00DC4203">
            <w:pPr>
              <w:jc w:val="center"/>
              <w:rPr>
                <w:sz w:val="22"/>
                <w:szCs w:val="22"/>
              </w:rPr>
            </w:pPr>
            <w:r w:rsidRPr="00683814">
              <w:rPr>
                <w:sz w:val="22"/>
                <w:szCs w:val="22"/>
              </w:rPr>
              <w:t>7-9 Shaftesbury Square</w:t>
            </w:r>
          </w:p>
          <w:p w14:paraId="6185467B" w14:textId="77777777" w:rsidR="00DC4203" w:rsidRPr="00683814" w:rsidRDefault="00DC4203" w:rsidP="00F26ADD">
            <w:pPr>
              <w:jc w:val="center"/>
              <w:rPr>
                <w:sz w:val="22"/>
                <w:szCs w:val="22"/>
              </w:rPr>
            </w:pPr>
            <w:r w:rsidRPr="00683814">
              <w:rPr>
                <w:sz w:val="22"/>
                <w:szCs w:val="22"/>
              </w:rPr>
              <w:t xml:space="preserve"> Belfast, BT2 7DP</w:t>
            </w:r>
          </w:p>
          <w:p w14:paraId="50EDCFFF" w14:textId="30874083" w:rsidR="00DC4203" w:rsidRPr="00683814" w:rsidRDefault="00DC4203" w:rsidP="00F26ADD">
            <w:pPr>
              <w:jc w:val="center"/>
              <w:rPr>
                <w:sz w:val="22"/>
                <w:szCs w:val="22"/>
              </w:rPr>
            </w:pPr>
          </w:p>
          <w:p w14:paraId="4FC2B103" w14:textId="0BD14CED" w:rsidR="00EE59CB" w:rsidRPr="00683814" w:rsidRDefault="00F3476E" w:rsidP="00F26ADD">
            <w:pPr>
              <w:jc w:val="center"/>
              <w:rPr>
                <w:sz w:val="22"/>
                <w:szCs w:val="22"/>
              </w:rPr>
            </w:pPr>
            <w:hyperlink r:id="rId99" w:history="1">
              <w:r w:rsidR="00EE59CB" w:rsidRPr="00683814">
                <w:rPr>
                  <w:rStyle w:val="Hyperlink"/>
                  <w:color w:val="auto"/>
                  <w:sz w:val="22"/>
                  <w:szCs w:val="22"/>
                </w:rPr>
                <w:t>www.equalityni.org/Brexit</w:t>
              </w:r>
            </w:hyperlink>
            <w:r w:rsidR="00EE59CB" w:rsidRPr="00683814">
              <w:rPr>
                <w:sz w:val="22"/>
                <w:szCs w:val="22"/>
              </w:rPr>
              <w:t xml:space="preserve"> </w:t>
            </w:r>
          </w:p>
          <w:p w14:paraId="4E515861" w14:textId="15D8036F" w:rsidR="00F26ADD" w:rsidRPr="00683814" w:rsidRDefault="00F3476E" w:rsidP="00DC4203">
            <w:pPr>
              <w:jc w:val="center"/>
              <w:rPr>
                <w:rFonts w:asciiTheme="minorHAnsi" w:hAnsiTheme="minorHAnsi" w:cs="Arial"/>
                <w:sz w:val="22"/>
                <w:szCs w:val="22"/>
                <w:lang w:val="en-US"/>
              </w:rPr>
            </w:pPr>
            <w:hyperlink r:id="rId100" w:history="1">
              <w:r w:rsidR="006469D2" w:rsidRPr="00683814">
                <w:rPr>
                  <w:rStyle w:val="Hyperlink"/>
                  <w:rFonts w:asciiTheme="minorHAnsi" w:hAnsiTheme="minorHAnsi" w:cs="Arial"/>
                  <w:color w:val="auto"/>
                  <w:sz w:val="22"/>
                  <w:szCs w:val="22"/>
                  <w:lang w:val="en-US"/>
                </w:rPr>
                <w:t>dmu@equalityni.org</w:t>
              </w:r>
            </w:hyperlink>
            <w:r w:rsidR="00DC4203" w:rsidRPr="00683814">
              <w:rPr>
                <w:sz w:val="22"/>
                <w:szCs w:val="22"/>
              </w:rPr>
              <w:t xml:space="preserve"> </w:t>
            </w:r>
          </w:p>
          <w:p w14:paraId="21B86CEA" w14:textId="77777777" w:rsidR="00DC4203" w:rsidRPr="00683814" w:rsidRDefault="00DC4203" w:rsidP="00DC4203">
            <w:pPr>
              <w:jc w:val="center"/>
              <w:rPr>
                <w:rFonts w:asciiTheme="minorHAnsi" w:hAnsiTheme="minorHAnsi" w:cs="Arial"/>
                <w:sz w:val="22"/>
                <w:szCs w:val="22"/>
              </w:rPr>
            </w:pPr>
            <w:r w:rsidRPr="00683814">
              <w:rPr>
                <w:rFonts w:asciiTheme="minorHAnsi" w:hAnsiTheme="minorHAnsi" w:cs="Arial"/>
                <w:sz w:val="22"/>
                <w:szCs w:val="22"/>
                <w:lang w:val="en-US"/>
              </w:rPr>
              <w:t xml:space="preserve"> +44 (0)28 90 500 600</w:t>
            </w:r>
          </w:p>
          <w:p w14:paraId="3B370129" w14:textId="77777777" w:rsidR="00DC4203" w:rsidRPr="00683814" w:rsidRDefault="00DC4203" w:rsidP="00E25703">
            <w:pPr>
              <w:pStyle w:val="BasicParagraph"/>
              <w:suppressAutoHyphens/>
              <w:jc w:val="center"/>
              <w:rPr>
                <w:rFonts w:asciiTheme="minorHAnsi" w:hAnsiTheme="minorHAnsi" w:cs="Arial"/>
                <w:bCs/>
                <w:color w:val="auto"/>
                <w:sz w:val="22"/>
                <w:szCs w:val="22"/>
              </w:rPr>
            </w:pPr>
          </w:p>
        </w:tc>
      </w:tr>
    </w:tbl>
    <w:p w14:paraId="185D3340" w14:textId="77777777" w:rsidR="00E25703" w:rsidRPr="006F6E42" w:rsidRDefault="00E25703" w:rsidP="00E25703">
      <w:pPr>
        <w:pStyle w:val="BasicParagraph"/>
        <w:suppressAutoHyphens/>
        <w:jc w:val="center"/>
        <w:rPr>
          <w:rFonts w:asciiTheme="minorHAnsi" w:hAnsiTheme="minorHAnsi" w:cs="Arial"/>
          <w:bCs/>
          <w:color w:val="auto"/>
        </w:rPr>
      </w:pPr>
    </w:p>
    <w:p w14:paraId="4A83EFD9" w14:textId="77777777" w:rsidR="00DC4203" w:rsidRPr="006F6E42" w:rsidRDefault="00DC4203" w:rsidP="00DC4203">
      <w:pPr>
        <w:jc w:val="center"/>
        <w:rPr>
          <w:rFonts w:asciiTheme="minorHAnsi" w:hAnsiTheme="minorHAnsi" w:cs="Arial"/>
          <w:b/>
          <w:color w:val="232120"/>
        </w:rPr>
      </w:pPr>
    </w:p>
    <w:p w14:paraId="42952A41" w14:textId="77777777" w:rsidR="00DC4203" w:rsidRDefault="00DC4203" w:rsidP="00DC4203">
      <w:pPr>
        <w:jc w:val="center"/>
        <w:rPr>
          <w:rFonts w:asciiTheme="minorHAnsi" w:hAnsiTheme="minorHAnsi" w:cs="Arial"/>
          <w:color w:val="232120"/>
          <w:sz w:val="20"/>
          <w:szCs w:val="20"/>
        </w:rPr>
      </w:pPr>
      <w:r w:rsidRPr="006F6E42">
        <w:rPr>
          <w:rFonts w:asciiTheme="minorHAnsi" w:hAnsiTheme="minorHAnsi" w:cs="Arial"/>
          <w:noProof/>
          <w:color w:val="232120"/>
          <w:lang w:eastAsia="en-GB"/>
        </w:rPr>
        <w:drawing>
          <wp:inline distT="0" distB="0" distL="0" distR="0" wp14:anchorId="1F3FF7A6" wp14:editId="740C69D4">
            <wp:extent cx="1516380" cy="274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16380" cy="274320"/>
                    </a:xfrm>
                    <a:prstGeom prst="rect">
                      <a:avLst/>
                    </a:prstGeom>
                    <a:noFill/>
                    <a:ln>
                      <a:noFill/>
                    </a:ln>
                  </pic:spPr>
                </pic:pic>
              </a:graphicData>
            </a:graphic>
          </wp:inline>
        </w:drawing>
      </w:r>
    </w:p>
    <w:p w14:paraId="6F82D1F5" w14:textId="77777777" w:rsidR="00DC4203" w:rsidRDefault="00DC4203" w:rsidP="00DC4203">
      <w:pPr>
        <w:jc w:val="center"/>
        <w:rPr>
          <w:rFonts w:asciiTheme="minorHAnsi" w:hAnsiTheme="minorHAnsi" w:cs="Arial"/>
          <w:color w:val="232120"/>
          <w:sz w:val="20"/>
          <w:szCs w:val="20"/>
        </w:rPr>
      </w:pPr>
    </w:p>
    <w:p w14:paraId="08BD95C0" w14:textId="77777777" w:rsidR="00492700" w:rsidRPr="002118D1" w:rsidRDefault="00492700" w:rsidP="00E25703">
      <w:pPr>
        <w:ind w:left="720" w:hanging="720"/>
        <w:jc w:val="center"/>
      </w:pPr>
    </w:p>
    <w:sectPr w:rsidR="00492700" w:rsidRPr="002118D1" w:rsidSect="00755EE9">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F61" w14:textId="77777777" w:rsidR="00A64DAD" w:rsidRDefault="00A64DAD" w:rsidP="00391303">
      <w:pPr>
        <w:spacing w:line="240" w:lineRule="auto"/>
      </w:pPr>
      <w:r>
        <w:separator/>
      </w:r>
    </w:p>
  </w:endnote>
  <w:endnote w:type="continuationSeparator" w:id="0">
    <w:p w14:paraId="23C7F67E" w14:textId="77777777" w:rsidR="00A64DAD" w:rsidRDefault="00A64DAD" w:rsidP="00391303">
      <w:pPr>
        <w:spacing w:line="240" w:lineRule="auto"/>
      </w:pPr>
      <w:r>
        <w:continuationSeparator/>
      </w:r>
    </w:p>
  </w:endnote>
  <w:endnote w:type="continuationNotice" w:id="1">
    <w:p w14:paraId="6C67C096" w14:textId="77777777" w:rsidR="00A64DAD" w:rsidRDefault="00A64D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2A87" w:usb1="08070000" w:usb2="00000010" w:usb3="00000000" w:csb0="0002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6320"/>
      <w:docPartObj>
        <w:docPartGallery w:val="Page Numbers (Bottom of Page)"/>
        <w:docPartUnique/>
      </w:docPartObj>
    </w:sdtPr>
    <w:sdtEndPr>
      <w:rPr>
        <w:noProof/>
      </w:rPr>
    </w:sdtEndPr>
    <w:sdtContent>
      <w:p w14:paraId="734FEC10" w14:textId="1AF2022B" w:rsidR="009F14CF" w:rsidRDefault="009F14CF">
        <w:pPr>
          <w:pStyle w:val="Footer"/>
          <w:jc w:val="center"/>
        </w:pPr>
        <w:r>
          <w:fldChar w:fldCharType="begin"/>
        </w:r>
        <w:r>
          <w:instrText xml:space="preserve"> PAGE   \* MERGEFORMAT </w:instrText>
        </w:r>
        <w:r>
          <w:fldChar w:fldCharType="separate"/>
        </w:r>
        <w:r w:rsidR="000D4BF7">
          <w:rPr>
            <w:noProof/>
          </w:rPr>
          <w:t>46</w:t>
        </w:r>
        <w:r>
          <w:rPr>
            <w:noProof/>
          </w:rPr>
          <w:fldChar w:fldCharType="end"/>
        </w:r>
      </w:p>
    </w:sdtContent>
  </w:sdt>
  <w:p w14:paraId="5C201A25" w14:textId="77777777" w:rsidR="009F14CF" w:rsidRDefault="009F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2A8E" w14:textId="77777777" w:rsidR="00A64DAD" w:rsidRDefault="00A64DAD" w:rsidP="00391303">
      <w:pPr>
        <w:spacing w:line="240" w:lineRule="auto"/>
      </w:pPr>
      <w:r>
        <w:separator/>
      </w:r>
    </w:p>
  </w:footnote>
  <w:footnote w:type="continuationSeparator" w:id="0">
    <w:p w14:paraId="46F7AF49" w14:textId="77777777" w:rsidR="00A64DAD" w:rsidRDefault="00A64DAD" w:rsidP="00391303">
      <w:pPr>
        <w:spacing w:line="240" w:lineRule="auto"/>
      </w:pPr>
      <w:r>
        <w:continuationSeparator/>
      </w:r>
    </w:p>
  </w:footnote>
  <w:footnote w:type="continuationNotice" w:id="1">
    <w:p w14:paraId="1EAE97E2" w14:textId="77777777" w:rsidR="00A64DAD" w:rsidRDefault="00A64DAD">
      <w:pPr>
        <w:spacing w:line="240" w:lineRule="auto"/>
      </w:pPr>
    </w:p>
  </w:footnote>
  <w:footnote w:id="2">
    <w:p w14:paraId="78ECF42A" w14:textId="56290DC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 w:history="1">
        <w:r w:rsidRPr="00357FE0">
          <w:rPr>
            <w:rStyle w:val="Hyperlink"/>
            <w:rFonts w:asciiTheme="minorHAnsi" w:hAnsiTheme="minorHAnsi" w:cstheme="minorHAnsi"/>
            <w:color w:val="auto"/>
            <w:sz w:val="18"/>
            <w:szCs w:val="18"/>
          </w:rPr>
          <w:t>Agreement</w:t>
        </w:r>
      </w:hyperlink>
      <w:r w:rsidRPr="00357FE0">
        <w:rPr>
          <w:rFonts w:asciiTheme="minorHAnsi" w:hAnsiTheme="minorHAnsi" w:cstheme="minorHAnsi"/>
          <w:sz w:val="18"/>
          <w:szCs w:val="18"/>
        </w:rPr>
        <w:t xml:space="preserve"> on the Withdrawal of the United Kingdom of Great Britain and Northern Ireland from the European Union and the European Atomic Energy Community, 24 January 2020.</w:t>
      </w:r>
    </w:p>
  </w:footnote>
  <w:footnote w:id="3">
    <w:p w14:paraId="355FFAA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78A-78E, Northern Ireland Act 1998 were incorporated by the EU (Withdrawal Agreement) Act 2020.</w:t>
      </w:r>
    </w:p>
  </w:footnote>
  <w:footnote w:id="4">
    <w:p w14:paraId="3E1EA04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 w:history="1">
        <w:r w:rsidRPr="00357FE0">
          <w:rPr>
            <w:rStyle w:val="Hyperlink"/>
            <w:rFonts w:asciiTheme="minorHAnsi" w:hAnsiTheme="minorHAnsi" w:cstheme="minorHAnsi"/>
            <w:color w:val="auto"/>
            <w:sz w:val="18"/>
            <w:szCs w:val="18"/>
          </w:rPr>
          <w:t>Equality Commission for NI</w:t>
        </w:r>
      </w:hyperlink>
      <w:r w:rsidRPr="00357FE0">
        <w:rPr>
          <w:rFonts w:asciiTheme="minorHAnsi" w:hAnsiTheme="minorHAnsi" w:cstheme="minorHAnsi"/>
          <w:sz w:val="18"/>
          <w:szCs w:val="18"/>
        </w:rPr>
        <w:t xml:space="preserve"> and </w:t>
      </w:r>
      <w:hyperlink r:id="rId3" w:history="1">
        <w:r w:rsidRPr="00357FE0">
          <w:rPr>
            <w:rStyle w:val="Hyperlink"/>
            <w:rFonts w:asciiTheme="minorHAnsi" w:hAnsiTheme="minorHAnsi" w:cstheme="minorHAnsi"/>
            <w:color w:val="auto"/>
            <w:sz w:val="18"/>
            <w:szCs w:val="18"/>
          </w:rPr>
          <w:t>NI Human Rights Commission</w:t>
        </w:r>
      </w:hyperlink>
      <w:r w:rsidRPr="00357FE0">
        <w:rPr>
          <w:rFonts w:asciiTheme="minorHAnsi" w:hAnsiTheme="minorHAnsi" w:cstheme="minorHAnsi"/>
          <w:sz w:val="18"/>
          <w:szCs w:val="18"/>
        </w:rPr>
        <w:t>, ‘</w:t>
      </w:r>
      <w:hyperlink r:id="rId4" w:history="1">
        <w:r w:rsidRPr="00357FE0">
          <w:rPr>
            <w:rStyle w:val="Hyperlink"/>
            <w:rFonts w:asciiTheme="minorHAnsi" w:hAnsiTheme="minorHAnsi" w:cstheme="minorHAnsi"/>
            <w:color w:val="auto"/>
            <w:sz w:val="18"/>
            <w:szCs w:val="18"/>
          </w:rPr>
          <w:t>A Short Guide – Equality and Human Rights after Brexit: The UK Government’s commitment under the Ireland/Northern Ireland Protocol – Article 2(1) of the Protoco</w:t>
        </w:r>
      </w:hyperlink>
      <w:r w:rsidRPr="00357FE0">
        <w:rPr>
          <w:rFonts w:asciiTheme="minorHAnsi" w:hAnsiTheme="minorHAnsi" w:cstheme="minorHAnsi"/>
          <w:sz w:val="18"/>
          <w:szCs w:val="18"/>
        </w:rPr>
        <w:t>l’ (ECNI and NIHRC, 2021); Equality Commission for NI and NI Human Rights Commission, ‘</w:t>
      </w:r>
      <w:hyperlink r:id="rId5" w:history="1">
        <w:r w:rsidRPr="00357FE0">
          <w:rPr>
            <w:rStyle w:val="Hyperlink"/>
            <w:rFonts w:asciiTheme="minorHAnsi" w:hAnsiTheme="minorHAnsi" w:cstheme="minorHAnsi"/>
            <w:color w:val="auto"/>
            <w:sz w:val="18"/>
            <w:szCs w:val="18"/>
          </w:rPr>
          <w:t>Your Rights - Equality and Human Rights after Brexit: Challenging a breach of the UK Government’s commitment under the Ireland/Northern Ireland Protocol – Article 2(1) of the Protocol</w:t>
        </w:r>
      </w:hyperlink>
      <w:r w:rsidRPr="00357FE0">
        <w:rPr>
          <w:rFonts w:asciiTheme="minorHAnsi" w:hAnsiTheme="minorHAnsi" w:cstheme="minorHAnsi"/>
          <w:sz w:val="18"/>
          <w:szCs w:val="18"/>
        </w:rPr>
        <w:t>’ (ECNI and NIHRC, 2021).</w:t>
      </w:r>
    </w:p>
  </w:footnote>
  <w:footnote w:id="5">
    <w:p w14:paraId="37F7503B" w14:textId="0090278F"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Joint Committee of the Irish Human Rights and Equality Commission and the </w:t>
      </w:r>
      <w:r w:rsidR="00D671E2">
        <w:rPr>
          <w:rFonts w:asciiTheme="minorHAnsi" w:hAnsiTheme="minorHAnsi" w:cstheme="minorHAnsi"/>
          <w:sz w:val="18"/>
          <w:szCs w:val="18"/>
        </w:rPr>
        <w:t>N</w:t>
      </w:r>
      <w:r w:rsidRPr="00357FE0">
        <w:rPr>
          <w:rFonts w:asciiTheme="minorHAnsi" w:hAnsiTheme="minorHAnsi" w:cstheme="minorHAnsi"/>
          <w:sz w:val="18"/>
          <w:szCs w:val="18"/>
        </w:rPr>
        <w:t>I Human Rights Commission ‘</w:t>
      </w:r>
      <w:hyperlink r:id="rId6" w:history="1">
        <w:r w:rsidRPr="00357FE0">
          <w:rPr>
            <w:rStyle w:val="Hyperlink"/>
            <w:rFonts w:asciiTheme="minorHAnsi" w:hAnsiTheme="minorHAnsi" w:cstheme="minorHAnsi"/>
            <w:color w:val="auto"/>
            <w:sz w:val="18"/>
            <w:szCs w:val="18"/>
          </w:rPr>
          <w:t>Policy statement</w:t>
        </w:r>
      </w:hyperlink>
      <w:r w:rsidRPr="00357FE0">
        <w:rPr>
          <w:rFonts w:asciiTheme="minorHAnsi" w:hAnsiTheme="minorHAnsi" w:cstheme="minorHAnsi"/>
          <w:sz w:val="18"/>
          <w:szCs w:val="18"/>
        </w:rPr>
        <w:t xml:space="preserve"> on the United Kingdom withdrawal from the European Union’ (NIHRC and IHREC, 2018); </w:t>
      </w:r>
      <w:hyperlink r:id="rId7" w:history="1">
        <w:r w:rsidRPr="00357FE0">
          <w:rPr>
            <w:rStyle w:val="Hyperlink"/>
            <w:rFonts w:asciiTheme="minorHAnsi" w:hAnsiTheme="minorHAnsi" w:cstheme="minorHAnsi"/>
            <w:color w:val="auto"/>
            <w:sz w:val="18"/>
            <w:szCs w:val="18"/>
          </w:rPr>
          <w:t>Equality Commission for NI</w:t>
        </w:r>
      </w:hyperlink>
      <w:r w:rsidRPr="00357FE0">
        <w:rPr>
          <w:rFonts w:asciiTheme="minorHAnsi" w:hAnsiTheme="minorHAnsi" w:cstheme="minorHAnsi"/>
          <w:sz w:val="18"/>
          <w:szCs w:val="18"/>
        </w:rPr>
        <w:t>, ‘Protecting and advancing Equality and Good Relations as the UK exits from the European Union’, (ECNI, 2017).</w:t>
      </w:r>
    </w:p>
  </w:footnote>
  <w:footnote w:id="6">
    <w:p w14:paraId="25CDC71E" w14:textId="742E2F6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8" w:history="1">
        <w:r w:rsidRPr="00357FE0">
          <w:rPr>
            <w:rStyle w:val="Hyperlink"/>
            <w:rFonts w:asciiTheme="minorHAnsi" w:hAnsiTheme="minorHAnsi" w:cstheme="minorHAnsi"/>
            <w:color w:val="auto"/>
            <w:sz w:val="18"/>
            <w:szCs w:val="18"/>
          </w:rPr>
          <w:t>Joint report</w:t>
        </w:r>
      </w:hyperlink>
      <w:r w:rsidRPr="00357FE0">
        <w:rPr>
          <w:rFonts w:asciiTheme="minorHAnsi" w:hAnsiTheme="minorHAnsi" w:cstheme="minorHAnsi"/>
          <w:sz w:val="18"/>
          <w:szCs w:val="18"/>
        </w:rPr>
        <w:t xml:space="preserve"> from the Negotiators of the EU and UK Government progress during Phase 1 of Negotiations under Article 50 TEU on the UK’s Orderly Withdrawal from the EU, 8 December 2017,</w:t>
      </w:r>
      <w:r w:rsidR="00D671E2">
        <w:rPr>
          <w:rFonts w:asciiTheme="minorHAnsi" w:hAnsiTheme="minorHAnsi" w:cstheme="minorHAnsi"/>
          <w:sz w:val="18"/>
          <w:szCs w:val="18"/>
        </w:rPr>
        <w:t xml:space="preserve"> at</w:t>
      </w:r>
      <w:r w:rsidRPr="00357FE0">
        <w:rPr>
          <w:rFonts w:asciiTheme="minorHAnsi" w:hAnsiTheme="minorHAnsi" w:cstheme="minorHAnsi"/>
          <w:sz w:val="18"/>
          <w:szCs w:val="18"/>
        </w:rPr>
        <w:t xml:space="preserve"> para 42.</w:t>
      </w:r>
    </w:p>
  </w:footnote>
  <w:footnote w:id="7">
    <w:p w14:paraId="625CA203" w14:textId="374F7AE2"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00D671E2" w:rsidRPr="00D84F99">
        <w:rPr>
          <w:sz w:val="18"/>
          <w:szCs w:val="18"/>
        </w:rPr>
        <w:t>Ibid</w:t>
      </w:r>
      <w:r w:rsidRPr="00D671E2">
        <w:rPr>
          <w:rFonts w:asciiTheme="minorHAnsi" w:hAnsiTheme="minorHAnsi" w:cstheme="minorHAnsi"/>
          <w:sz w:val="18"/>
          <w:szCs w:val="18"/>
        </w:rPr>
        <w:t xml:space="preserve">, </w:t>
      </w:r>
      <w:r w:rsidR="00D671E2" w:rsidRPr="00D671E2">
        <w:rPr>
          <w:rFonts w:asciiTheme="minorHAnsi" w:hAnsiTheme="minorHAnsi" w:cstheme="minorHAnsi"/>
          <w:sz w:val="18"/>
          <w:szCs w:val="18"/>
        </w:rPr>
        <w:t>at</w:t>
      </w:r>
      <w:r w:rsidR="00D671E2">
        <w:rPr>
          <w:rFonts w:asciiTheme="minorHAnsi" w:hAnsiTheme="minorHAnsi" w:cstheme="minorHAnsi"/>
          <w:sz w:val="18"/>
          <w:szCs w:val="18"/>
        </w:rPr>
        <w:t xml:space="preserve"> </w:t>
      </w:r>
      <w:r w:rsidRPr="00357FE0">
        <w:rPr>
          <w:rFonts w:asciiTheme="minorHAnsi" w:hAnsiTheme="minorHAnsi" w:cstheme="minorHAnsi"/>
          <w:sz w:val="18"/>
          <w:szCs w:val="18"/>
        </w:rPr>
        <w:t>para 53.</w:t>
      </w:r>
    </w:p>
  </w:footnote>
  <w:footnote w:id="8">
    <w:p w14:paraId="16C03E4F" w14:textId="3E21B0E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to the </w:t>
      </w:r>
      <w:hyperlink r:id="rId9" w:history="1">
        <w:r w:rsidRPr="00357FE0">
          <w:rPr>
            <w:rStyle w:val="Hyperlink"/>
            <w:rFonts w:asciiTheme="minorHAnsi" w:hAnsiTheme="minorHAnsi" w:cstheme="minorHAnsi"/>
            <w:color w:val="auto"/>
            <w:sz w:val="18"/>
            <w:szCs w:val="18"/>
          </w:rPr>
          <w:t>Ireland/Northern Ireland Protocol</w:t>
        </w:r>
      </w:hyperlink>
      <w:r w:rsidRPr="00357FE0">
        <w:rPr>
          <w:rFonts w:asciiTheme="minorHAnsi" w:hAnsiTheme="minorHAnsi" w:cstheme="minorHAnsi"/>
          <w:sz w:val="18"/>
          <w:szCs w:val="18"/>
        </w:rPr>
        <w:t>. The underpinning EU law for the rights, safeguards and equality of opportunity protections within scope of Protocol Article 2 include all the obligations the UK EU membership.</w:t>
      </w:r>
    </w:p>
  </w:footnote>
  <w:footnote w:id="9">
    <w:p w14:paraId="682321C8" w14:textId="763AB596"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31(1)</w:t>
      </w:r>
      <w:r w:rsidR="00D671E2">
        <w:rPr>
          <w:rFonts w:asciiTheme="minorHAnsi" w:hAnsiTheme="minorHAnsi" w:cstheme="minorHAnsi"/>
          <w:sz w:val="18"/>
          <w:szCs w:val="18"/>
        </w:rPr>
        <w:t>,</w:t>
      </w:r>
      <w:r w:rsidRPr="00357FE0">
        <w:rPr>
          <w:rFonts w:asciiTheme="minorHAnsi" w:hAnsiTheme="minorHAnsi" w:cstheme="minorHAnsi"/>
          <w:sz w:val="18"/>
          <w:szCs w:val="18"/>
        </w:rPr>
        <w:t xml:space="preserve"> Vienna Convention on the Law of Treaties 1969.</w:t>
      </w:r>
    </w:p>
  </w:footnote>
  <w:footnote w:id="10">
    <w:p w14:paraId="26D3E1A1" w14:textId="77777777"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31(2), Vienna Convention on the Law of Treaties 1969.</w:t>
      </w:r>
    </w:p>
  </w:footnote>
  <w:footnote w:id="11">
    <w:p w14:paraId="2983AD83" w14:textId="77777777" w:rsidR="009F14CF" w:rsidRPr="00357FE0" w:rsidRDefault="009F14CF" w:rsidP="00D84F9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31(3), Vienna Convention on the Law of Treaties 1969.</w:t>
      </w:r>
    </w:p>
  </w:footnote>
  <w:footnote w:id="12">
    <w:p w14:paraId="3BA45421"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0"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xml:space="preserve">, 10 April 1998, Part 6 on Rights, Safeguards and Equality of Opportunity – Human Rights. </w:t>
      </w:r>
    </w:p>
  </w:footnote>
  <w:footnote w:id="13">
    <w:p w14:paraId="2A3C5227" w14:textId="0B35063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11"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9.</w:t>
      </w:r>
    </w:p>
  </w:footnote>
  <w:footnote w:id="14">
    <w:p w14:paraId="672865AD"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2"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xml:space="preserve">, 10 April 1998, Part 6 on Rights, Safeguards and Equality of Opportunity – Human Rights. </w:t>
      </w:r>
    </w:p>
  </w:footnote>
  <w:footnote w:id="15">
    <w:p w14:paraId="13D190F1"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3" w:history="1">
        <w:r w:rsidRPr="00357FE0">
          <w:rPr>
            <w:rStyle w:val="Hyperlink"/>
            <w:rFonts w:asciiTheme="minorHAnsi" w:hAnsiTheme="minorHAnsi" w:cstheme="minorHAnsi"/>
            <w:color w:val="auto"/>
            <w:sz w:val="18"/>
            <w:szCs w:val="18"/>
          </w:rPr>
          <w:t>Directive 2000/43/EC</w:t>
        </w:r>
      </w:hyperlink>
      <w:r w:rsidRPr="00357FE0">
        <w:rPr>
          <w:rFonts w:asciiTheme="minorHAnsi" w:hAnsiTheme="minorHAnsi" w:cstheme="minorHAnsi"/>
          <w:color w:val="auto"/>
          <w:sz w:val="18"/>
          <w:szCs w:val="18"/>
        </w:rPr>
        <w:t>, ‘Council Directive on Implementing the Principle of Equal Treatment between Persons Irrespective of Racial or Ethnic Origin’, 29 June 2000.</w:t>
      </w:r>
    </w:p>
  </w:footnote>
  <w:footnote w:id="16">
    <w:p w14:paraId="69B22106"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4"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‘Council Directive on Establishing a General Framework for Equal Treatment in Employment and Occupation’, 27 November 2000.</w:t>
      </w:r>
    </w:p>
  </w:footnote>
  <w:footnote w:id="17">
    <w:p w14:paraId="71A9DB36"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5"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color w:val="auto"/>
          <w:sz w:val="18"/>
          <w:szCs w:val="18"/>
        </w:rPr>
        <w:t>, ‘Council Directive on Implementing the Principle of Equal Treatment between Men and Women in the access to and supply of goods and Services’, 13 December 2004.</w:t>
      </w:r>
    </w:p>
  </w:footnote>
  <w:footnote w:id="18">
    <w:p w14:paraId="1C4BA65F"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6"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color w:val="auto"/>
          <w:sz w:val="18"/>
          <w:szCs w:val="18"/>
        </w:rPr>
        <w:t>, ‘Directive of European Parliament and of the Council on the Implementation of the Principle of Equal Opportunities and Equal Treatment of Men and Women in Matters of Employment and Occupation (Recast)’, 5 July 2006.</w:t>
      </w:r>
    </w:p>
  </w:footnote>
  <w:footnote w:id="19">
    <w:p w14:paraId="1D3A58D0"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7" w:history="1">
        <w:r w:rsidRPr="00357FE0">
          <w:rPr>
            <w:rStyle w:val="Hyperlink"/>
            <w:rFonts w:asciiTheme="minorHAnsi" w:hAnsiTheme="minorHAnsi" w:cstheme="minorHAnsi"/>
            <w:color w:val="auto"/>
            <w:sz w:val="18"/>
            <w:szCs w:val="18"/>
          </w:rPr>
          <w:t>Directive 2010/41/EU</w:t>
        </w:r>
      </w:hyperlink>
      <w:r w:rsidRPr="00357FE0">
        <w:rPr>
          <w:rFonts w:asciiTheme="minorHAnsi" w:hAnsiTheme="minorHAnsi" w:cstheme="minorHAnsi"/>
          <w:color w:val="auto"/>
          <w:sz w:val="18"/>
          <w:szCs w:val="18"/>
        </w:rPr>
        <w:t>,  ‘Directive of the European Parliament and of the Council on the Application of the Principle of Equal Treatment between Men and Women Engaged in an Activity in a Self-employed Capacity’, 7 July 2010.</w:t>
      </w:r>
    </w:p>
  </w:footnote>
  <w:footnote w:id="20">
    <w:p w14:paraId="626DF648"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8" w:history="1">
        <w:r w:rsidRPr="00357FE0">
          <w:rPr>
            <w:rStyle w:val="Hyperlink"/>
            <w:rFonts w:asciiTheme="minorHAnsi" w:hAnsiTheme="minorHAnsi" w:cstheme="minorHAnsi"/>
            <w:color w:val="auto"/>
            <w:sz w:val="18"/>
            <w:szCs w:val="18"/>
          </w:rPr>
          <w:t>Directive 79/7/EEC</w:t>
        </w:r>
      </w:hyperlink>
      <w:r w:rsidRPr="00357FE0">
        <w:rPr>
          <w:rFonts w:asciiTheme="minorHAnsi" w:hAnsiTheme="minorHAnsi" w:cstheme="minorHAnsi"/>
          <w:color w:val="auto"/>
          <w:sz w:val="18"/>
          <w:szCs w:val="18"/>
        </w:rPr>
        <w:t>, ‘Council Directive on the Progressive Implementation of the Principle of Equal Treatment for Men and Women in Matters of Social Security’, 19 December 1978.</w:t>
      </w:r>
    </w:p>
  </w:footnote>
  <w:footnote w:id="21">
    <w:p w14:paraId="2F8E1661" w14:textId="5BA6601D"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13 (3), Protocol on Ireland/Northern Ireland to the </w:t>
      </w:r>
      <w:hyperlink r:id="rId19"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22">
    <w:p w14:paraId="78FD422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20"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23">
    <w:p w14:paraId="26DEE35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1" w:history="1">
        <w:r w:rsidRPr="00357FE0">
          <w:rPr>
            <w:rStyle w:val="Hyperlink"/>
            <w:rFonts w:asciiTheme="minorHAnsi" w:hAnsiTheme="minorHAnsi" w:cstheme="minorHAnsi"/>
            <w:color w:val="auto"/>
            <w:sz w:val="18"/>
            <w:szCs w:val="18"/>
          </w:rPr>
          <w:t>Directive 2012/29/EU</w:t>
        </w:r>
      </w:hyperlink>
      <w:r w:rsidRPr="00357FE0">
        <w:rPr>
          <w:rFonts w:asciiTheme="minorHAnsi" w:hAnsiTheme="minorHAnsi" w:cstheme="minorHAnsi"/>
          <w:sz w:val="18"/>
          <w:szCs w:val="18"/>
        </w:rPr>
        <w:t>, ‘Directive 2012/29/EU of the European Parliament and of the Council establishing minimum standards on the rights, support and protection of victims of crime’, 25 October 2012.</w:t>
      </w:r>
    </w:p>
  </w:footnote>
  <w:footnote w:id="24">
    <w:p w14:paraId="4FC4B4C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2" w:history="1">
        <w:r w:rsidRPr="00357FE0">
          <w:rPr>
            <w:rStyle w:val="Hyperlink"/>
            <w:rFonts w:asciiTheme="minorHAnsi" w:hAnsiTheme="minorHAnsi" w:cstheme="minorHAnsi"/>
            <w:color w:val="auto"/>
            <w:sz w:val="18"/>
            <w:szCs w:val="18"/>
          </w:rPr>
          <w:t>Directive 2010/18/EU</w:t>
        </w:r>
      </w:hyperlink>
      <w:r w:rsidRPr="00357FE0">
        <w:rPr>
          <w:rFonts w:asciiTheme="minorHAnsi" w:hAnsiTheme="minorHAnsi" w:cstheme="minorHAnsi"/>
          <w:sz w:val="18"/>
          <w:szCs w:val="18"/>
        </w:rPr>
        <w:t>, ‘Council Directive implementing the revised Framework Agreement on parental leave’, 8 March 2010.</w:t>
      </w:r>
    </w:p>
  </w:footnote>
  <w:footnote w:id="25">
    <w:p w14:paraId="48593D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3" w:history="1">
        <w:r w:rsidRPr="00357FE0">
          <w:rPr>
            <w:rStyle w:val="Hyperlink"/>
            <w:rFonts w:asciiTheme="minorHAnsi" w:hAnsiTheme="minorHAnsi" w:cstheme="minorHAnsi"/>
            <w:color w:val="auto"/>
            <w:sz w:val="18"/>
            <w:szCs w:val="18"/>
          </w:rPr>
          <w:t>Directive 92/85/EEC</w:t>
        </w:r>
      </w:hyperlink>
      <w:r w:rsidRPr="00357FE0">
        <w:rPr>
          <w:rFonts w:asciiTheme="minorHAnsi" w:hAnsiTheme="minorHAnsi" w:cstheme="minorHAnsi"/>
          <w:sz w:val="18"/>
          <w:szCs w:val="18"/>
        </w:rPr>
        <w:t>, ‘Council Directive on the introduction of measures to encourage improvements in the safety and health at work of pregnant workers and workers who have recently given birth or are breastfeeding’, 19 October 1992.</w:t>
      </w:r>
    </w:p>
  </w:footnote>
  <w:footnote w:id="26">
    <w:p w14:paraId="228A928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24"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27">
    <w:p w14:paraId="3923E45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Commissions are conscious that in defining EU obligations the CJEU has drawn on international human rights standards, including general comments of the international treaty monitoring bodies to elaborate on key concepts in EU law, including the EU Charter.  See for example Ingeborg </w:t>
      </w:r>
      <w:proofErr w:type="spellStart"/>
      <w:r w:rsidRPr="00357FE0">
        <w:rPr>
          <w:rFonts w:asciiTheme="minorHAnsi" w:hAnsiTheme="minorHAnsi" w:cstheme="minorHAnsi"/>
          <w:sz w:val="18"/>
          <w:szCs w:val="18"/>
        </w:rPr>
        <w:t>Odink</w:t>
      </w:r>
      <w:proofErr w:type="spellEnd"/>
      <w:r w:rsidRPr="00357FE0">
        <w:rPr>
          <w:rFonts w:asciiTheme="minorHAnsi" w:hAnsiTheme="minorHAnsi" w:cstheme="minorHAnsi"/>
          <w:sz w:val="18"/>
          <w:szCs w:val="18"/>
        </w:rPr>
        <w:t>, ‘</w:t>
      </w:r>
      <w:hyperlink r:id="rId25" w:history="1">
        <w:r w:rsidRPr="00357FE0">
          <w:rPr>
            <w:rStyle w:val="Hyperlink"/>
            <w:rFonts w:asciiTheme="minorHAnsi" w:hAnsiTheme="minorHAnsi" w:cstheme="minorHAnsi"/>
            <w:color w:val="auto"/>
            <w:sz w:val="18"/>
            <w:szCs w:val="18"/>
          </w:rPr>
          <w:t>European Parliamentary Research Service - Children's rights in the EU: Marking 30 years of the UN Convention on the Rights of the Child</w:t>
        </w:r>
      </w:hyperlink>
      <w:r w:rsidRPr="00357FE0">
        <w:rPr>
          <w:rFonts w:asciiTheme="minorHAnsi" w:hAnsiTheme="minorHAnsi" w:cstheme="minorHAnsi"/>
          <w:sz w:val="18"/>
          <w:szCs w:val="18"/>
        </w:rPr>
        <w:t>’ (EPRS, 2019) on the best interests of the child test.</w:t>
      </w:r>
    </w:p>
  </w:footnote>
  <w:footnote w:id="28">
    <w:p w14:paraId="30FC9AC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6" w:history="1">
        <w:r w:rsidRPr="00357FE0">
          <w:rPr>
            <w:rStyle w:val="Hyperlink"/>
            <w:rFonts w:asciiTheme="minorHAnsi" w:hAnsiTheme="minorHAnsi" w:cstheme="minorHAnsi"/>
            <w:color w:val="auto"/>
            <w:sz w:val="18"/>
            <w:szCs w:val="18"/>
          </w:rPr>
          <w:t>Directive 2011/36/EU</w:t>
        </w:r>
      </w:hyperlink>
      <w:r w:rsidRPr="00357FE0">
        <w:rPr>
          <w:rFonts w:asciiTheme="minorHAnsi" w:hAnsiTheme="minorHAnsi" w:cstheme="minorHAnsi"/>
          <w:sz w:val="18"/>
          <w:szCs w:val="18"/>
        </w:rPr>
        <w:t>, ‘Directive of the European Parliament and of the Council on preventing and combating trafficking in human beings and protecting its victims’, 5 April 2011.</w:t>
      </w:r>
    </w:p>
  </w:footnote>
  <w:footnote w:id="29">
    <w:p w14:paraId="65CA99B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27" w:history="1">
        <w:r w:rsidRPr="00357FE0">
          <w:rPr>
            <w:rStyle w:val="Hyperlink"/>
            <w:rFonts w:asciiTheme="minorHAnsi" w:hAnsiTheme="minorHAnsi" w:cstheme="minorHAnsi"/>
            <w:color w:val="auto"/>
            <w:sz w:val="18"/>
            <w:szCs w:val="18"/>
          </w:rPr>
          <w:t>Directive 97/81/EC</w:t>
        </w:r>
      </w:hyperlink>
      <w:r w:rsidRPr="00357FE0">
        <w:rPr>
          <w:rFonts w:asciiTheme="minorHAnsi" w:hAnsiTheme="minorHAnsi" w:cstheme="minorHAnsi"/>
          <w:sz w:val="18"/>
          <w:szCs w:val="18"/>
        </w:rPr>
        <w:t xml:space="preserve">, ‘Council Directive concerning the Framework Agreement on part-time workers’, 15 December 1997; </w:t>
      </w:r>
      <w:hyperlink r:id="rId28" w:history="1">
        <w:r w:rsidRPr="00357FE0">
          <w:rPr>
            <w:rStyle w:val="Hyperlink"/>
            <w:rFonts w:asciiTheme="minorHAnsi" w:hAnsiTheme="minorHAnsi" w:cstheme="minorHAnsi"/>
            <w:color w:val="auto"/>
            <w:sz w:val="18"/>
            <w:szCs w:val="18"/>
          </w:rPr>
          <w:t>Directive 2008/104/EC</w:t>
        </w:r>
      </w:hyperlink>
      <w:r w:rsidRPr="00357FE0">
        <w:rPr>
          <w:rFonts w:asciiTheme="minorHAnsi" w:hAnsiTheme="minorHAnsi" w:cstheme="minorHAnsi"/>
          <w:sz w:val="18"/>
          <w:szCs w:val="18"/>
        </w:rPr>
        <w:t>, ‘Directive of the European Parliament and of the Council on temporary agency work’, 19 November 2008.</w:t>
      </w:r>
    </w:p>
  </w:footnote>
  <w:footnote w:id="30">
    <w:p w14:paraId="2877B7A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commitment to a Bill of Rights for Northern Ireland was further elaborated in the Joint Declaration by the British and Irish Governments at Hillsborough Castle in April 2003, para 25-33 and Annex 3. </w:t>
      </w:r>
    </w:p>
  </w:footnote>
  <w:footnote w:id="31">
    <w:p w14:paraId="13CD6806" w14:textId="77777777" w:rsidR="009F14CF" w:rsidRPr="00357FE0" w:rsidRDefault="009F14CF" w:rsidP="003D6FFB">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UK Government has also recognised that the rights, safeguard and equality of opportunity protections in the Belfast (Good Friday) Agreement are not limited to the “affirmed in particular” rights. See paragraph 9 of the NI Office, ‘</w:t>
      </w:r>
      <w:hyperlink r:id="rId2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w:t>
      </w:r>
    </w:p>
  </w:footnote>
  <w:footnote w:id="32">
    <w:p w14:paraId="4A1C664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relates to the scope of issues and EU law relevant to Article 2, rather than the question of whether Article 2 requires the UK to remain committed to the ECHR as considered in Social Change Initiative, ‘</w:t>
      </w:r>
      <w:hyperlink r:id="rId30" w:history="1">
        <w:r w:rsidRPr="00357FE0">
          <w:rPr>
            <w:rStyle w:val="Hyperlink"/>
            <w:rFonts w:asciiTheme="minorHAnsi" w:hAnsiTheme="minorHAnsi" w:cstheme="minorHAnsi"/>
            <w:color w:val="auto"/>
            <w:sz w:val="18"/>
            <w:szCs w:val="18"/>
          </w:rPr>
          <w:t>Human Rights and Equality in Northern Ireland under the Protocol – A Practical Guide</w:t>
        </w:r>
      </w:hyperlink>
      <w:r w:rsidRPr="00357FE0">
        <w:rPr>
          <w:rFonts w:asciiTheme="minorHAnsi" w:hAnsiTheme="minorHAnsi" w:cstheme="minorHAnsi"/>
          <w:sz w:val="18"/>
          <w:szCs w:val="18"/>
        </w:rPr>
        <w:t>’ (SCI, 2021); Christopher McCrudden, ‘</w:t>
      </w:r>
      <w:hyperlink r:id="rId31" w:history="1">
        <w:r w:rsidRPr="00357FE0">
          <w:rPr>
            <w:rStyle w:val="Hyperlink"/>
            <w:rFonts w:asciiTheme="minorHAnsi" w:hAnsiTheme="minorHAnsi" w:cstheme="minorHAnsi"/>
            <w:color w:val="auto"/>
            <w:sz w:val="18"/>
            <w:szCs w:val="18"/>
          </w:rPr>
          <w:t>Parliamentary Scrutiny of the Joint Committee and the Application of the Northern Ireland Protocol – Evidence to the House of Commons European Scrutiny Committee</w:t>
        </w:r>
      </w:hyperlink>
      <w:r w:rsidRPr="00357FE0">
        <w:rPr>
          <w:rFonts w:asciiTheme="minorHAnsi" w:hAnsiTheme="minorHAnsi" w:cstheme="minorHAnsi"/>
          <w:sz w:val="18"/>
          <w:szCs w:val="18"/>
        </w:rPr>
        <w:t>’ (ESC, 2020); and Sylvia De Mars, Aoife O’Donoghue, Colin Murray and Ben Warwick, ‘</w:t>
      </w:r>
      <w:hyperlink r:id="rId32" w:history="1">
        <w:r w:rsidRPr="00357FE0">
          <w:rPr>
            <w:rStyle w:val="Hyperlink"/>
            <w:rFonts w:asciiTheme="minorHAnsi" w:hAnsiTheme="minorHAnsi" w:cstheme="minorHAnsi"/>
            <w:color w:val="auto"/>
            <w:sz w:val="18"/>
            <w:szCs w:val="18"/>
          </w:rPr>
          <w:t>Commentary on the Protocol on Ireland/Northern Ireland</w:t>
        </w:r>
      </w:hyperlink>
      <w:r w:rsidRPr="00357FE0">
        <w:rPr>
          <w:rFonts w:asciiTheme="minorHAnsi" w:hAnsiTheme="minorHAnsi" w:cstheme="minorHAnsi"/>
          <w:sz w:val="18"/>
          <w:szCs w:val="18"/>
        </w:rPr>
        <w:t xml:space="preserve"> in the Draft Withdrawal Agreement’ (2018).</w:t>
      </w:r>
    </w:p>
  </w:footnote>
  <w:footnote w:id="33">
    <w:p w14:paraId="3E8D73A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33"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3.</w:t>
      </w:r>
    </w:p>
  </w:footnote>
  <w:footnote w:id="34">
    <w:p w14:paraId="539BE70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Z v Finland</w:t>
      </w:r>
      <w:r w:rsidRPr="00357FE0">
        <w:rPr>
          <w:rFonts w:asciiTheme="minorHAnsi" w:hAnsiTheme="minorHAnsi" w:cstheme="minorHAnsi"/>
          <w:sz w:val="18"/>
          <w:szCs w:val="18"/>
        </w:rPr>
        <w:t xml:space="preserve"> (1997) ECHR 10, at para 96; </w:t>
      </w:r>
      <w:proofErr w:type="spellStart"/>
      <w:r w:rsidRPr="00357FE0">
        <w:rPr>
          <w:rFonts w:asciiTheme="minorHAnsi" w:hAnsiTheme="minorHAnsi" w:cstheme="minorHAnsi"/>
          <w:i/>
          <w:iCs/>
          <w:sz w:val="18"/>
          <w:szCs w:val="18"/>
        </w:rPr>
        <w:t>Satakunnan</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Markkinapörssi</w:t>
      </w:r>
      <w:proofErr w:type="spellEnd"/>
      <w:r w:rsidRPr="00357FE0">
        <w:rPr>
          <w:rFonts w:asciiTheme="minorHAnsi" w:hAnsiTheme="minorHAnsi" w:cstheme="minorHAnsi"/>
          <w:i/>
          <w:iCs/>
          <w:sz w:val="18"/>
          <w:szCs w:val="18"/>
        </w:rPr>
        <w:t xml:space="preserve"> Oy and </w:t>
      </w:r>
      <w:proofErr w:type="spellStart"/>
      <w:r w:rsidRPr="00357FE0">
        <w:rPr>
          <w:rFonts w:asciiTheme="minorHAnsi" w:hAnsiTheme="minorHAnsi" w:cstheme="minorHAnsi"/>
          <w:i/>
          <w:iCs/>
          <w:sz w:val="18"/>
          <w:szCs w:val="18"/>
        </w:rPr>
        <w:t>Satamedia</w:t>
      </w:r>
      <w:proofErr w:type="spellEnd"/>
      <w:r w:rsidRPr="00357FE0">
        <w:rPr>
          <w:rFonts w:asciiTheme="minorHAnsi" w:hAnsiTheme="minorHAnsi" w:cstheme="minorHAnsi"/>
          <w:i/>
          <w:iCs/>
          <w:sz w:val="18"/>
          <w:szCs w:val="18"/>
        </w:rPr>
        <w:t xml:space="preserve"> Oy v Finland</w:t>
      </w:r>
      <w:r w:rsidRPr="00357FE0">
        <w:rPr>
          <w:rFonts w:asciiTheme="minorHAnsi" w:hAnsiTheme="minorHAnsi" w:cstheme="minorHAnsi"/>
          <w:sz w:val="18"/>
          <w:szCs w:val="18"/>
        </w:rPr>
        <w:t xml:space="preserve"> (2015) ECHR 713, at para 137.</w:t>
      </w:r>
    </w:p>
  </w:footnote>
  <w:footnote w:id="35">
    <w:p w14:paraId="1EF9D07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Recital 1, </w:t>
      </w:r>
      <w:hyperlink r:id="rId34" w:history="1">
        <w:r w:rsidRPr="00357FE0">
          <w:rPr>
            <w:rStyle w:val="Hyperlink"/>
            <w:rFonts w:asciiTheme="minorHAnsi" w:hAnsiTheme="minorHAnsi" w:cstheme="minorHAnsi"/>
            <w:color w:val="auto"/>
            <w:sz w:val="18"/>
            <w:szCs w:val="18"/>
          </w:rPr>
          <w:t>Regulation 2016/679/EU</w:t>
        </w:r>
      </w:hyperlink>
      <w:r w:rsidRPr="00357FE0">
        <w:rPr>
          <w:rFonts w:asciiTheme="minorHAnsi" w:hAnsiTheme="minorHAnsi" w:cstheme="minorHAnsi"/>
          <w:sz w:val="18"/>
          <w:szCs w:val="18"/>
        </w:rPr>
        <w:t>,  ‘Regulation of the European Parliament and Council on the protection of natural persons with regard to the processing of personal data and on the free movement of such data’, 27 April 2016.</w:t>
      </w:r>
    </w:p>
  </w:footnote>
  <w:footnote w:id="36">
    <w:p w14:paraId="70BEC9B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14, </w:t>
      </w:r>
      <w:hyperlink r:id="rId35" w:history="1">
        <w:r w:rsidRPr="00357FE0">
          <w:rPr>
            <w:rStyle w:val="Hyperlink"/>
            <w:rFonts w:asciiTheme="minorHAnsi" w:hAnsiTheme="minorHAnsi" w:cstheme="minorHAnsi"/>
            <w:color w:val="auto"/>
            <w:sz w:val="18"/>
            <w:szCs w:val="18"/>
          </w:rPr>
          <w:t>European Convention of Human Rights</w:t>
        </w:r>
      </w:hyperlink>
      <w:r w:rsidRPr="00357FE0">
        <w:rPr>
          <w:rFonts w:asciiTheme="minorHAnsi" w:hAnsiTheme="minorHAnsi" w:cstheme="minorHAnsi"/>
          <w:sz w:val="18"/>
          <w:szCs w:val="18"/>
        </w:rPr>
        <w:t xml:space="preserve">. </w:t>
      </w:r>
    </w:p>
  </w:footnote>
  <w:footnote w:id="37">
    <w:p w14:paraId="624DF1B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21, </w:t>
      </w:r>
      <w:hyperlink r:id="rId36"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w:t>
      </w:r>
    </w:p>
  </w:footnote>
  <w:footnote w:id="38">
    <w:p w14:paraId="633F9B3A" w14:textId="77777777" w:rsidR="009F14CF" w:rsidRPr="00357FE0" w:rsidRDefault="009F14CF" w:rsidP="00A53D0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example, the </w:t>
      </w:r>
      <w:hyperlink r:id="rId37" w:history="1">
        <w:r w:rsidRPr="00357FE0">
          <w:rPr>
            <w:rStyle w:val="Hyperlink"/>
            <w:rFonts w:asciiTheme="minorHAnsi" w:hAnsiTheme="minorHAnsi" w:cstheme="minorHAnsi"/>
            <w:color w:val="auto"/>
            <w:sz w:val="18"/>
            <w:szCs w:val="18"/>
          </w:rPr>
          <w:t>Vienna Declaration and Programme of Action 1993</w:t>
        </w:r>
      </w:hyperlink>
      <w:r w:rsidRPr="00357FE0">
        <w:rPr>
          <w:rFonts w:asciiTheme="minorHAnsi" w:hAnsiTheme="minorHAnsi" w:cstheme="minorHAnsi"/>
          <w:sz w:val="18"/>
          <w:szCs w:val="18"/>
        </w:rPr>
        <w:t xml:space="preserve">, adopted by the World Conference on Human Rights in Vienna, 25 June 1993 reaffirmed that “All human rights are universal, indivisible and interdependent and interrelated”; the preambles of the </w:t>
      </w:r>
      <w:hyperlink r:id="rId38" w:history="1">
        <w:r w:rsidRPr="00357FE0">
          <w:rPr>
            <w:rStyle w:val="Hyperlink"/>
            <w:rFonts w:asciiTheme="minorHAnsi" w:hAnsiTheme="minorHAnsi" w:cstheme="minorHAnsi"/>
            <w:color w:val="auto"/>
            <w:sz w:val="18"/>
            <w:szCs w:val="18"/>
          </w:rPr>
          <w:t>UN International Covenant on Civil and Political Rights</w:t>
        </w:r>
      </w:hyperlink>
      <w:r w:rsidRPr="00357FE0">
        <w:rPr>
          <w:rFonts w:asciiTheme="minorHAnsi" w:hAnsiTheme="minorHAnsi" w:cstheme="minorHAnsi"/>
          <w:sz w:val="18"/>
          <w:szCs w:val="18"/>
        </w:rPr>
        <w:t xml:space="preserve"> (UN ICCPR) and the </w:t>
      </w:r>
      <w:hyperlink r:id="rId39" w:history="1">
        <w:r w:rsidRPr="00357FE0">
          <w:rPr>
            <w:rStyle w:val="Hyperlink"/>
            <w:rFonts w:asciiTheme="minorHAnsi" w:hAnsiTheme="minorHAnsi" w:cstheme="minorHAnsi"/>
            <w:color w:val="auto"/>
            <w:sz w:val="18"/>
            <w:szCs w:val="18"/>
          </w:rPr>
          <w:t>UN International Covenant on Economic, Social and Cultural Rights</w:t>
        </w:r>
      </w:hyperlink>
      <w:r w:rsidRPr="00357FE0">
        <w:rPr>
          <w:rFonts w:asciiTheme="minorHAnsi" w:hAnsiTheme="minorHAnsi" w:cstheme="minorHAnsi"/>
          <w:sz w:val="18"/>
          <w:szCs w:val="18"/>
        </w:rPr>
        <w:t xml:space="preserve"> (UN ICESCR) recognise that the full enjoyment of human rights can only be achieved if conditions are created whereby everyone can enjoy the full range of rights in both Covenants.  </w:t>
      </w:r>
    </w:p>
  </w:footnote>
  <w:footnote w:id="39">
    <w:p w14:paraId="1A32E96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Agreement between the Government of the United Kingdom of Great Britain and Northern Ireland and the Government of Ireland, 1998. This is reiterated in the Declaration of Support for the multi-party agreement which recognises the harms of the past and a dedication to work towards reconciliation, tolerance, mutual trust and to “the protection and vindication of human rights for all”.</w:t>
      </w:r>
    </w:p>
  </w:footnote>
  <w:footnote w:id="40">
    <w:p w14:paraId="2E31968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0"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8.</w:t>
      </w:r>
    </w:p>
  </w:footnote>
  <w:footnote w:id="41">
    <w:p w14:paraId="3F69492F" w14:textId="6DCADA31" w:rsidR="009F14CF" w:rsidRPr="00357FE0" w:rsidRDefault="009F14CF" w:rsidP="008C24B9">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understanding of “everyone in the community“ in the Rights, Safeguards and Equality of Opportunity chapter is framed more broadly than the understanding of the “people of NI” as it relates to the birthright commitment in the Constitution</w:t>
      </w:r>
      <w:r w:rsidR="00E47685">
        <w:rPr>
          <w:rFonts w:asciiTheme="minorHAnsi" w:hAnsiTheme="minorHAnsi" w:cstheme="minorHAnsi"/>
          <w:sz w:val="18"/>
          <w:szCs w:val="18"/>
        </w:rPr>
        <w:t>al</w:t>
      </w:r>
      <w:r w:rsidRPr="00357FE0">
        <w:rPr>
          <w:rFonts w:asciiTheme="minorHAnsi" w:hAnsiTheme="minorHAnsi" w:cstheme="minorHAnsi"/>
          <w:sz w:val="18"/>
          <w:szCs w:val="18"/>
        </w:rPr>
        <w:t xml:space="preserve"> Issues chapter of the Belfast (Good Friday) Agreement.</w:t>
      </w:r>
    </w:p>
  </w:footnote>
  <w:footnote w:id="42">
    <w:p w14:paraId="45295F20" w14:textId="71422E1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is </w:t>
      </w:r>
      <w:r w:rsidR="00E47685">
        <w:rPr>
          <w:rFonts w:asciiTheme="minorHAnsi" w:hAnsiTheme="minorHAnsi" w:cstheme="minorHAnsi"/>
          <w:sz w:val="18"/>
          <w:szCs w:val="18"/>
        </w:rPr>
        <w:t>explained</w:t>
      </w:r>
      <w:r w:rsidRPr="00357FE0">
        <w:rPr>
          <w:rFonts w:asciiTheme="minorHAnsi" w:hAnsiTheme="minorHAnsi" w:cstheme="minorHAnsi"/>
          <w:sz w:val="18"/>
          <w:szCs w:val="18"/>
        </w:rPr>
        <w:t xml:space="preserve"> further in paragraph 6.18 below. See also NIHRC and ECNI, </w:t>
      </w:r>
      <w:hyperlink r:id="rId41"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Bill</w:t>
        </w:r>
      </w:hyperlink>
      <w:r w:rsidRPr="00357FE0">
        <w:rPr>
          <w:rFonts w:asciiTheme="minorHAnsi" w:hAnsiTheme="minorHAnsi" w:cstheme="minorHAnsi"/>
          <w:sz w:val="18"/>
          <w:szCs w:val="18"/>
        </w:rPr>
        <w:t>’ (NIHRC and ECNI, 2021); NIHRC and ECNI, ‘</w:t>
      </w:r>
      <w:hyperlink r:id="rId42" w:history="1">
        <w:r w:rsidRPr="00357FE0">
          <w:rPr>
            <w:rStyle w:val="Hyperlink"/>
            <w:rFonts w:asciiTheme="minorHAnsi" w:hAnsiTheme="minorHAnsi" w:cstheme="minorHAnsi"/>
            <w:color w:val="auto"/>
            <w:sz w:val="18"/>
            <w:szCs w:val="18"/>
          </w:rPr>
          <w:t>Annual Report of the NIHRC and the ECNI on the implementation of Protocol Article 2 2021 – 2022</w:t>
        </w:r>
      </w:hyperlink>
      <w:r w:rsidRPr="00357FE0">
        <w:rPr>
          <w:rFonts w:asciiTheme="minorHAnsi" w:hAnsiTheme="minorHAnsi" w:cstheme="minorHAnsi"/>
          <w:sz w:val="18"/>
          <w:szCs w:val="18"/>
        </w:rPr>
        <w:t>’ (NIHRC and ECNI 2022), at para 4.131.</w:t>
      </w:r>
    </w:p>
  </w:footnote>
  <w:footnote w:id="43">
    <w:p w14:paraId="5F331A4D" w14:textId="0C3C199E"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For example, the Joint Committee of the NIHRC and IHREC is established as a forum for the consideration of human rights issues on the island of Ireland that are of cross-jurisdictional relevance. This island of Ireland dimension is further reflected in Protocol Article 2(2), which recognises in particular the role of the Joint Committee of the two human rights commissions on the island of Ireland. </w:t>
      </w:r>
    </w:p>
  </w:footnote>
  <w:footnote w:id="44">
    <w:p w14:paraId="4684E758"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43"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color w:val="auto"/>
          <w:sz w:val="18"/>
          <w:szCs w:val="18"/>
        </w:rPr>
        <w:t>, 10 April 1998, Part 6 on Rights, Safeguards and Equality of Opportunity: “The Irish Government will also take steps to further strengthen the protection of rights in its jurisdiction … The measures brought forward would ensure at least an equivalent level of protection of human rights as will pertain in Northern Ireland”.</w:t>
      </w:r>
    </w:p>
  </w:footnote>
  <w:footnote w:id="45">
    <w:p w14:paraId="73ABFFF8" w14:textId="77777777" w:rsidR="009F14CF" w:rsidRPr="00357FE0" w:rsidRDefault="009F14CF" w:rsidP="0002050C">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44" w:history="1">
        <w:r w:rsidRPr="00357FE0">
          <w:rPr>
            <w:rStyle w:val="Hyperlink"/>
            <w:rFonts w:asciiTheme="minorHAnsi" w:hAnsiTheme="minorHAnsi" w:cstheme="minorHAnsi"/>
            <w:color w:val="auto"/>
            <w:sz w:val="18"/>
            <w:szCs w:val="18"/>
          </w:rPr>
          <w:t>Belfast (Good Friday) Agreement</w:t>
        </w:r>
      </w:hyperlink>
      <w:r w:rsidRPr="00357FE0">
        <w:rPr>
          <w:rFonts w:asciiTheme="minorHAnsi" w:hAnsiTheme="minorHAnsi" w:cstheme="minorHAnsi"/>
          <w:sz w:val="18"/>
          <w:szCs w:val="18"/>
        </w:rPr>
        <w:t xml:space="preserve">, 10 April 1998, Part 1 - Declaration of Support. </w:t>
      </w:r>
    </w:p>
  </w:footnote>
  <w:footnote w:id="46">
    <w:p w14:paraId="2887C79A" w14:textId="77777777" w:rsidR="009F14CF" w:rsidRPr="00357FE0" w:rsidRDefault="009F14CF">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Ibid. </w:t>
      </w:r>
    </w:p>
  </w:footnote>
  <w:footnote w:id="47">
    <w:p w14:paraId="7C01382E" w14:textId="1D8ED15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5"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w:t>
      </w:r>
      <w:r w:rsidR="00E47685">
        <w:rPr>
          <w:rFonts w:asciiTheme="minorHAnsi" w:hAnsiTheme="minorHAnsi" w:cstheme="minorHAnsi"/>
          <w:sz w:val="18"/>
          <w:szCs w:val="18"/>
        </w:rPr>
        <w:t>23</w:t>
      </w:r>
      <w:r w:rsidRPr="00357FE0">
        <w:rPr>
          <w:rFonts w:asciiTheme="minorHAnsi" w:hAnsiTheme="minorHAnsi" w:cstheme="minorHAnsi"/>
          <w:sz w:val="18"/>
          <w:szCs w:val="18"/>
        </w:rPr>
        <w:t>.</w:t>
      </w:r>
    </w:p>
  </w:footnote>
  <w:footnote w:id="48">
    <w:p w14:paraId="55D549B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IHREC, ‘Joint Committee of the Irish Human Rights and Equality Commission and the Northern Ireland Human Rights Commission - </w:t>
      </w:r>
      <w:hyperlink r:id="rId46" w:history="1">
        <w:r w:rsidRPr="00357FE0">
          <w:rPr>
            <w:rStyle w:val="Hyperlink"/>
            <w:rFonts w:asciiTheme="minorHAnsi" w:hAnsiTheme="minorHAnsi" w:cstheme="minorHAnsi"/>
            <w:color w:val="auto"/>
            <w:sz w:val="18"/>
            <w:szCs w:val="18"/>
          </w:rPr>
          <w:t>Policy statement</w:t>
        </w:r>
      </w:hyperlink>
      <w:r w:rsidRPr="00357FE0">
        <w:rPr>
          <w:rFonts w:asciiTheme="minorHAnsi" w:hAnsiTheme="minorHAnsi" w:cstheme="minorHAnsi"/>
          <w:sz w:val="18"/>
          <w:szCs w:val="18"/>
        </w:rPr>
        <w:t xml:space="preserve"> on the United Kingdom withdrawal from the European Union’ (NIHRC and IHREC, 2018).</w:t>
      </w:r>
    </w:p>
  </w:footnote>
  <w:footnote w:id="49">
    <w:p w14:paraId="55DE9DA5" w14:textId="2F572C4D" w:rsidR="009F14CF" w:rsidRPr="00357FE0" w:rsidRDefault="009F14CF">
      <w:pPr>
        <w:pStyle w:val="FootnoteText"/>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Protocol on Ireland/Northern Ireland </w:t>
      </w:r>
      <w:r w:rsidR="0017470F" w:rsidRPr="00357FE0">
        <w:rPr>
          <w:rFonts w:asciiTheme="minorHAnsi" w:hAnsiTheme="minorHAnsi" w:cstheme="minorHAnsi"/>
          <w:sz w:val="18"/>
          <w:szCs w:val="18"/>
        </w:rPr>
        <w:t xml:space="preserve">to </w:t>
      </w:r>
      <w:r w:rsidRPr="00357FE0">
        <w:rPr>
          <w:rFonts w:asciiTheme="minorHAnsi" w:hAnsiTheme="minorHAnsi" w:cstheme="minorHAnsi"/>
          <w:sz w:val="18"/>
          <w:szCs w:val="18"/>
        </w:rPr>
        <w:t xml:space="preserve">the </w:t>
      </w:r>
      <w:hyperlink r:id="rId47"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50">
    <w:p w14:paraId="5852A2C6" w14:textId="2F5A4DD8" w:rsidR="009F14CF" w:rsidRPr="00357FE0" w:rsidRDefault="009F14CF" w:rsidP="00FA2F60">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2(2) and Article 14(c) of the Ireland/Northern Ireland Protocol to the </w:t>
      </w:r>
      <w:hyperlink r:id="rId48"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w:t>
      </w:r>
    </w:p>
  </w:footnote>
  <w:footnote w:id="51">
    <w:p w14:paraId="753B6BF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4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12.</w:t>
      </w:r>
    </w:p>
  </w:footnote>
  <w:footnote w:id="52">
    <w:p w14:paraId="03AA652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European Commission, ‘</w:t>
      </w:r>
      <w:hyperlink r:id="rId50" w:history="1">
        <w:r w:rsidRPr="00357FE0">
          <w:rPr>
            <w:rStyle w:val="Hyperlink"/>
            <w:rFonts w:asciiTheme="minorHAnsi" w:hAnsiTheme="minorHAnsi" w:cstheme="minorHAnsi"/>
            <w:color w:val="auto"/>
            <w:sz w:val="18"/>
            <w:szCs w:val="18"/>
          </w:rPr>
          <w:t>Press release</w:t>
        </w:r>
      </w:hyperlink>
      <w:r w:rsidRPr="00357FE0">
        <w:rPr>
          <w:rFonts w:asciiTheme="minorHAnsi" w:hAnsiTheme="minorHAnsi" w:cstheme="minorHAnsi"/>
          <w:sz w:val="18"/>
          <w:szCs w:val="18"/>
        </w:rPr>
        <w:t xml:space="preserve">: Pay Transparency: Commission proposes measures to ensure equal pay for equal work’, 4 March 2021. </w:t>
      </w:r>
    </w:p>
  </w:footnote>
  <w:footnote w:id="53">
    <w:p w14:paraId="3AF79BC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and (2) apply both to the provisions of the Withdrawal Agreement and EU law made applicable by it, whereas the provisions in Article 4 (3-5) apply only to provisions of the Withdrawal Agreement referring to EU Law. ‘Article 4 – Commentary’ in Manuel </w:t>
      </w:r>
      <w:proofErr w:type="spellStart"/>
      <w:r w:rsidRPr="00357FE0">
        <w:rPr>
          <w:rFonts w:asciiTheme="minorHAnsi" w:hAnsiTheme="minorHAnsi" w:cstheme="minorHAnsi"/>
          <w:sz w:val="18"/>
          <w:szCs w:val="18"/>
        </w:rPr>
        <w:t>Kellerbauer</w:t>
      </w:r>
      <w:proofErr w:type="spellEnd"/>
      <w:r w:rsidRPr="00357FE0">
        <w:rPr>
          <w:rFonts w:asciiTheme="minorHAnsi" w:hAnsiTheme="minorHAnsi" w:cstheme="minorHAnsi"/>
          <w:sz w:val="18"/>
          <w:szCs w:val="18"/>
        </w:rPr>
        <w:t xml:space="preserve">, Eugenia </w:t>
      </w:r>
      <w:proofErr w:type="spellStart"/>
      <w:r w:rsidRPr="00357FE0">
        <w:rPr>
          <w:rFonts w:asciiTheme="minorHAnsi" w:hAnsiTheme="minorHAnsi" w:cstheme="minorHAnsi"/>
          <w:sz w:val="18"/>
          <w:szCs w:val="18"/>
        </w:rPr>
        <w:t>Dumitriu-Segnana</w:t>
      </w:r>
      <w:proofErr w:type="spellEnd"/>
      <w:r w:rsidRPr="00357FE0">
        <w:rPr>
          <w:rFonts w:asciiTheme="minorHAnsi" w:hAnsiTheme="minorHAnsi" w:cstheme="minorHAnsi"/>
          <w:sz w:val="18"/>
          <w:szCs w:val="18"/>
        </w:rPr>
        <w:t xml:space="preserve">, and Thomas </w:t>
      </w:r>
      <w:proofErr w:type="spellStart"/>
      <w:r w:rsidRPr="00357FE0">
        <w:rPr>
          <w:rFonts w:asciiTheme="minorHAnsi" w:hAnsiTheme="minorHAnsi" w:cstheme="minorHAnsi"/>
          <w:sz w:val="18"/>
          <w:szCs w:val="18"/>
        </w:rPr>
        <w:t>Liefländer</w:t>
      </w:r>
      <w:proofErr w:type="spellEnd"/>
      <w:r w:rsidRPr="00357FE0">
        <w:rPr>
          <w:rFonts w:asciiTheme="minorHAnsi" w:hAnsiTheme="minorHAnsi" w:cstheme="minorHAnsi"/>
          <w:sz w:val="18"/>
          <w:szCs w:val="18"/>
        </w:rPr>
        <w:t xml:space="preserve"> (ed) ‘The UK-EU Withdrawal Agreement - A Commentary’, (OUP, 2021), at 38.</w:t>
      </w:r>
    </w:p>
  </w:footnote>
  <w:footnote w:id="54">
    <w:p w14:paraId="4820F35F" w14:textId="4B046B6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4(4) and (5), </w:t>
      </w:r>
      <w:hyperlink r:id="rId51"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55">
    <w:p w14:paraId="33254C9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With the exception of the six equality directives in Annex 1, Article 2 sets a standard for ‘no diminution’ defined by the relevant EU standards underpinning the rights, safeguards and equality of opportunity protections in the Belfast (Good Friday) Agreement as they were on 31 December 2020.</w:t>
      </w:r>
    </w:p>
  </w:footnote>
  <w:footnote w:id="56">
    <w:p w14:paraId="38F7345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52"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12.</w:t>
      </w:r>
    </w:p>
  </w:footnote>
  <w:footnote w:id="57">
    <w:p w14:paraId="7E9FA30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13(2) and 13(3), Ireland/Northern Ireland Protocol to the UK-EU Withdrawal Agreement. See also </w:t>
      </w:r>
      <w:r w:rsidRPr="00357FE0">
        <w:rPr>
          <w:rFonts w:asciiTheme="minorHAnsi" w:hAnsiTheme="minorHAnsi" w:cstheme="minorHAnsi"/>
          <w:i/>
          <w:iCs/>
          <w:sz w:val="18"/>
          <w:szCs w:val="18"/>
        </w:rPr>
        <w:t xml:space="preserve">Re </w:t>
      </w:r>
      <w:hyperlink r:id="rId53" w:history="1">
        <w:r w:rsidRPr="00357FE0">
          <w:rPr>
            <w:rStyle w:val="Hyperlink"/>
            <w:rFonts w:asciiTheme="minorHAnsi" w:hAnsiTheme="minorHAnsi" w:cstheme="minorHAnsi"/>
            <w:i/>
            <w:iCs/>
            <w:color w:val="auto"/>
            <w:sz w:val="18"/>
            <w:szCs w:val="18"/>
          </w:rPr>
          <w:t xml:space="preserve">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xml:space="preserve"> at para 93.</w:t>
      </w:r>
    </w:p>
  </w:footnote>
  <w:footnote w:id="58">
    <w:p w14:paraId="4D3E30F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4" w:history="1">
        <w:r w:rsidRPr="00357FE0">
          <w:rPr>
            <w:rStyle w:val="Hyperlink"/>
            <w:rFonts w:asciiTheme="minorHAnsi" w:hAnsiTheme="minorHAnsi" w:cstheme="minorHAnsi"/>
            <w:i/>
            <w:iCs/>
            <w:color w:val="auto"/>
            <w:sz w:val="18"/>
            <w:szCs w:val="18"/>
          </w:rPr>
          <w:t>Re Allister</w:t>
        </w:r>
        <w:r w:rsidRPr="00357FE0">
          <w:rPr>
            <w:rStyle w:val="Hyperlink"/>
            <w:rFonts w:asciiTheme="minorHAnsi" w:hAnsiTheme="minorHAnsi" w:cstheme="minorHAnsi"/>
            <w:color w:val="auto"/>
            <w:sz w:val="18"/>
            <w:szCs w:val="18"/>
          </w:rPr>
          <w:t xml:space="preserve"> [2021] NIQB 64</w:t>
        </w:r>
      </w:hyperlink>
      <w:r w:rsidRPr="00357FE0">
        <w:rPr>
          <w:rFonts w:asciiTheme="minorHAnsi" w:hAnsiTheme="minorHAnsi" w:cstheme="minorHAnsi"/>
          <w:sz w:val="18"/>
          <w:szCs w:val="18"/>
        </w:rPr>
        <w:t>, para 234.</w:t>
      </w:r>
    </w:p>
  </w:footnote>
  <w:footnote w:id="59">
    <w:p w14:paraId="65E8488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CJEU will continue to have roles in relation to articles 5 and 7-10 of the Protocol and Part 2 of the Withdrawal Agreement, which sets out the rules governing the rights of EU citizens in the UK and UK citizens in the EU. </w:t>
      </w:r>
    </w:p>
  </w:footnote>
  <w:footnote w:id="60">
    <w:p w14:paraId="1B32EE4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Internationale </w:t>
      </w:r>
      <w:proofErr w:type="spellStart"/>
      <w:r w:rsidRPr="00357FE0">
        <w:rPr>
          <w:rFonts w:asciiTheme="minorHAnsi" w:hAnsiTheme="minorHAnsi" w:cstheme="minorHAnsi"/>
          <w:i/>
          <w:iCs/>
          <w:sz w:val="18"/>
          <w:szCs w:val="18"/>
        </w:rPr>
        <w:t>Handelsgesellschaft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mbH</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Einfuhr</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Vorratsstelle</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Getreide</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Futtermittel</w:t>
      </w:r>
      <w:proofErr w:type="spellEnd"/>
      <w:r w:rsidRPr="00357FE0">
        <w:rPr>
          <w:rFonts w:asciiTheme="minorHAnsi" w:hAnsiTheme="minorHAnsi" w:cstheme="minorHAnsi"/>
          <w:sz w:val="18"/>
          <w:szCs w:val="18"/>
        </w:rPr>
        <w:t>, Case 11/70, 17 December 1970, at para 4.</w:t>
      </w:r>
    </w:p>
  </w:footnote>
  <w:footnote w:id="61">
    <w:p w14:paraId="0BEC237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Secretary of State for Health (British American Tobacco (Investments) Ltd and Imperial Tobacco Ltd)</w:t>
      </w:r>
      <w:r w:rsidRPr="00357FE0">
        <w:rPr>
          <w:rFonts w:asciiTheme="minorHAnsi" w:hAnsiTheme="minorHAnsi" w:cstheme="minorHAnsi"/>
          <w:sz w:val="18"/>
          <w:szCs w:val="18"/>
        </w:rPr>
        <w:t>, Case 491/01, 10 December 2002.</w:t>
      </w:r>
    </w:p>
  </w:footnote>
  <w:footnote w:id="62">
    <w:p w14:paraId="7D184D0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Kent Kirk</w:t>
      </w:r>
      <w:r w:rsidRPr="00357FE0">
        <w:rPr>
          <w:rFonts w:asciiTheme="minorHAnsi" w:hAnsiTheme="minorHAnsi" w:cstheme="minorHAnsi"/>
          <w:sz w:val="18"/>
          <w:szCs w:val="18"/>
        </w:rPr>
        <w:t>, Case 63/83, 10 July 1984.</w:t>
      </w:r>
    </w:p>
  </w:footnote>
  <w:footnote w:id="63">
    <w:p w14:paraId="284F575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proofErr w:type="spellStart"/>
      <w:r w:rsidRPr="00357FE0">
        <w:rPr>
          <w:rFonts w:asciiTheme="minorHAnsi" w:hAnsiTheme="minorHAnsi" w:cstheme="minorHAnsi"/>
          <w:i/>
          <w:iCs/>
          <w:sz w:val="18"/>
          <w:szCs w:val="18"/>
        </w:rPr>
        <w:t>Dineke</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Algera</w:t>
      </w:r>
      <w:proofErr w:type="spellEnd"/>
      <w:r w:rsidRPr="00357FE0">
        <w:rPr>
          <w:rFonts w:asciiTheme="minorHAnsi" w:hAnsiTheme="minorHAnsi" w:cstheme="minorHAnsi"/>
          <w:i/>
          <w:iCs/>
          <w:sz w:val="18"/>
          <w:szCs w:val="18"/>
        </w:rPr>
        <w:t xml:space="preserve">, Giacomo </w:t>
      </w:r>
      <w:proofErr w:type="spellStart"/>
      <w:r w:rsidRPr="00357FE0">
        <w:rPr>
          <w:rFonts w:asciiTheme="minorHAnsi" w:hAnsiTheme="minorHAnsi" w:cstheme="minorHAnsi"/>
          <w:i/>
          <w:iCs/>
          <w:sz w:val="18"/>
          <w:szCs w:val="18"/>
        </w:rPr>
        <w:t>Cicconardi</w:t>
      </w:r>
      <w:proofErr w:type="spellEnd"/>
      <w:r w:rsidRPr="00357FE0">
        <w:rPr>
          <w:rFonts w:asciiTheme="minorHAnsi" w:hAnsiTheme="minorHAnsi" w:cstheme="minorHAnsi"/>
          <w:i/>
          <w:iCs/>
          <w:sz w:val="18"/>
          <w:szCs w:val="18"/>
        </w:rPr>
        <w:t xml:space="preserve">, Simone </w:t>
      </w:r>
      <w:proofErr w:type="spellStart"/>
      <w:r w:rsidRPr="00357FE0">
        <w:rPr>
          <w:rFonts w:asciiTheme="minorHAnsi" w:hAnsiTheme="minorHAnsi" w:cstheme="minorHAnsi"/>
          <w:i/>
          <w:iCs/>
          <w:sz w:val="18"/>
          <w:szCs w:val="18"/>
        </w:rPr>
        <w:t>Couturaud</w:t>
      </w:r>
      <w:proofErr w:type="spellEnd"/>
      <w:r w:rsidRPr="00357FE0">
        <w:rPr>
          <w:rFonts w:asciiTheme="minorHAnsi" w:hAnsiTheme="minorHAnsi" w:cstheme="minorHAnsi"/>
          <w:i/>
          <w:iCs/>
          <w:sz w:val="18"/>
          <w:szCs w:val="18"/>
        </w:rPr>
        <w:t xml:space="preserve">, Ignazio </w:t>
      </w:r>
      <w:proofErr w:type="spellStart"/>
      <w:r w:rsidRPr="00357FE0">
        <w:rPr>
          <w:rFonts w:asciiTheme="minorHAnsi" w:hAnsiTheme="minorHAnsi" w:cstheme="minorHAnsi"/>
          <w:i/>
          <w:iCs/>
          <w:sz w:val="18"/>
          <w:szCs w:val="18"/>
        </w:rPr>
        <w:t>Genuardi</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Félicie</w:t>
      </w:r>
      <w:proofErr w:type="spellEnd"/>
      <w:r w:rsidRPr="00357FE0">
        <w:rPr>
          <w:rFonts w:asciiTheme="minorHAnsi" w:hAnsiTheme="minorHAnsi" w:cstheme="minorHAnsi"/>
          <w:i/>
          <w:iCs/>
          <w:sz w:val="18"/>
          <w:szCs w:val="18"/>
        </w:rPr>
        <w:t xml:space="preserve"> Steichen v Common Assembly of the European Coal and Steel Community</w:t>
      </w:r>
      <w:r w:rsidRPr="00357FE0">
        <w:rPr>
          <w:rFonts w:asciiTheme="minorHAnsi" w:hAnsiTheme="minorHAnsi" w:cstheme="minorHAnsi"/>
          <w:sz w:val="18"/>
          <w:szCs w:val="18"/>
        </w:rPr>
        <w:t>, Cases 7/56, 3/57-7/57, 12 July 1957</w:t>
      </w:r>
    </w:p>
  </w:footnote>
  <w:footnote w:id="64">
    <w:p w14:paraId="06D56F3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Albert </w:t>
      </w:r>
      <w:proofErr w:type="spellStart"/>
      <w:r w:rsidRPr="00357FE0">
        <w:rPr>
          <w:rFonts w:asciiTheme="minorHAnsi" w:hAnsiTheme="minorHAnsi" w:cstheme="minorHAnsi"/>
          <w:i/>
          <w:iCs/>
          <w:sz w:val="18"/>
          <w:szCs w:val="18"/>
        </w:rPr>
        <w:t>Ruckdeschel</w:t>
      </w:r>
      <w:proofErr w:type="spellEnd"/>
      <w:r w:rsidRPr="00357FE0">
        <w:rPr>
          <w:rFonts w:asciiTheme="minorHAnsi" w:hAnsiTheme="minorHAnsi" w:cstheme="minorHAnsi"/>
          <w:i/>
          <w:iCs/>
          <w:sz w:val="18"/>
          <w:szCs w:val="18"/>
        </w:rPr>
        <w:t xml:space="preserve"> &amp; Co and Hansa-</w:t>
      </w:r>
      <w:proofErr w:type="spellStart"/>
      <w:r w:rsidRPr="00357FE0">
        <w:rPr>
          <w:rFonts w:asciiTheme="minorHAnsi" w:hAnsiTheme="minorHAnsi" w:cstheme="minorHAnsi"/>
          <w:i/>
          <w:iCs/>
          <w:sz w:val="18"/>
          <w:szCs w:val="18"/>
        </w:rPr>
        <w:t>Lagerhaus</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Ströh</w:t>
      </w:r>
      <w:proofErr w:type="spellEnd"/>
      <w:r w:rsidRPr="00357FE0">
        <w:rPr>
          <w:rFonts w:asciiTheme="minorHAnsi" w:hAnsiTheme="minorHAnsi" w:cstheme="minorHAnsi"/>
          <w:i/>
          <w:iCs/>
          <w:sz w:val="18"/>
          <w:szCs w:val="18"/>
        </w:rPr>
        <w:t xml:space="preserve"> &amp; Co v </w:t>
      </w:r>
      <w:proofErr w:type="spellStart"/>
      <w:r w:rsidRPr="00357FE0">
        <w:rPr>
          <w:rFonts w:asciiTheme="minorHAnsi" w:hAnsiTheme="minorHAnsi" w:cstheme="minorHAnsi"/>
          <w:i/>
          <w:iCs/>
          <w:sz w:val="18"/>
          <w:szCs w:val="18"/>
        </w:rPr>
        <w:t>Hauptzollamt</w:t>
      </w:r>
      <w:proofErr w:type="spellEnd"/>
      <w:r w:rsidRPr="00357FE0">
        <w:rPr>
          <w:rFonts w:asciiTheme="minorHAnsi" w:hAnsiTheme="minorHAnsi" w:cstheme="minorHAnsi"/>
          <w:i/>
          <w:iCs/>
          <w:sz w:val="18"/>
          <w:szCs w:val="18"/>
        </w:rPr>
        <w:t xml:space="preserve"> Hamburg-St. </w:t>
      </w:r>
      <w:proofErr w:type="spellStart"/>
      <w:r w:rsidRPr="00357FE0">
        <w:rPr>
          <w:rFonts w:asciiTheme="minorHAnsi" w:hAnsiTheme="minorHAnsi" w:cstheme="minorHAnsi"/>
          <w:i/>
          <w:iCs/>
          <w:sz w:val="18"/>
          <w:szCs w:val="18"/>
        </w:rPr>
        <w:t>Annen</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Diamalt</w:t>
      </w:r>
      <w:proofErr w:type="spellEnd"/>
      <w:r w:rsidRPr="00357FE0">
        <w:rPr>
          <w:rFonts w:asciiTheme="minorHAnsi" w:hAnsiTheme="minorHAnsi" w:cstheme="minorHAnsi"/>
          <w:i/>
          <w:iCs/>
          <w:sz w:val="18"/>
          <w:szCs w:val="18"/>
        </w:rPr>
        <w:t xml:space="preserve"> AG v </w:t>
      </w:r>
      <w:proofErr w:type="spellStart"/>
      <w:r w:rsidRPr="00357FE0">
        <w:rPr>
          <w:rFonts w:asciiTheme="minorHAnsi" w:hAnsiTheme="minorHAnsi" w:cstheme="minorHAnsi"/>
          <w:i/>
          <w:iCs/>
          <w:sz w:val="18"/>
          <w:szCs w:val="18"/>
        </w:rPr>
        <w:t>Hauptzollamt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Itzehoe</w:t>
      </w:r>
      <w:proofErr w:type="spellEnd"/>
      <w:r w:rsidRPr="00357FE0">
        <w:rPr>
          <w:rFonts w:asciiTheme="minorHAnsi" w:hAnsiTheme="minorHAnsi" w:cstheme="minorHAnsi"/>
          <w:sz w:val="18"/>
          <w:szCs w:val="18"/>
        </w:rPr>
        <w:t>, Cases 117/76 and 16/77, 19 October 1977.</w:t>
      </w:r>
    </w:p>
  </w:footnote>
  <w:footnote w:id="65">
    <w:p w14:paraId="4518013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(Alliance for Natural Health and Nutri-Link Ltd) v Secretary of State for Health; R (National Association of Health Stores and Health Food Manufacturers Ltd) v Secretary of State for Health and the National Assembly of Wales</w:t>
      </w:r>
      <w:r w:rsidRPr="00357FE0">
        <w:rPr>
          <w:rFonts w:asciiTheme="minorHAnsi" w:hAnsiTheme="minorHAnsi" w:cstheme="minorHAnsi"/>
          <w:sz w:val="18"/>
          <w:szCs w:val="18"/>
        </w:rPr>
        <w:t>, Cases C-154/04 and 155/04, 12 July 2005.</w:t>
      </w:r>
    </w:p>
  </w:footnote>
  <w:footnote w:id="66">
    <w:p w14:paraId="44F4A22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UK v Commission</w:t>
      </w:r>
      <w:r w:rsidRPr="00357FE0">
        <w:rPr>
          <w:rFonts w:asciiTheme="minorHAnsi" w:hAnsiTheme="minorHAnsi" w:cstheme="minorHAnsi"/>
          <w:sz w:val="18"/>
          <w:szCs w:val="18"/>
        </w:rPr>
        <w:t>, Case-180/96, 5 May 1998.</w:t>
      </w:r>
    </w:p>
  </w:footnote>
  <w:footnote w:id="67">
    <w:p w14:paraId="77FEA5CF" w14:textId="5A92846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 </w:t>
      </w:r>
      <w:hyperlink r:id="rId5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68">
    <w:p w14:paraId="7F2BF400" w14:textId="15505E26"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56"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69">
    <w:p w14:paraId="543CA34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w:t>
      </w:r>
      <w:hyperlink r:id="rId57"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88-90.</w:t>
      </w:r>
    </w:p>
  </w:footnote>
  <w:footnote w:id="70">
    <w:p w14:paraId="3551B23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8"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sz w:val="18"/>
          <w:szCs w:val="18"/>
        </w:rPr>
        <w:t>, 'EU Council Directive on the Implementation of the Principle of Equal Opportunities and Equal Treatment of Men and Women in Matters of Employment and Occupation', 5 July 2006, Recital 3.</w:t>
      </w:r>
    </w:p>
  </w:footnote>
  <w:footnote w:id="71">
    <w:p w14:paraId="1A2DC6E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P v S and Cornwall County Council</w:t>
      </w:r>
      <w:r w:rsidRPr="00357FE0">
        <w:rPr>
          <w:rFonts w:asciiTheme="minorHAnsi" w:hAnsiTheme="minorHAnsi" w:cstheme="minorHAnsi"/>
          <w:sz w:val="18"/>
          <w:szCs w:val="18"/>
        </w:rPr>
        <w:t>, Case C-13/94, 30 April 1996, para 22.</w:t>
      </w:r>
    </w:p>
  </w:footnote>
  <w:footnote w:id="72">
    <w:p w14:paraId="6933B81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59"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sz w:val="18"/>
          <w:szCs w:val="18"/>
        </w:rPr>
        <w:t>, ‘Council Directive on Implementing the Principle of Equal Treatment between Men and Women in the access to and supply of goods and Services’, 13 December 2004.</w:t>
      </w:r>
    </w:p>
  </w:footnote>
  <w:footnote w:id="73">
    <w:p w14:paraId="002980E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60" w:history="1">
        <w:r w:rsidRPr="00357FE0">
          <w:rPr>
            <w:rStyle w:val="Hyperlink"/>
            <w:rFonts w:asciiTheme="minorHAnsi" w:hAnsiTheme="minorHAnsi" w:cstheme="minorHAnsi"/>
            <w:color w:val="auto"/>
            <w:sz w:val="18"/>
            <w:szCs w:val="18"/>
          </w:rPr>
          <w:t>Explanatory Memorandum</w:t>
        </w:r>
      </w:hyperlink>
      <w:r w:rsidRPr="00357FE0">
        <w:rPr>
          <w:rFonts w:asciiTheme="minorHAnsi" w:hAnsiTheme="minorHAnsi" w:cstheme="minorHAnsi"/>
          <w:sz w:val="18"/>
          <w:szCs w:val="18"/>
        </w:rPr>
        <w:t xml:space="preserve"> to the Sex Discrimination (Amendment of Legislation) Regulations SI 2008/963, para 7.3-7.5: “Although the NI Assembly has competence to legislate on this devolved matter, because the First Minister did not agree to the inclusion of references to transgender or gender reassignment in the Northern Ireland Regulations, the First Minister and Deputy First Minister could not reach joint agreement on all of the policy proposals to implement the Gender Directive”.</w:t>
      </w:r>
    </w:p>
  </w:footnote>
  <w:footnote w:id="74">
    <w:p w14:paraId="5343DDA3" w14:textId="771C6CE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Articles 258 and 260 </w:t>
      </w:r>
      <w:hyperlink r:id="rId61" w:history="1">
        <w:r w:rsidRPr="00E74C60">
          <w:rPr>
            <w:rStyle w:val="Hyperlink"/>
            <w:rFonts w:asciiTheme="minorHAnsi" w:hAnsiTheme="minorHAnsi" w:cstheme="minorHAnsi"/>
            <w:color w:val="auto"/>
            <w:sz w:val="18"/>
            <w:szCs w:val="18"/>
          </w:rPr>
          <w:t>Treaty on the Functioning of the EU</w:t>
        </w:r>
      </w:hyperlink>
      <w:r w:rsidRPr="00E74C60">
        <w:rPr>
          <w:rFonts w:asciiTheme="minorHAnsi" w:hAnsiTheme="minorHAnsi" w:cstheme="minorHAnsi"/>
          <w:sz w:val="18"/>
          <w:szCs w:val="18"/>
        </w:rPr>
        <w:t>.</w:t>
      </w:r>
    </w:p>
  </w:footnote>
  <w:footnote w:id="75">
    <w:p w14:paraId="6D9A926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R v Secretary of State for Transport, ex parte Factortame Ltd and Others</w:t>
      </w:r>
      <w:r w:rsidRPr="00357FE0">
        <w:rPr>
          <w:rFonts w:asciiTheme="minorHAnsi" w:hAnsiTheme="minorHAnsi" w:cstheme="minorHAnsi"/>
          <w:sz w:val="18"/>
          <w:szCs w:val="18"/>
        </w:rPr>
        <w:t xml:space="preserve"> (No 2) [1990] UKHL 13</w:t>
      </w:r>
    </w:p>
  </w:footnote>
  <w:footnote w:id="76">
    <w:p w14:paraId="5DEE652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concept of supremacy of EU and the relationship between EU law and national law is complex and for further discussion see Chapter 10 of Craig and de </w:t>
      </w:r>
      <w:proofErr w:type="spellStart"/>
      <w:r w:rsidRPr="00357FE0">
        <w:rPr>
          <w:rFonts w:asciiTheme="minorHAnsi" w:hAnsiTheme="minorHAnsi" w:cstheme="minorHAnsi"/>
          <w:sz w:val="18"/>
          <w:szCs w:val="18"/>
        </w:rPr>
        <w:t>Búrca</w:t>
      </w:r>
      <w:proofErr w:type="spellEnd"/>
      <w:r w:rsidRPr="00357FE0">
        <w:rPr>
          <w:rFonts w:asciiTheme="minorHAnsi" w:hAnsiTheme="minorHAnsi" w:cstheme="minorHAnsi"/>
          <w:sz w:val="18"/>
          <w:szCs w:val="18"/>
        </w:rPr>
        <w:t>,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w:t>
      </w:r>
      <w:proofErr w:type="spellStart"/>
      <w:r w:rsidRPr="00357FE0">
        <w:rPr>
          <w:rFonts w:asciiTheme="minorHAnsi" w:hAnsiTheme="minorHAnsi" w:cstheme="minorHAnsi"/>
          <w:sz w:val="18"/>
          <w:szCs w:val="18"/>
        </w:rPr>
        <w:t>Edn</w:t>
      </w:r>
      <w:proofErr w:type="spellEnd"/>
      <w:r w:rsidRPr="00357FE0">
        <w:rPr>
          <w:rFonts w:asciiTheme="minorHAnsi" w:hAnsiTheme="minorHAnsi" w:cstheme="minorHAnsi"/>
          <w:sz w:val="18"/>
          <w:szCs w:val="18"/>
        </w:rPr>
        <w:t xml:space="preserve">)(OUP, 2020), at 314ff. </w:t>
      </w:r>
    </w:p>
  </w:footnote>
  <w:footnote w:id="77">
    <w:p w14:paraId="1DAAB7B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This is discussed further below in Section 6 of this working paper on Individual Redress and Direct Effect.  As noted by Craig and de </w:t>
      </w:r>
      <w:proofErr w:type="spellStart"/>
      <w:r w:rsidRPr="00357FE0">
        <w:rPr>
          <w:rFonts w:asciiTheme="minorHAnsi" w:hAnsiTheme="minorHAnsi" w:cstheme="minorHAnsi"/>
          <w:sz w:val="18"/>
          <w:szCs w:val="18"/>
        </w:rPr>
        <w:t>Búrca</w:t>
      </w:r>
      <w:proofErr w:type="spellEnd"/>
      <w:r w:rsidRPr="00357FE0">
        <w:rPr>
          <w:rFonts w:asciiTheme="minorHAnsi" w:hAnsiTheme="minorHAnsi" w:cstheme="minorHAnsi"/>
          <w:sz w:val="18"/>
          <w:szCs w:val="18"/>
        </w:rPr>
        <w:t xml:space="preserve">, the distinction between horizontal and vertical application of directives has led the CJEU to develop a complex jurisprudence which allow for directives to impact on national law, even where they do not have direct effect, including a broad definition of the state, doctrine of indirect effect and incidental horizontal effects.  In addition, the CJEU has found that general principles and rights in the EU charter can have direct effect and the content of those rights can be informed by a directive (Craig and de </w:t>
      </w:r>
      <w:proofErr w:type="spellStart"/>
      <w:r w:rsidRPr="00357FE0">
        <w:rPr>
          <w:rFonts w:asciiTheme="minorHAnsi" w:hAnsiTheme="minorHAnsi" w:cstheme="minorHAnsi"/>
          <w:sz w:val="18"/>
          <w:szCs w:val="18"/>
        </w:rPr>
        <w:t>Búrca</w:t>
      </w:r>
      <w:proofErr w:type="spellEnd"/>
      <w:r w:rsidRPr="00357FE0">
        <w:rPr>
          <w:rFonts w:asciiTheme="minorHAnsi" w:hAnsiTheme="minorHAnsi" w:cstheme="minorHAnsi"/>
          <w:sz w:val="18"/>
          <w:szCs w:val="18"/>
        </w:rPr>
        <w:t>,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w:t>
      </w:r>
      <w:proofErr w:type="spellStart"/>
      <w:r w:rsidRPr="00357FE0">
        <w:rPr>
          <w:rFonts w:asciiTheme="minorHAnsi" w:hAnsiTheme="minorHAnsi" w:cstheme="minorHAnsi"/>
          <w:sz w:val="18"/>
          <w:szCs w:val="18"/>
        </w:rPr>
        <w:t>Edn</w:t>
      </w:r>
      <w:proofErr w:type="spellEnd"/>
      <w:r w:rsidRPr="00357FE0">
        <w:rPr>
          <w:rFonts w:asciiTheme="minorHAnsi" w:hAnsiTheme="minorHAnsi" w:cstheme="minorHAnsi"/>
          <w:sz w:val="18"/>
          <w:szCs w:val="18"/>
        </w:rPr>
        <w:t xml:space="preserve">)(OUP, 2020), at  227-228).  </w:t>
      </w:r>
    </w:p>
  </w:footnote>
  <w:footnote w:id="78">
    <w:p w14:paraId="3956FD0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1, </w:t>
      </w:r>
      <w:hyperlink r:id="rId62"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w:t>
      </w:r>
    </w:p>
  </w:footnote>
  <w:footnote w:id="79">
    <w:p w14:paraId="5936316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2-4, </w:t>
      </w:r>
      <w:hyperlink r:id="rId63"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 xml:space="preserve">. </w:t>
      </w:r>
    </w:p>
  </w:footnote>
  <w:footnote w:id="80">
    <w:p w14:paraId="0F118B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further discussion of the relationship between Retained EU law and Article 2, see NIHRC and ECNI, ‘</w:t>
      </w:r>
      <w:hyperlink r:id="rId64" w:history="1">
        <w:r w:rsidRPr="00357FE0">
          <w:rPr>
            <w:rStyle w:val="Hyperlink"/>
            <w:rFonts w:asciiTheme="minorHAnsi" w:hAnsiTheme="minorHAnsi" w:cstheme="minorHAnsi"/>
            <w:color w:val="auto"/>
            <w:sz w:val="18"/>
            <w:szCs w:val="18"/>
          </w:rPr>
          <w:t>Submission of the NIHRC and ECNI to the European Scrutiny Committee Inquiry on Retained EU Law</w:t>
        </w:r>
      </w:hyperlink>
      <w:r w:rsidRPr="00357FE0">
        <w:rPr>
          <w:rFonts w:asciiTheme="minorHAnsi" w:hAnsiTheme="minorHAnsi" w:cstheme="minorHAnsi"/>
          <w:sz w:val="18"/>
          <w:szCs w:val="18"/>
        </w:rPr>
        <w:t>’ (NIHRC and ECNI, 2022).</w:t>
      </w:r>
    </w:p>
  </w:footnote>
  <w:footnote w:id="81">
    <w:p w14:paraId="2F12C3CF" w14:textId="77777777" w:rsidR="009F14CF" w:rsidRPr="00357FE0" w:rsidRDefault="009F14CF" w:rsidP="001317C1">
      <w:pPr>
        <w:pStyle w:val="FootnoteText"/>
        <w:spacing w:line="240" w:lineRule="auto"/>
        <w:rPr>
          <w:rFonts w:asciiTheme="minorHAnsi" w:hAnsiTheme="minorHAnsi" w:cstheme="minorHAnsi"/>
          <w:sz w:val="18"/>
          <w:szCs w:val="18"/>
        </w:rPr>
      </w:pPr>
      <w:r w:rsidRPr="00E47685">
        <w:rPr>
          <w:rStyle w:val="FootnoteReference"/>
          <w:rFonts w:asciiTheme="minorHAnsi" w:hAnsiTheme="minorHAnsi" w:cstheme="minorHAnsi"/>
          <w:sz w:val="18"/>
          <w:szCs w:val="18"/>
        </w:rPr>
        <w:footnoteRef/>
      </w:r>
      <w:r w:rsidRPr="00E47685">
        <w:rPr>
          <w:rFonts w:asciiTheme="minorHAnsi" w:hAnsiTheme="minorHAnsi" w:cstheme="minorHAnsi"/>
          <w:sz w:val="18"/>
          <w:szCs w:val="18"/>
        </w:rPr>
        <w:t xml:space="preserve"> </w:t>
      </w:r>
      <w:r w:rsidRPr="00D84F99">
        <w:rPr>
          <w:rFonts w:asciiTheme="minorHAnsi" w:hAnsiTheme="minorHAnsi" w:cstheme="minorHAnsi"/>
          <w:sz w:val="18"/>
          <w:szCs w:val="18"/>
        </w:rPr>
        <w:t>As noted in para 4.8 above.</w:t>
      </w:r>
      <w:r w:rsidRPr="00357FE0">
        <w:rPr>
          <w:rFonts w:asciiTheme="minorHAnsi" w:hAnsiTheme="minorHAnsi" w:cstheme="minorHAnsi"/>
          <w:sz w:val="18"/>
          <w:szCs w:val="18"/>
        </w:rPr>
        <w:t xml:space="preserve"> </w:t>
      </w:r>
    </w:p>
  </w:footnote>
  <w:footnote w:id="82">
    <w:p w14:paraId="7DEEA1BB" w14:textId="14E7F5E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section 6 below for further discussion of how the UK-EU Withdrawal Agreement provides the architecture for Protocol Article 2, including supremacy, direct effect and the role of the courts and </w:t>
      </w:r>
      <w:r w:rsidR="00357A0A">
        <w:rPr>
          <w:rFonts w:asciiTheme="minorHAnsi" w:hAnsiTheme="minorHAnsi" w:cstheme="minorHAnsi"/>
          <w:sz w:val="18"/>
          <w:szCs w:val="18"/>
        </w:rPr>
        <w:t>any impact upon</w:t>
      </w:r>
      <w:r w:rsidRPr="00357FE0">
        <w:rPr>
          <w:rFonts w:asciiTheme="minorHAnsi" w:hAnsiTheme="minorHAnsi" w:cstheme="minorHAnsi"/>
          <w:sz w:val="18"/>
          <w:szCs w:val="18"/>
        </w:rPr>
        <w:t xml:space="preserve"> EU law underpinning the rights, safeguards and equality of opportunity protections in the relevant part of the Belfast (Good Friday) Agreement.</w:t>
      </w:r>
    </w:p>
  </w:footnote>
  <w:footnote w:id="83">
    <w:p w14:paraId="46BF725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4(2) provides as follows: “The UK-EU Withdrawal Agreement.  The United Kingdom shall ensure compliance with paragraph 1, including as regards the required powers of its judicial and administrative authorities to disapply inconsistent or incompatible domestic provisions, through domestic primary legislation.”</w:t>
      </w:r>
    </w:p>
  </w:footnote>
  <w:footnote w:id="84">
    <w:p w14:paraId="3992C46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4(3)-(5) provide as follows “3. The provisions of this Agreement referring to Union law or to concepts or provisions thereof shall be interpreted and applied in accordance with the methods and general principles of Union law.</w:t>
      </w:r>
    </w:p>
    <w:p w14:paraId="4E8692B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Fonts w:asciiTheme="minorHAnsi" w:hAnsiTheme="minorHAnsi" w:cstheme="minorHAnsi"/>
          <w:sz w:val="18"/>
          <w:szCs w:val="18"/>
        </w:rPr>
        <w:t>“4. The provisions of this Agreement referring to Union law or to concepts or provisions thereof shall in their implementation and application be interpreted in conformity with the relevant case law of the Court of Justice of the European Union handed down before the end of the transition period.</w:t>
      </w:r>
    </w:p>
    <w:p w14:paraId="1BB75FC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Fonts w:asciiTheme="minorHAnsi" w:hAnsiTheme="minorHAnsi" w:cstheme="minorHAnsi"/>
          <w:sz w:val="18"/>
          <w:szCs w:val="18"/>
        </w:rPr>
        <w:t>“5. In the interpretation and application of this Agreement, the United Kingdom's judicial and administrative authorities shall have due regard to relevant case law of the Court of Justice of the European Union handed down after the end of the transition period.”</w:t>
      </w:r>
    </w:p>
  </w:footnote>
  <w:footnote w:id="85">
    <w:p w14:paraId="64E150D1"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Manuel </w:t>
      </w:r>
      <w:proofErr w:type="spellStart"/>
      <w:r w:rsidRPr="00357FE0">
        <w:rPr>
          <w:rFonts w:asciiTheme="minorHAnsi" w:hAnsiTheme="minorHAnsi" w:cstheme="minorHAnsi"/>
          <w:sz w:val="18"/>
          <w:szCs w:val="18"/>
        </w:rPr>
        <w:t>Kellerbauer</w:t>
      </w:r>
      <w:proofErr w:type="spellEnd"/>
      <w:r w:rsidRPr="00357FE0">
        <w:rPr>
          <w:rFonts w:asciiTheme="minorHAnsi" w:hAnsiTheme="minorHAnsi" w:cstheme="minorHAnsi"/>
          <w:sz w:val="18"/>
          <w:szCs w:val="18"/>
        </w:rPr>
        <w:t xml:space="preserve">, Eugenia </w:t>
      </w:r>
      <w:proofErr w:type="spellStart"/>
      <w:r w:rsidRPr="00357FE0">
        <w:rPr>
          <w:rFonts w:asciiTheme="minorHAnsi" w:hAnsiTheme="minorHAnsi" w:cstheme="minorHAnsi"/>
          <w:sz w:val="18"/>
          <w:szCs w:val="18"/>
        </w:rPr>
        <w:t>Dumitriu-Segnana</w:t>
      </w:r>
      <w:proofErr w:type="spellEnd"/>
      <w:r w:rsidRPr="00357FE0">
        <w:rPr>
          <w:rFonts w:asciiTheme="minorHAnsi" w:hAnsiTheme="minorHAnsi" w:cstheme="minorHAnsi"/>
          <w:sz w:val="18"/>
          <w:szCs w:val="18"/>
        </w:rPr>
        <w:t xml:space="preserve">, and Thomas </w:t>
      </w:r>
      <w:proofErr w:type="spellStart"/>
      <w:r w:rsidRPr="00357FE0">
        <w:rPr>
          <w:rFonts w:asciiTheme="minorHAnsi" w:hAnsiTheme="minorHAnsi" w:cstheme="minorHAnsi"/>
          <w:sz w:val="18"/>
          <w:szCs w:val="18"/>
        </w:rPr>
        <w:t>Liefländer</w:t>
      </w:r>
      <w:proofErr w:type="spellEnd"/>
      <w:r w:rsidRPr="00357FE0">
        <w:rPr>
          <w:rFonts w:asciiTheme="minorHAnsi" w:hAnsiTheme="minorHAnsi" w:cstheme="minorHAnsi"/>
          <w:sz w:val="18"/>
          <w:szCs w:val="18"/>
        </w:rPr>
        <w:t xml:space="preserve"> (ed) ‘The UK-EU Withdrawal Agreement - A Commentary’ (OUP, 2021), at 38. </w:t>
      </w:r>
    </w:p>
  </w:footnote>
  <w:footnote w:id="86">
    <w:p w14:paraId="32E65CB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6(2)(ca), </w:t>
      </w:r>
      <w:hyperlink r:id="rId65"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87">
    <w:p w14:paraId="4A8066F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24(1)(aa), </w:t>
      </w:r>
      <w:hyperlink r:id="rId66"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88">
    <w:p w14:paraId="3AFB2DA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38, </w:t>
      </w:r>
      <w:hyperlink r:id="rId67" w:history="1">
        <w:r w:rsidRPr="00357FE0">
          <w:rPr>
            <w:rStyle w:val="Hyperlink"/>
            <w:rFonts w:asciiTheme="minorHAnsi" w:hAnsiTheme="minorHAnsi" w:cstheme="minorHAnsi"/>
            <w:color w:val="auto"/>
            <w:sz w:val="18"/>
            <w:szCs w:val="18"/>
          </w:rPr>
          <w:t>EU (Withdrawal Agreement) Act 2020</w:t>
        </w:r>
      </w:hyperlink>
      <w:r w:rsidRPr="00357FE0">
        <w:rPr>
          <w:rFonts w:asciiTheme="minorHAnsi" w:hAnsiTheme="minorHAnsi" w:cstheme="minorHAnsi"/>
          <w:sz w:val="18"/>
          <w:szCs w:val="18"/>
        </w:rPr>
        <w:t xml:space="preserve"> reiterates that the UK Parliament is sovereign and its sovereignty subsists notwithstanding “directly applicable or directly effective EU law” and section 7A of the EU (Withdrawal) Act 2018. For example, the UK Government, in provisions that were later removed in the legislative process, sought to “breach international law in a specific and limited way” in the UK Internal Market Bill by introducing measures which would have contradicted the UK-EU Withdrawal Agreement.</w:t>
      </w:r>
    </w:p>
  </w:footnote>
  <w:footnote w:id="89">
    <w:p w14:paraId="51135FA5" w14:textId="75076A24"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166, </w:t>
      </w:r>
      <w:hyperlink r:id="rId68"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 xml:space="preserve">. The Specialised Committee on the implementation of the Protocol can consider any matter of relevance to Article 2 brought to its attention by the Commissions and the Joint Committee of representatives of the NIHRC and IHREC (Article 14, Ireland/Northern Ireland Protocol). The Specialised Committee may draft decisions and recommendations and refer them to the Joint Committee for adoption (Article 165, </w:t>
      </w:r>
      <w:hyperlink r:id="rId69"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 xml:space="preserve">). </w:t>
      </w:r>
    </w:p>
  </w:footnote>
  <w:footnote w:id="90">
    <w:p w14:paraId="6F492012" w14:textId="6589ED6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164-161</w:t>
      </w:r>
      <w:r w:rsidR="00C34869" w:rsidRPr="00357FE0">
        <w:rPr>
          <w:rFonts w:asciiTheme="minorHAnsi" w:hAnsiTheme="minorHAnsi" w:cstheme="minorHAnsi"/>
          <w:sz w:val="18"/>
          <w:szCs w:val="18"/>
        </w:rPr>
        <w:t>,</w:t>
      </w:r>
      <w:r w:rsidRPr="00357FE0">
        <w:rPr>
          <w:rFonts w:asciiTheme="minorHAnsi" w:hAnsiTheme="minorHAnsi" w:cstheme="minorHAnsi"/>
          <w:sz w:val="18"/>
          <w:szCs w:val="18"/>
        </w:rPr>
        <w:t xml:space="preserve"> </w:t>
      </w:r>
      <w:hyperlink r:id="rId70"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Article 174 clarifies that where any question on the interpretation of an EU law concept is raised in arbitration, it shall be referred to CJEU to give a ruling on that question and that ruling will be binding on the arbitration panel. </w:t>
      </w:r>
    </w:p>
  </w:footnote>
  <w:footnote w:id="91">
    <w:p w14:paraId="6360384A" w14:textId="4938526A"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71"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92">
    <w:p w14:paraId="7D5C627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2" w:name="_Hlk86855977"/>
      <w:r w:rsidRPr="00357FE0">
        <w:rPr>
          <w:rFonts w:asciiTheme="minorHAnsi" w:hAnsiTheme="minorHAnsi" w:cstheme="minorHAnsi"/>
          <w:sz w:val="18"/>
          <w:szCs w:val="18"/>
        </w:rPr>
        <w:t>NI Office, ‘</w:t>
      </w:r>
      <w:hyperlink r:id="rId72"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w:t>
      </w:r>
      <w:bookmarkEnd w:id="42"/>
      <w:r w:rsidRPr="00357FE0">
        <w:rPr>
          <w:rFonts w:asciiTheme="minorHAnsi" w:hAnsiTheme="minorHAnsi" w:cstheme="minorHAnsi"/>
          <w:sz w:val="18"/>
          <w:szCs w:val="18"/>
        </w:rPr>
        <w:t>6.</w:t>
      </w:r>
    </w:p>
  </w:footnote>
  <w:footnote w:id="93">
    <w:p w14:paraId="5C3B8664" w14:textId="7FE9CA59"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w:t>
      </w:r>
      <w:hyperlink r:id="rId73"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 xml:space="preserve">. </w:t>
      </w:r>
    </w:p>
  </w:footnote>
  <w:footnote w:id="94">
    <w:p w14:paraId="729F85AA" w14:textId="29731441"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4(2), </w:t>
      </w:r>
      <w:hyperlink r:id="rId74"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95">
    <w:p w14:paraId="6CD7B4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Daniel Adam </w:t>
      </w:r>
      <w:proofErr w:type="spellStart"/>
      <w:r w:rsidRPr="00357FE0">
        <w:rPr>
          <w:rFonts w:asciiTheme="minorHAnsi" w:hAnsiTheme="minorHAnsi" w:cstheme="minorHAnsi"/>
          <w:i/>
          <w:iCs/>
          <w:sz w:val="18"/>
          <w:szCs w:val="18"/>
        </w:rPr>
        <w:t>Popławski</w:t>
      </w:r>
      <w:proofErr w:type="spellEnd"/>
      <w:r w:rsidRPr="00357FE0">
        <w:rPr>
          <w:rFonts w:asciiTheme="minorHAnsi" w:hAnsiTheme="minorHAnsi" w:cstheme="minorHAnsi"/>
          <w:i/>
          <w:iCs/>
          <w:sz w:val="18"/>
          <w:szCs w:val="18"/>
        </w:rPr>
        <w:t xml:space="preserve"> (European Arrest Warrant)</w:t>
      </w:r>
      <w:r w:rsidRPr="00357FE0">
        <w:rPr>
          <w:rFonts w:asciiTheme="minorHAnsi" w:hAnsiTheme="minorHAnsi" w:cstheme="minorHAnsi"/>
          <w:sz w:val="18"/>
          <w:szCs w:val="18"/>
        </w:rPr>
        <w:t xml:space="preserve">, C-573/17, 24 June 2019, at para 59-65; </w:t>
      </w:r>
      <w:proofErr w:type="spellStart"/>
      <w:r w:rsidRPr="00357FE0">
        <w:rPr>
          <w:rFonts w:asciiTheme="minorHAnsi" w:hAnsiTheme="minorHAnsi" w:cstheme="minorHAnsi"/>
          <w:i/>
          <w:iCs/>
          <w:sz w:val="18"/>
          <w:szCs w:val="18"/>
        </w:rPr>
        <w:t>Flaminio</w:t>
      </w:r>
      <w:proofErr w:type="spellEnd"/>
      <w:r w:rsidRPr="00357FE0">
        <w:rPr>
          <w:rFonts w:asciiTheme="minorHAnsi" w:hAnsiTheme="minorHAnsi" w:cstheme="minorHAnsi"/>
          <w:i/>
          <w:iCs/>
          <w:sz w:val="18"/>
          <w:szCs w:val="18"/>
        </w:rPr>
        <w:t xml:space="preserve"> Costa v ENEL</w:t>
      </w:r>
      <w:r w:rsidRPr="00357FE0">
        <w:rPr>
          <w:rFonts w:asciiTheme="minorHAnsi" w:hAnsiTheme="minorHAnsi" w:cstheme="minorHAnsi"/>
          <w:sz w:val="18"/>
          <w:szCs w:val="18"/>
        </w:rPr>
        <w:t xml:space="preserve">, Case 6/64, 15 July 1964; </w:t>
      </w:r>
      <w:r w:rsidRPr="00357FE0">
        <w:rPr>
          <w:rFonts w:asciiTheme="minorHAnsi" w:hAnsiTheme="minorHAnsi" w:cstheme="minorHAnsi"/>
          <w:i/>
          <w:iCs/>
          <w:sz w:val="18"/>
          <w:szCs w:val="18"/>
        </w:rPr>
        <w:t xml:space="preserve">Internationale </w:t>
      </w:r>
      <w:proofErr w:type="spellStart"/>
      <w:r w:rsidRPr="00357FE0">
        <w:rPr>
          <w:rFonts w:asciiTheme="minorHAnsi" w:hAnsiTheme="minorHAnsi" w:cstheme="minorHAnsi"/>
          <w:i/>
          <w:iCs/>
          <w:sz w:val="18"/>
          <w:szCs w:val="18"/>
        </w:rPr>
        <w:t>Handelsgesellschaft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mbH</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Einfuhr</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Vorratsstelle</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Getreide</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Futtermittel</w:t>
      </w:r>
      <w:proofErr w:type="spellEnd"/>
      <w:r w:rsidRPr="00357FE0">
        <w:rPr>
          <w:rFonts w:asciiTheme="minorHAnsi" w:hAnsiTheme="minorHAnsi" w:cstheme="minorHAnsi"/>
          <w:sz w:val="18"/>
          <w:szCs w:val="18"/>
        </w:rPr>
        <w:t xml:space="preserve">, Case 11/70, 17 December 1970, at para 3; </w:t>
      </w:r>
      <w:proofErr w:type="spellStart"/>
      <w:r w:rsidRPr="00D84F99">
        <w:rPr>
          <w:rFonts w:asciiTheme="minorHAnsi" w:hAnsiTheme="minorHAnsi" w:cstheme="minorHAnsi"/>
          <w:i/>
          <w:iCs/>
          <w:sz w:val="18"/>
          <w:szCs w:val="18"/>
        </w:rPr>
        <w:t>Amministrazione</w:t>
      </w:r>
      <w:proofErr w:type="spellEnd"/>
      <w:r w:rsidRPr="00D84F99">
        <w:rPr>
          <w:rFonts w:asciiTheme="minorHAnsi" w:hAnsiTheme="minorHAnsi" w:cstheme="minorHAnsi"/>
          <w:i/>
          <w:iCs/>
          <w:sz w:val="18"/>
          <w:szCs w:val="18"/>
        </w:rPr>
        <w:t xml:space="preserve"> </w:t>
      </w:r>
      <w:proofErr w:type="spellStart"/>
      <w:r w:rsidRPr="00D84F99">
        <w:rPr>
          <w:rFonts w:asciiTheme="minorHAnsi" w:hAnsiTheme="minorHAnsi" w:cstheme="minorHAnsi"/>
          <w:i/>
          <w:iCs/>
          <w:sz w:val="18"/>
          <w:szCs w:val="18"/>
        </w:rPr>
        <w:t>delle</w:t>
      </w:r>
      <w:proofErr w:type="spellEnd"/>
      <w:r w:rsidRPr="00D84F99">
        <w:rPr>
          <w:rFonts w:asciiTheme="minorHAnsi" w:hAnsiTheme="minorHAnsi" w:cstheme="minorHAnsi"/>
          <w:i/>
          <w:iCs/>
          <w:sz w:val="18"/>
          <w:szCs w:val="18"/>
        </w:rPr>
        <w:t xml:space="preserve"> </w:t>
      </w:r>
      <w:proofErr w:type="spellStart"/>
      <w:r w:rsidRPr="00D84F99">
        <w:rPr>
          <w:rFonts w:asciiTheme="minorHAnsi" w:hAnsiTheme="minorHAnsi" w:cstheme="minorHAnsi"/>
          <w:i/>
          <w:iCs/>
          <w:sz w:val="18"/>
          <w:szCs w:val="18"/>
        </w:rPr>
        <w:t>Finanze</w:t>
      </w:r>
      <w:proofErr w:type="spellEnd"/>
      <w:r w:rsidRPr="00D84F99">
        <w:rPr>
          <w:rFonts w:asciiTheme="minorHAnsi" w:hAnsiTheme="minorHAnsi" w:cstheme="minorHAnsi"/>
          <w:i/>
          <w:iCs/>
          <w:sz w:val="18"/>
          <w:szCs w:val="18"/>
        </w:rPr>
        <w:t xml:space="preserve"> </w:t>
      </w:r>
      <w:proofErr w:type="spellStart"/>
      <w:r w:rsidRPr="00D84F99">
        <w:rPr>
          <w:rFonts w:asciiTheme="minorHAnsi" w:hAnsiTheme="minorHAnsi" w:cstheme="minorHAnsi"/>
          <w:i/>
          <w:iCs/>
          <w:sz w:val="18"/>
          <w:szCs w:val="18"/>
        </w:rPr>
        <w:t>dello</w:t>
      </w:r>
      <w:proofErr w:type="spellEnd"/>
      <w:r w:rsidRPr="00D84F99">
        <w:rPr>
          <w:rFonts w:asciiTheme="minorHAnsi" w:hAnsiTheme="minorHAnsi" w:cstheme="minorHAnsi"/>
          <w:i/>
          <w:iCs/>
          <w:sz w:val="18"/>
          <w:szCs w:val="18"/>
        </w:rPr>
        <w:t xml:space="preserve"> </w:t>
      </w:r>
      <w:proofErr w:type="spellStart"/>
      <w:r w:rsidRPr="00D84F99">
        <w:rPr>
          <w:rFonts w:asciiTheme="minorHAnsi" w:hAnsiTheme="minorHAnsi" w:cstheme="minorHAnsi"/>
          <w:i/>
          <w:iCs/>
          <w:sz w:val="18"/>
          <w:szCs w:val="18"/>
        </w:rPr>
        <w:t>Stato</w:t>
      </w:r>
      <w:proofErr w:type="spellEnd"/>
      <w:r w:rsidRPr="00D84F99">
        <w:rPr>
          <w:rFonts w:asciiTheme="minorHAnsi" w:hAnsiTheme="minorHAnsi" w:cstheme="minorHAnsi"/>
          <w:i/>
          <w:iCs/>
          <w:sz w:val="18"/>
          <w:szCs w:val="18"/>
        </w:rPr>
        <w:t xml:space="preserve"> v </w:t>
      </w:r>
      <w:proofErr w:type="spellStart"/>
      <w:r w:rsidRPr="00D84F99">
        <w:rPr>
          <w:rFonts w:asciiTheme="minorHAnsi" w:hAnsiTheme="minorHAnsi" w:cstheme="minorHAnsi"/>
          <w:i/>
          <w:iCs/>
          <w:sz w:val="18"/>
          <w:szCs w:val="18"/>
        </w:rPr>
        <w:t>Simmenthal</w:t>
      </w:r>
      <w:proofErr w:type="spellEnd"/>
      <w:r w:rsidRPr="00D84F99">
        <w:rPr>
          <w:rFonts w:asciiTheme="minorHAnsi" w:hAnsiTheme="minorHAnsi" w:cstheme="minorHAnsi"/>
          <w:i/>
          <w:iCs/>
          <w:sz w:val="18"/>
          <w:szCs w:val="18"/>
        </w:rPr>
        <w:t xml:space="preserve"> </w:t>
      </w:r>
      <w:proofErr w:type="spellStart"/>
      <w:r w:rsidRPr="00D84F99">
        <w:rPr>
          <w:rFonts w:asciiTheme="minorHAnsi" w:hAnsiTheme="minorHAnsi" w:cstheme="minorHAnsi"/>
          <w:i/>
          <w:iCs/>
          <w:sz w:val="18"/>
          <w:szCs w:val="18"/>
        </w:rPr>
        <w:t>SpA</w:t>
      </w:r>
      <w:proofErr w:type="spellEnd"/>
      <w:r w:rsidRPr="00357FE0">
        <w:rPr>
          <w:rFonts w:asciiTheme="minorHAnsi" w:hAnsiTheme="minorHAnsi" w:cstheme="minorHAnsi"/>
          <w:sz w:val="18"/>
          <w:szCs w:val="18"/>
        </w:rPr>
        <w:t xml:space="preserve">, Case 106/77, 9 March 1978.  The CJEU has adopted a number of tools to mitigate the impact of the decision to deny horizontal direct effect to Directives, including an expansive concept of the state, the principle of harmonious interpretation and through the use of general principles – see Craig and de </w:t>
      </w:r>
      <w:proofErr w:type="spellStart"/>
      <w:r w:rsidRPr="00357FE0">
        <w:rPr>
          <w:rFonts w:asciiTheme="minorHAnsi" w:hAnsiTheme="minorHAnsi" w:cstheme="minorHAnsi"/>
          <w:sz w:val="18"/>
          <w:szCs w:val="18"/>
        </w:rPr>
        <w:t>Búrca</w:t>
      </w:r>
      <w:proofErr w:type="spellEnd"/>
      <w:r w:rsidRPr="00357FE0">
        <w:rPr>
          <w:rFonts w:asciiTheme="minorHAnsi" w:hAnsiTheme="minorHAnsi" w:cstheme="minorHAnsi"/>
          <w:sz w:val="18"/>
          <w:szCs w:val="18"/>
        </w:rPr>
        <w:t>, ‘EU Law: Texts, Cases and Materials – UK Version’ (7</w:t>
      </w:r>
      <w:r w:rsidRPr="00357FE0">
        <w:rPr>
          <w:rFonts w:asciiTheme="minorHAnsi" w:hAnsiTheme="minorHAnsi" w:cstheme="minorHAnsi"/>
          <w:sz w:val="18"/>
          <w:szCs w:val="18"/>
          <w:vertAlign w:val="superscript"/>
        </w:rPr>
        <w:t>th</w:t>
      </w:r>
      <w:r w:rsidRPr="00357FE0">
        <w:rPr>
          <w:rFonts w:asciiTheme="minorHAnsi" w:hAnsiTheme="minorHAnsi" w:cstheme="minorHAnsi"/>
          <w:sz w:val="18"/>
          <w:szCs w:val="18"/>
        </w:rPr>
        <w:t xml:space="preserve"> </w:t>
      </w:r>
      <w:proofErr w:type="spellStart"/>
      <w:r w:rsidRPr="00357FE0">
        <w:rPr>
          <w:rFonts w:asciiTheme="minorHAnsi" w:hAnsiTheme="minorHAnsi" w:cstheme="minorHAnsi"/>
          <w:sz w:val="18"/>
          <w:szCs w:val="18"/>
        </w:rPr>
        <w:t>Edn</w:t>
      </w:r>
      <w:proofErr w:type="spellEnd"/>
      <w:r w:rsidRPr="00357FE0">
        <w:rPr>
          <w:rFonts w:asciiTheme="minorHAnsi" w:hAnsiTheme="minorHAnsi" w:cstheme="minorHAnsi"/>
          <w:sz w:val="18"/>
          <w:szCs w:val="18"/>
        </w:rPr>
        <w:t xml:space="preserve">)(OUP, 2020), at 243ff. </w:t>
      </w:r>
    </w:p>
  </w:footnote>
  <w:footnote w:id="96">
    <w:p w14:paraId="2A3C579A" w14:textId="68B11989" w:rsidR="009F14CF" w:rsidRPr="00357FE0" w:rsidRDefault="009F14CF" w:rsidP="001317C1">
      <w:pPr>
        <w:pStyle w:val="Default"/>
        <w:rPr>
          <w:rFonts w:asciiTheme="minorHAnsi" w:eastAsia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Article 4(1), </w:t>
      </w:r>
      <w:hyperlink r:id="rId7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color w:val="auto"/>
          <w:sz w:val="18"/>
          <w:szCs w:val="18"/>
        </w:rPr>
        <w:t>: “</w:t>
      </w:r>
      <w:r w:rsidRPr="00357FE0">
        <w:rPr>
          <w:rFonts w:asciiTheme="minorHAnsi" w:eastAsiaTheme="minorHAnsi" w:hAnsiTheme="minorHAnsi" w:cstheme="minorHAnsi"/>
          <w:color w:val="auto"/>
          <w:sz w:val="18"/>
          <w:szCs w:val="18"/>
        </w:rPr>
        <w:t>legal or natural persons shall in particular be able to rely directly on the provisions contained or referred to in this Agreement which meet the conditions for direct effect under Union law”.</w:t>
      </w:r>
    </w:p>
  </w:footnote>
  <w:footnote w:id="97">
    <w:p w14:paraId="67F96C4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proofErr w:type="spellStart"/>
      <w:r w:rsidRPr="00357FE0">
        <w:rPr>
          <w:rFonts w:asciiTheme="minorHAnsi" w:hAnsiTheme="minorHAnsi" w:cstheme="minorHAnsi"/>
          <w:i/>
          <w:iCs/>
          <w:sz w:val="18"/>
          <w:szCs w:val="18"/>
        </w:rPr>
        <w:t>Gassmayr</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Bundesminister</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Wissenschaft</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Forschung</w:t>
      </w:r>
      <w:proofErr w:type="spellEnd"/>
      <w:r w:rsidRPr="00357FE0">
        <w:rPr>
          <w:rFonts w:asciiTheme="minorHAnsi" w:hAnsiTheme="minorHAnsi" w:cstheme="minorHAnsi"/>
          <w:sz w:val="18"/>
          <w:szCs w:val="18"/>
        </w:rPr>
        <w:t>, Case C-194/08, 1 July 2010, at para 44 and 45.</w:t>
      </w:r>
    </w:p>
  </w:footnote>
  <w:footnote w:id="98">
    <w:p w14:paraId="66BD09D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3" w:name="_Hlk96860790"/>
      <w:r w:rsidRPr="00357FE0">
        <w:rPr>
          <w:rFonts w:asciiTheme="minorHAnsi" w:hAnsiTheme="minorHAnsi" w:cstheme="minorHAnsi"/>
          <w:sz w:val="18"/>
          <w:szCs w:val="18"/>
        </w:rPr>
        <w:t>NI Office, ‘</w:t>
      </w:r>
      <w:hyperlink r:id="rId76"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29</w:t>
      </w:r>
      <w:bookmarkEnd w:id="43"/>
      <w:r w:rsidRPr="00357FE0">
        <w:rPr>
          <w:rFonts w:asciiTheme="minorHAnsi" w:hAnsiTheme="minorHAnsi" w:cstheme="minorHAnsi"/>
          <w:sz w:val="18"/>
          <w:szCs w:val="18"/>
        </w:rPr>
        <w:t>; UK Parliament Hansard, ‘</w:t>
      </w:r>
      <w:hyperlink r:id="rId77" w:history="1">
        <w:r w:rsidRPr="00357FE0">
          <w:rPr>
            <w:rStyle w:val="Hyperlink"/>
            <w:rFonts w:asciiTheme="minorHAnsi" w:hAnsiTheme="minorHAnsi" w:cstheme="minorHAnsi"/>
            <w:color w:val="auto"/>
            <w:sz w:val="18"/>
            <w:szCs w:val="18"/>
          </w:rPr>
          <w:t>Written Answer</w:t>
        </w:r>
      </w:hyperlink>
      <w:r w:rsidRPr="00357FE0">
        <w:rPr>
          <w:rFonts w:asciiTheme="minorHAnsi" w:hAnsiTheme="minorHAnsi" w:cstheme="minorHAnsi"/>
          <w:sz w:val="18"/>
          <w:szCs w:val="18"/>
        </w:rPr>
        <w:t xml:space="preserve">: Belfast Agreement – NI Minister, Lord Duncan of </w:t>
      </w:r>
      <w:proofErr w:type="spellStart"/>
      <w:r w:rsidRPr="00357FE0">
        <w:rPr>
          <w:rFonts w:asciiTheme="minorHAnsi" w:hAnsiTheme="minorHAnsi" w:cstheme="minorHAnsi"/>
          <w:sz w:val="18"/>
          <w:szCs w:val="18"/>
        </w:rPr>
        <w:t>Springbank</w:t>
      </w:r>
      <w:proofErr w:type="spellEnd"/>
      <w:r w:rsidRPr="00357FE0">
        <w:rPr>
          <w:rFonts w:asciiTheme="minorHAnsi" w:hAnsiTheme="minorHAnsi" w:cstheme="minorHAnsi"/>
          <w:sz w:val="18"/>
          <w:szCs w:val="18"/>
        </w:rPr>
        <w:t xml:space="preserve"> – HL404’, 28 January 2020; Letter from Robin Walker MP, Minister of State for NI to Professor Christopher McCrudden, 26 February 2020 attached to Christopher McCrudden, ‘Parliamentary Scrutiny of the Joint Committee and the Application of the Northern Ireland Protocol – </w:t>
      </w:r>
      <w:hyperlink r:id="rId78" w:history="1">
        <w:r w:rsidRPr="00357FE0">
          <w:rPr>
            <w:rStyle w:val="Hyperlink"/>
            <w:rFonts w:asciiTheme="minorHAnsi" w:hAnsiTheme="minorHAnsi" w:cstheme="minorHAnsi"/>
            <w:color w:val="auto"/>
            <w:sz w:val="18"/>
            <w:szCs w:val="18"/>
          </w:rPr>
          <w:t>Evidence</w:t>
        </w:r>
      </w:hyperlink>
      <w:r w:rsidRPr="00357FE0">
        <w:rPr>
          <w:rFonts w:asciiTheme="minorHAnsi" w:hAnsiTheme="minorHAnsi" w:cstheme="minorHAnsi"/>
          <w:sz w:val="18"/>
          <w:szCs w:val="18"/>
        </w:rPr>
        <w:t xml:space="preserve"> to the House of Commons European Scrutiny Committee’ (ESC, 2020).  </w:t>
      </w:r>
    </w:p>
  </w:footnote>
  <w:footnote w:id="99">
    <w:p w14:paraId="7D2F293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Dansk Industries (DI) v Estate of </w:t>
      </w:r>
      <w:proofErr w:type="spellStart"/>
      <w:r w:rsidRPr="00357FE0">
        <w:rPr>
          <w:rFonts w:asciiTheme="minorHAnsi" w:hAnsiTheme="minorHAnsi" w:cstheme="minorHAnsi"/>
          <w:i/>
          <w:iCs/>
          <w:sz w:val="18"/>
          <w:szCs w:val="18"/>
        </w:rPr>
        <w:t>Karsten</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Eigil</w:t>
      </w:r>
      <w:proofErr w:type="spellEnd"/>
      <w:r w:rsidRPr="00357FE0">
        <w:rPr>
          <w:rFonts w:asciiTheme="minorHAnsi" w:hAnsiTheme="minorHAnsi" w:cstheme="minorHAnsi"/>
          <w:i/>
          <w:iCs/>
          <w:sz w:val="18"/>
          <w:szCs w:val="18"/>
        </w:rPr>
        <w:t xml:space="preserve"> Rasmussen</w:t>
      </w:r>
      <w:r w:rsidRPr="00357FE0">
        <w:rPr>
          <w:rFonts w:asciiTheme="minorHAnsi" w:hAnsiTheme="minorHAnsi" w:cstheme="minorHAnsi"/>
          <w:sz w:val="18"/>
          <w:szCs w:val="18"/>
        </w:rPr>
        <w:t>, Case C</w:t>
      </w:r>
      <w:r w:rsidRPr="00357FE0">
        <w:rPr>
          <w:rFonts w:ascii="Cambria Math" w:hAnsi="Cambria Math" w:cs="Cambria Math"/>
          <w:sz w:val="18"/>
          <w:szCs w:val="18"/>
        </w:rPr>
        <w:t>‑</w:t>
      </w:r>
      <w:r w:rsidRPr="00357FE0">
        <w:rPr>
          <w:rFonts w:asciiTheme="minorHAnsi" w:hAnsiTheme="minorHAnsi" w:cstheme="minorHAnsi"/>
          <w:sz w:val="18"/>
          <w:szCs w:val="18"/>
        </w:rPr>
        <w:t xml:space="preserve">441/14, 19 April 2016, at para 43; </w:t>
      </w:r>
      <w:r w:rsidRPr="00357FE0">
        <w:rPr>
          <w:rFonts w:asciiTheme="minorHAnsi" w:hAnsiTheme="minorHAnsi" w:cstheme="minorHAnsi"/>
          <w:i/>
          <w:iCs/>
          <w:sz w:val="18"/>
          <w:szCs w:val="18"/>
        </w:rPr>
        <w:t>MH Marshall v Southampton and South-West Hampshire Area Health Authority</w:t>
      </w:r>
      <w:r w:rsidRPr="00357FE0">
        <w:rPr>
          <w:rFonts w:asciiTheme="minorHAnsi" w:hAnsiTheme="minorHAnsi" w:cstheme="minorHAnsi"/>
          <w:sz w:val="18"/>
          <w:szCs w:val="18"/>
        </w:rPr>
        <w:t xml:space="preserve">, Case 152/84, 26 February 1986; </w:t>
      </w:r>
      <w:r w:rsidRPr="00357FE0">
        <w:rPr>
          <w:rFonts w:asciiTheme="minorHAnsi" w:hAnsiTheme="minorHAnsi" w:cstheme="minorHAnsi"/>
          <w:i/>
          <w:iCs/>
          <w:sz w:val="18"/>
          <w:szCs w:val="18"/>
        </w:rPr>
        <w:t>Gabrielle</w:t>
      </w:r>
      <w:r w:rsidRPr="00357FE0">
        <w:rPr>
          <w:rFonts w:asciiTheme="minorHAnsi" w:hAnsiTheme="minorHAnsi" w:cstheme="minorHAnsi"/>
          <w:sz w:val="18"/>
          <w:szCs w:val="18"/>
        </w:rPr>
        <w:t xml:space="preserve"> </w:t>
      </w:r>
      <w:proofErr w:type="spellStart"/>
      <w:r w:rsidRPr="00357FE0">
        <w:rPr>
          <w:rFonts w:asciiTheme="minorHAnsi" w:hAnsiTheme="minorHAnsi" w:cstheme="minorHAnsi"/>
          <w:i/>
          <w:iCs/>
          <w:sz w:val="18"/>
          <w:szCs w:val="18"/>
        </w:rPr>
        <w:t>Defrenne</w:t>
      </w:r>
      <w:proofErr w:type="spellEnd"/>
      <w:r w:rsidRPr="00357FE0">
        <w:rPr>
          <w:rFonts w:asciiTheme="minorHAnsi" w:hAnsiTheme="minorHAnsi" w:cstheme="minorHAnsi"/>
          <w:i/>
          <w:iCs/>
          <w:sz w:val="18"/>
          <w:szCs w:val="18"/>
        </w:rPr>
        <w:t xml:space="preserve"> v Sabena</w:t>
      </w:r>
      <w:r w:rsidRPr="00357FE0">
        <w:rPr>
          <w:rFonts w:asciiTheme="minorHAnsi" w:hAnsiTheme="minorHAnsi" w:cstheme="minorHAnsi"/>
          <w:sz w:val="18"/>
          <w:szCs w:val="18"/>
        </w:rPr>
        <w:t xml:space="preserve">, Case 43/75, 8 April 1976; </w:t>
      </w:r>
      <w:r w:rsidRPr="00357FE0">
        <w:rPr>
          <w:rFonts w:asciiTheme="minorHAnsi" w:hAnsiTheme="minorHAnsi" w:cstheme="minorHAnsi"/>
          <w:i/>
          <w:iCs/>
          <w:sz w:val="18"/>
          <w:szCs w:val="18"/>
        </w:rPr>
        <w:t xml:space="preserve">Werner Mangold v </w:t>
      </w:r>
      <w:proofErr w:type="spellStart"/>
      <w:r w:rsidRPr="00357FE0">
        <w:rPr>
          <w:rFonts w:asciiTheme="minorHAnsi" w:hAnsiTheme="minorHAnsi" w:cstheme="minorHAnsi"/>
          <w:i/>
          <w:iCs/>
          <w:sz w:val="18"/>
          <w:szCs w:val="18"/>
        </w:rPr>
        <w:t>Rüdiger</w:t>
      </w:r>
      <w:proofErr w:type="spellEnd"/>
      <w:r w:rsidRPr="00357FE0">
        <w:rPr>
          <w:rFonts w:asciiTheme="minorHAnsi" w:hAnsiTheme="minorHAnsi" w:cstheme="minorHAnsi"/>
          <w:i/>
          <w:iCs/>
          <w:sz w:val="18"/>
          <w:szCs w:val="18"/>
        </w:rPr>
        <w:t xml:space="preserve"> Helm</w:t>
      </w:r>
      <w:r w:rsidRPr="00357FE0">
        <w:rPr>
          <w:rFonts w:asciiTheme="minorHAnsi" w:hAnsiTheme="minorHAnsi" w:cstheme="minorHAnsi"/>
          <w:sz w:val="18"/>
          <w:szCs w:val="18"/>
        </w:rPr>
        <w:t>, Case C-144/04, 22 November 2005, at para 72.</w:t>
      </w:r>
    </w:p>
  </w:footnote>
  <w:footnote w:id="100">
    <w:p w14:paraId="154DE27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“CHEZ </w:t>
      </w:r>
      <w:proofErr w:type="spellStart"/>
      <w:r w:rsidRPr="00357FE0">
        <w:rPr>
          <w:rFonts w:asciiTheme="minorHAnsi" w:hAnsiTheme="minorHAnsi" w:cstheme="minorHAnsi"/>
          <w:i/>
          <w:iCs/>
          <w:sz w:val="18"/>
          <w:szCs w:val="18"/>
        </w:rPr>
        <w:t>Razpredelenie</w:t>
      </w:r>
      <w:proofErr w:type="spellEnd"/>
      <w:r w:rsidRPr="00357FE0">
        <w:rPr>
          <w:rFonts w:asciiTheme="minorHAnsi" w:hAnsiTheme="minorHAnsi" w:cstheme="minorHAnsi"/>
          <w:i/>
          <w:iCs/>
          <w:sz w:val="18"/>
          <w:szCs w:val="18"/>
        </w:rPr>
        <w:t xml:space="preserve"> Bulgaria” AD v </w:t>
      </w:r>
      <w:proofErr w:type="spellStart"/>
      <w:r w:rsidRPr="00357FE0">
        <w:rPr>
          <w:rFonts w:asciiTheme="minorHAnsi" w:hAnsiTheme="minorHAnsi" w:cstheme="minorHAnsi"/>
          <w:i/>
          <w:iCs/>
          <w:sz w:val="18"/>
          <w:szCs w:val="18"/>
        </w:rPr>
        <w:t>Komisia</w:t>
      </w:r>
      <w:proofErr w:type="spellEnd"/>
      <w:r w:rsidRPr="00357FE0">
        <w:rPr>
          <w:rFonts w:asciiTheme="minorHAnsi" w:hAnsiTheme="minorHAnsi" w:cstheme="minorHAnsi"/>
          <w:i/>
          <w:iCs/>
          <w:sz w:val="18"/>
          <w:szCs w:val="18"/>
        </w:rPr>
        <w:t xml:space="preserve"> za </w:t>
      </w:r>
      <w:proofErr w:type="spellStart"/>
      <w:r w:rsidRPr="00357FE0">
        <w:rPr>
          <w:rFonts w:asciiTheme="minorHAnsi" w:hAnsiTheme="minorHAnsi" w:cstheme="minorHAnsi"/>
          <w:i/>
          <w:iCs/>
          <w:sz w:val="18"/>
          <w:szCs w:val="18"/>
        </w:rPr>
        <w:t>zashtita</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ot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diskriminatsia</w:t>
      </w:r>
      <w:proofErr w:type="spellEnd"/>
      <w:r w:rsidRPr="00357FE0">
        <w:rPr>
          <w:rFonts w:asciiTheme="minorHAnsi" w:hAnsiTheme="minorHAnsi" w:cstheme="minorHAnsi"/>
          <w:sz w:val="18"/>
          <w:szCs w:val="18"/>
        </w:rPr>
        <w:t xml:space="preserve">, Case C-83/14, 16 July 2015; </w:t>
      </w:r>
      <w:r w:rsidRPr="00357FE0">
        <w:rPr>
          <w:rFonts w:asciiTheme="minorHAnsi" w:hAnsiTheme="minorHAnsi" w:cstheme="minorHAnsi"/>
          <w:i/>
          <w:iCs/>
          <w:sz w:val="18"/>
          <w:szCs w:val="18"/>
        </w:rPr>
        <w:t xml:space="preserve">Isabel </w:t>
      </w:r>
      <w:proofErr w:type="spellStart"/>
      <w:r w:rsidRPr="00357FE0">
        <w:rPr>
          <w:rFonts w:asciiTheme="minorHAnsi" w:hAnsiTheme="minorHAnsi" w:cstheme="minorHAnsi"/>
          <w:i/>
          <w:iCs/>
          <w:sz w:val="18"/>
          <w:szCs w:val="18"/>
        </w:rPr>
        <w:t>Elbal</w:t>
      </w:r>
      <w:proofErr w:type="spellEnd"/>
      <w:r w:rsidRPr="00357FE0">
        <w:rPr>
          <w:rFonts w:asciiTheme="minorHAnsi" w:hAnsiTheme="minorHAnsi" w:cstheme="minorHAnsi"/>
          <w:i/>
          <w:iCs/>
          <w:sz w:val="18"/>
          <w:szCs w:val="18"/>
        </w:rPr>
        <w:t xml:space="preserve"> Moreno v Instituto Nacional de la </w:t>
      </w:r>
      <w:proofErr w:type="spellStart"/>
      <w:r w:rsidRPr="00357FE0">
        <w:rPr>
          <w:rFonts w:asciiTheme="minorHAnsi" w:hAnsiTheme="minorHAnsi" w:cstheme="minorHAnsi"/>
          <w:i/>
          <w:iCs/>
          <w:sz w:val="18"/>
          <w:szCs w:val="18"/>
        </w:rPr>
        <w:t>Seguridad</w:t>
      </w:r>
      <w:proofErr w:type="spellEnd"/>
      <w:r w:rsidRPr="00357FE0">
        <w:rPr>
          <w:rFonts w:asciiTheme="minorHAnsi" w:hAnsiTheme="minorHAnsi" w:cstheme="minorHAnsi"/>
          <w:i/>
          <w:iCs/>
          <w:sz w:val="18"/>
          <w:szCs w:val="18"/>
        </w:rPr>
        <w:t xml:space="preserve"> Social (INSS) and </w:t>
      </w:r>
      <w:proofErr w:type="spellStart"/>
      <w:r w:rsidRPr="00357FE0">
        <w:rPr>
          <w:rFonts w:asciiTheme="minorHAnsi" w:hAnsiTheme="minorHAnsi" w:cstheme="minorHAnsi"/>
          <w:i/>
          <w:iCs/>
          <w:sz w:val="18"/>
          <w:szCs w:val="18"/>
        </w:rPr>
        <w:t>Tesorería</w:t>
      </w:r>
      <w:proofErr w:type="spellEnd"/>
      <w:r w:rsidRPr="00357FE0">
        <w:rPr>
          <w:rFonts w:asciiTheme="minorHAnsi" w:hAnsiTheme="minorHAnsi" w:cstheme="minorHAnsi"/>
          <w:i/>
          <w:iCs/>
          <w:sz w:val="18"/>
          <w:szCs w:val="18"/>
        </w:rPr>
        <w:t xml:space="preserve"> General de la </w:t>
      </w:r>
      <w:proofErr w:type="spellStart"/>
      <w:r w:rsidRPr="00357FE0">
        <w:rPr>
          <w:rFonts w:asciiTheme="minorHAnsi" w:hAnsiTheme="minorHAnsi" w:cstheme="minorHAnsi"/>
          <w:i/>
          <w:iCs/>
          <w:sz w:val="18"/>
          <w:szCs w:val="18"/>
        </w:rPr>
        <w:t>Seguridad</w:t>
      </w:r>
      <w:proofErr w:type="spellEnd"/>
      <w:r w:rsidRPr="00357FE0">
        <w:rPr>
          <w:rFonts w:asciiTheme="minorHAnsi" w:hAnsiTheme="minorHAnsi" w:cstheme="minorHAnsi"/>
          <w:i/>
          <w:iCs/>
          <w:sz w:val="18"/>
          <w:szCs w:val="18"/>
        </w:rPr>
        <w:t xml:space="preserve"> Social (TGSS)</w:t>
      </w:r>
      <w:r w:rsidRPr="00357FE0">
        <w:rPr>
          <w:rFonts w:asciiTheme="minorHAnsi" w:hAnsiTheme="minorHAnsi" w:cstheme="minorHAnsi"/>
          <w:sz w:val="18"/>
          <w:szCs w:val="18"/>
        </w:rPr>
        <w:t xml:space="preserve">, C-385/11, 22 November 2012; </w:t>
      </w:r>
      <w:r w:rsidRPr="00357FE0">
        <w:rPr>
          <w:rFonts w:asciiTheme="minorHAnsi" w:hAnsiTheme="minorHAnsi" w:cstheme="minorHAnsi"/>
          <w:i/>
          <w:iCs/>
          <w:sz w:val="18"/>
          <w:szCs w:val="18"/>
        </w:rPr>
        <w:t xml:space="preserve">S Coleman v </w:t>
      </w:r>
      <w:proofErr w:type="spellStart"/>
      <w:r w:rsidRPr="00357FE0">
        <w:rPr>
          <w:rFonts w:asciiTheme="minorHAnsi" w:hAnsiTheme="minorHAnsi" w:cstheme="minorHAnsi"/>
          <w:i/>
          <w:iCs/>
          <w:sz w:val="18"/>
          <w:szCs w:val="18"/>
        </w:rPr>
        <w:t>Attridge</w:t>
      </w:r>
      <w:proofErr w:type="spellEnd"/>
      <w:r w:rsidRPr="00357FE0">
        <w:rPr>
          <w:rFonts w:asciiTheme="minorHAnsi" w:hAnsiTheme="minorHAnsi" w:cstheme="minorHAnsi"/>
          <w:i/>
          <w:iCs/>
          <w:sz w:val="18"/>
          <w:szCs w:val="18"/>
        </w:rPr>
        <w:t xml:space="preserve"> Law and Steve Law, </w:t>
      </w:r>
      <w:r w:rsidRPr="00357FE0">
        <w:rPr>
          <w:rFonts w:asciiTheme="minorHAnsi" w:hAnsiTheme="minorHAnsi" w:cstheme="minorHAnsi"/>
          <w:sz w:val="18"/>
          <w:szCs w:val="18"/>
        </w:rPr>
        <w:t>Case C-303/06, 17 July 2008.</w:t>
      </w:r>
    </w:p>
  </w:footnote>
  <w:footnote w:id="101">
    <w:p w14:paraId="67F6299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79"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29.</w:t>
      </w:r>
    </w:p>
  </w:footnote>
  <w:footnote w:id="102">
    <w:p w14:paraId="69A5E2A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80"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77.</w:t>
      </w:r>
    </w:p>
  </w:footnote>
  <w:footnote w:id="103">
    <w:p w14:paraId="1BF4792F" w14:textId="02095A3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78E, </w:t>
      </w:r>
      <w:hyperlink r:id="rId81"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04">
    <w:p w14:paraId="0CD9BE1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78A-78B, </w:t>
      </w:r>
      <w:hyperlink r:id="rId82"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05">
    <w:p w14:paraId="185F47AA" w14:textId="0FB1795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78A(9), </w:t>
      </w:r>
      <w:hyperlink r:id="rId83"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 xml:space="preserve"> in respect of the NIHRC and Section 78B(9), Northern Ireland Act 1998 in respect of the ECNI; Article 14(c), </w:t>
      </w:r>
      <w:r w:rsidRPr="00357FE0">
        <w:rPr>
          <w:rStyle w:val="Hyperlink"/>
          <w:rFonts w:asciiTheme="minorHAnsi" w:hAnsiTheme="minorHAnsi" w:cstheme="minorHAnsi"/>
          <w:color w:val="auto"/>
          <w:sz w:val="18"/>
          <w:szCs w:val="18"/>
        </w:rPr>
        <w:t xml:space="preserve">Ireland/Northern Ireland Protocol to the </w:t>
      </w:r>
      <w:hyperlink r:id="rId84"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106">
    <w:p w14:paraId="1A4CF22B" w14:textId="2A8C0A7D"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bookmarkStart w:id="46" w:name="_Hlk82161830"/>
      <w:r w:rsidRPr="00357FE0">
        <w:rPr>
          <w:rFonts w:asciiTheme="minorHAnsi" w:hAnsiTheme="minorHAnsi" w:cstheme="minorHAnsi"/>
          <w:sz w:val="18"/>
          <w:szCs w:val="18"/>
        </w:rPr>
        <w:t xml:space="preserve">Article 14(c), Ireland/Northern Ireland Protocol to the </w:t>
      </w:r>
      <w:hyperlink r:id="rId85"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bookmarkEnd w:id="46"/>
    </w:p>
  </w:footnote>
  <w:footnote w:id="107">
    <w:p w14:paraId="14F311F2" w14:textId="2259DC68"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164-166, </w:t>
      </w:r>
      <w:hyperlink r:id="rId86" w:history="1">
        <w:r w:rsidRPr="00357FE0">
          <w:rPr>
            <w:rStyle w:val="Hyperlink"/>
            <w:rFonts w:asciiTheme="minorHAnsi" w:hAnsiTheme="minorHAnsi" w:cstheme="minorHAnsi"/>
            <w:color w:val="auto"/>
            <w:sz w:val="18"/>
            <w:szCs w:val="18"/>
          </w:rPr>
          <w:t>UK-EU Withdrawal Agreement 2020</w:t>
        </w:r>
      </w:hyperlink>
      <w:r w:rsidRPr="00357FE0">
        <w:rPr>
          <w:rFonts w:asciiTheme="minorHAnsi" w:hAnsiTheme="minorHAnsi" w:cstheme="minorHAnsi"/>
          <w:sz w:val="18"/>
          <w:szCs w:val="18"/>
        </w:rPr>
        <w:t>.</w:t>
      </w:r>
    </w:p>
  </w:footnote>
  <w:footnote w:id="108">
    <w:p w14:paraId="4C043ED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example, the Commissions have intervened in litigation where the applicants have raised issues relating to Protocol Article 2 to assist the court in its consideration of this provision. </w:t>
      </w:r>
    </w:p>
  </w:footnote>
  <w:footnote w:id="109">
    <w:p w14:paraId="59EB945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Sections 78C- 78D, </w:t>
      </w:r>
      <w:hyperlink r:id="rId87" w:history="1">
        <w:r w:rsidRPr="00357FE0">
          <w:rPr>
            <w:rStyle w:val="Hyperlink"/>
            <w:rFonts w:asciiTheme="minorHAnsi" w:hAnsiTheme="minorHAnsi" w:cstheme="minorHAnsi"/>
            <w:color w:val="auto"/>
            <w:sz w:val="18"/>
            <w:szCs w:val="18"/>
          </w:rPr>
          <w:t>Northern Ireland Act 1998</w:t>
        </w:r>
      </w:hyperlink>
      <w:r w:rsidRPr="00357FE0">
        <w:rPr>
          <w:rFonts w:asciiTheme="minorHAnsi" w:hAnsiTheme="minorHAnsi" w:cstheme="minorHAnsi"/>
          <w:sz w:val="18"/>
          <w:szCs w:val="18"/>
        </w:rPr>
        <w:t>.</w:t>
      </w:r>
    </w:p>
  </w:footnote>
  <w:footnote w:id="110">
    <w:p w14:paraId="3DA6F6CB"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Paragraph 5.10 above, where UK and NI law was out of alignment with EU law on 31 December 2020, the absence of a ‘domestic implementing measure’ is not an insurmountable obstacle to demonstrating a diminution of Protocol Article 2, provided the EU legal obligation existed and was capable of having direct effect on that date. See </w:t>
      </w:r>
      <w:hyperlink r:id="rId88" w:history="1">
        <w:r w:rsidRPr="00357FE0">
          <w:rPr>
            <w:rStyle w:val="Hyperlink"/>
            <w:rFonts w:asciiTheme="minorHAnsi" w:hAnsiTheme="minorHAnsi" w:cstheme="minorHAnsi"/>
            <w:color w:val="auto"/>
            <w:sz w:val="18"/>
            <w:szCs w:val="18"/>
          </w:rPr>
          <w:t xml:space="preserve">also </w:t>
        </w:r>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 88-90 for further discussion of the relationship between EU underpinning law and Article 2.</w:t>
      </w:r>
    </w:p>
  </w:footnote>
  <w:footnote w:id="111">
    <w:p w14:paraId="1CA3399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ECNI, ‘</w:t>
      </w:r>
      <w:hyperlink r:id="rId89"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Bill</w:t>
        </w:r>
      </w:hyperlink>
      <w:r w:rsidRPr="00357FE0">
        <w:rPr>
          <w:rFonts w:asciiTheme="minorHAnsi" w:hAnsiTheme="minorHAnsi" w:cstheme="minorHAnsi"/>
          <w:sz w:val="18"/>
          <w:szCs w:val="18"/>
        </w:rPr>
        <w:t>’ (NIHRC and ECNI, 2021).  The NI Department of Justice identifies in its Modern Slavery Strategy that, while immigration and asylum are reserved matters, there may be overlap with modern slavery and human trafficking, which remains mainly devolved. (Department of Justice, ‘Northern Ireland Organised Crime Task Force Modern Slavery Strategy 2021-2022’, at 1.31).</w:t>
      </w:r>
    </w:p>
  </w:footnote>
  <w:footnote w:id="112">
    <w:p w14:paraId="3CE5578F" w14:textId="77777777" w:rsidR="009F14CF" w:rsidRPr="00357FE0" w:rsidRDefault="009F14CF" w:rsidP="001646F4">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See </w:t>
      </w:r>
      <w:r w:rsidRPr="00D84F99">
        <w:rPr>
          <w:rFonts w:asciiTheme="minorHAnsi" w:hAnsiTheme="minorHAnsi" w:cstheme="minorHAnsi"/>
          <w:sz w:val="18"/>
          <w:szCs w:val="18"/>
        </w:rPr>
        <w:t>paragraphs 3.3-3.4 above and related example</w:t>
      </w:r>
      <w:r w:rsidRPr="00357FE0">
        <w:rPr>
          <w:rFonts w:asciiTheme="minorHAnsi" w:hAnsiTheme="minorHAnsi" w:cstheme="minorHAnsi"/>
          <w:sz w:val="18"/>
          <w:szCs w:val="18"/>
        </w:rPr>
        <w:t>. NIHRC and ECNI, ‘</w:t>
      </w:r>
      <w:hyperlink r:id="rId90" w:history="1">
        <w:r w:rsidRPr="00357FE0">
          <w:rPr>
            <w:rStyle w:val="Hyperlink"/>
            <w:rFonts w:asciiTheme="minorHAnsi" w:hAnsiTheme="minorHAnsi" w:cstheme="minorHAnsi"/>
            <w:color w:val="auto"/>
            <w:sz w:val="18"/>
            <w:szCs w:val="18"/>
          </w:rPr>
          <w:t>Annual Report of the NIHRC and the ECNI on the implementation of Protocol Article 2 2021 – 2022</w:t>
        </w:r>
      </w:hyperlink>
      <w:r w:rsidRPr="00357FE0">
        <w:rPr>
          <w:rFonts w:asciiTheme="minorHAnsi" w:hAnsiTheme="minorHAnsi" w:cstheme="minorHAnsi"/>
          <w:sz w:val="18"/>
          <w:szCs w:val="18"/>
        </w:rPr>
        <w:t>’ (NIHRC and ECNI 2022), at para 4.131.</w:t>
      </w:r>
    </w:p>
  </w:footnote>
  <w:footnote w:id="113">
    <w:p w14:paraId="455CCC8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proofErr w:type="spellStart"/>
      <w:r w:rsidRPr="00357FE0">
        <w:rPr>
          <w:rFonts w:asciiTheme="minorHAnsi" w:hAnsiTheme="minorHAnsi" w:cstheme="minorHAnsi"/>
          <w:i/>
          <w:iCs/>
          <w:sz w:val="18"/>
          <w:szCs w:val="18"/>
        </w:rPr>
        <w:t>Siliadin</w:t>
      </w:r>
      <w:proofErr w:type="spellEnd"/>
      <w:r w:rsidRPr="00357FE0">
        <w:rPr>
          <w:rFonts w:asciiTheme="minorHAnsi" w:hAnsiTheme="minorHAnsi" w:cstheme="minorHAnsi"/>
          <w:i/>
          <w:iCs/>
          <w:sz w:val="18"/>
          <w:szCs w:val="18"/>
        </w:rPr>
        <w:t xml:space="preserve"> v France</w:t>
      </w:r>
      <w:r w:rsidRPr="00357FE0">
        <w:rPr>
          <w:rFonts w:asciiTheme="minorHAnsi" w:hAnsiTheme="minorHAnsi" w:cstheme="minorHAnsi"/>
          <w:sz w:val="18"/>
          <w:szCs w:val="18"/>
        </w:rPr>
        <w:t xml:space="preserve"> (2005) ECHR 54; </w:t>
      </w:r>
      <w:proofErr w:type="spellStart"/>
      <w:r w:rsidRPr="00357FE0">
        <w:rPr>
          <w:rFonts w:asciiTheme="minorHAnsi" w:hAnsiTheme="minorHAnsi" w:cstheme="minorHAnsi"/>
          <w:i/>
          <w:iCs/>
          <w:sz w:val="18"/>
          <w:szCs w:val="18"/>
        </w:rPr>
        <w:t>Rantsev</w:t>
      </w:r>
      <w:proofErr w:type="spellEnd"/>
      <w:r w:rsidRPr="00357FE0">
        <w:rPr>
          <w:rFonts w:asciiTheme="minorHAnsi" w:hAnsiTheme="minorHAnsi" w:cstheme="minorHAnsi"/>
          <w:i/>
          <w:iCs/>
          <w:sz w:val="18"/>
          <w:szCs w:val="18"/>
        </w:rPr>
        <w:t xml:space="preserve"> v Cyprus and Russia</w:t>
      </w:r>
      <w:r w:rsidRPr="00357FE0">
        <w:rPr>
          <w:rFonts w:asciiTheme="minorHAnsi" w:hAnsiTheme="minorHAnsi" w:cstheme="minorHAnsi"/>
          <w:sz w:val="18"/>
          <w:szCs w:val="18"/>
        </w:rPr>
        <w:t xml:space="preserve"> (2010) ECHR 22; </w:t>
      </w:r>
      <w:r w:rsidRPr="00357FE0">
        <w:rPr>
          <w:rFonts w:asciiTheme="minorHAnsi" w:hAnsiTheme="minorHAnsi" w:cstheme="minorHAnsi"/>
          <w:i/>
          <w:iCs/>
          <w:sz w:val="18"/>
          <w:szCs w:val="18"/>
        </w:rPr>
        <w:t>SM v Croatia</w:t>
      </w:r>
      <w:r w:rsidRPr="00357FE0">
        <w:rPr>
          <w:rFonts w:asciiTheme="minorHAnsi" w:hAnsiTheme="minorHAnsi" w:cstheme="minorHAnsi"/>
          <w:sz w:val="18"/>
          <w:szCs w:val="18"/>
        </w:rPr>
        <w:t xml:space="preserve"> (2008) ECHR 633.</w:t>
      </w:r>
    </w:p>
  </w:footnote>
  <w:footnote w:id="114">
    <w:p w14:paraId="141F777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NIHRC and ECNI, ‘</w:t>
      </w:r>
      <w:hyperlink r:id="rId91" w:history="1">
        <w:r w:rsidRPr="00357FE0">
          <w:rPr>
            <w:rStyle w:val="Hyperlink"/>
            <w:rFonts w:asciiTheme="minorHAnsi" w:hAnsiTheme="minorHAnsi" w:cstheme="minorHAnsi"/>
            <w:color w:val="auto"/>
            <w:sz w:val="18"/>
            <w:szCs w:val="18"/>
          </w:rPr>
          <w:t>Joint NIHRC/ECNI Briefing Paper on the Modern Slavery and Human Trafficking and Electronic Travel Authorisation provisions in the Nationality and Borders Bil</w:t>
        </w:r>
      </w:hyperlink>
      <w:r w:rsidRPr="00357FE0">
        <w:rPr>
          <w:rFonts w:asciiTheme="minorHAnsi" w:hAnsiTheme="minorHAnsi" w:cstheme="minorHAnsi"/>
          <w:sz w:val="18"/>
          <w:szCs w:val="18"/>
        </w:rPr>
        <w:t xml:space="preserve">l’ (NIHRC and ECNI, 2021), at para 3.2.  </w:t>
      </w:r>
    </w:p>
  </w:footnote>
  <w:footnote w:id="115">
    <w:p w14:paraId="1636E5F4" w14:textId="0DF49240"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92" w:history="1">
        <w:r w:rsidRPr="00357FE0">
          <w:rPr>
            <w:rStyle w:val="Hyperlink"/>
            <w:rFonts w:asciiTheme="minorHAnsi" w:hAnsiTheme="minorHAnsi" w:cstheme="minorHAnsi"/>
            <w:color w:val="auto"/>
            <w:sz w:val="18"/>
            <w:szCs w:val="18"/>
          </w:rPr>
          <w:t>Directive 2011/36/EU</w:t>
        </w:r>
      </w:hyperlink>
      <w:r w:rsidRPr="00357FE0">
        <w:rPr>
          <w:rFonts w:asciiTheme="minorHAnsi" w:hAnsiTheme="minorHAnsi" w:cstheme="minorHAnsi"/>
          <w:sz w:val="18"/>
          <w:szCs w:val="18"/>
        </w:rPr>
        <w:t xml:space="preserve">, ‘Directive of the European Parliament and of the Council on preventing and combating trafficking in human beings and protecting its victims’, 5 April 2011. </w:t>
      </w:r>
    </w:p>
  </w:footnote>
  <w:footnote w:id="116">
    <w:p w14:paraId="53206D53" w14:textId="4A12411F"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UK measures giving effect to the EU Trafficking Directive are available on the </w:t>
      </w:r>
      <w:hyperlink r:id="rId93" w:history="1">
        <w:r w:rsidRPr="00357FE0">
          <w:rPr>
            <w:rStyle w:val="Hyperlink"/>
            <w:rFonts w:asciiTheme="minorHAnsi" w:hAnsiTheme="minorHAnsi" w:cstheme="minorHAnsi"/>
            <w:color w:val="auto"/>
            <w:sz w:val="18"/>
            <w:szCs w:val="18"/>
          </w:rPr>
          <w:t>EU Commission website</w:t>
        </w:r>
      </w:hyperlink>
      <w:r w:rsidRPr="00357FE0">
        <w:rPr>
          <w:rFonts w:asciiTheme="minorHAnsi" w:hAnsiTheme="minorHAnsi" w:cstheme="minorHAnsi"/>
          <w:sz w:val="18"/>
          <w:szCs w:val="18"/>
        </w:rPr>
        <w:t>.</w:t>
      </w:r>
    </w:p>
  </w:footnote>
  <w:footnote w:id="117">
    <w:p w14:paraId="1E0EDF0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Further consideration of the Nationality and Borders Bill is available in NIHRC and ECNI, ‘</w:t>
      </w:r>
      <w:hyperlink r:id="rId94" w:history="1">
        <w:r w:rsidRPr="00357FE0">
          <w:rPr>
            <w:rStyle w:val="Hyperlink"/>
            <w:rFonts w:asciiTheme="minorHAnsi" w:hAnsiTheme="minorHAnsi" w:cstheme="minorHAnsi"/>
            <w:color w:val="auto"/>
            <w:sz w:val="18"/>
            <w:szCs w:val="18"/>
          </w:rPr>
          <w:t>Joi</w:t>
        </w:r>
        <w:bookmarkStart w:id="48" w:name="_Hlt118965565"/>
        <w:bookmarkStart w:id="49" w:name="_Hlt118965566"/>
        <w:r w:rsidRPr="00357FE0">
          <w:rPr>
            <w:rStyle w:val="Hyperlink"/>
            <w:rFonts w:asciiTheme="minorHAnsi" w:hAnsiTheme="minorHAnsi" w:cstheme="minorHAnsi"/>
            <w:color w:val="auto"/>
            <w:sz w:val="18"/>
            <w:szCs w:val="18"/>
          </w:rPr>
          <w:t>n</w:t>
        </w:r>
        <w:bookmarkEnd w:id="48"/>
        <w:bookmarkEnd w:id="49"/>
        <w:r w:rsidRPr="00357FE0">
          <w:rPr>
            <w:rStyle w:val="Hyperlink"/>
            <w:rFonts w:asciiTheme="minorHAnsi" w:hAnsiTheme="minorHAnsi" w:cstheme="minorHAnsi"/>
            <w:color w:val="auto"/>
            <w:sz w:val="18"/>
            <w:szCs w:val="18"/>
          </w:rPr>
          <w:t>t NIHRC/ECNI Briefing Paper</w:t>
        </w:r>
      </w:hyperlink>
      <w:r w:rsidRPr="00357FE0">
        <w:rPr>
          <w:rFonts w:asciiTheme="minorHAnsi" w:hAnsiTheme="minorHAnsi" w:cstheme="minorHAnsi"/>
          <w:sz w:val="18"/>
          <w:szCs w:val="18"/>
        </w:rPr>
        <w:t xml:space="preserve"> on the Modern Slavery and Human Trafficking and Electronic Travel Authorisation provisions in the Nationality and Borders Bill’ (NIHRC and ECNI, 2021).</w:t>
      </w:r>
    </w:p>
  </w:footnote>
  <w:footnote w:id="118">
    <w:p w14:paraId="6A08601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Ibid.</w:t>
      </w:r>
    </w:p>
  </w:footnote>
  <w:footnote w:id="119">
    <w:p w14:paraId="5E5B7FD0" w14:textId="1A8899B8"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 </w:t>
      </w:r>
      <w:hyperlink r:id="rId95"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0">
    <w:p w14:paraId="77433B81" w14:textId="6FF1CD46"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4(1), </w:t>
      </w:r>
      <w:hyperlink r:id="rId96"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1">
    <w:p w14:paraId="694EC81C"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Section 5, </w:t>
      </w:r>
      <w:hyperlink r:id="rId97" w:history="1">
        <w:r w:rsidRPr="00357FE0">
          <w:rPr>
            <w:rStyle w:val="Hyperlink"/>
            <w:rFonts w:asciiTheme="minorHAnsi" w:hAnsiTheme="minorHAnsi" w:cstheme="minorHAnsi"/>
            <w:color w:val="auto"/>
            <w:sz w:val="18"/>
            <w:szCs w:val="18"/>
          </w:rPr>
          <w:t>EU (Withdrawal) Act 2018</w:t>
        </w:r>
      </w:hyperlink>
      <w:r w:rsidRPr="00357FE0">
        <w:rPr>
          <w:rFonts w:asciiTheme="minorHAnsi" w:hAnsiTheme="minorHAnsi" w:cstheme="minorHAnsi"/>
          <w:sz w:val="18"/>
          <w:szCs w:val="18"/>
        </w:rPr>
        <w:t xml:space="preserve">.  See </w:t>
      </w:r>
      <w:hyperlink r:id="rId98" w:history="1">
        <w:r w:rsidRPr="00357FE0">
          <w:rPr>
            <w:rStyle w:val="Hyperlink"/>
            <w:rFonts w:asciiTheme="minorHAnsi" w:hAnsiTheme="minorHAnsi" w:cstheme="minorHAnsi"/>
            <w:i/>
            <w:iCs/>
            <w:color w:val="auto"/>
            <w:sz w:val="18"/>
            <w:szCs w:val="18"/>
          </w:rPr>
          <w:t xml:space="preserve">Re SPUC Pro-Life Limited </w:t>
        </w:r>
        <w:r w:rsidRPr="00357FE0">
          <w:rPr>
            <w:rStyle w:val="Hyperlink"/>
            <w:rFonts w:asciiTheme="minorHAnsi" w:hAnsiTheme="minorHAnsi" w:cstheme="minorHAnsi"/>
            <w:color w:val="auto"/>
            <w:sz w:val="18"/>
            <w:szCs w:val="18"/>
          </w:rPr>
          <w:t>[2022] NIQB 9</w:t>
        </w:r>
      </w:hyperlink>
      <w:r w:rsidRPr="00357FE0">
        <w:rPr>
          <w:rFonts w:asciiTheme="minorHAnsi" w:hAnsiTheme="minorHAnsi" w:cstheme="minorHAnsi"/>
          <w:sz w:val="18"/>
          <w:szCs w:val="18"/>
        </w:rPr>
        <w:t>, at paras 78 and 115.</w:t>
      </w:r>
    </w:p>
  </w:footnote>
  <w:footnote w:id="122">
    <w:p w14:paraId="0E5FCAF1" w14:textId="1D2A918C"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2(a)(</w:t>
      </w:r>
      <w:proofErr w:type="spellStart"/>
      <w:r w:rsidRPr="00357FE0">
        <w:rPr>
          <w:rFonts w:asciiTheme="minorHAnsi" w:hAnsiTheme="minorHAnsi" w:cstheme="minorHAnsi"/>
          <w:sz w:val="18"/>
          <w:szCs w:val="18"/>
        </w:rPr>
        <w:t>i</w:t>
      </w:r>
      <w:proofErr w:type="spellEnd"/>
      <w:r w:rsidRPr="00357FE0">
        <w:rPr>
          <w:rFonts w:asciiTheme="minorHAnsi" w:hAnsiTheme="minorHAnsi" w:cstheme="minorHAnsi"/>
          <w:sz w:val="18"/>
          <w:szCs w:val="18"/>
        </w:rPr>
        <w:t xml:space="preserve">), </w:t>
      </w:r>
      <w:hyperlink r:id="rId99" w:history="1">
        <w:r w:rsidRPr="00357FE0">
          <w:rPr>
            <w:rStyle w:val="Hyperlink"/>
            <w:rFonts w:asciiTheme="minorHAnsi" w:hAnsiTheme="minorHAnsi" w:cstheme="minorHAnsi"/>
            <w:color w:val="auto"/>
            <w:sz w:val="18"/>
            <w:szCs w:val="18"/>
          </w:rPr>
          <w:t>UK-EU Withdrawal Agreement</w:t>
        </w:r>
      </w:hyperlink>
      <w:r w:rsidRPr="00357FE0">
        <w:rPr>
          <w:rFonts w:asciiTheme="minorHAnsi" w:hAnsiTheme="minorHAnsi" w:cstheme="minorHAnsi"/>
          <w:sz w:val="18"/>
          <w:szCs w:val="18"/>
        </w:rPr>
        <w:t>.</w:t>
      </w:r>
    </w:p>
  </w:footnote>
  <w:footnote w:id="123">
    <w:p w14:paraId="0BF94131" w14:textId="7A9B5E50"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51(1) of the </w:t>
      </w:r>
      <w:hyperlink r:id="rId100"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 xml:space="preserve">; </w:t>
      </w:r>
      <w:proofErr w:type="spellStart"/>
      <w:r w:rsidRPr="00357FE0">
        <w:rPr>
          <w:rFonts w:asciiTheme="minorHAnsi" w:hAnsiTheme="minorHAnsi" w:cstheme="minorHAnsi"/>
          <w:i/>
          <w:iCs/>
          <w:sz w:val="18"/>
          <w:szCs w:val="18"/>
        </w:rPr>
        <w:t>Åklagaren</w:t>
      </w:r>
      <w:proofErr w:type="spellEnd"/>
      <w:r w:rsidRPr="00357FE0">
        <w:rPr>
          <w:rFonts w:asciiTheme="minorHAnsi" w:hAnsiTheme="minorHAnsi" w:cstheme="minorHAnsi"/>
          <w:i/>
          <w:iCs/>
          <w:sz w:val="18"/>
          <w:szCs w:val="18"/>
        </w:rPr>
        <w:t xml:space="preserve"> v Hans </w:t>
      </w:r>
      <w:proofErr w:type="spellStart"/>
      <w:r w:rsidRPr="00357FE0">
        <w:rPr>
          <w:rFonts w:asciiTheme="minorHAnsi" w:hAnsiTheme="minorHAnsi" w:cstheme="minorHAnsi"/>
          <w:i/>
          <w:iCs/>
          <w:sz w:val="18"/>
          <w:szCs w:val="18"/>
        </w:rPr>
        <w:t>Åkerberg</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Fransson</w:t>
      </w:r>
      <w:proofErr w:type="spellEnd"/>
      <w:r w:rsidRPr="00357FE0">
        <w:rPr>
          <w:rFonts w:asciiTheme="minorHAnsi" w:hAnsiTheme="minorHAnsi" w:cstheme="minorHAnsi"/>
          <w:sz w:val="18"/>
          <w:szCs w:val="18"/>
        </w:rPr>
        <w:t xml:space="preserve">, Case C-617/10, 26 February 2013; </w:t>
      </w:r>
      <w:r w:rsidRPr="00357FE0">
        <w:rPr>
          <w:rFonts w:asciiTheme="minorHAnsi" w:hAnsiTheme="minorHAnsi" w:cstheme="minorHAnsi"/>
          <w:i/>
          <w:iCs/>
          <w:sz w:val="18"/>
          <w:szCs w:val="18"/>
        </w:rPr>
        <w:t xml:space="preserve">Vera </w:t>
      </w:r>
      <w:proofErr w:type="spellStart"/>
      <w:r w:rsidRPr="00357FE0">
        <w:rPr>
          <w:rFonts w:asciiTheme="minorHAnsi" w:hAnsiTheme="minorHAnsi" w:cstheme="minorHAnsi"/>
          <w:i/>
          <w:iCs/>
          <w:sz w:val="18"/>
          <w:szCs w:val="18"/>
        </w:rPr>
        <w:t>Egenberger</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Evangelisches</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Werk</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Diakonie</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Entwicklung</w:t>
      </w:r>
      <w:proofErr w:type="spellEnd"/>
      <w:r w:rsidRPr="00357FE0">
        <w:rPr>
          <w:rFonts w:asciiTheme="minorHAnsi" w:hAnsiTheme="minorHAnsi" w:cstheme="minorHAnsi"/>
          <w:i/>
          <w:iCs/>
          <w:sz w:val="18"/>
          <w:szCs w:val="18"/>
        </w:rPr>
        <w:t xml:space="preserve"> eV, </w:t>
      </w:r>
      <w:r w:rsidRPr="00357FE0">
        <w:rPr>
          <w:rFonts w:asciiTheme="minorHAnsi" w:hAnsiTheme="minorHAnsi" w:cstheme="minorHAnsi"/>
          <w:sz w:val="18"/>
          <w:szCs w:val="18"/>
        </w:rPr>
        <w:t>Case C-414/16, 17 April 2018, at para 76.</w:t>
      </w:r>
    </w:p>
  </w:footnote>
  <w:footnote w:id="124">
    <w:p w14:paraId="7446ACC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4(3) provides that where the Withdrawal agreement refers to EU law or concepts, it should be interpreted and applied in accordance with the methods and general principles of EU law.  As noted in </w:t>
      </w:r>
      <w:proofErr w:type="spellStart"/>
      <w:r w:rsidRPr="00357FE0">
        <w:rPr>
          <w:rFonts w:asciiTheme="minorHAnsi" w:hAnsiTheme="minorHAnsi" w:cstheme="minorHAnsi"/>
          <w:sz w:val="18"/>
          <w:szCs w:val="18"/>
        </w:rPr>
        <w:t>Kellerbauer</w:t>
      </w:r>
      <w:proofErr w:type="spellEnd"/>
      <w:r w:rsidRPr="00357FE0">
        <w:rPr>
          <w:rFonts w:asciiTheme="minorHAnsi" w:hAnsiTheme="minorHAnsi" w:cstheme="minorHAnsi"/>
          <w:sz w:val="18"/>
          <w:szCs w:val="18"/>
        </w:rPr>
        <w:t xml:space="preserve"> et al, “The obligation to apply these provisions in accordance with the general principles of [EU] law means for the UK that it is bound to observe the EU fundamental rights when implementing those provisions of the Agreement.  Hence in substance, Article 4(3) has the same effect as article 51(1) if the EU Charter of Fundamental Rights.” </w:t>
      </w:r>
      <w:proofErr w:type="spellStart"/>
      <w:r w:rsidRPr="00357FE0">
        <w:rPr>
          <w:rFonts w:asciiTheme="minorHAnsi" w:hAnsiTheme="minorHAnsi" w:cstheme="minorHAnsi"/>
          <w:sz w:val="18"/>
          <w:szCs w:val="18"/>
        </w:rPr>
        <w:t>Kellerbauer</w:t>
      </w:r>
      <w:proofErr w:type="spellEnd"/>
      <w:r w:rsidRPr="00357FE0">
        <w:rPr>
          <w:rFonts w:asciiTheme="minorHAnsi" w:hAnsiTheme="minorHAnsi" w:cstheme="minorHAnsi"/>
          <w:sz w:val="18"/>
          <w:szCs w:val="18"/>
        </w:rPr>
        <w:t xml:space="preserve">, </w:t>
      </w:r>
      <w:proofErr w:type="spellStart"/>
      <w:r w:rsidRPr="00357FE0">
        <w:rPr>
          <w:rFonts w:asciiTheme="minorHAnsi" w:hAnsiTheme="minorHAnsi" w:cstheme="minorHAnsi"/>
          <w:sz w:val="18"/>
          <w:szCs w:val="18"/>
        </w:rPr>
        <w:t>Dumitriu-Segnana</w:t>
      </w:r>
      <w:proofErr w:type="spellEnd"/>
      <w:r w:rsidRPr="00357FE0">
        <w:rPr>
          <w:rFonts w:asciiTheme="minorHAnsi" w:hAnsiTheme="minorHAnsi" w:cstheme="minorHAnsi"/>
          <w:sz w:val="18"/>
          <w:szCs w:val="18"/>
        </w:rPr>
        <w:t xml:space="preserve">, Thomas </w:t>
      </w:r>
      <w:proofErr w:type="spellStart"/>
      <w:r w:rsidRPr="00357FE0">
        <w:rPr>
          <w:rFonts w:asciiTheme="minorHAnsi" w:hAnsiTheme="minorHAnsi" w:cstheme="minorHAnsi"/>
          <w:sz w:val="18"/>
          <w:szCs w:val="18"/>
        </w:rPr>
        <w:t>Liefländer</w:t>
      </w:r>
      <w:proofErr w:type="spellEnd"/>
      <w:r w:rsidRPr="00357FE0">
        <w:rPr>
          <w:rFonts w:asciiTheme="minorHAnsi" w:hAnsiTheme="minorHAnsi" w:cstheme="minorHAnsi"/>
          <w:sz w:val="18"/>
          <w:szCs w:val="18"/>
        </w:rPr>
        <w:t>, ‘The UK-EU Withdrawal Agreement – A Commentary’ (OUP, 2021), at 39.</w:t>
      </w:r>
    </w:p>
  </w:footnote>
  <w:footnote w:id="125">
    <w:p w14:paraId="565EF5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51 of the </w:t>
      </w:r>
      <w:hyperlink r:id="rId101" w:history="1">
        <w:r w:rsidRPr="00357FE0">
          <w:rPr>
            <w:rStyle w:val="Hyperlink"/>
            <w:rFonts w:asciiTheme="minorHAnsi" w:hAnsiTheme="minorHAnsi" w:cstheme="minorHAnsi"/>
            <w:color w:val="auto"/>
            <w:sz w:val="18"/>
            <w:szCs w:val="18"/>
          </w:rPr>
          <w:t>EU Charter of Fundamental Rights</w:t>
        </w:r>
      </w:hyperlink>
      <w:r w:rsidRPr="00357FE0">
        <w:rPr>
          <w:rFonts w:asciiTheme="minorHAnsi" w:hAnsiTheme="minorHAnsi" w:cstheme="minorHAnsi"/>
          <w:sz w:val="18"/>
          <w:szCs w:val="18"/>
        </w:rPr>
        <w:t>.</w:t>
      </w:r>
    </w:p>
  </w:footnote>
  <w:footnote w:id="126">
    <w:p w14:paraId="1404E93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Vera </w:t>
      </w:r>
      <w:proofErr w:type="spellStart"/>
      <w:r w:rsidRPr="00357FE0">
        <w:rPr>
          <w:rFonts w:asciiTheme="minorHAnsi" w:hAnsiTheme="minorHAnsi" w:cstheme="minorHAnsi"/>
          <w:i/>
          <w:iCs/>
          <w:sz w:val="18"/>
          <w:szCs w:val="18"/>
        </w:rPr>
        <w:t>Egenberger</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Evangelisches</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Werk</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Diakonie</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Entwicklung</w:t>
      </w:r>
      <w:proofErr w:type="spellEnd"/>
      <w:r w:rsidRPr="00357FE0">
        <w:rPr>
          <w:rFonts w:asciiTheme="minorHAnsi" w:hAnsiTheme="minorHAnsi" w:cstheme="minorHAnsi"/>
          <w:i/>
          <w:iCs/>
          <w:sz w:val="18"/>
          <w:szCs w:val="18"/>
        </w:rPr>
        <w:t xml:space="preserve"> eV, </w:t>
      </w:r>
      <w:r w:rsidRPr="00357FE0">
        <w:rPr>
          <w:rFonts w:asciiTheme="minorHAnsi" w:hAnsiTheme="minorHAnsi" w:cstheme="minorHAnsi"/>
          <w:sz w:val="18"/>
          <w:szCs w:val="18"/>
        </w:rPr>
        <w:t>Case C-414/16, 17 April 2018, at para 78.</w:t>
      </w:r>
    </w:p>
  </w:footnote>
  <w:footnote w:id="127">
    <w:p w14:paraId="1B7388E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Vera </w:t>
      </w:r>
      <w:proofErr w:type="spellStart"/>
      <w:r w:rsidRPr="00357FE0">
        <w:rPr>
          <w:rFonts w:asciiTheme="minorHAnsi" w:hAnsiTheme="minorHAnsi" w:cstheme="minorHAnsi"/>
          <w:i/>
          <w:iCs/>
          <w:sz w:val="18"/>
          <w:szCs w:val="18"/>
        </w:rPr>
        <w:t>Egenberger</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Evangelisches</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Werk</w:t>
      </w:r>
      <w:proofErr w:type="spellEnd"/>
      <w:r w:rsidRPr="00357FE0">
        <w:rPr>
          <w:rFonts w:asciiTheme="minorHAnsi" w:hAnsiTheme="minorHAnsi" w:cstheme="minorHAnsi"/>
          <w:i/>
          <w:iCs/>
          <w:sz w:val="18"/>
          <w:szCs w:val="18"/>
        </w:rPr>
        <w:t xml:space="preserve"> für </w:t>
      </w:r>
      <w:proofErr w:type="spellStart"/>
      <w:r w:rsidRPr="00357FE0">
        <w:rPr>
          <w:rFonts w:asciiTheme="minorHAnsi" w:hAnsiTheme="minorHAnsi" w:cstheme="minorHAnsi"/>
          <w:i/>
          <w:iCs/>
          <w:sz w:val="18"/>
          <w:szCs w:val="18"/>
        </w:rPr>
        <w:t>Diakonie</w:t>
      </w:r>
      <w:proofErr w:type="spellEnd"/>
      <w:r w:rsidRPr="00357FE0">
        <w:rPr>
          <w:rFonts w:asciiTheme="minorHAnsi" w:hAnsiTheme="minorHAnsi" w:cstheme="minorHAnsi"/>
          <w:i/>
          <w:iCs/>
          <w:sz w:val="18"/>
          <w:szCs w:val="18"/>
        </w:rPr>
        <w:t xml:space="preserve"> und </w:t>
      </w:r>
      <w:proofErr w:type="spellStart"/>
      <w:r w:rsidRPr="00357FE0">
        <w:rPr>
          <w:rFonts w:asciiTheme="minorHAnsi" w:hAnsiTheme="minorHAnsi" w:cstheme="minorHAnsi"/>
          <w:i/>
          <w:iCs/>
          <w:sz w:val="18"/>
          <w:szCs w:val="18"/>
        </w:rPr>
        <w:t>Entwicklung</w:t>
      </w:r>
      <w:proofErr w:type="spellEnd"/>
      <w:r w:rsidRPr="00357FE0">
        <w:rPr>
          <w:rFonts w:asciiTheme="minorHAnsi" w:hAnsiTheme="minorHAnsi" w:cstheme="minorHAnsi"/>
          <w:i/>
          <w:iCs/>
          <w:sz w:val="18"/>
          <w:szCs w:val="18"/>
        </w:rPr>
        <w:t xml:space="preserve"> eV, </w:t>
      </w:r>
      <w:r w:rsidRPr="00357FE0">
        <w:rPr>
          <w:rFonts w:asciiTheme="minorHAnsi" w:hAnsiTheme="minorHAnsi" w:cstheme="minorHAnsi"/>
          <w:sz w:val="18"/>
          <w:szCs w:val="18"/>
        </w:rPr>
        <w:t>Case C-414/16, 17 April 2018, at para 79.</w:t>
      </w:r>
    </w:p>
  </w:footnote>
  <w:footnote w:id="128">
    <w:p w14:paraId="3A578F9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For further discussion on the EU Charter and Protocol Article 2 see Bernard McCloskey, ‘Charter of Fundamental Rights’ in McCrudden (ed), ‘The Law and Practice of the Ireland-Northern Ireland Protocol’ (OUP, 2021), at 164-166.</w:t>
      </w:r>
    </w:p>
  </w:footnote>
  <w:footnote w:id="129">
    <w:p w14:paraId="4C2C318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02" w:history="1">
        <w:r w:rsidRPr="00357FE0">
          <w:rPr>
            <w:rStyle w:val="Hyperlink"/>
            <w:rFonts w:asciiTheme="minorHAnsi" w:hAnsiTheme="minorHAnsi" w:cstheme="minorHAnsi"/>
            <w:color w:val="auto"/>
            <w:sz w:val="18"/>
            <w:szCs w:val="18"/>
          </w:rPr>
          <w:t>Council Decision 2010/48/EC</w:t>
        </w:r>
      </w:hyperlink>
      <w:r w:rsidRPr="00357FE0">
        <w:rPr>
          <w:rFonts w:asciiTheme="minorHAnsi" w:hAnsiTheme="minorHAnsi" w:cstheme="minorHAnsi"/>
          <w:sz w:val="18"/>
          <w:szCs w:val="18"/>
        </w:rPr>
        <w:t xml:space="preserve"> concerning the conclusion, by the European Community, of the United Nations Convention on the Rights of Persons with Disabilities, 26 November 2009. </w:t>
      </w:r>
    </w:p>
  </w:footnote>
  <w:footnote w:id="130">
    <w:p w14:paraId="5674DF2F"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03" w:history="1">
        <w:r w:rsidRPr="00357FE0">
          <w:rPr>
            <w:rStyle w:val="Hyperlink"/>
            <w:rFonts w:asciiTheme="minorHAnsi" w:hAnsiTheme="minorHAnsi" w:cstheme="minorHAnsi"/>
            <w:color w:val="auto"/>
            <w:sz w:val="18"/>
            <w:szCs w:val="18"/>
          </w:rPr>
          <w:t>Press Release</w:t>
        </w:r>
      </w:hyperlink>
      <w:r w:rsidRPr="00357FE0">
        <w:rPr>
          <w:rFonts w:asciiTheme="minorHAnsi" w:hAnsiTheme="minorHAnsi" w:cstheme="minorHAnsi"/>
          <w:sz w:val="18"/>
          <w:szCs w:val="18"/>
        </w:rPr>
        <w:t>: EU Ratifies UN Convention on Disability Rights’ (5 January 2011).</w:t>
      </w:r>
    </w:p>
  </w:footnote>
  <w:footnote w:id="131">
    <w:p w14:paraId="5CA2F16D"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Annex II, </w:t>
      </w:r>
      <w:hyperlink r:id="rId104" w:history="1">
        <w:r w:rsidRPr="00357FE0">
          <w:rPr>
            <w:rStyle w:val="Hyperlink"/>
            <w:rFonts w:asciiTheme="minorHAnsi" w:hAnsiTheme="minorHAnsi" w:cstheme="minorHAnsi"/>
            <w:color w:val="auto"/>
            <w:sz w:val="18"/>
            <w:szCs w:val="18"/>
          </w:rPr>
          <w:t>Council Decision 2010/48/EC</w:t>
        </w:r>
      </w:hyperlink>
      <w:r w:rsidRPr="00357FE0">
        <w:rPr>
          <w:rFonts w:asciiTheme="minorHAnsi" w:hAnsiTheme="minorHAnsi" w:cstheme="minorHAnsi"/>
          <w:sz w:val="18"/>
          <w:szCs w:val="18"/>
        </w:rPr>
        <w:t xml:space="preserve"> concerning the conclusion, by the European Community, of the United Nations Convention on the Rights of Persons with Disabilities, 26 November 2009 is a Declaration Concerning the  Competence of the European Community with regard to matters governed by the UN CRPD.  In the NI High Court, Colton J accepted that the UN CRPD is an integral part of the EU legal order and is “relevant for the purposes of determining whether subsequent actions by the UK constituted a diminution from rights protected that existed prior to UK Exit” (paras 105-106).  Colton J also concluded that “since abortion is not an EU competence, and since disability discrimination in the abortion context does not feature in any existing EU primary or secondary law, the UNCRPD as EU law does not, and cannot apply to it” (para 131).  </w:t>
      </w:r>
      <w:r w:rsidRPr="00357FE0">
        <w:rPr>
          <w:rFonts w:asciiTheme="minorHAnsi" w:hAnsiTheme="minorHAnsi" w:cstheme="minorHAnsi"/>
          <w:i/>
          <w:iCs/>
          <w:sz w:val="18"/>
          <w:szCs w:val="18"/>
        </w:rPr>
        <w:t xml:space="preserve">Re  </w:t>
      </w:r>
      <w:hyperlink r:id="rId105" w:history="1">
        <w:r w:rsidRPr="00357FE0">
          <w:rPr>
            <w:rStyle w:val="Hyperlink"/>
            <w:rFonts w:asciiTheme="minorHAnsi" w:hAnsiTheme="minorHAnsi" w:cstheme="minorHAnsi"/>
            <w:i/>
            <w:iCs/>
            <w:color w:val="auto"/>
            <w:sz w:val="18"/>
            <w:szCs w:val="18"/>
          </w:rPr>
          <w:t>SPUC Pro-Life Limited</w:t>
        </w:r>
      </w:hyperlink>
      <w:r w:rsidRPr="00357FE0">
        <w:rPr>
          <w:rFonts w:asciiTheme="minorHAnsi" w:hAnsiTheme="minorHAnsi" w:cstheme="minorHAnsi"/>
          <w:i/>
          <w:iCs/>
          <w:sz w:val="18"/>
          <w:szCs w:val="18"/>
        </w:rPr>
        <w:t xml:space="preserve"> </w:t>
      </w:r>
      <w:r w:rsidRPr="00357FE0">
        <w:rPr>
          <w:rFonts w:asciiTheme="minorHAnsi" w:hAnsiTheme="minorHAnsi" w:cstheme="minorHAnsi"/>
          <w:sz w:val="18"/>
          <w:szCs w:val="18"/>
        </w:rPr>
        <w:t xml:space="preserve">[2022] NIQB 9. </w:t>
      </w:r>
    </w:p>
  </w:footnote>
  <w:footnote w:id="132">
    <w:p w14:paraId="7214DD41" w14:textId="0E262643"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Commission set out internal arrangements for the implementation UN</w:t>
      </w:r>
      <w:r w:rsidR="00213DFA">
        <w:rPr>
          <w:rFonts w:asciiTheme="minorHAnsi" w:hAnsiTheme="minorHAnsi" w:cstheme="minorHAnsi"/>
          <w:sz w:val="18"/>
          <w:szCs w:val="18"/>
        </w:rPr>
        <w:t xml:space="preserve"> </w:t>
      </w:r>
      <w:r w:rsidRPr="00357FE0">
        <w:rPr>
          <w:rFonts w:asciiTheme="minorHAnsi" w:hAnsiTheme="minorHAnsi" w:cstheme="minorHAnsi"/>
          <w:sz w:val="18"/>
          <w:szCs w:val="18"/>
        </w:rPr>
        <w:t>CRPD, (</w:t>
      </w:r>
      <w:hyperlink r:id="rId106" w:history="1">
        <w:r w:rsidRPr="00357FE0">
          <w:rPr>
            <w:rStyle w:val="Hyperlink"/>
            <w:rFonts w:asciiTheme="minorHAnsi" w:hAnsiTheme="minorHAnsi" w:cstheme="minorHAnsi"/>
            <w:color w:val="auto"/>
            <w:sz w:val="18"/>
            <w:szCs w:val="18"/>
          </w:rPr>
          <w:t>2010/C 340/08</w:t>
        </w:r>
      </w:hyperlink>
      <w:r w:rsidRPr="00357FE0">
        <w:rPr>
          <w:rFonts w:asciiTheme="minorHAnsi" w:hAnsiTheme="minorHAnsi" w:cstheme="minorHAnsi"/>
          <w:sz w:val="18"/>
          <w:szCs w:val="18"/>
        </w:rPr>
        <w:t xml:space="preserve">), which committed EU institutions and member states to “close cooperation in the implementation of the Convention, bearing in mind … the different competences of the [EU] institutions and the Member States … and bearing in mind that the scope and exercise of the EU's competence are, by their nature, subject to continuous development”.  In its initial report to the UN CRPD Committee, the </w:t>
      </w:r>
      <w:r w:rsidR="00213DFA">
        <w:rPr>
          <w:rFonts w:asciiTheme="minorHAnsi" w:hAnsiTheme="minorHAnsi" w:cstheme="minorHAnsi"/>
          <w:sz w:val="18"/>
          <w:szCs w:val="18"/>
        </w:rPr>
        <w:t xml:space="preserve">EU </w:t>
      </w:r>
      <w:r w:rsidRPr="00357FE0">
        <w:rPr>
          <w:rFonts w:asciiTheme="minorHAnsi" w:hAnsiTheme="minorHAnsi" w:cstheme="minorHAnsi"/>
          <w:sz w:val="18"/>
          <w:szCs w:val="18"/>
        </w:rPr>
        <w:t xml:space="preserve">Commission stated that the Annex II list of competences “illustrates the extent of Union competence with respect to matters governed by the CRPD” (EU Commission, </w:t>
      </w:r>
      <w:hyperlink r:id="rId107" w:history="1">
        <w:r w:rsidRPr="00357FE0">
          <w:rPr>
            <w:rStyle w:val="Hyperlink"/>
            <w:rFonts w:asciiTheme="minorHAnsi" w:hAnsiTheme="minorHAnsi" w:cstheme="minorHAnsi"/>
            <w:color w:val="auto"/>
            <w:sz w:val="18"/>
            <w:szCs w:val="18"/>
          </w:rPr>
          <w:t>Initial report</w:t>
        </w:r>
      </w:hyperlink>
      <w:r w:rsidRPr="00357FE0">
        <w:rPr>
          <w:rFonts w:asciiTheme="minorHAnsi" w:hAnsiTheme="minorHAnsi" w:cstheme="minorHAnsi"/>
          <w:sz w:val="18"/>
          <w:szCs w:val="18"/>
        </w:rPr>
        <w:t xml:space="preserve"> of the EU to the UN CRPD Committee, 5 June 2014).</w:t>
      </w:r>
    </w:p>
  </w:footnote>
  <w:footnote w:id="133">
    <w:p w14:paraId="2578EDB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NI Office, ‘</w:t>
      </w:r>
      <w:hyperlink r:id="rId108" w:history="1">
        <w:r w:rsidRPr="00357FE0">
          <w:rPr>
            <w:rStyle w:val="Hyperlink"/>
            <w:rFonts w:asciiTheme="minorHAnsi" w:hAnsiTheme="minorHAnsi" w:cstheme="minorHAnsi"/>
            <w:color w:val="auto"/>
            <w:sz w:val="18"/>
            <w:szCs w:val="18"/>
          </w:rPr>
          <w:t>UK Government Commitment</w:t>
        </w:r>
      </w:hyperlink>
      <w:r w:rsidRPr="00357FE0">
        <w:rPr>
          <w:rFonts w:asciiTheme="minorHAnsi" w:hAnsiTheme="minorHAnsi" w:cstheme="minorHAnsi"/>
          <w:sz w:val="18"/>
          <w:szCs w:val="18"/>
        </w:rPr>
        <w:t xml:space="preserve"> to “No Diminution of Rights, Safeguards and Equality of Opportunity” in Northern Ireland: What does it Mean and How will it be Implemented?’ (NIO, 2020), at para 13.</w:t>
      </w:r>
    </w:p>
  </w:footnote>
  <w:footnote w:id="134">
    <w:p w14:paraId="2B445CEC"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09"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‘EU Council Directive on Establishing a General Framework for Equal Treatment in Employment and Occupation’, 27 November 2000.</w:t>
      </w:r>
    </w:p>
  </w:footnote>
  <w:footnote w:id="135">
    <w:p w14:paraId="78ADA29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0" w:history="1">
        <w:r w:rsidRPr="00357FE0">
          <w:rPr>
            <w:rStyle w:val="Hyperlink"/>
            <w:rFonts w:asciiTheme="minorHAnsi" w:hAnsiTheme="minorHAnsi" w:cstheme="minorHAnsi"/>
            <w:color w:val="auto"/>
            <w:sz w:val="18"/>
            <w:szCs w:val="18"/>
          </w:rPr>
          <w:t>Union of Equality: Strategy for the Rights of Persons with Disabilities 2021-2030</w:t>
        </w:r>
      </w:hyperlink>
      <w:r w:rsidRPr="00357FE0">
        <w:rPr>
          <w:rFonts w:asciiTheme="minorHAnsi" w:hAnsiTheme="minorHAnsi" w:cstheme="minorHAnsi"/>
          <w:sz w:val="18"/>
          <w:szCs w:val="18"/>
        </w:rPr>
        <w:t>’ (EU Commission, 2021), at para 5.2.</w:t>
      </w:r>
    </w:p>
  </w:footnote>
  <w:footnote w:id="136">
    <w:p w14:paraId="3843B1C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Jette</w:t>
      </w:r>
      <w:proofErr w:type="spellEnd"/>
      <w:r w:rsidRPr="00357FE0">
        <w:rPr>
          <w:rFonts w:asciiTheme="minorHAnsi" w:hAnsiTheme="minorHAnsi" w:cstheme="minorHAnsi"/>
          <w:i/>
          <w:iCs/>
          <w:sz w:val="18"/>
          <w:szCs w:val="18"/>
        </w:rPr>
        <w:t xml:space="preserve"> Ring and Lone </w:t>
      </w:r>
      <w:proofErr w:type="spellStart"/>
      <w:r w:rsidRPr="00357FE0">
        <w:rPr>
          <w:rFonts w:asciiTheme="minorHAnsi" w:hAnsiTheme="minorHAnsi" w:cstheme="minorHAnsi"/>
          <w:i/>
          <w:iCs/>
          <w:sz w:val="18"/>
          <w:szCs w:val="18"/>
        </w:rPr>
        <w:t>Skouboe</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Werge</w:t>
      </w:r>
      <w:proofErr w:type="spellEnd"/>
      <w:r w:rsidRPr="00357FE0">
        <w:rPr>
          <w:rFonts w:asciiTheme="minorHAnsi" w:hAnsiTheme="minorHAnsi" w:cstheme="minorHAnsi"/>
          <w:i/>
          <w:iCs/>
          <w:sz w:val="18"/>
          <w:szCs w:val="18"/>
        </w:rPr>
        <w:t>)</w:t>
      </w:r>
      <w:r w:rsidRPr="00357FE0">
        <w:rPr>
          <w:rFonts w:asciiTheme="minorHAnsi" w:hAnsiTheme="minorHAnsi" w:cstheme="minorHAnsi"/>
          <w:sz w:val="18"/>
          <w:szCs w:val="18"/>
        </w:rPr>
        <w:t xml:space="preserve">, Case 335/11 and Case 337/11, 11 April 2013, at paras 28-32; </w:t>
      </w:r>
      <w:r w:rsidRPr="00357FE0">
        <w:rPr>
          <w:rFonts w:asciiTheme="minorHAnsi" w:hAnsiTheme="minorHAnsi" w:cstheme="minorHAnsi"/>
          <w:i/>
          <w:iCs/>
          <w:sz w:val="18"/>
          <w:szCs w:val="18"/>
        </w:rPr>
        <w:t>Z v A Government Department</w:t>
      </w:r>
      <w:r w:rsidRPr="00357FE0">
        <w:rPr>
          <w:rFonts w:asciiTheme="minorHAnsi" w:hAnsiTheme="minorHAnsi" w:cstheme="minorHAnsi"/>
          <w:sz w:val="18"/>
          <w:szCs w:val="18"/>
        </w:rPr>
        <w:t>, Case C-363/12, 14 March 2014, at para 85.</w:t>
      </w:r>
    </w:p>
  </w:footnote>
  <w:footnote w:id="137">
    <w:p w14:paraId="180721C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1" w:history="1">
        <w:r w:rsidRPr="00357FE0">
          <w:rPr>
            <w:rStyle w:val="Hyperlink"/>
            <w:rFonts w:asciiTheme="minorHAnsi" w:hAnsiTheme="minorHAnsi" w:cstheme="minorHAnsi"/>
            <w:color w:val="auto"/>
            <w:sz w:val="18"/>
            <w:szCs w:val="18"/>
          </w:rPr>
          <w:t>Union of Equality: Strategy for the Rights of Persons with Disabilities 2021-2030</w:t>
        </w:r>
      </w:hyperlink>
      <w:r w:rsidRPr="00357FE0">
        <w:rPr>
          <w:rFonts w:asciiTheme="minorHAnsi" w:hAnsiTheme="minorHAnsi" w:cstheme="minorHAnsi"/>
          <w:sz w:val="18"/>
          <w:szCs w:val="18"/>
        </w:rPr>
        <w:t>’ (EU Commission, 2021), at 5.</w:t>
      </w:r>
    </w:p>
  </w:footnote>
  <w:footnote w:id="138">
    <w:p w14:paraId="64A812B4"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Z v A Government Department</w:t>
      </w:r>
      <w:r w:rsidRPr="00357FE0">
        <w:rPr>
          <w:rFonts w:asciiTheme="minorHAnsi" w:hAnsiTheme="minorHAnsi" w:cstheme="minorHAnsi"/>
          <w:sz w:val="18"/>
          <w:szCs w:val="18"/>
        </w:rPr>
        <w:t xml:space="preserve">, Case C-363/12, 14 March 2014, at paras 84-91 and accepted by the NI High Court in </w:t>
      </w:r>
      <w:r w:rsidRPr="00357FE0">
        <w:rPr>
          <w:rFonts w:asciiTheme="minorHAnsi" w:hAnsiTheme="minorHAnsi" w:cstheme="minorHAnsi"/>
          <w:i/>
          <w:iCs/>
          <w:sz w:val="18"/>
          <w:szCs w:val="18"/>
        </w:rPr>
        <w:t xml:space="preserve">Re SPUC Pro-Life Limited </w:t>
      </w:r>
      <w:r w:rsidRPr="00357FE0">
        <w:rPr>
          <w:rFonts w:asciiTheme="minorHAnsi" w:hAnsiTheme="minorHAnsi" w:cstheme="minorHAnsi"/>
          <w:sz w:val="18"/>
          <w:szCs w:val="18"/>
        </w:rPr>
        <w:t>[2022] NIQB 9, at para 131.</w:t>
      </w:r>
    </w:p>
  </w:footnote>
  <w:footnote w:id="139">
    <w:p w14:paraId="1EE278CE" w14:textId="77777777" w:rsidR="009F14CF" w:rsidRPr="00357FE0" w:rsidRDefault="009F14CF" w:rsidP="001317C1">
      <w:pPr>
        <w:pStyle w:val="Footnote"/>
        <w:rPr>
          <w:rFonts w:asciiTheme="minorHAnsi" w:hAnsiTheme="minorHAnsi" w:cstheme="minorHAnsi"/>
          <w:color w:val="auto"/>
          <w:sz w:val="18"/>
          <w:szCs w:val="18"/>
        </w:rPr>
      </w:pPr>
      <w:r w:rsidRPr="00357FE0">
        <w:rPr>
          <w:rStyle w:val="FootnoteReference"/>
          <w:rFonts w:asciiTheme="minorHAnsi" w:hAnsiTheme="minorHAnsi" w:cstheme="minorHAnsi"/>
          <w:color w:val="auto"/>
          <w:sz w:val="18"/>
          <w:szCs w:val="18"/>
        </w:rPr>
        <w:footnoteRef/>
      </w:r>
      <w:r w:rsidRPr="00357FE0">
        <w:rPr>
          <w:rFonts w:asciiTheme="minorHAnsi" w:hAnsiTheme="minorHAnsi" w:cstheme="minorHAnsi"/>
          <w:color w:val="auto"/>
          <w:sz w:val="18"/>
          <w:szCs w:val="18"/>
        </w:rPr>
        <w:t xml:space="preserve"> </w:t>
      </w:r>
      <w:hyperlink r:id="rId112"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color w:val="auto"/>
          <w:sz w:val="18"/>
          <w:szCs w:val="18"/>
        </w:rPr>
        <w:t>, ‘EU Council Directive on Establishing a General Framework for Equal Treatment in Employment and Occupation’, 27 November 2000.</w:t>
      </w:r>
    </w:p>
  </w:footnote>
  <w:footnote w:id="140">
    <w:p w14:paraId="7141428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Sonia </w:t>
      </w:r>
      <w:proofErr w:type="spellStart"/>
      <w:r w:rsidRPr="00357FE0">
        <w:rPr>
          <w:rFonts w:asciiTheme="minorHAnsi" w:hAnsiTheme="minorHAnsi" w:cstheme="minorHAnsi"/>
          <w:i/>
          <w:iCs/>
          <w:sz w:val="18"/>
          <w:szCs w:val="18"/>
        </w:rPr>
        <w:t>Chacón</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Navas</w:t>
      </w:r>
      <w:proofErr w:type="spellEnd"/>
      <w:r w:rsidRPr="00357FE0">
        <w:rPr>
          <w:rFonts w:asciiTheme="minorHAnsi" w:hAnsiTheme="minorHAnsi" w:cstheme="minorHAnsi"/>
          <w:i/>
          <w:iCs/>
          <w:sz w:val="18"/>
          <w:szCs w:val="18"/>
        </w:rPr>
        <w:t xml:space="preserve"> v Eurest </w:t>
      </w:r>
      <w:proofErr w:type="spellStart"/>
      <w:r w:rsidRPr="00357FE0">
        <w:rPr>
          <w:rFonts w:asciiTheme="minorHAnsi" w:hAnsiTheme="minorHAnsi" w:cstheme="minorHAnsi"/>
          <w:i/>
          <w:iCs/>
          <w:sz w:val="18"/>
          <w:szCs w:val="18"/>
        </w:rPr>
        <w:t>Colectividades</w:t>
      </w:r>
      <w:proofErr w:type="spellEnd"/>
      <w:r w:rsidRPr="00357FE0">
        <w:rPr>
          <w:rFonts w:asciiTheme="minorHAnsi" w:hAnsiTheme="minorHAnsi" w:cstheme="minorHAnsi"/>
          <w:i/>
          <w:iCs/>
          <w:sz w:val="18"/>
          <w:szCs w:val="18"/>
        </w:rPr>
        <w:t xml:space="preserve"> SA</w:t>
      </w:r>
      <w:r w:rsidRPr="00357FE0">
        <w:rPr>
          <w:rFonts w:asciiTheme="minorHAnsi" w:hAnsiTheme="minorHAnsi" w:cstheme="minorHAnsi"/>
          <w:sz w:val="18"/>
          <w:szCs w:val="18"/>
        </w:rPr>
        <w:t>, Case C -13/05, 11 July 2006, at para 43-46.</w:t>
      </w:r>
    </w:p>
  </w:footnote>
  <w:footnote w:id="141">
    <w:p w14:paraId="6FA186F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Preamble to the </w:t>
      </w:r>
      <w:hyperlink r:id="rId113" w:history="1">
        <w:r w:rsidRPr="00357FE0">
          <w:rPr>
            <w:rStyle w:val="Hyperlink"/>
            <w:rFonts w:asciiTheme="minorHAnsi" w:hAnsiTheme="minorHAnsi" w:cstheme="minorHAnsi"/>
            <w:color w:val="auto"/>
            <w:sz w:val="18"/>
            <w:szCs w:val="18"/>
          </w:rPr>
          <w:t>UN Convention on the Rights of People with Disabilities</w:t>
        </w:r>
      </w:hyperlink>
      <w:r w:rsidRPr="00357FE0">
        <w:rPr>
          <w:rFonts w:asciiTheme="minorHAnsi" w:hAnsiTheme="minorHAnsi" w:cstheme="minorHAnsi"/>
          <w:sz w:val="18"/>
          <w:szCs w:val="18"/>
        </w:rPr>
        <w:t>.</w:t>
      </w:r>
    </w:p>
  </w:footnote>
  <w:footnote w:id="142">
    <w:p w14:paraId="22C37073"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1, </w:t>
      </w:r>
      <w:hyperlink r:id="rId114" w:history="1">
        <w:r w:rsidRPr="00357FE0">
          <w:rPr>
            <w:rStyle w:val="Hyperlink"/>
            <w:rFonts w:asciiTheme="minorHAnsi" w:hAnsiTheme="minorHAnsi" w:cstheme="minorHAnsi"/>
            <w:color w:val="auto"/>
            <w:sz w:val="18"/>
            <w:szCs w:val="18"/>
          </w:rPr>
          <w:t>UN Convention on the Rights of People with Disabilities</w:t>
        </w:r>
      </w:hyperlink>
      <w:r w:rsidRPr="00357FE0">
        <w:rPr>
          <w:rFonts w:asciiTheme="minorHAnsi" w:hAnsiTheme="minorHAnsi" w:cstheme="minorHAnsi"/>
          <w:sz w:val="18"/>
          <w:szCs w:val="18"/>
        </w:rPr>
        <w:t>.</w:t>
      </w:r>
    </w:p>
  </w:footnote>
  <w:footnote w:id="143">
    <w:p w14:paraId="3EBDA09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Jette</w:t>
      </w:r>
      <w:proofErr w:type="spellEnd"/>
      <w:r w:rsidRPr="00357FE0">
        <w:rPr>
          <w:rFonts w:asciiTheme="minorHAnsi" w:hAnsiTheme="minorHAnsi" w:cstheme="minorHAnsi"/>
          <w:i/>
          <w:iCs/>
          <w:sz w:val="18"/>
          <w:szCs w:val="18"/>
        </w:rPr>
        <w:t xml:space="preserve"> Ring and Lone </w:t>
      </w:r>
      <w:proofErr w:type="spellStart"/>
      <w:r w:rsidRPr="00357FE0">
        <w:rPr>
          <w:rFonts w:asciiTheme="minorHAnsi" w:hAnsiTheme="minorHAnsi" w:cstheme="minorHAnsi"/>
          <w:i/>
          <w:iCs/>
          <w:sz w:val="18"/>
          <w:szCs w:val="18"/>
        </w:rPr>
        <w:t>Skouboe</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Werge</w:t>
      </w:r>
      <w:proofErr w:type="spellEnd"/>
      <w:r w:rsidRPr="00357FE0">
        <w:rPr>
          <w:rFonts w:asciiTheme="minorHAnsi" w:hAnsiTheme="minorHAnsi" w:cstheme="minorHAnsi"/>
          <w:i/>
          <w:iCs/>
          <w:sz w:val="18"/>
          <w:szCs w:val="18"/>
        </w:rPr>
        <w:t>)</w:t>
      </w:r>
      <w:r w:rsidRPr="00357FE0">
        <w:rPr>
          <w:rFonts w:asciiTheme="minorHAnsi" w:hAnsiTheme="minorHAnsi" w:cstheme="minorHAnsi"/>
          <w:sz w:val="18"/>
          <w:szCs w:val="18"/>
        </w:rPr>
        <w:t>, Case 335/11 and Case 337/11, 11 April 2013, at para 41.</w:t>
      </w:r>
    </w:p>
  </w:footnote>
  <w:footnote w:id="144">
    <w:p w14:paraId="0BC70FF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15" w:history="1">
        <w:r w:rsidRPr="00357FE0">
          <w:rPr>
            <w:rStyle w:val="Hyperlink"/>
            <w:rFonts w:asciiTheme="minorHAnsi" w:hAnsiTheme="minorHAnsi" w:cstheme="minorHAnsi"/>
            <w:color w:val="auto"/>
            <w:sz w:val="18"/>
            <w:szCs w:val="18"/>
          </w:rPr>
          <w:t>Council Directive 2000/43/EC</w:t>
        </w:r>
      </w:hyperlink>
      <w:r w:rsidRPr="00357FE0">
        <w:rPr>
          <w:rFonts w:asciiTheme="minorHAnsi" w:hAnsiTheme="minorHAnsi" w:cstheme="minorHAnsi"/>
          <w:sz w:val="18"/>
          <w:szCs w:val="18"/>
        </w:rPr>
        <w:t xml:space="preserve"> on Implementing the Principle of Equal Treatment between Persons Irrespective of Racial or Ethnic Origin, 29 June 2000.</w:t>
      </w:r>
    </w:p>
  </w:footnote>
  <w:footnote w:id="145">
    <w:p w14:paraId="6EBC05F0"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16" w:history="1">
        <w:r w:rsidRPr="00357FE0">
          <w:rPr>
            <w:rStyle w:val="Hyperlink"/>
            <w:rFonts w:asciiTheme="minorHAnsi" w:hAnsiTheme="minorHAnsi" w:cstheme="minorHAnsi"/>
            <w:color w:val="auto"/>
            <w:sz w:val="18"/>
            <w:szCs w:val="18"/>
          </w:rPr>
          <w:t>Report</w:t>
        </w:r>
      </w:hyperlink>
      <w:r w:rsidRPr="00357FE0">
        <w:rPr>
          <w:rFonts w:asciiTheme="minorHAnsi" w:hAnsiTheme="minorHAnsi" w:cstheme="minorHAnsi"/>
          <w:sz w:val="18"/>
          <w:szCs w:val="18"/>
        </w:rPr>
        <w:t xml:space="preserve"> to the European Parliament and the Council on the application of Directive 2000/43/EC (the Racial Equality Directive) and Directive 2000/78/EC (the Employment Equality Directive)’ COM(2021) 139, (EU Commission, 2021).</w:t>
      </w:r>
    </w:p>
  </w:footnote>
  <w:footnote w:id="146">
    <w:p w14:paraId="3E3CC385" w14:textId="7D81C743"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The CJEU has been guided by the interpretation by the ECtHR of ethnicity. The ECtHR states that “ethnicity has its origin in the idea of societal groups marked in particular by common nationality, religious faith, shared language, or cultural and traditional origins and backgrounds”. (</w:t>
      </w:r>
      <w:proofErr w:type="spellStart"/>
      <w:r w:rsidRPr="00357FE0">
        <w:rPr>
          <w:rFonts w:asciiTheme="minorHAnsi" w:hAnsiTheme="minorHAnsi" w:cstheme="minorHAnsi"/>
          <w:i/>
          <w:iCs/>
          <w:sz w:val="18"/>
          <w:szCs w:val="18"/>
        </w:rPr>
        <w:t>Sejdic</w:t>
      </w:r>
      <w:proofErr w:type="spellEnd"/>
      <w:r w:rsidRPr="00357FE0">
        <w:rPr>
          <w:rFonts w:asciiTheme="minorHAnsi" w:hAnsiTheme="minorHAnsi" w:cstheme="minorHAnsi"/>
          <w:i/>
          <w:iCs/>
          <w:sz w:val="18"/>
          <w:szCs w:val="18"/>
        </w:rPr>
        <w:t xml:space="preserve"> and </w:t>
      </w:r>
      <w:proofErr w:type="spellStart"/>
      <w:r w:rsidRPr="00357FE0">
        <w:rPr>
          <w:rFonts w:asciiTheme="minorHAnsi" w:hAnsiTheme="minorHAnsi" w:cstheme="minorHAnsi"/>
          <w:i/>
          <w:iCs/>
          <w:sz w:val="18"/>
          <w:szCs w:val="18"/>
        </w:rPr>
        <w:t>Finci</w:t>
      </w:r>
      <w:proofErr w:type="spellEnd"/>
      <w:r w:rsidRPr="00357FE0">
        <w:rPr>
          <w:rFonts w:asciiTheme="minorHAnsi" w:hAnsiTheme="minorHAnsi" w:cstheme="minorHAnsi"/>
          <w:i/>
          <w:iCs/>
          <w:sz w:val="18"/>
          <w:szCs w:val="18"/>
        </w:rPr>
        <w:t xml:space="preserve"> v Bosnia and Herzegovina</w:t>
      </w:r>
      <w:r w:rsidRPr="00357FE0">
        <w:rPr>
          <w:rFonts w:asciiTheme="minorHAnsi" w:hAnsiTheme="minorHAnsi" w:cstheme="minorHAnsi"/>
          <w:sz w:val="18"/>
          <w:szCs w:val="18"/>
        </w:rPr>
        <w:t xml:space="preserve"> (2009) ECHR 2122, at para 43) CJEU has found that where discrimination on the basis of a criterion which is “indissociable” from a person’s nationality it can fall within scope of the Race Directive. (</w:t>
      </w:r>
      <w:r w:rsidRPr="00357FE0">
        <w:rPr>
          <w:rFonts w:asciiTheme="minorHAnsi" w:hAnsiTheme="minorHAnsi" w:cstheme="minorHAnsi"/>
          <w:i/>
          <w:iCs/>
          <w:sz w:val="18"/>
          <w:szCs w:val="18"/>
        </w:rPr>
        <w:t xml:space="preserve">CHEZ </w:t>
      </w:r>
      <w:proofErr w:type="spellStart"/>
      <w:r w:rsidRPr="00357FE0">
        <w:rPr>
          <w:rFonts w:asciiTheme="minorHAnsi" w:hAnsiTheme="minorHAnsi" w:cstheme="minorHAnsi"/>
          <w:i/>
          <w:iCs/>
          <w:sz w:val="18"/>
          <w:szCs w:val="18"/>
        </w:rPr>
        <w:t>Razpredelenie</w:t>
      </w:r>
      <w:proofErr w:type="spellEnd"/>
      <w:r w:rsidRPr="00357FE0">
        <w:rPr>
          <w:rFonts w:asciiTheme="minorHAnsi" w:hAnsiTheme="minorHAnsi" w:cstheme="minorHAnsi"/>
          <w:i/>
          <w:iCs/>
          <w:sz w:val="18"/>
          <w:szCs w:val="18"/>
        </w:rPr>
        <w:t xml:space="preserve"> Bulgaria AD v </w:t>
      </w:r>
      <w:proofErr w:type="spellStart"/>
      <w:r w:rsidRPr="00357FE0">
        <w:rPr>
          <w:rFonts w:asciiTheme="minorHAnsi" w:hAnsiTheme="minorHAnsi" w:cstheme="minorHAnsi"/>
          <w:i/>
          <w:iCs/>
          <w:sz w:val="18"/>
          <w:szCs w:val="18"/>
        </w:rPr>
        <w:t>Komisia</w:t>
      </w:r>
      <w:proofErr w:type="spellEnd"/>
      <w:r w:rsidRPr="00357FE0">
        <w:rPr>
          <w:rFonts w:asciiTheme="minorHAnsi" w:hAnsiTheme="minorHAnsi" w:cstheme="minorHAnsi"/>
          <w:i/>
          <w:iCs/>
          <w:sz w:val="18"/>
          <w:szCs w:val="18"/>
        </w:rPr>
        <w:t xml:space="preserve"> za </w:t>
      </w:r>
      <w:proofErr w:type="spellStart"/>
      <w:r w:rsidRPr="00357FE0">
        <w:rPr>
          <w:rFonts w:asciiTheme="minorHAnsi" w:hAnsiTheme="minorHAnsi" w:cstheme="minorHAnsi"/>
          <w:i/>
          <w:iCs/>
          <w:sz w:val="18"/>
          <w:szCs w:val="18"/>
        </w:rPr>
        <w:t>zashtita</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ot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diskriminatsia</w:t>
      </w:r>
      <w:proofErr w:type="spellEnd"/>
      <w:r w:rsidRPr="00357FE0">
        <w:rPr>
          <w:rFonts w:asciiTheme="minorHAnsi" w:hAnsiTheme="minorHAnsi" w:cstheme="minorHAnsi"/>
          <w:sz w:val="18"/>
          <w:szCs w:val="18"/>
        </w:rPr>
        <w:t xml:space="preserve"> [GC], C-83/14, 16 July 2015, at para 46; </w:t>
      </w:r>
      <w:proofErr w:type="spellStart"/>
      <w:r w:rsidRPr="00357FE0">
        <w:rPr>
          <w:rFonts w:asciiTheme="minorHAnsi" w:hAnsiTheme="minorHAnsi" w:cstheme="minorHAnsi"/>
          <w:i/>
          <w:iCs/>
          <w:sz w:val="18"/>
          <w:szCs w:val="18"/>
        </w:rPr>
        <w:t>Bressol</w:t>
      </w:r>
      <w:proofErr w:type="spellEnd"/>
      <w:r w:rsidRPr="00357FE0">
        <w:rPr>
          <w:rFonts w:asciiTheme="minorHAnsi" w:hAnsiTheme="minorHAnsi" w:cstheme="minorHAnsi"/>
          <w:i/>
          <w:iCs/>
          <w:sz w:val="18"/>
          <w:szCs w:val="18"/>
        </w:rPr>
        <w:t xml:space="preserve"> v </w:t>
      </w:r>
      <w:proofErr w:type="spellStart"/>
      <w:r w:rsidRPr="00357FE0">
        <w:rPr>
          <w:rFonts w:asciiTheme="minorHAnsi" w:hAnsiTheme="minorHAnsi" w:cstheme="minorHAnsi"/>
          <w:i/>
          <w:iCs/>
          <w:sz w:val="18"/>
          <w:szCs w:val="18"/>
        </w:rPr>
        <w:t>Gouvernement</w:t>
      </w:r>
      <w:proofErr w:type="spellEnd"/>
      <w:r w:rsidRPr="00357FE0">
        <w:rPr>
          <w:rFonts w:asciiTheme="minorHAnsi" w:hAnsiTheme="minorHAnsi" w:cstheme="minorHAnsi"/>
          <w:i/>
          <w:iCs/>
          <w:sz w:val="18"/>
          <w:szCs w:val="18"/>
        </w:rPr>
        <w:t xml:space="preserve"> de la </w:t>
      </w:r>
      <w:proofErr w:type="spellStart"/>
      <w:r w:rsidRPr="00357FE0">
        <w:rPr>
          <w:rFonts w:asciiTheme="minorHAnsi" w:hAnsiTheme="minorHAnsi" w:cstheme="minorHAnsi"/>
          <w:i/>
          <w:iCs/>
          <w:sz w:val="18"/>
          <w:szCs w:val="18"/>
        </w:rPr>
        <w:t>Communauté</w:t>
      </w:r>
      <w:proofErr w:type="spellEnd"/>
      <w:r w:rsidRPr="00357FE0">
        <w:rPr>
          <w:rFonts w:asciiTheme="minorHAnsi" w:hAnsiTheme="minorHAnsi" w:cstheme="minorHAnsi"/>
          <w:i/>
          <w:iCs/>
          <w:sz w:val="18"/>
          <w:szCs w:val="18"/>
        </w:rPr>
        <w:t xml:space="preserve"> Française</w:t>
      </w:r>
      <w:r w:rsidRPr="00357FE0">
        <w:rPr>
          <w:rFonts w:asciiTheme="minorHAnsi" w:hAnsiTheme="minorHAnsi" w:cstheme="minorHAnsi"/>
          <w:sz w:val="18"/>
          <w:szCs w:val="18"/>
        </w:rPr>
        <w:t>, Case C-73/08, 13 April 2010)</w:t>
      </w:r>
    </w:p>
  </w:footnote>
  <w:footnote w:id="147">
    <w:p w14:paraId="3C259E8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17" w:history="1">
        <w:r w:rsidRPr="00357FE0">
          <w:rPr>
            <w:rStyle w:val="Hyperlink"/>
            <w:rFonts w:asciiTheme="minorHAnsi" w:hAnsiTheme="minorHAnsi" w:cstheme="minorHAnsi"/>
            <w:color w:val="auto"/>
            <w:sz w:val="18"/>
            <w:szCs w:val="18"/>
          </w:rPr>
          <w:t>Council Directive 2000/78/EC</w:t>
        </w:r>
      </w:hyperlink>
      <w:r w:rsidRPr="00357FE0">
        <w:rPr>
          <w:rFonts w:asciiTheme="minorHAnsi" w:hAnsiTheme="minorHAnsi" w:cstheme="minorHAnsi"/>
          <w:sz w:val="18"/>
          <w:szCs w:val="18"/>
        </w:rPr>
        <w:t xml:space="preserve"> on Establishing a General Framework for Equal Treatment in Employment and Occupation, 27 November 2000.</w:t>
      </w:r>
    </w:p>
  </w:footnote>
  <w:footnote w:id="148">
    <w:p w14:paraId="0A40943E"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In addition, the Directive permits action in the area of recruitment to tackle religious underrepresentation in the PSNI. These measures are no longer in operation. </w:t>
      </w:r>
    </w:p>
  </w:footnote>
  <w:footnote w:id="149">
    <w:p w14:paraId="6A83BC2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Jette</w:t>
      </w:r>
      <w:proofErr w:type="spellEnd"/>
      <w:r w:rsidRPr="00357FE0">
        <w:rPr>
          <w:rFonts w:asciiTheme="minorHAnsi" w:hAnsiTheme="minorHAnsi" w:cstheme="minorHAnsi"/>
          <w:i/>
          <w:iCs/>
          <w:sz w:val="18"/>
          <w:szCs w:val="18"/>
        </w:rPr>
        <w:t xml:space="preserve"> Ring) v Dansk </w:t>
      </w:r>
      <w:proofErr w:type="spellStart"/>
      <w:r w:rsidRPr="00357FE0">
        <w:rPr>
          <w:rFonts w:asciiTheme="minorHAnsi" w:hAnsiTheme="minorHAnsi" w:cstheme="minorHAnsi"/>
          <w:i/>
          <w:iCs/>
          <w:sz w:val="18"/>
          <w:szCs w:val="18"/>
        </w:rPr>
        <w:t>almennyttigt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Boligselskab</w:t>
      </w:r>
      <w:proofErr w:type="spellEnd"/>
      <w:r w:rsidRPr="00357FE0">
        <w:rPr>
          <w:rFonts w:asciiTheme="minorHAnsi" w:hAnsiTheme="minorHAnsi" w:cstheme="minorHAnsi"/>
          <w:sz w:val="18"/>
          <w:szCs w:val="18"/>
        </w:rPr>
        <w:t xml:space="preserve">, C-335/11 and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(Lone </w:t>
      </w:r>
      <w:proofErr w:type="spellStart"/>
      <w:r w:rsidRPr="00357FE0">
        <w:rPr>
          <w:rFonts w:asciiTheme="minorHAnsi" w:hAnsiTheme="minorHAnsi" w:cstheme="minorHAnsi"/>
          <w:i/>
          <w:iCs/>
          <w:sz w:val="18"/>
          <w:szCs w:val="18"/>
        </w:rPr>
        <w:t>Skouboe</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Werge</w:t>
      </w:r>
      <w:proofErr w:type="spellEnd"/>
      <w:r w:rsidRPr="00357FE0">
        <w:rPr>
          <w:rFonts w:asciiTheme="minorHAnsi" w:hAnsiTheme="minorHAnsi" w:cstheme="minorHAnsi"/>
          <w:i/>
          <w:iCs/>
          <w:sz w:val="18"/>
          <w:szCs w:val="18"/>
        </w:rPr>
        <w:t xml:space="preserve">) v. Dansk </w:t>
      </w:r>
      <w:proofErr w:type="spellStart"/>
      <w:r w:rsidRPr="00357FE0">
        <w:rPr>
          <w:rFonts w:asciiTheme="minorHAnsi" w:hAnsiTheme="minorHAnsi" w:cstheme="minorHAnsi"/>
          <w:i/>
          <w:iCs/>
          <w:sz w:val="18"/>
          <w:szCs w:val="18"/>
        </w:rPr>
        <w:t>Arbejdsgiverforening</w:t>
      </w:r>
      <w:proofErr w:type="spellEnd"/>
      <w:r w:rsidRPr="00357FE0">
        <w:rPr>
          <w:rFonts w:asciiTheme="minorHAnsi" w:hAnsiTheme="minorHAnsi" w:cstheme="minorHAnsi"/>
          <w:i/>
          <w:iCs/>
          <w:sz w:val="18"/>
          <w:szCs w:val="18"/>
        </w:rPr>
        <w:t xml:space="preserve"> (Pro Display A/S)</w:t>
      </w:r>
      <w:r w:rsidRPr="00357FE0">
        <w:rPr>
          <w:rFonts w:asciiTheme="minorHAnsi" w:hAnsiTheme="minorHAnsi" w:cstheme="minorHAnsi"/>
          <w:sz w:val="18"/>
          <w:szCs w:val="18"/>
        </w:rPr>
        <w:t>, C-33711, 11 April 2013 at para 37-42.</w:t>
      </w:r>
    </w:p>
  </w:footnote>
  <w:footnote w:id="150">
    <w:p w14:paraId="5AD615C2" w14:textId="3443BAAB"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5, </w:t>
      </w:r>
      <w:hyperlink r:id="rId118" w:history="1">
        <w:r w:rsidRPr="00357FE0">
          <w:rPr>
            <w:rStyle w:val="Hyperlink"/>
            <w:rFonts w:asciiTheme="minorHAnsi" w:hAnsiTheme="minorHAnsi" w:cstheme="minorHAnsi"/>
            <w:color w:val="auto"/>
            <w:sz w:val="18"/>
            <w:szCs w:val="18"/>
          </w:rPr>
          <w:t>Directive 2000/78/EC</w:t>
        </w:r>
      </w:hyperlink>
      <w:r w:rsidRPr="00357FE0">
        <w:rPr>
          <w:rFonts w:asciiTheme="minorHAnsi" w:hAnsiTheme="minorHAnsi" w:cstheme="minorHAnsi"/>
          <w:sz w:val="18"/>
          <w:szCs w:val="18"/>
        </w:rPr>
        <w:t>, ‘EU Council Directive on Establishing a General Framework for Equal Treatment in Employment and Occupation’, 27 November 2000.  The concept of reasonable accommodation has been interpreted broadly in line with the UN CRPD definition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Jette</w:t>
      </w:r>
      <w:proofErr w:type="spellEnd"/>
      <w:r w:rsidRPr="00357FE0">
        <w:rPr>
          <w:rFonts w:asciiTheme="minorHAnsi" w:hAnsiTheme="minorHAnsi" w:cstheme="minorHAnsi"/>
          <w:i/>
          <w:iCs/>
          <w:sz w:val="18"/>
          <w:szCs w:val="18"/>
        </w:rPr>
        <w:t xml:space="preserve"> Ring) v Dansk </w:t>
      </w:r>
      <w:proofErr w:type="spellStart"/>
      <w:r w:rsidRPr="00357FE0">
        <w:rPr>
          <w:rFonts w:asciiTheme="minorHAnsi" w:hAnsiTheme="minorHAnsi" w:cstheme="minorHAnsi"/>
          <w:i/>
          <w:iCs/>
          <w:sz w:val="18"/>
          <w:szCs w:val="18"/>
        </w:rPr>
        <w:t>almennyttigt</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Boligselskab</w:t>
      </w:r>
      <w:proofErr w:type="spellEnd"/>
      <w:r w:rsidRPr="00357FE0">
        <w:rPr>
          <w:rFonts w:asciiTheme="minorHAnsi" w:hAnsiTheme="minorHAnsi" w:cstheme="minorHAnsi"/>
          <w:sz w:val="18"/>
          <w:szCs w:val="18"/>
        </w:rPr>
        <w:t xml:space="preserve">, C-335/11 and </w:t>
      </w:r>
      <w:r w:rsidRPr="00357FE0">
        <w:rPr>
          <w:rFonts w:asciiTheme="minorHAnsi" w:hAnsiTheme="minorHAnsi" w:cstheme="minorHAnsi"/>
          <w:i/>
          <w:iCs/>
          <w:sz w:val="18"/>
          <w:szCs w:val="18"/>
        </w:rPr>
        <w:t xml:space="preserve">HK </w:t>
      </w:r>
      <w:proofErr w:type="spellStart"/>
      <w:r w:rsidRPr="00357FE0">
        <w:rPr>
          <w:rFonts w:asciiTheme="minorHAnsi" w:hAnsiTheme="minorHAnsi" w:cstheme="minorHAnsi"/>
          <w:i/>
          <w:iCs/>
          <w:sz w:val="18"/>
          <w:szCs w:val="18"/>
        </w:rPr>
        <w:t>Danmark</w:t>
      </w:r>
      <w:proofErr w:type="spellEnd"/>
      <w:r w:rsidRPr="00357FE0">
        <w:rPr>
          <w:rFonts w:asciiTheme="minorHAnsi" w:hAnsiTheme="minorHAnsi" w:cstheme="minorHAnsi"/>
          <w:i/>
          <w:iCs/>
          <w:sz w:val="18"/>
          <w:szCs w:val="18"/>
        </w:rPr>
        <w:t xml:space="preserve"> (Lone </w:t>
      </w:r>
      <w:proofErr w:type="spellStart"/>
      <w:r w:rsidRPr="00357FE0">
        <w:rPr>
          <w:rFonts w:asciiTheme="minorHAnsi" w:hAnsiTheme="minorHAnsi" w:cstheme="minorHAnsi"/>
          <w:i/>
          <w:iCs/>
          <w:sz w:val="18"/>
          <w:szCs w:val="18"/>
        </w:rPr>
        <w:t>Skouboe</w:t>
      </w:r>
      <w:proofErr w:type="spellEnd"/>
      <w:r w:rsidRPr="00357FE0">
        <w:rPr>
          <w:rFonts w:asciiTheme="minorHAnsi" w:hAnsiTheme="minorHAnsi" w:cstheme="minorHAnsi"/>
          <w:i/>
          <w:iCs/>
          <w:sz w:val="18"/>
          <w:szCs w:val="18"/>
        </w:rPr>
        <w:t xml:space="preserve"> </w:t>
      </w:r>
      <w:proofErr w:type="spellStart"/>
      <w:r w:rsidRPr="00357FE0">
        <w:rPr>
          <w:rFonts w:asciiTheme="minorHAnsi" w:hAnsiTheme="minorHAnsi" w:cstheme="minorHAnsi"/>
          <w:i/>
          <w:iCs/>
          <w:sz w:val="18"/>
          <w:szCs w:val="18"/>
        </w:rPr>
        <w:t>Werge</w:t>
      </w:r>
      <w:proofErr w:type="spellEnd"/>
      <w:r w:rsidRPr="00357FE0">
        <w:rPr>
          <w:rFonts w:asciiTheme="minorHAnsi" w:hAnsiTheme="minorHAnsi" w:cstheme="minorHAnsi"/>
          <w:i/>
          <w:iCs/>
          <w:sz w:val="18"/>
          <w:szCs w:val="18"/>
        </w:rPr>
        <w:t xml:space="preserve">) v. Dansk </w:t>
      </w:r>
      <w:proofErr w:type="spellStart"/>
      <w:r w:rsidRPr="00357FE0">
        <w:rPr>
          <w:rFonts w:asciiTheme="minorHAnsi" w:hAnsiTheme="minorHAnsi" w:cstheme="minorHAnsi"/>
          <w:i/>
          <w:iCs/>
          <w:sz w:val="18"/>
          <w:szCs w:val="18"/>
        </w:rPr>
        <w:t>Arbejdsgiverforening</w:t>
      </w:r>
      <w:proofErr w:type="spellEnd"/>
      <w:r w:rsidRPr="00357FE0">
        <w:rPr>
          <w:rFonts w:asciiTheme="minorHAnsi" w:hAnsiTheme="minorHAnsi" w:cstheme="minorHAnsi"/>
          <w:i/>
          <w:iCs/>
          <w:sz w:val="18"/>
          <w:szCs w:val="18"/>
        </w:rPr>
        <w:t xml:space="preserve"> (Pro Display A/S)</w:t>
      </w:r>
      <w:r w:rsidRPr="00357FE0">
        <w:rPr>
          <w:rFonts w:asciiTheme="minorHAnsi" w:hAnsiTheme="minorHAnsi" w:cstheme="minorHAnsi"/>
          <w:sz w:val="18"/>
          <w:szCs w:val="18"/>
        </w:rPr>
        <w:t>, C-33711, 11 April 2013 at para 53)</w:t>
      </w:r>
      <w:r w:rsidR="0085530A">
        <w:rPr>
          <w:rFonts w:asciiTheme="minorHAnsi" w:hAnsiTheme="minorHAnsi" w:cstheme="minorHAnsi"/>
          <w:sz w:val="18"/>
          <w:szCs w:val="18"/>
        </w:rPr>
        <w:t>.</w:t>
      </w:r>
    </w:p>
  </w:footnote>
  <w:footnote w:id="151">
    <w:p w14:paraId="620D9B66"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Equal treatment between men and women has been enshrined as a principle in EU law dating from its originating treaties. It is now recognised in Article 157 of the Treaty on the Functioning of the European Union.  </w:t>
      </w:r>
    </w:p>
  </w:footnote>
  <w:footnote w:id="152">
    <w:p w14:paraId="3F0F95C9"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Article 33(2) of the </w:t>
      </w:r>
      <w:hyperlink r:id="rId119" w:history="1">
        <w:r w:rsidRPr="00357FE0">
          <w:rPr>
            <w:rStyle w:val="Hyperlink"/>
            <w:rFonts w:asciiTheme="minorHAnsi" w:hAnsiTheme="minorHAnsi" w:cstheme="minorHAnsi"/>
            <w:color w:val="auto"/>
            <w:sz w:val="18"/>
            <w:szCs w:val="18"/>
          </w:rPr>
          <w:t>EU Charter</w:t>
        </w:r>
      </w:hyperlink>
      <w:r w:rsidRPr="00357FE0">
        <w:rPr>
          <w:rFonts w:asciiTheme="minorHAnsi" w:hAnsiTheme="minorHAnsi" w:cstheme="minorHAnsi"/>
          <w:sz w:val="18"/>
          <w:szCs w:val="18"/>
        </w:rPr>
        <w:t xml:space="preserve"> recognises rights connected with maternity, childbirth and adoption. In addition to the Annex 1 directives, other relevant EU measures include pregnant workers in the Pregnant Worker’s Directive (</w:t>
      </w:r>
      <w:hyperlink r:id="rId120" w:history="1">
        <w:r w:rsidRPr="00357FE0">
          <w:rPr>
            <w:rStyle w:val="Hyperlink"/>
            <w:rFonts w:asciiTheme="minorHAnsi" w:hAnsiTheme="minorHAnsi" w:cstheme="minorHAnsi"/>
            <w:color w:val="auto"/>
            <w:sz w:val="18"/>
            <w:szCs w:val="18"/>
          </w:rPr>
          <w:t>Directive 92/85/EEC</w:t>
        </w:r>
      </w:hyperlink>
      <w:r w:rsidRPr="00357FE0">
        <w:rPr>
          <w:rFonts w:asciiTheme="minorHAnsi" w:hAnsiTheme="minorHAnsi" w:cstheme="minorHAnsi"/>
          <w:sz w:val="18"/>
          <w:szCs w:val="18"/>
        </w:rPr>
        <w:t>, ‘Council Directive on the introduction of measures to encourage improvements in the safety and health at work of pregnant workers and workers who have recently given birth or are breastfeeding’, 19 October 1992) and Parental Leave Directive (</w:t>
      </w:r>
      <w:hyperlink r:id="rId121" w:history="1">
        <w:r w:rsidRPr="00357FE0">
          <w:rPr>
            <w:rStyle w:val="Hyperlink"/>
            <w:rFonts w:asciiTheme="minorHAnsi" w:hAnsiTheme="minorHAnsi" w:cstheme="minorHAnsi"/>
            <w:color w:val="auto"/>
            <w:sz w:val="18"/>
            <w:szCs w:val="18"/>
          </w:rPr>
          <w:t>Directive 2010/18/EU</w:t>
        </w:r>
      </w:hyperlink>
      <w:r w:rsidRPr="00357FE0">
        <w:rPr>
          <w:rFonts w:asciiTheme="minorHAnsi" w:hAnsiTheme="minorHAnsi" w:cstheme="minorHAnsi"/>
          <w:sz w:val="18"/>
          <w:szCs w:val="18"/>
        </w:rPr>
        <w:t>, ‘Council Directive implementing the revised Framework Agreement on parental leave’, 8 March 2010). While there is a commitment to dynamically align with the Annex 1 directives, these additional directives are subject to the no diminution commitment in Protocol Article 2.</w:t>
      </w:r>
    </w:p>
  </w:footnote>
  <w:footnote w:id="153">
    <w:p w14:paraId="53F211E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2" w:history="1">
        <w:r w:rsidRPr="00357FE0">
          <w:rPr>
            <w:rStyle w:val="Hyperlink"/>
            <w:rFonts w:asciiTheme="minorHAnsi" w:hAnsiTheme="minorHAnsi" w:cstheme="minorHAnsi"/>
            <w:color w:val="auto"/>
            <w:sz w:val="18"/>
            <w:szCs w:val="18"/>
          </w:rPr>
          <w:t>Directive 2004/113/EC</w:t>
        </w:r>
      </w:hyperlink>
      <w:r w:rsidRPr="00357FE0">
        <w:rPr>
          <w:rFonts w:asciiTheme="minorHAnsi" w:hAnsiTheme="minorHAnsi" w:cstheme="minorHAnsi"/>
          <w:sz w:val="18"/>
          <w:szCs w:val="18"/>
        </w:rPr>
        <w:t>, ‘Council Directive on Implementing the Principle of Equal Treatment between Men and Women in the access to and supply of goods and Services’, 13 December 2004.</w:t>
      </w:r>
    </w:p>
  </w:footnote>
  <w:footnote w:id="154">
    <w:p w14:paraId="08A62C4E" w14:textId="77777777" w:rsidR="009F14CF" w:rsidRPr="00357FE0" w:rsidRDefault="009F14CF" w:rsidP="001317C1">
      <w:pPr>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3" w:history="1">
        <w:r w:rsidRPr="00357FE0">
          <w:rPr>
            <w:rStyle w:val="Hyperlink"/>
            <w:rFonts w:asciiTheme="minorHAnsi" w:hAnsiTheme="minorHAnsi" w:cstheme="minorHAnsi"/>
            <w:color w:val="auto"/>
            <w:sz w:val="18"/>
            <w:szCs w:val="18"/>
          </w:rPr>
          <w:t>Directive 2006/54/EC</w:t>
        </w:r>
      </w:hyperlink>
      <w:r w:rsidRPr="00357FE0">
        <w:rPr>
          <w:rFonts w:asciiTheme="minorHAnsi" w:hAnsiTheme="minorHAnsi" w:cstheme="minorHAnsi"/>
          <w:sz w:val="18"/>
          <w:szCs w:val="18"/>
        </w:rPr>
        <w:t>, ‘Directive of European Parliament and of the Council on the Implementation of the Principle of Equal Opportunities and Equal Treatment of Men and Women in Matters of Employment and Occupation (Recast)’, 5 July 2006.</w:t>
      </w:r>
    </w:p>
  </w:footnote>
  <w:footnote w:id="155">
    <w:p w14:paraId="69FE6E3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EU Commission, ‘</w:t>
      </w:r>
      <w:hyperlink r:id="rId124" w:history="1">
        <w:r w:rsidRPr="00357FE0">
          <w:rPr>
            <w:rStyle w:val="Hyperlink"/>
            <w:rFonts w:asciiTheme="minorHAnsi" w:hAnsiTheme="minorHAnsi" w:cstheme="minorHAnsi"/>
            <w:color w:val="auto"/>
            <w:sz w:val="18"/>
            <w:szCs w:val="18"/>
          </w:rPr>
          <w:t>Report</w:t>
        </w:r>
      </w:hyperlink>
      <w:r w:rsidRPr="00357FE0">
        <w:rPr>
          <w:rFonts w:asciiTheme="minorHAnsi" w:hAnsiTheme="minorHAnsi" w:cstheme="minorHAnsi"/>
          <w:sz w:val="18"/>
          <w:szCs w:val="18"/>
        </w:rPr>
        <w:t xml:space="preserve"> to the European Parliament and the Council on the application of Directive 2006/54/EC on equal treatment of men and women in matters of employment and occupation (recast)’ COM(2013) 861, (EU Commission, 2013).   </w:t>
      </w:r>
    </w:p>
  </w:footnote>
  <w:footnote w:id="156">
    <w:p w14:paraId="60D66767"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5" w:history="1">
        <w:r w:rsidRPr="00357FE0">
          <w:rPr>
            <w:rStyle w:val="Hyperlink"/>
            <w:rFonts w:asciiTheme="minorHAnsi" w:hAnsiTheme="minorHAnsi" w:cstheme="minorHAnsi"/>
            <w:color w:val="auto"/>
            <w:sz w:val="18"/>
            <w:szCs w:val="18"/>
          </w:rPr>
          <w:t>Directive 2010/41/EU</w:t>
        </w:r>
      </w:hyperlink>
      <w:r w:rsidRPr="00357FE0">
        <w:rPr>
          <w:rFonts w:asciiTheme="minorHAnsi" w:hAnsiTheme="minorHAnsi" w:cstheme="minorHAnsi"/>
          <w:sz w:val="18"/>
          <w:szCs w:val="18"/>
        </w:rPr>
        <w:t>,  ‘Directive of the European Parliament and of the Council on the Application of the Principle of Equal Treatment between Men and Women Engaged in an Activity in a Self-employed Capacity’, 7 July 2010.</w:t>
      </w:r>
    </w:p>
  </w:footnote>
  <w:footnote w:id="157">
    <w:p w14:paraId="1C49C232"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w:t>
      </w:r>
      <w:hyperlink r:id="rId126" w:history="1">
        <w:r w:rsidRPr="00357FE0">
          <w:rPr>
            <w:rStyle w:val="Hyperlink"/>
            <w:rFonts w:asciiTheme="minorHAnsi" w:hAnsiTheme="minorHAnsi" w:cstheme="minorHAnsi"/>
            <w:color w:val="auto"/>
            <w:sz w:val="18"/>
            <w:szCs w:val="18"/>
          </w:rPr>
          <w:t>Directive 79/7/EEC</w:t>
        </w:r>
      </w:hyperlink>
      <w:r w:rsidRPr="00357FE0">
        <w:rPr>
          <w:rFonts w:asciiTheme="minorHAnsi" w:hAnsiTheme="minorHAnsi" w:cstheme="minorHAnsi"/>
          <w:sz w:val="18"/>
          <w:szCs w:val="18"/>
        </w:rPr>
        <w:t>, ‘Council Directive on the Progressive Implementation of the Principle of Equal Treatment for Men and Women in Matters of Social Security’, 19 December 1978.</w:t>
      </w:r>
    </w:p>
  </w:footnote>
  <w:footnote w:id="158">
    <w:p w14:paraId="54ABC198"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UK Government, ‘</w:t>
      </w:r>
      <w:hyperlink r:id="rId127" w:history="1">
        <w:r w:rsidRPr="00357FE0">
          <w:rPr>
            <w:rStyle w:val="Hyperlink"/>
            <w:rFonts w:asciiTheme="minorHAnsi" w:hAnsiTheme="minorHAnsi" w:cstheme="minorHAnsi"/>
            <w:color w:val="auto"/>
            <w:sz w:val="18"/>
            <w:szCs w:val="18"/>
          </w:rPr>
          <w:t>NI Protocol</w:t>
        </w:r>
      </w:hyperlink>
      <w:r w:rsidRPr="00357FE0">
        <w:rPr>
          <w:rFonts w:asciiTheme="minorHAnsi" w:hAnsiTheme="minorHAnsi" w:cstheme="minorHAnsi"/>
          <w:sz w:val="18"/>
          <w:szCs w:val="18"/>
        </w:rPr>
        <w:t xml:space="preserve">: the way forward’ (UKG, 2021), para 37.  </w:t>
      </w:r>
    </w:p>
  </w:footnote>
  <w:footnote w:id="159">
    <w:p w14:paraId="5C2EBE5B"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Paul Evans, Alexander Horne and Tasneem Ghazi, ‘</w:t>
      </w:r>
      <w:hyperlink r:id="rId128" w:history="1">
        <w:r w:rsidRPr="00357FE0">
          <w:rPr>
            <w:rStyle w:val="Hyperlink"/>
            <w:rFonts w:asciiTheme="minorHAnsi" w:hAnsiTheme="minorHAnsi" w:cstheme="minorHAnsi"/>
            <w:color w:val="auto"/>
            <w:sz w:val="18"/>
            <w:szCs w:val="18"/>
          </w:rPr>
          <w:t>Legislative Scrutiny and the Dedicated Mechanism for monitoring Article 2 of the Ireland/Northern Ireland Protocol</w:t>
        </w:r>
      </w:hyperlink>
      <w:r w:rsidRPr="00357FE0">
        <w:rPr>
          <w:rFonts w:asciiTheme="minorHAnsi" w:hAnsiTheme="minorHAnsi" w:cstheme="minorHAnsi"/>
          <w:sz w:val="18"/>
          <w:szCs w:val="18"/>
        </w:rPr>
        <w:t xml:space="preserve">’ (ECNI, 2021). </w:t>
      </w:r>
    </w:p>
  </w:footnote>
  <w:footnote w:id="160">
    <w:p w14:paraId="0849969C"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Alison Harvey, ‘</w:t>
      </w:r>
      <w:hyperlink r:id="rId129" w:history="1">
        <w:r w:rsidRPr="00357FE0">
          <w:rPr>
            <w:rStyle w:val="Hyperlink"/>
            <w:rFonts w:asciiTheme="minorHAnsi" w:hAnsiTheme="minorHAnsi" w:cstheme="minorHAnsi"/>
            <w:color w:val="auto"/>
            <w:sz w:val="18"/>
            <w:szCs w:val="18"/>
          </w:rPr>
          <w:t>Human Trafficking and Article 2 of the Ireland/Northern Ireland Protocol</w:t>
        </w:r>
      </w:hyperlink>
      <w:r w:rsidRPr="00357FE0">
        <w:rPr>
          <w:rFonts w:asciiTheme="minorHAnsi" w:hAnsiTheme="minorHAnsi" w:cstheme="minorHAnsi"/>
          <w:sz w:val="18"/>
          <w:szCs w:val="18"/>
        </w:rPr>
        <w:t>’ (NIHRC, 2022).</w:t>
      </w:r>
    </w:p>
  </w:footnote>
  <w:footnote w:id="161">
    <w:p w14:paraId="0A238138"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Tamara Hervey, ‘</w:t>
      </w:r>
      <w:hyperlink r:id="rId130" w:history="1">
        <w:r w:rsidRPr="00357FE0">
          <w:rPr>
            <w:rStyle w:val="Hyperlink"/>
            <w:rFonts w:asciiTheme="minorHAnsi" w:hAnsiTheme="minorHAnsi" w:cstheme="minorHAnsi"/>
            <w:color w:val="auto"/>
            <w:sz w:val="18"/>
            <w:szCs w:val="18"/>
          </w:rPr>
          <w:t>Brexit, Health, and its potential impact on Article 2 of the Ireland/Northern Ireland Protocol</w:t>
        </w:r>
      </w:hyperlink>
      <w:r w:rsidRPr="00357FE0">
        <w:rPr>
          <w:rFonts w:asciiTheme="minorHAnsi" w:hAnsiTheme="minorHAnsi" w:cstheme="minorHAnsi"/>
          <w:sz w:val="18"/>
          <w:szCs w:val="18"/>
        </w:rPr>
        <w:t>’ (NIHRC, 2022).</w:t>
      </w:r>
    </w:p>
  </w:footnote>
  <w:footnote w:id="162">
    <w:p w14:paraId="0F20EAB5"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Rory O’Connell and Dr Tim Cunningham, </w:t>
      </w:r>
      <w:hyperlink r:id="rId131" w:history="1">
        <w:r w:rsidRPr="00357FE0">
          <w:rPr>
            <w:rStyle w:val="Hyperlink"/>
            <w:rFonts w:asciiTheme="minorHAnsi" w:hAnsiTheme="minorHAnsi" w:cstheme="minorHAnsi"/>
            <w:color w:val="auto"/>
            <w:sz w:val="18"/>
            <w:szCs w:val="18"/>
          </w:rPr>
          <w:t>'Impact of Brexit on Section 75 Equality Groups in Northern Ireland: EU Funding</w:t>
        </w:r>
      </w:hyperlink>
      <w:r w:rsidRPr="00357FE0">
        <w:rPr>
          <w:rFonts w:asciiTheme="minorHAnsi" w:hAnsiTheme="minorHAnsi" w:cstheme="minorHAnsi"/>
          <w:sz w:val="18"/>
          <w:szCs w:val="18"/>
        </w:rPr>
        <w:t>’ (ECNI, 2022).</w:t>
      </w:r>
    </w:p>
  </w:footnote>
  <w:footnote w:id="163">
    <w:p w14:paraId="7CD8DF6B" w14:textId="77777777" w:rsidR="009F14CF" w:rsidRPr="00357FE0" w:rsidRDefault="009F14CF" w:rsidP="00D44D8F">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Sarah Craig, Anurag Deb, Eleni </w:t>
      </w:r>
      <w:proofErr w:type="spellStart"/>
      <w:r w:rsidRPr="00357FE0">
        <w:rPr>
          <w:rFonts w:asciiTheme="minorHAnsi" w:hAnsiTheme="minorHAnsi" w:cstheme="minorHAnsi"/>
          <w:sz w:val="18"/>
          <w:szCs w:val="18"/>
        </w:rPr>
        <w:t>Frantziou</w:t>
      </w:r>
      <w:proofErr w:type="spellEnd"/>
      <w:r w:rsidRPr="00357FE0">
        <w:rPr>
          <w:rFonts w:asciiTheme="minorHAnsi" w:hAnsiTheme="minorHAnsi" w:cstheme="minorHAnsi"/>
          <w:sz w:val="18"/>
          <w:szCs w:val="18"/>
        </w:rPr>
        <w:t>, Alexander Horne, Colin Murray, Clare Rice and Jane Rooney, ‘European Union Developments in Equality and Human Rights: The Impact of Brexit on the Divergence of Rights and Best Practice on the Island of Ireland’ (ECNI, NIHRC &amp; IHREC, forthcoming).</w:t>
      </w:r>
    </w:p>
  </w:footnote>
  <w:footnote w:id="164">
    <w:p w14:paraId="26FFF885"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Neither the EU, as party to the Withdrawal Agreement, nor the Government of Ireland as co-guarantor of the Belfast (Good Friday) Agreement, have similarly set out an interpretation of Article 2. </w:t>
      </w:r>
    </w:p>
  </w:footnote>
  <w:footnote w:id="165">
    <w:p w14:paraId="44EDC87A" w14:textId="77777777" w:rsidR="009F14CF" w:rsidRPr="00357FE0" w:rsidRDefault="009F14CF" w:rsidP="001317C1">
      <w:pPr>
        <w:pStyle w:val="FootnoteText"/>
        <w:spacing w:line="240" w:lineRule="auto"/>
        <w:rPr>
          <w:rFonts w:asciiTheme="minorHAnsi" w:hAnsiTheme="minorHAnsi" w:cstheme="minorHAnsi"/>
          <w:sz w:val="18"/>
          <w:szCs w:val="18"/>
        </w:rPr>
      </w:pPr>
      <w:r w:rsidRPr="00357FE0">
        <w:rPr>
          <w:rStyle w:val="FootnoteReference"/>
          <w:rFonts w:asciiTheme="minorHAnsi" w:hAnsiTheme="minorHAnsi" w:cstheme="minorHAnsi"/>
          <w:sz w:val="18"/>
          <w:szCs w:val="18"/>
        </w:rPr>
        <w:footnoteRef/>
      </w:r>
      <w:r w:rsidRPr="00357FE0">
        <w:rPr>
          <w:rFonts w:asciiTheme="minorHAnsi" w:hAnsiTheme="minorHAnsi" w:cstheme="minorHAnsi"/>
          <w:sz w:val="18"/>
          <w:szCs w:val="18"/>
        </w:rPr>
        <w:t xml:space="preserve"> Social Change Initiative, ‘Human Rights and Equality in Northern Ireland under the Protocol – </w:t>
      </w:r>
      <w:hyperlink r:id="rId132" w:history="1">
        <w:r w:rsidRPr="00357FE0">
          <w:rPr>
            <w:rStyle w:val="Hyperlink"/>
            <w:rFonts w:asciiTheme="minorHAnsi" w:hAnsiTheme="minorHAnsi" w:cstheme="minorHAnsi"/>
            <w:color w:val="auto"/>
            <w:sz w:val="18"/>
            <w:szCs w:val="18"/>
          </w:rPr>
          <w:t>A Practical Guide</w:t>
        </w:r>
      </w:hyperlink>
      <w:r w:rsidRPr="00357FE0">
        <w:rPr>
          <w:rFonts w:asciiTheme="minorHAnsi" w:hAnsiTheme="minorHAnsi" w:cstheme="minorHAnsi"/>
          <w:sz w:val="18"/>
          <w:szCs w:val="18"/>
        </w:rPr>
        <w:t xml:space="preserve">’ (SCI, 2021); Christopher McCrudden, ‘Parliamentary Scrutiny of the Joint Committee and the Application of the Northern Ireland Protocol – </w:t>
      </w:r>
      <w:hyperlink r:id="rId133" w:history="1">
        <w:r w:rsidRPr="00357FE0">
          <w:rPr>
            <w:rStyle w:val="Hyperlink"/>
            <w:rFonts w:asciiTheme="minorHAnsi" w:hAnsiTheme="minorHAnsi" w:cstheme="minorHAnsi"/>
            <w:color w:val="auto"/>
            <w:sz w:val="18"/>
            <w:szCs w:val="18"/>
          </w:rPr>
          <w:t>Evidence</w:t>
        </w:r>
      </w:hyperlink>
      <w:r w:rsidRPr="00357FE0">
        <w:rPr>
          <w:rFonts w:asciiTheme="minorHAnsi" w:hAnsiTheme="minorHAnsi" w:cstheme="minorHAnsi"/>
          <w:sz w:val="18"/>
          <w:szCs w:val="18"/>
        </w:rPr>
        <w:t xml:space="preserve"> to the House of Commons European Scrutiny Committee’ (ESC, 2020); Human Rights Consortium,  ‘The Northern Ireland/Ireland Protocol and Human Rights – </w:t>
      </w:r>
      <w:hyperlink r:id="rId134" w:history="1">
        <w:r w:rsidRPr="00357FE0">
          <w:rPr>
            <w:rStyle w:val="Hyperlink"/>
            <w:rFonts w:asciiTheme="minorHAnsi" w:hAnsiTheme="minorHAnsi" w:cstheme="minorHAnsi"/>
            <w:color w:val="auto"/>
            <w:sz w:val="18"/>
            <w:szCs w:val="18"/>
          </w:rPr>
          <w:t>HRC Briefing</w:t>
        </w:r>
      </w:hyperlink>
      <w:r w:rsidRPr="00357FE0">
        <w:rPr>
          <w:rFonts w:asciiTheme="minorHAnsi" w:hAnsiTheme="minorHAnsi" w:cstheme="minorHAnsi"/>
          <w:sz w:val="18"/>
          <w:szCs w:val="18"/>
        </w:rPr>
        <w:t>’, (HRC, 2021).</w:t>
      </w:r>
    </w:p>
  </w:footnote>
  <w:footnote w:id="166">
    <w:p w14:paraId="10CCCB1E" w14:textId="77777777" w:rsidR="00637EDD" w:rsidRPr="00304054" w:rsidRDefault="00637EDD" w:rsidP="00637EDD">
      <w:pPr>
        <w:pStyle w:val="FootnoteTextCharChar11"/>
        <w:rPr>
          <w:rFonts w:ascii="Calibri" w:hAnsi="Calibri"/>
        </w:rPr>
      </w:pPr>
      <w:hyperlink r:id="rId135" w:history="1">
        <w:r w:rsidRPr="00304054">
          <w:rPr>
            <w:rStyle w:val="Hyperlink1"/>
            <w:rFonts w:ascii="Calibri" w:hAnsi="Calibri"/>
            <w:vertAlign w:val="superscript"/>
          </w:rPr>
          <w:footnoteRef/>
        </w:r>
        <w:r w:rsidRPr="00304054">
          <w:rPr>
            <w:rStyle w:val="Hyperlink1"/>
            <w:rFonts w:ascii="Calibri" w:hAnsi="Calibri"/>
          </w:rPr>
          <w:t xml:space="preserve"> Explainer: UK Government commitment to “no diminution of rights, safeguards and equality of opportunity” in Northern Ireland: What does it mean and how will it be implemented?</w:t>
        </w:r>
      </w:hyperlink>
    </w:p>
  </w:footnote>
  <w:footnote w:id="167">
    <w:p w14:paraId="1B98F87F" w14:textId="77777777" w:rsidR="00637EDD" w:rsidRDefault="00637EDD" w:rsidP="00637EDD">
      <w:pPr>
        <w:pStyle w:val="FootnoteText"/>
      </w:pPr>
      <w:r w:rsidRPr="00590919">
        <w:rPr>
          <w:rStyle w:val="FootnoteReference"/>
        </w:rPr>
        <w:footnoteRef/>
      </w:r>
      <w:r w:rsidRPr="00590919">
        <w:t xml:space="preserve"> </w:t>
      </w:r>
      <w:r>
        <w:t xml:space="preserve">See section 5 paragraphs 5.6 -5.10 thereof.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F14CF" w14:paraId="4A4E14B2" w14:textId="77777777" w:rsidTr="00C404F8">
      <w:tc>
        <w:tcPr>
          <w:tcW w:w="3005" w:type="dxa"/>
        </w:tcPr>
        <w:p w14:paraId="49C9A753" w14:textId="77777777" w:rsidR="009F14CF" w:rsidRDefault="009F14CF" w:rsidP="00C404F8">
          <w:pPr>
            <w:pStyle w:val="Header"/>
            <w:ind w:left="-115"/>
          </w:pPr>
        </w:p>
      </w:tc>
      <w:tc>
        <w:tcPr>
          <w:tcW w:w="3005" w:type="dxa"/>
        </w:tcPr>
        <w:p w14:paraId="5824F776" w14:textId="393EB616" w:rsidR="009F14CF" w:rsidRPr="00E25703" w:rsidRDefault="009F14CF" w:rsidP="00C404F8">
          <w:pPr>
            <w:pStyle w:val="Header"/>
            <w:jc w:val="center"/>
            <w:rPr>
              <w:rFonts w:asciiTheme="minorHAnsi" w:hAnsiTheme="minorHAnsi" w:cstheme="minorHAnsi"/>
              <w:b/>
              <w:bCs/>
              <w:sz w:val="32"/>
              <w:szCs w:val="32"/>
            </w:rPr>
          </w:pPr>
        </w:p>
      </w:tc>
      <w:tc>
        <w:tcPr>
          <w:tcW w:w="3005" w:type="dxa"/>
        </w:tcPr>
        <w:p w14:paraId="1D3661AE" w14:textId="77777777" w:rsidR="009F14CF" w:rsidRDefault="009F14CF" w:rsidP="00C404F8">
          <w:pPr>
            <w:pStyle w:val="Header"/>
            <w:ind w:right="-115"/>
            <w:jc w:val="right"/>
          </w:pPr>
        </w:p>
      </w:tc>
    </w:tr>
  </w:tbl>
  <w:p w14:paraId="307CCB41" w14:textId="77777777" w:rsidR="009F14CF" w:rsidRDefault="009F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C51"/>
    <w:multiLevelType w:val="hybridMultilevel"/>
    <w:tmpl w:val="52EA482A"/>
    <w:lvl w:ilvl="0" w:tplc="F142FFCA">
      <w:start w:val="1"/>
      <w:numFmt w:val="decimal"/>
      <w:lvlText w:val="%1."/>
      <w:lvlJc w:val="left"/>
      <w:pPr>
        <w:ind w:left="720" w:hanging="360"/>
      </w:pPr>
      <w:rPr>
        <w:rFonts w:asciiTheme="minorHAnsi" w:hAnsiTheme="minorHAnsi"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6290C"/>
    <w:multiLevelType w:val="hybridMultilevel"/>
    <w:tmpl w:val="D2E65498"/>
    <w:lvl w:ilvl="0" w:tplc="71A8BFF0">
      <w:start w:val="1"/>
      <w:numFmt w:val="decimal"/>
      <w:lvlText w:val="2.%1"/>
      <w:lvlJc w:val="left"/>
      <w:pPr>
        <w:ind w:left="1440" w:hanging="360"/>
      </w:pPr>
      <w:rPr>
        <w:rFonts w:ascii="Verdana" w:hAnsi="Verdana" w:hint="default"/>
        <w:b w:val="0"/>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A2754F"/>
    <w:multiLevelType w:val="hybridMultilevel"/>
    <w:tmpl w:val="DCF06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C3862"/>
    <w:multiLevelType w:val="multilevel"/>
    <w:tmpl w:val="7B7EF9D0"/>
    <w:lvl w:ilvl="0">
      <w:start w:val="1"/>
      <w:numFmt w:val="decimal"/>
      <w:pStyle w:val="Heading1"/>
      <w:lvlText w:val="%1.0"/>
      <w:lvlJc w:val="left"/>
      <w:pPr>
        <w:ind w:left="720" w:hanging="720"/>
      </w:pPr>
      <w:rPr>
        <w:rFonts w:hint="default"/>
      </w:rPr>
    </w:lvl>
    <w:lvl w:ilvl="1">
      <w:start w:val="1"/>
      <w:numFmt w:val="decimal"/>
      <w:lvlText w:val="%1.%2"/>
      <w:lvlJc w:val="left"/>
      <w:pPr>
        <w:ind w:left="152" w:hanging="720"/>
      </w:pPr>
      <w:rPr>
        <w:rFonts w:hint="default"/>
        <w:b w:val="0"/>
      </w:rPr>
    </w:lvl>
    <w:lvl w:ilvl="2">
      <w:start w:val="1"/>
      <w:numFmt w:val="decimal"/>
      <w:lvlText w:val="%1.%2.%3"/>
      <w:lvlJc w:val="left"/>
      <w:pPr>
        <w:ind w:left="1952" w:hanging="1080"/>
      </w:pPr>
      <w:rPr>
        <w:rFonts w:hint="default"/>
      </w:rPr>
    </w:lvl>
    <w:lvl w:ilvl="3">
      <w:start w:val="1"/>
      <w:numFmt w:val="decimal"/>
      <w:lvlText w:val="%1.%2.%3.%4"/>
      <w:lvlJc w:val="left"/>
      <w:pPr>
        <w:ind w:left="3032" w:hanging="1440"/>
      </w:pPr>
      <w:rPr>
        <w:rFonts w:hint="default"/>
      </w:rPr>
    </w:lvl>
    <w:lvl w:ilvl="4">
      <w:start w:val="1"/>
      <w:numFmt w:val="decimal"/>
      <w:lvlText w:val="%1.%2.%3.%4.%5"/>
      <w:lvlJc w:val="left"/>
      <w:pPr>
        <w:ind w:left="4112" w:hanging="1800"/>
      </w:pPr>
      <w:rPr>
        <w:rFonts w:hint="default"/>
      </w:rPr>
    </w:lvl>
    <w:lvl w:ilvl="5">
      <w:start w:val="1"/>
      <w:numFmt w:val="decimal"/>
      <w:lvlText w:val="%1.%2.%3.%4.%5.%6"/>
      <w:lvlJc w:val="left"/>
      <w:pPr>
        <w:ind w:left="5192" w:hanging="2160"/>
      </w:pPr>
      <w:rPr>
        <w:rFonts w:hint="default"/>
      </w:rPr>
    </w:lvl>
    <w:lvl w:ilvl="6">
      <w:start w:val="1"/>
      <w:numFmt w:val="decimal"/>
      <w:lvlText w:val="%1.%2.%3.%4.%5.%6.%7"/>
      <w:lvlJc w:val="left"/>
      <w:pPr>
        <w:ind w:left="6272" w:hanging="2520"/>
      </w:pPr>
      <w:rPr>
        <w:rFonts w:hint="default"/>
      </w:rPr>
    </w:lvl>
    <w:lvl w:ilvl="7">
      <w:start w:val="1"/>
      <w:numFmt w:val="decimal"/>
      <w:lvlText w:val="%1.%2.%3.%4.%5.%6.%7.%8"/>
      <w:lvlJc w:val="left"/>
      <w:pPr>
        <w:ind w:left="7352" w:hanging="2880"/>
      </w:pPr>
      <w:rPr>
        <w:rFonts w:hint="default"/>
      </w:rPr>
    </w:lvl>
    <w:lvl w:ilvl="8">
      <w:start w:val="1"/>
      <w:numFmt w:val="decimal"/>
      <w:lvlText w:val="%1.%2.%3.%4.%5.%6.%7.%8.%9"/>
      <w:lvlJc w:val="left"/>
      <w:pPr>
        <w:ind w:left="8432" w:hanging="3240"/>
      </w:pPr>
      <w:rPr>
        <w:rFonts w:hint="default"/>
      </w:rPr>
    </w:lvl>
  </w:abstractNum>
  <w:abstractNum w:abstractNumId="4" w15:restartNumberingAfterBreak="0">
    <w:nsid w:val="15470589"/>
    <w:multiLevelType w:val="multilevel"/>
    <w:tmpl w:val="5FB868B8"/>
    <w:lvl w:ilvl="0">
      <w:start w:val="1"/>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CA76D8D"/>
    <w:multiLevelType w:val="hybridMultilevel"/>
    <w:tmpl w:val="17C8C4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74069FE"/>
    <w:multiLevelType w:val="hybridMultilevel"/>
    <w:tmpl w:val="D7B01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35E3C"/>
    <w:multiLevelType w:val="hybridMultilevel"/>
    <w:tmpl w:val="A0683B6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160" w:hanging="180"/>
      </w:pPr>
    </w:lvl>
    <w:lvl w:ilvl="3" w:tplc="2090B1F0">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D44DA"/>
    <w:multiLevelType w:val="hybridMultilevel"/>
    <w:tmpl w:val="36E6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75E66"/>
    <w:multiLevelType w:val="hybridMultilevel"/>
    <w:tmpl w:val="71E276BE"/>
    <w:lvl w:ilvl="0" w:tplc="FFFFFFFF">
      <w:start w:val="1"/>
      <w:numFmt w:val="lowerRoman"/>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0" w15:restartNumberingAfterBreak="0">
    <w:nsid w:val="36771ED3"/>
    <w:multiLevelType w:val="hybridMultilevel"/>
    <w:tmpl w:val="6414B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F47034"/>
    <w:multiLevelType w:val="hybridMultilevel"/>
    <w:tmpl w:val="3264729A"/>
    <w:lvl w:ilvl="0" w:tplc="1E945A7C">
      <w:start w:val="1"/>
      <w:numFmt w:val="bullet"/>
      <w:pStyle w:val="Bulletlis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4A40408"/>
    <w:multiLevelType w:val="hybridMultilevel"/>
    <w:tmpl w:val="F0B84D9E"/>
    <w:lvl w:ilvl="0" w:tplc="3AE83E6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36C80"/>
    <w:multiLevelType w:val="hybridMultilevel"/>
    <w:tmpl w:val="71E276BE"/>
    <w:lvl w:ilvl="0" w:tplc="435C771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67C7F"/>
    <w:multiLevelType w:val="hybridMultilevel"/>
    <w:tmpl w:val="CE5068B6"/>
    <w:lvl w:ilvl="0" w:tplc="3EA83180">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F73D9"/>
    <w:multiLevelType w:val="hybridMultilevel"/>
    <w:tmpl w:val="D7B01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C5367"/>
    <w:multiLevelType w:val="hybridMultilevel"/>
    <w:tmpl w:val="AD426C84"/>
    <w:lvl w:ilvl="0" w:tplc="282460C4">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7" w15:restartNumberingAfterBreak="0">
    <w:nsid w:val="5E9F456A"/>
    <w:multiLevelType w:val="hybridMultilevel"/>
    <w:tmpl w:val="5E766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F54071"/>
    <w:multiLevelType w:val="hybridMultilevel"/>
    <w:tmpl w:val="E5D0F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B93278"/>
    <w:multiLevelType w:val="hybridMultilevel"/>
    <w:tmpl w:val="E3224CA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CC15EA1"/>
    <w:multiLevelType w:val="hybridMultilevel"/>
    <w:tmpl w:val="3E769FB8"/>
    <w:lvl w:ilvl="0" w:tplc="FFC0F242">
      <w:start w:val="1"/>
      <w:numFmt w:val="lowerRoman"/>
      <w:lvlText w:val="(%1)"/>
      <w:lvlJc w:val="left"/>
      <w:pPr>
        <w:ind w:left="2160" w:hanging="720"/>
      </w:pPr>
      <w:rPr>
        <w:rFonts w:hint="default"/>
        <w:b w:val="0"/>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85084617">
    <w:abstractNumId w:val="4"/>
  </w:num>
  <w:num w:numId="2" w16cid:durableId="2038659315">
    <w:abstractNumId w:val="11"/>
  </w:num>
  <w:num w:numId="3" w16cid:durableId="754788797">
    <w:abstractNumId w:val="16"/>
  </w:num>
  <w:num w:numId="4" w16cid:durableId="645858070">
    <w:abstractNumId w:val="12"/>
  </w:num>
  <w:num w:numId="5" w16cid:durableId="1354960688">
    <w:abstractNumId w:val="18"/>
  </w:num>
  <w:num w:numId="6" w16cid:durableId="1548561756">
    <w:abstractNumId w:val="17"/>
  </w:num>
  <w:num w:numId="7" w16cid:durableId="2070880156">
    <w:abstractNumId w:val="3"/>
  </w:num>
  <w:num w:numId="8" w16cid:durableId="106779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1373647">
    <w:abstractNumId w:val="13"/>
  </w:num>
  <w:num w:numId="10" w16cid:durableId="2079857521">
    <w:abstractNumId w:val="7"/>
  </w:num>
  <w:num w:numId="11" w16cid:durableId="877283017">
    <w:abstractNumId w:val="9"/>
  </w:num>
  <w:num w:numId="12" w16cid:durableId="518006020">
    <w:abstractNumId w:val="19"/>
  </w:num>
  <w:num w:numId="13" w16cid:durableId="1687705111">
    <w:abstractNumId w:val="10"/>
  </w:num>
  <w:num w:numId="14" w16cid:durableId="1463427551">
    <w:abstractNumId w:val="15"/>
  </w:num>
  <w:num w:numId="15" w16cid:durableId="212734035">
    <w:abstractNumId w:val="5"/>
  </w:num>
  <w:num w:numId="16" w16cid:durableId="17893368">
    <w:abstractNumId w:val="6"/>
  </w:num>
  <w:num w:numId="17" w16cid:durableId="651056914">
    <w:abstractNumId w:val="8"/>
  </w:num>
  <w:num w:numId="18" w16cid:durableId="851533215">
    <w:abstractNumId w:val="20"/>
  </w:num>
  <w:num w:numId="19" w16cid:durableId="1562332045">
    <w:abstractNumId w:val="2"/>
  </w:num>
  <w:num w:numId="20" w16cid:durableId="312176086">
    <w:abstractNumId w:val="14"/>
  </w:num>
  <w:num w:numId="21" w16cid:durableId="316082028">
    <w:abstractNumId w:val="1"/>
  </w:num>
  <w:num w:numId="22" w16cid:durableId="117257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03"/>
    <w:rsid w:val="00000A19"/>
    <w:rsid w:val="000019B0"/>
    <w:rsid w:val="000025D4"/>
    <w:rsid w:val="00002E8A"/>
    <w:rsid w:val="00002EC9"/>
    <w:rsid w:val="00003103"/>
    <w:rsid w:val="00003940"/>
    <w:rsid w:val="00004126"/>
    <w:rsid w:val="00004D38"/>
    <w:rsid w:val="00004D53"/>
    <w:rsid w:val="00007719"/>
    <w:rsid w:val="00010D52"/>
    <w:rsid w:val="000121C7"/>
    <w:rsid w:val="00012E93"/>
    <w:rsid w:val="000132E3"/>
    <w:rsid w:val="00013C71"/>
    <w:rsid w:val="00015B52"/>
    <w:rsid w:val="00016B30"/>
    <w:rsid w:val="00017B58"/>
    <w:rsid w:val="00017E73"/>
    <w:rsid w:val="0002050C"/>
    <w:rsid w:val="00020637"/>
    <w:rsid w:val="0002080F"/>
    <w:rsid w:val="00021797"/>
    <w:rsid w:val="00022DA2"/>
    <w:rsid w:val="000238E0"/>
    <w:rsid w:val="00024AF6"/>
    <w:rsid w:val="0002599A"/>
    <w:rsid w:val="000325A4"/>
    <w:rsid w:val="000337C5"/>
    <w:rsid w:val="00033815"/>
    <w:rsid w:val="0003406D"/>
    <w:rsid w:val="00034B82"/>
    <w:rsid w:val="000356DA"/>
    <w:rsid w:val="00036226"/>
    <w:rsid w:val="0003631B"/>
    <w:rsid w:val="0003742F"/>
    <w:rsid w:val="00040AA1"/>
    <w:rsid w:val="00041860"/>
    <w:rsid w:val="00042172"/>
    <w:rsid w:val="000439C8"/>
    <w:rsid w:val="00045F7F"/>
    <w:rsid w:val="00046584"/>
    <w:rsid w:val="00046F17"/>
    <w:rsid w:val="000475AE"/>
    <w:rsid w:val="00047B66"/>
    <w:rsid w:val="00050B29"/>
    <w:rsid w:val="00051B5C"/>
    <w:rsid w:val="00052297"/>
    <w:rsid w:val="00052862"/>
    <w:rsid w:val="000538E3"/>
    <w:rsid w:val="000553E2"/>
    <w:rsid w:val="000561FC"/>
    <w:rsid w:val="00056ACD"/>
    <w:rsid w:val="0006017E"/>
    <w:rsid w:val="00060C69"/>
    <w:rsid w:val="00061374"/>
    <w:rsid w:val="00061A93"/>
    <w:rsid w:val="00065A62"/>
    <w:rsid w:val="00065AFF"/>
    <w:rsid w:val="00066DE4"/>
    <w:rsid w:val="00070744"/>
    <w:rsid w:val="00070C00"/>
    <w:rsid w:val="00071D69"/>
    <w:rsid w:val="00072C9F"/>
    <w:rsid w:val="00073B38"/>
    <w:rsid w:val="00073C92"/>
    <w:rsid w:val="00075045"/>
    <w:rsid w:val="00075C20"/>
    <w:rsid w:val="00076544"/>
    <w:rsid w:val="00076A3C"/>
    <w:rsid w:val="000804C5"/>
    <w:rsid w:val="00080671"/>
    <w:rsid w:val="000812B2"/>
    <w:rsid w:val="000817F3"/>
    <w:rsid w:val="00081802"/>
    <w:rsid w:val="00081BDB"/>
    <w:rsid w:val="000849B1"/>
    <w:rsid w:val="00085268"/>
    <w:rsid w:val="000856D3"/>
    <w:rsid w:val="00085EB1"/>
    <w:rsid w:val="00085EBA"/>
    <w:rsid w:val="000864D1"/>
    <w:rsid w:val="00086E23"/>
    <w:rsid w:val="00087303"/>
    <w:rsid w:val="0009046E"/>
    <w:rsid w:val="0009050E"/>
    <w:rsid w:val="00090736"/>
    <w:rsid w:val="000913A0"/>
    <w:rsid w:val="00091413"/>
    <w:rsid w:val="000927CA"/>
    <w:rsid w:val="00094CA2"/>
    <w:rsid w:val="00097391"/>
    <w:rsid w:val="00097D53"/>
    <w:rsid w:val="000A1E83"/>
    <w:rsid w:val="000A27A4"/>
    <w:rsid w:val="000A6D95"/>
    <w:rsid w:val="000A77AD"/>
    <w:rsid w:val="000B0ABB"/>
    <w:rsid w:val="000B136E"/>
    <w:rsid w:val="000B397C"/>
    <w:rsid w:val="000B4313"/>
    <w:rsid w:val="000B691F"/>
    <w:rsid w:val="000B78C4"/>
    <w:rsid w:val="000C0D02"/>
    <w:rsid w:val="000C123E"/>
    <w:rsid w:val="000C32D7"/>
    <w:rsid w:val="000C359E"/>
    <w:rsid w:val="000C5312"/>
    <w:rsid w:val="000C615C"/>
    <w:rsid w:val="000C66A6"/>
    <w:rsid w:val="000D13A4"/>
    <w:rsid w:val="000D24F8"/>
    <w:rsid w:val="000D3D67"/>
    <w:rsid w:val="000D4BCD"/>
    <w:rsid w:val="000D4BF7"/>
    <w:rsid w:val="000D5737"/>
    <w:rsid w:val="000E2B97"/>
    <w:rsid w:val="000E6705"/>
    <w:rsid w:val="000E74F0"/>
    <w:rsid w:val="000E7EDB"/>
    <w:rsid w:val="000F023F"/>
    <w:rsid w:val="000F0CA7"/>
    <w:rsid w:val="000F3762"/>
    <w:rsid w:val="000F4BC2"/>
    <w:rsid w:val="000F511D"/>
    <w:rsid w:val="000F6946"/>
    <w:rsid w:val="000F6DDE"/>
    <w:rsid w:val="000F74C7"/>
    <w:rsid w:val="0010218B"/>
    <w:rsid w:val="001022C2"/>
    <w:rsid w:val="00102BAE"/>
    <w:rsid w:val="00102BFC"/>
    <w:rsid w:val="00103F93"/>
    <w:rsid w:val="00104879"/>
    <w:rsid w:val="001048EE"/>
    <w:rsid w:val="00104979"/>
    <w:rsid w:val="001060E7"/>
    <w:rsid w:val="00106AD8"/>
    <w:rsid w:val="00106BF0"/>
    <w:rsid w:val="001076B9"/>
    <w:rsid w:val="00110850"/>
    <w:rsid w:val="00110D87"/>
    <w:rsid w:val="001139BD"/>
    <w:rsid w:val="00114CE9"/>
    <w:rsid w:val="001153FC"/>
    <w:rsid w:val="00115997"/>
    <w:rsid w:val="00116BBA"/>
    <w:rsid w:val="001177E9"/>
    <w:rsid w:val="00117D2D"/>
    <w:rsid w:val="001203C4"/>
    <w:rsid w:val="00120473"/>
    <w:rsid w:val="00121345"/>
    <w:rsid w:val="001229F0"/>
    <w:rsid w:val="00122DCA"/>
    <w:rsid w:val="00123363"/>
    <w:rsid w:val="00123441"/>
    <w:rsid w:val="00124713"/>
    <w:rsid w:val="00124F4C"/>
    <w:rsid w:val="00124FB7"/>
    <w:rsid w:val="00125FE0"/>
    <w:rsid w:val="00126A59"/>
    <w:rsid w:val="0012772E"/>
    <w:rsid w:val="00130A71"/>
    <w:rsid w:val="00131307"/>
    <w:rsid w:val="001317C1"/>
    <w:rsid w:val="00132370"/>
    <w:rsid w:val="00132491"/>
    <w:rsid w:val="001325F5"/>
    <w:rsid w:val="00132E64"/>
    <w:rsid w:val="00133F39"/>
    <w:rsid w:val="00135188"/>
    <w:rsid w:val="00135737"/>
    <w:rsid w:val="00135792"/>
    <w:rsid w:val="00140BF2"/>
    <w:rsid w:val="0014115E"/>
    <w:rsid w:val="00141F54"/>
    <w:rsid w:val="00144BC5"/>
    <w:rsid w:val="00146B73"/>
    <w:rsid w:val="00152DD8"/>
    <w:rsid w:val="0015387D"/>
    <w:rsid w:val="00153E23"/>
    <w:rsid w:val="00154E7C"/>
    <w:rsid w:val="001570A0"/>
    <w:rsid w:val="00160106"/>
    <w:rsid w:val="00163A7B"/>
    <w:rsid w:val="001646F4"/>
    <w:rsid w:val="0016502C"/>
    <w:rsid w:val="00167C54"/>
    <w:rsid w:val="0017024B"/>
    <w:rsid w:val="00170E53"/>
    <w:rsid w:val="00170F3D"/>
    <w:rsid w:val="00172064"/>
    <w:rsid w:val="001744B0"/>
    <w:rsid w:val="0017470F"/>
    <w:rsid w:val="0017631E"/>
    <w:rsid w:val="0017694F"/>
    <w:rsid w:val="00176CDD"/>
    <w:rsid w:val="00176F6B"/>
    <w:rsid w:val="00180654"/>
    <w:rsid w:val="00180F56"/>
    <w:rsid w:val="00181043"/>
    <w:rsid w:val="0018207B"/>
    <w:rsid w:val="0018250D"/>
    <w:rsid w:val="00182C00"/>
    <w:rsid w:val="00182E4C"/>
    <w:rsid w:val="00183C5C"/>
    <w:rsid w:val="00184EA4"/>
    <w:rsid w:val="00185184"/>
    <w:rsid w:val="00185D2E"/>
    <w:rsid w:val="001864E2"/>
    <w:rsid w:val="00186B13"/>
    <w:rsid w:val="00190EEC"/>
    <w:rsid w:val="001911FC"/>
    <w:rsid w:val="0019350D"/>
    <w:rsid w:val="0019362C"/>
    <w:rsid w:val="00194356"/>
    <w:rsid w:val="00196A7E"/>
    <w:rsid w:val="00197797"/>
    <w:rsid w:val="001A0A5F"/>
    <w:rsid w:val="001A1C2E"/>
    <w:rsid w:val="001A47D7"/>
    <w:rsid w:val="001A4D70"/>
    <w:rsid w:val="001A5517"/>
    <w:rsid w:val="001A73A7"/>
    <w:rsid w:val="001B3985"/>
    <w:rsid w:val="001B5003"/>
    <w:rsid w:val="001B5B51"/>
    <w:rsid w:val="001B5C2C"/>
    <w:rsid w:val="001B6130"/>
    <w:rsid w:val="001B6F22"/>
    <w:rsid w:val="001C01CB"/>
    <w:rsid w:val="001C0EBC"/>
    <w:rsid w:val="001C102A"/>
    <w:rsid w:val="001C13D6"/>
    <w:rsid w:val="001C6711"/>
    <w:rsid w:val="001C6B36"/>
    <w:rsid w:val="001D0D10"/>
    <w:rsid w:val="001D1523"/>
    <w:rsid w:val="001D1FB4"/>
    <w:rsid w:val="001D36A2"/>
    <w:rsid w:val="001E054B"/>
    <w:rsid w:val="001E055B"/>
    <w:rsid w:val="001E523F"/>
    <w:rsid w:val="001E5E60"/>
    <w:rsid w:val="001E60B8"/>
    <w:rsid w:val="001E7066"/>
    <w:rsid w:val="001E7C27"/>
    <w:rsid w:val="001F0556"/>
    <w:rsid w:val="001F1BB7"/>
    <w:rsid w:val="001F60AC"/>
    <w:rsid w:val="001F60F2"/>
    <w:rsid w:val="001F7FA2"/>
    <w:rsid w:val="00201ABD"/>
    <w:rsid w:val="00201E14"/>
    <w:rsid w:val="002036D8"/>
    <w:rsid w:val="0020504E"/>
    <w:rsid w:val="002071F5"/>
    <w:rsid w:val="00207A76"/>
    <w:rsid w:val="00207A84"/>
    <w:rsid w:val="00210586"/>
    <w:rsid w:val="002118D1"/>
    <w:rsid w:val="00213DFA"/>
    <w:rsid w:val="0021508B"/>
    <w:rsid w:val="0021520D"/>
    <w:rsid w:val="00216E15"/>
    <w:rsid w:val="00217733"/>
    <w:rsid w:val="002207DA"/>
    <w:rsid w:val="00221AAF"/>
    <w:rsid w:val="00221CDB"/>
    <w:rsid w:val="00222D9C"/>
    <w:rsid w:val="00222D9E"/>
    <w:rsid w:val="00224074"/>
    <w:rsid w:val="0022413D"/>
    <w:rsid w:val="002242B8"/>
    <w:rsid w:val="00224FDD"/>
    <w:rsid w:val="00226822"/>
    <w:rsid w:val="0022776A"/>
    <w:rsid w:val="00230F1F"/>
    <w:rsid w:val="002340E0"/>
    <w:rsid w:val="002348D3"/>
    <w:rsid w:val="00234D8B"/>
    <w:rsid w:val="002355D0"/>
    <w:rsid w:val="00235C21"/>
    <w:rsid w:val="00235D25"/>
    <w:rsid w:val="00237AB3"/>
    <w:rsid w:val="0024022B"/>
    <w:rsid w:val="0024103B"/>
    <w:rsid w:val="00241276"/>
    <w:rsid w:val="0024176B"/>
    <w:rsid w:val="00241935"/>
    <w:rsid w:val="00241E98"/>
    <w:rsid w:val="002427B1"/>
    <w:rsid w:val="00242E2F"/>
    <w:rsid w:val="00243FE2"/>
    <w:rsid w:val="00244CE8"/>
    <w:rsid w:val="0024621C"/>
    <w:rsid w:val="00246254"/>
    <w:rsid w:val="00247E30"/>
    <w:rsid w:val="00250AE0"/>
    <w:rsid w:val="00250BCB"/>
    <w:rsid w:val="002519E5"/>
    <w:rsid w:val="002525C5"/>
    <w:rsid w:val="00252DE7"/>
    <w:rsid w:val="00253BC7"/>
    <w:rsid w:val="00253E35"/>
    <w:rsid w:val="00254797"/>
    <w:rsid w:val="00254D60"/>
    <w:rsid w:val="00255F2B"/>
    <w:rsid w:val="00256008"/>
    <w:rsid w:val="00257239"/>
    <w:rsid w:val="00257BA4"/>
    <w:rsid w:val="00257F64"/>
    <w:rsid w:val="00261E71"/>
    <w:rsid w:val="00262189"/>
    <w:rsid w:val="002631AA"/>
    <w:rsid w:val="00263EA3"/>
    <w:rsid w:val="00265C24"/>
    <w:rsid w:val="0026665E"/>
    <w:rsid w:val="00267294"/>
    <w:rsid w:val="002713E0"/>
    <w:rsid w:val="00272482"/>
    <w:rsid w:val="002724C0"/>
    <w:rsid w:val="0027343E"/>
    <w:rsid w:val="0027383A"/>
    <w:rsid w:val="00273AFC"/>
    <w:rsid w:val="00274332"/>
    <w:rsid w:val="00274A28"/>
    <w:rsid w:val="002752A0"/>
    <w:rsid w:val="00277898"/>
    <w:rsid w:val="00277BDD"/>
    <w:rsid w:val="00277D50"/>
    <w:rsid w:val="00285EFE"/>
    <w:rsid w:val="002873EA"/>
    <w:rsid w:val="00290CF0"/>
    <w:rsid w:val="002912DF"/>
    <w:rsid w:val="0029136D"/>
    <w:rsid w:val="002928B1"/>
    <w:rsid w:val="00293A48"/>
    <w:rsid w:val="00295370"/>
    <w:rsid w:val="00295497"/>
    <w:rsid w:val="00295BE0"/>
    <w:rsid w:val="00295FBB"/>
    <w:rsid w:val="002965B7"/>
    <w:rsid w:val="0029678E"/>
    <w:rsid w:val="00296F9C"/>
    <w:rsid w:val="002971B3"/>
    <w:rsid w:val="00297E0D"/>
    <w:rsid w:val="002A00BA"/>
    <w:rsid w:val="002A0912"/>
    <w:rsid w:val="002A2AD0"/>
    <w:rsid w:val="002A4B24"/>
    <w:rsid w:val="002A55D4"/>
    <w:rsid w:val="002A5AFE"/>
    <w:rsid w:val="002A644C"/>
    <w:rsid w:val="002B0202"/>
    <w:rsid w:val="002B03B2"/>
    <w:rsid w:val="002B0ACB"/>
    <w:rsid w:val="002B21BC"/>
    <w:rsid w:val="002C048E"/>
    <w:rsid w:val="002C0767"/>
    <w:rsid w:val="002C1F46"/>
    <w:rsid w:val="002C2E31"/>
    <w:rsid w:val="002C2F6F"/>
    <w:rsid w:val="002C3E9D"/>
    <w:rsid w:val="002D0156"/>
    <w:rsid w:val="002D03F5"/>
    <w:rsid w:val="002D18AF"/>
    <w:rsid w:val="002D1A74"/>
    <w:rsid w:val="002D3539"/>
    <w:rsid w:val="002D5045"/>
    <w:rsid w:val="002D6B4C"/>
    <w:rsid w:val="002E07D6"/>
    <w:rsid w:val="002E0CFD"/>
    <w:rsid w:val="002E0F36"/>
    <w:rsid w:val="002E1490"/>
    <w:rsid w:val="002E25A0"/>
    <w:rsid w:val="002E3338"/>
    <w:rsid w:val="002E33D0"/>
    <w:rsid w:val="002E3A5B"/>
    <w:rsid w:val="002E518E"/>
    <w:rsid w:val="002E5B99"/>
    <w:rsid w:val="002E5D51"/>
    <w:rsid w:val="002E6C28"/>
    <w:rsid w:val="002F052E"/>
    <w:rsid w:val="002F1849"/>
    <w:rsid w:val="002F19FA"/>
    <w:rsid w:val="002F3205"/>
    <w:rsid w:val="002F4E31"/>
    <w:rsid w:val="002F5206"/>
    <w:rsid w:val="002F6CB7"/>
    <w:rsid w:val="002F70C2"/>
    <w:rsid w:val="0030270C"/>
    <w:rsid w:val="0030462F"/>
    <w:rsid w:val="003066BF"/>
    <w:rsid w:val="003104D0"/>
    <w:rsid w:val="00310EB5"/>
    <w:rsid w:val="0031111F"/>
    <w:rsid w:val="003116E9"/>
    <w:rsid w:val="003117DE"/>
    <w:rsid w:val="00311BFA"/>
    <w:rsid w:val="0031272A"/>
    <w:rsid w:val="0031318C"/>
    <w:rsid w:val="00313279"/>
    <w:rsid w:val="00315135"/>
    <w:rsid w:val="00315A0B"/>
    <w:rsid w:val="0031645D"/>
    <w:rsid w:val="00320541"/>
    <w:rsid w:val="00320743"/>
    <w:rsid w:val="00321667"/>
    <w:rsid w:val="0032239C"/>
    <w:rsid w:val="00325323"/>
    <w:rsid w:val="00325B72"/>
    <w:rsid w:val="00326208"/>
    <w:rsid w:val="00326AE4"/>
    <w:rsid w:val="00326DF3"/>
    <w:rsid w:val="003279EB"/>
    <w:rsid w:val="00327F3A"/>
    <w:rsid w:val="00330477"/>
    <w:rsid w:val="003319A4"/>
    <w:rsid w:val="0033275C"/>
    <w:rsid w:val="00334319"/>
    <w:rsid w:val="00334853"/>
    <w:rsid w:val="00335E20"/>
    <w:rsid w:val="003372B1"/>
    <w:rsid w:val="00340FA3"/>
    <w:rsid w:val="003413E0"/>
    <w:rsid w:val="00341D7C"/>
    <w:rsid w:val="003421D2"/>
    <w:rsid w:val="0034358F"/>
    <w:rsid w:val="00343B5A"/>
    <w:rsid w:val="00343BF4"/>
    <w:rsid w:val="0034739E"/>
    <w:rsid w:val="00350921"/>
    <w:rsid w:val="003519E1"/>
    <w:rsid w:val="00351ADD"/>
    <w:rsid w:val="00353B9C"/>
    <w:rsid w:val="003540D3"/>
    <w:rsid w:val="00356943"/>
    <w:rsid w:val="00356C2A"/>
    <w:rsid w:val="00357A0A"/>
    <w:rsid w:val="00357FE0"/>
    <w:rsid w:val="00360730"/>
    <w:rsid w:val="003616EE"/>
    <w:rsid w:val="00362179"/>
    <w:rsid w:val="00362652"/>
    <w:rsid w:val="00364EE4"/>
    <w:rsid w:val="00365694"/>
    <w:rsid w:val="0036596C"/>
    <w:rsid w:val="003660E0"/>
    <w:rsid w:val="003660F2"/>
    <w:rsid w:val="003673FB"/>
    <w:rsid w:val="00370B32"/>
    <w:rsid w:val="00370E15"/>
    <w:rsid w:val="00373FC2"/>
    <w:rsid w:val="00374C3D"/>
    <w:rsid w:val="00375BAA"/>
    <w:rsid w:val="00375EF7"/>
    <w:rsid w:val="00375FD7"/>
    <w:rsid w:val="00380339"/>
    <w:rsid w:val="00380F76"/>
    <w:rsid w:val="003817B9"/>
    <w:rsid w:val="00381A8F"/>
    <w:rsid w:val="0038221D"/>
    <w:rsid w:val="003838F5"/>
    <w:rsid w:val="00383A20"/>
    <w:rsid w:val="00383A42"/>
    <w:rsid w:val="003845B0"/>
    <w:rsid w:val="00384CC6"/>
    <w:rsid w:val="0038549B"/>
    <w:rsid w:val="00386706"/>
    <w:rsid w:val="003872DF"/>
    <w:rsid w:val="00387B0B"/>
    <w:rsid w:val="00387E70"/>
    <w:rsid w:val="00390304"/>
    <w:rsid w:val="00390440"/>
    <w:rsid w:val="00391155"/>
    <w:rsid w:val="00391303"/>
    <w:rsid w:val="003937C2"/>
    <w:rsid w:val="00395E24"/>
    <w:rsid w:val="003964F9"/>
    <w:rsid w:val="00396671"/>
    <w:rsid w:val="003A03FF"/>
    <w:rsid w:val="003A1B7F"/>
    <w:rsid w:val="003A329C"/>
    <w:rsid w:val="003A4181"/>
    <w:rsid w:val="003B0D31"/>
    <w:rsid w:val="003B0D65"/>
    <w:rsid w:val="003B1079"/>
    <w:rsid w:val="003B26DA"/>
    <w:rsid w:val="003B3A65"/>
    <w:rsid w:val="003B45DC"/>
    <w:rsid w:val="003B6237"/>
    <w:rsid w:val="003B6BE9"/>
    <w:rsid w:val="003C0680"/>
    <w:rsid w:val="003C06ED"/>
    <w:rsid w:val="003C1D48"/>
    <w:rsid w:val="003C21C8"/>
    <w:rsid w:val="003C2FA1"/>
    <w:rsid w:val="003C3322"/>
    <w:rsid w:val="003C39C5"/>
    <w:rsid w:val="003C3BF9"/>
    <w:rsid w:val="003C56E8"/>
    <w:rsid w:val="003C761A"/>
    <w:rsid w:val="003D0984"/>
    <w:rsid w:val="003D176E"/>
    <w:rsid w:val="003D1EAB"/>
    <w:rsid w:val="003D2334"/>
    <w:rsid w:val="003D278C"/>
    <w:rsid w:val="003D29AE"/>
    <w:rsid w:val="003D2D8F"/>
    <w:rsid w:val="003D35FC"/>
    <w:rsid w:val="003D47E6"/>
    <w:rsid w:val="003D5166"/>
    <w:rsid w:val="003D67D3"/>
    <w:rsid w:val="003D6C7A"/>
    <w:rsid w:val="003D6FFB"/>
    <w:rsid w:val="003D723E"/>
    <w:rsid w:val="003E3AC5"/>
    <w:rsid w:val="003E3D12"/>
    <w:rsid w:val="003E49D3"/>
    <w:rsid w:val="003E77DD"/>
    <w:rsid w:val="003E7D13"/>
    <w:rsid w:val="003F01A2"/>
    <w:rsid w:val="003F0207"/>
    <w:rsid w:val="003F0E36"/>
    <w:rsid w:val="003F448F"/>
    <w:rsid w:val="003F59C9"/>
    <w:rsid w:val="003F69D6"/>
    <w:rsid w:val="00401EFE"/>
    <w:rsid w:val="00402B1A"/>
    <w:rsid w:val="00404DA8"/>
    <w:rsid w:val="0040607C"/>
    <w:rsid w:val="004066FF"/>
    <w:rsid w:val="004067C0"/>
    <w:rsid w:val="00406D20"/>
    <w:rsid w:val="004109BE"/>
    <w:rsid w:val="00411EEA"/>
    <w:rsid w:val="0041221A"/>
    <w:rsid w:val="0041258B"/>
    <w:rsid w:val="00414B6C"/>
    <w:rsid w:val="0041650E"/>
    <w:rsid w:val="00420150"/>
    <w:rsid w:val="00422CD8"/>
    <w:rsid w:val="00423F5C"/>
    <w:rsid w:val="0042473C"/>
    <w:rsid w:val="00425112"/>
    <w:rsid w:val="00425193"/>
    <w:rsid w:val="004255B9"/>
    <w:rsid w:val="0042600D"/>
    <w:rsid w:val="00426D81"/>
    <w:rsid w:val="0043030A"/>
    <w:rsid w:val="00430987"/>
    <w:rsid w:val="00432E7B"/>
    <w:rsid w:val="004335E5"/>
    <w:rsid w:val="00435977"/>
    <w:rsid w:val="00436158"/>
    <w:rsid w:val="0043741E"/>
    <w:rsid w:val="00440037"/>
    <w:rsid w:val="004413FC"/>
    <w:rsid w:val="004425EA"/>
    <w:rsid w:val="0044404C"/>
    <w:rsid w:val="00445B73"/>
    <w:rsid w:val="00447B56"/>
    <w:rsid w:val="00447B74"/>
    <w:rsid w:val="00450D86"/>
    <w:rsid w:val="00450FC8"/>
    <w:rsid w:val="00451194"/>
    <w:rsid w:val="00452B44"/>
    <w:rsid w:val="004562D0"/>
    <w:rsid w:val="004569D0"/>
    <w:rsid w:val="00456F4A"/>
    <w:rsid w:val="004570FA"/>
    <w:rsid w:val="00460347"/>
    <w:rsid w:val="00460D5E"/>
    <w:rsid w:val="0046174A"/>
    <w:rsid w:val="00461A7A"/>
    <w:rsid w:val="00461D37"/>
    <w:rsid w:val="00463C6A"/>
    <w:rsid w:val="00464250"/>
    <w:rsid w:val="0046468F"/>
    <w:rsid w:val="00466D25"/>
    <w:rsid w:val="00467B7B"/>
    <w:rsid w:val="00470920"/>
    <w:rsid w:val="00471623"/>
    <w:rsid w:val="00471AF2"/>
    <w:rsid w:val="00471CC4"/>
    <w:rsid w:val="00471FEB"/>
    <w:rsid w:val="00472040"/>
    <w:rsid w:val="004739D0"/>
    <w:rsid w:val="00474D7E"/>
    <w:rsid w:val="00475A77"/>
    <w:rsid w:val="00475EE0"/>
    <w:rsid w:val="00476618"/>
    <w:rsid w:val="00476C78"/>
    <w:rsid w:val="00476E6B"/>
    <w:rsid w:val="0047702A"/>
    <w:rsid w:val="0047788A"/>
    <w:rsid w:val="00477DF8"/>
    <w:rsid w:val="00480AA9"/>
    <w:rsid w:val="00480AFD"/>
    <w:rsid w:val="00481AA2"/>
    <w:rsid w:val="0048256D"/>
    <w:rsid w:val="0048491C"/>
    <w:rsid w:val="004858C2"/>
    <w:rsid w:val="004858F3"/>
    <w:rsid w:val="004859D7"/>
    <w:rsid w:val="00485AAA"/>
    <w:rsid w:val="00486348"/>
    <w:rsid w:val="0049088C"/>
    <w:rsid w:val="004921A1"/>
    <w:rsid w:val="00492700"/>
    <w:rsid w:val="0049271C"/>
    <w:rsid w:val="00492C5A"/>
    <w:rsid w:val="004941E2"/>
    <w:rsid w:val="00495E2A"/>
    <w:rsid w:val="00495FCB"/>
    <w:rsid w:val="004A03AC"/>
    <w:rsid w:val="004A0A25"/>
    <w:rsid w:val="004A1F65"/>
    <w:rsid w:val="004A3BD7"/>
    <w:rsid w:val="004A43CF"/>
    <w:rsid w:val="004A546E"/>
    <w:rsid w:val="004A6E6B"/>
    <w:rsid w:val="004B0553"/>
    <w:rsid w:val="004B097A"/>
    <w:rsid w:val="004B1A43"/>
    <w:rsid w:val="004B234F"/>
    <w:rsid w:val="004B2750"/>
    <w:rsid w:val="004B2C73"/>
    <w:rsid w:val="004B3E05"/>
    <w:rsid w:val="004B5704"/>
    <w:rsid w:val="004B5A48"/>
    <w:rsid w:val="004B5D91"/>
    <w:rsid w:val="004B5E7D"/>
    <w:rsid w:val="004B6057"/>
    <w:rsid w:val="004B72DC"/>
    <w:rsid w:val="004C03FE"/>
    <w:rsid w:val="004C0822"/>
    <w:rsid w:val="004C26BB"/>
    <w:rsid w:val="004C2CF5"/>
    <w:rsid w:val="004C2DC3"/>
    <w:rsid w:val="004C4829"/>
    <w:rsid w:val="004C4F17"/>
    <w:rsid w:val="004C5C3D"/>
    <w:rsid w:val="004C6F6B"/>
    <w:rsid w:val="004D047F"/>
    <w:rsid w:val="004D3C7B"/>
    <w:rsid w:val="004D51C0"/>
    <w:rsid w:val="004E1650"/>
    <w:rsid w:val="004E45BC"/>
    <w:rsid w:val="004E4C7A"/>
    <w:rsid w:val="004E54F2"/>
    <w:rsid w:val="004E5508"/>
    <w:rsid w:val="004F13AB"/>
    <w:rsid w:val="004F1931"/>
    <w:rsid w:val="004F4616"/>
    <w:rsid w:val="004F4944"/>
    <w:rsid w:val="004F4A36"/>
    <w:rsid w:val="004F5912"/>
    <w:rsid w:val="004F5FD1"/>
    <w:rsid w:val="00500443"/>
    <w:rsid w:val="00501833"/>
    <w:rsid w:val="0050187A"/>
    <w:rsid w:val="005024DF"/>
    <w:rsid w:val="00503424"/>
    <w:rsid w:val="0050449F"/>
    <w:rsid w:val="005044D1"/>
    <w:rsid w:val="00505807"/>
    <w:rsid w:val="00506232"/>
    <w:rsid w:val="00512706"/>
    <w:rsid w:val="00513FFE"/>
    <w:rsid w:val="00515D2C"/>
    <w:rsid w:val="005173DE"/>
    <w:rsid w:val="0052426C"/>
    <w:rsid w:val="00526401"/>
    <w:rsid w:val="005307D7"/>
    <w:rsid w:val="0053097F"/>
    <w:rsid w:val="005315FE"/>
    <w:rsid w:val="00532902"/>
    <w:rsid w:val="00535553"/>
    <w:rsid w:val="0053733A"/>
    <w:rsid w:val="00540281"/>
    <w:rsid w:val="005402F4"/>
    <w:rsid w:val="00542B25"/>
    <w:rsid w:val="005437DD"/>
    <w:rsid w:val="0054462A"/>
    <w:rsid w:val="0054514B"/>
    <w:rsid w:val="005452FE"/>
    <w:rsid w:val="00545744"/>
    <w:rsid w:val="005458B4"/>
    <w:rsid w:val="00546887"/>
    <w:rsid w:val="00546F0E"/>
    <w:rsid w:val="00550178"/>
    <w:rsid w:val="00550527"/>
    <w:rsid w:val="0055111D"/>
    <w:rsid w:val="00551B36"/>
    <w:rsid w:val="005520ED"/>
    <w:rsid w:val="0055397D"/>
    <w:rsid w:val="00554CDB"/>
    <w:rsid w:val="005564CA"/>
    <w:rsid w:val="0056030D"/>
    <w:rsid w:val="00561BFB"/>
    <w:rsid w:val="00562234"/>
    <w:rsid w:val="005672A6"/>
    <w:rsid w:val="00567A50"/>
    <w:rsid w:val="00567E77"/>
    <w:rsid w:val="005711FA"/>
    <w:rsid w:val="00572F41"/>
    <w:rsid w:val="005742C4"/>
    <w:rsid w:val="00574DE5"/>
    <w:rsid w:val="0057725D"/>
    <w:rsid w:val="00577455"/>
    <w:rsid w:val="0057770F"/>
    <w:rsid w:val="005778A9"/>
    <w:rsid w:val="005811CA"/>
    <w:rsid w:val="00581A2D"/>
    <w:rsid w:val="0058220F"/>
    <w:rsid w:val="00583594"/>
    <w:rsid w:val="00584F6B"/>
    <w:rsid w:val="00585ABE"/>
    <w:rsid w:val="00586A7D"/>
    <w:rsid w:val="0058711C"/>
    <w:rsid w:val="005878A3"/>
    <w:rsid w:val="005907D8"/>
    <w:rsid w:val="00591446"/>
    <w:rsid w:val="005930EA"/>
    <w:rsid w:val="00593C16"/>
    <w:rsid w:val="00595809"/>
    <w:rsid w:val="0059608E"/>
    <w:rsid w:val="00596488"/>
    <w:rsid w:val="005A03E3"/>
    <w:rsid w:val="005A0F76"/>
    <w:rsid w:val="005A10CE"/>
    <w:rsid w:val="005A2D23"/>
    <w:rsid w:val="005A2F43"/>
    <w:rsid w:val="005A43E0"/>
    <w:rsid w:val="005A5EA4"/>
    <w:rsid w:val="005A743D"/>
    <w:rsid w:val="005A79CF"/>
    <w:rsid w:val="005B0630"/>
    <w:rsid w:val="005B0C43"/>
    <w:rsid w:val="005B1762"/>
    <w:rsid w:val="005B2929"/>
    <w:rsid w:val="005B3CCB"/>
    <w:rsid w:val="005B54AB"/>
    <w:rsid w:val="005B5F2D"/>
    <w:rsid w:val="005B6137"/>
    <w:rsid w:val="005B6F76"/>
    <w:rsid w:val="005B6F84"/>
    <w:rsid w:val="005B717A"/>
    <w:rsid w:val="005C0D28"/>
    <w:rsid w:val="005C2652"/>
    <w:rsid w:val="005C2C1B"/>
    <w:rsid w:val="005C2D30"/>
    <w:rsid w:val="005C2F43"/>
    <w:rsid w:val="005C5583"/>
    <w:rsid w:val="005C58B1"/>
    <w:rsid w:val="005C599E"/>
    <w:rsid w:val="005C611D"/>
    <w:rsid w:val="005C76FC"/>
    <w:rsid w:val="005D22DD"/>
    <w:rsid w:val="005D25A9"/>
    <w:rsid w:val="005D32CD"/>
    <w:rsid w:val="005D344B"/>
    <w:rsid w:val="005D4344"/>
    <w:rsid w:val="005D5E07"/>
    <w:rsid w:val="005D64B9"/>
    <w:rsid w:val="005E0996"/>
    <w:rsid w:val="005E09D3"/>
    <w:rsid w:val="005E18CB"/>
    <w:rsid w:val="005E36E7"/>
    <w:rsid w:val="005E3A38"/>
    <w:rsid w:val="005E3CA0"/>
    <w:rsid w:val="005E41B1"/>
    <w:rsid w:val="005E594F"/>
    <w:rsid w:val="005E70A0"/>
    <w:rsid w:val="005E7154"/>
    <w:rsid w:val="005F0D26"/>
    <w:rsid w:val="005F11D3"/>
    <w:rsid w:val="005F142D"/>
    <w:rsid w:val="005F1642"/>
    <w:rsid w:val="005F1BF5"/>
    <w:rsid w:val="005F261C"/>
    <w:rsid w:val="005F3AF9"/>
    <w:rsid w:val="005F4AB5"/>
    <w:rsid w:val="005F775C"/>
    <w:rsid w:val="00600A04"/>
    <w:rsid w:val="0060176A"/>
    <w:rsid w:val="00602D89"/>
    <w:rsid w:val="00602E07"/>
    <w:rsid w:val="00603952"/>
    <w:rsid w:val="00604C54"/>
    <w:rsid w:val="00604E4F"/>
    <w:rsid w:val="006050B3"/>
    <w:rsid w:val="00605BCD"/>
    <w:rsid w:val="006076F5"/>
    <w:rsid w:val="006077F3"/>
    <w:rsid w:val="00607A84"/>
    <w:rsid w:val="006138FE"/>
    <w:rsid w:val="00613DEC"/>
    <w:rsid w:val="00613F70"/>
    <w:rsid w:val="00613FD6"/>
    <w:rsid w:val="00614A37"/>
    <w:rsid w:val="00615B2F"/>
    <w:rsid w:val="00615E7C"/>
    <w:rsid w:val="00622F84"/>
    <w:rsid w:val="00623A9B"/>
    <w:rsid w:val="00625CA7"/>
    <w:rsid w:val="00625E0F"/>
    <w:rsid w:val="0063123E"/>
    <w:rsid w:val="00631B4C"/>
    <w:rsid w:val="00632890"/>
    <w:rsid w:val="00633A69"/>
    <w:rsid w:val="00633E67"/>
    <w:rsid w:val="00635B26"/>
    <w:rsid w:val="00637332"/>
    <w:rsid w:val="00637C4A"/>
    <w:rsid w:val="00637CF0"/>
    <w:rsid w:val="00637EDD"/>
    <w:rsid w:val="00643E65"/>
    <w:rsid w:val="00643FB8"/>
    <w:rsid w:val="006469D2"/>
    <w:rsid w:val="00646DAF"/>
    <w:rsid w:val="00647510"/>
    <w:rsid w:val="00650AB6"/>
    <w:rsid w:val="006519E7"/>
    <w:rsid w:val="00651BC5"/>
    <w:rsid w:val="00651FF0"/>
    <w:rsid w:val="00652187"/>
    <w:rsid w:val="006523F4"/>
    <w:rsid w:val="0065396F"/>
    <w:rsid w:val="00654E62"/>
    <w:rsid w:val="00657289"/>
    <w:rsid w:val="00660C95"/>
    <w:rsid w:val="0066168E"/>
    <w:rsid w:val="006616A1"/>
    <w:rsid w:val="00661DAE"/>
    <w:rsid w:val="0066335D"/>
    <w:rsid w:val="00664711"/>
    <w:rsid w:val="00666B41"/>
    <w:rsid w:val="00670912"/>
    <w:rsid w:val="00672A6F"/>
    <w:rsid w:val="00672CF8"/>
    <w:rsid w:val="0067511F"/>
    <w:rsid w:val="00676F76"/>
    <w:rsid w:val="0068037E"/>
    <w:rsid w:val="00680E51"/>
    <w:rsid w:val="00681633"/>
    <w:rsid w:val="00681BD1"/>
    <w:rsid w:val="00683814"/>
    <w:rsid w:val="006840AA"/>
    <w:rsid w:val="006846EA"/>
    <w:rsid w:val="00684D6B"/>
    <w:rsid w:val="0068752B"/>
    <w:rsid w:val="00687673"/>
    <w:rsid w:val="00690303"/>
    <w:rsid w:val="00690860"/>
    <w:rsid w:val="00691965"/>
    <w:rsid w:val="00691F3A"/>
    <w:rsid w:val="00692AF1"/>
    <w:rsid w:val="00692B79"/>
    <w:rsid w:val="006959A3"/>
    <w:rsid w:val="00697936"/>
    <w:rsid w:val="00697BC6"/>
    <w:rsid w:val="00697E83"/>
    <w:rsid w:val="006A18E6"/>
    <w:rsid w:val="006A2256"/>
    <w:rsid w:val="006A243A"/>
    <w:rsid w:val="006A41A1"/>
    <w:rsid w:val="006A4288"/>
    <w:rsid w:val="006A46EF"/>
    <w:rsid w:val="006A5187"/>
    <w:rsid w:val="006A57B2"/>
    <w:rsid w:val="006A5A60"/>
    <w:rsid w:val="006A66EF"/>
    <w:rsid w:val="006A7283"/>
    <w:rsid w:val="006B0263"/>
    <w:rsid w:val="006B04F8"/>
    <w:rsid w:val="006B0C1E"/>
    <w:rsid w:val="006B15F1"/>
    <w:rsid w:val="006B1BB5"/>
    <w:rsid w:val="006B283D"/>
    <w:rsid w:val="006B3156"/>
    <w:rsid w:val="006B3CB8"/>
    <w:rsid w:val="006B412F"/>
    <w:rsid w:val="006B45C7"/>
    <w:rsid w:val="006B5A42"/>
    <w:rsid w:val="006B5D58"/>
    <w:rsid w:val="006B5DE0"/>
    <w:rsid w:val="006B63FE"/>
    <w:rsid w:val="006B7FD0"/>
    <w:rsid w:val="006C015A"/>
    <w:rsid w:val="006C25EF"/>
    <w:rsid w:val="006C444A"/>
    <w:rsid w:val="006C48A1"/>
    <w:rsid w:val="006C577C"/>
    <w:rsid w:val="006C5960"/>
    <w:rsid w:val="006C59DD"/>
    <w:rsid w:val="006C6341"/>
    <w:rsid w:val="006C6F4A"/>
    <w:rsid w:val="006C7039"/>
    <w:rsid w:val="006C7BB9"/>
    <w:rsid w:val="006D01F4"/>
    <w:rsid w:val="006D1819"/>
    <w:rsid w:val="006D1AC2"/>
    <w:rsid w:val="006D1ADC"/>
    <w:rsid w:val="006D466B"/>
    <w:rsid w:val="006E01D3"/>
    <w:rsid w:val="006E0377"/>
    <w:rsid w:val="006E1A48"/>
    <w:rsid w:val="006E200A"/>
    <w:rsid w:val="006E2299"/>
    <w:rsid w:val="006E26A4"/>
    <w:rsid w:val="006E2D00"/>
    <w:rsid w:val="006E3629"/>
    <w:rsid w:val="006E48C9"/>
    <w:rsid w:val="006E48DA"/>
    <w:rsid w:val="006E51CF"/>
    <w:rsid w:val="006E5E5E"/>
    <w:rsid w:val="006E6209"/>
    <w:rsid w:val="006F0991"/>
    <w:rsid w:val="006F1495"/>
    <w:rsid w:val="006F2DE5"/>
    <w:rsid w:val="006F3412"/>
    <w:rsid w:val="006F3D41"/>
    <w:rsid w:val="006F3F61"/>
    <w:rsid w:val="006F48CE"/>
    <w:rsid w:val="006F4D0E"/>
    <w:rsid w:val="006F6A23"/>
    <w:rsid w:val="006F6BA9"/>
    <w:rsid w:val="006F6E42"/>
    <w:rsid w:val="006F78CD"/>
    <w:rsid w:val="0070019F"/>
    <w:rsid w:val="00700B5A"/>
    <w:rsid w:val="00702364"/>
    <w:rsid w:val="00702BEF"/>
    <w:rsid w:val="007050A1"/>
    <w:rsid w:val="007052CB"/>
    <w:rsid w:val="007067AF"/>
    <w:rsid w:val="00706965"/>
    <w:rsid w:val="00707597"/>
    <w:rsid w:val="007078F1"/>
    <w:rsid w:val="00707A94"/>
    <w:rsid w:val="00711189"/>
    <w:rsid w:val="0071128D"/>
    <w:rsid w:val="00711B6F"/>
    <w:rsid w:val="00713167"/>
    <w:rsid w:val="00714332"/>
    <w:rsid w:val="00715671"/>
    <w:rsid w:val="00715B62"/>
    <w:rsid w:val="00716649"/>
    <w:rsid w:val="0071673A"/>
    <w:rsid w:val="007175F2"/>
    <w:rsid w:val="007200E2"/>
    <w:rsid w:val="007203BD"/>
    <w:rsid w:val="00720EBB"/>
    <w:rsid w:val="00722DFF"/>
    <w:rsid w:val="00722F06"/>
    <w:rsid w:val="00723799"/>
    <w:rsid w:val="007250A8"/>
    <w:rsid w:val="00725B08"/>
    <w:rsid w:val="00730F26"/>
    <w:rsid w:val="00731B10"/>
    <w:rsid w:val="00731BD4"/>
    <w:rsid w:val="00731CF9"/>
    <w:rsid w:val="007330FE"/>
    <w:rsid w:val="00733F6C"/>
    <w:rsid w:val="007358E1"/>
    <w:rsid w:val="00735F26"/>
    <w:rsid w:val="00740E5C"/>
    <w:rsid w:val="00744101"/>
    <w:rsid w:val="00745DE6"/>
    <w:rsid w:val="00747499"/>
    <w:rsid w:val="00747D4C"/>
    <w:rsid w:val="007503F4"/>
    <w:rsid w:val="00750F6A"/>
    <w:rsid w:val="007517D6"/>
    <w:rsid w:val="00752732"/>
    <w:rsid w:val="007528C7"/>
    <w:rsid w:val="0075327A"/>
    <w:rsid w:val="007544B6"/>
    <w:rsid w:val="00755139"/>
    <w:rsid w:val="007558BC"/>
    <w:rsid w:val="00755EE9"/>
    <w:rsid w:val="00755F7B"/>
    <w:rsid w:val="007565B6"/>
    <w:rsid w:val="0075727D"/>
    <w:rsid w:val="007578C6"/>
    <w:rsid w:val="00760CAC"/>
    <w:rsid w:val="00761512"/>
    <w:rsid w:val="00762683"/>
    <w:rsid w:val="00764797"/>
    <w:rsid w:val="007650A8"/>
    <w:rsid w:val="007656C2"/>
    <w:rsid w:val="0076661C"/>
    <w:rsid w:val="007669B4"/>
    <w:rsid w:val="00766B04"/>
    <w:rsid w:val="00766F4E"/>
    <w:rsid w:val="00771F45"/>
    <w:rsid w:val="00772435"/>
    <w:rsid w:val="00772955"/>
    <w:rsid w:val="0077449A"/>
    <w:rsid w:val="00775093"/>
    <w:rsid w:val="00775256"/>
    <w:rsid w:val="00776EAC"/>
    <w:rsid w:val="00777206"/>
    <w:rsid w:val="00777272"/>
    <w:rsid w:val="00777FC2"/>
    <w:rsid w:val="00782826"/>
    <w:rsid w:val="007844CC"/>
    <w:rsid w:val="00785A72"/>
    <w:rsid w:val="00785E1D"/>
    <w:rsid w:val="007872EF"/>
    <w:rsid w:val="007877B1"/>
    <w:rsid w:val="00790D67"/>
    <w:rsid w:val="0079114B"/>
    <w:rsid w:val="00791B90"/>
    <w:rsid w:val="00792485"/>
    <w:rsid w:val="0079377D"/>
    <w:rsid w:val="00795947"/>
    <w:rsid w:val="00795DB1"/>
    <w:rsid w:val="0079626E"/>
    <w:rsid w:val="00796BC7"/>
    <w:rsid w:val="007A00B2"/>
    <w:rsid w:val="007A0518"/>
    <w:rsid w:val="007A2EBF"/>
    <w:rsid w:val="007A39AB"/>
    <w:rsid w:val="007A3C6F"/>
    <w:rsid w:val="007A4963"/>
    <w:rsid w:val="007A5D38"/>
    <w:rsid w:val="007A6861"/>
    <w:rsid w:val="007A6F73"/>
    <w:rsid w:val="007B00C7"/>
    <w:rsid w:val="007B06CE"/>
    <w:rsid w:val="007B10CA"/>
    <w:rsid w:val="007B1521"/>
    <w:rsid w:val="007B187D"/>
    <w:rsid w:val="007B24D8"/>
    <w:rsid w:val="007B490B"/>
    <w:rsid w:val="007B4D04"/>
    <w:rsid w:val="007B788A"/>
    <w:rsid w:val="007B7F3C"/>
    <w:rsid w:val="007C1350"/>
    <w:rsid w:val="007C1851"/>
    <w:rsid w:val="007C3066"/>
    <w:rsid w:val="007C47EC"/>
    <w:rsid w:val="007D0337"/>
    <w:rsid w:val="007D03E2"/>
    <w:rsid w:val="007D176F"/>
    <w:rsid w:val="007D1DE9"/>
    <w:rsid w:val="007D3508"/>
    <w:rsid w:val="007D3B55"/>
    <w:rsid w:val="007D4EFB"/>
    <w:rsid w:val="007E14F6"/>
    <w:rsid w:val="007E4ADE"/>
    <w:rsid w:val="007E5C84"/>
    <w:rsid w:val="007E5E5A"/>
    <w:rsid w:val="007E6638"/>
    <w:rsid w:val="007E6CC5"/>
    <w:rsid w:val="007E7EC8"/>
    <w:rsid w:val="007F09EC"/>
    <w:rsid w:val="007F1032"/>
    <w:rsid w:val="007F11AB"/>
    <w:rsid w:val="007F1E68"/>
    <w:rsid w:val="007F25A5"/>
    <w:rsid w:val="007F2A5D"/>
    <w:rsid w:val="007F34E9"/>
    <w:rsid w:val="007F3E8C"/>
    <w:rsid w:val="007F6F55"/>
    <w:rsid w:val="007F71EB"/>
    <w:rsid w:val="00801BBC"/>
    <w:rsid w:val="008032C2"/>
    <w:rsid w:val="00806C32"/>
    <w:rsid w:val="00806C39"/>
    <w:rsid w:val="008073F7"/>
    <w:rsid w:val="00807699"/>
    <w:rsid w:val="0080775D"/>
    <w:rsid w:val="00812547"/>
    <w:rsid w:val="00813404"/>
    <w:rsid w:val="0081497E"/>
    <w:rsid w:val="00815197"/>
    <w:rsid w:val="008152B3"/>
    <w:rsid w:val="00815DF9"/>
    <w:rsid w:val="00816794"/>
    <w:rsid w:val="008202B3"/>
    <w:rsid w:val="00820B85"/>
    <w:rsid w:val="0082160B"/>
    <w:rsid w:val="00821709"/>
    <w:rsid w:val="00822EE5"/>
    <w:rsid w:val="008234E0"/>
    <w:rsid w:val="0082422B"/>
    <w:rsid w:val="00825932"/>
    <w:rsid w:val="00825E94"/>
    <w:rsid w:val="0082622A"/>
    <w:rsid w:val="008264DA"/>
    <w:rsid w:val="00827D9A"/>
    <w:rsid w:val="00830933"/>
    <w:rsid w:val="00830C76"/>
    <w:rsid w:val="00832166"/>
    <w:rsid w:val="0083336D"/>
    <w:rsid w:val="00841CE4"/>
    <w:rsid w:val="00842400"/>
    <w:rsid w:val="008444A5"/>
    <w:rsid w:val="00844D19"/>
    <w:rsid w:val="00845AB5"/>
    <w:rsid w:val="00846CFA"/>
    <w:rsid w:val="00850985"/>
    <w:rsid w:val="008527CE"/>
    <w:rsid w:val="0085341A"/>
    <w:rsid w:val="008535D3"/>
    <w:rsid w:val="0085431C"/>
    <w:rsid w:val="00854B98"/>
    <w:rsid w:val="00854F9D"/>
    <w:rsid w:val="0085530A"/>
    <w:rsid w:val="008618A2"/>
    <w:rsid w:val="00862CD7"/>
    <w:rsid w:val="008641DC"/>
    <w:rsid w:val="008642E4"/>
    <w:rsid w:val="00866055"/>
    <w:rsid w:val="00866A20"/>
    <w:rsid w:val="008670D8"/>
    <w:rsid w:val="008679DD"/>
    <w:rsid w:val="00871A98"/>
    <w:rsid w:val="00872B87"/>
    <w:rsid w:val="0087323C"/>
    <w:rsid w:val="00880854"/>
    <w:rsid w:val="0088097E"/>
    <w:rsid w:val="00880A2F"/>
    <w:rsid w:val="008812CB"/>
    <w:rsid w:val="00881411"/>
    <w:rsid w:val="00882F2F"/>
    <w:rsid w:val="00882F85"/>
    <w:rsid w:val="008831D7"/>
    <w:rsid w:val="008846CC"/>
    <w:rsid w:val="008868DD"/>
    <w:rsid w:val="00886B38"/>
    <w:rsid w:val="00887358"/>
    <w:rsid w:val="00887360"/>
    <w:rsid w:val="008905C6"/>
    <w:rsid w:val="00890AC9"/>
    <w:rsid w:val="008912F6"/>
    <w:rsid w:val="0089317A"/>
    <w:rsid w:val="00895D0B"/>
    <w:rsid w:val="00896364"/>
    <w:rsid w:val="008965E6"/>
    <w:rsid w:val="0089724A"/>
    <w:rsid w:val="008A3556"/>
    <w:rsid w:val="008A3E1C"/>
    <w:rsid w:val="008A6C89"/>
    <w:rsid w:val="008A7FDC"/>
    <w:rsid w:val="008B0A30"/>
    <w:rsid w:val="008B3330"/>
    <w:rsid w:val="008B3B48"/>
    <w:rsid w:val="008B5A6C"/>
    <w:rsid w:val="008B5BF9"/>
    <w:rsid w:val="008C217A"/>
    <w:rsid w:val="008C24B9"/>
    <w:rsid w:val="008C3A1D"/>
    <w:rsid w:val="008C463D"/>
    <w:rsid w:val="008C5009"/>
    <w:rsid w:val="008C5956"/>
    <w:rsid w:val="008D06D2"/>
    <w:rsid w:val="008D49A1"/>
    <w:rsid w:val="008D4F77"/>
    <w:rsid w:val="008D5756"/>
    <w:rsid w:val="008D5F5D"/>
    <w:rsid w:val="008D781C"/>
    <w:rsid w:val="008D7B5E"/>
    <w:rsid w:val="008E1BAE"/>
    <w:rsid w:val="008E1BC4"/>
    <w:rsid w:val="008E43CC"/>
    <w:rsid w:val="008E75AB"/>
    <w:rsid w:val="008E7D46"/>
    <w:rsid w:val="008F28BB"/>
    <w:rsid w:val="008F66C1"/>
    <w:rsid w:val="008F77E3"/>
    <w:rsid w:val="0090057E"/>
    <w:rsid w:val="00900FE5"/>
    <w:rsid w:val="00901AB4"/>
    <w:rsid w:val="009027DB"/>
    <w:rsid w:val="009032E2"/>
    <w:rsid w:val="00907D82"/>
    <w:rsid w:val="00910A8F"/>
    <w:rsid w:val="00911142"/>
    <w:rsid w:val="00911A64"/>
    <w:rsid w:val="00911AAF"/>
    <w:rsid w:val="00911E91"/>
    <w:rsid w:val="00913653"/>
    <w:rsid w:val="00913B6F"/>
    <w:rsid w:val="00914E11"/>
    <w:rsid w:val="00916084"/>
    <w:rsid w:val="009177CD"/>
    <w:rsid w:val="00917A21"/>
    <w:rsid w:val="009215CD"/>
    <w:rsid w:val="00922625"/>
    <w:rsid w:val="00922B21"/>
    <w:rsid w:val="00923F73"/>
    <w:rsid w:val="009266AA"/>
    <w:rsid w:val="00927D52"/>
    <w:rsid w:val="00930CAA"/>
    <w:rsid w:val="00931780"/>
    <w:rsid w:val="00935454"/>
    <w:rsid w:val="00935E32"/>
    <w:rsid w:val="0093784C"/>
    <w:rsid w:val="0094122D"/>
    <w:rsid w:val="00941732"/>
    <w:rsid w:val="00941832"/>
    <w:rsid w:val="009424F7"/>
    <w:rsid w:val="00944497"/>
    <w:rsid w:val="00945517"/>
    <w:rsid w:val="00945AF6"/>
    <w:rsid w:val="009506AB"/>
    <w:rsid w:val="0095236A"/>
    <w:rsid w:val="00952A8F"/>
    <w:rsid w:val="00952FA9"/>
    <w:rsid w:val="0095459D"/>
    <w:rsid w:val="009557C6"/>
    <w:rsid w:val="00956959"/>
    <w:rsid w:val="00956DE6"/>
    <w:rsid w:val="009572FF"/>
    <w:rsid w:val="00960C16"/>
    <w:rsid w:val="00961231"/>
    <w:rsid w:val="009612EE"/>
    <w:rsid w:val="00962863"/>
    <w:rsid w:val="00963FDA"/>
    <w:rsid w:val="00965E08"/>
    <w:rsid w:val="0096646C"/>
    <w:rsid w:val="00967ADC"/>
    <w:rsid w:val="00971228"/>
    <w:rsid w:val="00971CA8"/>
    <w:rsid w:val="009727B6"/>
    <w:rsid w:val="009740D2"/>
    <w:rsid w:val="009750EA"/>
    <w:rsid w:val="00975D56"/>
    <w:rsid w:val="00976323"/>
    <w:rsid w:val="009773B6"/>
    <w:rsid w:val="0098002F"/>
    <w:rsid w:val="00980BD7"/>
    <w:rsid w:val="0098279B"/>
    <w:rsid w:val="009836EA"/>
    <w:rsid w:val="009874AE"/>
    <w:rsid w:val="00990EAB"/>
    <w:rsid w:val="009925AC"/>
    <w:rsid w:val="00992825"/>
    <w:rsid w:val="00993015"/>
    <w:rsid w:val="009930BF"/>
    <w:rsid w:val="00996741"/>
    <w:rsid w:val="00996ACA"/>
    <w:rsid w:val="00996ECE"/>
    <w:rsid w:val="00997C71"/>
    <w:rsid w:val="009A082A"/>
    <w:rsid w:val="009A0A11"/>
    <w:rsid w:val="009A0AF0"/>
    <w:rsid w:val="009A0F76"/>
    <w:rsid w:val="009A128E"/>
    <w:rsid w:val="009A1454"/>
    <w:rsid w:val="009A2AF6"/>
    <w:rsid w:val="009A2BB6"/>
    <w:rsid w:val="009A33E8"/>
    <w:rsid w:val="009A42ED"/>
    <w:rsid w:val="009A4A02"/>
    <w:rsid w:val="009A54DE"/>
    <w:rsid w:val="009A719B"/>
    <w:rsid w:val="009B0A26"/>
    <w:rsid w:val="009B11E2"/>
    <w:rsid w:val="009B1D9E"/>
    <w:rsid w:val="009B261B"/>
    <w:rsid w:val="009B2DD0"/>
    <w:rsid w:val="009B3729"/>
    <w:rsid w:val="009B4F57"/>
    <w:rsid w:val="009B68EF"/>
    <w:rsid w:val="009B72EE"/>
    <w:rsid w:val="009C0C87"/>
    <w:rsid w:val="009C1082"/>
    <w:rsid w:val="009C1D3A"/>
    <w:rsid w:val="009C3844"/>
    <w:rsid w:val="009C3E8A"/>
    <w:rsid w:val="009C4A14"/>
    <w:rsid w:val="009C520F"/>
    <w:rsid w:val="009D0383"/>
    <w:rsid w:val="009D0445"/>
    <w:rsid w:val="009D0AE7"/>
    <w:rsid w:val="009D0B29"/>
    <w:rsid w:val="009D1E0C"/>
    <w:rsid w:val="009D2A14"/>
    <w:rsid w:val="009D2E88"/>
    <w:rsid w:val="009D302C"/>
    <w:rsid w:val="009D324D"/>
    <w:rsid w:val="009D44D4"/>
    <w:rsid w:val="009D6A0A"/>
    <w:rsid w:val="009D6E7C"/>
    <w:rsid w:val="009D7088"/>
    <w:rsid w:val="009E296E"/>
    <w:rsid w:val="009E29D8"/>
    <w:rsid w:val="009E2D1A"/>
    <w:rsid w:val="009E2D8D"/>
    <w:rsid w:val="009E529F"/>
    <w:rsid w:val="009E5469"/>
    <w:rsid w:val="009E559A"/>
    <w:rsid w:val="009E69B0"/>
    <w:rsid w:val="009E707F"/>
    <w:rsid w:val="009E768B"/>
    <w:rsid w:val="009F0462"/>
    <w:rsid w:val="009F0823"/>
    <w:rsid w:val="009F0B16"/>
    <w:rsid w:val="009F0D0F"/>
    <w:rsid w:val="009F0F6F"/>
    <w:rsid w:val="009F14CF"/>
    <w:rsid w:val="009F24C6"/>
    <w:rsid w:val="009F37BB"/>
    <w:rsid w:val="009F3A3D"/>
    <w:rsid w:val="009F3E5F"/>
    <w:rsid w:val="009F4F9E"/>
    <w:rsid w:val="009F6FFA"/>
    <w:rsid w:val="00A000D2"/>
    <w:rsid w:val="00A00269"/>
    <w:rsid w:val="00A005D6"/>
    <w:rsid w:val="00A00A4B"/>
    <w:rsid w:val="00A034BC"/>
    <w:rsid w:val="00A0385D"/>
    <w:rsid w:val="00A045B0"/>
    <w:rsid w:val="00A05194"/>
    <w:rsid w:val="00A0591A"/>
    <w:rsid w:val="00A076AA"/>
    <w:rsid w:val="00A07CA3"/>
    <w:rsid w:val="00A07DDA"/>
    <w:rsid w:val="00A12C06"/>
    <w:rsid w:val="00A143ED"/>
    <w:rsid w:val="00A14834"/>
    <w:rsid w:val="00A15B0F"/>
    <w:rsid w:val="00A16107"/>
    <w:rsid w:val="00A17198"/>
    <w:rsid w:val="00A20B70"/>
    <w:rsid w:val="00A20EBD"/>
    <w:rsid w:val="00A210B9"/>
    <w:rsid w:val="00A215F4"/>
    <w:rsid w:val="00A230E2"/>
    <w:rsid w:val="00A23F56"/>
    <w:rsid w:val="00A25B1D"/>
    <w:rsid w:val="00A25DE3"/>
    <w:rsid w:val="00A26A46"/>
    <w:rsid w:val="00A30929"/>
    <w:rsid w:val="00A33F21"/>
    <w:rsid w:val="00A33F8F"/>
    <w:rsid w:val="00A3492D"/>
    <w:rsid w:val="00A3604B"/>
    <w:rsid w:val="00A4075E"/>
    <w:rsid w:val="00A40B72"/>
    <w:rsid w:val="00A42EB9"/>
    <w:rsid w:val="00A42ED0"/>
    <w:rsid w:val="00A43F10"/>
    <w:rsid w:val="00A44505"/>
    <w:rsid w:val="00A448D5"/>
    <w:rsid w:val="00A44B41"/>
    <w:rsid w:val="00A45DAD"/>
    <w:rsid w:val="00A5128F"/>
    <w:rsid w:val="00A52010"/>
    <w:rsid w:val="00A5248A"/>
    <w:rsid w:val="00A53D09"/>
    <w:rsid w:val="00A557B9"/>
    <w:rsid w:val="00A5587D"/>
    <w:rsid w:val="00A60470"/>
    <w:rsid w:val="00A60783"/>
    <w:rsid w:val="00A61893"/>
    <w:rsid w:val="00A64DAD"/>
    <w:rsid w:val="00A656FE"/>
    <w:rsid w:val="00A66429"/>
    <w:rsid w:val="00A6703A"/>
    <w:rsid w:val="00A72640"/>
    <w:rsid w:val="00A73E98"/>
    <w:rsid w:val="00A7441D"/>
    <w:rsid w:val="00A74F8E"/>
    <w:rsid w:val="00A74FFD"/>
    <w:rsid w:val="00A75D32"/>
    <w:rsid w:val="00A76242"/>
    <w:rsid w:val="00A76D6B"/>
    <w:rsid w:val="00A80723"/>
    <w:rsid w:val="00A811E0"/>
    <w:rsid w:val="00A817C9"/>
    <w:rsid w:val="00A82B5C"/>
    <w:rsid w:val="00A83744"/>
    <w:rsid w:val="00A83837"/>
    <w:rsid w:val="00A84779"/>
    <w:rsid w:val="00A84B8D"/>
    <w:rsid w:val="00A850E7"/>
    <w:rsid w:val="00A86D64"/>
    <w:rsid w:val="00A935A6"/>
    <w:rsid w:val="00A93819"/>
    <w:rsid w:val="00A95488"/>
    <w:rsid w:val="00A95E5B"/>
    <w:rsid w:val="00A96A0E"/>
    <w:rsid w:val="00A96B80"/>
    <w:rsid w:val="00A97402"/>
    <w:rsid w:val="00A97E52"/>
    <w:rsid w:val="00AA23BC"/>
    <w:rsid w:val="00AA2C95"/>
    <w:rsid w:val="00AA3648"/>
    <w:rsid w:val="00AA4EB4"/>
    <w:rsid w:val="00AA5424"/>
    <w:rsid w:val="00AB0194"/>
    <w:rsid w:val="00AB2580"/>
    <w:rsid w:val="00AB27A1"/>
    <w:rsid w:val="00AB4F1E"/>
    <w:rsid w:val="00AB6582"/>
    <w:rsid w:val="00AB7E26"/>
    <w:rsid w:val="00AC07F4"/>
    <w:rsid w:val="00AC1F3E"/>
    <w:rsid w:val="00AC257B"/>
    <w:rsid w:val="00AC33A6"/>
    <w:rsid w:val="00AC3B55"/>
    <w:rsid w:val="00AC3B9F"/>
    <w:rsid w:val="00AC447D"/>
    <w:rsid w:val="00AC5297"/>
    <w:rsid w:val="00AC5D70"/>
    <w:rsid w:val="00AC6AE1"/>
    <w:rsid w:val="00AC6FBD"/>
    <w:rsid w:val="00AC7241"/>
    <w:rsid w:val="00AC77F7"/>
    <w:rsid w:val="00AD00FF"/>
    <w:rsid w:val="00AD0B39"/>
    <w:rsid w:val="00AD2023"/>
    <w:rsid w:val="00AD20E0"/>
    <w:rsid w:val="00AD2719"/>
    <w:rsid w:val="00AD376A"/>
    <w:rsid w:val="00AD5110"/>
    <w:rsid w:val="00AD589E"/>
    <w:rsid w:val="00AD5BF6"/>
    <w:rsid w:val="00AD6112"/>
    <w:rsid w:val="00AD6E42"/>
    <w:rsid w:val="00AE0A2E"/>
    <w:rsid w:val="00AE0FEB"/>
    <w:rsid w:val="00AE1683"/>
    <w:rsid w:val="00AE257D"/>
    <w:rsid w:val="00AE27C0"/>
    <w:rsid w:val="00AE3A7F"/>
    <w:rsid w:val="00AE4479"/>
    <w:rsid w:val="00AE48D8"/>
    <w:rsid w:val="00AE51CF"/>
    <w:rsid w:val="00AE772C"/>
    <w:rsid w:val="00AE77DE"/>
    <w:rsid w:val="00AE7917"/>
    <w:rsid w:val="00AE7CD3"/>
    <w:rsid w:val="00AF0A63"/>
    <w:rsid w:val="00AF281D"/>
    <w:rsid w:val="00AF2E70"/>
    <w:rsid w:val="00AF3A6F"/>
    <w:rsid w:val="00AF40B4"/>
    <w:rsid w:val="00AF7561"/>
    <w:rsid w:val="00B006E1"/>
    <w:rsid w:val="00B02158"/>
    <w:rsid w:val="00B04BCA"/>
    <w:rsid w:val="00B05004"/>
    <w:rsid w:val="00B05B65"/>
    <w:rsid w:val="00B05FF8"/>
    <w:rsid w:val="00B06DA9"/>
    <w:rsid w:val="00B11217"/>
    <w:rsid w:val="00B11FED"/>
    <w:rsid w:val="00B12105"/>
    <w:rsid w:val="00B1300D"/>
    <w:rsid w:val="00B1314F"/>
    <w:rsid w:val="00B13474"/>
    <w:rsid w:val="00B138EC"/>
    <w:rsid w:val="00B14DC0"/>
    <w:rsid w:val="00B1533B"/>
    <w:rsid w:val="00B15C0D"/>
    <w:rsid w:val="00B15D6F"/>
    <w:rsid w:val="00B1618B"/>
    <w:rsid w:val="00B1733D"/>
    <w:rsid w:val="00B17A4F"/>
    <w:rsid w:val="00B17A58"/>
    <w:rsid w:val="00B20066"/>
    <w:rsid w:val="00B20E72"/>
    <w:rsid w:val="00B21294"/>
    <w:rsid w:val="00B22B51"/>
    <w:rsid w:val="00B239D7"/>
    <w:rsid w:val="00B250F6"/>
    <w:rsid w:val="00B266E7"/>
    <w:rsid w:val="00B26AF6"/>
    <w:rsid w:val="00B30BB9"/>
    <w:rsid w:val="00B30F07"/>
    <w:rsid w:val="00B3107D"/>
    <w:rsid w:val="00B31449"/>
    <w:rsid w:val="00B324E5"/>
    <w:rsid w:val="00B360C0"/>
    <w:rsid w:val="00B36100"/>
    <w:rsid w:val="00B36896"/>
    <w:rsid w:val="00B371A1"/>
    <w:rsid w:val="00B37D5A"/>
    <w:rsid w:val="00B409F0"/>
    <w:rsid w:val="00B450FD"/>
    <w:rsid w:val="00B45677"/>
    <w:rsid w:val="00B462A7"/>
    <w:rsid w:val="00B4645D"/>
    <w:rsid w:val="00B4646D"/>
    <w:rsid w:val="00B4669C"/>
    <w:rsid w:val="00B46D5D"/>
    <w:rsid w:val="00B4717B"/>
    <w:rsid w:val="00B506A7"/>
    <w:rsid w:val="00B52E2F"/>
    <w:rsid w:val="00B53A65"/>
    <w:rsid w:val="00B556A4"/>
    <w:rsid w:val="00B574DF"/>
    <w:rsid w:val="00B576DC"/>
    <w:rsid w:val="00B57700"/>
    <w:rsid w:val="00B57D55"/>
    <w:rsid w:val="00B61E41"/>
    <w:rsid w:val="00B624C0"/>
    <w:rsid w:val="00B629A3"/>
    <w:rsid w:val="00B63B47"/>
    <w:rsid w:val="00B63F17"/>
    <w:rsid w:val="00B64124"/>
    <w:rsid w:val="00B64AC5"/>
    <w:rsid w:val="00B65BD0"/>
    <w:rsid w:val="00B66E94"/>
    <w:rsid w:val="00B7068F"/>
    <w:rsid w:val="00B712B1"/>
    <w:rsid w:val="00B71C23"/>
    <w:rsid w:val="00B734A6"/>
    <w:rsid w:val="00B73D5B"/>
    <w:rsid w:val="00B740A2"/>
    <w:rsid w:val="00B747CF"/>
    <w:rsid w:val="00B75EDF"/>
    <w:rsid w:val="00B76DFF"/>
    <w:rsid w:val="00B7735D"/>
    <w:rsid w:val="00B80471"/>
    <w:rsid w:val="00B80559"/>
    <w:rsid w:val="00B81627"/>
    <w:rsid w:val="00B83AC4"/>
    <w:rsid w:val="00B84954"/>
    <w:rsid w:val="00B86458"/>
    <w:rsid w:val="00B86F21"/>
    <w:rsid w:val="00B8746A"/>
    <w:rsid w:val="00B90E97"/>
    <w:rsid w:val="00B917AA"/>
    <w:rsid w:val="00B93102"/>
    <w:rsid w:val="00B9414D"/>
    <w:rsid w:val="00B94A25"/>
    <w:rsid w:val="00B97D65"/>
    <w:rsid w:val="00BA1228"/>
    <w:rsid w:val="00BA16BD"/>
    <w:rsid w:val="00BA20B6"/>
    <w:rsid w:val="00BA2D32"/>
    <w:rsid w:val="00BA49B4"/>
    <w:rsid w:val="00BA4BAB"/>
    <w:rsid w:val="00BA5F49"/>
    <w:rsid w:val="00BA6A77"/>
    <w:rsid w:val="00BA7947"/>
    <w:rsid w:val="00BA7EA7"/>
    <w:rsid w:val="00BB0AC8"/>
    <w:rsid w:val="00BB1C1B"/>
    <w:rsid w:val="00BB762B"/>
    <w:rsid w:val="00BB788B"/>
    <w:rsid w:val="00BB7E24"/>
    <w:rsid w:val="00BC30EA"/>
    <w:rsid w:val="00BC370B"/>
    <w:rsid w:val="00BC4757"/>
    <w:rsid w:val="00BC4847"/>
    <w:rsid w:val="00BC510F"/>
    <w:rsid w:val="00BC6D08"/>
    <w:rsid w:val="00BC6F9C"/>
    <w:rsid w:val="00BC7161"/>
    <w:rsid w:val="00BC782D"/>
    <w:rsid w:val="00BC7EEC"/>
    <w:rsid w:val="00BD2C5D"/>
    <w:rsid w:val="00BD2F2A"/>
    <w:rsid w:val="00BD4FFA"/>
    <w:rsid w:val="00BD5AE3"/>
    <w:rsid w:val="00BD5DD1"/>
    <w:rsid w:val="00BD612A"/>
    <w:rsid w:val="00BD6696"/>
    <w:rsid w:val="00BD716D"/>
    <w:rsid w:val="00BE13B2"/>
    <w:rsid w:val="00BE2ABB"/>
    <w:rsid w:val="00BE3FEF"/>
    <w:rsid w:val="00BE5929"/>
    <w:rsid w:val="00BE65DE"/>
    <w:rsid w:val="00BE75E1"/>
    <w:rsid w:val="00BF031A"/>
    <w:rsid w:val="00BF099B"/>
    <w:rsid w:val="00BF1327"/>
    <w:rsid w:val="00BF36C9"/>
    <w:rsid w:val="00BF5490"/>
    <w:rsid w:val="00BF659D"/>
    <w:rsid w:val="00BF65F1"/>
    <w:rsid w:val="00BF7747"/>
    <w:rsid w:val="00C02DE5"/>
    <w:rsid w:val="00C039F3"/>
    <w:rsid w:val="00C05578"/>
    <w:rsid w:val="00C075EE"/>
    <w:rsid w:val="00C07664"/>
    <w:rsid w:val="00C1244A"/>
    <w:rsid w:val="00C13272"/>
    <w:rsid w:val="00C136B5"/>
    <w:rsid w:val="00C1707F"/>
    <w:rsid w:val="00C20701"/>
    <w:rsid w:val="00C21F4B"/>
    <w:rsid w:val="00C22D64"/>
    <w:rsid w:val="00C23D8B"/>
    <w:rsid w:val="00C24D80"/>
    <w:rsid w:val="00C252C9"/>
    <w:rsid w:val="00C25338"/>
    <w:rsid w:val="00C262A8"/>
    <w:rsid w:val="00C30495"/>
    <w:rsid w:val="00C32DDD"/>
    <w:rsid w:val="00C32EBD"/>
    <w:rsid w:val="00C33EF5"/>
    <w:rsid w:val="00C346D7"/>
    <w:rsid w:val="00C34869"/>
    <w:rsid w:val="00C404F8"/>
    <w:rsid w:val="00C41265"/>
    <w:rsid w:val="00C42B9B"/>
    <w:rsid w:val="00C43108"/>
    <w:rsid w:val="00C43D54"/>
    <w:rsid w:val="00C4497F"/>
    <w:rsid w:val="00C47ECF"/>
    <w:rsid w:val="00C47F2F"/>
    <w:rsid w:val="00C507CD"/>
    <w:rsid w:val="00C52F7E"/>
    <w:rsid w:val="00C53E08"/>
    <w:rsid w:val="00C541CD"/>
    <w:rsid w:val="00C55263"/>
    <w:rsid w:val="00C560C3"/>
    <w:rsid w:val="00C60327"/>
    <w:rsid w:val="00C60D8A"/>
    <w:rsid w:val="00C629B5"/>
    <w:rsid w:val="00C63111"/>
    <w:rsid w:val="00C63684"/>
    <w:rsid w:val="00C64339"/>
    <w:rsid w:val="00C647F4"/>
    <w:rsid w:val="00C652D0"/>
    <w:rsid w:val="00C663E0"/>
    <w:rsid w:val="00C66C80"/>
    <w:rsid w:val="00C67C8A"/>
    <w:rsid w:val="00C7270D"/>
    <w:rsid w:val="00C75A01"/>
    <w:rsid w:val="00C76694"/>
    <w:rsid w:val="00C76CB4"/>
    <w:rsid w:val="00C771B7"/>
    <w:rsid w:val="00C84AF1"/>
    <w:rsid w:val="00C84BE9"/>
    <w:rsid w:val="00C84F4D"/>
    <w:rsid w:val="00C85365"/>
    <w:rsid w:val="00C85418"/>
    <w:rsid w:val="00C855A6"/>
    <w:rsid w:val="00C858DC"/>
    <w:rsid w:val="00C86E77"/>
    <w:rsid w:val="00C9271B"/>
    <w:rsid w:val="00C96655"/>
    <w:rsid w:val="00CA3FCC"/>
    <w:rsid w:val="00CA7C6E"/>
    <w:rsid w:val="00CB2251"/>
    <w:rsid w:val="00CB384F"/>
    <w:rsid w:val="00CB4074"/>
    <w:rsid w:val="00CB6073"/>
    <w:rsid w:val="00CB701B"/>
    <w:rsid w:val="00CC0391"/>
    <w:rsid w:val="00CC0AA6"/>
    <w:rsid w:val="00CC0BA7"/>
    <w:rsid w:val="00CC12B2"/>
    <w:rsid w:val="00CC21F5"/>
    <w:rsid w:val="00CC2D77"/>
    <w:rsid w:val="00CC30E2"/>
    <w:rsid w:val="00CC3DA6"/>
    <w:rsid w:val="00CC5DBC"/>
    <w:rsid w:val="00CC5E0C"/>
    <w:rsid w:val="00CC613E"/>
    <w:rsid w:val="00CC6234"/>
    <w:rsid w:val="00CC665A"/>
    <w:rsid w:val="00CD174A"/>
    <w:rsid w:val="00CD288A"/>
    <w:rsid w:val="00CD4799"/>
    <w:rsid w:val="00CD5299"/>
    <w:rsid w:val="00CD5F53"/>
    <w:rsid w:val="00CD7A4D"/>
    <w:rsid w:val="00CE0C6F"/>
    <w:rsid w:val="00CE1471"/>
    <w:rsid w:val="00CE4F9D"/>
    <w:rsid w:val="00CE55D7"/>
    <w:rsid w:val="00CF0434"/>
    <w:rsid w:val="00CF0546"/>
    <w:rsid w:val="00CF1DA4"/>
    <w:rsid w:val="00CF2503"/>
    <w:rsid w:val="00CF2A26"/>
    <w:rsid w:val="00CF2AA3"/>
    <w:rsid w:val="00CF2C45"/>
    <w:rsid w:val="00CF35A6"/>
    <w:rsid w:val="00CF468B"/>
    <w:rsid w:val="00CF4C92"/>
    <w:rsid w:val="00CF755F"/>
    <w:rsid w:val="00D05DB1"/>
    <w:rsid w:val="00D0701C"/>
    <w:rsid w:val="00D073AA"/>
    <w:rsid w:val="00D10E65"/>
    <w:rsid w:val="00D11677"/>
    <w:rsid w:val="00D118F0"/>
    <w:rsid w:val="00D14592"/>
    <w:rsid w:val="00D15AC4"/>
    <w:rsid w:val="00D15F9C"/>
    <w:rsid w:val="00D179D9"/>
    <w:rsid w:val="00D20579"/>
    <w:rsid w:val="00D21EE0"/>
    <w:rsid w:val="00D22590"/>
    <w:rsid w:val="00D23114"/>
    <w:rsid w:val="00D23337"/>
    <w:rsid w:val="00D25DE9"/>
    <w:rsid w:val="00D3124C"/>
    <w:rsid w:val="00D314C3"/>
    <w:rsid w:val="00D319EF"/>
    <w:rsid w:val="00D322E0"/>
    <w:rsid w:val="00D331BB"/>
    <w:rsid w:val="00D35348"/>
    <w:rsid w:val="00D40051"/>
    <w:rsid w:val="00D416FC"/>
    <w:rsid w:val="00D41937"/>
    <w:rsid w:val="00D42B20"/>
    <w:rsid w:val="00D44730"/>
    <w:rsid w:val="00D44D8F"/>
    <w:rsid w:val="00D4563F"/>
    <w:rsid w:val="00D45878"/>
    <w:rsid w:val="00D45BA5"/>
    <w:rsid w:val="00D45C6D"/>
    <w:rsid w:val="00D4677E"/>
    <w:rsid w:val="00D50432"/>
    <w:rsid w:val="00D50DE4"/>
    <w:rsid w:val="00D5120D"/>
    <w:rsid w:val="00D52459"/>
    <w:rsid w:val="00D536FA"/>
    <w:rsid w:val="00D55192"/>
    <w:rsid w:val="00D55F94"/>
    <w:rsid w:val="00D5735F"/>
    <w:rsid w:val="00D62036"/>
    <w:rsid w:val="00D63A5E"/>
    <w:rsid w:val="00D66AAB"/>
    <w:rsid w:val="00D66F6E"/>
    <w:rsid w:val="00D671E2"/>
    <w:rsid w:val="00D67668"/>
    <w:rsid w:val="00D7109E"/>
    <w:rsid w:val="00D71538"/>
    <w:rsid w:val="00D733D4"/>
    <w:rsid w:val="00D760E4"/>
    <w:rsid w:val="00D764D7"/>
    <w:rsid w:val="00D764E2"/>
    <w:rsid w:val="00D7687A"/>
    <w:rsid w:val="00D81313"/>
    <w:rsid w:val="00D83274"/>
    <w:rsid w:val="00D846DF"/>
    <w:rsid w:val="00D84BCA"/>
    <w:rsid w:val="00D84F99"/>
    <w:rsid w:val="00D853C8"/>
    <w:rsid w:val="00D85E5B"/>
    <w:rsid w:val="00D862E8"/>
    <w:rsid w:val="00D86E6C"/>
    <w:rsid w:val="00D87304"/>
    <w:rsid w:val="00D8734C"/>
    <w:rsid w:val="00D91FD5"/>
    <w:rsid w:val="00D927F9"/>
    <w:rsid w:val="00D9527A"/>
    <w:rsid w:val="00D96734"/>
    <w:rsid w:val="00D975C8"/>
    <w:rsid w:val="00DA08DB"/>
    <w:rsid w:val="00DA3F8F"/>
    <w:rsid w:val="00DA482A"/>
    <w:rsid w:val="00DA486E"/>
    <w:rsid w:val="00DA4C61"/>
    <w:rsid w:val="00DA5FC2"/>
    <w:rsid w:val="00DA6A0E"/>
    <w:rsid w:val="00DA70D4"/>
    <w:rsid w:val="00DB166D"/>
    <w:rsid w:val="00DB28A7"/>
    <w:rsid w:val="00DB3A1C"/>
    <w:rsid w:val="00DB4199"/>
    <w:rsid w:val="00DB58FB"/>
    <w:rsid w:val="00DB6E8F"/>
    <w:rsid w:val="00DC0823"/>
    <w:rsid w:val="00DC17F9"/>
    <w:rsid w:val="00DC3DA8"/>
    <w:rsid w:val="00DC4203"/>
    <w:rsid w:val="00DC467D"/>
    <w:rsid w:val="00DC5411"/>
    <w:rsid w:val="00DC5676"/>
    <w:rsid w:val="00DD1C75"/>
    <w:rsid w:val="00DD270B"/>
    <w:rsid w:val="00DD3690"/>
    <w:rsid w:val="00DD41E4"/>
    <w:rsid w:val="00DD47EC"/>
    <w:rsid w:val="00DD4A34"/>
    <w:rsid w:val="00DD5163"/>
    <w:rsid w:val="00DD611F"/>
    <w:rsid w:val="00DD6385"/>
    <w:rsid w:val="00DD6F19"/>
    <w:rsid w:val="00DD772F"/>
    <w:rsid w:val="00DD77A9"/>
    <w:rsid w:val="00DE1124"/>
    <w:rsid w:val="00DE2C4A"/>
    <w:rsid w:val="00DE2D15"/>
    <w:rsid w:val="00DE492B"/>
    <w:rsid w:val="00DE5E69"/>
    <w:rsid w:val="00DE66D0"/>
    <w:rsid w:val="00DE6902"/>
    <w:rsid w:val="00DE6C3E"/>
    <w:rsid w:val="00DF036D"/>
    <w:rsid w:val="00DF0655"/>
    <w:rsid w:val="00DF237F"/>
    <w:rsid w:val="00DF3744"/>
    <w:rsid w:val="00DF389E"/>
    <w:rsid w:val="00DF575C"/>
    <w:rsid w:val="00DF596A"/>
    <w:rsid w:val="00DF649F"/>
    <w:rsid w:val="00DF70D7"/>
    <w:rsid w:val="00DF76DC"/>
    <w:rsid w:val="00DF7BA6"/>
    <w:rsid w:val="00DF7E46"/>
    <w:rsid w:val="00E0164A"/>
    <w:rsid w:val="00E033DC"/>
    <w:rsid w:val="00E03425"/>
    <w:rsid w:val="00E03CE9"/>
    <w:rsid w:val="00E04E50"/>
    <w:rsid w:val="00E051EB"/>
    <w:rsid w:val="00E05B5B"/>
    <w:rsid w:val="00E07DED"/>
    <w:rsid w:val="00E114E4"/>
    <w:rsid w:val="00E116A4"/>
    <w:rsid w:val="00E13ACD"/>
    <w:rsid w:val="00E14F5F"/>
    <w:rsid w:val="00E154B0"/>
    <w:rsid w:val="00E154B6"/>
    <w:rsid w:val="00E17247"/>
    <w:rsid w:val="00E17C6C"/>
    <w:rsid w:val="00E200DE"/>
    <w:rsid w:val="00E20BEA"/>
    <w:rsid w:val="00E21DFC"/>
    <w:rsid w:val="00E23031"/>
    <w:rsid w:val="00E23482"/>
    <w:rsid w:val="00E2433B"/>
    <w:rsid w:val="00E25703"/>
    <w:rsid w:val="00E25868"/>
    <w:rsid w:val="00E27249"/>
    <w:rsid w:val="00E27F60"/>
    <w:rsid w:val="00E314DA"/>
    <w:rsid w:val="00E32420"/>
    <w:rsid w:val="00E3301D"/>
    <w:rsid w:val="00E360E2"/>
    <w:rsid w:val="00E41B83"/>
    <w:rsid w:val="00E41DA0"/>
    <w:rsid w:val="00E44402"/>
    <w:rsid w:val="00E475E6"/>
    <w:rsid w:val="00E47685"/>
    <w:rsid w:val="00E47A89"/>
    <w:rsid w:val="00E50653"/>
    <w:rsid w:val="00E50EED"/>
    <w:rsid w:val="00E51F24"/>
    <w:rsid w:val="00E5266D"/>
    <w:rsid w:val="00E54C76"/>
    <w:rsid w:val="00E54DF5"/>
    <w:rsid w:val="00E550D7"/>
    <w:rsid w:val="00E5554A"/>
    <w:rsid w:val="00E55C16"/>
    <w:rsid w:val="00E55CAD"/>
    <w:rsid w:val="00E55D44"/>
    <w:rsid w:val="00E5737A"/>
    <w:rsid w:val="00E647DC"/>
    <w:rsid w:val="00E6499D"/>
    <w:rsid w:val="00E652A1"/>
    <w:rsid w:val="00E66339"/>
    <w:rsid w:val="00E66A27"/>
    <w:rsid w:val="00E71A4D"/>
    <w:rsid w:val="00E71D5F"/>
    <w:rsid w:val="00E72EEB"/>
    <w:rsid w:val="00E734F4"/>
    <w:rsid w:val="00E73EA2"/>
    <w:rsid w:val="00E74C60"/>
    <w:rsid w:val="00E75739"/>
    <w:rsid w:val="00E76EF0"/>
    <w:rsid w:val="00E77687"/>
    <w:rsid w:val="00E77D5A"/>
    <w:rsid w:val="00E8139D"/>
    <w:rsid w:val="00E821A2"/>
    <w:rsid w:val="00E84870"/>
    <w:rsid w:val="00E85510"/>
    <w:rsid w:val="00E86D13"/>
    <w:rsid w:val="00E87662"/>
    <w:rsid w:val="00E87DB8"/>
    <w:rsid w:val="00E9176B"/>
    <w:rsid w:val="00E91DBC"/>
    <w:rsid w:val="00E923B9"/>
    <w:rsid w:val="00E924CE"/>
    <w:rsid w:val="00E932D6"/>
    <w:rsid w:val="00E9358B"/>
    <w:rsid w:val="00E93F32"/>
    <w:rsid w:val="00E9421A"/>
    <w:rsid w:val="00E94457"/>
    <w:rsid w:val="00E94925"/>
    <w:rsid w:val="00E9709A"/>
    <w:rsid w:val="00EA070C"/>
    <w:rsid w:val="00EA0826"/>
    <w:rsid w:val="00EA2CCB"/>
    <w:rsid w:val="00EA74EF"/>
    <w:rsid w:val="00EA7CCA"/>
    <w:rsid w:val="00EA7DA6"/>
    <w:rsid w:val="00EA7F76"/>
    <w:rsid w:val="00EB04B2"/>
    <w:rsid w:val="00EB1518"/>
    <w:rsid w:val="00EB3E71"/>
    <w:rsid w:val="00EB4482"/>
    <w:rsid w:val="00EB50E0"/>
    <w:rsid w:val="00EB72D9"/>
    <w:rsid w:val="00EB781D"/>
    <w:rsid w:val="00EC210B"/>
    <w:rsid w:val="00EC2D68"/>
    <w:rsid w:val="00EC5286"/>
    <w:rsid w:val="00EC61FC"/>
    <w:rsid w:val="00EC697F"/>
    <w:rsid w:val="00EC7BBC"/>
    <w:rsid w:val="00ED0F8F"/>
    <w:rsid w:val="00ED1382"/>
    <w:rsid w:val="00ED2006"/>
    <w:rsid w:val="00ED20D9"/>
    <w:rsid w:val="00ED2579"/>
    <w:rsid w:val="00ED5B96"/>
    <w:rsid w:val="00ED6084"/>
    <w:rsid w:val="00ED63D7"/>
    <w:rsid w:val="00ED7BDF"/>
    <w:rsid w:val="00EE071F"/>
    <w:rsid w:val="00EE316F"/>
    <w:rsid w:val="00EE3315"/>
    <w:rsid w:val="00EE4AD5"/>
    <w:rsid w:val="00EE527E"/>
    <w:rsid w:val="00EE59CB"/>
    <w:rsid w:val="00EE6500"/>
    <w:rsid w:val="00EE7995"/>
    <w:rsid w:val="00EE79A4"/>
    <w:rsid w:val="00EF0159"/>
    <w:rsid w:val="00EF183A"/>
    <w:rsid w:val="00EF3650"/>
    <w:rsid w:val="00EF36DE"/>
    <w:rsid w:val="00EF6A90"/>
    <w:rsid w:val="00EF7BD6"/>
    <w:rsid w:val="00F000E8"/>
    <w:rsid w:val="00F0246A"/>
    <w:rsid w:val="00F02744"/>
    <w:rsid w:val="00F02CD0"/>
    <w:rsid w:val="00F03A26"/>
    <w:rsid w:val="00F03FF7"/>
    <w:rsid w:val="00F109C2"/>
    <w:rsid w:val="00F11061"/>
    <w:rsid w:val="00F12884"/>
    <w:rsid w:val="00F12F44"/>
    <w:rsid w:val="00F12F8E"/>
    <w:rsid w:val="00F1540D"/>
    <w:rsid w:val="00F15728"/>
    <w:rsid w:val="00F1678C"/>
    <w:rsid w:val="00F17745"/>
    <w:rsid w:val="00F20D3E"/>
    <w:rsid w:val="00F22FED"/>
    <w:rsid w:val="00F23CF0"/>
    <w:rsid w:val="00F23ED9"/>
    <w:rsid w:val="00F24441"/>
    <w:rsid w:val="00F247AE"/>
    <w:rsid w:val="00F2498F"/>
    <w:rsid w:val="00F25270"/>
    <w:rsid w:val="00F252D6"/>
    <w:rsid w:val="00F25BCB"/>
    <w:rsid w:val="00F26ADD"/>
    <w:rsid w:val="00F26F6A"/>
    <w:rsid w:val="00F27D64"/>
    <w:rsid w:val="00F3126E"/>
    <w:rsid w:val="00F314D3"/>
    <w:rsid w:val="00F323B9"/>
    <w:rsid w:val="00F33262"/>
    <w:rsid w:val="00F3476E"/>
    <w:rsid w:val="00F34AF3"/>
    <w:rsid w:val="00F35B70"/>
    <w:rsid w:val="00F36424"/>
    <w:rsid w:val="00F36A92"/>
    <w:rsid w:val="00F36C9E"/>
    <w:rsid w:val="00F37839"/>
    <w:rsid w:val="00F40232"/>
    <w:rsid w:val="00F405CB"/>
    <w:rsid w:val="00F40B54"/>
    <w:rsid w:val="00F40C5B"/>
    <w:rsid w:val="00F40CE3"/>
    <w:rsid w:val="00F424A4"/>
    <w:rsid w:val="00F43A73"/>
    <w:rsid w:val="00F441CC"/>
    <w:rsid w:val="00F4503D"/>
    <w:rsid w:val="00F4664C"/>
    <w:rsid w:val="00F4697E"/>
    <w:rsid w:val="00F47CB1"/>
    <w:rsid w:val="00F51719"/>
    <w:rsid w:val="00F528E9"/>
    <w:rsid w:val="00F5325E"/>
    <w:rsid w:val="00F545D4"/>
    <w:rsid w:val="00F55AB3"/>
    <w:rsid w:val="00F55DDE"/>
    <w:rsid w:val="00F576AA"/>
    <w:rsid w:val="00F60BA1"/>
    <w:rsid w:val="00F615B1"/>
    <w:rsid w:val="00F6249A"/>
    <w:rsid w:val="00F65B78"/>
    <w:rsid w:val="00F707EE"/>
    <w:rsid w:val="00F70DAB"/>
    <w:rsid w:val="00F74B45"/>
    <w:rsid w:val="00F75526"/>
    <w:rsid w:val="00F7792E"/>
    <w:rsid w:val="00F821E8"/>
    <w:rsid w:val="00F83FF7"/>
    <w:rsid w:val="00F84770"/>
    <w:rsid w:val="00F84FFE"/>
    <w:rsid w:val="00F8542C"/>
    <w:rsid w:val="00F8569B"/>
    <w:rsid w:val="00F871BD"/>
    <w:rsid w:val="00F905F4"/>
    <w:rsid w:val="00F92866"/>
    <w:rsid w:val="00F93E7C"/>
    <w:rsid w:val="00F943A8"/>
    <w:rsid w:val="00F94DB7"/>
    <w:rsid w:val="00F97354"/>
    <w:rsid w:val="00FA2F60"/>
    <w:rsid w:val="00FA2F78"/>
    <w:rsid w:val="00FA45FC"/>
    <w:rsid w:val="00FA4A9C"/>
    <w:rsid w:val="00FA520A"/>
    <w:rsid w:val="00FA648B"/>
    <w:rsid w:val="00FA7143"/>
    <w:rsid w:val="00FB0E8D"/>
    <w:rsid w:val="00FB1E0B"/>
    <w:rsid w:val="00FB4146"/>
    <w:rsid w:val="00FB6F9C"/>
    <w:rsid w:val="00FB78DF"/>
    <w:rsid w:val="00FC450D"/>
    <w:rsid w:val="00FC6B85"/>
    <w:rsid w:val="00FC70C3"/>
    <w:rsid w:val="00FC7861"/>
    <w:rsid w:val="00FD0146"/>
    <w:rsid w:val="00FD035C"/>
    <w:rsid w:val="00FD0665"/>
    <w:rsid w:val="00FD1BB5"/>
    <w:rsid w:val="00FD1C5F"/>
    <w:rsid w:val="00FD20F6"/>
    <w:rsid w:val="00FD2215"/>
    <w:rsid w:val="00FD29D3"/>
    <w:rsid w:val="00FD2A4E"/>
    <w:rsid w:val="00FD46D9"/>
    <w:rsid w:val="00FD47E0"/>
    <w:rsid w:val="00FD592A"/>
    <w:rsid w:val="00FD717F"/>
    <w:rsid w:val="00FE0199"/>
    <w:rsid w:val="00FE4EB6"/>
    <w:rsid w:val="00FE54E7"/>
    <w:rsid w:val="00FE591D"/>
    <w:rsid w:val="00FE61C7"/>
    <w:rsid w:val="00FE6C75"/>
    <w:rsid w:val="00FE7488"/>
    <w:rsid w:val="00FE7D28"/>
    <w:rsid w:val="00FE7F6B"/>
    <w:rsid w:val="00FF1853"/>
    <w:rsid w:val="00FF1AB1"/>
    <w:rsid w:val="00FF46B7"/>
    <w:rsid w:val="00FF61A4"/>
    <w:rsid w:val="01062D9D"/>
    <w:rsid w:val="0138A94E"/>
    <w:rsid w:val="013E2D91"/>
    <w:rsid w:val="014D4957"/>
    <w:rsid w:val="017C4798"/>
    <w:rsid w:val="019098E6"/>
    <w:rsid w:val="01A15278"/>
    <w:rsid w:val="01D2D4B6"/>
    <w:rsid w:val="02357D73"/>
    <w:rsid w:val="0248B959"/>
    <w:rsid w:val="024A0ED3"/>
    <w:rsid w:val="028F7699"/>
    <w:rsid w:val="02AF346F"/>
    <w:rsid w:val="030EF7A9"/>
    <w:rsid w:val="0384B69A"/>
    <w:rsid w:val="03A4ABE3"/>
    <w:rsid w:val="03BED59D"/>
    <w:rsid w:val="03C9B6C3"/>
    <w:rsid w:val="03DF75AB"/>
    <w:rsid w:val="046FEF4E"/>
    <w:rsid w:val="047762B5"/>
    <w:rsid w:val="04E6B554"/>
    <w:rsid w:val="056B093B"/>
    <w:rsid w:val="057D6736"/>
    <w:rsid w:val="0597F25F"/>
    <w:rsid w:val="05AA270C"/>
    <w:rsid w:val="05C93589"/>
    <w:rsid w:val="05FBF924"/>
    <w:rsid w:val="065285CF"/>
    <w:rsid w:val="06946E34"/>
    <w:rsid w:val="073E52D1"/>
    <w:rsid w:val="07876E5F"/>
    <w:rsid w:val="079FC0CA"/>
    <w:rsid w:val="087FA4D3"/>
    <w:rsid w:val="0892AEC8"/>
    <w:rsid w:val="08B9DD18"/>
    <w:rsid w:val="08BE45D2"/>
    <w:rsid w:val="08F177C2"/>
    <w:rsid w:val="090C3C58"/>
    <w:rsid w:val="09407B93"/>
    <w:rsid w:val="09639895"/>
    <w:rsid w:val="09C8EB56"/>
    <w:rsid w:val="09D431EE"/>
    <w:rsid w:val="0A035CC5"/>
    <w:rsid w:val="0A7412A5"/>
    <w:rsid w:val="0A7E52BF"/>
    <w:rsid w:val="0A8D1A76"/>
    <w:rsid w:val="0ADC4C5C"/>
    <w:rsid w:val="0AE6A439"/>
    <w:rsid w:val="0B178452"/>
    <w:rsid w:val="0B25E15A"/>
    <w:rsid w:val="0B38F905"/>
    <w:rsid w:val="0B46D6C3"/>
    <w:rsid w:val="0B6C6DCF"/>
    <w:rsid w:val="0B747B6F"/>
    <w:rsid w:val="0BABE726"/>
    <w:rsid w:val="0BE93C08"/>
    <w:rsid w:val="0C952CDD"/>
    <w:rsid w:val="0CD5F4EC"/>
    <w:rsid w:val="0CE9E339"/>
    <w:rsid w:val="0D9B5C06"/>
    <w:rsid w:val="0DA4E8FD"/>
    <w:rsid w:val="0DB81E2C"/>
    <w:rsid w:val="0DD3D0B5"/>
    <w:rsid w:val="0DD6D7F4"/>
    <w:rsid w:val="0E033F9D"/>
    <w:rsid w:val="0E04E0B3"/>
    <w:rsid w:val="0E226355"/>
    <w:rsid w:val="0E2DB927"/>
    <w:rsid w:val="0E3A9738"/>
    <w:rsid w:val="0E58A6D8"/>
    <w:rsid w:val="0EBA62B2"/>
    <w:rsid w:val="0EBD7AD2"/>
    <w:rsid w:val="0EE5E734"/>
    <w:rsid w:val="0F21853B"/>
    <w:rsid w:val="0F2DE70A"/>
    <w:rsid w:val="0F44593A"/>
    <w:rsid w:val="0F5213FA"/>
    <w:rsid w:val="0F6FD47F"/>
    <w:rsid w:val="0F9CB56A"/>
    <w:rsid w:val="0FC8D4FA"/>
    <w:rsid w:val="0FD66799"/>
    <w:rsid w:val="0FE5A3BD"/>
    <w:rsid w:val="103C70A6"/>
    <w:rsid w:val="1075A56C"/>
    <w:rsid w:val="10FC5BFA"/>
    <w:rsid w:val="112078B5"/>
    <w:rsid w:val="113FEFA4"/>
    <w:rsid w:val="115CB28F"/>
    <w:rsid w:val="117AFB49"/>
    <w:rsid w:val="11AF8D2D"/>
    <w:rsid w:val="11B83D86"/>
    <w:rsid w:val="11E7C4A9"/>
    <w:rsid w:val="1214781F"/>
    <w:rsid w:val="1221819E"/>
    <w:rsid w:val="1263903B"/>
    <w:rsid w:val="126944AB"/>
    <w:rsid w:val="12C80E31"/>
    <w:rsid w:val="1312A9B2"/>
    <w:rsid w:val="132D2560"/>
    <w:rsid w:val="13362A12"/>
    <w:rsid w:val="13A41E65"/>
    <w:rsid w:val="13A9DB06"/>
    <w:rsid w:val="13ACECE2"/>
    <w:rsid w:val="13B039E6"/>
    <w:rsid w:val="145CA899"/>
    <w:rsid w:val="1475A18F"/>
    <w:rsid w:val="14C2167D"/>
    <w:rsid w:val="151C1B66"/>
    <w:rsid w:val="153D9D1E"/>
    <w:rsid w:val="1562A2D3"/>
    <w:rsid w:val="156C7B43"/>
    <w:rsid w:val="1593E391"/>
    <w:rsid w:val="15A1F021"/>
    <w:rsid w:val="15B0167F"/>
    <w:rsid w:val="15E846D5"/>
    <w:rsid w:val="15F80056"/>
    <w:rsid w:val="16087572"/>
    <w:rsid w:val="1614EA9E"/>
    <w:rsid w:val="1622EEF6"/>
    <w:rsid w:val="1682E470"/>
    <w:rsid w:val="16A0D064"/>
    <w:rsid w:val="16C92799"/>
    <w:rsid w:val="16E12D23"/>
    <w:rsid w:val="16E3FA46"/>
    <w:rsid w:val="16E4C571"/>
    <w:rsid w:val="16F603E4"/>
    <w:rsid w:val="16F8BC46"/>
    <w:rsid w:val="172245D9"/>
    <w:rsid w:val="173CA419"/>
    <w:rsid w:val="176B9D7E"/>
    <w:rsid w:val="17AEE206"/>
    <w:rsid w:val="17B68A16"/>
    <w:rsid w:val="17DB4A28"/>
    <w:rsid w:val="18105661"/>
    <w:rsid w:val="182227D7"/>
    <w:rsid w:val="18597B35"/>
    <w:rsid w:val="186F3363"/>
    <w:rsid w:val="18739DE5"/>
    <w:rsid w:val="18D93D1B"/>
    <w:rsid w:val="18F30CF5"/>
    <w:rsid w:val="18F7B28F"/>
    <w:rsid w:val="18FD0F05"/>
    <w:rsid w:val="193542C7"/>
    <w:rsid w:val="194248D5"/>
    <w:rsid w:val="19717321"/>
    <w:rsid w:val="1988082D"/>
    <w:rsid w:val="198C760A"/>
    <w:rsid w:val="19C19394"/>
    <w:rsid w:val="19DB2FEF"/>
    <w:rsid w:val="19F22EB2"/>
    <w:rsid w:val="1A1FA84F"/>
    <w:rsid w:val="1A2CD566"/>
    <w:rsid w:val="1A3265FE"/>
    <w:rsid w:val="1A7E0B5A"/>
    <w:rsid w:val="1AC10935"/>
    <w:rsid w:val="1AE6FD2C"/>
    <w:rsid w:val="1AED95D9"/>
    <w:rsid w:val="1AF2ECD7"/>
    <w:rsid w:val="1B0268BC"/>
    <w:rsid w:val="1B2767A5"/>
    <w:rsid w:val="1B6453B5"/>
    <w:rsid w:val="1B7F5513"/>
    <w:rsid w:val="1BAD177E"/>
    <w:rsid w:val="1BB8EF75"/>
    <w:rsid w:val="1BEC90E9"/>
    <w:rsid w:val="1C445198"/>
    <w:rsid w:val="1D112584"/>
    <w:rsid w:val="1D1E2D90"/>
    <w:rsid w:val="1D2A603B"/>
    <w:rsid w:val="1D3B5EAC"/>
    <w:rsid w:val="1D5228FD"/>
    <w:rsid w:val="1D6C74FB"/>
    <w:rsid w:val="1DB50F1C"/>
    <w:rsid w:val="1DF48ED2"/>
    <w:rsid w:val="1E144CB4"/>
    <w:rsid w:val="1E176084"/>
    <w:rsid w:val="1E259749"/>
    <w:rsid w:val="1E4541A7"/>
    <w:rsid w:val="1E8F8D1F"/>
    <w:rsid w:val="1EC41278"/>
    <w:rsid w:val="1EDBE764"/>
    <w:rsid w:val="1EE77F3D"/>
    <w:rsid w:val="1F0A4073"/>
    <w:rsid w:val="1F4A8761"/>
    <w:rsid w:val="1F55D52F"/>
    <w:rsid w:val="1F58526A"/>
    <w:rsid w:val="1F6BD460"/>
    <w:rsid w:val="1F6CDF38"/>
    <w:rsid w:val="1F732B71"/>
    <w:rsid w:val="1FF6A1C2"/>
    <w:rsid w:val="201F20F3"/>
    <w:rsid w:val="205477E6"/>
    <w:rsid w:val="211A6D4A"/>
    <w:rsid w:val="21B5A510"/>
    <w:rsid w:val="21C594A8"/>
    <w:rsid w:val="222C7FFA"/>
    <w:rsid w:val="22B63DAB"/>
    <w:rsid w:val="22CD38FA"/>
    <w:rsid w:val="22E5D2EA"/>
    <w:rsid w:val="2308D809"/>
    <w:rsid w:val="2330009F"/>
    <w:rsid w:val="234B1BD7"/>
    <w:rsid w:val="237ED79A"/>
    <w:rsid w:val="23A5E3E2"/>
    <w:rsid w:val="23D31C23"/>
    <w:rsid w:val="23E9302A"/>
    <w:rsid w:val="23EB72A0"/>
    <w:rsid w:val="23EDBE1B"/>
    <w:rsid w:val="23FEC6BB"/>
    <w:rsid w:val="240AA4C8"/>
    <w:rsid w:val="2420B1D6"/>
    <w:rsid w:val="243953B5"/>
    <w:rsid w:val="243D9649"/>
    <w:rsid w:val="24CA2DA8"/>
    <w:rsid w:val="2511B1B5"/>
    <w:rsid w:val="251745F6"/>
    <w:rsid w:val="258ACFDD"/>
    <w:rsid w:val="25C41899"/>
    <w:rsid w:val="25F53BC4"/>
    <w:rsid w:val="25F9CEEA"/>
    <w:rsid w:val="261383DF"/>
    <w:rsid w:val="262EBA10"/>
    <w:rsid w:val="2691D79F"/>
    <w:rsid w:val="26AFA1A2"/>
    <w:rsid w:val="26E796F1"/>
    <w:rsid w:val="274ED253"/>
    <w:rsid w:val="2789AECE"/>
    <w:rsid w:val="27AB9C15"/>
    <w:rsid w:val="27C8107A"/>
    <w:rsid w:val="2808F7C7"/>
    <w:rsid w:val="285D5B61"/>
    <w:rsid w:val="2868D5D1"/>
    <w:rsid w:val="2884C8C1"/>
    <w:rsid w:val="28AFA940"/>
    <w:rsid w:val="28C2752C"/>
    <w:rsid w:val="29445F20"/>
    <w:rsid w:val="29A76B0A"/>
    <w:rsid w:val="29AFB7B5"/>
    <w:rsid w:val="29C37439"/>
    <w:rsid w:val="29EF0B10"/>
    <w:rsid w:val="2A25D47F"/>
    <w:rsid w:val="2A479135"/>
    <w:rsid w:val="2A646E45"/>
    <w:rsid w:val="2A666683"/>
    <w:rsid w:val="2AC6D3A3"/>
    <w:rsid w:val="2AECAA74"/>
    <w:rsid w:val="2B04ADFC"/>
    <w:rsid w:val="2B41CF0B"/>
    <w:rsid w:val="2B54C218"/>
    <w:rsid w:val="2B640E65"/>
    <w:rsid w:val="2B6F811F"/>
    <w:rsid w:val="2C01D272"/>
    <w:rsid w:val="2C789AAA"/>
    <w:rsid w:val="2C797CB1"/>
    <w:rsid w:val="2C851E5F"/>
    <w:rsid w:val="2C9443E3"/>
    <w:rsid w:val="2CC34571"/>
    <w:rsid w:val="2D189240"/>
    <w:rsid w:val="2D80D2CF"/>
    <w:rsid w:val="2D81925F"/>
    <w:rsid w:val="2DBF9F42"/>
    <w:rsid w:val="2DC6E018"/>
    <w:rsid w:val="2DF8F052"/>
    <w:rsid w:val="2DFDBB1E"/>
    <w:rsid w:val="2E16C3B0"/>
    <w:rsid w:val="2E1A144B"/>
    <w:rsid w:val="2E3DA301"/>
    <w:rsid w:val="2E710633"/>
    <w:rsid w:val="2E71EE89"/>
    <w:rsid w:val="2EC2F83B"/>
    <w:rsid w:val="2ECB7132"/>
    <w:rsid w:val="2EE3FA4D"/>
    <w:rsid w:val="2F243667"/>
    <w:rsid w:val="2FECEE31"/>
    <w:rsid w:val="301BD7B5"/>
    <w:rsid w:val="303C4B94"/>
    <w:rsid w:val="307786B0"/>
    <w:rsid w:val="30C991C7"/>
    <w:rsid w:val="31282426"/>
    <w:rsid w:val="316FF494"/>
    <w:rsid w:val="3170FF68"/>
    <w:rsid w:val="3192A718"/>
    <w:rsid w:val="319AF3B9"/>
    <w:rsid w:val="31B3E751"/>
    <w:rsid w:val="31CF5036"/>
    <w:rsid w:val="320F90D9"/>
    <w:rsid w:val="321C5CD4"/>
    <w:rsid w:val="323585C5"/>
    <w:rsid w:val="3246B188"/>
    <w:rsid w:val="3281854A"/>
    <w:rsid w:val="32CF03A6"/>
    <w:rsid w:val="32FD4AE4"/>
    <w:rsid w:val="3304CEF1"/>
    <w:rsid w:val="331BE720"/>
    <w:rsid w:val="3340C546"/>
    <w:rsid w:val="336B2097"/>
    <w:rsid w:val="337F6F90"/>
    <w:rsid w:val="3386CA92"/>
    <w:rsid w:val="33BC3AD4"/>
    <w:rsid w:val="33CF6089"/>
    <w:rsid w:val="34072968"/>
    <w:rsid w:val="340AEBBB"/>
    <w:rsid w:val="342EEEAE"/>
    <w:rsid w:val="344EE8FB"/>
    <w:rsid w:val="34605EE7"/>
    <w:rsid w:val="347F89E3"/>
    <w:rsid w:val="3566DE47"/>
    <w:rsid w:val="356E662B"/>
    <w:rsid w:val="3573FFB6"/>
    <w:rsid w:val="35748CBC"/>
    <w:rsid w:val="358DEDD9"/>
    <w:rsid w:val="3595ED0F"/>
    <w:rsid w:val="3596322A"/>
    <w:rsid w:val="35D142CA"/>
    <w:rsid w:val="3609B2A1"/>
    <w:rsid w:val="3612813E"/>
    <w:rsid w:val="36383ED9"/>
    <w:rsid w:val="365BA0B5"/>
    <w:rsid w:val="36A6C4B7"/>
    <w:rsid w:val="36A77EBC"/>
    <w:rsid w:val="36A8A399"/>
    <w:rsid w:val="36D07C5D"/>
    <w:rsid w:val="36F47A3C"/>
    <w:rsid w:val="36FC6F20"/>
    <w:rsid w:val="36FEC082"/>
    <w:rsid w:val="371127F3"/>
    <w:rsid w:val="3740C64D"/>
    <w:rsid w:val="378F3B43"/>
    <w:rsid w:val="3795E31F"/>
    <w:rsid w:val="37C98108"/>
    <w:rsid w:val="3801C938"/>
    <w:rsid w:val="38441F5E"/>
    <w:rsid w:val="38B49F80"/>
    <w:rsid w:val="3912F5D9"/>
    <w:rsid w:val="395E2EFB"/>
    <w:rsid w:val="39A3C4DC"/>
    <w:rsid w:val="39E37547"/>
    <w:rsid w:val="39E43E78"/>
    <w:rsid w:val="3A6B112D"/>
    <w:rsid w:val="3A786B1B"/>
    <w:rsid w:val="3AE33A06"/>
    <w:rsid w:val="3AE6FA44"/>
    <w:rsid w:val="3B42EB17"/>
    <w:rsid w:val="3B626C68"/>
    <w:rsid w:val="3B66B86E"/>
    <w:rsid w:val="3B69C17B"/>
    <w:rsid w:val="3B9A566D"/>
    <w:rsid w:val="3BAEC302"/>
    <w:rsid w:val="3BCB437D"/>
    <w:rsid w:val="3BF10CB8"/>
    <w:rsid w:val="3C210271"/>
    <w:rsid w:val="3C4315CD"/>
    <w:rsid w:val="3C4D04F9"/>
    <w:rsid w:val="3CC10680"/>
    <w:rsid w:val="3CDD533C"/>
    <w:rsid w:val="3D2533AD"/>
    <w:rsid w:val="3D6F4D48"/>
    <w:rsid w:val="3DA8BA03"/>
    <w:rsid w:val="3DE8C7E9"/>
    <w:rsid w:val="3E0D43CC"/>
    <w:rsid w:val="3E9E814C"/>
    <w:rsid w:val="3EBAB43A"/>
    <w:rsid w:val="3EC40EDD"/>
    <w:rsid w:val="3F096C33"/>
    <w:rsid w:val="3F0D56ED"/>
    <w:rsid w:val="3F2812C0"/>
    <w:rsid w:val="3F344260"/>
    <w:rsid w:val="3F65F81D"/>
    <w:rsid w:val="3F8F30E3"/>
    <w:rsid w:val="3FA35AA2"/>
    <w:rsid w:val="3FA88A53"/>
    <w:rsid w:val="40253C9B"/>
    <w:rsid w:val="404AD4DC"/>
    <w:rsid w:val="408B6AE9"/>
    <w:rsid w:val="40AF91C0"/>
    <w:rsid w:val="40CA75A5"/>
    <w:rsid w:val="40E218DE"/>
    <w:rsid w:val="411424E4"/>
    <w:rsid w:val="414BFD33"/>
    <w:rsid w:val="41D8A1C2"/>
    <w:rsid w:val="41E2EE18"/>
    <w:rsid w:val="422C2351"/>
    <w:rsid w:val="429043F5"/>
    <w:rsid w:val="429DA51B"/>
    <w:rsid w:val="4304F3DD"/>
    <w:rsid w:val="430B4C2E"/>
    <w:rsid w:val="43291239"/>
    <w:rsid w:val="43D7B530"/>
    <w:rsid w:val="43D7FD23"/>
    <w:rsid w:val="43EF717A"/>
    <w:rsid w:val="44524687"/>
    <w:rsid w:val="445790BC"/>
    <w:rsid w:val="44589169"/>
    <w:rsid w:val="446ECEB1"/>
    <w:rsid w:val="44709E45"/>
    <w:rsid w:val="448F2A8B"/>
    <w:rsid w:val="44CFFCCE"/>
    <w:rsid w:val="44EB8B9C"/>
    <w:rsid w:val="4506EA53"/>
    <w:rsid w:val="4507BB17"/>
    <w:rsid w:val="456768EC"/>
    <w:rsid w:val="4578781F"/>
    <w:rsid w:val="45ABF5E2"/>
    <w:rsid w:val="45B5A3D9"/>
    <w:rsid w:val="45BBB11F"/>
    <w:rsid w:val="45C506CB"/>
    <w:rsid w:val="45CED2DE"/>
    <w:rsid w:val="45E63990"/>
    <w:rsid w:val="4608F051"/>
    <w:rsid w:val="461044CF"/>
    <w:rsid w:val="461F1B32"/>
    <w:rsid w:val="462E600B"/>
    <w:rsid w:val="4636DF2E"/>
    <w:rsid w:val="464B0B91"/>
    <w:rsid w:val="4652D976"/>
    <w:rsid w:val="46A65217"/>
    <w:rsid w:val="46DE7C65"/>
    <w:rsid w:val="4736F8E4"/>
    <w:rsid w:val="47C202C0"/>
    <w:rsid w:val="47C4D359"/>
    <w:rsid w:val="481AF196"/>
    <w:rsid w:val="482DA7A3"/>
    <w:rsid w:val="484D4C0C"/>
    <w:rsid w:val="48945B81"/>
    <w:rsid w:val="48A9662E"/>
    <w:rsid w:val="48BDCA7A"/>
    <w:rsid w:val="498764D7"/>
    <w:rsid w:val="49C2FFFC"/>
    <w:rsid w:val="4A2046E7"/>
    <w:rsid w:val="4A21AD61"/>
    <w:rsid w:val="4A457429"/>
    <w:rsid w:val="4AF5920A"/>
    <w:rsid w:val="4B229685"/>
    <w:rsid w:val="4B282C70"/>
    <w:rsid w:val="4B439EAF"/>
    <w:rsid w:val="4B4576A0"/>
    <w:rsid w:val="4B78E3A9"/>
    <w:rsid w:val="4B8E66DA"/>
    <w:rsid w:val="4BDBAA1B"/>
    <w:rsid w:val="4BDC5EA4"/>
    <w:rsid w:val="4C22463F"/>
    <w:rsid w:val="4CE53802"/>
    <w:rsid w:val="4CF9750F"/>
    <w:rsid w:val="4D0D040A"/>
    <w:rsid w:val="4D1C5D31"/>
    <w:rsid w:val="4D36ABEC"/>
    <w:rsid w:val="4D719C4F"/>
    <w:rsid w:val="4D7B6710"/>
    <w:rsid w:val="4DBDAA56"/>
    <w:rsid w:val="4DC2F27C"/>
    <w:rsid w:val="4DE547B2"/>
    <w:rsid w:val="4DFD7AEA"/>
    <w:rsid w:val="4E861F23"/>
    <w:rsid w:val="4E9B5550"/>
    <w:rsid w:val="4EC6B74A"/>
    <w:rsid w:val="4F3B118C"/>
    <w:rsid w:val="4F496BE4"/>
    <w:rsid w:val="4FA05829"/>
    <w:rsid w:val="4FAE9B23"/>
    <w:rsid w:val="4FC8586E"/>
    <w:rsid w:val="5006A64A"/>
    <w:rsid w:val="500D33F3"/>
    <w:rsid w:val="501F3D7F"/>
    <w:rsid w:val="502B547E"/>
    <w:rsid w:val="50496193"/>
    <w:rsid w:val="504A55CB"/>
    <w:rsid w:val="506287AB"/>
    <w:rsid w:val="50A1C6FE"/>
    <w:rsid w:val="50DCE3FB"/>
    <w:rsid w:val="50DD68FF"/>
    <w:rsid w:val="51371197"/>
    <w:rsid w:val="5145D949"/>
    <w:rsid w:val="51737F65"/>
    <w:rsid w:val="518B496B"/>
    <w:rsid w:val="519F344E"/>
    <w:rsid w:val="51EFB915"/>
    <w:rsid w:val="51FE5A51"/>
    <w:rsid w:val="522B5CA2"/>
    <w:rsid w:val="5278120D"/>
    <w:rsid w:val="52C9D8B8"/>
    <w:rsid w:val="52D4CF98"/>
    <w:rsid w:val="52E96330"/>
    <w:rsid w:val="52F81DFA"/>
    <w:rsid w:val="533F262F"/>
    <w:rsid w:val="537B0BC3"/>
    <w:rsid w:val="53A23559"/>
    <w:rsid w:val="53B20802"/>
    <w:rsid w:val="53DDF2B1"/>
    <w:rsid w:val="53EC60A8"/>
    <w:rsid w:val="53ED0B0F"/>
    <w:rsid w:val="53F50107"/>
    <w:rsid w:val="5439F969"/>
    <w:rsid w:val="543F6026"/>
    <w:rsid w:val="54A40D82"/>
    <w:rsid w:val="54EDD870"/>
    <w:rsid w:val="5561A6E0"/>
    <w:rsid w:val="556D43B0"/>
    <w:rsid w:val="559327FE"/>
    <w:rsid w:val="56189240"/>
    <w:rsid w:val="56253315"/>
    <w:rsid w:val="562FE42B"/>
    <w:rsid w:val="568754E8"/>
    <w:rsid w:val="56EAF768"/>
    <w:rsid w:val="56F56244"/>
    <w:rsid w:val="57552F4D"/>
    <w:rsid w:val="57E4F3CF"/>
    <w:rsid w:val="57E8A1FB"/>
    <w:rsid w:val="57E8ACF6"/>
    <w:rsid w:val="581FD4ED"/>
    <w:rsid w:val="58426F53"/>
    <w:rsid w:val="585CAA02"/>
    <w:rsid w:val="58743030"/>
    <w:rsid w:val="589F60A8"/>
    <w:rsid w:val="590AD1F1"/>
    <w:rsid w:val="591E3505"/>
    <w:rsid w:val="592DFD12"/>
    <w:rsid w:val="595B9C7E"/>
    <w:rsid w:val="59B2A6E1"/>
    <w:rsid w:val="59C1B0BE"/>
    <w:rsid w:val="59C29444"/>
    <w:rsid w:val="59E70DB2"/>
    <w:rsid w:val="59F043D9"/>
    <w:rsid w:val="5A12BC0D"/>
    <w:rsid w:val="5A26941D"/>
    <w:rsid w:val="5A4D3ECD"/>
    <w:rsid w:val="5A5AF5B2"/>
    <w:rsid w:val="5A73D3D7"/>
    <w:rsid w:val="5A7E39F7"/>
    <w:rsid w:val="5A9A68E4"/>
    <w:rsid w:val="5ACCD5A6"/>
    <w:rsid w:val="5ACCE301"/>
    <w:rsid w:val="5AF799A4"/>
    <w:rsid w:val="5B16997F"/>
    <w:rsid w:val="5B1A856B"/>
    <w:rsid w:val="5B1D1FB9"/>
    <w:rsid w:val="5B2A208F"/>
    <w:rsid w:val="5B963565"/>
    <w:rsid w:val="5BA72D7A"/>
    <w:rsid w:val="5BF9B719"/>
    <w:rsid w:val="5C164333"/>
    <w:rsid w:val="5C4EAD5F"/>
    <w:rsid w:val="5C570BC4"/>
    <w:rsid w:val="5C6E7C03"/>
    <w:rsid w:val="5C84A0BF"/>
    <w:rsid w:val="5C8C4324"/>
    <w:rsid w:val="5CA828FB"/>
    <w:rsid w:val="5CAC6E06"/>
    <w:rsid w:val="5CC6F350"/>
    <w:rsid w:val="5CD55156"/>
    <w:rsid w:val="5CD99D5E"/>
    <w:rsid w:val="5CE66141"/>
    <w:rsid w:val="5CF50A40"/>
    <w:rsid w:val="5D0C09C3"/>
    <w:rsid w:val="5D1CA192"/>
    <w:rsid w:val="5DB9E5C2"/>
    <w:rsid w:val="5E03CE96"/>
    <w:rsid w:val="5E042235"/>
    <w:rsid w:val="5E483E67"/>
    <w:rsid w:val="5E4C46F8"/>
    <w:rsid w:val="5E50D6E7"/>
    <w:rsid w:val="5E8847C0"/>
    <w:rsid w:val="5E9FC51D"/>
    <w:rsid w:val="5EAFBB1C"/>
    <w:rsid w:val="5EBE8BA8"/>
    <w:rsid w:val="5F2293AE"/>
    <w:rsid w:val="5F7F2747"/>
    <w:rsid w:val="5FDB8B6A"/>
    <w:rsid w:val="601FEFF1"/>
    <w:rsid w:val="60573671"/>
    <w:rsid w:val="60585B4E"/>
    <w:rsid w:val="60621EA4"/>
    <w:rsid w:val="6084037A"/>
    <w:rsid w:val="609F5CD2"/>
    <w:rsid w:val="60B0A6C8"/>
    <w:rsid w:val="610FC69A"/>
    <w:rsid w:val="612B3EE9"/>
    <w:rsid w:val="61309539"/>
    <w:rsid w:val="61991C03"/>
    <w:rsid w:val="61A60783"/>
    <w:rsid w:val="620CA40B"/>
    <w:rsid w:val="6210E2DE"/>
    <w:rsid w:val="62365909"/>
    <w:rsid w:val="6264412F"/>
    <w:rsid w:val="628BA67C"/>
    <w:rsid w:val="62B64244"/>
    <w:rsid w:val="62F8CFA8"/>
    <w:rsid w:val="62FB2EE3"/>
    <w:rsid w:val="6344E80C"/>
    <w:rsid w:val="6389F668"/>
    <w:rsid w:val="638BE0A6"/>
    <w:rsid w:val="63B4AC48"/>
    <w:rsid w:val="63F6C5C9"/>
    <w:rsid w:val="6415BC08"/>
    <w:rsid w:val="64280224"/>
    <w:rsid w:val="645FB23A"/>
    <w:rsid w:val="64883697"/>
    <w:rsid w:val="6490B38B"/>
    <w:rsid w:val="64977609"/>
    <w:rsid w:val="64BA2178"/>
    <w:rsid w:val="64FD0B00"/>
    <w:rsid w:val="650727DD"/>
    <w:rsid w:val="651ACD4E"/>
    <w:rsid w:val="65797C92"/>
    <w:rsid w:val="659C1158"/>
    <w:rsid w:val="65BA2650"/>
    <w:rsid w:val="65C3DD60"/>
    <w:rsid w:val="65EA7521"/>
    <w:rsid w:val="66017F3C"/>
    <w:rsid w:val="661D18FB"/>
    <w:rsid w:val="663B6AB0"/>
    <w:rsid w:val="663F1542"/>
    <w:rsid w:val="66464D3B"/>
    <w:rsid w:val="66836F75"/>
    <w:rsid w:val="6704B69E"/>
    <w:rsid w:val="67ABD1D2"/>
    <w:rsid w:val="682232EA"/>
    <w:rsid w:val="6824C1ED"/>
    <w:rsid w:val="6859D11E"/>
    <w:rsid w:val="685B303D"/>
    <w:rsid w:val="687284C8"/>
    <w:rsid w:val="689EFD4D"/>
    <w:rsid w:val="68CAEA33"/>
    <w:rsid w:val="68DE9E95"/>
    <w:rsid w:val="69003AAB"/>
    <w:rsid w:val="691033AA"/>
    <w:rsid w:val="694C1957"/>
    <w:rsid w:val="696C5602"/>
    <w:rsid w:val="69730C1E"/>
    <w:rsid w:val="6973F768"/>
    <w:rsid w:val="6976B604"/>
    <w:rsid w:val="6996B451"/>
    <w:rsid w:val="69BD3B90"/>
    <w:rsid w:val="6A8339B2"/>
    <w:rsid w:val="6AB5E78F"/>
    <w:rsid w:val="6AC49E62"/>
    <w:rsid w:val="6AC6EE07"/>
    <w:rsid w:val="6AED1EF8"/>
    <w:rsid w:val="6B0AC26B"/>
    <w:rsid w:val="6B1701F9"/>
    <w:rsid w:val="6B2521BF"/>
    <w:rsid w:val="6B3B3109"/>
    <w:rsid w:val="6B7D197E"/>
    <w:rsid w:val="6BA8B793"/>
    <w:rsid w:val="6BAA258A"/>
    <w:rsid w:val="6C2FCC5B"/>
    <w:rsid w:val="6C3B6F31"/>
    <w:rsid w:val="6C885CB1"/>
    <w:rsid w:val="6CA95A2A"/>
    <w:rsid w:val="6CC05443"/>
    <w:rsid w:val="6D290E71"/>
    <w:rsid w:val="6D5B3F4C"/>
    <w:rsid w:val="6D8B96CD"/>
    <w:rsid w:val="6D8FCB28"/>
    <w:rsid w:val="6DCA1029"/>
    <w:rsid w:val="6DCCCDB7"/>
    <w:rsid w:val="6DF6F594"/>
    <w:rsid w:val="6E021DCA"/>
    <w:rsid w:val="6E0997AC"/>
    <w:rsid w:val="6E409668"/>
    <w:rsid w:val="6E57F18D"/>
    <w:rsid w:val="6E6C6B9D"/>
    <w:rsid w:val="6E8A4540"/>
    <w:rsid w:val="6EA97CBF"/>
    <w:rsid w:val="6EED34C1"/>
    <w:rsid w:val="6F62A8C5"/>
    <w:rsid w:val="6F676D1D"/>
    <w:rsid w:val="6F7535C6"/>
    <w:rsid w:val="6F7FBC20"/>
    <w:rsid w:val="6F8295CD"/>
    <w:rsid w:val="6FC3EB08"/>
    <w:rsid w:val="6FFB4EEE"/>
    <w:rsid w:val="7057C4FE"/>
    <w:rsid w:val="70624A29"/>
    <w:rsid w:val="70A7EFF9"/>
    <w:rsid w:val="7121B0A2"/>
    <w:rsid w:val="7137AB65"/>
    <w:rsid w:val="717B3E69"/>
    <w:rsid w:val="71924224"/>
    <w:rsid w:val="71D23827"/>
    <w:rsid w:val="71F0F72F"/>
    <w:rsid w:val="71F38B19"/>
    <w:rsid w:val="7263278E"/>
    <w:rsid w:val="72AC174B"/>
    <w:rsid w:val="72D73B1F"/>
    <w:rsid w:val="730F2C9F"/>
    <w:rsid w:val="73113790"/>
    <w:rsid w:val="73354F7E"/>
    <w:rsid w:val="73639AC4"/>
    <w:rsid w:val="7379C202"/>
    <w:rsid w:val="73B5376F"/>
    <w:rsid w:val="73FAEDC4"/>
    <w:rsid w:val="7487FF06"/>
    <w:rsid w:val="74A72CCC"/>
    <w:rsid w:val="74BE4059"/>
    <w:rsid w:val="74C0CB96"/>
    <w:rsid w:val="74E4D4DB"/>
    <w:rsid w:val="7541783F"/>
    <w:rsid w:val="755E31D5"/>
    <w:rsid w:val="7565B9B9"/>
    <w:rsid w:val="7576E40A"/>
    <w:rsid w:val="75AFABA2"/>
    <w:rsid w:val="75B24EA1"/>
    <w:rsid w:val="75D018DE"/>
    <w:rsid w:val="75D6B58C"/>
    <w:rsid w:val="75E52F7D"/>
    <w:rsid w:val="76093C25"/>
    <w:rsid w:val="763CD355"/>
    <w:rsid w:val="76633A6E"/>
    <w:rsid w:val="76E2638B"/>
    <w:rsid w:val="76FDBA40"/>
    <w:rsid w:val="773EDE83"/>
    <w:rsid w:val="7749694F"/>
    <w:rsid w:val="77552C2A"/>
    <w:rsid w:val="77B55EAA"/>
    <w:rsid w:val="781603BE"/>
    <w:rsid w:val="7820BDE8"/>
    <w:rsid w:val="787C4229"/>
    <w:rsid w:val="788D8E9F"/>
    <w:rsid w:val="79409ACD"/>
    <w:rsid w:val="79CFF286"/>
    <w:rsid w:val="79F7E298"/>
    <w:rsid w:val="79FEEB87"/>
    <w:rsid w:val="7A20F56E"/>
    <w:rsid w:val="7A5AE826"/>
    <w:rsid w:val="7AEC4F19"/>
    <w:rsid w:val="7B3C9C00"/>
    <w:rsid w:val="7B680B3D"/>
    <w:rsid w:val="7BA5CF42"/>
    <w:rsid w:val="7BAE0876"/>
    <w:rsid w:val="7BBB8C97"/>
    <w:rsid w:val="7C5559FC"/>
    <w:rsid w:val="7C974C82"/>
    <w:rsid w:val="7CC3A5DF"/>
    <w:rsid w:val="7D408555"/>
    <w:rsid w:val="7D801EBA"/>
    <w:rsid w:val="7DEF822A"/>
    <w:rsid w:val="7DF99937"/>
    <w:rsid w:val="7E6C3076"/>
    <w:rsid w:val="7E6C9930"/>
    <w:rsid w:val="7EABA408"/>
    <w:rsid w:val="7ECFF73D"/>
    <w:rsid w:val="7EDE14AD"/>
    <w:rsid w:val="7EEA864A"/>
    <w:rsid w:val="7F08B01D"/>
    <w:rsid w:val="7F09A20F"/>
    <w:rsid w:val="7F228773"/>
    <w:rsid w:val="7F3BA82D"/>
    <w:rsid w:val="7F4844A2"/>
    <w:rsid w:val="7FD28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8"/>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85A72"/>
    <w:pPr>
      <w:numPr>
        <w:ilvl w:val="0"/>
        <w:numId w:val="7"/>
      </w:numPr>
      <w:outlineLvl w:val="0"/>
    </w:pPr>
    <w:rPr>
      <w:rFonts w:cstheme="minorHAnsi"/>
      <w:b/>
      <w:bCs/>
      <w:sz w:val="40"/>
      <w:szCs w:val="40"/>
    </w:rPr>
  </w:style>
  <w:style w:type="paragraph" w:styleId="Heading2">
    <w:name w:val="heading 2"/>
    <w:basedOn w:val="Normal"/>
    <w:next w:val="Normal"/>
    <w:link w:val="Heading2Char"/>
    <w:uiPriority w:val="9"/>
    <w:unhideWhenUsed/>
    <w:qFormat/>
    <w:rsid w:val="00097391"/>
    <w:pPr>
      <w:spacing w:before="120" w:after="120" w:line="288" w:lineRule="auto"/>
      <w:outlineLvl w:val="1"/>
    </w:pPr>
    <w:rPr>
      <w:rFonts w:asciiTheme="minorHAnsi" w:hAnsiTheme="minorHAnsi"/>
      <w:b/>
      <w:bCs/>
      <w:sz w:val="32"/>
      <w:szCs w:val="32"/>
    </w:rPr>
  </w:style>
  <w:style w:type="paragraph" w:styleId="Heading3">
    <w:name w:val="heading 3"/>
    <w:basedOn w:val="Normal"/>
    <w:next w:val="Normal"/>
    <w:link w:val="Heading3Char"/>
    <w:uiPriority w:val="9"/>
    <w:unhideWhenUsed/>
    <w:qFormat/>
    <w:rsid w:val="00FE4EB6"/>
    <w:pPr>
      <w:outlineLvl w:val="2"/>
    </w:pPr>
    <w:rPr>
      <w:b/>
      <w:bCs/>
      <w:i/>
      <w:iCs/>
    </w:rPr>
  </w:style>
  <w:style w:type="paragraph" w:styleId="Heading4">
    <w:name w:val="heading 4"/>
    <w:basedOn w:val="ListParagraph"/>
    <w:next w:val="Normal"/>
    <w:link w:val="Heading4Char"/>
    <w:uiPriority w:val="9"/>
    <w:unhideWhenUsed/>
    <w:qFormat/>
    <w:rsid w:val="003C2FA1"/>
    <w:pPr>
      <w:numPr>
        <w:ilvl w:val="0"/>
        <w:numId w:val="0"/>
      </w:numPr>
      <w:ind w:left="7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391"/>
    <w:rPr>
      <w:rFonts w:asciiTheme="minorHAnsi" w:hAnsiTheme="minorHAnsi"/>
      <w:b/>
      <w:bCs/>
      <w:sz w:val="32"/>
      <w:szCs w:val="32"/>
    </w:rPr>
  </w:style>
  <w:style w:type="paragraph" w:customStyle="1" w:styleId="Footnote">
    <w:name w:val="Footnote"/>
    <w:basedOn w:val="FootnoteText"/>
    <w:link w:val="FootnoteChar"/>
    <w:qFormat/>
    <w:rsid w:val="00391303"/>
    <w:pPr>
      <w:spacing w:line="240" w:lineRule="auto"/>
    </w:pPr>
    <w:rPr>
      <w:color w:val="77328A"/>
      <w:sz w:val="16"/>
      <w:szCs w:val="16"/>
    </w:rPr>
  </w:style>
  <w:style w:type="character" w:customStyle="1" w:styleId="FootnoteChar">
    <w:name w:val="Footnote Char"/>
    <w:basedOn w:val="FootnoteTextChar"/>
    <w:link w:val="Footnote"/>
    <w:rsid w:val="00391303"/>
    <w:rPr>
      <w:rFonts w:ascii="Calibri" w:hAnsi="Calibri"/>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391303"/>
    <w:pPr>
      <w:spacing w:line="288"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391303"/>
    <w:rPr>
      <w:rFonts w:ascii="Calibri" w:hAnsi="Calibri"/>
      <w:sz w:val="20"/>
      <w:szCs w:val="20"/>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391303"/>
    <w:pPr>
      <w:numPr>
        <w:ilvl w:val="1"/>
        <w:numId w:val="8"/>
      </w:numPr>
      <w:spacing w:after="240" w:line="240" w:lineRule="auto"/>
    </w:pPr>
    <w:rPr>
      <w:rFonts w:asciiTheme="minorHAnsi" w:hAnsiTheme="minorHAnsi"/>
      <w:szCs w:val="28"/>
    </w:rPr>
  </w:style>
  <w:style w:type="character" w:styleId="Hyperlink">
    <w:name w:val="Hyperlink"/>
    <w:basedOn w:val="DefaultParagraphFont"/>
    <w:uiPriority w:val="99"/>
    <w:unhideWhenUsed/>
    <w:rsid w:val="00391303"/>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39130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391303"/>
    <w:pPr>
      <w:spacing w:after="160" w:line="240" w:lineRule="exact"/>
      <w:jc w:val="both"/>
    </w:pPr>
    <w:rPr>
      <w:vertAlign w:val="superscript"/>
    </w:rPr>
  </w:style>
  <w:style w:type="paragraph" w:styleId="Quote">
    <w:name w:val="Quote"/>
    <w:basedOn w:val="Normal"/>
    <w:next w:val="Normal"/>
    <w:link w:val="QuoteChar"/>
    <w:uiPriority w:val="29"/>
    <w:qFormat/>
    <w:rsid w:val="00391303"/>
    <w:pPr>
      <w:spacing w:before="240" w:after="240" w:line="240" w:lineRule="auto"/>
      <w:ind w:left="862" w:right="862"/>
    </w:pPr>
    <w:rPr>
      <w:rFonts w:asciiTheme="minorHAnsi" w:hAnsiTheme="minorHAnsi"/>
      <w:iCs/>
      <w:szCs w:val="28"/>
    </w:rPr>
  </w:style>
  <w:style w:type="character" w:customStyle="1" w:styleId="QuoteChar">
    <w:name w:val="Quote Char"/>
    <w:basedOn w:val="DefaultParagraphFont"/>
    <w:link w:val="Quote"/>
    <w:uiPriority w:val="29"/>
    <w:rsid w:val="00391303"/>
    <w:rPr>
      <w:rFonts w:asciiTheme="minorHAnsi" w:hAnsiTheme="minorHAnsi"/>
      <w:iCs/>
      <w:sz w:val="28"/>
      <w:szCs w:val="2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391303"/>
    <w:rPr>
      <w:rFonts w:asciiTheme="minorHAnsi" w:hAnsiTheme="minorHAnsi"/>
      <w:sz w:val="28"/>
      <w:szCs w:val="28"/>
    </w:rPr>
  </w:style>
  <w:style w:type="paragraph" w:customStyle="1" w:styleId="Bulletlist">
    <w:name w:val="Bullet list"/>
    <w:basedOn w:val="ListParagraph"/>
    <w:link w:val="BulletlistChar"/>
    <w:qFormat/>
    <w:rsid w:val="00391303"/>
    <w:pPr>
      <w:numPr>
        <w:ilvl w:val="0"/>
        <w:numId w:val="2"/>
      </w:numPr>
      <w:spacing w:after="0" w:line="288" w:lineRule="auto"/>
    </w:pPr>
  </w:style>
  <w:style w:type="character" w:customStyle="1" w:styleId="BulletlistChar">
    <w:name w:val="Bullet list Char"/>
    <w:basedOn w:val="ListParagraphChar"/>
    <w:link w:val="Bulletlist"/>
    <w:rsid w:val="00391303"/>
    <w:rPr>
      <w:rFonts w:asciiTheme="minorHAnsi" w:hAnsiTheme="minorHAnsi"/>
      <w:sz w:val="28"/>
      <w:szCs w:val="28"/>
    </w:rPr>
  </w:style>
  <w:style w:type="character" w:customStyle="1" w:styleId="Heading1Char">
    <w:name w:val="Heading 1 Char"/>
    <w:basedOn w:val="DefaultParagraphFont"/>
    <w:link w:val="Heading1"/>
    <w:uiPriority w:val="9"/>
    <w:rsid w:val="00785A72"/>
    <w:rPr>
      <w:rFonts w:asciiTheme="minorHAnsi" w:hAnsiTheme="minorHAnsi" w:cstheme="minorHAnsi"/>
      <w:b/>
      <w:bCs/>
      <w:sz w:val="40"/>
      <w:szCs w:val="40"/>
    </w:rPr>
  </w:style>
  <w:style w:type="paragraph" w:customStyle="1" w:styleId="Default">
    <w:name w:val="Default"/>
    <w:qFormat/>
    <w:rsid w:val="00E07DED"/>
    <w:pPr>
      <w:widowControl w:val="0"/>
      <w:autoSpaceDE w:val="0"/>
      <w:autoSpaceDN w:val="0"/>
      <w:adjustRightInd w:val="0"/>
      <w:spacing w:line="240" w:lineRule="auto"/>
    </w:pPr>
    <w:rPr>
      <w:rFonts w:eastAsiaTheme="minorEastAsia" w:cs="Verdana"/>
      <w:color w:val="000000"/>
      <w:szCs w:val="28"/>
      <w:lang w:val="en-US"/>
    </w:rPr>
  </w:style>
  <w:style w:type="character" w:customStyle="1" w:styleId="Heading3Char">
    <w:name w:val="Heading 3 Char"/>
    <w:basedOn w:val="DefaultParagraphFont"/>
    <w:link w:val="Heading3"/>
    <w:uiPriority w:val="9"/>
    <w:rsid w:val="00FE4EB6"/>
    <w:rPr>
      <w:b/>
      <w:bCs/>
      <w:i/>
      <w:iCs/>
    </w:rPr>
  </w:style>
  <w:style w:type="paragraph" w:styleId="TOCHeading">
    <w:name w:val="TOC Heading"/>
    <w:basedOn w:val="Heading1"/>
    <w:next w:val="Normal"/>
    <w:uiPriority w:val="39"/>
    <w:unhideWhenUsed/>
    <w:qFormat/>
    <w:rsid w:val="00F02CD0"/>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C510F"/>
    <w:pPr>
      <w:tabs>
        <w:tab w:val="left" w:pos="660"/>
        <w:tab w:val="right" w:leader="dot" w:pos="9016"/>
      </w:tabs>
      <w:spacing w:after="100"/>
    </w:pPr>
  </w:style>
  <w:style w:type="paragraph" w:styleId="TOC2">
    <w:name w:val="toc 2"/>
    <w:basedOn w:val="Normal"/>
    <w:next w:val="Normal"/>
    <w:autoRedefine/>
    <w:uiPriority w:val="39"/>
    <w:unhideWhenUsed/>
    <w:rsid w:val="00827D9A"/>
    <w:pPr>
      <w:tabs>
        <w:tab w:val="right" w:leader="dot" w:pos="9016"/>
      </w:tabs>
      <w:spacing w:after="100"/>
      <w:ind w:left="280"/>
    </w:pPr>
  </w:style>
  <w:style w:type="paragraph" w:styleId="TOC3">
    <w:name w:val="toc 3"/>
    <w:basedOn w:val="Normal"/>
    <w:next w:val="Normal"/>
    <w:autoRedefine/>
    <w:uiPriority w:val="39"/>
    <w:unhideWhenUsed/>
    <w:rsid w:val="00F02CD0"/>
    <w:pPr>
      <w:spacing w:after="100"/>
      <w:ind w:left="560"/>
    </w:pPr>
  </w:style>
  <w:style w:type="paragraph" w:styleId="Header">
    <w:name w:val="header"/>
    <w:basedOn w:val="Normal"/>
    <w:link w:val="HeaderChar"/>
    <w:uiPriority w:val="99"/>
    <w:unhideWhenUsed/>
    <w:rsid w:val="00274332"/>
    <w:pPr>
      <w:tabs>
        <w:tab w:val="center" w:pos="4513"/>
        <w:tab w:val="right" w:pos="9026"/>
      </w:tabs>
      <w:spacing w:line="240" w:lineRule="auto"/>
    </w:pPr>
  </w:style>
  <w:style w:type="character" w:customStyle="1" w:styleId="HeaderChar">
    <w:name w:val="Header Char"/>
    <w:basedOn w:val="DefaultParagraphFont"/>
    <w:link w:val="Header"/>
    <w:uiPriority w:val="99"/>
    <w:rsid w:val="00274332"/>
  </w:style>
  <w:style w:type="paragraph" w:styleId="Footer">
    <w:name w:val="footer"/>
    <w:basedOn w:val="Normal"/>
    <w:link w:val="FooterChar"/>
    <w:uiPriority w:val="99"/>
    <w:unhideWhenUsed/>
    <w:rsid w:val="00274332"/>
    <w:pPr>
      <w:tabs>
        <w:tab w:val="center" w:pos="4513"/>
        <w:tab w:val="right" w:pos="9026"/>
      </w:tabs>
      <w:spacing w:line="240" w:lineRule="auto"/>
    </w:pPr>
  </w:style>
  <w:style w:type="character" w:customStyle="1" w:styleId="FooterChar">
    <w:name w:val="Footer Char"/>
    <w:basedOn w:val="DefaultParagraphFont"/>
    <w:link w:val="Footer"/>
    <w:uiPriority w:val="99"/>
    <w:rsid w:val="00274332"/>
  </w:style>
  <w:style w:type="character" w:customStyle="1" w:styleId="Heading4Char">
    <w:name w:val="Heading 4 Char"/>
    <w:basedOn w:val="DefaultParagraphFont"/>
    <w:link w:val="Heading4"/>
    <w:uiPriority w:val="9"/>
    <w:rsid w:val="003C2FA1"/>
    <w:rPr>
      <w:rFonts w:asciiTheme="minorHAnsi" w:hAnsiTheme="minorHAnsi"/>
      <w:b/>
      <w:bCs/>
      <w:i/>
      <w:iCs/>
      <w:szCs w:val="28"/>
    </w:rPr>
  </w:style>
  <w:style w:type="paragraph" w:styleId="CommentText">
    <w:name w:val="annotation text"/>
    <w:basedOn w:val="Normal"/>
    <w:link w:val="CommentTextChar"/>
    <w:uiPriority w:val="99"/>
    <w:unhideWhenUsed/>
    <w:rsid w:val="00364EE4"/>
    <w:pPr>
      <w:spacing w:line="240" w:lineRule="auto"/>
    </w:pPr>
    <w:rPr>
      <w:sz w:val="20"/>
      <w:szCs w:val="20"/>
    </w:rPr>
  </w:style>
  <w:style w:type="character" w:customStyle="1" w:styleId="CommentTextChar">
    <w:name w:val="Comment Text Char"/>
    <w:basedOn w:val="DefaultParagraphFont"/>
    <w:link w:val="CommentText"/>
    <w:uiPriority w:val="99"/>
    <w:rsid w:val="00364EE4"/>
    <w:rPr>
      <w:sz w:val="20"/>
      <w:szCs w:val="20"/>
    </w:rPr>
  </w:style>
  <w:style w:type="character" w:styleId="CommentReference">
    <w:name w:val="annotation reference"/>
    <w:basedOn w:val="DefaultParagraphFont"/>
    <w:uiPriority w:val="99"/>
    <w:semiHidden/>
    <w:unhideWhenUsed/>
    <w:rsid w:val="00364EE4"/>
    <w:rPr>
      <w:sz w:val="16"/>
      <w:szCs w:val="16"/>
    </w:rPr>
  </w:style>
  <w:style w:type="table" w:styleId="TableGrid">
    <w:name w:val="Table Grid"/>
    <w:basedOn w:val="TableNormal"/>
    <w:uiPriority w:val="39"/>
    <w:rsid w:val="00364EE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F389E"/>
    <w:pPr>
      <w:spacing w:line="240" w:lineRule="auto"/>
    </w:pPr>
  </w:style>
  <w:style w:type="paragraph" w:styleId="CommentSubject">
    <w:name w:val="annotation subject"/>
    <w:basedOn w:val="CommentText"/>
    <w:next w:val="CommentText"/>
    <w:link w:val="CommentSubjectChar"/>
    <w:uiPriority w:val="99"/>
    <w:semiHidden/>
    <w:unhideWhenUsed/>
    <w:rsid w:val="00730F26"/>
    <w:rPr>
      <w:b/>
      <w:bCs/>
    </w:rPr>
  </w:style>
  <w:style w:type="character" w:customStyle="1" w:styleId="CommentSubjectChar">
    <w:name w:val="Comment Subject Char"/>
    <w:basedOn w:val="CommentTextChar"/>
    <w:link w:val="CommentSubject"/>
    <w:uiPriority w:val="99"/>
    <w:semiHidden/>
    <w:rsid w:val="00730F26"/>
    <w:rPr>
      <w:b/>
      <w:bCs/>
      <w:sz w:val="20"/>
      <w:szCs w:val="20"/>
    </w:rPr>
  </w:style>
  <w:style w:type="character" w:customStyle="1" w:styleId="UnresolvedMention1">
    <w:name w:val="Unresolved Mention1"/>
    <w:basedOn w:val="DefaultParagraphFont"/>
    <w:uiPriority w:val="99"/>
    <w:semiHidden/>
    <w:unhideWhenUsed/>
    <w:rsid w:val="00343BF4"/>
    <w:rPr>
      <w:color w:val="605E5C"/>
      <w:shd w:val="clear" w:color="auto" w:fill="E1DFDD"/>
    </w:rPr>
  </w:style>
  <w:style w:type="paragraph" w:customStyle="1" w:styleId="BasicParagraph">
    <w:name w:val="[Basic Paragraph]"/>
    <w:basedOn w:val="Normal"/>
    <w:uiPriority w:val="99"/>
    <w:rsid w:val="00045F7F"/>
    <w:pPr>
      <w:widowControl w:val="0"/>
      <w:autoSpaceDE w:val="0"/>
      <w:autoSpaceDN w:val="0"/>
      <w:adjustRightInd w:val="0"/>
      <w:spacing w:line="288" w:lineRule="auto"/>
      <w:textAlignment w:val="center"/>
    </w:pPr>
    <w:rPr>
      <w:rFonts w:ascii="MinionPro-Regular" w:hAnsi="MinionPro-Regular" w:cs="MinionPro-Regular"/>
      <w:color w:val="000000"/>
      <w:szCs w:val="28"/>
    </w:rPr>
  </w:style>
  <w:style w:type="paragraph" w:styleId="BalloonText">
    <w:name w:val="Balloon Text"/>
    <w:basedOn w:val="Normal"/>
    <w:link w:val="BalloonTextChar"/>
    <w:uiPriority w:val="99"/>
    <w:semiHidden/>
    <w:unhideWhenUsed/>
    <w:rsid w:val="00E935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8B"/>
    <w:rPr>
      <w:rFonts w:ascii="Segoe UI" w:hAnsi="Segoe UI" w:cs="Segoe UI"/>
      <w:sz w:val="18"/>
      <w:szCs w:val="18"/>
    </w:rPr>
  </w:style>
  <w:style w:type="character" w:customStyle="1" w:styleId="UnresolvedMention2">
    <w:name w:val="Unresolved Mention2"/>
    <w:basedOn w:val="DefaultParagraphFont"/>
    <w:uiPriority w:val="99"/>
    <w:semiHidden/>
    <w:unhideWhenUsed/>
    <w:rsid w:val="00B05FF8"/>
    <w:rPr>
      <w:color w:val="605E5C"/>
      <w:shd w:val="clear" w:color="auto" w:fill="E1DFDD"/>
    </w:rPr>
  </w:style>
  <w:style w:type="character" w:customStyle="1" w:styleId="UnresolvedMention3">
    <w:name w:val="Unresolved Mention3"/>
    <w:basedOn w:val="DefaultParagraphFont"/>
    <w:uiPriority w:val="99"/>
    <w:semiHidden/>
    <w:unhideWhenUsed/>
    <w:rsid w:val="00546F0E"/>
    <w:rPr>
      <w:color w:val="605E5C"/>
      <w:shd w:val="clear" w:color="auto" w:fill="E1DFDD"/>
    </w:rPr>
  </w:style>
  <w:style w:type="character" w:customStyle="1" w:styleId="UnresolvedMention4">
    <w:name w:val="Unresolved Mention4"/>
    <w:basedOn w:val="DefaultParagraphFont"/>
    <w:uiPriority w:val="99"/>
    <w:semiHidden/>
    <w:unhideWhenUsed/>
    <w:rsid w:val="00714332"/>
    <w:rPr>
      <w:color w:val="605E5C"/>
      <w:shd w:val="clear" w:color="auto" w:fill="E1DFDD"/>
    </w:rPr>
  </w:style>
  <w:style w:type="character" w:styleId="FollowedHyperlink">
    <w:name w:val="FollowedHyperlink"/>
    <w:basedOn w:val="DefaultParagraphFont"/>
    <w:uiPriority w:val="99"/>
    <w:semiHidden/>
    <w:unhideWhenUsed/>
    <w:rsid w:val="00D86E6C"/>
    <w:rPr>
      <w:color w:val="954F72" w:themeColor="followedHyperlink"/>
      <w:u w:val="single"/>
    </w:rPr>
  </w:style>
  <w:style w:type="table" w:styleId="TableGridLight">
    <w:name w:val="Grid Table Light"/>
    <w:basedOn w:val="TableNormal"/>
    <w:uiPriority w:val="40"/>
    <w:rsid w:val="00DC42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5">
    <w:name w:val="Unresolved Mention5"/>
    <w:basedOn w:val="DefaultParagraphFont"/>
    <w:uiPriority w:val="99"/>
    <w:semiHidden/>
    <w:unhideWhenUsed/>
    <w:rsid w:val="00F26ADD"/>
    <w:rPr>
      <w:color w:val="605E5C"/>
      <w:shd w:val="clear" w:color="auto" w:fill="E1DFDD"/>
    </w:rPr>
  </w:style>
  <w:style w:type="character" w:customStyle="1" w:styleId="Mention1">
    <w:name w:val="Mention1"/>
    <w:basedOn w:val="DefaultParagraphFont"/>
    <w:uiPriority w:val="99"/>
    <w:unhideWhenUsed/>
    <w:rsid w:val="00916084"/>
    <w:rPr>
      <w:color w:val="2B579A"/>
      <w:shd w:val="clear" w:color="auto" w:fill="E1DFDD"/>
    </w:rPr>
  </w:style>
  <w:style w:type="character" w:styleId="UnresolvedMention">
    <w:name w:val="Unresolved Mention"/>
    <w:basedOn w:val="DefaultParagraphFont"/>
    <w:uiPriority w:val="99"/>
    <w:semiHidden/>
    <w:unhideWhenUsed/>
    <w:rsid w:val="0017470F"/>
    <w:rPr>
      <w:color w:val="605E5C"/>
      <w:shd w:val="clear" w:color="auto" w:fill="E1DFDD"/>
    </w:rPr>
  </w:style>
  <w:style w:type="character" w:customStyle="1" w:styleId="Hyperlink1">
    <w:name w:val="Hyperlink1"/>
    <w:basedOn w:val="DefaultParagraphFont"/>
    <w:uiPriority w:val="99"/>
    <w:unhideWhenUsed/>
    <w:rsid w:val="00637EDD"/>
    <w:rPr>
      <w:color w:val="0563C1"/>
      <w:u w:val="single"/>
    </w:rPr>
  </w:style>
  <w:style w:type="paragraph" w:customStyle="1" w:styleId="FootnoteTextCharChar11">
    <w:name w:val="Footnote Text Char Char11"/>
    <w:basedOn w:val="Normal"/>
    <w:next w:val="FootnoteText"/>
    <w:uiPriority w:val="99"/>
    <w:unhideWhenUsed/>
    <w:rsid w:val="00637EDD"/>
    <w:pPr>
      <w:spacing w:line="240" w:lineRule="auto"/>
    </w:pPr>
    <w:rPr>
      <w:rFonts w:ascii="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5411">
      <w:bodyDiv w:val="1"/>
      <w:marLeft w:val="0"/>
      <w:marRight w:val="0"/>
      <w:marTop w:val="0"/>
      <w:marBottom w:val="0"/>
      <w:divBdr>
        <w:top w:val="none" w:sz="0" w:space="0" w:color="auto"/>
        <w:left w:val="none" w:sz="0" w:space="0" w:color="auto"/>
        <w:bottom w:val="none" w:sz="0" w:space="0" w:color="auto"/>
        <w:right w:val="none" w:sz="0" w:space="0" w:color="auto"/>
      </w:divBdr>
    </w:div>
    <w:div w:id="419642029">
      <w:bodyDiv w:val="1"/>
      <w:marLeft w:val="0"/>
      <w:marRight w:val="0"/>
      <w:marTop w:val="0"/>
      <w:marBottom w:val="0"/>
      <w:divBdr>
        <w:top w:val="none" w:sz="0" w:space="0" w:color="auto"/>
        <w:left w:val="none" w:sz="0" w:space="0" w:color="auto"/>
        <w:bottom w:val="none" w:sz="0" w:space="0" w:color="auto"/>
        <w:right w:val="none" w:sz="0" w:space="0" w:color="auto"/>
      </w:divBdr>
    </w:div>
    <w:div w:id="821889827">
      <w:bodyDiv w:val="1"/>
      <w:marLeft w:val="0"/>
      <w:marRight w:val="0"/>
      <w:marTop w:val="0"/>
      <w:marBottom w:val="0"/>
      <w:divBdr>
        <w:top w:val="none" w:sz="0" w:space="0" w:color="auto"/>
        <w:left w:val="none" w:sz="0" w:space="0" w:color="auto"/>
        <w:bottom w:val="none" w:sz="0" w:space="0" w:color="auto"/>
        <w:right w:val="none" w:sz="0" w:space="0" w:color="auto"/>
      </w:divBdr>
    </w:div>
    <w:div w:id="906845590">
      <w:bodyDiv w:val="1"/>
      <w:marLeft w:val="0"/>
      <w:marRight w:val="0"/>
      <w:marTop w:val="0"/>
      <w:marBottom w:val="0"/>
      <w:divBdr>
        <w:top w:val="none" w:sz="0" w:space="0" w:color="auto"/>
        <w:left w:val="none" w:sz="0" w:space="0" w:color="auto"/>
        <w:bottom w:val="none" w:sz="0" w:space="0" w:color="auto"/>
        <w:right w:val="none" w:sz="0" w:space="0" w:color="auto"/>
      </w:divBdr>
    </w:div>
    <w:div w:id="992370321">
      <w:bodyDiv w:val="1"/>
      <w:marLeft w:val="0"/>
      <w:marRight w:val="0"/>
      <w:marTop w:val="0"/>
      <w:marBottom w:val="0"/>
      <w:divBdr>
        <w:top w:val="none" w:sz="0" w:space="0" w:color="auto"/>
        <w:left w:val="none" w:sz="0" w:space="0" w:color="auto"/>
        <w:bottom w:val="none" w:sz="0" w:space="0" w:color="auto"/>
        <w:right w:val="none" w:sz="0" w:space="0" w:color="auto"/>
      </w:divBdr>
      <w:divsChild>
        <w:div w:id="173302864">
          <w:marLeft w:val="300"/>
          <w:marRight w:val="0"/>
          <w:marTop w:val="0"/>
          <w:marBottom w:val="360"/>
          <w:divBdr>
            <w:top w:val="none" w:sz="0" w:space="0" w:color="auto"/>
            <w:left w:val="none" w:sz="0" w:space="0" w:color="auto"/>
            <w:bottom w:val="none" w:sz="0" w:space="0" w:color="auto"/>
            <w:right w:val="none" w:sz="0" w:space="0" w:color="auto"/>
          </w:divBdr>
        </w:div>
        <w:div w:id="409161400">
          <w:marLeft w:val="0"/>
          <w:marRight w:val="0"/>
          <w:marTop w:val="0"/>
          <w:marBottom w:val="0"/>
          <w:divBdr>
            <w:top w:val="none" w:sz="0" w:space="0" w:color="auto"/>
            <w:left w:val="none" w:sz="0" w:space="0" w:color="auto"/>
            <w:bottom w:val="none" w:sz="0" w:space="0" w:color="auto"/>
            <w:right w:val="none" w:sz="0" w:space="0" w:color="auto"/>
          </w:divBdr>
          <w:divsChild>
            <w:div w:id="877203009">
              <w:marLeft w:val="300"/>
              <w:marRight w:val="0"/>
              <w:marTop w:val="0"/>
              <w:marBottom w:val="360"/>
              <w:divBdr>
                <w:top w:val="none" w:sz="0" w:space="0" w:color="auto"/>
                <w:left w:val="none" w:sz="0" w:space="0" w:color="auto"/>
                <w:bottom w:val="none" w:sz="0" w:space="0" w:color="auto"/>
                <w:right w:val="none" w:sz="0" w:space="0" w:color="auto"/>
              </w:divBdr>
              <w:divsChild>
                <w:div w:id="1999186878">
                  <w:marLeft w:val="1500"/>
                  <w:marRight w:val="0"/>
                  <w:marTop w:val="0"/>
                  <w:marBottom w:val="0"/>
                  <w:divBdr>
                    <w:top w:val="none" w:sz="0" w:space="0" w:color="auto"/>
                    <w:left w:val="none" w:sz="0" w:space="0" w:color="auto"/>
                    <w:bottom w:val="none" w:sz="0" w:space="0" w:color="auto"/>
                    <w:right w:val="none" w:sz="0" w:space="0" w:color="auto"/>
                  </w:divBdr>
                  <w:divsChild>
                    <w:div w:id="10400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7071">
              <w:marLeft w:val="300"/>
              <w:marRight w:val="0"/>
              <w:marTop w:val="0"/>
              <w:marBottom w:val="360"/>
              <w:divBdr>
                <w:top w:val="none" w:sz="0" w:space="0" w:color="auto"/>
                <w:left w:val="none" w:sz="0" w:space="0" w:color="auto"/>
                <w:bottom w:val="none" w:sz="0" w:space="0" w:color="auto"/>
                <w:right w:val="none" w:sz="0" w:space="0" w:color="auto"/>
              </w:divBdr>
              <w:divsChild>
                <w:div w:id="1646666886">
                  <w:marLeft w:val="1500"/>
                  <w:marRight w:val="0"/>
                  <w:marTop w:val="0"/>
                  <w:marBottom w:val="0"/>
                  <w:divBdr>
                    <w:top w:val="none" w:sz="0" w:space="0" w:color="auto"/>
                    <w:left w:val="none" w:sz="0" w:space="0" w:color="auto"/>
                    <w:bottom w:val="none" w:sz="0" w:space="0" w:color="auto"/>
                    <w:right w:val="none" w:sz="0" w:space="0" w:color="auto"/>
                  </w:divBdr>
                </w:div>
              </w:divsChild>
            </w:div>
            <w:div w:id="1411779062">
              <w:marLeft w:val="300"/>
              <w:marRight w:val="0"/>
              <w:marTop w:val="0"/>
              <w:marBottom w:val="360"/>
              <w:divBdr>
                <w:top w:val="none" w:sz="0" w:space="0" w:color="auto"/>
                <w:left w:val="none" w:sz="0" w:space="0" w:color="auto"/>
                <w:bottom w:val="none" w:sz="0" w:space="0" w:color="auto"/>
                <w:right w:val="none" w:sz="0" w:space="0" w:color="auto"/>
              </w:divBdr>
              <w:divsChild>
                <w:div w:id="35292588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786651645">
          <w:marLeft w:val="300"/>
          <w:marRight w:val="0"/>
          <w:marTop w:val="0"/>
          <w:marBottom w:val="360"/>
          <w:divBdr>
            <w:top w:val="none" w:sz="0" w:space="0" w:color="auto"/>
            <w:left w:val="none" w:sz="0" w:space="0" w:color="auto"/>
            <w:bottom w:val="none" w:sz="0" w:space="0" w:color="auto"/>
            <w:right w:val="none" w:sz="0" w:space="0" w:color="auto"/>
          </w:divBdr>
        </w:div>
      </w:divsChild>
    </w:div>
    <w:div w:id="1147552035">
      <w:bodyDiv w:val="1"/>
      <w:marLeft w:val="0"/>
      <w:marRight w:val="0"/>
      <w:marTop w:val="0"/>
      <w:marBottom w:val="0"/>
      <w:divBdr>
        <w:top w:val="none" w:sz="0" w:space="0" w:color="auto"/>
        <w:left w:val="none" w:sz="0" w:space="0" w:color="auto"/>
        <w:bottom w:val="none" w:sz="0" w:space="0" w:color="auto"/>
        <w:right w:val="none" w:sz="0" w:space="0" w:color="auto"/>
      </w:divBdr>
    </w:div>
    <w:div w:id="1369260415">
      <w:bodyDiv w:val="1"/>
      <w:marLeft w:val="0"/>
      <w:marRight w:val="0"/>
      <w:marTop w:val="0"/>
      <w:marBottom w:val="0"/>
      <w:divBdr>
        <w:top w:val="none" w:sz="0" w:space="0" w:color="auto"/>
        <w:left w:val="none" w:sz="0" w:space="0" w:color="auto"/>
        <w:bottom w:val="none" w:sz="0" w:space="0" w:color="auto"/>
        <w:right w:val="none" w:sz="0" w:space="0" w:color="auto"/>
      </w:divBdr>
    </w:div>
    <w:div w:id="1560243760">
      <w:bodyDiv w:val="1"/>
      <w:marLeft w:val="0"/>
      <w:marRight w:val="0"/>
      <w:marTop w:val="0"/>
      <w:marBottom w:val="0"/>
      <w:divBdr>
        <w:top w:val="none" w:sz="0" w:space="0" w:color="auto"/>
        <w:left w:val="none" w:sz="0" w:space="0" w:color="auto"/>
        <w:bottom w:val="none" w:sz="0" w:space="0" w:color="auto"/>
        <w:right w:val="none" w:sz="0" w:space="0" w:color="auto"/>
      </w:divBdr>
    </w:div>
    <w:div w:id="1863977673">
      <w:bodyDiv w:val="1"/>
      <w:marLeft w:val="0"/>
      <w:marRight w:val="0"/>
      <w:marTop w:val="0"/>
      <w:marBottom w:val="0"/>
      <w:divBdr>
        <w:top w:val="none" w:sz="0" w:space="0" w:color="auto"/>
        <w:left w:val="none" w:sz="0" w:space="0" w:color="auto"/>
        <w:bottom w:val="none" w:sz="0" w:space="0" w:color="auto"/>
        <w:right w:val="none" w:sz="0" w:space="0" w:color="auto"/>
      </w:divBdr>
    </w:div>
    <w:div w:id="1917009234">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32004R0261" TargetMode="External"/><Relationship Id="rId21" Type="http://schemas.openxmlformats.org/officeDocument/2006/relationships/hyperlink" Target="https://eur-lex.europa.eu/legal-content/EN/TXT/?uri=celex%3A31994L0080" TargetMode="External"/><Relationship Id="rId42" Type="http://schemas.openxmlformats.org/officeDocument/2006/relationships/hyperlink" Target="https://eur-lex.europa.eu/legal-content/EN/TXT/?uri=celex%3A31979L0007" TargetMode="External"/><Relationship Id="rId47" Type="http://schemas.openxmlformats.org/officeDocument/2006/relationships/hyperlink" Target="https://eur-lex.europa.eu/legal-content/EN/TXT/?uri=celex%3A32010L0041" TargetMode="External"/><Relationship Id="rId63" Type="http://schemas.openxmlformats.org/officeDocument/2006/relationships/hyperlink" Target="https://eur-lex.europa.eu/legal-content/en/ALL/?uri=CELEX%3A32009L0140" TargetMode="External"/><Relationship Id="rId68" Type="http://schemas.openxmlformats.org/officeDocument/2006/relationships/hyperlink" Target="https://eur-lex.europa.eu/legal-content/EN/TXT/?uri=celex:32012L0013" TargetMode="External"/><Relationship Id="rId84" Type="http://schemas.openxmlformats.org/officeDocument/2006/relationships/hyperlink" Target="https://eur-lex.europa.eu/legal-content/EN/TXT/?uri=celex%3A32012L0029" TargetMode="External"/><Relationship Id="rId89" Type="http://schemas.openxmlformats.org/officeDocument/2006/relationships/hyperlink" Target="https://eur-lex.europa.eu/legal-content/EN/TXT/?uri=celex%3A32001L0055" TargetMode="External"/><Relationship Id="rId7" Type="http://schemas.openxmlformats.org/officeDocument/2006/relationships/endnotes" Target="endnotes.xml"/><Relationship Id="rId71" Type="http://schemas.openxmlformats.org/officeDocument/2006/relationships/hyperlink" Target="https://eur-lex.europa.eu/legal-content/EN/TXT/?uri=celex%3A32014L0025" TargetMode="External"/><Relationship Id="rId92" Type="http://schemas.openxmlformats.org/officeDocument/2006/relationships/hyperlink" Target="https://eur-lex.europa.eu/legal-content/en/TXT/?uri=CELEX%3A32005L0085" TargetMode="External"/><Relationship Id="rId2" Type="http://schemas.openxmlformats.org/officeDocument/2006/relationships/numbering" Target="numbering.xml"/><Relationship Id="rId16" Type="http://schemas.openxmlformats.org/officeDocument/2006/relationships/hyperlink" Target="https://eur-lex.europa.eu/legal-content/EN/TXT/?uri=celex%3A32006L0054" TargetMode="External"/><Relationship Id="rId29" Type="http://schemas.openxmlformats.org/officeDocument/2006/relationships/hyperlink" Target="https://eur-lex.europa.eu/legal-content/EN/TXT/?uri=celex%3A32007R1371" TargetMode="External"/><Relationship Id="rId11" Type="http://schemas.openxmlformats.org/officeDocument/2006/relationships/footer" Target="footer1.xml"/><Relationship Id="rId24" Type="http://schemas.openxmlformats.org/officeDocument/2006/relationships/hyperlink" Target="https://eur-lex.europa.eu/legal-content/EN/TXT/?uri=CELEX%3A32004L0038" TargetMode="External"/><Relationship Id="rId32" Type="http://schemas.openxmlformats.org/officeDocument/2006/relationships/hyperlink" Target="https://eur-lex.europa.eu/legal-content/EN/ALL/?uri=celex%3A32011R0181" TargetMode="External"/><Relationship Id="rId37" Type="http://schemas.openxmlformats.org/officeDocument/2006/relationships/hyperlink" Target="https://eur-lex.europa.eu/eli/reg/2016/424/oj" TargetMode="External"/><Relationship Id="rId40" Type="http://schemas.openxmlformats.org/officeDocument/2006/relationships/hyperlink" Target="https://eur-lex.europa.eu/legal-content/en/ALL/?uri=CELEX:32019R0772" TargetMode="External"/><Relationship Id="rId45" Type="http://schemas.openxmlformats.org/officeDocument/2006/relationships/hyperlink" Target="https://eur-lex.europa.eu/legal-content/EN/TXT/?uri=celex%3A32004L0113" TargetMode="External"/><Relationship Id="rId53" Type="http://schemas.openxmlformats.org/officeDocument/2006/relationships/hyperlink" Target="https://eur-lex.europa.eu/legal-content/EN/TXT/?uri=celex%3A32001L0029" TargetMode="External"/><Relationship Id="rId58" Type="http://schemas.openxmlformats.org/officeDocument/2006/relationships/hyperlink" Target="https://eur-lex.europa.eu/legal-content/EN/TXT/?uri=celex%3A32006L0042" TargetMode="External"/><Relationship Id="rId66" Type="http://schemas.openxmlformats.org/officeDocument/2006/relationships/hyperlink" Target="https://eur-lex.europa.eu/legal-content/en/TXT/?uri=CELEX%3A32011L0036" TargetMode="External"/><Relationship Id="rId74" Type="http://schemas.openxmlformats.org/officeDocument/2006/relationships/hyperlink" Target="https://eur-lex.europa.eu/legal-content/EN/TXT/?uri=celex%3A32015L2366" TargetMode="External"/><Relationship Id="rId79" Type="http://schemas.openxmlformats.org/officeDocument/2006/relationships/hyperlink" Target="https://eur-lex.europa.eu/eli/dir/2018/1808/oj" TargetMode="External"/><Relationship Id="rId87" Type="http://schemas.openxmlformats.org/officeDocument/2006/relationships/hyperlink" Target="https://eur-lex.europa.eu/legal-content/EN/TXT/?uri=celex%3A32014R0118"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ur-lex.europa.eu/legal-content/EN/ALL/?uri=celex%3A32009L0073" TargetMode="External"/><Relationship Id="rId82" Type="http://schemas.openxmlformats.org/officeDocument/2006/relationships/hyperlink" Target="https://eur-lex.europa.eu/legal-content/en/TXT/?uri=CELEX%3A32011L0036" TargetMode="External"/><Relationship Id="rId90" Type="http://schemas.openxmlformats.org/officeDocument/2006/relationships/hyperlink" Target="https://eur-lex.europa.eu/legal-content/EN/ALL/?uri=celex%3A32003L0009" TargetMode="External"/><Relationship Id="rId95" Type="http://schemas.openxmlformats.org/officeDocument/2006/relationships/hyperlink" Target="https://eur-lex.europa.eu/legal-content/EN/TXT/?uri=celex%3A32011L0093" TargetMode="External"/><Relationship Id="rId19" Type="http://schemas.openxmlformats.org/officeDocument/2006/relationships/hyperlink" Target="https://eur-lex.europa.eu/legal-content/EN/TXT/?uri=celex%3A32000L0078" TargetMode="External"/><Relationship Id="rId14" Type="http://schemas.openxmlformats.org/officeDocument/2006/relationships/hyperlink" Target="https://eur-lex.europa.eu/legal-content/EN/TXT/?uri=celex%3A32000L0078" TargetMode="External"/><Relationship Id="rId22" Type="http://schemas.openxmlformats.org/officeDocument/2006/relationships/hyperlink" Target="https://eur-lex.europa.eu/legal-content/GA/TXT/?uri=CELEX:32013L0019" TargetMode="External"/><Relationship Id="rId27" Type="http://schemas.openxmlformats.org/officeDocument/2006/relationships/hyperlink" Target="https://eur-lex.europa.eu/legal-content/EN/ALL/?uri=celex%3A32006R1107" TargetMode="External"/><Relationship Id="rId30" Type="http://schemas.openxmlformats.org/officeDocument/2006/relationships/hyperlink" Target="https://eur-lex.europa.eu/legal-content/EN/ALL/?uri=celex%3A32009R0078" TargetMode="External"/><Relationship Id="rId35" Type="http://schemas.openxmlformats.org/officeDocument/2006/relationships/hyperlink" Target="https://eur-lex.europa.eu/legal-content/EN/TXT/?uri=CELEX%3A32014R1300" TargetMode="External"/><Relationship Id="rId43" Type="http://schemas.openxmlformats.org/officeDocument/2006/relationships/hyperlink" Target="https://eur-lex.europa.eu/legal-content/EN/TXT/?uri=celex%3A32000L0043" TargetMode="External"/><Relationship Id="rId48" Type="http://schemas.openxmlformats.org/officeDocument/2006/relationships/hyperlink" Target="https://eur-lex.europa.eu/legal-content/EN/TXT/?uri=CELEX:31989L0654" TargetMode="External"/><Relationship Id="rId56" Type="http://schemas.openxmlformats.org/officeDocument/2006/relationships/hyperlink" Target="https://eur-lex.europa.eu/legal-content/EN/TXT/?uri=CELEX:32004L0027" TargetMode="External"/><Relationship Id="rId64" Type="http://schemas.openxmlformats.org/officeDocument/2006/relationships/hyperlink" Target="https://eur-lex.europa.eu/legal-content/EN/ALL/?uri=celex%3A32010L0013" TargetMode="External"/><Relationship Id="rId69" Type="http://schemas.openxmlformats.org/officeDocument/2006/relationships/hyperlink" Target="https://eur-lex.europa.eu/legal-content/EN/TXT/?uri=celex%3A32012L0029" TargetMode="External"/><Relationship Id="rId77" Type="http://schemas.openxmlformats.org/officeDocument/2006/relationships/hyperlink" Target="https://eur-lex.europa.eu/legal-content/EN/TXT/?uri=celex:32017L2108" TargetMode="External"/><Relationship Id="rId100" Type="http://schemas.openxmlformats.org/officeDocument/2006/relationships/hyperlink" Target="mailto:information@equalityni.org" TargetMode="External"/><Relationship Id="rId8" Type="http://schemas.openxmlformats.org/officeDocument/2006/relationships/image" Target="media/image1.png"/><Relationship Id="rId51" Type="http://schemas.openxmlformats.org/officeDocument/2006/relationships/hyperlink" Target="https://eur-lex.europa.eu/legal-content/EN/TXT/?uri=celex%3A31997L0081" TargetMode="External"/><Relationship Id="rId72" Type="http://schemas.openxmlformats.org/officeDocument/2006/relationships/hyperlink" Target="https://eur-lex.europa.eu/legal-content/en/TXT/?uri=CELEX%3A32014L0033" TargetMode="External"/><Relationship Id="rId80" Type="http://schemas.openxmlformats.org/officeDocument/2006/relationships/hyperlink" Target="https://eur-lex.europa.eu/legal-content/EN/TXT/?uri=CELEX%3A32018L1972" TargetMode="External"/><Relationship Id="rId85" Type="http://schemas.openxmlformats.org/officeDocument/2006/relationships/hyperlink" Target="https://eur-lex.europa.eu/legal-content/EN/TXT/?uri=celex%3A32003R1560" TargetMode="External"/><Relationship Id="rId93" Type="http://schemas.openxmlformats.org/officeDocument/2006/relationships/hyperlink" Target="https://eur-lex.europa.eu/legal-content/EN/TXT/?uri=celex%3A32010L0064" TargetMode="External"/><Relationship Id="rId98" Type="http://schemas.openxmlformats.org/officeDocument/2006/relationships/hyperlink" Target="mailto:info@nihrc.org" TargetMode="External"/><Relationship Id="rId3" Type="http://schemas.openxmlformats.org/officeDocument/2006/relationships/styles" Target="styles.xml"/><Relationship Id="rId12" Type="http://schemas.openxmlformats.org/officeDocument/2006/relationships/hyperlink" Target="https://eur-lex.europa.eu/legal-content/EN/TXT/?uri=celex%3A31979L0007" TargetMode="External"/><Relationship Id="rId17" Type="http://schemas.openxmlformats.org/officeDocument/2006/relationships/hyperlink" Target="https://eur-lex.europa.eu/legal-content/EN/TXT/?uri=celex%3A32010L0041" TargetMode="External"/><Relationship Id="rId25" Type="http://schemas.openxmlformats.org/officeDocument/2006/relationships/hyperlink" Target="https://eur-lex.europa.eu/legal-content/EN/TXT/?uri=celex:32014L0054" TargetMode="External"/><Relationship Id="rId33" Type="http://schemas.openxmlformats.org/officeDocument/2006/relationships/hyperlink" Target="https://eur-lex.europa.eu/legal-content/EN/TXT/?uri=celex%3A32011R0305" TargetMode="External"/><Relationship Id="rId38" Type="http://schemas.openxmlformats.org/officeDocument/2006/relationships/hyperlink" Target="https://eur-lex.europa.eu/legal-content/EN/TXT/?uri=celex:32017R1563" TargetMode="External"/><Relationship Id="rId46" Type="http://schemas.openxmlformats.org/officeDocument/2006/relationships/hyperlink" Target="https://eur-lex.europa.eu/legal-content/EN/TXT/?uri=celex%3A32006L0054" TargetMode="External"/><Relationship Id="rId59" Type="http://schemas.openxmlformats.org/officeDocument/2006/relationships/hyperlink" Target="https://eur-lex.europa.eu/legal-content/EN/TXT/?uri=CELEX:32006L0126" TargetMode="External"/><Relationship Id="rId67" Type="http://schemas.openxmlformats.org/officeDocument/2006/relationships/hyperlink" Target="https://eur-lex.europa.eu/legal-content/EN/TXT/?uri=celex%3A32011L0093" TargetMode="External"/><Relationship Id="rId103" Type="http://schemas.openxmlformats.org/officeDocument/2006/relationships/theme" Target="theme/theme1.xml"/><Relationship Id="rId20" Type="http://schemas.openxmlformats.org/officeDocument/2006/relationships/hyperlink" Target="https://eur-lex.europa.eu/legal-content/EN/TXT/?uri=celex%3A32000L0078" TargetMode="External"/><Relationship Id="rId41" Type="http://schemas.openxmlformats.org/officeDocument/2006/relationships/hyperlink" Target="https://eur-lex.europa.eu/legal-content/EN/TXT/?uri=CELEX%3A32019R1896" TargetMode="External"/><Relationship Id="rId54" Type="http://schemas.openxmlformats.org/officeDocument/2006/relationships/hyperlink" Target="https://eur-lex.europa.eu/legal-content/EN/ALL/?uri=celex%3A32003L0009" TargetMode="External"/><Relationship Id="rId62" Type="http://schemas.openxmlformats.org/officeDocument/2006/relationships/hyperlink" Target="https://eur-lex.europa.eu/legal-content/EN/TXT/?uri=celex%3A32009L0136" TargetMode="External"/><Relationship Id="rId70" Type="http://schemas.openxmlformats.org/officeDocument/2006/relationships/hyperlink" Target="https://eur-lex.europa.eu/legal-content/EN/TXT/?uri=celex%3A32014L0024" TargetMode="External"/><Relationship Id="rId75" Type="http://schemas.openxmlformats.org/officeDocument/2006/relationships/hyperlink" Target="https://eur-lex.europa.eu/legal-content/EN/TXT/?uri=CELEX%3A32016L0797" TargetMode="External"/><Relationship Id="rId83" Type="http://schemas.openxmlformats.org/officeDocument/2006/relationships/hyperlink" Target="https://eur-lex.europa.eu/legal-content/EN/TXT/?uri=celex%3A32011L0093" TargetMode="External"/><Relationship Id="rId88" Type="http://schemas.openxmlformats.org/officeDocument/2006/relationships/hyperlink" Target="https://eur-lex.europa.eu/eli/reg/2016/679/oj" TargetMode="External"/><Relationship Id="rId91" Type="http://schemas.openxmlformats.org/officeDocument/2006/relationships/hyperlink" Target="https://eur-lex.europa.eu/legal-content/EN/TXT/?uri=celex%3A32004L0083" TargetMode="External"/><Relationship Id="rId96" Type="http://schemas.openxmlformats.org/officeDocument/2006/relationships/hyperlink" Target="https://eur-lex.europa.eu/legal-content/EN/TXT/?uri=celex:32012L00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3A32004L0113" TargetMode="External"/><Relationship Id="rId23" Type="http://schemas.openxmlformats.org/officeDocument/2006/relationships/hyperlink" Target="https://eur-lex.europa.eu/legal-content/EN/ALL/?uri=celex%3A32003L0009" TargetMode="External"/><Relationship Id="rId28" Type="http://schemas.openxmlformats.org/officeDocument/2006/relationships/hyperlink" Target="https://eur-lex.europa.eu/legal-content/EN/ALL/?uri=celex:32006R1899" TargetMode="External"/><Relationship Id="rId36" Type="http://schemas.openxmlformats.org/officeDocument/2006/relationships/hyperlink" Target="https://eur-lex.europa.eu/legal-content/EN/TXT/?uri=celex%3A32016R0399" TargetMode="External"/><Relationship Id="rId49" Type="http://schemas.openxmlformats.org/officeDocument/2006/relationships/hyperlink" Target="https://eur-lex.europa.eu/legal-content/EN/TXT/?uri=CELEX%3A31992L0013" TargetMode="External"/><Relationship Id="rId57" Type="http://schemas.openxmlformats.org/officeDocument/2006/relationships/hyperlink" Target="https://eur-lex.europa.eu/legal-content/EN/TXT/?uri=celex%3A32004L0083" TargetMode="External"/><Relationship Id="rId10" Type="http://schemas.openxmlformats.org/officeDocument/2006/relationships/header" Target="header1.xml"/><Relationship Id="rId31" Type="http://schemas.openxmlformats.org/officeDocument/2006/relationships/hyperlink" Target="https://eur-lex.europa.eu/legal-content/EN/ALL/?uri=celex%3A32010R1177" TargetMode="External"/><Relationship Id="rId44" Type="http://schemas.openxmlformats.org/officeDocument/2006/relationships/hyperlink" Target="https://eur-lex.europa.eu/legal-content/EN/TXT/?uri=celex%3A32000L0078" TargetMode="External"/><Relationship Id="rId52" Type="http://schemas.openxmlformats.org/officeDocument/2006/relationships/hyperlink" Target="https://eur-lex.europa.eu/legal-content/EN/TXT/?uri=celex%3A31999L0070" TargetMode="External"/><Relationship Id="rId60" Type="http://schemas.openxmlformats.org/officeDocument/2006/relationships/hyperlink" Target="https://eur-lex.europa.eu/legal-content/EN/ALL/?uri=celex%3A32008L0104" TargetMode="External"/><Relationship Id="rId65" Type="http://schemas.openxmlformats.org/officeDocument/2006/relationships/hyperlink" Target="https://eur-lex.europa.eu/legal-content/EN/TXT/?uri=celex%3A32010L0018" TargetMode="External"/><Relationship Id="rId73" Type="http://schemas.openxmlformats.org/officeDocument/2006/relationships/hyperlink" Target="https://eur-lex.europa.eu/legal-content/EN/TXT/?uri=celex%3A32014L0053" TargetMode="External"/><Relationship Id="rId78" Type="http://schemas.openxmlformats.org/officeDocument/2006/relationships/hyperlink" Target="https://eur-lex.europa.eu/legal-content/en/TXT/?uri=CELEX:32017L2110" TargetMode="External"/><Relationship Id="rId81" Type="http://schemas.openxmlformats.org/officeDocument/2006/relationships/hyperlink" Target="https://eur-lex.europa.eu/legal-content/EN/TXT/?uri=celex%3A32000L0078" TargetMode="External"/><Relationship Id="rId86" Type="http://schemas.openxmlformats.org/officeDocument/2006/relationships/hyperlink" Target="https://eur-lex.europa.eu/legal-content/en/ALL/?uri=celex%3A32013R0604" TargetMode="External"/><Relationship Id="rId94" Type="http://schemas.openxmlformats.org/officeDocument/2006/relationships/hyperlink" Target="https://eur-lex.europa.eu/legal-content/en/TXT/?uri=CELEX%3A32011L0036" TargetMode="External"/><Relationship Id="rId99" Type="http://schemas.openxmlformats.org/officeDocument/2006/relationships/hyperlink" Target="http://www.equalityni.org/Brexit" TargetMode="External"/><Relationship Id="rId10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eur-lex.europa.eu/legal-content/EN/TXT/?uri=celex%3A32000L0043" TargetMode="External"/><Relationship Id="rId18" Type="http://schemas.openxmlformats.org/officeDocument/2006/relationships/hyperlink" Target="https://eur-lex.europa.eu/legal-content/EN/TXT/?uri=celex%3A32015R2120" TargetMode="External"/><Relationship Id="rId39" Type="http://schemas.openxmlformats.org/officeDocument/2006/relationships/hyperlink" Target="https://eur-lex.europa.eu/legal-content/EN/TXT/?uri=celex:32017R2394" TargetMode="External"/><Relationship Id="rId34" Type="http://schemas.openxmlformats.org/officeDocument/2006/relationships/hyperlink" Target="https://eur-lex.europa.eu/legal-content/EN/TXT/?uri=uriserv%3AOJ.L_.2014.257.01.0073.01.ENG" TargetMode="External"/><Relationship Id="rId50" Type="http://schemas.openxmlformats.org/officeDocument/2006/relationships/hyperlink" Target="https://eur-lex.europa.eu/legal-content/EN/TXT/?uri=celex%3A31992L0085" TargetMode="External"/><Relationship Id="rId55" Type="http://schemas.openxmlformats.org/officeDocument/2006/relationships/hyperlink" Target="https://eur-lex.europa.eu/legal-content/EN/ALL/?uri=CELEX%3A32003L0059" TargetMode="External"/><Relationship Id="rId76" Type="http://schemas.openxmlformats.org/officeDocument/2006/relationships/hyperlink" Target="https://eur-lex.europa.eu/eli/dir/2017/1564/oj" TargetMode="External"/><Relationship Id="rId97" Type="http://schemas.openxmlformats.org/officeDocument/2006/relationships/hyperlink" Target="http://www.nihrc.org/brexit"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en/TXT/?uri=CELEX%3A32011L0036" TargetMode="External"/><Relationship Id="rId117" Type="http://schemas.openxmlformats.org/officeDocument/2006/relationships/hyperlink" Target="https://eur-lex.europa.eu/legal-content/EN/TXT/?uri=celex%3A32000L0078" TargetMode="External"/><Relationship Id="rId21" Type="http://schemas.openxmlformats.org/officeDocument/2006/relationships/hyperlink" Target="https://eur-lex.europa.eu/legal-content/EN/TXT/?uri=celex%3A32012L0029" TargetMode="External"/><Relationship Id="rId42" Type="http://schemas.openxmlformats.org/officeDocument/2006/relationships/hyperlink" Target="https://nihrc.org/publication/detail/annual-report-of-the-nihrc-and-ecni-on-the-implementation-of-protocol-article-2-2021-2022" TargetMode="External"/><Relationship Id="rId47"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3" Type="http://schemas.openxmlformats.org/officeDocument/2006/relationships/hyperlink" Target="https://www.legislation.gov.uk/ukpga/2018/16/contents/enacted" TargetMode="External"/><Relationship Id="rId68"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4"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9"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112" Type="http://schemas.openxmlformats.org/officeDocument/2006/relationships/hyperlink" Target="https://eur-lex.europa.eu/legal-content/EN/TXT/?uri=celex%3A32000L0078" TargetMode="External"/><Relationship Id="rId133" Type="http://schemas.openxmlformats.org/officeDocument/2006/relationships/hyperlink" Target="https://committees.parliament.uk/writtenevidence/10145/default/" TargetMode="External"/><Relationship Id="rId16" Type="http://schemas.openxmlformats.org/officeDocument/2006/relationships/hyperlink" Target="https://eur-lex.europa.eu/legal-content/EN/TXT/?uri=celex%3A32006L0054" TargetMode="External"/><Relationship Id="rId107" Type="http://schemas.openxmlformats.org/officeDocument/2006/relationships/hyperlink" Target="https://documents-dds-ny.un.org/doc/UNDOC/GEN/G14/232/64/PDF/G1423264.pdf?OpenElement" TargetMode="External"/><Relationship Id="rId11" Type="http://schemas.openxmlformats.org/officeDocument/2006/relationships/hyperlink" Target="https://www.gov.uk/government/publications/protocol-on-irelandnorthern-ireland-article-2" TargetMode="External"/><Relationship Id="rId32" Type="http://schemas.openxmlformats.org/officeDocument/2006/relationships/hyperlink" Target="https://btcwarwick.files.wordpress.com/2018/03/draft-withdrawal-agreement-commentary-final.pdf" TargetMode="External"/><Relationship Id="rId37" Type="http://schemas.openxmlformats.org/officeDocument/2006/relationships/hyperlink" Target="https://www.ohchr.org/en/instruments-mechanisms/instruments/vienna-declaration-and-programme-action" TargetMode="External"/><Relationship Id="rId53" Type="http://schemas.openxmlformats.org/officeDocument/2006/relationships/hyperlink" Target="https://www.judiciaryni.uk/judicial-decisions/2022-niqb-9-0" TargetMode="External"/><Relationship Id="rId58" Type="http://schemas.openxmlformats.org/officeDocument/2006/relationships/hyperlink" Target="https://eur-lex.europa.eu/LexUriServ/LexUriServ.do?uri=OJ:L:2006:204:0023:0036:en:PDF" TargetMode="External"/><Relationship Id="rId74"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9" Type="http://schemas.openxmlformats.org/officeDocument/2006/relationships/hyperlink" Target="https://www.gov.uk/government/publications/protocol-on-irelandnorthern-ireland-article-2" TargetMode="External"/><Relationship Id="rId102" Type="http://schemas.openxmlformats.org/officeDocument/2006/relationships/hyperlink" Target="https://eur-lex.europa.eu/legal-content/EN/TXT/?uri=CELEX%3A32010D0048" TargetMode="External"/><Relationship Id="rId123" Type="http://schemas.openxmlformats.org/officeDocument/2006/relationships/hyperlink" Target="https://eur-lex.europa.eu/legal-content/EN/TXT/?uri=celex%3A32006L0054" TargetMode="External"/><Relationship Id="rId128" Type="http://schemas.openxmlformats.org/officeDocument/2006/relationships/hyperlink" Target="https://www.equalityni.org/ECNI/media/ECNI/Publications/Delivering%20Equality/DMU/DMU-LegislativeScrutiny-Art2Protocol.pdf" TargetMode="External"/><Relationship Id="rId5" Type="http://schemas.openxmlformats.org/officeDocument/2006/relationships/hyperlink" Target="https://www.equalityni.org/ECNI/media/ECNI/Publications/Delivering%20Equality/DMU/Brexit-YourRightsLeaflet.pdf" TargetMode="External"/><Relationship Id="rId90" Type="http://schemas.openxmlformats.org/officeDocument/2006/relationships/hyperlink" Target="https://www.equalityni.org/ECNI/media/ECNI/Publications/Delivering%20Equality/DMU/Annual-Report-Implementation-ProtocolArt2.pdf" TargetMode="External"/><Relationship Id="rId9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4" Type="http://schemas.openxmlformats.org/officeDocument/2006/relationships/hyperlink" Target="https://eur-lex.europa.eu/legal-content/EN/TXT/?uri=celex%3A32000L0078" TargetMode="External"/><Relationship Id="rId22" Type="http://schemas.openxmlformats.org/officeDocument/2006/relationships/hyperlink" Target="https://eur-lex.europa.eu/legal-content/EN/TXT/?uri=celex%3A32010L0018" TargetMode="External"/><Relationship Id="rId27" Type="http://schemas.openxmlformats.org/officeDocument/2006/relationships/hyperlink" Target="https://eur-lex.europa.eu/legal-content/EN/TXT/?uri=celex%3A31997L0081" TargetMode="External"/><Relationship Id="rId30" Type="http://schemas.openxmlformats.org/officeDocument/2006/relationships/hyperlink" Target="https://www.socialchangeinitiative.com/human-rights-and-equality-in-northern-ireland-under-the-protocol-a-practical-guide" TargetMode="External"/><Relationship Id="rId35" Type="http://schemas.openxmlformats.org/officeDocument/2006/relationships/hyperlink" Target="https://www.echr.coe.int/Pages/home.aspx?p=basictexts&amp;c=" TargetMode="External"/><Relationship Id="rId43" Type="http://schemas.openxmlformats.org/officeDocument/2006/relationships/hyperlink" Target="https://www.gov.uk/government/publications/the-belfast-agreement" TargetMode="External"/><Relationship Id="rId48" Type="http://schemas.openxmlformats.org/officeDocument/2006/relationships/hyperlink" Target="https://www.gov.uk/government/publications/agreement-on-the-withdrawal-of-the-united-kingdom-of-great-britain-and-northern-ireland-from-the-european-union-and-the-european-atomic-energy-communi" TargetMode="External"/><Relationship Id="rId5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4" Type="http://schemas.openxmlformats.org/officeDocument/2006/relationships/hyperlink" Target="https://www.equalityni.org/ECNI/media/ECNI/Publications/Delivering%20Equality/DMU/Retained-EU-Law-EuroScrutinyComm.pdf" TargetMode="External"/><Relationship Id="rId6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7" Type="http://schemas.openxmlformats.org/officeDocument/2006/relationships/hyperlink" Target="https://questions-statements.parliament.uk/written-questions/detail/2020-01-14/hl404" TargetMode="External"/><Relationship Id="rId100" Type="http://schemas.openxmlformats.org/officeDocument/2006/relationships/hyperlink" Target="https://www.europarl.europa.eu/charter/pdf/text_en.pdf" TargetMode="External"/><Relationship Id="rId105" Type="http://schemas.openxmlformats.org/officeDocument/2006/relationships/hyperlink" Target="https://www.judiciaryni.uk/judicial-decisions/2022-niqb-9-0" TargetMode="External"/><Relationship Id="rId113" Type="http://schemas.openxmlformats.org/officeDocument/2006/relationships/hyperlink" Target="https://www.ohchr.org/en/instruments-mechanisms/instruments/convention-rights-persons-disabilities" TargetMode="External"/><Relationship Id="rId118" Type="http://schemas.openxmlformats.org/officeDocument/2006/relationships/hyperlink" Target="https://eur-lex.europa.eu/legal-content/EN/TXT/?uri=celex%3A32000L0078" TargetMode="External"/><Relationship Id="rId126" Type="http://schemas.openxmlformats.org/officeDocument/2006/relationships/hyperlink" Target="https://eur-lex.europa.eu/legal-content/EN/TXT/?uri=celex%3A31979L0007" TargetMode="External"/><Relationship Id="rId134" Type="http://schemas.openxmlformats.org/officeDocument/2006/relationships/hyperlink" Target="http://www.humanrightsconsortium.org/northern-irelandireland-protocol-human-rights-human-rights-consortium-briefing/" TargetMode="External"/><Relationship Id="rId8" Type="http://schemas.openxmlformats.org/officeDocument/2006/relationships/hyperlink" Target="https://ec.europa.eu/info/publications/joint-report-negotiators-european-union-and-united-kingdom-government-progress-during-phase-1-negotiations-under-article-50-teu-united-kingdoms-orderly-withdrawal-european-union_en" TargetMode="External"/><Relationship Id="rId5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2" Type="http://schemas.openxmlformats.org/officeDocument/2006/relationships/hyperlink" Target="https://www.gov.uk/government/publications/protocol-on-irelandnorthern-ireland-article-2" TargetMode="External"/><Relationship Id="rId80" Type="http://schemas.openxmlformats.org/officeDocument/2006/relationships/hyperlink" Target="https://www.judiciaryni.uk/judicial-decisions/2022-niqb-9-0" TargetMode="External"/><Relationship Id="rId8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3" Type="http://schemas.openxmlformats.org/officeDocument/2006/relationships/hyperlink" Target="https://eur-lex.europa.eu/legal-content/en/NIM/?uri=CELEX:32011L0036" TargetMode="External"/><Relationship Id="rId98" Type="http://schemas.openxmlformats.org/officeDocument/2006/relationships/hyperlink" Target="https://www.judiciaryni.uk/judicial-decisions/2022-niqb-9-0" TargetMode="External"/><Relationship Id="rId121" Type="http://schemas.openxmlformats.org/officeDocument/2006/relationships/hyperlink" Target="https://eur-lex.europa.eu/legal-content/EN/TXT/?uri=celex%3A32010L0018" TargetMode="External"/><Relationship Id="rId3" Type="http://schemas.openxmlformats.org/officeDocument/2006/relationships/hyperlink" Target="https://nihrc.org/our-work/human-rights-after-brexit" TargetMode="External"/><Relationship Id="rId12" Type="http://schemas.openxmlformats.org/officeDocument/2006/relationships/hyperlink" Target="https://www.gov.uk/government/publications/the-belfast-agreement" TargetMode="External"/><Relationship Id="rId17" Type="http://schemas.openxmlformats.org/officeDocument/2006/relationships/hyperlink" Target="https://eur-lex.europa.eu/legal-content/EN/TXT/?uri=celex%3A32010L0041" TargetMode="External"/><Relationship Id="rId25" Type="http://schemas.openxmlformats.org/officeDocument/2006/relationships/hyperlink" Target="https://www.europarl.europa.eu/RegData/etudes/BRIE/2019/644175/EPRS_BRI(2019)644175_EN.pdf" TargetMode="External"/><Relationship Id="rId33" Type="http://schemas.openxmlformats.org/officeDocument/2006/relationships/hyperlink" Target="https://www.gov.uk/government/publications/protocol-on-irelandnorthern-ireland-article-2" TargetMode="External"/><Relationship Id="rId38" Type="http://schemas.openxmlformats.org/officeDocument/2006/relationships/hyperlink" Target="https://www.ohchr.org/en/instruments-mechanisms/instruments/international-covenant-civil-and-political-rights" TargetMode="External"/><Relationship Id="rId46" Type="http://schemas.openxmlformats.org/officeDocument/2006/relationships/hyperlink" Target="https://nihrc.org/publication/detail/joint-committee-statement-on-the-uk-withdrawal-from-the-european-union" TargetMode="External"/><Relationship Id="rId59" Type="http://schemas.openxmlformats.org/officeDocument/2006/relationships/hyperlink" Target="https://eur-lex.europa.eu/legal-content/EN/TXT/?uri=celex%3A32004L0113" TargetMode="External"/><Relationship Id="rId67" Type="http://schemas.openxmlformats.org/officeDocument/2006/relationships/hyperlink" Target="https://www.legislation.gov.uk/ukpga/2020/1/contents/enacted" TargetMode="External"/><Relationship Id="rId103" Type="http://schemas.openxmlformats.org/officeDocument/2006/relationships/hyperlink" Target="https://ec.europa.eu/commission/presscorner/detail/%20en/IP_11_4" TargetMode="External"/><Relationship Id="rId108" Type="http://schemas.openxmlformats.org/officeDocument/2006/relationships/hyperlink" Target="https://www.gov.uk/government/publications/protocol-on-irelandnorthern-ireland-article-2" TargetMode="External"/><Relationship Id="rId116" Type="http://schemas.openxmlformats.org/officeDocument/2006/relationships/hyperlink" Target="https://ec.europa.eu/info/sites/default/files/report_on_the_application_of_the_racial_equality_directive_and_the_employment_equality_directive_en.pdf" TargetMode="External"/><Relationship Id="rId124" Type="http://schemas.openxmlformats.org/officeDocument/2006/relationships/hyperlink" Target="https://eur-lex.europa.eu/legal-content/EN/TXT/?uri=COM:2013:0861:FIN" TargetMode="External"/><Relationship Id="rId129" Type="http://schemas.openxmlformats.org/officeDocument/2006/relationships/hyperlink" Target="https://nihrc.org/publication/detail/human-trafficking-and-article-2-of-the-ireland-northern-ireland-protocol" TargetMode="External"/><Relationship Id="rId20" Type="http://schemas.openxmlformats.org/officeDocument/2006/relationships/hyperlink" Target="https://www.gov.uk/government/publications/protocol-on-irelandnorthern-ireland-article-2" TargetMode="External"/><Relationship Id="rId41"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54" Type="http://schemas.openxmlformats.org/officeDocument/2006/relationships/hyperlink" Target="https://www.judiciaryni.uk/judicial-decisions/2021-niqb-64" TargetMode="External"/><Relationship Id="rId62" Type="http://schemas.openxmlformats.org/officeDocument/2006/relationships/hyperlink" Target="https://www.legislation.gov.uk/ukpga/2018/16/contents/enacted" TargetMode="External"/><Relationship Id="rId70"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83" Type="http://schemas.openxmlformats.org/officeDocument/2006/relationships/hyperlink" Target="https://www.legislation.gov.uk/ukpga/1998/47/contents" TargetMode="External"/><Relationship Id="rId88" Type="http://schemas.openxmlformats.org/officeDocument/2006/relationships/hyperlink" Target="https://www.judiciaryni.uk/judicial-decisions/2022-niqb-9-0" TargetMode="External"/><Relationship Id="rId91"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9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11" Type="http://schemas.openxmlformats.org/officeDocument/2006/relationships/hyperlink" Target="https://ec.europa.eu/social/main.jsp?catId=738&amp;langId=en&amp;pubId=8376&amp;furtherPubs=yes" TargetMode="External"/><Relationship Id="rId132" Type="http://schemas.openxmlformats.org/officeDocument/2006/relationships/hyperlink" Target="https://www.socialchangeinitiative.com/human-rights-and-equality-in-northern-ireland-under-the-protocol-a-practical-guide" TargetMode="External"/><Relationship Id="rId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6" Type="http://schemas.openxmlformats.org/officeDocument/2006/relationships/hyperlink" Target="https://nihrc.org/publication/detail/joint-committee-statement-on-the-uk-withdrawal-from-the-european-union" TargetMode="External"/><Relationship Id="rId15" Type="http://schemas.openxmlformats.org/officeDocument/2006/relationships/hyperlink" Target="https://eur-lex.europa.eu/legal-content/EN/TXT/?uri=celex%3A32004L0113" TargetMode="External"/><Relationship Id="rId23" Type="http://schemas.openxmlformats.org/officeDocument/2006/relationships/hyperlink" Target="https://eur-lex.europa.eu/legal-content/EN/TXT/?uri=celex%3A31992L0085" TargetMode="External"/><Relationship Id="rId28" Type="http://schemas.openxmlformats.org/officeDocument/2006/relationships/hyperlink" Target="https://eur-lex.europa.eu/legal-content/EN/TXT/?uri=celex:32008L0104" TargetMode="External"/><Relationship Id="rId36" Type="http://schemas.openxmlformats.org/officeDocument/2006/relationships/hyperlink" Target="https://eur-lex.europa.eu/legal-content/EN/TXT/?uri=CELEX:12012P/TXT" TargetMode="External"/><Relationship Id="rId49" Type="http://schemas.openxmlformats.org/officeDocument/2006/relationships/hyperlink" Target="https://www.gov.uk/government/publications/protocol-on-irelandnorthern-ireland-article-2" TargetMode="External"/><Relationship Id="rId57" Type="http://schemas.openxmlformats.org/officeDocument/2006/relationships/hyperlink" Target="https://www.judiciaryni.uk/judicial-decisions/2022-niqb-9-0" TargetMode="External"/><Relationship Id="rId106" Type="http://schemas.openxmlformats.org/officeDocument/2006/relationships/hyperlink" Target="https://eur-lex.europa.eu/LexUriServ/LexUriServ.do?uri=OJ:C:2010:340:0011:0015:EN:PDF" TargetMode="External"/><Relationship Id="rId114" Type="http://schemas.openxmlformats.org/officeDocument/2006/relationships/hyperlink" Target="https://www.ohchr.org/en/instruments-mechanisms/instruments/convention-rights-persons-disabilities" TargetMode="External"/><Relationship Id="rId119" Type="http://schemas.openxmlformats.org/officeDocument/2006/relationships/hyperlink" Target="https://eur-lex.europa.eu/legal-content/EN/TXT/?uri=CELEX:12012P/TXT" TargetMode="External"/><Relationship Id="rId127" Type="http://schemas.openxmlformats.org/officeDocument/2006/relationships/hyperlink" Target="https://www.gov.uk/government/publications/northern-ireland-protocol-next-steps" TargetMode="External"/><Relationship Id="rId10" Type="http://schemas.openxmlformats.org/officeDocument/2006/relationships/hyperlink" Target="https://www.gov.uk/government/publications/the-belfast-agreement" TargetMode="External"/><Relationship Id="rId31" Type="http://schemas.openxmlformats.org/officeDocument/2006/relationships/hyperlink" Target="https://committees.parliament.uk/writtenevidence/10145/default/" TargetMode="External"/><Relationship Id="rId44" Type="http://schemas.openxmlformats.org/officeDocument/2006/relationships/hyperlink" Target="https://www.gov.uk/government/publications/the-belfast-agreement" TargetMode="External"/><Relationship Id="rId52" Type="http://schemas.openxmlformats.org/officeDocument/2006/relationships/hyperlink" Target="https://www.gov.uk/government/publications/protocol-on-irelandnorthern-ireland-article-2" TargetMode="External"/><Relationship Id="rId60" Type="http://schemas.openxmlformats.org/officeDocument/2006/relationships/hyperlink" Target="https://www.legislation.gov.uk/uksi/2008/963/memorandum/contents" TargetMode="External"/><Relationship Id="rId65" Type="http://schemas.openxmlformats.org/officeDocument/2006/relationships/hyperlink" Target="https://www.legislation.gov.uk/ukpga/1998/47/contents" TargetMode="External"/><Relationship Id="rId73"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8" Type="http://schemas.openxmlformats.org/officeDocument/2006/relationships/hyperlink" Target="https://committees.parliament.uk/writtenevidence/10145/default/" TargetMode="External"/><Relationship Id="rId81" Type="http://schemas.openxmlformats.org/officeDocument/2006/relationships/hyperlink" Target="https://www.legislation.gov.uk/ukpga/1998/47/contents" TargetMode="External"/><Relationship Id="rId86"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4"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9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01" Type="http://schemas.openxmlformats.org/officeDocument/2006/relationships/hyperlink" Target="https://www.europarl.europa.eu/charter/pdf/text_en.pdf" TargetMode="External"/><Relationship Id="rId122" Type="http://schemas.openxmlformats.org/officeDocument/2006/relationships/hyperlink" Target="https://eur-lex.europa.eu/legal-content/EN/TXT/?uri=celex%3A32004L0113" TargetMode="External"/><Relationship Id="rId130" Type="http://schemas.openxmlformats.org/officeDocument/2006/relationships/hyperlink" Target="https://nihrc.org/publication/detail/brexit-health-and-its-potential-impact-on-article-2-of-the-ireland-northern-ireland-protocol" TargetMode="External"/><Relationship Id="rId135"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4" Type="http://schemas.openxmlformats.org/officeDocument/2006/relationships/hyperlink" Target="https://www.equalityni.org/ECNI/media/ECNI/Publications/Delivering%20Equality/DMU/Brexit-YourRightsShortGuide.pdf" TargetMode="External"/><Relationship Id="rId9" Type="http://schemas.openxmlformats.org/officeDocument/2006/relationships/hyperlink" Target="https://www.gov.uk/government/publications/agreement-on-the-withdrawal-of-the-united-kingdom-of-great-britain-and-northern-ireland-from-the-european-union-and-the-european-atomic-energy-communi" TargetMode="External"/><Relationship Id="rId13" Type="http://schemas.openxmlformats.org/officeDocument/2006/relationships/hyperlink" Target="https://eur-lex.europa.eu/legal-content/EN/TXT/?uri=celex%3A32000L0043" TargetMode="External"/><Relationship Id="rId18" Type="http://schemas.openxmlformats.org/officeDocument/2006/relationships/hyperlink" Target="https://eur-lex.europa.eu/legal-content/EN/TXT/?uri=celex%3A31979L0007" TargetMode="External"/><Relationship Id="rId39" Type="http://schemas.openxmlformats.org/officeDocument/2006/relationships/hyperlink" Target="https://www.ohchr.org/en/instruments-mechanisms/instruments/international-covenant-economic-social-and-cultural-rights" TargetMode="External"/><Relationship Id="rId109" Type="http://schemas.openxmlformats.org/officeDocument/2006/relationships/hyperlink" Target="https://eur-lex.europa.eu/legal-content/EN/TXT/?uri=celex%3A32000L0078" TargetMode="External"/><Relationship Id="rId34" Type="http://schemas.openxmlformats.org/officeDocument/2006/relationships/hyperlink" Target="https://eur-lex.europa.eu/eli/reg/2016/679/oj" TargetMode="External"/><Relationship Id="rId50" Type="http://schemas.openxmlformats.org/officeDocument/2006/relationships/hyperlink" Target="https://ec.europa.eu/commission/presscorner/detail/en/ip_21_881" TargetMode="External"/><Relationship Id="rId55" Type="http://schemas.openxmlformats.org/officeDocument/2006/relationships/hyperlink" Target="https://www.gov.uk/government/publications/agreement-on-the-withdrawal-of-the-united-kingdom-of-great-britain-and-northern-ireland-from-the-european-union-and-the-european-atomic-energy-communi" TargetMode="External"/><Relationship Id="rId76" Type="http://schemas.openxmlformats.org/officeDocument/2006/relationships/hyperlink" Target="https://www.gov.uk/government/publications/protocol-on-irelandnorthern-ireland-article-2" TargetMode="External"/><Relationship Id="rId97" Type="http://schemas.openxmlformats.org/officeDocument/2006/relationships/hyperlink" Target="https://www.legislation.gov.uk/ukpga/2018/16/contents/enacted" TargetMode="External"/><Relationship Id="rId104" Type="http://schemas.openxmlformats.org/officeDocument/2006/relationships/hyperlink" Target="https://eur-lex.europa.eu/legal-content/EN/TXT/?uri=CELEX%3A32010D0048" TargetMode="External"/><Relationship Id="rId120" Type="http://schemas.openxmlformats.org/officeDocument/2006/relationships/hyperlink" Target="https://eur-lex.europa.eu/legal-content/EN/TXT/?uri=celex%3A31992L0085" TargetMode="External"/><Relationship Id="rId125" Type="http://schemas.openxmlformats.org/officeDocument/2006/relationships/hyperlink" Target="https://eur-lex.europa.eu/legal-content/EN/TXT/?uri=celex%3A32010L0041" TargetMode="External"/><Relationship Id="rId7" Type="http://schemas.openxmlformats.org/officeDocument/2006/relationships/hyperlink" Target="https://www.equalityni.org/Delivering-Equality/The-UK-s-exit-from-the-EU" TargetMode="External"/><Relationship Id="rId71" Type="http://schemas.openxmlformats.org/officeDocument/2006/relationships/hyperlink" Target="https://www.gov.uk/government/publications/agreement-on-the-withdrawal-of-the-united-kingdom-of-great-britain-and-northern-ireland-from-the-european-union-and-the-european-atomic-energy-communi" TargetMode="External"/><Relationship Id="rId92" Type="http://schemas.openxmlformats.org/officeDocument/2006/relationships/hyperlink" Target="https://eur-lex.europa.eu/legal-content/en/TXT/?uri=CELEX%3A32011L0036" TargetMode="External"/><Relationship Id="rId2" Type="http://schemas.openxmlformats.org/officeDocument/2006/relationships/hyperlink" Target="https://www.equalityni.org/Brexit" TargetMode="External"/><Relationship Id="rId29" Type="http://schemas.openxmlformats.org/officeDocument/2006/relationships/hyperlink" Target="https://www.gov.uk/government/publications/protocol-on-irelandnorthern-ireland-article-2" TargetMode="External"/><Relationship Id="rId24" Type="http://schemas.openxmlformats.org/officeDocument/2006/relationships/hyperlink" Target="https://www.gov.uk/government/publications/protocol-on-irelandnorthern-ireland-article-2" TargetMode="External"/><Relationship Id="rId40" Type="http://schemas.openxmlformats.org/officeDocument/2006/relationships/hyperlink" Target="https://www.gov.uk/government/publications/protocol-on-irelandnorthern-ireland-article-2" TargetMode="External"/><Relationship Id="rId45" Type="http://schemas.openxmlformats.org/officeDocument/2006/relationships/hyperlink" Target="https://www.gov.uk/government/publications/protocol-on-irelandnorthern-ireland-article-2" TargetMode="External"/><Relationship Id="rId66" Type="http://schemas.openxmlformats.org/officeDocument/2006/relationships/hyperlink" Target="https://www.legislation.gov.uk/ukpga/1998/47/contents" TargetMode="External"/><Relationship Id="rId87" Type="http://schemas.openxmlformats.org/officeDocument/2006/relationships/hyperlink" Target="https://www.legislation.gov.uk/ukpga/1998/47/contents" TargetMode="External"/><Relationship Id="rId110" Type="http://schemas.openxmlformats.org/officeDocument/2006/relationships/hyperlink" Target="https://ec.europa.eu/social/main.jsp?catId=738&amp;langId=en&amp;pubId=8376&amp;furtherPubs=yes" TargetMode="External"/><Relationship Id="rId115" Type="http://schemas.openxmlformats.org/officeDocument/2006/relationships/hyperlink" Target="https://eur-lex.europa.eu/legal-content/EN/TXT/?uri=celex%3A32000L0043" TargetMode="External"/><Relationship Id="rId131" Type="http://schemas.openxmlformats.org/officeDocument/2006/relationships/hyperlink" Target="https://www.equalityni.org/ECNI/media/ECNI/Publications/Delivering%20Equality/DMU/BrexitImpact-EU-funding.pdf" TargetMode="External"/><Relationship Id="rId61" Type="http://schemas.openxmlformats.org/officeDocument/2006/relationships/hyperlink" Target="https://eur-lex.europa.eu/legal-content/EN/TXT/?uri=celex%3A12012E%2FTXT" TargetMode="External"/><Relationship Id="rId82" Type="http://schemas.openxmlformats.org/officeDocument/2006/relationships/hyperlink" Target="https://www.legislation.gov.uk/ukpga/1998/47/contents" TargetMode="External"/><Relationship Id="rId19" Type="http://schemas.openxmlformats.org/officeDocument/2006/relationships/hyperlink" Target="https://www.gov.uk/government/publications/agreement-on-the-withdrawal-of-the-united-kingdom-of-great-britain-and-northern-ireland-from-the-european-union-and-the-european-atomic-energy-comm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DB92-8BE0-4EBF-A40A-2F982B33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16567</Words>
  <Characters>94432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110778</CharactersWithSpaces>
  <SharedDoc>false</SharedDoc>
  <HLinks>
    <vt:vector size="1134" baseType="variant">
      <vt:variant>
        <vt:i4>4391035</vt:i4>
      </vt:variant>
      <vt:variant>
        <vt:i4>228</vt:i4>
      </vt:variant>
      <vt:variant>
        <vt:i4>0</vt:i4>
      </vt:variant>
      <vt:variant>
        <vt:i4>5</vt:i4>
      </vt:variant>
      <vt:variant>
        <vt:lpwstr>mailto:information@equalityni.org</vt:lpwstr>
      </vt:variant>
      <vt:variant>
        <vt:lpwstr/>
      </vt:variant>
      <vt:variant>
        <vt:i4>4653151</vt:i4>
      </vt:variant>
      <vt:variant>
        <vt:i4>225</vt:i4>
      </vt:variant>
      <vt:variant>
        <vt:i4>0</vt:i4>
      </vt:variant>
      <vt:variant>
        <vt:i4>5</vt:i4>
      </vt:variant>
      <vt:variant>
        <vt:lpwstr>https://www.equalityni.org/Brexit</vt:lpwstr>
      </vt:variant>
      <vt:variant>
        <vt:lpwstr/>
      </vt:variant>
      <vt:variant>
        <vt:i4>6946881</vt:i4>
      </vt:variant>
      <vt:variant>
        <vt:i4>222</vt:i4>
      </vt:variant>
      <vt:variant>
        <vt:i4>0</vt:i4>
      </vt:variant>
      <vt:variant>
        <vt:i4>5</vt:i4>
      </vt:variant>
      <vt:variant>
        <vt:lpwstr>mailto:info@nihrc.org</vt:lpwstr>
      </vt:variant>
      <vt:variant>
        <vt:lpwstr/>
      </vt:variant>
      <vt:variant>
        <vt:i4>2621490</vt:i4>
      </vt:variant>
      <vt:variant>
        <vt:i4>219</vt:i4>
      </vt:variant>
      <vt:variant>
        <vt:i4>0</vt:i4>
      </vt:variant>
      <vt:variant>
        <vt:i4>5</vt:i4>
      </vt:variant>
      <vt:variant>
        <vt:lpwstr>http://www.nihrc.org/brexit</vt:lpwstr>
      </vt:variant>
      <vt:variant>
        <vt:lpwstr/>
      </vt:variant>
      <vt:variant>
        <vt:i4>4784226</vt:i4>
      </vt:variant>
      <vt:variant>
        <vt:i4>216</vt:i4>
      </vt:variant>
      <vt:variant>
        <vt:i4>0</vt:i4>
      </vt:variant>
      <vt:variant>
        <vt:i4>5</vt:i4>
      </vt:variant>
      <vt:variant>
        <vt:lpwstr>mailto:RMallon@equalityni.org</vt:lpwstr>
      </vt:variant>
      <vt:variant>
        <vt:lpwstr/>
      </vt:variant>
      <vt:variant>
        <vt:i4>7929856</vt:i4>
      </vt:variant>
      <vt:variant>
        <vt:i4>213</vt:i4>
      </vt:variant>
      <vt:variant>
        <vt:i4>0</vt:i4>
      </vt:variant>
      <vt:variant>
        <vt:i4>5</vt:i4>
      </vt:variant>
      <vt:variant>
        <vt:lpwstr>mailto:Eilis.Haughey@NIHRC.ORG</vt:lpwstr>
      </vt:variant>
      <vt:variant>
        <vt:lpwstr/>
      </vt:variant>
      <vt:variant>
        <vt:i4>1703998</vt:i4>
      </vt:variant>
      <vt:variant>
        <vt:i4>206</vt:i4>
      </vt:variant>
      <vt:variant>
        <vt:i4>0</vt:i4>
      </vt:variant>
      <vt:variant>
        <vt:i4>5</vt:i4>
      </vt:variant>
      <vt:variant>
        <vt:lpwstr/>
      </vt:variant>
      <vt:variant>
        <vt:lpwstr>_Toc117693197</vt:lpwstr>
      </vt:variant>
      <vt:variant>
        <vt:i4>1703998</vt:i4>
      </vt:variant>
      <vt:variant>
        <vt:i4>200</vt:i4>
      </vt:variant>
      <vt:variant>
        <vt:i4>0</vt:i4>
      </vt:variant>
      <vt:variant>
        <vt:i4>5</vt:i4>
      </vt:variant>
      <vt:variant>
        <vt:lpwstr/>
      </vt:variant>
      <vt:variant>
        <vt:lpwstr>_Toc117693196</vt:lpwstr>
      </vt:variant>
      <vt:variant>
        <vt:i4>1703998</vt:i4>
      </vt:variant>
      <vt:variant>
        <vt:i4>194</vt:i4>
      </vt:variant>
      <vt:variant>
        <vt:i4>0</vt:i4>
      </vt:variant>
      <vt:variant>
        <vt:i4>5</vt:i4>
      </vt:variant>
      <vt:variant>
        <vt:lpwstr/>
      </vt:variant>
      <vt:variant>
        <vt:lpwstr>_Toc117693195</vt:lpwstr>
      </vt:variant>
      <vt:variant>
        <vt:i4>1703998</vt:i4>
      </vt:variant>
      <vt:variant>
        <vt:i4>188</vt:i4>
      </vt:variant>
      <vt:variant>
        <vt:i4>0</vt:i4>
      </vt:variant>
      <vt:variant>
        <vt:i4>5</vt:i4>
      </vt:variant>
      <vt:variant>
        <vt:lpwstr/>
      </vt:variant>
      <vt:variant>
        <vt:lpwstr>_Toc117693194</vt:lpwstr>
      </vt:variant>
      <vt:variant>
        <vt:i4>1703998</vt:i4>
      </vt:variant>
      <vt:variant>
        <vt:i4>182</vt:i4>
      </vt:variant>
      <vt:variant>
        <vt:i4>0</vt:i4>
      </vt:variant>
      <vt:variant>
        <vt:i4>5</vt:i4>
      </vt:variant>
      <vt:variant>
        <vt:lpwstr/>
      </vt:variant>
      <vt:variant>
        <vt:lpwstr>_Toc117693193</vt:lpwstr>
      </vt:variant>
      <vt:variant>
        <vt:i4>1703998</vt:i4>
      </vt:variant>
      <vt:variant>
        <vt:i4>176</vt:i4>
      </vt:variant>
      <vt:variant>
        <vt:i4>0</vt:i4>
      </vt:variant>
      <vt:variant>
        <vt:i4>5</vt:i4>
      </vt:variant>
      <vt:variant>
        <vt:lpwstr/>
      </vt:variant>
      <vt:variant>
        <vt:lpwstr>_Toc117693192</vt:lpwstr>
      </vt:variant>
      <vt:variant>
        <vt:i4>1703998</vt:i4>
      </vt:variant>
      <vt:variant>
        <vt:i4>170</vt:i4>
      </vt:variant>
      <vt:variant>
        <vt:i4>0</vt:i4>
      </vt:variant>
      <vt:variant>
        <vt:i4>5</vt:i4>
      </vt:variant>
      <vt:variant>
        <vt:lpwstr/>
      </vt:variant>
      <vt:variant>
        <vt:lpwstr>_Toc117693191</vt:lpwstr>
      </vt:variant>
      <vt:variant>
        <vt:i4>1703998</vt:i4>
      </vt:variant>
      <vt:variant>
        <vt:i4>164</vt:i4>
      </vt:variant>
      <vt:variant>
        <vt:i4>0</vt:i4>
      </vt:variant>
      <vt:variant>
        <vt:i4>5</vt:i4>
      </vt:variant>
      <vt:variant>
        <vt:lpwstr/>
      </vt:variant>
      <vt:variant>
        <vt:lpwstr>_Toc117693190</vt:lpwstr>
      </vt:variant>
      <vt:variant>
        <vt:i4>1769534</vt:i4>
      </vt:variant>
      <vt:variant>
        <vt:i4>158</vt:i4>
      </vt:variant>
      <vt:variant>
        <vt:i4>0</vt:i4>
      </vt:variant>
      <vt:variant>
        <vt:i4>5</vt:i4>
      </vt:variant>
      <vt:variant>
        <vt:lpwstr/>
      </vt:variant>
      <vt:variant>
        <vt:lpwstr>_Toc117693188</vt:lpwstr>
      </vt:variant>
      <vt:variant>
        <vt:i4>1769534</vt:i4>
      </vt:variant>
      <vt:variant>
        <vt:i4>152</vt:i4>
      </vt:variant>
      <vt:variant>
        <vt:i4>0</vt:i4>
      </vt:variant>
      <vt:variant>
        <vt:i4>5</vt:i4>
      </vt:variant>
      <vt:variant>
        <vt:lpwstr/>
      </vt:variant>
      <vt:variant>
        <vt:lpwstr>_Toc117693187</vt:lpwstr>
      </vt:variant>
      <vt:variant>
        <vt:i4>1769534</vt:i4>
      </vt:variant>
      <vt:variant>
        <vt:i4>146</vt:i4>
      </vt:variant>
      <vt:variant>
        <vt:i4>0</vt:i4>
      </vt:variant>
      <vt:variant>
        <vt:i4>5</vt:i4>
      </vt:variant>
      <vt:variant>
        <vt:lpwstr/>
      </vt:variant>
      <vt:variant>
        <vt:lpwstr>_Toc117693186</vt:lpwstr>
      </vt:variant>
      <vt:variant>
        <vt:i4>1769534</vt:i4>
      </vt:variant>
      <vt:variant>
        <vt:i4>140</vt:i4>
      </vt:variant>
      <vt:variant>
        <vt:i4>0</vt:i4>
      </vt:variant>
      <vt:variant>
        <vt:i4>5</vt:i4>
      </vt:variant>
      <vt:variant>
        <vt:lpwstr/>
      </vt:variant>
      <vt:variant>
        <vt:lpwstr>_Toc117693185</vt:lpwstr>
      </vt:variant>
      <vt:variant>
        <vt:i4>1769534</vt:i4>
      </vt:variant>
      <vt:variant>
        <vt:i4>134</vt:i4>
      </vt:variant>
      <vt:variant>
        <vt:i4>0</vt:i4>
      </vt:variant>
      <vt:variant>
        <vt:i4>5</vt:i4>
      </vt:variant>
      <vt:variant>
        <vt:lpwstr/>
      </vt:variant>
      <vt:variant>
        <vt:lpwstr>_Toc117693184</vt:lpwstr>
      </vt:variant>
      <vt:variant>
        <vt:i4>1769534</vt:i4>
      </vt:variant>
      <vt:variant>
        <vt:i4>128</vt:i4>
      </vt:variant>
      <vt:variant>
        <vt:i4>0</vt:i4>
      </vt:variant>
      <vt:variant>
        <vt:i4>5</vt:i4>
      </vt:variant>
      <vt:variant>
        <vt:lpwstr/>
      </vt:variant>
      <vt:variant>
        <vt:lpwstr>_Toc117693183</vt:lpwstr>
      </vt:variant>
      <vt:variant>
        <vt:i4>1769534</vt:i4>
      </vt:variant>
      <vt:variant>
        <vt:i4>122</vt:i4>
      </vt:variant>
      <vt:variant>
        <vt:i4>0</vt:i4>
      </vt:variant>
      <vt:variant>
        <vt:i4>5</vt:i4>
      </vt:variant>
      <vt:variant>
        <vt:lpwstr/>
      </vt:variant>
      <vt:variant>
        <vt:lpwstr>_Toc117693182</vt:lpwstr>
      </vt:variant>
      <vt:variant>
        <vt:i4>1769534</vt:i4>
      </vt:variant>
      <vt:variant>
        <vt:i4>116</vt:i4>
      </vt:variant>
      <vt:variant>
        <vt:i4>0</vt:i4>
      </vt:variant>
      <vt:variant>
        <vt:i4>5</vt:i4>
      </vt:variant>
      <vt:variant>
        <vt:lpwstr/>
      </vt:variant>
      <vt:variant>
        <vt:lpwstr>_Toc117693181</vt:lpwstr>
      </vt:variant>
      <vt:variant>
        <vt:i4>1769534</vt:i4>
      </vt:variant>
      <vt:variant>
        <vt:i4>110</vt:i4>
      </vt:variant>
      <vt:variant>
        <vt:i4>0</vt:i4>
      </vt:variant>
      <vt:variant>
        <vt:i4>5</vt:i4>
      </vt:variant>
      <vt:variant>
        <vt:lpwstr/>
      </vt:variant>
      <vt:variant>
        <vt:lpwstr>_Toc117693180</vt:lpwstr>
      </vt:variant>
      <vt:variant>
        <vt:i4>1310782</vt:i4>
      </vt:variant>
      <vt:variant>
        <vt:i4>104</vt:i4>
      </vt:variant>
      <vt:variant>
        <vt:i4>0</vt:i4>
      </vt:variant>
      <vt:variant>
        <vt:i4>5</vt:i4>
      </vt:variant>
      <vt:variant>
        <vt:lpwstr/>
      </vt:variant>
      <vt:variant>
        <vt:lpwstr>_Toc117693179</vt:lpwstr>
      </vt:variant>
      <vt:variant>
        <vt:i4>1310782</vt:i4>
      </vt:variant>
      <vt:variant>
        <vt:i4>98</vt:i4>
      </vt:variant>
      <vt:variant>
        <vt:i4>0</vt:i4>
      </vt:variant>
      <vt:variant>
        <vt:i4>5</vt:i4>
      </vt:variant>
      <vt:variant>
        <vt:lpwstr/>
      </vt:variant>
      <vt:variant>
        <vt:lpwstr>_Toc117693178</vt:lpwstr>
      </vt:variant>
      <vt:variant>
        <vt:i4>1310782</vt:i4>
      </vt:variant>
      <vt:variant>
        <vt:i4>92</vt:i4>
      </vt:variant>
      <vt:variant>
        <vt:i4>0</vt:i4>
      </vt:variant>
      <vt:variant>
        <vt:i4>5</vt:i4>
      </vt:variant>
      <vt:variant>
        <vt:lpwstr/>
      </vt:variant>
      <vt:variant>
        <vt:lpwstr>_Toc117693177</vt:lpwstr>
      </vt:variant>
      <vt:variant>
        <vt:i4>1310782</vt:i4>
      </vt:variant>
      <vt:variant>
        <vt:i4>86</vt:i4>
      </vt:variant>
      <vt:variant>
        <vt:i4>0</vt:i4>
      </vt:variant>
      <vt:variant>
        <vt:i4>5</vt:i4>
      </vt:variant>
      <vt:variant>
        <vt:lpwstr/>
      </vt:variant>
      <vt:variant>
        <vt:lpwstr>_Toc117693176</vt:lpwstr>
      </vt:variant>
      <vt:variant>
        <vt:i4>1310782</vt:i4>
      </vt:variant>
      <vt:variant>
        <vt:i4>80</vt:i4>
      </vt:variant>
      <vt:variant>
        <vt:i4>0</vt:i4>
      </vt:variant>
      <vt:variant>
        <vt:i4>5</vt:i4>
      </vt:variant>
      <vt:variant>
        <vt:lpwstr/>
      </vt:variant>
      <vt:variant>
        <vt:lpwstr>_Toc117693175</vt:lpwstr>
      </vt:variant>
      <vt:variant>
        <vt:i4>1310782</vt:i4>
      </vt:variant>
      <vt:variant>
        <vt:i4>74</vt:i4>
      </vt:variant>
      <vt:variant>
        <vt:i4>0</vt:i4>
      </vt:variant>
      <vt:variant>
        <vt:i4>5</vt:i4>
      </vt:variant>
      <vt:variant>
        <vt:lpwstr/>
      </vt:variant>
      <vt:variant>
        <vt:lpwstr>_Toc117693174</vt:lpwstr>
      </vt:variant>
      <vt:variant>
        <vt:i4>1310782</vt:i4>
      </vt:variant>
      <vt:variant>
        <vt:i4>68</vt:i4>
      </vt:variant>
      <vt:variant>
        <vt:i4>0</vt:i4>
      </vt:variant>
      <vt:variant>
        <vt:i4>5</vt:i4>
      </vt:variant>
      <vt:variant>
        <vt:lpwstr/>
      </vt:variant>
      <vt:variant>
        <vt:lpwstr>_Toc117693173</vt:lpwstr>
      </vt:variant>
      <vt:variant>
        <vt:i4>1310782</vt:i4>
      </vt:variant>
      <vt:variant>
        <vt:i4>62</vt:i4>
      </vt:variant>
      <vt:variant>
        <vt:i4>0</vt:i4>
      </vt:variant>
      <vt:variant>
        <vt:i4>5</vt:i4>
      </vt:variant>
      <vt:variant>
        <vt:lpwstr/>
      </vt:variant>
      <vt:variant>
        <vt:lpwstr>_Toc117693172</vt:lpwstr>
      </vt:variant>
      <vt:variant>
        <vt:i4>1310782</vt:i4>
      </vt:variant>
      <vt:variant>
        <vt:i4>56</vt:i4>
      </vt:variant>
      <vt:variant>
        <vt:i4>0</vt:i4>
      </vt:variant>
      <vt:variant>
        <vt:i4>5</vt:i4>
      </vt:variant>
      <vt:variant>
        <vt:lpwstr/>
      </vt:variant>
      <vt:variant>
        <vt:lpwstr>_Toc117693171</vt:lpwstr>
      </vt:variant>
      <vt:variant>
        <vt:i4>1310782</vt:i4>
      </vt:variant>
      <vt:variant>
        <vt:i4>50</vt:i4>
      </vt:variant>
      <vt:variant>
        <vt:i4>0</vt:i4>
      </vt:variant>
      <vt:variant>
        <vt:i4>5</vt:i4>
      </vt:variant>
      <vt:variant>
        <vt:lpwstr/>
      </vt:variant>
      <vt:variant>
        <vt:lpwstr>_Toc117693170</vt:lpwstr>
      </vt:variant>
      <vt:variant>
        <vt:i4>1376318</vt:i4>
      </vt:variant>
      <vt:variant>
        <vt:i4>44</vt:i4>
      </vt:variant>
      <vt:variant>
        <vt:i4>0</vt:i4>
      </vt:variant>
      <vt:variant>
        <vt:i4>5</vt:i4>
      </vt:variant>
      <vt:variant>
        <vt:lpwstr/>
      </vt:variant>
      <vt:variant>
        <vt:lpwstr>_Toc117693169</vt:lpwstr>
      </vt:variant>
      <vt:variant>
        <vt:i4>1376318</vt:i4>
      </vt:variant>
      <vt:variant>
        <vt:i4>38</vt:i4>
      </vt:variant>
      <vt:variant>
        <vt:i4>0</vt:i4>
      </vt:variant>
      <vt:variant>
        <vt:i4>5</vt:i4>
      </vt:variant>
      <vt:variant>
        <vt:lpwstr/>
      </vt:variant>
      <vt:variant>
        <vt:lpwstr>_Toc117693168</vt:lpwstr>
      </vt:variant>
      <vt:variant>
        <vt:i4>1376318</vt:i4>
      </vt:variant>
      <vt:variant>
        <vt:i4>32</vt:i4>
      </vt:variant>
      <vt:variant>
        <vt:i4>0</vt:i4>
      </vt:variant>
      <vt:variant>
        <vt:i4>5</vt:i4>
      </vt:variant>
      <vt:variant>
        <vt:lpwstr/>
      </vt:variant>
      <vt:variant>
        <vt:lpwstr>_Toc117693167</vt:lpwstr>
      </vt:variant>
      <vt:variant>
        <vt:i4>1376318</vt:i4>
      </vt:variant>
      <vt:variant>
        <vt:i4>26</vt:i4>
      </vt:variant>
      <vt:variant>
        <vt:i4>0</vt:i4>
      </vt:variant>
      <vt:variant>
        <vt:i4>5</vt:i4>
      </vt:variant>
      <vt:variant>
        <vt:lpwstr/>
      </vt:variant>
      <vt:variant>
        <vt:lpwstr>_Toc117693166</vt:lpwstr>
      </vt:variant>
      <vt:variant>
        <vt:i4>1376318</vt:i4>
      </vt:variant>
      <vt:variant>
        <vt:i4>20</vt:i4>
      </vt:variant>
      <vt:variant>
        <vt:i4>0</vt:i4>
      </vt:variant>
      <vt:variant>
        <vt:i4>5</vt:i4>
      </vt:variant>
      <vt:variant>
        <vt:lpwstr/>
      </vt:variant>
      <vt:variant>
        <vt:lpwstr>_Toc117693165</vt:lpwstr>
      </vt:variant>
      <vt:variant>
        <vt:i4>1376318</vt:i4>
      </vt:variant>
      <vt:variant>
        <vt:i4>14</vt:i4>
      </vt:variant>
      <vt:variant>
        <vt:i4>0</vt:i4>
      </vt:variant>
      <vt:variant>
        <vt:i4>5</vt:i4>
      </vt:variant>
      <vt:variant>
        <vt:lpwstr/>
      </vt:variant>
      <vt:variant>
        <vt:lpwstr>_Toc117693164</vt:lpwstr>
      </vt:variant>
      <vt:variant>
        <vt:i4>1376318</vt:i4>
      </vt:variant>
      <vt:variant>
        <vt:i4>8</vt:i4>
      </vt:variant>
      <vt:variant>
        <vt:i4>0</vt:i4>
      </vt:variant>
      <vt:variant>
        <vt:i4>5</vt:i4>
      </vt:variant>
      <vt:variant>
        <vt:lpwstr/>
      </vt:variant>
      <vt:variant>
        <vt:lpwstr>_Toc117693163</vt:lpwstr>
      </vt:variant>
      <vt:variant>
        <vt:i4>1376318</vt:i4>
      </vt:variant>
      <vt:variant>
        <vt:i4>2</vt:i4>
      </vt:variant>
      <vt:variant>
        <vt:i4>0</vt:i4>
      </vt:variant>
      <vt:variant>
        <vt:i4>5</vt:i4>
      </vt:variant>
      <vt:variant>
        <vt:lpwstr/>
      </vt:variant>
      <vt:variant>
        <vt:lpwstr>_Toc117693162</vt:lpwstr>
      </vt:variant>
      <vt:variant>
        <vt:i4>1704003</vt:i4>
      </vt:variant>
      <vt:variant>
        <vt:i4>414</vt:i4>
      </vt:variant>
      <vt:variant>
        <vt:i4>0</vt:i4>
      </vt:variant>
      <vt:variant>
        <vt:i4>5</vt:i4>
      </vt:variant>
      <vt:variant>
        <vt:lpwstr>http://www.humanrightsconsortium.org/northern-irelandireland-protocol-human-rights-human-rights-consortium-briefing/</vt:lpwstr>
      </vt:variant>
      <vt:variant>
        <vt:lpwstr/>
      </vt:variant>
      <vt:variant>
        <vt:i4>7798842</vt:i4>
      </vt:variant>
      <vt:variant>
        <vt:i4>411</vt:i4>
      </vt:variant>
      <vt:variant>
        <vt:i4>0</vt:i4>
      </vt:variant>
      <vt:variant>
        <vt:i4>5</vt:i4>
      </vt:variant>
      <vt:variant>
        <vt:lpwstr>https://committees.parliament.uk/writtenevidence/10145/default/</vt:lpwstr>
      </vt:variant>
      <vt:variant>
        <vt:lpwstr/>
      </vt:variant>
      <vt:variant>
        <vt:i4>4784205</vt:i4>
      </vt:variant>
      <vt:variant>
        <vt:i4>408</vt:i4>
      </vt:variant>
      <vt:variant>
        <vt:i4>0</vt:i4>
      </vt:variant>
      <vt:variant>
        <vt:i4>5</vt:i4>
      </vt:variant>
      <vt:variant>
        <vt:lpwstr>https://www.socialchangeinitiative.com/human-rights-and-equality-in-northern-ireland-under-the-protocol-a-practical-guide</vt:lpwstr>
      </vt:variant>
      <vt:variant>
        <vt:lpwstr/>
      </vt:variant>
      <vt:variant>
        <vt:i4>7274600</vt:i4>
      </vt:variant>
      <vt:variant>
        <vt:i4>405</vt:i4>
      </vt:variant>
      <vt:variant>
        <vt:i4>0</vt:i4>
      </vt:variant>
      <vt:variant>
        <vt:i4>5</vt:i4>
      </vt:variant>
      <vt:variant>
        <vt:lpwstr>https://www.equalityni.org/ECNI/media/ECNI/Publications/Delivering Equality/DMU/BrexitImpact-EU-funding.pdf</vt:lpwstr>
      </vt:variant>
      <vt:variant>
        <vt:lpwstr/>
      </vt:variant>
      <vt:variant>
        <vt:i4>4784192</vt:i4>
      </vt:variant>
      <vt:variant>
        <vt:i4>402</vt:i4>
      </vt:variant>
      <vt:variant>
        <vt:i4>0</vt:i4>
      </vt:variant>
      <vt:variant>
        <vt:i4>5</vt:i4>
      </vt:variant>
      <vt:variant>
        <vt:lpwstr>https://nihrc.org/publication/detail/brexit-health-and-its-potential-impact-on-article-2-of-the-ireland-northern-ireland-protocol</vt:lpwstr>
      </vt:variant>
      <vt:variant>
        <vt:lpwstr/>
      </vt:variant>
      <vt:variant>
        <vt:i4>5374035</vt:i4>
      </vt:variant>
      <vt:variant>
        <vt:i4>399</vt:i4>
      </vt:variant>
      <vt:variant>
        <vt:i4>0</vt:i4>
      </vt:variant>
      <vt:variant>
        <vt:i4>5</vt:i4>
      </vt:variant>
      <vt:variant>
        <vt:lpwstr>https://nihrc.org/publication/detail/human-trafficking-and-article-2-of-the-ireland-northern-ireland-protocol</vt:lpwstr>
      </vt:variant>
      <vt:variant>
        <vt:lpwstr/>
      </vt:variant>
      <vt:variant>
        <vt:i4>6225936</vt:i4>
      </vt:variant>
      <vt:variant>
        <vt:i4>396</vt:i4>
      </vt:variant>
      <vt:variant>
        <vt:i4>0</vt:i4>
      </vt:variant>
      <vt:variant>
        <vt:i4>5</vt:i4>
      </vt:variant>
      <vt:variant>
        <vt:lpwstr>https://www.equalityni.org/ECNI/media/ECNI/Publications/Delivering Equality/DMU/DMU-LegislativeScrutiny-Art2Protocol.pdf</vt:lpwstr>
      </vt:variant>
      <vt:variant>
        <vt:lpwstr/>
      </vt:variant>
      <vt:variant>
        <vt:i4>8323168</vt:i4>
      </vt:variant>
      <vt:variant>
        <vt:i4>393</vt:i4>
      </vt:variant>
      <vt:variant>
        <vt:i4>0</vt:i4>
      </vt:variant>
      <vt:variant>
        <vt:i4>5</vt:i4>
      </vt:variant>
      <vt:variant>
        <vt:lpwstr>https://www.gov.uk/government/publications/northern-ireland-protocol-next-steps</vt:lpwstr>
      </vt:variant>
      <vt:variant>
        <vt:lpwstr/>
      </vt:variant>
      <vt:variant>
        <vt:i4>7798898</vt:i4>
      </vt:variant>
      <vt:variant>
        <vt:i4>390</vt:i4>
      </vt:variant>
      <vt:variant>
        <vt:i4>0</vt:i4>
      </vt:variant>
      <vt:variant>
        <vt:i4>5</vt:i4>
      </vt:variant>
      <vt:variant>
        <vt:lpwstr>https://eur-lex.europa.eu/legal-content/EN/TXT/?uri=celex%3A31979L0007</vt:lpwstr>
      </vt:variant>
      <vt:variant>
        <vt:lpwstr/>
      </vt:variant>
      <vt:variant>
        <vt:i4>7602294</vt:i4>
      </vt:variant>
      <vt:variant>
        <vt:i4>387</vt:i4>
      </vt:variant>
      <vt:variant>
        <vt:i4>0</vt:i4>
      </vt:variant>
      <vt:variant>
        <vt:i4>5</vt:i4>
      </vt:variant>
      <vt:variant>
        <vt:lpwstr>https://eur-lex.europa.eu/legal-content/EN/TXT/?uri=celex%3A32010L0041</vt:lpwstr>
      </vt:variant>
      <vt:variant>
        <vt:lpwstr/>
      </vt:variant>
      <vt:variant>
        <vt:i4>6094941</vt:i4>
      </vt:variant>
      <vt:variant>
        <vt:i4>384</vt:i4>
      </vt:variant>
      <vt:variant>
        <vt:i4>0</vt:i4>
      </vt:variant>
      <vt:variant>
        <vt:i4>5</vt:i4>
      </vt:variant>
      <vt:variant>
        <vt:lpwstr>https://eur-lex.europa.eu/legal-content/EN/TXT/?uri=COM:2013:0861:FIN</vt:lpwstr>
      </vt:variant>
      <vt:variant>
        <vt:lpwstr/>
      </vt:variant>
      <vt:variant>
        <vt:i4>7340145</vt:i4>
      </vt:variant>
      <vt:variant>
        <vt:i4>381</vt:i4>
      </vt:variant>
      <vt:variant>
        <vt:i4>0</vt:i4>
      </vt:variant>
      <vt:variant>
        <vt:i4>5</vt:i4>
      </vt:variant>
      <vt:variant>
        <vt:lpwstr>https://eur-lex.europa.eu/legal-content/EN/TXT/?uri=celex%3A32006L0054</vt:lpwstr>
      </vt:variant>
      <vt:variant>
        <vt:lpwstr/>
      </vt:variant>
      <vt:variant>
        <vt:i4>7733367</vt:i4>
      </vt:variant>
      <vt:variant>
        <vt:i4>378</vt:i4>
      </vt:variant>
      <vt:variant>
        <vt:i4>0</vt:i4>
      </vt:variant>
      <vt:variant>
        <vt:i4>5</vt:i4>
      </vt:variant>
      <vt:variant>
        <vt:lpwstr>https://eur-lex.europa.eu/legal-content/EN/TXT/?uri=celex%3A32004L0113</vt:lpwstr>
      </vt:variant>
      <vt:variant>
        <vt:lpwstr/>
      </vt:variant>
      <vt:variant>
        <vt:i4>262239</vt:i4>
      </vt:variant>
      <vt:variant>
        <vt:i4>375</vt:i4>
      </vt:variant>
      <vt:variant>
        <vt:i4>0</vt:i4>
      </vt:variant>
      <vt:variant>
        <vt:i4>5</vt:i4>
      </vt:variant>
      <vt:variant>
        <vt:lpwstr>https://eur-lex.europa.eu/LexUriServ/LexUriServ.do?uri=OJ:L:2010:068:0013:0020:en:PDF</vt:lpwstr>
      </vt:variant>
      <vt:variant>
        <vt:lpwstr/>
      </vt:variant>
      <vt:variant>
        <vt:i4>8061041</vt:i4>
      </vt:variant>
      <vt:variant>
        <vt:i4>372</vt:i4>
      </vt:variant>
      <vt:variant>
        <vt:i4>0</vt:i4>
      </vt:variant>
      <vt:variant>
        <vt:i4>5</vt:i4>
      </vt:variant>
      <vt:variant>
        <vt:lpwstr>https://eur-lex.europa.eu/legal-content/EN/TXT/?uri=celex%3A31992L0085</vt:lpwstr>
      </vt:variant>
      <vt:variant>
        <vt:lpwstr/>
      </vt:variant>
      <vt:variant>
        <vt:i4>1507350</vt:i4>
      </vt:variant>
      <vt:variant>
        <vt:i4>369</vt:i4>
      </vt:variant>
      <vt:variant>
        <vt:i4>0</vt:i4>
      </vt:variant>
      <vt:variant>
        <vt:i4>5</vt:i4>
      </vt:variant>
      <vt:variant>
        <vt:lpwstr>https://eur-lex.europa.eu/legal-content/EN/TXT/?uri=CELEX:12012P/TXT</vt:lpwstr>
      </vt:variant>
      <vt:variant>
        <vt:lpwstr/>
      </vt:variant>
      <vt:variant>
        <vt:i4>8126581</vt:i4>
      </vt:variant>
      <vt:variant>
        <vt:i4>366</vt:i4>
      </vt:variant>
      <vt:variant>
        <vt:i4>0</vt:i4>
      </vt:variant>
      <vt:variant>
        <vt:i4>5</vt:i4>
      </vt:variant>
      <vt:variant>
        <vt:lpwstr>https://eur-lex.europa.eu/legal-content/EN/TXT/?uri=celex%3A32000L0078</vt:lpwstr>
      </vt:variant>
      <vt:variant>
        <vt:lpwstr/>
      </vt:variant>
      <vt:variant>
        <vt:i4>8126581</vt:i4>
      </vt:variant>
      <vt:variant>
        <vt:i4>363</vt:i4>
      </vt:variant>
      <vt:variant>
        <vt:i4>0</vt:i4>
      </vt:variant>
      <vt:variant>
        <vt:i4>5</vt:i4>
      </vt:variant>
      <vt:variant>
        <vt:lpwstr>https://eur-lex.europa.eu/legal-content/EN/TXT/?uri=celex%3A32000L0078</vt:lpwstr>
      </vt:variant>
      <vt:variant>
        <vt:lpwstr/>
      </vt:variant>
      <vt:variant>
        <vt:i4>3014761</vt:i4>
      </vt:variant>
      <vt:variant>
        <vt:i4>360</vt:i4>
      </vt:variant>
      <vt:variant>
        <vt:i4>0</vt:i4>
      </vt:variant>
      <vt:variant>
        <vt:i4>5</vt:i4>
      </vt:variant>
      <vt:variant>
        <vt:lpwstr>https://ec.europa.eu/info/sites/default/files/report_on_the_application_of_the_racial_equality_directive_and_the_employment_equality_directive_en.pdf</vt:lpwstr>
      </vt:variant>
      <vt:variant>
        <vt:lpwstr/>
      </vt:variant>
      <vt:variant>
        <vt:i4>7798902</vt:i4>
      </vt:variant>
      <vt:variant>
        <vt:i4>357</vt:i4>
      </vt:variant>
      <vt:variant>
        <vt:i4>0</vt:i4>
      </vt:variant>
      <vt:variant>
        <vt:i4>5</vt:i4>
      </vt:variant>
      <vt:variant>
        <vt:lpwstr>https://eur-lex.europa.eu/legal-content/EN/TXT/?uri=celex%3A32000L0043</vt:lpwstr>
      </vt:variant>
      <vt:variant>
        <vt:lpwstr/>
      </vt:variant>
      <vt:variant>
        <vt:i4>1507358</vt:i4>
      </vt:variant>
      <vt:variant>
        <vt:i4>354</vt:i4>
      </vt:variant>
      <vt:variant>
        <vt:i4>0</vt:i4>
      </vt:variant>
      <vt:variant>
        <vt:i4>5</vt:i4>
      </vt:variant>
      <vt:variant>
        <vt:lpwstr>https://treaties.un.org/Pages/ViewDetails.aspx?src=TREATY&amp;mtdsg_no=IV-15&amp;chapter=4&amp;clang=_en</vt:lpwstr>
      </vt:variant>
      <vt:variant>
        <vt:lpwstr/>
      </vt:variant>
      <vt:variant>
        <vt:i4>1507358</vt:i4>
      </vt:variant>
      <vt:variant>
        <vt:i4>351</vt:i4>
      </vt:variant>
      <vt:variant>
        <vt:i4>0</vt:i4>
      </vt:variant>
      <vt:variant>
        <vt:i4>5</vt:i4>
      </vt:variant>
      <vt:variant>
        <vt:lpwstr>https://treaties.un.org/Pages/ViewDetails.aspx?src=TREATY&amp;mtdsg_no=IV-15&amp;chapter=4&amp;clang=_en</vt:lpwstr>
      </vt:variant>
      <vt:variant>
        <vt:lpwstr/>
      </vt:variant>
      <vt:variant>
        <vt:i4>8126581</vt:i4>
      </vt:variant>
      <vt:variant>
        <vt:i4>348</vt:i4>
      </vt:variant>
      <vt:variant>
        <vt:i4>0</vt:i4>
      </vt:variant>
      <vt:variant>
        <vt:i4>5</vt:i4>
      </vt:variant>
      <vt:variant>
        <vt:lpwstr>https://eur-lex.europa.eu/legal-content/EN/TXT/?uri=celex%3A32000L0078</vt:lpwstr>
      </vt:variant>
      <vt:variant>
        <vt:lpwstr/>
      </vt:variant>
      <vt:variant>
        <vt:i4>3145826</vt:i4>
      </vt:variant>
      <vt:variant>
        <vt:i4>345</vt:i4>
      </vt:variant>
      <vt:variant>
        <vt:i4>0</vt:i4>
      </vt:variant>
      <vt:variant>
        <vt:i4>5</vt:i4>
      </vt:variant>
      <vt:variant>
        <vt:lpwstr>https://ec.europa.eu/social/main.jsp?catId=738&amp;langId=en&amp;pubId=8376&amp;furtherPubs=yes</vt:lpwstr>
      </vt:variant>
      <vt:variant>
        <vt:lpwstr/>
      </vt:variant>
      <vt:variant>
        <vt:i4>3145826</vt:i4>
      </vt:variant>
      <vt:variant>
        <vt:i4>342</vt:i4>
      </vt:variant>
      <vt:variant>
        <vt:i4>0</vt:i4>
      </vt:variant>
      <vt:variant>
        <vt:i4>5</vt:i4>
      </vt:variant>
      <vt:variant>
        <vt:lpwstr>https://ec.europa.eu/social/main.jsp?catId=738&amp;langId=en&amp;pubId=8376&amp;furtherPubs=yes</vt:lpwstr>
      </vt:variant>
      <vt:variant>
        <vt:lpwstr/>
      </vt:variant>
      <vt:variant>
        <vt:i4>8126581</vt:i4>
      </vt:variant>
      <vt:variant>
        <vt:i4>339</vt:i4>
      </vt:variant>
      <vt:variant>
        <vt:i4>0</vt:i4>
      </vt:variant>
      <vt:variant>
        <vt:i4>5</vt:i4>
      </vt:variant>
      <vt:variant>
        <vt:lpwstr>https://eur-lex.europa.eu/legal-content/EN/TXT/?uri=celex%3A32000L0078</vt:lpwstr>
      </vt:variant>
      <vt:variant>
        <vt:lpwstr/>
      </vt:variant>
      <vt:variant>
        <vt:i4>5374043</vt:i4>
      </vt:variant>
      <vt:variant>
        <vt:i4>336</vt:i4>
      </vt:variant>
      <vt:variant>
        <vt:i4>0</vt:i4>
      </vt:variant>
      <vt:variant>
        <vt:i4>5</vt:i4>
      </vt:variant>
      <vt:variant>
        <vt:lpwstr>https://www.gov.uk/government/publications/protocol-on-irelandnorthern-ireland-article-2</vt:lpwstr>
      </vt:variant>
      <vt:variant>
        <vt:lpwstr/>
      </vt:variant>
      <vt:variant>
        <vt:i4>5701639</vt:i4>
      </vt:variant>
      <vt:variant>
        <vt:i4>333</vt:i4>
      </vt:variant>
      <vt:variant>
        <vt:i4>0</vt:i4>
      </vt:variant>
      <vt:variant>
        <vt:i4>5</vt:i4>
      </vt:variant>
      <vt:variant>
        <vt:lpwstr>https://documents-dds-ny.un.org/doc/UNDOC/GEN/G14/232/64/PDF/G1423264.pdf?OpenElement</vt:lpwstr>
      </vt:variant>
      <vt:variant>
        <vt:lpwstr/>
      </vt:variant>
      <vt:variant>
        <vt:i4>655443</vt:i4>
      </vt:variant>
      <vt:variant>
        <vt:i4>330</vt:i4>
      </vt:variant>
      <vt:variant>
        <vt:i4>0</vt:i4>
      </vt:variant>
      <vt:variant>
        <vt:i4>5</vt:i4>
      </vt:variant>
      <vt:variant>
        <vt:lpwstr>https://eur-lex.europa.eu/LexUriServ/LexUriServ.do?uri=OJ:C:2010:340:0011:0015:EN:PDF</vt:lpwstr>
      </vt:variant>
      <vt:variant>
        <vt:lpwstr/>
      </vt:variant>
      <vt:variant>
        <vt:i4>8126568</vt:i4>
      </vt:variant>
      <vt:variant>
        <vt:i4>327</vt:i4>
      </vt:variant>
      <vt:variant>
        <vt:i4>0</vt:i4>
      </vt:variant>
      <vt:variant>
        <vt:i4>5</vt:i4>
      </vt:variant>
      <vt:variant>
        <vt:lpwstr>https://www.judiciaryni.uk/judicial-decisions/2022-niqb-9-0</vt:lpwstr>
      </vt:variant>
      <vt:variant>
        <vt:lpwstr/>
      </vt:variant>
      <vt:variant>
        <vt:i4>7667830</vt:i4>
      </vt:variant>
      <vt:variant>
        <vt:i4>324</vt:i4>
      </vt:variant>
      <vt:variant>
        <vt:i4>0</vt:i4>
      </vt:variant>
      <vt:variant>
        <vt:i4>5</vt:i4>
      </vt:variant>
      <vt:variant>
        <vt:lpwstr>https://eur-lex.europa.eu/legal-content/EN/TXT/?uri=CELEX%3A32010D0048</vt:lpwstr>
      </vt:variant>
      <vt:variant>
        <vt:lpwstr/>
      </vt:variant>
      <vt:variant>
        <vt:i4>5570651</vt:i4>
      </vt:variant>
      <vt:variant>
        <vt:i4>321</vt:i4>
      </vt:variant>
      <vt:variant>
        <vt:i4>0</vt:i4>
      </vt:variant>
      <vt:variant>
        <vt:i4>5</vt:i4>
      </vt:variant>
      <vt:variant>
        <vt:lpwstr>https://ec.europa.eu/commission/presscorner/detail/ en/IP_11_4</vt:lpwstr>
      </vt:variant>
      <vt:variant>
        <vt:lpwstr/>
      </vt:variant>
      <vt:variant>
        <vt:i4>7667830</vt:i4>
      </vt:variant>
      <vt:variant>
        <vt:i4>318</vt:i4>
      </vt:variant>
      <vt:variant>
        <vt:i4>0</vt:i4>
      </vt:variant>
      <vt:variant>
        <vt:i4>5</vt:i4>
      </vt:variant>
      <vt:variant>
        <vt:lpwstr>https://eur-lex.europa.eu/legal-content/EN/TXT/?uri=CELEX%3A32010D0048</vt:lpwstr>
      </vt:variant>
      <vt:variant>
        <vt:lpwstr/>
      </vt:variant>
      <vt:variant>
        <vt:i4>5898351</vt:i4>
      </vt:variant>
      <vt:variant>
        <vt:i4>315</vt:i4>
      </vt:variant>
      <vt:variant>
        <vt:i4>0</vt:i4>
      </vt:variant>
      <vt:variant>
        <vt:i4>5</vt:i4>
      </vt:variant>
      <vt:variant>
        <vt:lpwstr>https://www.europarl.europa.eu/charter/pdf/text_en.pdf</vt:lpwstr>
      </vt:variant>
      <vt:variant>
        <vt:lpwstr/>
      </vt:variant>
      <vt:variant>
        <vt:i4>5898351</vt:i4>
      </vt:variant>
      <vt:variant>
        <vt:i4>312</vt:i4>
      </vt:variant>
      <vt:variant>
        <vt:i4>0</vt:i4>
      </vt:variant>
      <vt:variant>
        <vt:i4>5</vt:i4>
      </vt:variant>
      <vt:variant>
        <vt:lpwstr>https://www.europarl.europa.eu/charter/pdf/text_en.pdf</vt:lpwstr>
      </vt:variant>
      <vt:variant>
        <vt:lpwstr/>
      </vt:variant>
      <vt:variant>
        <vt:i4>5898242</vt:i4>
      </vt:variant>
      <vt:variant>
        <vt:i4>309</vt:i4>
      </vt:variant>
      <vt:variant>
        <vt:i4>0</vt:i4>
      </vt:variant>
      <vt:variant>
        <vt:i4>5</vt:i4>
      </vt:variant>
      <vt:variant>
        <vt:lpwstr>https://www.legislation.gov.uk/eut/withdrawal-agreement/contents/adopted</vt:lpwstr>
      </vt:variant>
      <vt:variant>
        <vt:lpwstr/>
      </vt:variant>
      <vt:variant>
        <vt:i4>8126568</vt:i4>
      </vt:variant>
      <vt:variant>
        <vt:i4>306</vt:i4>
      </vt:variant>
      <vt:variant>
        <vt:i4>0</vt:i4>
      </vt:variant>
      <vt:variant>
        <vt:i4>5</vt:i4>
      </vt:variant>
      <vt:variant>
        <vt:lpwstr>https://www.judiciaryni.uk/judicial-decisions/2022-niqb-9-0</vt:lpwstr>
      </vt:variant>
      <vt:variant>
        <vt:lpwstr/>
      </vt:variant>
      <vt:variant>
        <vt:i4>1179734</vt:i4>
      </vt:variant>
      <vt:variant>
        <vt:i4>303</vt:i4>
      </vt:variant>
      <vt:variant>
        <vt:i4>0</vt:i4>
      </vt:variant>
      <vt:variant>
        <vt:i4>5</vt:i4>
      </vt:variant>
      <vt:variant>
        <vt:lpwstr>https://www.legislation.gov.uk/ukpga/2018/16/contents/enacted</vt:lpwstr>
      </vt:variant>
      <vt:variant>
        <vt:lpwstr/>
      </vt:variant>
      <vt:variant>
        <vt:i4>5898242</vt:i4>
      </vt:variant>
      <vt:variant>
        <vt:i4>300</vt:i4>
      </vt:variant>
      <vt:variant>
        <vt:i4>0</vt:i4>
      </vt:variant>
      <vt:variant>
        <vt:i4>5</vt:i4>
      </vt:variant>
      <vt:variant>
        <vt:lpwstr>https://www.legislation.gov.uk/eut/withdrawal-agreement/contents/adopted</vt:lpwstr>
      </vt:variant>
      <vt:variant>
        <vt:lpwstr/>
      </vt:variant>
      <vt:variant>
        <vt:i4>5898242</vt:i4>
      </vt:variant>
      <vt:variant>
        <vt:i4>297</vt:i4>
      </vt:variant>
      <vt:variant>
        <vt:i4>0</vt:i4>
      </vt:variant>
      <vt:variant>
        <vt:i4>5</vt:i4>
      </vt:variant>
      <vt:variant>
        <vt:lpwstr>https://www.legislation.gov.uk/eut/withdrawal-agreement/contents/adopted</vt:lpwstr>
      </vt:variant>
      <vt:variant>
        <vt:lpwstr/>
      </vt:variant>
      <vt:variant>
        <vt:i4>7340081</vt:i4>
      </vt:variant>
      <vt:variant>
        <vt:i4>291</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917586</vt:i4>
      </vt:variant>
      <vt:variant>
        <vt:i4>285</vt:i4>
      </vt:variant>
      <vt:variant>
        <vt:i4>0</vt:i4>
      </vt:variant>
      <vt:variant>
        <vt:i4>5</vt:i4>
      </vt:variant>
      <vt:variant>
        <vt:lpwstr>https://eur-lex.europa.eu/legal-content/en/NIM/?uri=CELEX:32011L0036</vt:lpwstr>
      </vt:variant>
      <vt:variant>
        <vt:lpwstr/>
      </vt:variant>
      <vt:variant>
        <vt:i4>7536752</vt:i4>
      </vt:variant>
      <vt:variant>
        <vt:i4>282</vt:i4>
      </vt:variant>
      <vt:variant>
        <vt:i4>0</vt:i4>
      </vt:variant>
      <vt:variant>
        <vt:i4>5</vt:i4>
      </vt:variant>
      <vt:variant>
        <vt:lpwstr>https://eur-lex.europa.eu/legal-content/en/TXT/?uri=CELEX%3A32011L0036</vt:lpwstr>
      </vt:variant>
      <vt:variant>
        <vt:lpwstr/>
      </vt:variant>
      <vt:variant>
        <vt:i4>7340081</vt:i4>
      </vt:variant>
      <vt:variant>
        <vt:i4>279</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1703949</vt:i4>
      </vt:variant>
      <vt:variant>
        <vt:i4>276</vt:i4>
      </vt:variant>
      <vt:variant>
        <vt:i4>0</vt:i4>
      </vt:variant>
      <vt:variant>
        <vt:i4>5</vt:i4>
      </vt:variant>
      <vt:variant>
        <vt:lpwstr>https://www.equalityni.org/ECNI/media/ECNI/Publications/Delivering Equality/DMU/Annual-Report-Implementation-ProtocolArt2.pdf</vt:lpwstr>
      </vt:variant>
      <vt:variant>
        <vt:lpwstr/>
      </vt:variant>
      <vt:variant>
        <vt:i4>7340081</vt:i4>
      </vt:variant>
      <vt:variant>
        <vt:i4>273</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8126568</vt:i4>
      </vt:variant>
      <vt:variant>
        <vt:i4>267</vt:i4>
      </vt:variant>
      <vt:variant>
        <vt:i4>0</vt:i4>
      </vt:variant>
      <vt:variant>
        <vt:i4>5</vt:i4>
      </vt:variant>
      <vt:variant>
        <vt:lpwstr>https://www.judiciaryni.uk/judicial-decisions/2022-niqb-9-0</vt:lpwstr>
      </vt:variant>
      <vt:variant>
        <vt:lpwstr/>
      </vt:variant>
      <vt:variant>
        <vt:i4>6226009</vt:i4>
      </vt:variant>
      <vt:variant>
        <vt:i4>264</vt:i4>
      </vt:variant>
      <vt:variant>
        <vt:i4>0</vt:i4>
      </vt:variant>
      <vt:variant>
        <vt:i4>5</vt:i4>
      </vt:variant>
      <vt:variant>
        <vt:lpwstr>https://www.legislation.gov.uk/ukpga/1998/47/contents</vt:lpwstr>
      </vt:variant>
      <vt:variant>
        <vt:lpwstr/>
      </vt:variant>
      <vt:variant>
        <vt:i4>5898242</vt:i4>
      </vt:variant>
      <vt:variant>
        <vt:i4>261</vt:i4>
      </vt:variant>
      <vt:variant>
        <vt:i4>0</vt:i4>
      </vt:variant>
      <vt:variant>
        <vt:i4>5</vt:i4>
      </vt:variant>
      <vt:variant>
        <vt:lpwstr>https://www.legislation.gov.uk/eut/withdrawal-agreement/contents/adopted</vt:lpwstr>
      </vt:variant>
      <vt:variant>
        <vt:lpwstr/>
      </vt:variant>
      <vt:variant>
        <vt:i4>4456541</vt:i4>
      </vt:variant>
      <vt:variant>
        <vt:i4>258</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4456541</vt:i4>
      </vt:variant>
      <vt:variant>
        <vt:i4>255</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6226009</vt:i4>
      </vt:variant>
      <vt:variant>
        <vt:i4>252</vt:i4>
      </vt:variant>
      <vt:variant>
        <vt:i4>0</vt:i4>
      </vt:variant>
      <vt:variant>
        <vt:i4>5</vt:i4>
      </vt:variant>
      <vt:variant>
        <vt:lpwstr>https://www.legislation.gov.uk/ukpga/1998/47/contents</vt:lpwstr>
      </vt:variant>
      <vt:variant>
        <vt:lpwstr/>
      </vt:variant>
      <vt:variant>
        <vt:i4>6226009</vt:i4>
      </vt:variant>
      <vt:variant>
        <vt:i4>249</vt:i4>
      </vt:variant>
      <vt:variant>
        <vt:i4>0</vt:i4>
      </vt:variant>
      <vt:variant>
        <vt:i4>5</vt:i4>
      </vt:variant>
      <vt:variant>
        <vt:lpwstr>https://www.legislation.gov.uk/ukpga/1998/47/contents</vt:lpwstr>
      </vt:variant>
      <vt:variant>
        <vt:lpwstr/>
      </vt:variant>
      <vt:variant>
        <vt:i4>6226009</vt:i4>
      </vt:variant>
      <vt:variant>
        <vt:i4>246</vt:i4>
      </vt:variant>
      <vt:variant>
        <vt:i4>0</vt:i4>
      </vt:variant>
      <vt:variant>
        <vt:i4>5</vt:i4>
      </vt:variant>
      <vt:variant>
        <vt:lpwstr>https://www.legislation.gov.uk/ukpga/1998/47/contents</vt:lpwstr>
      </vt:variant>
      <vt:variant>
        <vt:lpwstr/>
      </vt:variant>
      <vt:variant>
        <vt:i4>8126568</vt:i4>
      </vt:variant>
      <vt:variant>
        <vt:i4>243</vt:i4>
      </vt:variant>
      <vt:variant>
        <vt:i4>0</vt:i4>
      </vt:variant>
      <vt:variant>
        <vt:i4>5</vt:i4>
      </vt:variant>
      <vt:variant>
        <vt:lpwstr>https://www.judiciaryni.uk/judicial-decisions/2022-niqb-9-0</vt:lpwstr>
      </vt:variant>
      <vt:variant>
        <vt:lpwstr/>
      </vt:variant>
      <vt:variant>
        <vt:i4>5374043</vt:i4>
      </vt:variant>
      <vt:variant>
        <vt:i4>240</vt:i4>
      </vt:variant>
      <vt:variant>
        <vt:i4>0</vt:i4>
      </vt:variant>
      <vt:variant>
        <vt:i4>5</vt:i4>
      </vt:variant>
      <vt:variant>
        <vt:lpwstr>https://www.gov.uk/government/publications/protocol-on-irelandnorthern-ireland-article-2</vt:lpwstr>
      </vt:variant>
      <vt:variant>
        <vt:lpwstr/>
      </vt:variant>
      <vt:variant>
        <vt:i4>7798842</vt:i4>
      </vt:variant>
      <vt:variant>
        <vt:i4>237</vt:i4>
      </vt:variant>
      <vt:variant>
        <vt:i4>0</vt:i4>
      </vt:variant>
      <vt:variant>
        <vt:i4>5</vt:i4>
      </vt:variant>
      <vt:variant>
        <vt:lpwstr>https://committees.parliament.uk/writtenevidence/10145/default/</vt:lpwstr>
      </vt:variant>
      <vt:variant>
        <vt:lpwstr/>
      </vt:variant>
      <vt:variant>
        <vt:i4>983045</vt:i4>
      </vt:variant>
      <vt:variant>
        <vt:i4>234</vt:i4>
      </vt:variant>
      <vt:variant>
        <vt:i4>0</vt:i4>
      </vt:variant>
      <vt:variant>
        <vt:i4>5</vt:i4>
      </vt:variant>
      <vt:variant>
        <vt:lpwstr>https://questions-statements.parliament.uk/written-questions/detail/2020-01-14/hl404</vt:lpwstr>
      </vt:variant>
      <vt:variant>
        <vt:lpwstr/>
      </vt:variant>
      <vt:variant>
        <vt:i4>5374043</vt:i4>
      </vt:variant>
      <vt:variant>
        <vt:i4>231</vt:i4>
      </vt:variant>
      <vt:variant>
        <vt:i4>0</vt:i4>
      </vt:variant>
      <vt:variant>
        <vt:i4>5</vt:i4>
      </vt:variant>
      <vt:variant>
        <vt:lpwstr>https://www.gov.uk/government/publications/protocol-on-irelandnorthern-ireland-article-2</vt:lpwstr>
      </vt:variant>
      <vt:variant>
        <vt:lpwstr/>
      </vt:variant>
      <vt:variant>
        <vt:i4>5898242</vt:i4>
      </vt:variant>
      <vt:variant>
        <vt:i4>228</vt:i4>
      </vt:variant>
      <vt:variant>
        <vt:i4>0</vt:i4>
      </vt:variant>
      <vt:variant>
        <vt:i4>5</vt:i4>
      </vt:variant>
      <vt:variant>
        <vt:lpwstr>https://www.legislation.gov.uk/eut/withdrawal-agreement/contents/adopted</vt:lpwstr>
      </vt:variant>
      <vt:variant>
        <vt:lpwstr/>
      </vt:variant>
      <vt:variant>
        <vt:i4>5898242</vt:i4>
      </vt:variant>
      <vt:variant>
        <vt:i4>225</vt:i4>
      </vt:variant>
      <vt:variant>
        <vt:i4>0</vt:i4>
      </vt:variant>
      <vt:variant>
        <vt:i4>5</vt:i4>
      </vt:variant>
      <vt:variant>
        <vt:lpwstr>https://www.legislation.gov.uk/eut/withdrawal-agreement/contents/adopted</vt:lpwstr>
      </vt:variant>
      <vt:variant>
        <vt:lpwstr/>
      </vt:variant>
      <vt:variant>
        <vt:i4>5898242</vt:i4>
      </vt:variant>
      <vt:variant>
        <vt:i4>222</vt:i4>
      </vt:variant>
      <vt:variant>
        <vt:i4>0</vt:i4>
      </vt:variant>
      <vt:variant>
        <vt:i4>5</vt:i4>
      </vt:variant>
      <vt:variant>
        <vt:lpwstr>https://www.legislation.gov.uk/eut/withdrawal-agreement/contents/adopted</vt:lpwstr>
      </vt:variant>
      <vt:variant>
        <vt:lpwstr/>
      </vt:variant>
      <vt:variant>
        <vt:i4>5374043</vt:i4>
      </vt:variant>
      <vt:variant>
        <vt:i4>219</vt:i4>
      </vt:variant>
      <vt:variant>
        <vt:i4>0</vt:i4>
      </vt:variant>
      <vt:variant>
        <vt:i4>5</vt:i4>
      </vt:variant>
      <vt:variant>
        <vt:lpwstr>https://www.gov.uk/government/publications/protocol-on-irelandnorthern-ireland-article-2</vt:lpwstr>
      </vt:variant>
      <vt:variant>
        <vt:lpwstr/>
      </vt:variant>
      <vt:variant>
        <vt:i4>5898242</vt:i4>
      </vt:variant>
      <vt:variant>
        <vt:i4>216</vt:i4>
      </vt:variant>
      <vt:variant>
        <vt:i4>0</vt:i4>
      </vt:variant>
      <vt:variant>
        <vt:i4>5</vt:i4>
      </vt:variant>
      <vt:variant>
        <vt:lpwstr>https://www.legislation.gov.uk/eut/withdrawal-agreement/contents/adopted</vt:lpwstr>
      </vt:variant>
      <vt:variant>
        <vt:lpwstr/>
      </vt:variant>
      <vt:variant>
        <vt:i4>5898242</vt:i4>
      </vt:variant>
      <vt:variant>
        <vt:i4>213</vt:i4>
      </vt:variant>
      <vt:variant>
        <vt:i4>0</vt:i4>
      </vt:variant>
      <vt:variant>
        <vt:i4>5</vt:i4>
      </vt:variant>
      <vt:variant>
        <vt:lpwstr>https://www.legislation.gov.uk/eut/withdrawal-agreement/contents/adopted</vt:lpwstr>
      </vt:variant>
      <vt:variant>
        <vt:lpwstr/>
      </vt:variant>
      <vt:variant>
        <vt:i4>5898242</vt:i4>
      </vt:variant>
      <vt:variant>
        <vt:i4>210</vt:i4>
      </vt:variant>
      <vt:variant>
        <vt:i4>0</vt:i4>
      </vt:variant>
      <vt:variant>
        <vt:i4>5</vt:i4>
      </vt:variant>
      <vt:variant>
        <vt:lpwstr>https://www.legislation.gov.uk/eut/withdrawal-agreement/contents/adopted</vt:lpwstr>
      </vt:variant>
      <vt:variant>
        <vt:lpwstr/>
      </vt:variant>
      <vt:variant>
        <vt:i4>5898242</vt:i4>
      </vt:variant>
      <vt:variant>
        <vt:i4>207</vt:i4>
      </vt:variant>
      <vt:variant>
        <vt:i4>0</vt:i4>
      </vt:variant>
      <vt:variant>
        <vt:i4>5</vt:i4>
      </vt:variant>
      <vt:variant>
        <vt:lpwstr>https://www.legislation.gov.uk/eut/withdrawal-agreement/contents/adopted</vt:lpwstr>
      </vt:variant>
      <vt:variant>
        <vt:lpwstr/>
      </vt:variant>
      <vt:variant>
        <vt:i4>4259932</vt:i4>
      </vt:variant>
      <vt:variant>
        <vt:i4>204</vt:i4>
      </vt:variant>
      <vt:variant>
        <vt:i4>0</vt:i4>
      </vt:variant>
      <vt:variant>
        <vt:i4>5</vt:i4>
      </vt:variant>
      <vt:variant>
        <vt:lpwstr>https://www.legislation.gov.uk/ukpga/2020/1/contents/enacted</vt:lpwstr>
      </vt:variant>
      <vt:variant>
        <vt:lpwstr/>
      </vt:variant>
      <vt:variant>
        <vt:i4>6226009</vt:i4>
      </vt:variant>
      <vt:variant>
        <vt:i4>201</vt:i4>
      </vt:variant>
      <vt:variant>
        <vt:i4>0</vt:i4>
      </vt:variant>
      <vt:variant>
        <vt:i4>5</vt:i4>
      </vt:variant>
      <vt:variant>
        <vt:lpwstr>https://www.legislation.gov.uk/ukpga/1998/47/contents</vt:lpwstr>
      </vt:variant>
      <vt:variant>
        <vt:lpwstr/>
      </vt:variant>
      <vt:variant>
        <vt:i4>6226009</vt:i4>
      </vt:variant>
      <vt:variant>
        <vt:i4>198</vt:i4>
      </vt:variant>
      <vt:variant>
        <vt:i4>0</vt:i4>
      </vt:variant>
      <vt:variant>
        <vt:i4>5</vt:i4>
      </vt:variant>
      <vt:variant>
        <vt:lpwstr>https://www.legislation.gov.uk/ukpga/1998/47/contents</vt:lpwstr>
      </vt:variant>
      <vt:variant>
        <vt:lpwstr/>
      </vt:variant>
      <vt:variant>
        <vt:i4>1441875</vt:i4>
      </vt:variant>
      <vt:variant>
        <vt:i4>195</vt:i4>
      </vt:variant>
      <vt:variant>
        <vt:i4>0</vt:i4>
      </vt:variant>
      <vt:variant>
        <vt:i4>5</vt:i4>
      </vt:variant>
      <vt:variant>
        <vt:lpwstr>https://www.equalityni.org/ECNI/media/ECNI/Publications/Delivering Equality/DMU/Retained-EU-Law-EuroScrutinyComm.pdf</vt:lpwstr>
      </vt:variant>
      <vt:variant>
        <vt:lpwstr/>
      </vt:variant>
      <vt:variant>
        <vt:i4>1179734</vt:i4>
      </vt:variant>
      <vt:variant>
        <vt:i4>192</vt:i4>
      </vt:variant>
      <vt:variant>
        <vt:i4>0</vt:i4>
      </vt:variant>
      <vt:variant>
        <vt:i4>5</vt:i4>
      </vt:variant>
      <vt:variant>
        <vt:lpwstr>https://www.legislation.gov.uk/ukpga/2018/16/contents/enacted</vt:lpwstr>
      </vt:variant>
      <vt:variant>
        <vt:lpwstr/>
      </vt:variant>
      <vt:variant>
        <vt:i4>1179734</vt:i4>
      </vt:variant>
      <vt:variant>
        <vt:i4>189</vt:i4>
      </vt:variant>
      <vt:variant>
        <vt:i4>0</vt:i4>
      </vt:variant>
      <vt:variant>
        <vt:i4>5</vt:i4>
      </vt:variant>
      <vt:variant>
        <vt:lpwstr>https://www.legislation.gov.uk/ukpga/2018/16/contents/enacted</vt:lpwstr>
      </vt:variant>
      <vt:variant>
        <vt:lpwstr/>
      </vt:variant>
      <vt:variant>
        <vt:i4>3276846</vt:i4>
      </vt:variant>
      <vt:variant>
        <vt:i4>186</vt:i4>
      </vt:variant>
      <vt:variant>
        <vt:i4>0</vt:i4>
      </vt:variant>
      <vt:variant>
        <vt:i4>5</vt:i4>
      </vt:variant>
      <vt:variant>
        <vt:lpwstr>https://eur-lex.europa.eu/LexUriServ/LexUriServ.do?uri=CELEX:12012E/TXT:en:PDF</vt:lpwstr>
      </vt:variant>
      <vt:variant>
        <vt:lpwstr/>
      </vt:variant>
      <vt:variant>
        <vt:i4>6029405</vt:i4>
      </vt:variant>
      <vt:variant>
        <vt:i4>183</vt:i4>
      </vt:variant>
      <vt:variant>
        <vt:i4>0</vt:i4>
      </vt:variant>
      <vt:variant>
        <vt:i4>5</vt:i4>
      </vt:variant>
      <vt:variant>
        <vt:lpwstr>https://www.legislation.gov.uk/uksi/2008/963/memorandum/contents</vt:lpwstr>
      </vt:variant>
      <vt:variant>
        <vt:lpwstr/>
      </vt:variant>
      <vt:variant>
        <vt:i4>7733367</vt:i4>
      </vt:variant>
      <vt:variant>
        <vt:i4>180</vt:i4>
      </vt:variant>
      <vt:variant>
        <vt:i4>0</vt:i4>
      </vt:variant>
      <vt:variant>
        <vt:i4>5</vt:i4>
      </vt:variant>
      <vt:variant>
        <vt:lpwstr>https://eur-lex.europa.eu/legal-content/EN/TXT/?uri=celex%3A32004L0113</vt:lpwstr>
      </vt:variant>
      <vt:variant>
        <vt:lpwstr/>
      </vt:variant>
      <vt:variant>
        <vt:i4>589913</vt:i4>
      </vt:variant>
      <vt:variant>
        <vt:i4>177</vt:i4>
      </vt:variant>
      <vt:variant>
        <vt:i4>0</vt:i4>
      </vt:variant>
      <vt:variant>
        <vt:i4>5</vt:i4>
      </vt:variant>
      <vt:variant>
        <vt:lpwstr>https://eur-lex.europa.eu/LexUriServ/LexUriServ.do?uri=OJ:L:2006:204:0023:0036:en:PDF</vt:lpwstr>
      </vt:variant>
      <vt:variant>
        <vt:lpwstr/>
      </vt:variant>
      <vt:variant>
        <vt:i4>8126568</vt:i4>
      </vt:variant>
      <vt:variant>
        <vt:i4>174</vt:i4>
      </vt:variant>
      <vt:variant>
        <vt:i4>0</vt:i4>
      </vt:variant>
      <vt:variant>
        <vt:i4>5</vt:i4>
      </vt:variant>
      <vt:variant>
        <vt:lpwstr>https://www.judiciaryni.uk/judicial-decisions/2022-niqb-9-0</vt:lpwstr>
      </vt:variant>
      <vt:variant>
        <vt:lpwstr/>
      </vt:variant>
      <vt:variant>
        <vt:i4>5898242</vt:i4>
      </vt:variant>
      <vt:variant>
        <vt:i4>171</vt:i4>
      </vt:variant>
      <vt:variant>
        <vt:i4>0</vt:i4>
      </vt:variant>
      <vt:variant>
        <vt:i4>5</vt:i4>
      </vt:variant>
      <vt:variant>
        <vt:lpwstr>https://www.legislation.gov.uk/eut/withdrawal-agreement/contents/adopted</vt:lpwstr>
      </vt:variant>
      <vt:variant>
        <vt:lpwstr/>
      </vt:variant>
      <vt:variant>
        <vt:i4>5898242</vt:i4>
      </vt:variant>
      <vt:variant>
        <vt:i4>168</vt:i4>
      </vt:variant>
      <vt:variant>
        <vt:i4>0</vt:i4>
      </vt:variant>
      <vt:variant>
        <vt:i4>5</vt:i4>
      </vt:variant>
      <vt:variant>
        <vt:lpwstr>https://www.legislation.gov.uk/eut/withdrawal-agreement/contents/adopted</vt:lpwstr>
      </vt:variant>
      <vt:variant>
        <vt:lpwstr/>
      </vt:variant>
      <vt:variant>
        <vt:i4>6684775</vt:i4>
      </vt:variant>
      <vt:variant>
        <vt:i4>165</vt:i4>
      </vt:variant>
      <vt:variant>
        <vt:i4>0</vt:i4>
      </vt:variant>
      <vt:variant>
        <vt:i4>5</vt:i4>
      </vt:variant>
      <vt:variant>
        <vt:lpwstr>https://www.judiciaryni.uk/judicial-decisions/2021-niqb-64</vt:lpwstr>
      </vt:variant>
      <vt:variant>
        <vt:lpwstr/>
      </vt:variant>
      <vt:variant>
        <vt:i4>8126568</vt:i4>
      </vt:variant>
      <vt:variant>
        <vt:i4>162</vt:i4>
      </vt:variant>
      <vt:variant>
        <vt:i4>0</vt:i4>
      </vt:variant>
      <vt:variant>
        <vt:i4>5</vt:i4>
      </vt:variant>
      <vt:variant>
        <vt:lpwstr>https://www.judiciaryni.uk/judicial-decisions/2022-niqb-9-0</vt:lpwstr>
      </vt:variant>
      <vt:variant>
        <vt:lpwstr/>
      </vt:variant>
      <vt:variant>
        <vt:i4>4456541</vt:i4>
      </vt:variant>
      <vt:variant>
        <vt:i4>159</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5374043</vt:i4>
      </vt:variant>
      <vt:variant>
        <vt:i4>156</vt:i4>
      </vt:variant>
      <vt:variant>
        <vt:i4>0</vt:i4>
      </vt:variant>
      <vt:variant>
        <vt:i4>5</vt:i4>
      </vt:variant>
      <vt:variant>
        <vt:lpwstr>https://www.gov.uk/government/publications/protocol-on-irelandnorthern-ireland-article-2</vt:lpwstr>
      </vt:variant>
      <vt:variant>
        <vt:lpwstr/>
      </vt:variant>
      <vt:variant>
        <vt:i4>4456472</vt:i4>
      </vt:variant>
      <vt:variant>
        <vt:i4>153</vt:i4>
      </vt:variant>
      <vt:variant>
        <vt:i4>0</vt:i4>
      </vt:variant>
      <vt:variant>
        <vt:i4>5</vt:i4>
      </vt:variant>
      <vt:variant>
        <vt:lpwstr>https://www.legislation.gov.uk/eut/withdrawal-agreement/article/1/adopted</vt:lpwstr>
      </vt:variant>
      <vt:variant>
        <vt:lpwstr/>
      </vt:variant>
      <vt:variant>
        <vt:i4>4653150</vt:i4>
      </vt:variant>
      <vt:variant>
        <vt:i4>150</vt:i4>
      </vt:variant>
      <vt:variant>
        <vt:i4>0</vt:i4>
      </vt:variant>
      <vt:variant>
        <vt:i4>5</vt:i4>
      </vt:variant>
      <vt:variant>
        <vt:lpwstr>https://ec.europa.eu/commission/presscorner/detail/en/ip_21_881</vt:lpwstr>
      </vt:variant>
      <vt:variant>
        <vt:lpwstr/>
      </vt:variant>
      <vt:variant>
        <vt:i4>5374043</vt:i4>
      </vt:variant>
      <vt:variant>
        <vt:i4>147</vt:i4>
      </vt:variant>
      <vt:variant>
        <vt:i4>0</vt:i4>
      </vt:variant>
      <vt:variant>
        <vt:i4>5</vt:i4>
      </vt:variant>
      <vt:variant>
        <vt:lpwstr>https://www.gov.uk/government/publications/protocol-on-irelandnorthern-ireland-article-2</vt:lpwstr>
      </vt:variant>
      <vt:variant>
        <vt:lpwstr/>
      </vt:variant>
      <vt:variant>
        <vt:i4>4456541</vt:i4>
      </vt:variant>
      <vt:variant>
        <vt:i4>144</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4456541</vt:i4>
      </vt:variant>
      <vt:variant>
        <vt:i4>141</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3801209</vt:i4>
      </vt:variant>
      <vt:variant>
        <vt:i4>138</vt:i4>
      </vt:variant>
      <vt:variant>
        <vt:i4>0</vt:i4>
      </vt:variant>
      <vt:variant>
        <vt:i4>5</vt:i4>
      </vt:variant>
      <vt:variant>
        <vt:lpwstr>https://nihrc.org/publication/detail/joint-committee-statement-on-the-uk-withdrawal-from-the-european-union</vt:lpwstr>
      </vt:variant>
      <vt:variant>
        <vt:lpwstr/>
      </vt:variant>
      <vt:variant>
        <vt:i4>5374043</vt:i4>
      </vt:variant>
      <vt:variant>
        <vt:i4>135</vt:i4>
      </vt:variant>
      <vt:variant>
        <vt:i4>0</vt:i4>
      </vt:variant>
      <vt:variant>
        <vt:i4>5</vt:i4>
      </vt:variant>
      <vt:variant>
        <vt:lpwstr>https://www.gov.uk/government/publications/protocol-on-irelandnorthern-ireland-article-2</vt:lpwstr>
      </vt:variant>
      <vt:variant>
        <vt:lpwstr/>
      </vt:variant>
      <vt:variant>
        <vt:i4>5374037</vt:i4>
      </vt:variant>
      <vt:variant>
        <vt:i4>132</vt:i4>
      </vt:variant>
      <vt:variant>
        <vt:i4>0</vt:i4>
      </vt:variant>
      <vt:variant>
        <vt:i4>5</vt:i4>
      </vt:variant>
      <vt:variant>
        <vt:lpwstr>https://www.gov.uk/government/publications/the-belfast-agreement</vt:lpwstr>
      </vt:variant>
      <vt:variant>
        <vt:lpwstr/>
      </vt:variant>
      <vt:variant>
        <vt:i4>5374037</vt:i4>
      </vt:variant>
      <vt:variant>
        <vt:i4>129</vt:i4>
      </vt:variant>
      <vt:variant>
        <vt:i4>0</vt:i4>
      </vt:variant>
      <vt:variant>
        <vt:i4>5</vt:i4>
      </vt:variant>
      <vt:variant>
        <vt:lpwstr>https://www.gov.uk/government/publications/the-belfast-agreement</vt:lpwstr>
      </vt:variant>
      <vt:variant>
        <vt:lpwstr/>
      </vt:variant>
      <vt:variant>
        <vt:i4>3932283</vt:i4>
      </vt:variant>
      <vt:variant>
        <vt:i4>126</vt:i4>
      </vt:variant>
      <vt:variant>
        <vt:i4>0</vt:i4>
      </vt:variant>
      <vt:variant>
        <vt:i4>5</vt:i4>
      </vt:variant>
      <vt:variant>
        <vt:lpwstr>https://nihrc.org/publication/detail/annual-report-of-the-nihrc-and-ecni-on-the-implementation-of-protocol-article-2-2021-2022</vt:lpwstr>
      </vt:variant>
      <vt:variant>
        <vt:lpwstr/>
      </vt:variant>
      <vt:variant>
        <vt:i4>7340081</vt:i4>
      </vt:variant>
      <vt:variant>
        <vt:i4>123</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5374043</vt:i4>
      </vt:variant>
      <vt:variant>
        <vt:i4>120</vt:i4>
      </vt:variant>
      <vt:variant>
        <vt:i4>0</vt:i4>
      </vt:variant>
      <vt:variant>
        <vt:i4>5</vt:i4>
      </vt:variant>
      <vt:variant>
        <vt:lpwstr>https://www.gov.uk/government/publications/protocol-on-irelandnorthern-ireland-article-2</vt:lpwstr>
      </vt:variant>
      <vt:variant>
        <vt:lpwstr/>
      </vt:variant>
      <vt:variant>
        <vt:i4>8323179</vt:i4>
      </vt:variant>
      <vt:variant>
        <vt:i4>117</vt:i4>
      </vt:variant>
      <vt:variant>
        <vt:i4>0</vt:i4>
      </vt:variant>
      <vt:variant>
        <vt:i4>5</vt:i4>
      </vt:variant>
      <vt:variant>
        <vt:lpwstr>https://www.ohchr.org/en/instruments-mechanisms/instruments/international-covenant-economic-social-and-cultural-rights</vt:lpwstr>
      </vt:variant>
      <vt:variant>
        <vt:lpwstr/>
      </vt:variant>
      <vt:variant>
        <vt:i4>983109</vt:i4>
      </vt:variant>
      <vt:variant>
        <vt:i4>114</vt:i4>
      </vt:variant>
      <vt:variant>
        <vt:i4>0</vt:i4>
      </vt:variant>
      <vt:variant>
        <vt:i4>5</vt:i4>
      </vt:variant>
      <vt:variant>
        <vt:lpwstr>https://www.ohchr.org/en/instruments-mechanisms/instruments/international-covenant-civil-and-political-rights</vt:lpwstr>
      </vt:variant>
      <vt:variant>
        <vt:lpwstr/>
      </vt:variant>
      <vt:variant>
        <vt:i4>2359348</vt:i4>
      </vt:variant>
      <vt:variant>
        <vt:i4>111</vt:i4>
      </vt:variant>
      <vt:variant>
        <vt:i4>0</vt:i4>
      </vt:variant>
      <vt:variant>
        <vt:i4>5</vt:i4>
      </vt:variant>
      <vt:variant>
        <vt:lpwstr>https://www.ohchr.org/en/instruments-mechanisms/instruments/vienna-declaration-and-programme-action</vt:lpwstr>
      </vt:variant>
      <vt:variant>
        <vt:lpwstr/>
      </vt:variant>
      <vt:variant>
        <vt:i4>1507350</vt:i4>
      </vt:variant>
      <vt:variant>
        <vt:i4>108</vt:i4>
      </vt:variant>
      <vt:variant>
        <vt:i4>0</vt:i4>
      </vt:variant>
      <vt:variant>
        <vt:i4>5</vt:i4>
      </vt:variant>
      <vt:variant>
        <vt:lpwstr>https://eur-lex.europa.eu/legal-content/EN/TXT/?uri=CELEX:12012P/TXT</vt:lpwstr>
      </vt:variant>
      <vt:variant>
        <vt:lpwstr/>
      </vt:variant>
      <vt:variant>
        <vt:i4>3997765</vt:i4>
      </vt:variant>
      <vt:variant>
        <vt:i4>105</vt:i4>
      </vt:variant>
      <vt:variant>
        <vt:i4>0</vt:i4>
      </vt:variant>
      <vt:variant>
        <vt:i4>5</vt:i4>
      </vt:variant>
      <vt:variant>
        <vt:lpwstr>https://www.echr.coe.int/documents/convention_eng.pdf</vt:lpwstr>
      </vt:variant>
      <vt:variant>
        <vt:lpwstr/>
      </vt:variant>
      <vt:variant>
        <vt:i4>5636183</vt:i4>
      </vt:variant>
      <vt:variant>
        <vt:i4>102</vt:i4>
      </vt:variant>
      <vt:variant>
        <vt:i4>0</vt:i4>
      </vt:variant>
      <vt:variant>
        <vt:i4>5</vt:i4>
      </vt:variant>
      <vt:variant>
        <vt:lpwstr>https://eur-lex.europa.eu/legal-content/EN/TXT/PDF/?uri=CELEX:32016R0679&amp;from=EN</vt:lpwstr>
      </vt:variant>
      <vt:variant>
        <vt:lpwstr/>
      </vt:variant>
      <vt:variant>
        <vt:i4>5374043</vt:i4>
      </vt:variant>
      <vt:variant>
        <vt:i4>99</vt:i4>
      </vt:variant>
      <vt:variant>
        <vt:i4>0</vt:i4>
      </vt:variant>
      <vt:variant>
        <vt:i4>5</vt:i4>
      </vt:variant>
      <vt:variant>
        <vt:lpwstr>https://www.gov.uk/government/publications/protocol-on-irelandnorthern-ireland-article-2</vt:lpwstr>
      </vt:variant>
      <vt:variant>
        <vt:lpwstr/>
      </vt:variant>
      <vt:variant>
        <vt:i4>7864447</vt:i4>
      </vt:variant>
      <vt:variant>
        <vt:i4>96</vt:i4>
      </vt:variant>
      <vt:variant>
        <vt:i4>0</vt:i4>
      </vt:variant>
      <vt:variant>
        <vt:i4>5</vt:i4>
      </vt:variant>
      <vt:variant>
        <vt:lpwstr>https://btcwarwick.files.wordpress.com/2018/03/draft-withdrawal-agreement-commentary-final.pdf</vt:lpwstr>
      </vt:variant>
      <vt:variant>
        <vt:lpwstr/>
      </vt:variant>
      <vt:variant>
        <vt:i4>7798842</vt:i4>
      </vt:variant>
      <vt:variant>
        <vt:i4>93</vt:i4>
      </vt:variant>
      <vt:variant>
        <vt:i4>0</vt:i4>
      </vt:variant>
      <vt:variant>
        <vt:i4>5</vt:i4>
      </vt:variant>
      <vt:variant>
        <vt:lpwstr>https://committees.parliament.uk/writtenevidence/10145/default/</vt:lpwstr>
      </vt:variant>
      <vt:variant>
        <vt:lpwstr/>
      </vt:variant>
      <vt:variant>
        <vt:i4>4784205</vt:i4>
      </vt:variant>
      <vt:variant>
        <vt:i4>90</vt:i4>
      </vt:variant>
      <vt:variant>
        <vt:i4>0</vt:i4>
      </vt:variant>
      <vt:variant>
        <vt:i4>5</vt:i4>
      </vt:variant>
      <vt:variant>
        <vt:lpwstr>https://www.socialchangeinitiative.com/human-rights-and-equality-in-northern-ireland-under-the-protocol-a-practical-guide</vt:lpwstr>
      </vt:variant>
      <vt:variant>
        <vt:lpwstr/>
      </vt:variant>
      <vt:variant>
        <vt:i4>5374043</vt:i4>
      </vt:variant>
      <vt:variant>
        <vt:i4>87</vt:i4>
      </vt:variant>
      <vt:variant>
        <vt:i4>0</vt:i4>
      </vt:variant>
      <vt:variant>
        <vt:i4>5</vt:i4>
      </vt:variant>
      <vt:variant>
        <vt:lpwstr>https://www.gov.uk/government/publications/protocol-on-irelandnorthern-ireland-article-2</vt:lpwstr>
      </vt:variant>
      <vt:variant>
        <vt:lpwstr/>
      </vt:variant>
      <vt:variant>
        <vt:i4>2818110</vt:i4>
      </vt:variant>
      <vt:variant>
        <vt:i4>84</vt:i4>
      </vt:variant>
      <vt:variant>
        <vt:i4>0</vt:i4>
      </vt:variant>
      <vt:variant>
        <vt:i4>5</vt:i4>
      </vt:variant>
      <vt:variant>
        <vt:lpwstr>https://www.peaceagreements.org/viewmasterdocument/132</vt:lpwstr>
      </vt:variant>
      <vt:variant>
        <vt:lpwstr/>
      </vt:variant>
      <vt:variant>
        <vt:i4>983113</vt:i4>
      </vt:variant>
      <vt:variant>
        <vt:i4>81</vt:i4>
      </vt:variant>
      <vt:variant>
        <vt:i4>0</vt:i4>
      </vt:variant>
      <vt:variant>
        <vt:i4>5</vt:i4>
      </vt:variant>
      <vt:variant>
        <vt:lpwstr>https://eur-lex.europa.eu/legal-content/EN/TXT/?uri=celex:32008L0104</vt:lpwstr>
      </vt:variant>
      <vt:variant>
        <vt:lpwstr/>
      </vt:variant>
      <vt:variant>
        <vt:i4>8323188</vt:i4>
      </vt:variant>
      <vt:variant>
        <vt:i4>78</vt:i4>
      </vt:variant>
      <vt:variant>
        <vt:i4>0</vt:i4>
      </vt:variant>
      <vt:variant>
        <vt:i4>5</vt:i4>
      </vt:variant>
      <vt:variant>
        <vt:lpwstr>https://eur-lex.europa.eu/legal-content/EN/TXT/?uri=celex%3A31997L0081</vt:lpwstr>
      </vt:variant>
      <vt:variant>
        <vt:lpwstr/>
      </vt:variant>
      <vt:variant>
        <vt:i4>7536752</vt:i4>
      </vt:variant>
      <vt:variant>
        <vt:i4>75</vt:i4>
      </vt:variant>
      <vt:variant>
        <vt:i4>0</vt:i4>
      </vt:variant>
      <vt:variant>
        <vt:i4>5</vt:i4>
      </vt:variant>
      <vt:variant>
        <vt:lpwstr>https://eur-lex.europa.eu/legal-content/en/TXT/?uri=CELEX%3A32011L0036</vt:lpwstr>
      </vt:variant>
      <vt:variant>
        <vt:lpwstr/>
      </vt:variant>
      <vt:variant>
        <vt:i4>3014777</vt:i4>
      </vt:variant>
      <vt:variant>
        <vt:i4>72</vt:i4>
      </vt:variant>
      <vt:variant>
        <vt:i4>0</vt:i4>
      </vt:variant>
      <vt:variant>
        <vt:i4>5</vt:i4>
      </vt:variant>
      <vt:variant>
        <vt:lpwstr>https://www.europarl.europa.eu/RegData/etudes/BRIE/2019/644175/EPRS_BRI(2019)644175_EN.pdf</vt:lpwstr>
      </vt:variant>
      <vt:variant>
        <vt:lpwstr/>
      </vt:variant>
      <vt:variant>
        <vt:i4>5374043</vt:i4>
      </vt:variant>
      <vt:variant>
        <vt:i4>69</vt:i4>
      </vt:variant>
      <vt:variant>
        <vt:i4>0</vt:i4>
      </vt:variant>
      <vt:variant>
        <vt:i4>5</vt:i4>
      </vt:variant>
      <vt:variant>
        <vt:lpwstr>https://www.gov.uk/government/publications/protocol-on-irelandnorthern-ireland-article-2</vt:lpwstr>
      </vt:variant>
      <vt:variant>
        <vt:lpwstr/>
      </vt:variant>
      <vt:variant>
        <vt:i4>8061041</vt:i4>
      </vt:variant>
      <vt:variant>
        <vt:i4>66</vt:i4>
      </vt:variant>
      <vt:variant>
        <vt:i4>0</vt:i4>
      </vt:variant>
      <vt:variant>
        <vt:i4>5</vt:i4>
      </vt:variant>
      <vt:variant>
        <vt:lpwstr>https://eur-lex.europa.eu/legal-content/EN/TXT/?uri=celex%3A31992L0085</vt:lpwstr>
      </vt:variant>
      <vt:variant>
        <vt:lpwstr/>
      </vt:variant>
      <vt:variant>
        <vt:i4>8192115</vt:i4>
      </vt:variant>
      <vt:variant>
        <vt:i4>63</vt:i4>
      </vt:variant>
      <vt:variant>
        <vt:i4>0</vt:i4>
      </vt:variant>
      <vt:variant>
        <vt:i4>5</vt:i4>
      </vt:variant>
      <vt:variant>
        <vt:lpwstr>https://eur-lex.europa.eu/legal-content/EN/TXT/?uri=celex%3A32010L0018</vt:lpwstr>
      </vt:variant>
      <vt:variant>
        <vt:lpwstr/>
      </vt:variant>
      <vt:variant>
        <vt:i4>8126578</vt:i4>
      </vt:variant>
      <vt:variant>
        <vt:i4>60</vt:i4>
      </vt:variant>
      <vt:variant>
        <vt:i4>0</vt:i4>
      </vt:variant>
      <vt:variant>
        <vt:i4>5</vt:i4>
      </vt:variant>
      <vt:variant>
        <vt:lpwstr>https://eur-lex.europa.eu/legal-content/EN/TXT/?uri=celex%3A32012L0029</vt:lpwstr>
      </vt:variant>
      <vt:variant>
        <vt:lpwstr/>
      </vt:variant>
      <vt:variant>
        <vt:i4>5374043</vt:i4>
      </vt:variant>
      <vt:variant>
        <vt:i4>57</vt:i4>
      </vt:variant>
      <vt:variant>
        <vt:i4>0</vt:i4>
      </vt:variant>
      <vt:variant>
        <vt:i4>5</vt:i4>
      </vt:variant>
      <vt:variant>
        <vt:lpwstr>https://www.gov.uk/government/publications/protocol-on-irelandnorthern-ireland-article-2</vt:lpwstr>
      </vt:variant>
      <vt:variant>
        <vt:lpwstr/>
      </vt:variant>
      <vt:variant>
        <vt:i4>4456541</vt:i4>
      </vt:variant>
      <vt:variant>
        <vt:i4>54</vt:i4>
      </vt:variant>
      <vt:variant>
        <vt:i4>0</vt:i4>
      </vt:variant>
      <vt:variant>
        <vt:i4>5</vt:i4>
      </vt:variant>
      <vt:variant>
        <vt:lpwstr>https://assets.publishing.service.gov.uk/government/uploads/system/uploads/attachment_data/file/840230/Revised_Protocol_to_the_Withdrawal_Agreement.pdf</vt:lpwstr>
      </vt:variant>
      <vt:variant>
        <vt:lpwstr/>
      </vt:variant>
      <vt:variant>
        <vt:i4>7798898</vt:i4>
      </vt:variant>
      <vt:variant>
        <vt:i4>51</vt:i4>
      </vt:variant>
      <vt:variant>
        <vt:i4>0</vt:i4>
      </vt:variant>
      <vt:variant>
        <vt:i4>5</vt:i4>
      </vt:variant>
      <vt:variant>
        <vt:lpwstr>https://eur-lex.europa.eu/legal-content/EN/TXT/?uri=celex%3A31979L0007</vt:lpwstr>
      </vt:variant>
      <vt:variant>
        <vt:lpwstr/>
      </vt:variant>
      <vt:variant>
        <vt:i4>7602294</vt:i4>
      </vt:variant>
      <vt:variant>
        <vt:i4>48</vt:i4>
      </vt:variant>
      <vt:variant>
        <vt:i4>0</vt:i4>
      </vt:variant>
      <vt:variant>
        <vt:i4>5</vt:i4>
      </vt:variant>
      <vt:variant>
        <vt:lpwstr>https://eur-lex.europa.eu/legal-content/EN/TXT/?uri=celex%3A32010L0041</vt:lpwstr>
      </vt:variant>
      <vt:variant>
        <vt:lpwstr/>
      </vt:variant>
      <vt:variant>
        <vt:i4>7340145</vt:i4>
      </vt:variant>
      <vt:variant>
        <vt:i4>45</vt:i4>
      </vt:variant>
      <vt:variant>
        <vt:i4>0</vt:i4>
      </vt:variant>
      <vt:variant>
        <vt:i4>5</vt:i4>
      </vt:variant>
      <vt:variant>
        <vt:lpwstr>https://eur-lex.europa.eu/legal-content/EN/TXT/?uri=celex%3A32006L0054</vt:lpwstr>
      </vt:variant>
      <vt:variant>
        <vt:lpwstr/>
      </vt:variant>
      <vt:variant>
        <vt:i4>7733367</vt:i4>
      </vt:variant>
      <vt:variant>
        <vt:i4>42</vt:i4>
      </vt:variant>
      <vt:variant>
        <vt:i4>0</vt:i4>
      </vt:variant>
      <vt:variant>
        <vt:i4>5</vt:i4>
      </vt:variant>
      <vt:variant>
        <vt:lpwstr>https://eur-lex.europa.eu/legal-content/EN/TXT/?uri=celex%3A32004L0113</vt:lpwstr>
      </vt:variant>
      <vt:variant>
        <vt:lpwstr/>
      </vt:variant>
      <vt:variant>
        <vt:i4>8126581</vt:i4>
      </vt:variant>
      <vt:variant>
        <vt:i4>39</vt:i4>
      </vt:variant>
      <vt:variant>
        <vt:i4>0</vt:i4>
      </vt:variant>
      <vt:variant>
        <vt:i4>5</vt:i4>
      </vt:variant>
      <vt:variant>
        <vt:lpwstr>https://eur-lex.europa.eu/legal-content/EN/TXT/?uri=celex%3A32000L0078</vt:lpwstr>
      </vt:variant>
      <vt:variant>
        <vt:lpwstr/>
      </vt:variant>
      <vt:variant>
        <vt:i4>7798902</vt:i4>
      </vt:variant>
      <vt:variant>
        <vt:i4>36</vt:i4>
      </vt:variant>
      <vt:variant>
        <vt:i4>0</vt:i4>
      </vt:variant>
      <vt:variant>
        <vt:i4>5</vt:i4>
      </vt:variant>
      <vt:variant>
        <vt:lpwstr>https://eur-lex.europa.eu/legal-content/EN/TXT/?uri=celex%3A32000L0043</vt:lpwstr>
      </vt:variant>
      <vt:variant>
        <vt:lpwstr/>
      </vt:variant>
      <vt:variant>
        <vt:i4>5374037</vt:i4>
      </vt:variant>
      <vt:variant>
        <vt:i4>33</vt:i4>
      </vt:variant>
      <vt:variant>
        <vt:i4>0</vt:i4>
      </vt:variant>
      <vt:variant>
        <vt:i4>5</vt:i4>
      </vt:variant>
      <vt:variant>
        <vt:lpwstr>https://www.gov.uk/government/publications/the-belfast-agreement</vt:lpwstr>
      </vt:variant>
      <vt:variant>
        <vt:lpwstr/>
      </vt:variant>
      <vt:variant>
        <vt:i4>5374043</vt:i4>
      </vt:variant>
      <vt:variant>
        <vt:i4>30</vt:i4>
      </vt:variant>
      <vt:variant>
        <vt:i4>0</vt:i4>
      </vt:variant>
      <vt:variant>
        <vt:i4>5</vt:i4>
      </vt:variant>
      <vt:variant>
        <vt:lpwstr>https://www.gov.uk/government/publications/protocol-on-irelandnorthern-ireland-article-2</vt:lpwstr>
      </vt:variant>
      <vt:variant>
        <vt:lpwstr/>
      </vt:variant>
      <vt:variant>
        <vt:i4>5374037</vt:i4>
      </vt:variant>
      <vt:variant>
        <vt:i4>27</vt:i4>
      </vt:variant>
      <vt:variant>
        <vt:i4>0</vt:i4>
      </vt:variant>
      <vt:variant>
        <vt:i4>5</vt:i4>
      </vt:variant>
      <vt:variant>
        <vt:lpwstr>https://www.gov.uk/government/publications/the-belfast-agreement</vt:lpwstr>
      </vt:variant>
      <vt:variant>
        <vt:lpwstr/>
      </vt:variant>
      <vt:variant>
        <vt:i4>6881362</vt:i4>
      </vt:variant>
      <vt:variant>
        <vt:i4>24</vt:i4>
      </vt:variant>
      <vt:variant>
        <vt:i4>0</vt:i4>
      </vt:variant>
      <vt:variant>
        <vt:i4>5</vt:i4>
      </vt:variant>
      <vt:variant>
        <vt:lpwstr>https://ec.europa.eu/info/publications/joint-report-negotiators-european-union-and-united-kingdom-government-progress-during-phase-1-negotiations-under-article-50-teu-united-kingdoms-orderly-withdrawal-european-union_en</vt:lpwstr>
      </vt:variant>
      <vt:variant>
        <vt:lpwstr/>
      </vt:variant>
      <vt:variant>
        <vt:i4>6881362</vt:i4>
      </vt:variant>
      <vt:variant>
        <vt:i4>21</vt:i4>
      </vt:variant>
      <vt:variant>
        <vt:i4>0</vt:i4>
      </vt:variant>
      <vt:variant>
        <vt:i4>5</vt:i4>
      </vt:variant>
      <vt:variant>
        <vt:lpwstr>https://ec.europa.eu/info/publications/joint-report-negotiators-european-union-and-united-kingdom-government-progress-during-phase-1-negotiations-under-article-50-teu-united-kingdoms-orderly-withdrawal-european-union_en</vt:lpwstr>
      </vt:variant>
      <vt:variant>
        <vt:lpwstr/>
      </vt:variant>
      <vt:variant>
        <vt:i4>1703938</vt:i4>
      </vt:variant>
      <vt:variant>
        <vt:i4>18</vt:i4>
      </vt:variant>
      <vt:variant>
        <vt:i4>0</vt:i4>
      </vt:variant>
      <vt:variant>
        <vt:i4>5</vt:i4>
      </vt:variant>
      <vt:variant>
        <vt:lpwstr>https://www.equalityni.org/Delivering-Equality/The-UK-s-exit-from-the-EU</vt:lpwstr>
      </vt:variant>
      <vt:variant>
        <vt:lpwstr/>
      </vt:variant>
      <vt:variant>
        <vt:i4>3801209</vt:i4>
      </vt:variant>
      <vt:variant>
        <vt:i4>15</vt:i4>
      </vt:variant>
      <vt:variant>
        <vt:i4>0</vt:i4>
      </vt:variant>
      <vt:variant>
        <vt:i4>5</vt:i4>
      </vt:variant>
      <vt:variant>
        <vt:lpwstr>https://nihrc.org/publication/detail/joint-committee-statement-on-the-uk-withdrawal-from-the-european-union</vt:lpwstr>
      </vt:variant>
      <vt:variant>
        <vt:lpwstr/>
      </vt:variant>
      <vt:variant>
        <vt:i4>262226</vt:i4>
      </vt:variant>
      <vt:variant>
        <vt:i4>12</vt:i4>
      </vt:variant>
      <vt:variant>
        <vt:i4>0</vt:i4>
      </vt:variant>
      <vt:variant>
        <vt:i4>5</vt:i4>
      </vt:variant>
      <vt:variant>
        <vt:lpwstr>https://www.equalityni.org/ECNI/media/ECNI/Publications/Delivering Equality/DMU/Brexit-YourRightsLeaflet.pdf</vt:lpwstr>
      </vt:variant>
      <vt:variant>
        <vt:lpwstr/>
      </vt:variant>
      <vt:variant>
        <vt:i4>3407999</vt:i4>
      </vt:variant>
      <vt:variant>
        <vt:i4>9</vt:i4>
      </vt:variant>
      <vt:variant>
        <vt:i4>0</vt:i4>
      </vt:variant>
      <vt:variant>
        <vt:i4>5</vt:i4>
      </vt:variant>
      <vt:variant>
        <vt:lpwstr>https://www.equalityni.org/ECNI/media/ECNI/Publications/Delivering Equality/DMU/Brexit-YourRightsShortGuide.pdf</vt:lpwstr>
      </vt:variant>
      <vt:variant>
        <vt:lpwstr/>
      </vt:variant>
      <vt:variant>
        <vt:i4>5374040</vt:i4>
      </vt:variant>
      <vt:variant>
        <vt:i4>6</vt:i4>
      </vt:variant>
      <vt:variant>
        <vt:i4>0</vt:i4>
      </vt:variant>
      <vt:variant>
        <vt:i4>5</vt:i4>
      </vt:variant>
      <vt:variant>
        <vt:lpwstr>https://nihrc.org/our-work/human-rights-after-brexit</vt:lpwstr>
      </vt:variant>
      <vt:variant>
        <vt:lpwstr/>
      </vt:variant>
      <vt:variant>
        <vt:i4>4653151</vt:i4>
      </vt:variant>
      <vt:variant>
        <vt:i4>3</vt:i4>
      </vt:variant>
      <vt:variant>
        <vt:i4>0</vt:i4>
      </vt:variant>
      <vt:variant>
        <vt:i4>5</vt:i4>
      </vt:variant>
      <vt:variant>
        <vt:lpwstr>https://www.equalityni.org/Brexit</vt:lpwstr>
      </vt:variant>
      <vt:variant>
        <vt:lpwstr/>
      </vt:variant>
      <vt:variant>
        <vt:i4>3866665</vt:i4>
      </vt:variant>
      <vt:variant>
        <vt:i4>0</vt:i4>
      </vt:variant>
      <vt:variant>
        <vt:i4>0</vt:i4>
      </vt:variant>
      <vt:variant>
        <vt:i4>5</vt:i4>
      </vt:variant>
      <vt:variant>
        <vt:lpwstr>https://treaties.fcdo.gov.uk/awweb/awarchive?item=79764</vt:lpwstr>
      </vt:variant>
      <vt:variant>
        <vt:lpwstr/>
      </vt:variant>
      <vt:variant>
        <vt:i4>4784226</vt:i4>
      </vt:variant>
      <vt:variant>
        <vt:i4>33</vt:i4>
      </vt:variant>
      <vt:variant>
        <vt:i4>0</vt:i4>
      </vt:variant>
      <vt:variant>
        <vt:i4>5</vt:i4>
      </vt:variant>
      <vt:variant>
        <vt:lpwstr>mailto:RMallon@equalityni.org</vt:lpwstr>
      </vt:variant>
      <vt:variant>
        <vt:lpwstr/>
      </vt:variant>
      <vt:variant>
        <vt:i4>4784226</vt:i4>
      </vt:variant>
      <vt:variant>
        <vt:i4>30</vt:i4>
      </vt:variant>
      <vt:variant>
        <vt:i4>0</vt:i4>
      </vt:variant>
      <vt:variant>
        <vt:i4>5</vt:i4>
      </vt:variant>
      <vt:variant>
        <vt:lpwstr>mailto:RMallon@equalityni.org</vt:lpwstr>
      </vt:variant>
      <vt:variant>
        <vt:lpwstr/>
      </vt:variant>
      <vt:variant>
        <vt:i4>3997773</vt:i4>
      </vt:variant>
      <vt:variant>
        <vt:i4>27</vt:i4>
      </vt:variant>
      <vt:variant>
        <vt:i4>0</vt:i4>
      </vt:variant>
      <vt:variant>
        <vt:i4>5</vt:i4>
      </vt:variant>
      <vt:variant>
        <vt:lpwstr>mailto:Claire.McCann@NIHRC.ORG</vt:lpwstr>
      </vt:variant>
      <vt:variant>
        <vt:lpwstr/>
      </vt:variant>
      <vt:variant>
        <vt:i4>4784226</vt:i4>
      </vt:variant>
      <vt:variant>
        <vt:i4>24</vt:i4>
      </vt:variant>
      <vt:variant>
        <vt:i4>0</vt:i4>
      </vt:variant>
      <vt:variant>
        <vt:i4>5</vt:i4>
      </vt:variant>
      <vt:variant>
        <vt:lpwstr>mailto:RMallon@equalityni.org</vt:lpwstr>
      </vt:variant>
      <vt:variant>
        <vt:lpwstr/>
      </vt:variant>
      <vt:variant>
        <vt:i4>3997773</vt:i4>
      </vt:variant>
      <vt:variant>
        <vt:i4>21</vt:i4>
      </vt:variant>
      <vt:variant>
        <vt:i4>0</vt:i4>
      </vt:variant>
      <vt:variant>
        <vt:i4>5</vt:i4>
      </vt:variant>
      <vt:variant>
        <vt:lpwstr>mailto:Claire.McCann@NIHRC.ORG</vt:lpwstr>
      </vt:variant>
      <vt:variant>
        <vt:lpwstr/>
      </vt:variant>
      <vt:variant>
        <vt:i4>4784226</vt:i4>
      </vt:variant>
      <vt:variant>
        <vt:i4>18</vt:i4>
      </vt:variant>
      <vt:variant>
        <vt:i4>0</vt:i4>
      </vt:variant>
      <vt:variant>
        <vt:i4>5</vt:i4>
      </vt:variant>
      <vt:variant>
        <vt:lpwstr>mailto:RMallon@equalityni.org</vt:lpwstr>
      </vt:variant>
      <vt:variant>
        <vt:lpwstr/>
      </vt:variant>
      <vt:variant>
        <vt:i4>3997773</vt:i4>
      </vt:variant>
      <vt:variant>
        <vt:i4>15</vt:i4>
      </vt:variant>
      <vt:variant>
        <vt:i4>0</vt:i4>
      </vt:variant>
      <vt:variant>
        <vt:i4>5</vt:i4>
      </vt:variant>
      <vt:variant>
        <vt:lpwstr>mailto:Claire.McCann@NIHRC.ORG</vt:lpwstr>
      </vt:variant>
      <vt:variant>
        <vt:lpwstr/>
      </vt:variant>
      <vt:variant>
        <vt:i4>4784226</vt:i4>
      </vt:variant>
      <vt:variant>
        <vt:i4>12</vt:i4>
      </vt:variant>
      <vt:variant>
        <vt:i4>0</vt:i4>
      </vt:variant>
      <vt:variant>
        <vt:i4>5</vt:i4>
      </vt:variant>
      <vt:variant>
        <vt:lpwstr>mailto:RMallon@equalityni.org</vt:lpwstr>
      </vt:variant>
      <vt:variant>
        <vt:lpwstr/>
      </vt:variant>
      <vt:variant>
        <vt:i4>3997773</vt:i4>
      </vt:variant>
      <vt:variant>
        <vt:i4>9</vt:i4>
      </vt:variant>
      <vt:variant>
        <vt:i4>0</vt:i4>
      </vt:variant>
      <vt:variant>
        <vt:i4>5</vt:i4>
      </vt:variant>
      <vt:variant>
        <vt:lpwstr>mailto:Claire.McCann@NIHRC.ORG</vt:lpwstr>
      </vt:variant>
      <vt:variant>
        <vt:lpwstr/>
      </vt:variant>
      <vt:variant>
        <vt:i4>4784226</vt:i4>
      </vt:variant>
      <vt:variant>
        <vt:i4>6</vt:i4>
      </vt:variant>
      <vt:variant>
        <vt:i4>0</vt:i4>
      </vt:variant>
      <vt:variant>
        <vt:i4>5</vt:i4>
      </vt:variant>
      <vt:variant>
        <vt:lpwstr>mailto:RMallon@equalityni.org</vt:lpwstr>
      </vt:variant>
      <vt:variant>
        <vt:lpwstr/>
      </vt:variant>
      <vt:variant>
        <vt:i4>3997773</vt:i4>
      </vt:variant>
      <vt:variant>
        <vt:i4>3</vt:i4>
      </vt:variant>
      <vt:variant>
        <vt:i4>0</vt:i4>
      </vt:variant>
      <vt:variant>
        <vt:i4>5</vt:i4>
      </vt:variant>
      <vt:variant>
        <vt:lpwstr>mailto:Claire.McCann@NIHRC.ORG</vt:lpwstr>
      </vt:variant>
      <vt:variant>
        <vt:lpwstr/>
      </vt:variant>
      <vt:variant>
        <vt:i4>4784226</vt:i4>
      </vt:variant>
      <vt:variant>
        <vt:i4>0</vt:i4>
      </vt:variant>
      <vt:variant>
        <vt:i4>0</vt:i4>
      </vt:variant>
      <vt:variant>
        <vt:i4>5</vt:i4>
      </vt:variant>
      <vt:variant>
        <vt:lpwstr>mailto:RMallon@equalityni.org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2022-12-20T16:48:00Z</dcterms:created>
  <dcterms:modified xsi:type="dcterms:W3CDTF">2022-12-20T16:48:00Z</dcterms:modified>
</cp:coreProperties>
</file>